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F3D7F" w14:textId="17477A6D" w:rsidR="000B24EB" w:rsidRDefault="003F3901" w:rsidP="00313088">
      <w:pPr>
        <w:spacing w:after="240" w:line="360" w:lineRule="auto"/>
        <w:rPr>
          <w:b/>
          <w:color w:val="1A1A1A"/>
        </w:rPr>
      </w:pPr>
      <w:bookmarkStart w:id="0" w:name="_GoBack"/>
      <w:bookmarkEnd w:id="0"/>
      <w:r w:rsidRPr="003C1BBA">
        <w:rPr>
          <w:b/>
          <w:color w:val="1A1A1A"/>
        </w:rPr>
        <w:t>State of the Field: What Can Political Ethnogra</w:t>
      </w:r>
      <w:r w:rsidR="00FB1824" w:rsidRPr="003C1BBA">
        <w:rPr>
          <w:b/>
          <w:color w:val="1A1A1A"/>
        </w:rPr>
        <w:t>p</w:t>
      </w:r>
      <w:r w:rsidRPr="003C1BBA">
        <w:rPr>
          <w:b/>
          <w:color w:val="1A1A1A"/>
        </w:rPr>
        <w:t xml:space="preserve">hy Tell Us </w:t>
      </w:r>
      <w:r w:rsidR="002210DB" w:rsidRPr="003C1BBA">
        <w:rPr>
          <w:b/>
          <w:color w:val="1A1A1A"/>
        </w:rPr>
        <w:t>about</w:t>
      </w:r>
      <w:r w:rsidRPr="003C1BBA">
        <w:rPr>
          <w:b/>
          <w:color w:val="1A1A1A"/>
        </w:rPr>
        <w:t xml:space="preserve"> </w:t>
      </w:r>
      <w:r w:rsidR="00BF555A" w:rsidRPr="003C1BBA">
        <w:rPr>
          <w:b/>
          <w:color w:val="1A1A1A"/>
        </w:rPr>
        <w:t>Anti-Politics and Democratic Disaffection</w:t>
      </w:r>
      <w:r w:rsidRPr="003C1BBA">
        <w:rPr>
          <w:b/>
          <w:color w:val="1A1A1A"/>
        </w:rPr>
        <w:t>?</w:t>
      </w:r>
      <w:r w:rsidR="006A027A">
        <w:rPr>
          <w:rStyle w:val="FootnoteReference"/>
          <w:b/>
          <w:color w:val="1A1A1A"/>
        </w:rPr>
        <w:footnoteReference w:id="1"/>
      </w:r>
    </w:p>
    <w:p w14:paraId="3BB4D254" w14:textId="49231969" w:rsidR="00313088" w:rsidRDefault="00313088" w:rsidP="00313088">
      <w:pPr>
        <w:spacing w:line="360" w:lineRule="auto"/>
      </w:pPr>
      <w:r>
        <w:t>John Boswell, Jack Corbett, Kate Dommett, Will Jennings, Matthew Flinders, Rod Rhodes, Matthew Wood</w:t>
      </w:r>
    </w:p>
    <w:p w14:paraId="4DDD3E88" w14:textId="77777777" w:rsidR="00313088" w:rsidRDefault="00313088" w:rsidP="00313088">
      <w:pPr>
        <w:spacing w:after="240" w:line="360" w:lineRule="auto"/>
        <w:rPr>
          <w:b/>
          <w:color w:val="1A1A1A"/>
        </w:rPr>
      </w:pPr>
    </w:p>
    <w:p w14:paraId="452BFA1C" w14:textId="4326E368" w:rsidR="00313088" w:rsidRPr="003C1BBA" w:rsidRDefault="00313088" w:rsidP="00313088">
      <w:pPr>
        <w:spacing w:after="240" w:line="360" w:lineRule="auto"/>
        <w:rPr>
          <w:b/>
          <w:color w:val="1A1A1A"/>
        </w:rPr>
      </w:pPr>
      <w:r>
        <w:rPr>
          <w:b/>
          <w:color w:val="1A1A1A"/>
        </w:rPr>
        <w:t>Abstract</w:t>
      </w:r>
    </w:p>
    <w:p w14:paraId="132368AA" w14:textId="68B57C09" w:rsidR="00313088" w:rsidRDefault="00313088" w:rsidP="00313088">
      <w:pPr>
        <w:spacing w:line="360" w:lineRule="auto"/>
      </w:pPr>
      <w:r>
        <w:t>This article adopts and reinvents the ethnographic approach to uncover what governing elites do, and how they respond to public disaffection. Although there is significant work on the citizens’ attitudes to the governing elite (the demand side) there is little work on how elites interpret and respond to public disaffection (the supply side). We argue that ethnography is the best available research method for collecting data on the supply side. In doing so, we tackle long-standing stereotypes in political science about the ethnographic method and what it is good for. We highlight how the innovative and varied practices of contemporary ethnography are ideally suited to shedding light into the ‘black box’ of elite politics. We demonstrate the potential pay-off with reference to important examples of elite ethnography from the margins of political science scholarship. The implications from these rich studies, we argue, suggest a reorientation of how we understand the drivers of public disaffection and the role that political elites play in exacerbating cynicism and disappointment. We conclude by pointing to the benefits to the discipline in embracing elite ethnography both to diversify the methodological toolkit in explaining the complex dynamics of disaffection,and to better enable engagement in renewed public debate about the political establishment.</w:t>
      </w:r>
    </w:p>
    <w:p w14:paraId="5072F622" w14:textId="77777777" w:rsidR="00313088" w:rsidRDefault="00313088" w:rsidP="00313088">
      <w:pPr>
        <w:spacing w:line="360" w:lineRule="auto"/>
      </w:pPr>
    </w:p>
    <w:p w14:paraId="6292A80F" w14:textId="3482B700" w:rsidR="00313088" w:rsidRPr="00313088" w:rsidRDefault="00313088" w:rsidP="00313088">
      <w:pPr>
        <w:spacing w:line="360" w:lineRule="auto"/>
        <w:rPr>
          <w:b/>
          <w:bCs/>
        </w:rPr>
      </w:pPr>
      <w:r w:rsidRPr="00313088">
        <w:rPr>
          <w:b/>
          <w:bCs/>
        </w:rPr>
        <w:t>Keywords</w:t>
      </w:r>
    </w:p>
    <w:p w14:paraId="2F463C44" w14:textId="46F1CC00" w:rsidR="00313088" w:rsidRDefault="00313088" w:rsidP="00313088">
      <w:pPr>
        <w:spacing w:line="360" w:lineRule="auto"/>
      </w:pPr>
      <w:r>
        <w:t>Ethnography; disaffection; elites; democratic governance</w:t>
      </w:r>
    </w:p>
    <w:p w14:paraId="2E355BAC" w14:textId="77777777" w:rsidR="00313088" w:rsidRDefault="00313088" w:rsidP="00313088">
      <w:pPr>
        <w:spacing w:line="360" w:lineRule="auto"/>
      </w:pPr>
    </w:p>
    <w:p w14:paraId="40450CC2" w14:textId="5FE37C4C" w:rsidR="00313088" w:rsidRDefault="00313088" w:rsidP="00313088">
      <w:pPr>
        <w:spacing w:line="360" w:lineRule="auto"/>
      </w:pPr>
      <w:r>
        <w:t xml:space="preserve"> </w:t>
      </w:r>
      <w:r>
        <w:br w:type="page"/>
      </w:r>
    </w:p>
    <w:p w14:paraId="0BB52281" w14:textId="4D47383B" w:rsidR="00714902" w:rsidRPr="003C1BBA" w:rsidRDefault="00714902" w:rsidP="00313088">
      <w:pPr>
        <w:spacing w:after="240" w:line="360" w:lineRule="auto"/>
      </w:pPr>
      <w:r w:rsidRPr="003C1BBA">
        <w:lastRenderedPageBreak/>
        <w:t xml:space="preserve">The twin shocks of Brexit and Donald Trump’s electoral victory in 2016 have prompted </w:t>
      </w:r>
      <w:r w:rsidR="003F3B55" w:rsidRPr="003C1BBA">
        <w:t>widespread</w:t>
      </w:r>
      <w:r w:rsidRPr="003C1BBA">
        <w:t xml:space="preserve"> reflection on rising </w:t>
      </w:r>
      <w:r w:rsidR="00BC77CB" w:rsidRPr="003C1BBA">
        <w:t>disaffection</w:t>
      </w:r>
      <w:r w:rsidRPr="003C1BBA">
        <w:t xml:space="preserve"> towards the political establishment (Inglehart and Norris, 2016). </w:t>
      </w:r>
      <w:r w:rsidR="00A10EE3" w:rsidRPr="003C1BBA">
        <w:t>Of course, c</w:t>
      </w:r>
      <w:r w:rsidR="00BF52E2" w:rsidRPr="003C1BBA">
        <w:t>oncern about ‘democratic crisis’ is not new (Crozier et al. 1974)</w:t>
      </w:r>
      <w:r w:rsidR="00A10EE3" w:rsidRPr="003C1BBA">
        <w:t>.</w:t>
      </w:r>
      <w:r w:rsidR="00BF52E2" w:rsidRPr="003C1BBA">
        <w:t xml:space="preserve"> </w:t>
      </w:r>
      <w:r w:rsidR="00A10EE3" w:rsidRPr="003C1BBA">
        <w:t>T</w:t>
      </w:r>
      <w:r w:rsidR="00BF52E2" w:rsidRPr="003C1BBA">
        <w:t>here has been considerable scholarship in America (Pharr and Putnam 2000; Dalton 2004; Catterberg and Moreno 2006; Torcal and Montero 2006; Norris 2011), and Europe (Stoker 2006; Hay 2007; Flinders 2012; P</w:t>
      </w:r>
      <w:r w:rsidR="00A10EE3" w:rsidRPr="003C1BBA">
        <w:t>apadopoulos 2013</w:t>
      </w:r>
      <w:r w:rsidR="00BF52E2" w:rsidRPr="003C1BBA">
        <w:t xml:space="preserve">) </w:t>
      </w:r>
      <w:r w:rsidR="00D828BE" w:rsidRPr="003C1BBA">
        <w:t xml:space="preserve">dedicated to understanding the causes and consequences of these </w:t>
      </w:r>
      <w:r w:rsidR="00B35BF1" w:rsidRPr="003C1BBA">
        <w:t>trends. This</w:t>
      </w:r>
      <w:r w:rsidRPr="003C1BBA">
        <w:t xml:space="preserve"> work show</w:t>
      </w:r>
      <w:r w:rsidR="00637C88" w:rsidRPr="003C1BBA">
        <w:t>s</w:t>
      </w:r>
      <w:r w:rsidRPr="003C1BBA">
        <w:t xml:space="preserve"> that rising publi</w:t>
      </w:r>
      <w:r w:rsidR="00E915D9" w:rsidRPr="003C1BBA">
        <w:t xml:space="preserve">c </w:t>
      </w:r>
      <w:r w:rsidR="00A812D5" w:rsidRPr="003C1BBA">
        <w:t>disaffection, commonly expressed as cynicism, resentment and even hatred of democratic institutions and governing elites,</w:t>
      </w:r>
      <w:r w:rsidR="00BC77CB" w:rsidRPr="003C1BBA">
        <w:t xml:space="preserve"> </w:t>
      </w:r>
      <w:r w:rsidRPr="003C1BBA">
        <w:t>feeds populist causes (e.g. Mud</w:t>
      </w:r>
      <w:r w:rsidR="001936D7" w:rsidRPr="003C1BBA">
        <w:t xml:space="preserve">de 2007; Rooduijn et al. 2014) and </w:t>
      </w:r>
      <w:r w:rsidR="00637C88" w:rsidRPr="003C1BBA">
        <w:t>erod</w:t>
      </w:r>
      <w:r w:rsidR="001936D7" w:rsidRPr="003C1BBA">
        <w:t>es</w:t>
      </w:r>
      <w:r w:rsidR="00637C88" w:rsidRPr="003C1BBA">
        <w:t xml:space="preserve"> </w:t>
      </w:r>
      <w:r w:rsidRPr="003C1BBA">
        <w:t xml:space="preserve">the capacity to govern (see </w:t>
      </w:r>
      <w:r w:rsidR="00C512EF" w:rsidRPr="003C1BBA">
        <w:t xml:space="preserve">Olsen 1969; </w:t>
      </w:r>
      <w:r w:rsidRPr="003C1BBA">
        <w:t xml:space="preserve">Finifter 1970; Hetherington 2006; Hetherington and Thomas 2015). </w:t>
      </w:r>
      <w:r w:rsidR="00B35BF1" w:rsidRPr="003C1BBA">
        <w:t>I</w:t>
      </w:r>
      <w:r w:rsidR="00A10EE3" w:rsidRPr="003C1BBA">
        <w:t xml:space="preserve">t suggests </w:t>
      </w:r>
      <w:r w:rsidR="00B35BF1" w:rsidRPr="003C1BBA">
        <w:t xml:space="preserve">also </w:t>
      </w:r>
      <w:r w:rsidR="00A10EE3" w:rsidRPr="003C1BBA">
        <w:t xml:space="preserve">that the legitimacy crisis is intensifying (see Clarke et al. 2016). </w:t>
      </w:r>
      <w:r w:rsidR="00FB2349" w:rsidRPr="003C1BBA">
        <w:t>R</w:t>
      </w:r>
      <w:r w:rsidRPr="003C1BBA">
        <w:t xml:space="preserve">eflecting on the </w:t>
      </w:r>
      <w:r w:rsidR="003F3B55" w:rsidRPr="003C1BBA">
        <w:t>populist appeal to ‘demystify’</w:t>
      </w:r>
      <w:r w:rsidRPr="003C1BBA">
        <w:t xml:space="preserve"> politics, Mudde (2004, 557) </w:t>
      </w:r>
      <w:r w:rsidR="00C512EF" w:rsidRPr="003C1BBA">
        <w:t>suggest</w:t>
      </w:r>
      <w:r w:rsidRPr="003C1BBA">
        <w:t>s:</w:t>
      </w:r>
    </w:p>
    <w:p w14:paraId="0038B58A" w14:textId="4E6A9F90" w:rsidR="00714902" w:rsidRPr="003C1BBA" w:rsidRDefault="00714902" w:rsidP="00313088">
      <w:pPr>
        <w:spacing w:after="240" w:line="360" w:lineRule="auto"/>
        <w:ind w:left="720"/>
      </w:pPr>
      <w:r w:rsidRPr="003C1BBA">
        <w:t>More and more citizens think they have a good understanding of what politicians do, and think they can do it better. While this does not necessarily mean that many people also actually want to do it better, by actively participating in various aspects of political life, it does mean that the relationship between the elites and the citizens has changed significantly, and possibly irrevocably, over the past decades.</w:t>
      </w:r>
    </w:p>
    <w:p w14:paraId="1A992A67" w14:textId="4899B345" w:rsidR="00714902" w:rsidRPr="003C1BBA" w:rsidRDefault="00C87EC4" w:rsidP="00313088">
      <w:pPr>
        <w:spacing w:after="240" w:line="360" w:lineRule="auto"/>
      </w:pPr>
      <w:r w:rsidRPr="003C1BBA">
        <w:t>This</w:t>
      </w:r>
      <w:r w:rsidR="003F3B55" w:rsidRPr="003C1BBA">
        <w:t xml:space="preserve"> </w:t>
      </w:r>
      <w:r w:rsidR="00714902" w:rsidRPr="003C1BBA">
        <w:t xml:space="preserve">voter </w:t>
      </w:r>
      <w:r w:rsidR="003F3B55" w:rsidRPr="003C1BBA">
        <w:t>cynicism about</w:t>
      </w:r>
      <w:r w:rsidRPr="003C1BBA">
        <w:t xml:space="preserve"> ‘the establishment’</w:t>
      </w:r>
      <w:r w:rsidR="003F3B55" w:rsidRPr="003C1BBA">
        <w:t xml:space="preserve"> mirrors scholarly presumptions about myopic self-interest and calculating strategic action. </w:t>
      </w:r>
      <w:r w:rsidR="00BC77CB" w:rsidRPr="003C1BBA">
        <w:t xml:space="preserve">Rational choice analysis and the new institutionalism constitute the theoretical mainstream (Goodin and Klingemann 1996: 20; Goodin 2009: 9; Rhodes 2017: 212-15). As a </w:t>
      </w:r>
      <w:r w:rsidR="00F824B9" w:rsidRPr="003C1BBA">
        <w:t>result</w:t>
      </w:r>
      <w:r w:rsidR="00BC77CB" w:rsidRPr="003C1BBA">
        <w:t>, p</w:t>
      </w:r>
      <w:r w:rsidR="00714902" w:rsidRPr="003C1BBA">
        <w:t>olitical scientists</w:t>
      </w:r>
      <w:r w:rsidR="009779DD" w:rsidRPr="003C1BBA">
        <w:t xml:space="preserve"> often</w:t>
      </w:r>
      <w:r w:rsidR="00714902" w:rsidRPr="003C1BBA">
        <w:t xml:space="preserve"> model human behaviour </w:t>
      </w:r>
      <w:r w:rsidR="00E94DDA" w:rsidRPr="003C1BBA">
        <w:t>in this way</w:t>
      </w:r>
      <w:r w:rsidR="003F3B55" w:rsidRPr="003C1BBA">
        <w:t>,</w:t>
      </w:r>
      <w:r w:rsidR="00714902" w:rsidRPr="003C1BBA">
        <w:t xml:space="preserve"> </w:t>
      </w:r>
      <w:r w:rsidR="00E94DDA" w:rsidRPr="003C1BBA">
        <w:t xml:space="preserve">especially </w:t>
      </w:r>
      <w:r w:rsidR="00714902" w:rsidRPr="003C1BBA">
        <w:t>the b</w:t>
      </w:r>
      <w:r w:rsidR="001936D7" w:rsidRPr="003C1BBA">
        <w:t>ehaviour of the political elite</w:t>
      </w:r>
      <w:r w:rsidR="003F3B55" w:rsidRPr="003C1BBA">
        <w:t>.</w:t>
      </w:r>
      <w:r w:rsidR="009779DD" w:rsidRPr="003C1BBA">
        <w:t xml:space="preserve"> </w:t>
      </w:r>
      <w:r w:rsidR="003F3B55" w:rsidRPr="003C1BBA">
        <w:t xml:space="preserve">As a discipline, </w:t>
      </w:r>
      <w:r w:rsidR="00714902" w:rsidRPr="003C1BBA">
        <w:t>this</w:t>
      </w:r>
      <w:r w:rsidR="002035AF" w:rsidRPr="003C1BBA">
        <w:t xml:space="preserve"> stance</w:t>
      </w:r>
      <w:r w:rsidR="00714902" w:rsidRPr="003C1BBA">
        <w:t xml:space="preserve"> should provide cause for concern. Either the political system is as bad as </w:t>
      </w:r>
      <w:r w:rsidR="00BC77CB" w:rsidRPr="003C1BBA">
        <w:t xml:space="preserve">the increasingly disaffected </w:t>
      </w:r>
      <w:r w:rsidR="00714902" w:rsidRPr="003C1BBA">
        <w:t>public believes, in which case we should collectively be supporting attempts to ‘drain the swamp’; or the way we do political science needs to change to allow us to tell d</w:t>
      </w:r>
      <w:r w:rsidR="003F3B55" w:rsidRPr="003C1BBA">
        <w:t xml:space="preserve">ifferent stories about the motivations, beliefs and practices of political </w:t>
      </w:r>
      <w:r w:rsidR="00BC77CB" w:rsidRPr="003C1BBA">
        <w:t>actors</w:t>
      </w:r>
      <w:r w:rsidR="00714902" w:rsidRPr="003C1BBA">
        <w:t xml:space="preserve">. </w:t>
      </w:r>
    </w:p>
    <w:p w14:paraId="07A61BCD" w14:textId="6C709B5A" w:rsidR="00637C88" w:rsidRPr="003C1BBA" w:rsidRDefault="00D828BE" w:rsidP="00313088">
      <w:pPr>
        <w:spacing w:after="240" w:line="360" w:lineRule="auto"/>
      </w:pPr>
      <w:r w:rsidRPr="003C1BBA">
        <w:t>Most of</w:t>
      </w:r>
      <w:r w:rsidR="00714902" w:rsidRPr="003C1BBA">
        <w:t xml:space="preserve"> the vast literature directed towards understanding the causes of</w:t>
      </w:r>
      <w:r w:rsidR="00BC77CB" w:rsidRPr="003C1BBA">
        <w:t xml:space="preserve"> rising</w:t>
      </w:r>
      <w:r w:rsidR="00714902" w:rsidRPr="003C1BBA">
        <w:t xml:space="preserve"> public </w:t>
      </w:r>
      <w:r w:rsidR="00BC77CB" w:rsidRPr="003C1BBA">
        <w:t xml:space="preserve">disaffection towards democratic government, its institutions and actors, </w:t>
      </w:r>
      <w:r w:rsidR="00714902" w:rsidRPr="003C1BBA">
        <w:t xml:space="preserve">has focused </w:t>
      </w:r>
      <w:r w:rsidR="00714902" w:rsidRPr="003C1BBA">
        <w:lastRenderedPageBreak/>
        <w:t xml:space="preserve">on what Colin Hay (2007) calls </w:t>
      </w:r>
      <w:r w:rsidR="003F3B55" w:rsidRPr="003C1BBA">
        <w:t xml:space="preserve">the ‘demand side’—that is, </w:t>
      </w:r>
      <w:r w:rsidR="00714902" w:rsidRPr="003C1BBA">
        <w:t xml:space="preserve">changes in society which influence the demands that citizens place on the political system. </w:t>
      </w:r>
      <w:r w:rsidR="00BC77CB" w:rsidRPr="003C1BBA">
        <w:t xml:space="preserve">This work links shifts in public attitudes and behaviour with declining voter turnout, membership of political parties and increasingly negative views of the political elite. </w:t>
      </w:r>
      <w:r w:rsidR="00637C88" w:rsidRPr="003C1BBA">
        <w:t xml:space="preserve">Surveys and quantitative analysis have provided the dominant </w:t>
      </w:r>
      <w:r w:rsidR="00B35BF1" w:rsidRPr="003C1BBA">
        <w:t>methods</w:t>
      </w:r>
      <w:r w:rsidR="00E33456" w:rsidRPr="003C1BBA">
        <w:t xml:space="preserve">. </w:t>
      </w:r>
      <w:r w:rsidR="00637C88" w:rsidRPr="003C1BBA">
        <w:t xml:space="preserve">Examples include the analysis of political disengagement and political attitudes using data from the World Values Survey, European Values Survey, American National Election Studies, European Social Survey, British Social Attitudes Survey and British Election Study (for example, Norris 1999; Pharr and Putnam 2000; Dalton 2004; Catterberg and Moreno 2006; Torcal and Montero 2006; Clarke et al. 2016). Demand-side analyses </w:t>
      </w:r>
      <w:r w:rsidR="00BC77CB" w:rsidRPr="003C1BBA">
        <w:t xml:space="preserve">also </w:t>
      </w:r>
      <w:r w:rsidR="00637C88" w:rsidRPr="003C1BBA">
        <w:t xml:space="preserve">focus on how the public judge their politicians’ conduct and performance, ascribing increased negativity to a combination of innate complexity, political self-interest and unrealistic public expectations. </w:t>
      </w:r>
    </w:p>
    <w:p w14:paraId="00FC7EE6" w14:textId="614C867B" w:rsidR="00714902" w:rsidRPr="003C1BBA" w:rsidRDefault="00714902" w:rsidP="00313088">
      <w:pPr>
        <w:spacing w:after="240" w:line="360" w:lineRule="auto"/>
      </w:pPr>
      <w:r w:rsidRPr="003C1BBA">
        <w:t xml:space="preserve">While this work has delivered important insights, </w:t>
      </w:r>
      <w:r w:rsidR="00205F6C" w:rsidRPr="003C1BBA">
        <w:t>it does nothing to explore how elites are affected by</w:t>
      </w:r>
      <w:r w:rsidR="00A10EE3" w:rsidRPr="003C1BBA">
        <w:t xml:space="preserve"> or seek to combat</w:t>
      </w:r>
      <w:r w:rsidR="00205F6C" w:rsidRPr="003C1BBA">
        <w:t xml:space="preserve"> these assumptions. I</w:t>
      </w:r>
      <w:r w:rsidRPr="003C1BBA">
        <w:t xml:space="preserve">t implicitly treats the ‘supply </w:t>
      </w:r>
      <w:r w:rsidR="001936D7" w:rsidRPr="003C1BBA">
        <w:t xml:space="preserve">side’ as constant. Yet </w:t>
      </w:r>
      <w:r w:rsidRPr="003C1BBA">
        <w:t>there have been major shifts in the nature and conduct of democratic politics linked to professionalization</w:t>
      </w:r>
      <w:r w:rsidR="00F35F64" w:rsidRPr="003C1BBA">
        <w:t xml:space="preserve"> (</w:t>
      </w:r>
      <w:r w:rsidR="00C512EF" w:rsidRPr="003C1BBA">
        <w:t>e</w:t>
      </w:r>
      <w:r w:rsidR="00D828BE" w:rsidRPr="003C1BBA">
        <w:t>.</w:t>
      </w:r>
      <w:r w:rsidR="00C512EF" w:rsidRPr="003C1BBA">
        <w:t xml:space="preserve">g. </w:t>
      </w:r>
      <w:r w:rsidR="00F35F64" w:rsidRPr="003C1BBA">
        <w:t xml:space="preserve">Campbell and Cowley </w:t>
      </w:r>
      <w:r w:rsidR="00637C88" w:rsidRPr="003C1BBA">
        <w:t xml:space="preserve">2013; </w:t>
      </w:r>
      <w:r w:rsidR="00F35F64" w:rsidRPr="003C1BBA">
        <w:t>2015)</w:t>
      </w:r>
      <w:r w:rsidRPr="003C1BBA">
        <w:t xml:space="preserve">, </w:t>
      </w:r>
      <w:r w:rsidR="00F35F64" w:rsidRPr="003C1BBA">
        <w:t>the changing profiles of legislatures (</w:t>
      </w:r>
      <w:r w:rsidR="00B35BF1" w:rsidRPr="003C1BBA">
        <w:t>e.g.</w:t>
      </w:r>
      <w:r w:rsidR="00C512EF" w:rsidRPr="003C1BBA">
        <w:t xml:space="preserve"> </w:t>
      </w:r>
      <w:r w:rsidR="00AA7533" w:rsidRPr="003C1BBA">
        <w:t xml:space="preserve">Allen and </w:t>
      </w:r>
      <w:r w:rsidR="00F35F64" w:rsidRPr="003C1BBA">
        <w:t>Cairney 20</w:t>
      </w:r>
      <w:r w:rsidR="00AA7533" w:rsidRPr="003C1BBA">
        <w:t>16</w:t>
      </w:r>
      <w:r w:rsidR="00C87EC4" w:rsidRPr="003C1BBA">
        <w:t>),</w:t>
      </w:r>
      <w:r w:rsidRPr="003C1BBA">
        <w:t xml:space="preserve"> and so on (see Stoker and Hay 2016</w:t>
      </w:r>
      <w:r w:rsidR="00C512EF" w:rsidRPr="003C1BBA">
        <w:t xml:space="preserve"> for discussion</w:t>
      </w:r>
      <w:r w:rsidR="00E710EE" w:rsidRPr="003C1BBA">
        <w:t>). T</w:t>
      </w:r>
      <w:r w:rsidRPr="003C1BBA">
        <w:t xml:space="preserve">he primary methods of contemporary political science are </w:t>
      </w:r>
      <w:r w:rsidR="00B35BF1" w:rsidRPr="003C1BBA">
        <w:t>less equipped</w:t>
      </w:r>
      <w:r w:rsidRPr="003C1BBA">
        <w:t xml:space="preserve"> to </w:t>
      </w:r>
      <w:r w:rsidR="006946A3" w:rsidRPr="003C1BBA">
        <w:t>explore</w:t>
      </w:r>
      <w:r w:rsidRPr="003C1BBA">
        <w:t xml:space="preserve"> </w:t>
      </w:r>
      <w:r w:rsidR="00C20629" w:rsidRPr="003C1BBA">
        <w:t>what drives</w:t>
      </w:r>
      <w:r w:rsidRPr="003C1BBA">
        <w:t xml:space="preserve"> the beliefs and </w:t>
      </w:r>
      <w:r w:rsidR="006946A3" w:rsidRPr="003C1BBA">
        <w:t>practices</w:t>
      </w:r>
      <w:r w:rsidRPr="003C1BBA">
        <w:t xml:space="preserve"> of political elites</w:t>
      </w:r>
      <w:r w:rsidR="00C20629" w:rsidRPr="003C1BBA">
        <w:t xml:space="preserve"> – the ‘supply side’ – which has been credited </w:t>
      </w:r>
      <w:r w:rsidR="006946A3" w:rsidRPr="003C1BBA">
        <w:t xml:space="preserve">widely </w:t>
      </w:r>
      <w:r w:rsidR="00C20629" w:rsidRPr="003C1BBA">
        <w:t>with public disaffection with politics.</w:t>
      </w:r>
    </w:p>
    <w:p w14:paraId="719CF85A" w14:textId="04A581B2" w:rsidR="00714902" w:rsidRPr="003C1BBA" w:rsidRDefault="00F54E58" w:rsidP="00313088">
      <w:pPr>
        <w:spacing w:after="240" w:line="360" w:lineRule="auto"/>
      </w:pPr>
      <w:r w:rsidRPr="003C1BBA">
        <w:t>Greater m</w:t>
      </w:r>
      <w:r w:rsidR="00BC77CB" w:rsidRPr="003C1BBA">
        <w:t xml:space="preserve">ethodological pluralism and ethnographic methods in particular have much to offer both ‘demand’ and ‘supply’ side explanations of democratic </w:t>
      </w:r>
      <w:r w:rsidRPr="003C1BBA">
        <w:t xml:space="preserve">disaffection. </w:t>
      </w:r>
      <w:r w:rsidR="00E33456" w:rsidRPr="003C1BBA">
        <w:t xml:space="preserve">For example, the recent publication of rich qualitative work based on ethnographic immersion is beginning to tease out subtleties and nuances of the dynamics underlying this new ´politics of resentment´ (Cramer 2016) and emotional alienation (Hochschild 2016). </w:t>
      </w:r>
      <w:r w:rsidRPr="003C1BBA">
        <w:t>But, we</w:t>
      </w:r>
      <w:r w:rsidR="00714902" w:rsidRPr="003C1BBA">
        <w:t xml:space="preserve"> </w:t>
      </w:r>
      <w:r w:rsidR="008B1619" w:rsidRPr="003C1BBA">
        <w:t>argue that</w:t>
      </w:r>
      <w:r w:rsidR="00714902" w:rsidRPr="003C1BBA">
        <w:t xml:space="preserve"> </w:t>
      </w:r>
      <w:r w:rsidRPr="003C1BBA">
        <w:t>these approaches are especially important for</w:t>
      </w:r>
      <w:r w:rsidR="008B1619" w:rsidRPr="003C1BBA">
        <w:t xml:space="preserve"> explain the ‘supply side’ </w:t>
      </w:r>
      <w:r w:rsidR="006C30C3" w:rsidRPr="003C1BBA">
        <w:t xml:space="preserve">of political practices </w:t>
      </w:r>
      <w:r w:rsidR="00B35BF1" w:rsidRPr="003C1BBA">
        <w:t xml:space="preserve">such as </w:t>
      </w:r>
      <w:r w:rsidR="006C30C3" w:rsidRPr="003C1BBA">
        <w:t>‘professionalization’</w:t>
      </w:r>
      <w:r w:rsidR="00B35BF1" w:rsidRPr="003C1BBA">
        <w:t>.</w:t>
      </w:r>
      <w:r w:rsidR="00714902" w:rsidRPr="003C1BBA">
        <w:t xml:space="preserve"> In particular, we make the case for an increased use of ethnographic a</w:t>
      </w:r>
      <w:r w:rsidR="008B1619" w:rsidRPr="003C1BBA">
        <w:t>pproaches that currently exist</w:t>
      </w:r>
      <w:r w:rsidR="00714902" w:rsidRPr="003C1BBA">
        <w:t xml:space="preserve"> on the margins of political science research. Prev</w:t>
      </w:r>
      <w:r w:rsidR="008B1619" w:rsidRPr="003C1BBA">
        <w:t>ailing methods</w:t>
      </w:r>
      <w:r w:rsidR="00714902" w:rsidRPr="003C1BBA">
        <w:t xml:space="preserve"> tell us little about how </w:t>
      </w:r>
      <w:r w:rsidR="0041524E" w:rsidRPr="003C1BBA">
        <w:t>elite</w:t>
      </w:r>
      <w:r w:rsidR="006946A3" w:rsidRPr="003C1BBA">
        <w:t>s practice</w:t>
      </w:r>
      <w:r w:rsidR="0041524E" w:rsidRPr="003C1BBA">
        <w:t xml:space="preserve"> </w:t>
      </w:r>
      <w:r w:rsidR="00714902" w:rsidRPr="003C1BBA">
        <w:t xml:space="preserve">politics, including the everyday rituals and routines that </w:t>
      </w:r>
      <w:r w:rsidR="00714902" w:rsidRPr="003C1BBA">
        <w:lastRenderedPageBreak/>
        <w:t>constitute political life. Also, they reinforce the negative publi</w:t>
      </w:r>
      <w:r w:rsidR="008B1619" w:rsidRPr="003C1BBA">
        <w:t>c perception of how</w:t>
      </w:r>
      <w:r w:rsidR="00714902" w:rsidRPr="003C1BBA">
        <w:t xml:space="preserve"> politics works, and curtail the ability of political scientists to tell a compelling normative story about the meaning and purpose of democratic politics. </w:t>
      </w:r>
    </w:p>
    <w:p w14:paraId="3B26E984" w14:textId="68152ABE" w:rsidR="00637C88" w:rsidRPr="003C1BBA" w:rsidRDefault="00776977" w:rsidP="00313088">
      <w:pPr>
        <w:spacing w:after="240" w:line="360" w:lineRule="auto"/>
        <w:rPr>
          <w:rFonts w:eastAsia="Times New Roman"/>
        </w:rPr>
      </w:pPr>
      <w:r w:rsidRPr="003C1BBA">
        <w:t xml:space="preserve">In this </w:t>
      </w:r>
      <w:r w:rsidR="0041524E" w:rsidRPr="003C1BBA">
        <w:t>article</w:t>
      </w:r>
      <w:r w:rsidR="00714902" w:rsidRPr="003C1BBA">
        <w:t xml:space="preserve">, we </w:t>
      </w:r>
      <w:r w:rsidR="0099623A">
        <w:t>argue for</w:t>
      </w:r>
      <w:r w:rsidR="0099623A" w:rsidRPr="003C1BBA">
        <w:t xml:space="preserve"> </w:t>
      </w:r>
      <w:r w:rsidR="00714902" w:rsidRPr="003C1BBA">
        <w:t>ethnography as a</w:t>
      </w:r>
      <w:r w:rsidR="00D07D87" w:rsidRPr="003C1BBA">
        <w:t>n approach</w:t>
      </w:r>
      <w:r w:rsidR="00714902" w:rsidRPr="003C1BBA">
        <w:t xml:space="preserve"> </w:t>
      </w:r>
      <w:r w:rsidR="00D07D87" w:rsidRPr="003C1BBA">
        <w:t>to</w:t>
      </w:r>
      <w:r w:rsidR="00714902" w:rsidRPr="003C1BBA">
        <w:t xml:space="preserve"> understanding politics and government</w:t>
      </w:r>
      <w:r w:rsidR="00BE07ED" w:rsidRPr="003C1BBA">
        <w:t xml:space="preserve">. </w:t>
      </w:r>
      <w:r w:rsidR="009779DD" w:rsidRPr="003C1BBA">
        <w:t xml:space="preserve">We make three moves. First, we defend a broad </w:t>
      </w:r>
      <w:r w:rsidR="00D852B9" w:rsidRPr="003C1BBA">
        <w:t>approach</w:t>
      </w:r>
      <w:r w:rsidR="009779DD" w:rsidRPr="003C1BBA">
        <w:t xml:space="preserve"> </w:t>
      </w:r>
      <w:r w:rsidR="00D852B9" w:rsidRPr="003C1BBA">
        <w:t>to</w:t>
      </w:r>
      <w:r w:rsidR="009779DD" w:rsidRPr="003C1BBA">
        <w:t xml:space="preserve"> ethnography </w:t>
      </w:r>
      <w:r w:rsidR="000E19B0" w:rsidRPr="003C1BBA">
        <w:t xml:space="preserve">that </w:t>
      </w:r>
      <w:r w:rsidR="00096D4C" w:rsidRPr="003C1BBA">
        <w:t>encompasses</w:t>
      </w:r>
      <w:r w:rsidR="000E19B0" w:rsidRPr="003C1BBA">
        <w:t xml:space="preserve"> more than </w:t>
      </w:r>
      <w:r w:rsidR="009779DD" w:rsidRPr="003C1BBA">
        <w:t xml:space="preserve">deep immersion. Second, </w:t>
      </w:r>
      <w:r w:rsidR="001936D7" w:rsidRPr="003C1BBA">
        <w:t>we</w:t>
      </w:r>
      <w:r w:rsidR="00A10EE3" w:rsidRPr="003C1BBA">
        <w:t xml:space="preserve"> </w:t>
      </w:r>
      <w:r w:rsidR="00637C88" w:rsidRPr="003C1BBA">
        <w:t>build on the small literature that makes the case for political scientists</w:t>
      </w:r>
      <w:r w:rsidR="008B351E" w:rsidRPr="003C1BBA">
        <w:t xml:space="preserve"> doing</w:t>
      </w:r>
      <w:r w:rsidR="00637C88" w:rsidRPr="003C1BBA">
        <w:t xml:space="preserve"> ethnography (</w:t>
      </w:r>
      <w:r w:rsidR="00A10EE3" w:rsidRPr="003C1BBA">
        <w:t>e</w:t>
      </w:r>
      <w:r w:rsidR="006946A3" w:rsidRPr="003C1BBA">
        <w:t>.</w:t>
      </w:r>
      <w:r w:rsidR="00A10EE3" w:rsidRPr="003C1BBA">
        <w:t xml:space="preserve">g. </w:t>
      </w:r>
      <w:r w:rsidR="0041524E" w:rsidRPr="003C1BBA">
        <w:t>Fenno 1990;</w:t>
      </w:r>
      <w:r w:rsidR="00637C88" w:rsidRPr="003C1BBA">
        <w:t xml:space="preserve"> De Velo and Schatz</w:t>
      </w:r>
      <w:r w:rsidR="00A10EE3" w:rsidRPr="003C1BBA">
        <w:t xml:space="preserve"> 2009</w:t>
      </w:r>
      <w:r w:rsidR="0041524E" w:rsidRPr="003C1BBA">
        <w:t xml:space="preserve">; </w:t>
      </w:r>
      <w:r w:rsidR="00F54E58" w:rsidRPr="003C1BBA">
        <w:t xml:space="preserve">Schatz 2009; </w:t>
      </w:r>
      <w:r w:rsidR="00A10EE3" w:rsidRPr="003C1BBA">
        <w:t xml:space="preserve">Wedeen </w:t>
      </w:r>
      <w:r w:rsidR="002210DB" w:rsidRPr="003C1BBA">
        <w:t>2010</w:t>
      </w:r>
      <w:r w:rsidR="001936D7" w:rsidRPr="003C1BBA">
        <w:t>). In doing so</w:t>
      </w:r>
      <w:r w:rsidR="00F824B9" w:rsidRPr="003C1BBA">
        <w:t>,</w:t>
      </w:r>
      <w:r w:rsidR="001936D7" w:rsidRPr="003C1BBA">
        <w:t xml:space="preserve"> we debunk</w:t>
      </w:r>
      <w:r w:rsidR="00637C88" w:rsidRPr="003C1BBA">
        <w:t xml:space="preserve"> common myths about the value of</w:t>
      </w:r>
      <w:r w:rsidR="0041524E" w:rsidRPr="003C1BBA">
        <w:t xml:space="preserve"> a</w:t>
      </w:r>
      <w:r w:rsidR="00637C88" w:rsidRPr="003C1BBA">
        <w:t xml:space="preserve">n ethnographic approach. </w:t>
      </w:r>
      <w:r w:rsidR="009779DD" w:rsidRPr="003C1BBA">
        <w:t>Third</w:t>
      </w:r>
      <w:r w:rsidR="00637C88" w:rsidRPr="003C1BBA">
        <w:t xml:space="preserve">, we review the small number of elite ethnographies </w:t>
      </w:r>
      <w:r w:rsidR="00A10EE3" w:rsidRPr="003C1BBA">
        <w:t>from</w:t>
      </w:r>
      <w:r w:rsidR="00637C88" w:rsidRPr="003C1BBA">
        <w:t xml:space="preserve"> either side of the Atlantic to consider what they might tell us about </w:t>
      </w:r>
      <w:r w:rsidR="006C30C3" w:rsidRPr="003C1BBA">
        <w:t>the professionalization of politics</w:t>
      </w:r>
      <w:r w:rsidR="00637C88" w:rsidRPr="003C1BBA">
        <w:t xml:space="preserve"> (e.g. Fenno</w:t>
      </w:r>
      <w:r w:rsidR="0041524E" w:rsidRPr="003C1BBA">
        <w:t xml:space="preserve"> 1978</w:t>
      </w:r>
      <w:r w:rsidR="00637C88" w:rsidRPr="003C1BBA">
        <w:t>; Gaddie</w:t>
      </w:r>
      <w:r w:rsidR="0041524E" w:rsidRPr="003C1BBA">
        <w:t xml:space="preserve"> 2005</w:t>
      </w:r>
      <w:r w:rsidR="00637C88" w:rsidRPr="003C1BBA">
        <w:t>; Crewe 2005; 2015; Reheer 2006; Rhodes 2011; Corbett 2015</w:t>
      </w:r>
      <w:r w:rsidR="0041524E" w:rsidRPr="003C1BBA">
        <w:t>)</w:t>
      </w:r>
      <w:r w:rsidR="002035AF" w:rsidRPr="003C1BBA">
        <w:t xml:space="preserve">. These studies focus on </w:t>
      </w:r>
      <w:r w:rsidR="006C30C3" w:rsidRPr="003C1BBA">
        <w:t>campaigning and governing practice</w:t>
      </w:r>
      <w:r w:rsidR="0041524E" w:rsidRPr="003C1BBA">
        <w:t xml:space="preserve">. </w:t>
      </w:r>
      <w:r w:rsidR="00637C88" w:rsidRPr="003C1BBA">
        <w:t>The</w:t>
      </w:r>
      <w:r w:rsidR="002035AF" w:rsidRPr="003C1BBA">
        <w:t>y</w:t>
      </w:r>
      <w:r w:rsidR="00637C88" w:rsidRPr="003C1BBA">
        <w:t xml:space="preserve"> provide a glimpse of the importance of both understanding governing elites and injecting such understandings into public debates about revitalising politics. </w:t>
      </w:r>
    </w:p>
    <w:p w14:paraId="7352E811" w14:textId="02835011" w:rsidR="00962F3D" w:rsidRPr="003C1BBA" w:rsidRDefault="00962F3D" w:rsidP="00313088">
      <w:pPr>
        <w:spacing w:after="240" w:line="360" w:lineRule="auto"/>
      </w:pPr>
    </w:p>
    <w:p w14:paraId="5E08943B" w14:textId="0F15B6BC" w:rsidR="00191A58" w:rsidRPr="003C1BBA" w:rsidRDefault="00CC6CD6" w:rsidP="00313088">
      <w:pPr>
        <w:spacing w:after="240" w:line="360" w:lineRule="auto"/>
        <w:rPr>
          <w:b/>
          <w:bCs/>
          <w:iCs/>
        </w:rPr>
      </w:pPr>
      <w:r w:rsidRPr="003C1BBA">
        <w:rPr>
          <w:b/>
          <w:bCs/>
          <w:iCs/>
        </w:rPr>
        <w:t xml:space="preserve">Bridging the Gap: What </w:t>
      </w:r>
      <w:r w:rsidR="00B35BF1" w:rsidRPr="003C1BBA">
        <w:rPr>
          <w:b/>
          <w:bCs/>
          <w:iCs/>
        </w:rPr>
        <w:t xml:space="preserve">Can </w:t>
      </w:r>
      <w:r w:rsidRPr="003C1BBA">
        <w:rPr>
          <w:b/>
          <w:bCs/>
          <w:iCs/>
        </w:rPr>
        <w:t xml:space="preserve">Ethnographic Research Tell Us </w:t>
      </w:r>
      <w:r w:rsidR="00B35BF1" w:rsidRPr="003C1BBA">
        <w:rPr>
          <w:b/>
          <w:bCs/>
          <w:iCs/>
        </w:rPr>
        <w:t>about</w:t>
      </w:r>
      <w:r w:rsidRPr="003C1BBA">
        <w:rPr>
          <w:b/>
          <w:bCs/>
          <w:iCs/>
        </w:rPr>
        <w:t xml:space="preserve"> </w:t>
      </w:r>
      <w:r w:rsidR="00BF555A" w:rsidRPr="003C1BBA">
        <w:rPr>
          <w:b/>
          <w:bCs/>
          <w:iCs/>
        </w:rPr>
        <w:t>Democratic Disaffection</w:t>
      </w:r>
      <w:r w:rsidR="00B35BF1" w:rsidRPr="003C1BBA">
        <w:rPr>
          <w:b/>
          <w:bCs/>
          <w:iCs/>
        </w:rPr>
        <w:t>?</w:t>
      </w:r>
    </w:p>
    <w:p w14:paraId="4A2B775F" w14:textId="77777777" w:rsidR="009779DD" w:rsidRPr="003C1BBA" w:rsidRDefault="00962F3D" w:rsidP="00313088">
      <w:pPr>
        <w:spacing w:line="360" w:lineRule="auto"/>
      </w:pPr>
      <w:r w:rsidRPr="003C1BBA">
        <w:t xml:space="preserve">Nearly three decades ago, Richard </w:t>
      </w:r>
      <w:r w:rsidR="00273D6D" w:rsidRPr="003C1BBA">
        <w:t>Fenno commented</w:t>
      </w:r>
      <w:r w:rsidRPr="003C1BBA">
        <w:t xml:space="preserve"> that</w:t>
      </w:r>
      <w:r w:rsidR="00273D6D" w:rsidRPr="003C1BBA">
        <w:t xml:space="preserve"> </w:t>
      </w:r>
      <w:r w:rsidR="00065AF8" w:rsidRPr="003C1BBA">
        <w:t>‘</w:t>
      </w:r>
      <w:r w:rsidR="00273D6D" w:rsidRPr="003C1BBA">
        <w:t>not enough political scientists are presently engaged in observation'</w:t>
      </w:r>
      <w:r w:rsidRPr="003C1BBA">
        <w:t xml:space="preserve"> (1990, 128).</w:t>
      </w:r>
      <w:r w:rsidR="00065AF8" w:rsidRPr="003C1BBA">
        <w:t xml:space="preserve"> </w:t>
      </w:r>
      <w:r w:rsidR="006D36E7" w:rsidRPr="003C1BBA">
        <w:t>Nothing has changed</w:t>
      </w:r>
      <w:r w:rsidRPr="003C1BBA">
        <w:t>. A recent review by</w:t>
      </w:r>
      <w:r w:rsidR="00376185" w:rsidRPr="003C1BBA">
        <w:t xml:space="preserve"> </w:t>
      </w:r>
      <w:r w:rsidR="007B64CC" w:rsidRPr="003C1BBA">
        <w:t>Kaposzewski et al. (2015: 234) conclude</w:t>
      </w:r>
      <w:r w:rsidR="00065AF8" w:rsidRPr="003C1BBA">
        <w:t>d</w:t>
      </w:r>
      <w:r w:rsidR="007B64CC" w:rsidRPr="003C1BBA">
        <w:t xml:space="preserve"> that ‘political science has yet to embrace ethnography and participant observation wholeheartedly’. </w:t>
      </w:r>
      <w:r w:rsidRPr="003C1BBA">
        <w:t xml:space="preserve">Indeed, there is </w:t>
      </w:r>
      <w:r w:rsidR="00273D6D" w:rsidRPr="003C1BBA">
        <w:t>a ‘</w:t>
      </w:r>
      <w:r w:rsidR="00273D6D" w:rsidRPr="003C1BBA">
        <w:rPr>
          <w:i/>
          <w:iCs/>
        </w:rPr>
        <w:t>double absence</w:t>
      </w:r>
      <w:r w:rsidR="00273D6D" w:rsidRPr="003C1BBA">
        <w:t>: of politics in ethnographic literature and of ethnography in the study of politics’ (</w:t>
      </w:r>
      <w:r w:rsidR="00065AF8" w:rsidRPr="003C1BBA">
        <w:t xml:space="preserve">Auyero and Joseph 2007: 2, </w:t>
      </w:r>
      <w:r w:rsidR="00273D6D" w:rsidRPr="003C1BBA">
        <w:t xml:space="preserve">emphasis in the original). </w:t>
      </w:r>
      <w:r w:rsidR="004635ED" w:rsidRPr="003C1BBA">
        <w:t>At the heart of this absence lie key misconceptions</w:t>
      </w:r>
      <w:r w:rsidR="006D36E7" w:rsidRPr="003C1BBA">
        <w:t xml:space="preserve"> </w:t>
      </w:r>
      <w:r w:rsidR="001936D7" w:rsidRPr="003C1BBA">
        <w:t xml:space="preserve">about what ethnography is </w:t>
      </w:r>
      <w:r w:rsidR="004635ED" w:rsidRPr="003C1BBA">
        <w:t>good for. We debunk these persistent myths.</w:t>
      </w:r>
      <w:r w:rsidR="009779DD" w:rsidRPr="003C1BBA">
        <w:t xml:space="preserve"> However, we need to start by defining what we are debunking. </w:t>
      </w:r>
    </w:p>
    <w:p w14:paraId="008F42AB" w14:textId="77777777" w:rsidR="009779DD" w:rsidRPr="003C1BBA" w:rsidRDefault="009779DD" w:rsidP="00313088">
      <w:pPr>
        <w:spacing w:line="360" w:lineRule="auto"/>
      </w:pPr>
    </w:p>
    <w:p w14:paraId="12FD54B8" w14:textId="1DAC2677" w:rsidR="009779DD" w:rsidRPr="003C1BBA" w:rsidRDefault="009779DD" w:rsidP="00313088">
      <w:pPr>
        <w:spacing w:line="360" w:lineRule="auto"/>
        <w:rPr>
          <w:i/>
        </w:rPr>
      </w:pPr>
      <w:r w:rsidRPr="003C1BBA">
        <w:rPr>
          <w:i/>
        </w:rPr>
        <w:t>What is ethnography?</w:t>
      </w:r>
      <w:r w:rsidR="003C1BBA">
        <w:rPr>
          <w:rStyle w:val="EndnoteReference"/>
          <w:i/>
        </w:rPr>
        <w:endnoteReference w:id="1"/>
      </w:r>
      <w:r w:rsidRPr="003C1BBA">
        <w:rPr>
          <w:i/>
        </w:rPr>
        <w:t xml:space="preserve"> </w:t>
      </w:r>
    </w:p>
    <w:p w14:paraId="7930BDA6" w14:textId="77777777" w:rsidR="003C1BBA" w:rsidRDefault="003C1BBA" w:rsidP="00313088">
      <w:pPr>
        <w:spacing w:line="360" w:lineRule="auto"/>
      </w:pPr>
    </w:p>
    <w:p w14:paraId="58679C7C" w14:textId="721D1CFB" w:rsidR="009779DD" w:rsidRPr="003C1BBA" w:rsidRDefault="009779DD" w:rsidP="00313088">
      <w:pPr>
        <w:spacing w:line="360" w:lineRule="auto"/>
      </w:pPr>
      <w:r w:rsidRPr="003C1BBA">
        <w:lastRenderedPageBreak/>
        <w:t xml:space="preserve">For Hammersley and Atkinson (2007: 2), ‘ethnography does not have a standard, well-defined meaning’. Nonetheless, some words and phrases recur. The ethnographer studies people’s everyday lives. Such fieldwork is unstructured. The aim is to recover the meaning of their actions by deep immersion, whether looking at a Congressional district or a government department. Historically, it meant going to another country, learning the language and studying the everyday lives of the inhabitants of a village, tribe, or whatever unit of social organisation had been selected. For the </w:t>
      </w:r>
      <w:r w:rsidR="0099623A">
        <w:t xml:space="preserve">newcomer </w:t>
      </w:r>
      <w:r w:rsidRPr="003C1BBA">
        <w:t xml:space="preserve"> it was the only way to become a cultural anthropologist; ‘you can’t teach fieldwork, you have to do it’. For Wood (2006: 123), it is ‘research based on personal interaction with research subjects in their own setting’, not in the laboratory, the library or one’s office. It is deep hanging out or intensive immersion in the everyday lives of other people in their local environment normally for a substantial </w:t>
      </w:r>
      <w:r w:rsidR="00C44F65" w:rsidRPr="003C1BBA">
        <w:t>period</w:t>
      </w:r>
      <w:r w:rsidRPr="003C1BBA">
        <w:t>.</w:t>
      </w:r>
    </w:p>
    <w:p w14:paraId="19EB217B" w14:textId="77777777" w:rsidR="009779DD" w:rsidRPr="003C1BBA" w:rsidRDefault="009779DD" w:rsidP="00313088">
      <w:pPr>
        <w:spacing w:line="360" w:lineRule="auto"/>
      </w:pPr>
    </w:p>
    <w:p w14:paraId="6C703CC1" w14:textId="76A1F72F" w:rsidR="009779DD" w:rsidRPr="003C1BBA" w:rsidRDefault="009779DD" w:rsidP="00313088">
      <w:pPr>
        <w:spacing w:line="360" w:lineRule="auto"/>
      </w:pPr>
      <w:r w:rsidRPr="003C1BBA">
        <w:t xml:space="preserve">Of course, fieldwork has various pen names such as the ‘thick descriptions’ (Geertz 1973: chapter 1) and ‘the extended case study’ (Aronoff and Kubik (2013: 56-7). </w:t>
      </w:r>
      <w:r w:rsidR="004D0A22">
        <w:t>T</w:t>
      </w:r>
      <w:r w:rsidRPr="003C1BBA">
        <w:t xml:space="preserve">here are affinities with the case studies common in political </w:t>
      </w:r>
      <w:r w:rsidR="00C44F65" w:rsidRPr="003C1BBA">
        <w:t>science, which</w:t>
      </w:r>
      <w:r w:rsidRPr="003C1BBA">
        <w:t xml:space="preserve"> are</w:t>
      </w:r>
      <w:r w:rsidR="0099623A">
        <w:t xml:space="preserve"> also</w:t>
      </w:r>
      <w:r w:rsidRPr="003C1BBA">
        <w:t xml:space="preserve"> in-depth studies of a single unit or event. The method was criticised often for being idiographic and not fostering generalisations. Latterly, political scientists have devoted much effort to assimilating the case method to naturalism and its language of variables and hypothesis testing. For example, Wood analysed five case studies of peasant support for insurgent groups explicitly ‘sacrificing ethnographic depth of analysis for analytical traction through comparison of cases that vary in the extent of mobilisation observed’. It was her way of overcoming ‘the obstacles to making valid causal inferences based on field data’ (Wood 2007: 132 and 142). So, case studies can be simply descriptions of specific subjects but political scientists are enjoined to use them to build theory, to test the validity of specific hypotheses, and to test theories by treating them as the equivalent of decisive experiments (see Eckstein 1975: 92-123; see also Yin 2014</w:t>
      </w:r>
      <w:r w:rsidR="00F54E58" w:rsidRPr="003C1BBA">
        <w:t xml:space="preserve">; Gerring </w:t>
      </w:r>
      <w:r w:rsidR="0011751C" w:rsidRPr="003C1BBA">
        <w:t>2007</w:t>
      </w:r>
      <w:r w:rsidRPr="003C1BBA">
        <w:t>).</w:t>
      </w:r>
    </w:p>
    <w:p w14:paraId="28D7A67C" w14:textId="77777777" w:rsidR="009779DD" w:rsidRPr="003C1BBA" w:rsidRDefault="009779DD" w:rsidP="00313088">
      <w:pPr>
        <w:spacing w:line="360" w:lineRule="auto"/>
      </w:pPr>
    </w:p>
    <w:p w14:paraId="3B1C5C52" w14:textId="68AD6FD2" w:rsidR="00AE778C" w:rsidRDefault="00F54E58" w:rsidP="00313088">
      <w:pPr>
        <w:spacing w:line="360" w:lineRule="auto"/>
        <w:rPr>
          <w:color w:val="000000"/>
        </w:rPr>
      </w:pPr>
      <w:r w:rsidRPr="003C1BBA">
        <w:t xml:space="preserve">While ethnography has affinities with case studies and qualitative research common </w:t>
      </w:r>
      <w:r w:rsidR="002210DB" w:rsidRPr="003C1BBA">
        <w:t>to</w:t>
      </w:r>
      <w:r w:rsidRPr="003C1BBA">
        <w:t xml:space="preserve"> mainstream political science, it is more commonly ass</w:t>
      </w:r>
      <w:r w:rsidR="00442297">
        <w:t>ocia</w:t>
      </w:r>
      <w:r w:rsidRPr="003C1BBA">
        <w:t>ted with an</w:t>
      </w:r>
      <w:r w:rsidR="009779DD" w:rsidRPr="003C1BBA">
        <w:t xml:space="preserve"> interpretive approach </w:t>
      </w:r>
      <w:r w:rsidR="000979D4" w:rsidRPr="003C1BBA">
        <w:t>because it favours</w:t>
      </w:r>
      <w:r w:rsidR="009779DD" w:rsidRPr="003C1BBA">
        <w:t xml:space="preserve"> depth - complex specificity in context – not valid causal inference (see Bevir and Rhodes 2003; Lincoln and Guba 1985</w:t>
      </w:r>
      <w:r w:rsidR="00584831" w:rsidRPr="003C1BBA">
        <w:t>;</w:t>
      </w:r>
      <w:r w:rsidR="00D852B9" w:rsidRPr="003C1BBA">
        <w:t xml:space="preserve"> Wolcott 1995</w:t>
      </w:r>
      <w:r w:rsidR="009779DD" w:rsidRPr="003C1BBA">
        <w:t xml:space="preserve">). </w:t>
      </w:r>
      <w:r w:rsidR="009779DD" w:rsidRPr="003C1BBA">
        <w:lastRenderedPageBreak/>
        <w:t>Anthropologists would not refer to their fieldwork site as a ‘case study’ because it is not a ‘case’ of anything until they withdraw from the field to analyse and write up their field notes. Indeed, interpretive ethnography is less concerned with generalisations than with raising new questions and ‘shaking the bag’. The aim is edification</w:t>
      </w:r>
      <w:r w:rsidR="00C44F65" w:rsidRPr="003C1BBA">
        <w:t xml:space="preserve"> - </w:t>
      </w:r>
      <w:r w:rsidR="009779DD" w:rsidRPr="003C1BBA">
        <w:t>that is, finding 'new, better, more interesting, more fruitful ways of speaking about' politics and government (Rorty 1980: 360).</w:t>
      </w:r>
      <w:r w:rsidR="00C44F65" w:rsidRPr="003C1BBA">
        <w:t xml:space="preserve"> I</w:t>
      </w:r>
      <w:r w:rsidR="009779DD" w:rsidRPr="003C1BBA">
        <w:t>nterpretive ethnography provides detailed studies of social and political dramas</w:t>
      </w:r>
      <w:r w:rsidR="00F5118C">
        <w:t xml:space="preserve"> but it is not limited to the microscopic</w:t>
      </w:r>
      <w:r w:rsidR="009779DD" w:rsidRPr="003C1BBA">
        <w:t xml:space="preserve">. As </w:t>
      </w:r>
      <w:r w:rsidR="007A65A2">
        <w:t xml:space="preserve"> </w:t>
      </w:r>
      <w:r w:rsidR="00370E18">
        <w:t xml:space="preserve">Geertz </w:t>
      </w:r>
      <w:r w:rsidR="00AE778C">
        <w:t xml:space="preserve">1993: 23) suggests, </w:t>
      </w:r>
      <w:r w:rsidR="00F5118C">
        <w:t>‘</w:t>
      </w:r>
      <w:r w:rsidR="00AE778C">
        <w:rPr>
          <w:color w:val="000000"/>
        </w:rPr>
        <w:t>small facts to speak to large issues</w:t>
      </w:r>
      <w:r w:rsidR="00F5118C">
        <w:rPr>
          <w:color w:val="000000"/>
        </w:rPr>
        <w:t>’</w:t>
      </w:r>
      <w:r w:rsidR="007A65A2">
        <w:rPr>
          <w:color w:val="000000"/>
        </w:rPr>
        <w:t xml:space="preserve"> (see also Burawoy 1998: 5)</w:t>
      </w:r>
      <w:r w:rsidR="00AE778C">
        <w:rPr>
          <w:color w:val="000000"/>
        </w:rPr>
        <w:t xml:space="preserve">. </w:t>
      </w:r>
    </w:p>
    <w:p w14:paraId="741AABF3" w14:textId="3ACC1230" w:rsidR="009779DD" w:rsidRPr="003C1BBA" w:rsidRDefault="009779DD" w:rsidP="00313088">
      <w:pPr>
        <w:spacing w:line="360" w:lineRule="auto"/>
      </w:pPr>
    </w:p>
    <w:p w14:paraId="3E437F5D" w14:textId="77777777" w:rsidR="009779DD" w:rsidRPr="003C1BBA" w:rsidRDefault="009779DD" w:rsidP="00313088">
      <w:pPr>
        <w:spacing w:line="360" w:lineRule="auto"/>
      </w:pPr>
    </w:p>
    <w:p w14:paraId="3E79F6D1" w14:textId="5FBF55DA" w:rsidR="009779DD" w:rsidRDefault="000979D4" w:rsidP="00313088">
      <w:pPr>
        <w:spacing w:line="360" w:lineRule="auto"/>
      </w:pPr>
      <w:r w:rsidRPr="003C1BBA">
        <w:t>This division of labour, while common, is also misleading because the popular conception of ethnography as exclusively ‘deep immersion’ has been challenged</w:t>
      </w:r>
      <w:r w:rsidR="009779DD" w:rsidRPr="003C1BBA">
        <w:t xml:space="preserve">. </w:t>
      </w:r>
      <w:r w:rsidR="00584831" w:rsidRPr="003C1BBA">
        <w:t xml:space="preserve">In sociology, </w:t>
      </w:r>
      <w:r w:rsidR="00694005" w:rsidRPr="003C1BBA">
        <w:t>ethnographers</w:t>
      </w:r>
      <w:r w:rsidR="00584831" w:rsidRPr="003C1BBA">
        <w:t xml:space="preserve"> have long practiced </w:t>
      </w:r>
      <w:r w:rsidR="00694005" w:rsidRPr="003C1BBA">
        <w:t>‘</w:t>
      </w:r>
      <w:r w:rsidR="00584831" w:rsidRPr="003C1BBA">
        <w:t>partial immersion</w:t>
      </w:r>
      <w:r w:rsidR="00694005" w:rsidRPr="003C1BBA">
        <w:t>’</w:t>
      </w:r>
      <w:r w:rsidR="00584831" w:rsidRPr="003C1BBA">
        <w:t xml:space="preserve"> (Delamont </w:t>
      </w:r>
      <w:r w:rsidR="00694005" w:rsidRPr="003C1BBA">
        <w:t>2004: 206)</w:t>
      </w:r>
      <w:r w:rsidR="00C60D7E" w:rsidRPr="003C1BBA">
        <w:t>.</w:t>
      </w:r>
      <w:r w:rsidR="00584831" w:rsidRPr="003C1BBA">
        <w:t xml:space="preserve"> </w:t>
      </w:r>
      <w:r w:rsidR="00694005" w:rsidRPr="003C1BBA">
        <w:t xml:space="preserve">In </w:t>
      </w:r>
      <w:r w:rsidRPr="003C1BBA">
        <w:t>the</w:t>
      </w:r>
      <w:r w:rsidR="00694005" w:rsidRPr="003C1BBA">
        <w:t xml:space="preserve"> </w:t>
      </w:r>
      <w:r w:rsidRPr="003C1BBA">
        <w:t>anthropological ‘</w:t>
      </w:r>
      <w:r w:rsidR="009779DD" w:rsidRPr="003C1BBA">
        <w:t>culture wars</w:t>
      </w:r>
      <w:r w:rsidRPr="003C1BBA">
        <w:t>’</w:t>
      </w:r>
      <w:r w:rsidR="009779DD" w:rsidRPr="003C1BBA">
        <w:t xml:space="preserve"> of the 1980s, the contributors to Clifford and Marcus (1984) denied deep hanging out’s claim to ethnographic authority in representing other </w:t>
      </w:r>
      <w:r w:rsidR="00694005" w:rsidRPr="003C1BBA">
        <w:t xml:space="preserve">cultures. </w:t>
      </w:r>
      <w:r w:rsidR="009779DD" w:rsidRPr="003C1BBA">
        <w:t>It was said to produce colonial, gendered and racist texts with a specious claim to objectivity. The</w:t>
      </w:r>
      <w:r w:rsidR="0001185B" w:rsidRPr="003C1BBA">
        <w:t>ir</w:t>
      </w:r>
      <w:r w:rsidR="009779DD" w:rsidRPr="003C1BBA">
        <w:t xml:space="preserve"> aim was to deconstruct all essential concepts such as ‘culture’, and all generalisations. So, we have:</w:t>
      </w:r>
    </w:p>
    <w:p w14:paraId="3BE12777" w14:textId="77777777" w:rsidR="003C1BBA" w:rsidRPr="003C1BBA" w:rsidRDefault="003C1BBA" w:rsidP="00313088">
      <w:pPr>
        <w:spacing w:line="360" w:lineRule="auto"/>
      </w:pPr>
    </w:p>
    <w:p w14:paraId="67FE7635" w14:textId="77777777" w:rsidR="009779DD" w:rsidRPr="003C1BBA" w:rsidRDefault="009779DD" w:rsidP="00313088">
      <w:pPr>
        <w:spacing w:line="360" w:lineRule="auto"/>
        <w:ind w:left="720"/>
      </w:pPr>
      <w:r w:rsidRPr="003C1BBA">
        <w:t>‘a trend towards the specification of discourses in ethnography: who speaks? who writes? when and where? with or to whom under what institutional or historical constraints? (Clifford 1984: 13)</w:t>
      </w:r>
    </w:p>
    <w:p w14:paraId="47B3D56C" w14:textId="77777777" w:rsidR="003C1BBA" w:rsidRDefault="003C1BBA" w:rsidP="00313088">
      <w:pPr>
        <w:spacing w:line="360" w:lineRule="auto"/>
      </w:pPr>
    </w:p>
    <w:p w14:paraId="2809B7A1" w14:textId="46703019" w:rsidR="009779DD" w:rsidRPr="003C1BBA" w:rsidRDefault="009779DD" w:rsidP="00313088">
      <w:pPr>
        <w:spacing w:line="360" w:lineRule="auto"/>
      </w:pPr>
      <w:r w:rsidRPr="003C1BBA">
        <w:t>The classic imm</w:t>
      </w:r>
      <w:r w:rsidR="0001185B" w:rsidRPr="003C1BBA">
        <w:t>ersive study was challenged by ‘</w:t>
      </w:r>
      <w:r w:rsidRPr="003C1BBA">
        <w:t xml:space="preserve">hit-and-run ethnography’ (Geertz 2001: chapter 5). </w:t>
      </w:r>
      <w:r w:rsidR="00C44F65" w:rsidRPr="003C1BBA">
        <w:t>W</w:t>
      </w:r>
      <w:r w:rsidRPr="003C1BBA">
        <w:t>e ‘study through’ by conducting ‘yo-yo-research’ in ‘contact zones’ and multi-local sites. ‘Studying through’ refers to following events such as making a policy through the ‘webs and relations between actors, institutions and discourses across time and space’ (Shore and Wright 1997: 14). ‘Yo-Yo research’ refers to both regular movement in and out of the field and to participant observation in many local sites (Wulff 2002</w:t>
      </w:r>
      <w:r w:rsidR="0001185B" w:rsidRPr="003C1BBA">
        <w:t>; Marcus 1995</w:t>
      </w:r>
      <w:r w:rsidRPr="003C1BBA">
        <w:t xml:space="preserve">). A ‘contact zone’ is the </w:t>
      </w:r>
      <w:r w:rsidR="00442297">
        <w:t>‘</w:t>
      </w:r>
      <w:r w:rsidRPr="003C1BBA">
        <w:t>space</w:t>
      </w:r>
      <w:r w:rsidR="00442297">
        <w:t>’</w:t>
      </w:r>
      <w:r w:rsidRPr="003C1BBA">
        <w:t xml:space="preserve">, such as </w:t>
      </w:r>
      <w:r w:rsidR="004D0A22">
        <w:t>‘</w:t>
      </w:r>
      <w:r w:rsidRPr="003C1BBA">
        <w:t>a museum, in which peoples geographically and historically separated come into contact with each other and establish ongoing relations’, usually characterised by inequality and conflict (Clifford 1997: 6-7). Marcus (2007</w:t>
      </w:r>
      <w:r w:rsidR="0001185B" w:rsidRPr="003C1BBA">
        <w:t>a</w:t>
      </w:r>
      <w:r w:rsidRPr="003C1BBA">
        <w:t xml:space="preserve">) describes the current </w:t>
      </w:r>
      <w:r w:rsidRPr="003C1BBA">
        <w:lastRenderedPageBreak/>
        <w:t>practices of ethnography as ‘baroque’</w:t>
      </w:r>
      <w:r w:rsidR="00694005" w:rsidRPr="003C1BBA">
        <w:t xml:space="preserve"> as even partial immersion becomes </w:t>
      </w:r>
      <w:r w:rsidR="00AD37F4" w:rsidRPr="003C1BBA">
        <w:t>dispersed over several sites</w:t>
      </w:r>
      <w:r w:rsidR="00694005" w:rsidRPr="003C1BBA">
        <w:t>.</w:t>
      </w:r>
    </w:p>
    <w:p w14:paraId="17D6764E" w14:textId="77777777" w:rsidR="009779DD" w:rsidRPr="003C1BBA" w:rsidRDefault="009779DD" w:rsidP="00313088">
      <w:pPr>
        <w:spacing w:line="360" w:lineRule="auto"/>
      </w:pPr>
    </w:p>
    <w:p w14:paraId="19854782" w14:textId="5789A033" w:rsidR="009779DD" w:rsidRPr="003C1BBA" w:rsidRDefault="000979D4" w:rsidP="00313088">
      <w:pPr>
        <w:spacing w:line="360" w:lineRule="auto"/>
      </w:pPr>
      <w:r w:rsidRPr="003C1BBA">
        <w:t>To be clear, we are not dismissing the value of an immersive approach to ethnography</w:t>
      </w:r>
      <w:r w:rsidR="004D0A22">
        <w:t>. R</w:t>
      </w:r>
      <w:r w:rsidRPr="003C1BBA">
        <w:t xml:space="preserve">ather we raise this point to illustrate that there is a menu of ethnographic choices, and that some are more suited to </w:t>
      </w:r>
      <w:r w:rsidR="009779DD" w:rsidRPr="003C1BBA">
        <w:t>studying elites</w:t>
      </w:r>
      <w:r w:rsidRPr="003C1BBA">
        <w:t xml:space="preserve"> than others</w:t>
      </w:r>
      <w:r w:rsidR="009779DD" w:rsidRPr="003C1BBA">
        <w:t xml:space="preserve">. Elite ethnography is difficult and poses many challenges. We attempt to enter a closed and secretive world, a hidden world, occupied by people who are more powerful than the researcher. Observing governing elites at work is the preferred research </w:t>
      </w:r>
      <w:r w:rsidR="00D07D87" w:rsidRPr="003C1BBA">
        <w:t>method</w:t>
      </w:r>
      <w:r w:rsidR="009779DD" w:rsidRPr="003C1BBA">
        <w:t xml:space="preserve"> but we know from bitter experience that requests for such access can be denied. </w:t>
      </w:r>
      <w:r w:rsidR="0001185B" w:rsidRPr="003C1BBA">
        <w:t>We have to find other ways of ‘being there’</w:t>
      </w:r>
      <w:r w:rsidR="008B351E" w:rsidRPr="003C1BBA">
        <w:t xml:space="preserve"> (see also Nader 1972: 306-7)</w:t>
      </w:r>
      <w:r w:rsidR="004D0A22">
        <w:t>.</w:t>
      </w:r>
      <w:r w:rsidR="009779DD" w:rsidRPr="003C1BBA">
        <w:t xml:space="preserve">For example, focus groups </w:t>
      </w:r>
      <w:r w:rsidR="0001185B" w:rsidRPr="003C1BBA">
        <w:t>can give</w:t>
      </w:r>
      <w:r w:rsidR="009779DD" w:rsidRPr="003C1BBA">
        <w:t xml:space="preserve"> access to a group of elite actors</w:t>
      </w:r>
      <w:r w:rsidR="008B351E" w:rsidRPr="003C1BBA">
        <w:t>. We can</w:t>
      </w:r>
      <w:r w:rsidR="00D852B9" w:rsidRPr="003C1BBA">
        <w:t xml:space="preserve"> </w:t>
      </w:r>
      <w:r w:rsidR="009779DD" w:rsidRPr="003C1BBA">
        <w:t xml:space="preserve">observe them in action when observation is not possible at the workplace, especially when the relevant individuals are no longer in office. They are another way of ‘being there’ and </w:t>
      </w:r>
      <w:r w:rsidR="00C44F65" w:rsidRPr="003C1BBA">
        <w:t>sidestepping</w:t>
      </w:r>
      <w:r w:rsidR="009779DD" w:rsidRPr="003C1BBA">
        <w:t xml:space="preserve"> the problems of access and secrecy (see Rhodes and Tiernan 2014). </w:t>
      </w:r>
    </w:p>
    <w:p w14:paraId="29151068" w14:textId="77777777" w:rsidR="009779DD" w:rsidRPr="003C1BBA" w:rsidRDefault="009779DD" w:rsidP="00313088">
      <w:pPr>
        <w:pStyle w:val="CommentText"/>
        <w:spacing w:line="360" w:lineRule="auto"/>
        <w:rPr>
          <w:rFonts w:ascii="Times New Roman" w:hAnsi="Times New Roman" w:cs="Times New Roman"/>
        </w:rPr>
      </w:pPr>
    </w:p>
    <w:p w14:paraId="282338E1" w14:textId="3A639916" w:rsidR="009779DD" w:rsidRPr="003C1BBA" w:rsidRDefault="009779DD" w:rsidP="00313088">
      <w:pPr>
        <w:pStyle w:val="CommentText"/>
        <w:spacing w:line="360" w:lineRule="auto"/>
        <w:rPr>
          <w:rFonts w:ascii="Times New Roman" w:hAnsi="Times New Roman" w:cs="Times New Roman"/>
        </w:rPr>
      </w:pPr>
      <w:r w:rsidRPr="003C1BBA">
        <w:rPr>
          <w:rFonts w:ascii="Times New Roman" w:hAnsi="Times New Roman" w:cs="Times New Roman"/>
        </w:rPr>
        <w:t>That said, the several ways of ‘being there’ are not stand-alone methods.</w:t>
      </w:r>
      <w:r w:rsidR="00C44F65" w:rsidRPr="003C1BBA">
        <w:rPr>
          <w:rFonts w:ascii="Times New Roman" w:hAnsi="Times New Roman" w:cs="Times New Roman"/>
        </w:rPr>
        <w:t xml:space="preserve"> I</w:t>
      </w:r>
      <w:r w:rsidRPr="003C1BBA">
        <w:rPr>
          <w:rFonts w:ascii="Times New Roman" w:hAnsi="Times New Roman" w:cs="Times New Roman"/>
        </w:rPr>
        <w:t>deally, we would supplement each method with shadowing. Most important, the data generated by focus groups and othe</w:t>
      </w:r>
      <w:r w:rsidR="00517FA0" w:rsidRPr="003C1BBA">
        <w:rPr>
          <w:rFonts w:ascii="Times New Roman" w:hAnsi="Times New Roman" w:cs="Times New Roman"/>
        </w:rPr>
        <w:t>r</w:t>
      </w:r>
      <w:r w:rsidRPr="003C1BBA">
        <w:rPr>
          <w:rFonts w:ascii="Times New Roman" w:hAnsi="Times New Roman" w:cs="Times New Roman"/>
        </w:rPr>
        <w:t xml:space="preserve"> methods require an ‘ethnographic sensibility’ for interpreting the conversations (Agar and McDonald 1995</w:t>
      </w:r>
      <w:r w:rsidR="00C60D7E" w:rsidRPr="003C1BBA">
        <w:rPr>
          <w:rFonts w:ascii="Times New Roman" w:hAnsi="Times New Roman" w:cs="Times New Roman"/>
        </w:rPr>
        <w:t>; Schatz 2009</w:t>
      </w:r>
      <w:r w:rsidRPr="003C1BBA">
        <w:rPr>
          <w:rFonts w:ascii="Times New Roman" w:hAnsi="Times New Roman" w:cs="Times New Roman"/>
        </w:rPr>
        <w:t xml:space="preserve">). </w:t>
      </w:r>
      <w:r w:rsidR="00737120" w:rsidRPr="003C1BBA">
        <w:rPr>
          <w:rFonts w:ascii="Times New Roman" w:hAnsi="Times New Roman" w:cs="Times New Roman"/>
        </w:rPr>
        <w:t>The various e</w:t>
      </w:r>
      <w:r w:rsidRPr="003C1BBA">
        <w:rPr>
          <w:rFonts w:ascii="Times New Roman" w:hAnsi="Times New Roman" w:cs="Times New Roman"/>
        </w:rPr>
        <w:t>thnograph</w:t>
      </w:r>
      <w:r w:rsidR="00750F58" w:rsidRPr="003C1BBA">
        <w:rPr>
          <w:rFonts w:ascii="Times New Roman" w:hAnsi="Times New Roman" w:cs="Times New Roman"/>
        </w:rPr>
        <w:t>ic</w:t>
      </w:r>
      <w:r w:rsidR="00737120" w:rsidRPr="003C1BBA">
        <w:rPr>
          <w:rFonts w:ascii="Times New Roman" w:hAnsi="Times New Roman" w:cs="Times New Roman"/>
        </w:rPr>
        <w:t xml:space="preserve"> methods suggested in Table 1</w:t>
      </w:r>
      <w:r w:rsidRPr="003C1BBA">
        <w:rPr>
          <w:rFonts w:ascii="Times New Roman" w:hAnsi="Times New Roman" w:cs="Times New Roman"/>
        </w:rPr>
        <w:t xml:space="preserve"> </w:t>
      </w:r>
      <w:r w:rsidR="00737120" w:rsidRPr="003C1BBA">
        <w:rPr>
          <w:rFonts w:ascii="Times New Roman" w:hAnsi="Times New Roman" w:cs="Times New Roman"/>
        </w:rPr>
        <w:t xml:space="preserve">are </w:t>
      </w:r>
      <w:r w:rsidRPr="003C1BBA">
        <w:rPr>
          <w:rFonts w:ascii="Times New Roman" w:hAnsi="Times New Roman" w:cs="Times New Roman"/>
        </w:rPr>
        <w:t xml:space="preserve">still about recovering meaning and locating that meaning in its broader context. So, focus groups are an ethnographic </w:t>
      </w:r>
      <w:r w:rsidR="00D07D87" w:rsidRPr="003C1BBA">
        <w:rPr>
          <w:rFonts w:ascii="Times New Roman" w:hAnsi="Times New Roman" w:cs="Times New Roman"/>
        </w:rPr>
        <w:t>method</w:t>
      </w:r>
      <w:r w:rsidRPr="003C1BBA">
        <w:rPr>
          <w:rFonts w:ascii="Times New Roman" w:hAnsi="Times New Roman" w:cs="Times New Roman"/>
        </w:rPr>
        <w:t xml:space="preserve"> because ethnography is now a diverse set of practices linked not by a shared method - participant observation - but by a shared focus on the recovery of meaning</w:t>
      </w:r>
      <w:r w:rsidR="00737120" w:rsidRPr="003C1BBA">
        <w:rPr>
          <w:rFonts w:ascii="Times New Roman" w:hAnsi="Times New Roman" w:cs="Times New Roman"/>
        </w:rPr>
        <w:t xml:space="preserve"> – the ethnographic sensibility (see also Katz 2009: 5)</w:t>
      </w:r>
      <w:r w:rsidR="00AA64D8" w:rsidRPr="003C1BBA">
        <w:rPr>
          <w:rFonts w:ascii="Times New Roman" w:hAnsi="Times New Roman" w:cs="Times New Roman"/>
        </w:rPr>
        <w:t>.</w:t>
      </w:r>
    </w:p>
    <w:p w14:paraId="6A49D412" w14:textId="77777777" w:rsidR="009779DD" w:rsidRPr="003C1BBA" w:rsidRDefault="009779DD" w:rsidP="00313088">
      <w:pPr>
        <w:pStyle w:val="CommentText"/>
        <w:spacing w:line="360" w:lineRule="auto"/>
        <w:rPr>
          <w:rFonts w:ascii="Times New Roman" w:hAnsi="Times New Roman" w:cs="Times New Roman"/>
          <w:color w:val="000000" w:themeColor="text1"/>
        </w:rPr>
      </w:pPr>
    </w:p>
    <w:p w14:paraId="75D5BBDD" w14:textId="679C36A9" w:rsidR="00AA64D8" w:rsidRPr="000D47AC" w:rsidRDefault="00FF2548" w:rsidP="00313088">
      <w:pPr>
        <w:pStyle w:val="CommentText"/>
        <w:spacing w:line="360" w:lineRule="auto"/>
        <w:rPr>
          <w:rFonts w:ascii="Times New Roman" w:hAnsi="Times New Roman" w:cs="Times New Roman"/>
        </w:rPr>
      </w:pPr>
      <w:r w:rsidRPr="003C1BBA">
        <w:rPr>
          <w:rFonts w:ascii="Times New Roman" w:hAnsi="Times New Roman" w:cs="Times New Roman"/>
          <w:color w:val="000000" w:themeColor="text1"/>
        </w:rPr>
        <w:t>Dichotomies mislead. They can become straitjackets. W</w:t>
      </w:r>
      <w:r w:rsidR="009779DD" w:rsidRPr="003C1BBA">
        <w:rPr>
          <w:rFonts w:ascii="Times New Roman" w:hAnsi="Times New Roman" w:cs="Times New Roman"/>
          <w:color w:val="000000" w:themeColor="text1"/>
        </w:rPr>
        <w:t xml:space="preserve">e do not see deep hanging out and hit-and-run fieldwork as mutually exclusive. </w:t>
      </w:r>
      <w:r w:rsidR="00732B32" w:rsidRPr="003C1BBA">
        <w:rPr>
          <w:rFonts w:ascii="Times New Roman" w:hAnsi="Times New Roman" w:cs="Times New Roman"/>
          <w:color w:val="000000" w:themeColor="text1"/>
        </w:rPr>
        <w:t xml:space="preserve">We incline to Fox’s (2004: 4) practical and pragmatic assessment of deep hanging out; it is a ‘rather uneasy combination of involvement and detachment’ but it ‘is still the best method we have for exploring the complexities of human cultures, so it will have to do’. It may be the best method but it is not the only one. </w:t>
      </w:r>
      <w:r w:rsidR="00732B32" w:rsidRPr="003C1BBA">
        <w:rPr>
          <w:rFonts w:ascii="Times New Roman" w:hAnsi="Times New Roman" w:cs="Times New Roman"/>
        </w:rPr>
        <w:t>We prefer to talk of</w:t>
      </w:r>
      <w:r w:rsidR="009779DD" w:rsidRPr="003C1BBA">
        <w:rPr>
          <w:rFonts w:ascii="Times New Roman" w:hAnsi="Times New Roman" w:cs="Times New Roman"/>
        </w:rPr>
        <w:t xml:space="preserve"> ‘bricolage’</w:t>
      </w:r>
      <w:r w:rsidRPr="003C1BBA">
        <w:rPr>
          <w:rFonts w:ascii="Times New Roman" w:hAnsi="Times New Roman" w:cs="Times New Roman"/>
        </w:rPr>
        <w:t xml:space="preserve"> - </w:t>
      </w:r>
      <w:r w:rsidR="009779DD" w:rsidRPr="003C1BBA">
        <w:rPr>
          <w:rFonts w:ascii="Times New Roman" w:hAnsi="Times New Roman" w:cs="Times New Roman"/>
        </w:rPr>
        <w:t>that is, construct</w:t>
      </w:r>
      <w:r w:rsidRPr="003C1BBA">
        <w:rPr>
          <w:rFonts w:ascii="Times New Roman" w:hAnsi="Times New Roman" w:cs="Times New Roman"/>
        </w:rPr>
        <w:t>ing</w:t>
      </w:r>
      <w:r w:rsidR="009779DD" w:rsidRPr="003C1BBA">
        <w:rPr>
          <w:rFonts w:ascii="Times New Roman" w:hAnsi="Times New Roman" w:cs="Times New Roman"/>
        </w:rPr>
        <w:t xml:space="preserve"> research from diverse </w:t>
      </w:r>
      <w:r w:rsidR="00D07D87" w:rsidRPr="003C1BBA">
        <w:rPr>
          <w:rFonts w:ascii="Times New Roman" w:hAnsi="Times New Roman" w:cs="Times New Roman"/>
        </w:rPr>
        <w:t>methods</w:t>
      </w:r>
      <w:r w:rsidR="009779DD" w:rsidRPr="003C1BBA">
        <w:rPr>
          <w:rFonts w:ascii="Times New Roman" w:hAnsi="Times New Roman" w:cs="Times New Roman"/>
        </w:rPr>
        <w:t xml:space="preserve"> and materials (Denzin and Lincoln 2011: </w:t>
      </w:r>
      <w:r w:rsidR="009779DD" w:rsidRPr="003C1BBA">
        <w:rPr>
          <w:rFonts w:ascii="Times New Roman" w:hAnsi="Times New Roman" w:cs="Times New Roman"/>
        </w:rPr>
        <w:lastRenderedPageBreak/>
        <w:t>4; and Table 1 below)</w:t>
      </w:r>
      <w:r w:rsidRPr="003C1BBA">
        <w:rPr>
          <w:rFonts w:ascii="Times New Roman" w:hAnsi="Times New Roman" w:cs="Times New Roman"/>
        </w:rPr>
        <w:t xml:space="preserve"> -</w:t>
      </w:r>
      <w:r w:rsidR="009779DD" w:rsidRPr="003C1BBA">
        <w:rPr>
          <w:rFonts w:ascii="Times New Roman" w:hAnsi="Times New Roman" w:cs="Times New Roman"/>
        </w:rPr>
        <w:t xml:space="preserve"> and bring</w:t>
      </w:r>
      <w:r w:rsidR="000E19B0" w:rsidRPr="003C1BBA">
        <w:rPr>
          <w:rFonts w:ascii="Times New Roman" w:hAnsi="Times New Roman" w:cs="Times New Roman"/>
        </w:rPr>
        <w:t>ing</w:t>
      </w:r>
      <w:r w:rsidR="009779DD" w:rsidRPr="003C1BBA">
        <w:rPr>
          <w:rFonts w:ascii="Times New Roman" w:hAnsi="Times New Roman" w:cs="Times New Roman"/>
        </w:rPr>
        <w:t xml:space="preserve"> an ‘ethnographic sensibility’ to bear on the data, however collected</w:t>
      </w:r>
      <w:r w:rsidR="00737120" w:rsidRPr="003C1BBA">
        <w:rPr>
          <w:rFonts w:ascii="Times New Roman" w:hAnsi="Times New Roman" w:cs="Times New Roman"/>
        </w:rPr>
        <w:t>.</w:t>
      </w:r>
    </w:p>
    <w:p w14:paraId="733D35BF" w14:textId="00C4B319" w:rsidR="000A4F7D" w:rsidRPr="000D47AC" w:rsidRDefault="000A4F7D" w:rsidP="00313088">
      <w:pPr>
        <w:spacing w:line="360" w:lineRule="auto"/>
      </w:pPr>
    </w:p>
    <w:p w14:paraId="31503E1E" w14:textId="61F0800D" w:rsidR="00517FA0" w:rsidRPr="005D48BB" w:rsidRDefault="000A4F7D" w:rsidP="00313088">
      <w:pPr>
        <w:spacing w:line="360" w:lineRule="auto"/>
        <w:outlineLvl w:val="0"/>
        <w:rPr>
          <w:b/>
        </w:rPr>
      </w:pPr>
      <w:r w:rsidRPr="004D0A22">
        <w:t>There is</w:t>
      </w:r>
      <w:r w:rsidR="00FD4685" w:rsidRPr="004D0A22">
        <w:t xml:space="preserve"> an elephant in our ethnographic </w:t>
      </w:r>
      <w:r w:rsidRPr="004D0A22">
        <w:t>room – how short can a fieldwork trip be and</w:t>
      </w:r>
      <w:r w:rsidRPr="000D47AC">
        <w:t xml:space="preserve"> still count as ethnography? How long do you need to be there to tell a wink from a blink (Geertz 1973: </w:t>
      </w:r>
      <w:r w:rsidR="00694005" w:rsidRPr="000D47AC">
        <w:t>6-7</w:t>
      </w:r>
      <w:r w:rsidRPr="000D47AC">
        <w:t>)</w:t>
      </w:r>
      <w:r w:rsidR="00FF2548" w:rsidRPr="000D47AC">
        <w:t>?</w:t>
      </w:r>
      <w:r w:rsidRPr="000D47AC">
        <w:t xml:space="preserve"> </w:t>
      </w:r>
      <w:r w:rsidR="005D48BB">
        <w:t xml:space="preserve"> </w:t>
      </w:r>
      <w:r w:rsidR="0001185B" w:rsidRPr="000D47AC">
        <w:t xml:space="preserve">Marcus (2007b) </w:t>
      </w:r>
      <w:r w:rsidR="00517FA0" w:rsidRPr="000D47AC">
        <w:t>sees lengthy fieldwork stays as a ‘variable comp</w:t>
      </w:r>
      <w:r w:rsidR="00694005" w:rsidRPr="000D47AC">
        <w:t>on</w:t>
      </w:r>
      <w:r w:rsidR="00517FA0" w:rsidRPr="000D47AC">
        <w:t xml:space="preserve">ent’ in any research project. </w:t>
      </w:r>
      <w:r w:rsidR="00FF2548" w:rsidRPr="000D47AC">
        <w:t>In our experience, t</w:t>
      </w:r>
      <w:r w:rsidR="00517FA0" w:rsidRPr="000D47AC">
        <w:t xml:space="preserve">here is no magic number for how long you should spend in the field. There is no magic number </w:t>
      </w:r>
      <w:r w:rsidR="00FF2548" w:rsidRPr="003C1BBA">
        <w:t>of</w:t>
      </w:r>
      <w:r w:rsidR="00517FA0" w:rsidRPr="003C1BBA">
        <w:t xml:space="preserve"> interviews </w:t>
      </w:r>
      <w:r w:rsidR="00FF2548" w:rsidRPr="003C1BBA">
        <w:t>to</w:t>
      </w:r>
      <w:r w:rsidR="00517FA0" w:rsidRPr="003C1BBA">
        <w:t xml:space="preserve"> conduct or documents </w:t>
      </w:r>
      <w:r w:rsidR="00FF2548" w:rsidRPr="003C1BBA">
        <w:t>to</w:t>
      </w:r>
      <w:r w:rsidR="00517FA0" w:rsidRPr="0050207E">
        <w:t xml:space="preserve"> read</w:t>
      </w:r>
      <w:r w:rsidR="00FF2548" w:rsidRPr="0050207E">
        <w:t xml:space="preserve"> (Corbett 2015</w:t>
      </w:r>
      <w:r w:rsidR="004D0A22">
        <w:t xml:space="preserve">; see also </w:t>
      </w:r>
      <w:r w:rsidR="007A65A2">
        <w:t>Small 2009</w:t>
      </w:r>
      <w:r w:rsidR="00FF2548" w:rsidRPr="0050207E">
        <w:t>)</w:t>
      </w:r>
      <w:r w:rsidR="00517FA0" w:rsidRPr="0050207E">
        <w:t xml:space="preserve">. Most importantly, </w:t>
      </w:r>
      <w:r w:rsidR="00694005" w:rsidRPr="0050207E">
        <w:t>‘</w:t>
      </w:r>
      <w:r w:rsidR="00517FA0" w:rsidRPr="0050207E">
        <w:t>more</w:t>
      </w:r>
      <w:r w:rsidR="00694005" w:rsidRPr="0050207E">
        <w:t>’</w:t>
      </w:r>
      <w:r w:rsidR="00517FA0" w:rsidRPr="0050207E">
        <w:t xml:space="preserve"> is manifestly not always </w:t>
      </w:r>
      <w:r w:rsidR="00694005" w:rsidRPr="0050207E">
        <w:t>‘</w:t>
      </w:r>
      <w:r w:rsidR="00517FA0" w:rsidRPr="00F55C69">
        <w:t>better</w:t>
      </w:r>
      <w:r w:rsidR="00694005" w:rsidRPr="00550DF5">
        <w:t>’</w:t>
      </w:r>
      <w:r w:rsidR="00517FA0" w:rsidRPr="00550DF5">
        <w:t xml:space="preserve">. Indeed, more </w:t>
      </w:r>
      <w:r w:rsidR="00694005" w:rsidRPr="00166E08">
        <w:t xml:space="preserve">data </w:t>
      </w:r>
      <w:r w:rsidR="00517FA0" w:rsidRPr="00166E08">
        <w:t xml:space="preserve">exacerbates the </w:t>
      </w:r>
      <w:r w:rsidR="00FF2548" w:rsidRPr="00166E08">
        <w:t xml:space="preserve">problem of seeing the </w:t>
      </w:r>
      <w:r w:rsidR="00517FA0" w:rsidRPr="00370E18">
        <w:t xml:space="preserve">wood </w:t>
      </w:r>
      <w:r w:rsidR="00FF2548" w:rsidRPr="00370E18">
        <w:t>for</w:t>
      </w:r>
      <w:r w:rsidR="00517FA0" w:rsidRPr="00370E18">
        <w:t xml:space="preserve"> the trees </w:t>
      </w:r>
      <w:r w:rsidR="00694005" w:rsidRPr="00370E18">
        <w:t>rather than</w:t>
      </w:r>
      <w:r w:rsidR="00517FA0" w:rsidRPr="005D48BB">
        <w:t xml:space="preserve"> lead</w:t>
      </w:r>
      <w:r w:rsidR="00694005" w:rsidRPr="005D48BB">
        <w:t>ing</w:t>
      </w:r>
      <w:r w:rsidR="00517FA0" w:rsidRPr="005D48BB">
        <w:t xml:space="preserve"> to richer and deeper insights. ‘More is better’ is an impossible standard</w:t>
      </w:r>
      <w:r w:rsidR="00096D4C" w:rsidRPr="005D48BB">
        <w:t xml:space="preserve"> that can never be met. </w:t>
      </w:r>
      <w:r w:rsidR="00517FA0" w:rsidRPr="005D48BB">
        <w:t>Our rule of thumb is</w:t>
      </w:r>
      <w:r w:rsidR="00FF2548" w:rsidRPr="005D48BB">
        <w:t xml:space="preserve"> to </w:t>
      </w:r>
      <w:r w:rsidR="00517FA0" w:rsidRPr="005D48BB">
        <w:t xml:space="preserve">yo-yo in and out of field sites until you have stopped </w:t>
      </w:r>
      <w:r w:rsidR="00096D4C" w:rsidRPr="005D48BB">
        <w:t>recording interesting</w:t>
      </w:r>
      <w:r w:rsidR="00517FA0" w:rsidRPr="005D48BB">
        <w:t xml:space="preserve"> </w:t>
      </w:r>
      <w:r w:rsidR="00096D4C" w:rsidRPr="005D48BB">
        <w:t xml:space="preserve">data – when it becomes repetitive and you think you can answer your research questions. </w:t>
      </w:r>
      <w:r w:rsidR="00737120" w:rsidRPr="005D48BB">
        <w:t>It is a judgement by the researcher. Ther</w:t>
      </w:r>
      <w:r w:rsidR="00096D4C" w:rsidRPr="005D48BB">
        <w:t>e</w:t>
      </w:r>
      <w:r w:rsidR="00737120" w:rsidRPr="005D48BB">
        <w:t xml:space="preserve"> are no hard and fast rules. </w:t>
      </w:r>
      <w:r w:rsidR="00FF2548" w:rsidRPr="005D48BB">
        <w:t xml:space="preserve">As Marcus (2007a) says, incompleteness is the norm. </w:t>
      </w:r>
    </w:p>
    <w:p w14:paraId="0F1E56A8" w14:textId="77777777" w:rsidR="000A4F7D" w:rsidRPr="000D47AC" w:rsidRDefault="000A4F7D" w:rsidP="00313088">
      <w:pPr>
        <w:spacing w:line="360" w:lineRule="auto"/>
      </w:pPr>
    </w:p>
    <w:p w14:paraId="2D59A98E" w14:textId="75212A15" w:rsidR="009779DD" w:rsidRPr="000D47AC" w:rsidRDefault="00FF2548" w:rsidP="00313088">
      <w:pPr>
        <w:spacing w:line="360" w:lineRule="auto"/>
      </w:pPr>
      <w:r w:rsidRPr="000D47AC">
        <w:t xml:space="preserve">In </w:t>
      </w:r>
      <w:r w:rsidR="009B2C95" w:rsidRPr="000D47AC">
        <w:t>sum</w:t>
      </w:r>
      <w:r w:rsidRPr="000D47AC">
        <w:t>, o</w:t>
      </w:r>
      <w:r w:rsidR="00FD4685" w:rsidRPr="000D47AC">
        <w:t>ur</w:t>
      </w:r>
      <w:r w:rsidR="009779DD" w:rsidRPr="000D47AC">
        <w:t xml:space="preserve"> conception of ethnography is broad and eclectic</w:t>
      </w:r>
      <w:r w:rsidR="00AC618A" w:rsidRPr="000D47AC">
        <w:t xml:space="preserve"> </w:t>
      </w:r>
      <w:r w:rsidR="00FD4685" w:rsidRPr="000D47AC">
        <w:t>(</w:t>
      </w:r>
      <w:r w:rsidR="00AC618A" w:rsidRPr="000D47AC">
        <w:t>and for a more detailed account see Rhodes 2017: chapters 3-5)</w:t>
      </w:r>
      <w:r w:rsidR="009779DD" w:rsidRPr="000D47AC">
        <w:t xml:space="preserve">. </w:t>
      </w:r>
      <w:r w:rsidRPr="000D47AC">
        <w:t>The ethnographer is a bricoleur</w:t>
      </w:r>
      <w:r w:rsidR="00750F58" w:rsidRPr="000D47AC">
        <w:t xml:space="preserve"> with an ethnographic sensibility</w:t>
      </w:r>
      <w:r w:rsidRPr="000D47AC">
        <w:t xml:space="preserve">. </w:t>
      </w:r>
      <w:r w:rsidR="009779DD" w:rsidRPr="000D47AC">
        <w:t xml:space="preserve">We now bring </w:t>
      </w:r>
      <w:r w:rsidRPr="000D47AC">
        <w:t>this</w:t>
      </w:r>
      <w:r w:rsidR="009779DD" w:rsidRPr="000D47AC">
        <w:t xml:space="preserve"> perspective to bear on conventional understandings of the field. </w:t>
      </w:r>
    </w:p>
    <w:p w14:paraId="261CF381" w14:textId="77777777" w:rsidR="00D852B9" w:rsidRPr="000D47AC" w:rsidRDefault="00D852B9" w:rsidP="00313088">
      <w:pPr>
        <w:spacing w:line="360" w:lineRule="auto"/>
      </w:pPr>
    </w:p>
    <w:p w14:paraId="3582E341" w14:textId="123A341B" w:rsidR="004635ED" w:rsidRPr="000D47AC" w:rsidRDefault="004635ED" w:rsidP="00313088">
      <w:pPr>
        <w:spacing w:after="240" w:line="360" w:lineRule="auto"/>
        <w:rPr>
          <w:i/>
          <w:iCs/>
        </w:rPr>
      </w:pPr>
      <w:r w:rsidRPr="000D47AC">
        <w:rPr>
          <w:i/>
          <w:iCs/>
        </w:rPr>
        <w:t>Myth 1: Ethno</w:t>
      </w:r>
      <w:r w:rsidR="006E629E" w:rsidRPr="000D47AC">
        <w:rPr>
          <w:i/>
          <w:iCs/>
        </w:rPr>
        <w:t>graphy is only for the exotic</w:t>
      </w:r>
    </w:p>
    <w:p w14:paraId="7CB47490" w14:textId="7EAAAE63" w:rsidR="00962F3D" w:rsidRPr="000D47AC" w:rsidRDefault="006946A3" w:rsidP="00313088">
      <w:pPr>
        <w:spacing w:after="240" w:line="360" w:lineRule="auto"/>
      </w:pPr>
      <w:r w:rsidRPr="000D47AC">
        <w:t>If</w:t>
      </w:r>
      <w:r w:rsidR="004635ED" w:rsidRPr="000D47AC">
        <w:t xml:space="preserve"> ethnographic approaches are valued in political science</w:t>
      </w:r>
      <w:r w:rsidR="008B1619" w:rsidRPr="000D47AC">
        <w:t xml:space="preserve">, it is for their capacity to </w:t>
      </w:r>
      <w:r w:rsidRPr="000D47AC">
        <w:t>illuminate</w:t>
      </w:r>
      <w:r w:rsidR="008B1619" w:rsidRPr="000D47AC">
        <w:t xml:space="preserve"> </w:t>
      </w:r>
      <w:r w:rsidRPr="000D47AC">
        <w:t>features</w:t>
      </w:r>
      <w:r w:rsidR="004635ED" w:rsidRPr="000D47AC">
        <w:t xml:space="preserve"> of politics that mainstream approaches </w:t>
      </w:r>
      <w:r w:rsidR="00060CAE" w:rsidRPr="000D47AC">
        <w:t xml:space="preserve">cannot penetrate. </w:t>
      </w:r>
      <w:r w:rsidR="0020333C" w:rsidRPr="000D47AC">
        <w:t>T</w:t>
      </w:r>
      <w:r w:rsidR="00060CAE" w:rsidRPr="000D47AC">
        <w:t>his</w:t>
      </w:r>
      <w:r w:rsidR="00AB1259" w:rsidRPr="000D47AC">
        <w:t xml:space="preserve"> belief has enabled</w:t>
      </w:r>
      <w:r w:rsidR="00060CAE" w:rsidRPr="000D47AC">
        <w:t xml:space="preserve"> ethnography</w:t>
      </w:r>
      <w:r w:rsidRPr="000D47AC">
        <w:t xml:space="preserve"> to survive for </w:t>
      </w:r>
      <w:r w:rsidR="00CD4A5B" w:rsidRPr="000D47AC">
        <w:t>studying</w:t>
      </w:r>
      <w:r w:rsidR="003C685D" w:rsidRPr="000D47AC">
        <w:t xml:space="preserve"> </w:t>
      </w:r>
      <w:r w:rsidR="00060CAE" w:rsidRPr="000D47AC">
        <w:t xml:space="preserve">exotic regions of the world </w:t>
      </w:r>
      <w:r w:rsidRPr="000D47AC">
        <w:t>that</w:t>
      </w:r>
      <w:r w:rsidR="00CD4A5B" w:rsidRPr="000D47AC">
        <w:t xml:space="preserve"> have </w:t>
      </w:r>
      <w:r w:rsidR="00060CAE" w:rsidRPr="000D47AC">
        <w:t xml:space="preserve">unreliable datasets and unfamiliar political practices. As Shore and Nugent (2002: 11) comment, ‘Anthropology, by definition, is the study </w:t>
      </w:r>
      <w:r w:rsidR="00DE73A5" w:rsidRPr="000D47AC">
        <w:t xml:space="preserve">of </w:t>
      </w:r>
      <w:r w:rsidR="00060CAE" w:rsidRPr="000D47AC">
        <w:t xml:space="preserve">powerless “Others”’. </w:t>
      </w:r>
      <w:r w:rsidR="009779DD" w:rsidRPr="000D47AC">
        <w:t xml:space="preserve">Nader (1972: 289) was an early voice calling for anthropologists to </w:t>
      </w:r>
      <w:r w:rsidR="00EB68BC" w:rsidRPr="000D47AC">
        <w:t>‘</w:t>
      </w:r>
      <w:r w:rsidR="009779DD" w:rsidRPr="000D47AC">
        <w:t>study up,</w:t>
      </w:r>
      <w:r w:rsidR="00EB68BC" w:rsidRPr="000D47AC">
        <w:t>’</w:t>
      </w:r>
      <w:r w:rsidR="009779DD" w:rsidRPr="000D47AC">
        <w:t xml:space="preserve"> recognising that ‘there is comparatively little field research </w:t>
      </w:r>
      <w:r w:rsidR="00821AF2" w:rsidRPr="000D47AC">
        <w:t>on the middle class an</w:t>
      </w:r>
      <w:r w:rsidR="009779DD" w:rsidRPr="000D47AC">
        <w:t>d very little</w:t>
      </w:r>
      <w:r w:rsidR="009B2C95" w:rsidRPr="000D47AC">
        <w:t>-</w:t>
      </w:r>
      <w:r w:rsidR="009779DD" w:rsidRPr="000D47AC">
        <w:t>first hand work on the upper class’. When talking about political and governmental elites, little has changed in the intervening years, although we note some distinguished exceptions below.</w:t>
      </w:r>
      <w:r w:rsidR="00737120" w:rsidRPr="000D47AC">
        <w:t xml:space="preserve"> </w:t>
      </w:r>
      <w:r w:rsidR="00763588" w:rsidRPr="000D47AC">
        <w:t xml:space="preserve">Indeed, most of the studies using ethnography </w:t>
      </w:r>
      <w:r w:rsidR="00763588" w:rsidRPr="000D47AC">
        <w:lastRenderedPageBreak/>
        <w:t xml:space="preserve">in political science </w:t>
      </w:r>
      <w:r w:rsidR="00EB68BC" w:rsidRPr="000D47AC">
        <w:t>‘</w:t>
      </w:r>
      <w:r w:rsidR="00763588" w:rsidRPr="000D47AC">
        <w:t>study down</w:t>
      </w:r>
      <w:r w:rsidR="00EB68BC" w:rsidRPr="000D47AC">
        <w:t>’</w:t>
      </w:r>
      <w:r w:rsidR="00763588" w:rsidRPr="000D47AC">
        <w:t xml:space="preserve"> with street level burea</w:t>
      </w:r>
      <w:r w:rsidR="009B2C95" w:rsidRPr="000D47AC">
        <w:t>u</w:t>
      </w:r>
      <w:r w:rsidR="00763588" w:rsidRPr="000D47AC">
        <w:t>crats a favoured topic (see for example Maynard-Moody and Musheno. 2003).</w:t>
      </w:r>
    </w:p>
    <w:p w14:paraId="18395FA6" w14:textId="08D4E1F8" w:rsidR="007704D2" w:rsidRPr="000D47AC" w:rsidRDefault="00BE07ED" w:rsidP="00313088">
      <w:pPr>
        <w:spacing w:after="240" w:line="360" w:lineRule="auto"/>
      </w:pPr>
      <w:r w:rsidRPr="000D47AC">
        <w:t xml:space="preserve">Ethnography undeniably is useful for studying exotic </w:t>
      </w:r>
      <w:r w:rsidR="00EB68BC" w:rsidRPr="000D47AC">
        <w:t xml:space="preserve">settings and local </w:t>
      </w:r>
      <w:r w:rsidRPr="000D47AC">
        <w:t>politics</w:t>
      </w:r>
      <w:r w:rsidR="00A10EE3" w:rsidRPr="000D47AC">
        <w:t xml:space="preserve">. </w:t>
      </w:r>
      <w:r w:rsidR="009B2C95" w:rsidRPr="000D47AC">
        <w:t xml:space="preserve">However, </w:t>
      </w:r>
      <w:r w:rsidRPr="000D47AC">
        <w:t>th</w:t>
      </w:r>
      <w:r w:rsidR="0020333C" w:rsidRPr="000D47AC">
        <w:t>is is</w:t>
      </w:r>
      <w:r w:rsidRPr="000D47AC">
        <w:t xml:space="preserve"> far from its</w:t>
      </w:r>
      <w:r w:rsidRPr="000D47AC">
        <w:rPr>
          <w:i/>
          <w:iCs/>
        </w:rPr>
        <w:t xml:space="preserve"> only</w:t>
      </w:r>
      <w:r w:rsidRPr="000D47AC">
        <w:t xml:space="preserve"> use</w:t>
      </w:r>
      <w:r w:rsidR="008A779A" w:rsidRPr="000D47AC">
        <w:t>. Ov</w:t>
      </w:r>
      <w:r w:rsidR="007704D2" w:rsidRPr="000D47AC">
        <w:t>er the last two decades or more,</w:t>
      </w:r>
      <w:r w:rsidR="008A779A" w:rsidRPr="000D47AC">
        <w:t xml:space="preserve"> </w:t>
      </w:r>
      <w:r w:rsidR="00821AF2" w:rsidRPr="000D47AC">
        <w:t>a</w:t>
      </w:r>
      <w:r w:rsidR="008A779A" w:rsidRPr="000D47AC">
        <w:t>nthropology</w:t>
      </w:r>
      <w:r w:rsidR="00821AF2" w:rsidRPr="000D47AC">
        <w:t xml:space="preserve"> - </w:t>
      </w:r>
      <w:r w:rsidR="008A779A" w:rsidRPr="000D47AC">
        <w:t xml:space="preserve">the discipline that lays claim to </w:t>
      </w:r>
      <w:r w:rsidR="00AB1259" w:rsidRPr="000D47AC">
        <w:t>‘</w:t>
      </w:r>
      <w:r w:rsidR="008A779A" w:rsidRPr="000D47AC">
        <w:t>owning</w:t>
      </w:r>
      <w:r w:rsidR="00AB1259" w:rsidRPr="000D47AC">
        <w:t>’</w:t>
      </w:r>
      <w:r w:rsidR="008A779A" w:rsidRPr="000D47AC">
        <w:t xml:space="preserve"> ethnography</w:t>
      </w:r>
      <w:r w:rsidR="00821AF2" w:rsidRPr="000D47AC">
        <w:t xml:space="preserve"> - </w:t>
      </w:r>
      <w:r w:rsidR="008A779A" w:rsidRPr="000D47AC">
        <w:t xml:space="preserve">has </w:t>
      </w:r>
      <w:r w:rsidR="007704D2" w:rsidRPr="000D47AC">
        <w:t xml:space="preserve">witnessed a shift </w:t>
      </w:r>
      <w:r w:rsidR="00AB1259" w:rsidRPr="000D47AC">
        <w:t xml:space="preserve">away from </w:t>
      </w:r>
      <w:r w:rsidR="006946A3" w:rsidRPr="000D47AC">
        <w:t>mak</w:t>
      </w:r>
      <w:r w:rsidR="009B2C95" w:rsidRPr="000D47AC">
        <w:t>ing</w:t>
      </w:r>
      <w:r w:rsidR="008A779A" w:rsidRPr="000D47AC">
        <w:t xml:space="preserve"> the </w:t>
      </w:r>
      <w:r w:rsidR="008A779A" w:rsidRPr="000D47AC">
        <w:rPr>
          <w:i/>
          <w:iCs/>
        </w:rPr>
        <w:t>exotic</w:t>
      </w:r>
      <w:r w:rsidR="008A779A" w:rsidRPr="000D47AC">
        <w:t xml:space="preserve"> familiar</w:t>
      </w:r>
      <w:r w:rsidR="00BA2DCC" w:rsidRPr="000D47AC">
        <w:t xml:space="preserve">, and </w:t>
      </w:r>
      <w:r w:rsidR="00AB1259" w:rsidRPr="000D47AC">
        <w:t xml:space="preserve">towards </w:t>
      </w:r>
      <w:r w:rsidR="006946A3" w:rsidRPr="000D47AC">
        <w:t>making</w:t>
      </w:r>
      <w:r w:rsidR="007704D2" w:rsidRPr="000D47AC">
        <w:t xml:space="preserve"> the </w:t>
      </w:r>
      <w:r w:rsidR="008A779A" w:rsidRPr="000D47AC">
        <w:rPr>
          <w:i/>
          <w:iCs/>
        </w:rPr>
        <w:t>familiar</w:t>
      </w:r>
      <w:r w:rsidR="008A779A" w:rsidRPr="000D47AC">
        <w:t xml:space="preserve"> exotic. Indeed, m</w:t>
      </w:r>
      <w:r w:rsidR="00AB1259" w:rsidRPr="000D47AC">
        <w:t>uch modern A</w:t>
      </w:r>
      <w:r w:rsidR="008A779A" w:rsidRPr="000D47AC">
        <w:t xml:space="preserve">nthropology </w:t>
      </w:r>
      <w:r w:rsidR="006946A3" w:rsidRPr="000D47AC">
        <w:t>focuses</w:t>
      </w:r>
      <w:r w:rsidR="008A779A" w:rsidRPr="000D47AC">
        <w:t xml:space="preserve"> not on the distant village but on local settings of everyday life—factory floors, village halls, </w:t>
      </w:r>
      <w:r w:rsidR="00CD4A5B" w:rsidRPr="000D47AC">
        <w:t xml:space="preserve">schools, </w:t>
      </w:r>
      <w:r w:rsidR="008A779A" w:rsidRPr="000D47AC">
        <w:t>university corridors</w:t>
      </w:r>
      <w:r w:rsidR="00EB68BC" w:rsidRPr="000D47AC">
        <w:t xml:space="preserve"> (for a political science example see </w:t>
      </w:r>
      <w:r w:rsidR="001F2F04" w:rsidRPr="000D47AC">
        <w:t>Pachirat</w:t>
      </w:r>
      <w:r w:rsidR="00EB68BC" w:rsidRPr="000D47AC">
        <w:t xml:space="preserve"> </w:t>
      </w:r>
      <w:r w:rsidR="001F2F04" w:rsidRPr="000D47AC">
        <w:t>2011</w:t>
      </w:r>
      <w:r w:rsidR="00EB68BC" w:rsidRPr="000D47AC">
        <w:t>)</w:t>
      </w:r>
      <w:r w:rsidR="008A779A" w:rsidRPr="000D47AC">
        <w:t>. The value of the ethnographic approach in such settings is that it can cast new light on what we think we already know.</w:t>
      </w:r>
    </w:p>
    <w:p w14:paraId="011369F9" w14:textId="6CC8E860" w:rsidR="006E629E" w:rsidRPr="000D47AC" w:rsidRDefault="007704D2" w:rsidP="00313088">
      <w:pPr>
        <w:spacing w:after="480" w:line="360" w:lineRule="auto"/>
      </w:pPr>
      <w:r w:rsidRPr="000D47AC">
        <w:t>Few settings are subject</w:t>
      </w:r>
      <w:r w:rsidR="00CD4A5B" w:rsidRPr="000D47AC">
        <w:t xml:space="preserve"> to</w:t>
      </w:r>
      <w:r w:rsidRPr="000D47AC">
        <w:t xml:space="preserve"> </w:t>
      </w:r>
      <w:r w:rsidR="00CD4A5B" w:rsidRPr="000D47AC">
        <w:t>as</w:t>
      </w:r>
      <w:r w:rsidRPr="000D47AC">
        <w:t xml:space="preserve"> many implicit assumptions as political institutions in advanced liberal democracies. The public thinks they know who politic</w:t>
      </w:r>
      <w:r w:rsidR="00AB1259" w:rsidRPr="000D47AC">
        <w:t>ians are</w:t>
      </w:r>
      <w:r w:rsidRPr="000D47AC">
        <w:t>, what they do</w:t>
      </w:r>
      <w:r w:rsidR="00AB1259" w:rsidRPr="000D47AC">
        <w:t>, and how they perform</w:t>
      </w:r>
      <w:r w:rsidR="00BE07ED" w:rsidRPr="000D47AC">
        <w:t xml:space="preserve"> (Mudde 2004)</w:t>
      </w:r>
      <w:r w:rsidRPr="000D47AC">
        <w:t>.</w:t>
      </w:r>
      <w:r w:rsidR="008A779A" w:rsidRPr="000D47AC">
        <w:t xml:space="preserve"> </w:t>
      </w:r>
      <w:r w:rsidRPr="000D47AC">
        <w:t>Political scientists model and structure such institutions based on parsimonious assumptions about their behaviour. Yet</w:t>
      </w:r>
      <w:r w:rsidR="0020333C" w:rsidRPr="000D47AC">
        <w:t>, as we will show,</w:t>
      </w:r>
      <w:r w:rsidRPr="000D47AC">
        <w:t xml:space="preserve"> the small but rich seam of ethnographic research on the actors at the heart of political institutions suggests that these presumptions are </w:t>
      </w:r>
      <w:r w:rsidR="00CD4A5B" w:rsidRPr="000D47AC">
        <w:t>limiting if not misleading</w:t>
      </w:r>
      <w:r w:rsidR="0020333C" w:rsidRPr="000D47AC">
        <w:t>.</w:t>
      </w:r>
      <w:r w:rsidR="00CD4A5B" w:rsidRPr="000D47AC">
        <w:t xml:space="preserve"> </w:t>
      </w:r>
    </w:p>
    <w:p w14:paraId="5110A94D" w14:textId="32C488A5" w:rsidR="004635ED" w:rsidRPr="000D47AC" w:rsidRDefault="004635ED" w:rsidP="00313088">
      <w:pPr>
        <w:spacing w:after="240" w:line="360" w:lineRule="auto"/>
        <w:rPr>
          <w:i/>
          <w:iCs/>
        </w:rPr>
      </w:pPr>
      <w:r w:rsidRPr="000D47AC">
        <w:rPr>
          <w:i/>
          <w:iCs/>
        </w:rPr>
        <w:t xml:space="preserve">Myth 2: Ethnographic data is unreliable </w:t>
      </w:r>
    </w:p>
    <w:p w14:paraId="07CC49F3" w14:textId="3A00CD2A" w:rsidR="00EC70F2" w:rsidRPr="000D47AC" w:rsidRDefault="006B4E91" w:rsidP="00313088">
      <w:pPr>
        <w:spacing w:after="240" w:line="360" w:lineRule="auto"/>
      </w:pPr>
      <w:r w:rsidRPr="000D47AC">
        <w:t xml:space="preserve">This myth encompasses three main </w:t>
      </w:r>
      <w:r w:rsidR="00EC70F2" w:rsidRPr="000D47AC">
        <w:t>objections: that ethnography is a risky form of data collection; that it</w:t>
      </w:r>
      <w:r w:rsidRPr="000D47AC">
        <w:t xml:space="preserve"> </w:t>
      </w:r>
      <w:r w:rsidR="00EC70F2" w:rsidRPr="000D47AC">
        <w:t>is impossible to generalize from ethnographic data; and that it does not produce causal explanations. We address each in turn.</w:t>
      </w:r>
    </w:p>
    <w:p w14:paraId="41B438F4" w14:textId="3DCBFA7B" w:rsidR="000634F9" w:rsidRDefault="006B4E91" w:rsidP="00313088">
      <w:pPr>
        <w:spacing w:after="240" w:line="360" w:lineRule="auto"/>
        <w:ind w:firstLine="720"/>
      </w:pPr>
      <w:r w:rsidRPr="000D47AC">
        <w:t xml:space="preserve">The </w:t>
      </w:r>
      <w:r w:rsidRPr="000D47AC">
        <w:rPr>
          <w:i/>
        </w:rPr>
        <w:t xml:space="preserve">first </w:t>
      </w:r>
      <w:r w:rsidR="009D6134" w:rsidRPr="000D47AC">
        <w:t>objection</w:t>
      </w:r>
      <w:r w:rsidR="00E313B3" w:rsidRPr="000D47AC">
        <w:t xml:space="preserve"> is that doing ethnography is risky because it depends on rich data the researcher cannot guarantee before entering the field.</w:t>
      </w:r>
      <w:r w:rsidR="00763588" w:rsidRPr="000D47AC">
        <w:t xml:space="preserve"> We accept that t</w:t>
      </w:r>
      <w:r w:rsidR="008B1619" w:rsidRPr="000D47AC">
        <w:t xml:space="preserve">he classic intensive </w:t>
      </w:r>
      <w:r w:rsidR="00821AF2" w:rsidRPr="000D47AC">
        <w:t xml:space="preserve">participant-observation </w:t>
      </w:r>
      <w:r w:rsidR="008B1619" w:rsidRPr="000D47AC">
        <w:t xml:space="preserve">study </w:t>
      </w:r>
      <w:r w:rsidR="000634F9" w:rsidRPr="000D47AC">
        <w:t>remains the defining method but</w:t>
      </w:r>
      <w:r w:rsidR="00821AF2" w:rsidRPr="000D47AC">
        <w:t>,</w:t>
      </w:r>
      <w:r w:rsidR="000634F9" w:rsidRPr="000D47AC">
        <w:t xml:space="preserve"> </w:t>
      </w:r>
      <w:r w:rsidR="00EB68BC" w:rsidRPr="000D47AC">
        <w:t xml:space="preserve">as above, </w:t>
      </w:r>
      <w:r w:rsidR="000634F9" w:rsidRPr="000D47AC">
        <w:t xml:space="preserve">for the study of political </w:t>
      </w:r>
      <w:r w:rsidR="009B2C95" w:rsidRPr="000D47AC">
        <w:t>and governmen</w:t>
      </w:r>
      <w:r w:rsidR="00821AF2" w:rsidRPr="000D47AC">
        <w:t xml:space="preserve">tal </w:t>
      </w:r>
      <w:r w:rsidR="000634F9" w:rsidRPr="000D47AC">
        <w:t>elites</w:t>
      </w:r>
      <w:r w:rsidR="00821AF2" w:rsidRPr="000D47AC">
        <w:t>,</w:t>
      </w:r>
      <w:r w:rsidR="000634F9" w:rsidRPr="000D47AC">
        <w:t xml:space="preserve"> it may not be feasible. Are there other ways of ‘being there’? Can we bring the ethnographic sensibility to bear on data collected by other means? Existing studies on the margins of political science show that there are </w:t>
      </w:r>
      <w:r w:rsidR="009B2C95" w:rsidRPr="000D47AC">
        <w:t>many</w:t>
      </w:r>
      <w:r w:rsidR="000634F9" w:rsidRPr="000D47AC">
        <w:t xml:space="preserve"> </w:t>
      </w:r>
      <w:r w:rsidR="009B2C95" w:rsidRPr="000D47AC">
        <w:t>methods</w:t>
      </w:r>
      <w:r w:rsidR="000634F9" w:rsidRPr="000D47AC">
        <w:t xml:space="preserve"> and sources that ethnographers can draw on to provide deep and novel insights into the beliefs and practices of political elites (see </w:t>
      </w:r>
      <w:r w:rsidR="000634F9" w:rsidRPr="000D47AC">
        <w:lastRenderedPageBreak/>
        <w:t xml:space="preserve">Table 1 for a summary). All give the researcher a sense of ‘being there’. Deployed together, </w:t>
      </w:r>
      <w:r w:rsidR="008B61BA" w:rsidRPr="000D47AC">
        <w:t>these methods</w:t>
      </w:r>
      <w:r w:rsidR="000634F9" w:rsidRPr="000D47AC">
        <w:t xml:space="preserve"> can be used to triangulate claims, background stories and flesh out emergent themes. </w:t>
      </w:r>
    </w:p>
    <w:p w14:paraId="3B509E27" w14:textId="77777777" w:rsidR="003C1BBA" w:rsidRDefault="003C1BBA" w:rsidP="00313088">
      <w:pPr>
        <w:spacing w:after="240" w:line="360" w:lineRule="auto"/>
        <w:ind w:firstLine="720"/>
      </w:pPr>
    </w:p>
    <w:p w14:paraId="31AF1FA1" w14:textId="42C3B382" w:rsidR="008B1619" w:rsidRPr="000D47AC" w:rsidRDefault="003C1BBA" w:rsidP="00313088">
      <w:pPr>
        <w:spacing w:after="240" w:line="360" w:lineRule="auto"/>
      </w:pPr>
      <w:r>
        <w:t>INSERT TABLE 1 ABOUT HERE</w:t>
      </w:r>
    </w:p>
    <w:p w14:paraId="7D1B9DE0" w14:textId="11C9553E" w:rsidR="00016DCA" w:rsidRPr="000D47AC" w:rsidRDefault="006B4E91" w:rsidP="00313088">
      <w:pPr>
        <w:spacing w:after="240" w:line="360" w:lineRule="auto"/>
      </w:pPr>
      <w:r w:rsidRPr="000D47AC">
        <w:t xml:space="preserve">The </w:t>
      </w:r>
      <w:r w:rsidRPr="000D47AC">
        <w:rPr>
          <w:i/>
        </w:rPr>
        <w:t>second</w:t>
      </w:r>
      <w:r w:rsidRPr="000D47AC">
        <w:t xml:space="preserve"> </w:t>
      </w:r>
      <w:r w:rsidR="009D6134" w:rsidRPr="000D47AC">
        <w:t xml:space="preserve">objection </w:t>
      </w:r>
      <w:r w:rsidRPr="000D47AC">
        <w:t xml:space="preserve">is that </w:t>
      </w:r>
      <w:r w:rsidR="00816328" w:rsidRPr="000D47AC">
        <w:t xml:space="preserve">it </w:t>
      </w:r>
      <w:r w:rsidR="00816328" w:rsidRPr="000D47AC">
        <w:rPr>
          <w:color w:val="000000" w:themeColor="text1"/>
        </w:rPr>
        <w:t xml:space="preserve">is not possible to deduce laws and predict outcomes from fieldwork; that is, it is not possible </w:t>
      </w:r>
      <w:r w:rsidR="00EC70F2" w:rsidRPr="000D47AC">
        <w:rPr>
          <w:color w:val="000000" w:themeColor="text1"/>
        </w:rPr>
        <w:t xml:space="preserve">to </w:t>
      </w:r>
      <w:r w:rsidR="00816328" w:rsidRPr="000D47AC">
        <w:rPr>
          <w:color w:val="000000" w:themeColor="text1"/>
        </w:rPr>
        <w:t>generalize</w:t>
      </w:r>
      <w:r w:rsidR="009A537C" w:rsidRPr="000D47AC">
        <w:rPr>
          <w:color w:val="000000" w:themeColor="text1"/>
        </w:rPr>
        <w:t xml:space="preserve"> (</w:t>
      </w:r>
      <w:r w:rsidR="0011751C" w:rsidRPr="000D47AC">
        <w:rPr>
          <w:color w:val="000000" w:themeColor="text1"/>
        </w:rPr>
        <w:t xml:space="preserve">found </w:t>
      </w:r>
      <w:r w:rsidR="009A537C" w:rsidRPr="000D47AC">
        <w:rPr>
          <w:color w:val="000000" w:themeColor="text1"/>
        </w:rPr>
        <w:t>even in sympathetic accounts of ‘narrative approaches’ e</w:t>
      </w:r>
      <w:r w:rsidR="0011751C" w:rsidRPr="000D47AC">
        <w:rPr>
          <w:color w:val="000000" w:themeColor="text1"/>
        </w:rPr>
        <w:t>.</w:t>
      </w:r>
      <w:r w:rsidR="00097D82" w:rsidRPr="000D47AC">
        <w:rPr>
          <w:color w:val="000000" w:themeColor="text1"/>
        </w:rPr>
        <w:t xml:space="preserve"> </w:t>
      </w:r>
      <w:r w:rsidR="009A537C" w:rsidRPr="000D47AC">
        <w:rPr>
          <w:color w:val="000000" w:themeColor="text1"/>
        </w:rPr>
        <w:t>g. Laitin 2006</w:t>
      </w:r>
      <w:r w:rsidR="0011751C" w:rsidRPr="000D47AC">
        <w:rPr>
          <w:color w:val="000000" w:themeColor="text1"/>
        </w:rPr>
        <w:t>:</w:t>
      </w:r>
      <w:r w:rsidR="009A537C" w:rsidRPr="000D47AC">
        <w:rPr>
          <w:color w:val="000000" w:themeColor="text1"/>
        </w:rPr>
        <w:t xml:space="preserve"> 27)</w:t>
      </w:r>
      <w:r w:rsidR="00816328" w:rsidRPr="000D47AC">
        <w:rPr>
          <w:color w:val="000000" w:themeColor="text1"/>
        </w:rPr>
        <w:t xml:space="preserve">. </w:t>
      </w:r>
      <w:r w:rsidR="00016DCA" w:rsidRPr="000D47AC">
        <w:t>The common error is to equate generalisation with the formal</w:t>
      </w:r>
      <w:r w:rsidR="008B2FD0" w:rsidRPr="000D47AC">
        <w:t xml:space="preserve"> or statistical</w:t>
      </w:r>
      <w:r w:rsidR="00016DCA" w:rsidRPr="000D47AC">
        <w:t xml:space="preserve"> generalisation associated with </w:t>
      </w:r>
      <w:r w:rsidR="00EC70F2" w:rsidRPr="000D47AC">
        <w:t xml:space="preserve">the </w:t>
      </w:r>
      <w:r w:rsidR="00016DCA" w:rsidRPr="000D47AC">
        <w:t xml:space="preserve">natural science model of research. </w:t>
      </w:r>
      <w:r w:rsidR="00016DCA" w:rsidRPr="000D47AC">
        <w:rPr>
          <w:color w:val="000000" w:themeColor="text1"/>
        </w:rPr>
        <w:t xml:space="preserve">We </w:t>
      </w:r>
      <w:r w:rsidR="000A2D5C" w:rsidRPr="000D47AC">
        <w:rPr>
          <w:color w:val="000000" w:themeColor="text1"/>
        </w:rPr>
        <w:t xml:space="preserve">cannot formally generalise but we </w:t>
      </w:r>
      <w:r w:rsidR="00016DCA" w:rsidRPr="000D47AC">
        <w:rPr>
          <w:color w:val="000000" w:themeColor="text1"/>
        </w:rPr>
        <w:t>can</w:t>
      </w:r>
      <w:r w:rsidR="000A2D5C" w:rsidRPr="000D47AC">
        <w:rPr>
          <w:color w:val="000000" w:themeColor="text1"/>
        </w:rPr>
        <w:t xml:space="preserve"> still</w:t>
      </w:r>
      <w:r w:rsidR="00016DCA" w:rsidRPr="000D47AC">
        <w:rPr>
          <w:color w:val="000000" w:themeColor="text1"/>
        </w:rPr>
        <w:t xml:space="preserve"> a</w:t>
      </w:r>
      <w:r w:rsidR="008B2FD0" w:rsidRPr="000D47AC">
        <w:rPr>
          <w:color w:val="000000" w:themeColor="text1"/>
        </w:rPr>
        <w:t>spire to ‘plausible conjecture’. We can</w:t>
      </w:r>
      <w:r w:rsidR="00016DCA" w:rsidRPr="000D47AC">
        <w:rPr>
          <w:color w:val="000000" w:themeColor="text1"/>
        </w:rPr>
        <w:t xml:space="preserve"> </w:t>
      </w:r>
      <w:r w:rsidR="008B2FD0" w:rsidRPr="000D47AC">
        <w:t>make</w:t>
      </w:r>
      <w:r w:rsidR="00016DCA" w:rsidRPr="000D47AC">
        <w:t xml:space="preserve"> general </w:t>
      </w:r>
      <w:r w:rsidR="00C44F65" w:rsidRPr="000D47AC">
        <w:t>statements that</w:t>
      </w:r>
      <w:r w:rsidR="00016DCA" w:rsidRPr="000D47AC">
        <w:t xml:space="preserve"> are plausible because they rest on good reasons and the reasons are good because they are inferred from relevant in</w:t>
      </w:r>
      <w:r w:rsidR="003958D2" w:rsidRPr="000D47AC">
        <w:t>formation (paraphrased from Bou</w:t>
      </w:r>
      <w:r w:rsidR="00016DCA" w:rsidRPr="000D47AC">
        <w:t>don 1993). Plausible conjectures are to interpretive research what generalisations are to naturalist research</w:t>
      </w:r>
      <w:r w:rsidR="00016DCA" w:rsidRPr="000D47AC">
        <w:rPr>
          <w:lang w:eastAsia="zh-TW"/>
        </w:rPr>
        <w:t xml:space="preserve">. </w:t>
      </w:r>
      <w:r w:rsidR="00016DCA" w:rsidRPr="000D47AC">
        <w:rPr>
          <w:color w:val="000000"/>
          <w:lang w:eastAsia="zh-TW"/>
        </w:rPr>
        <w:t>The</w:t>
      </w:r>
      <w:r w:rsidR="00016DCA" w:rsidRPr="000D47AC">
        <w:rPr>
          <w:lang w:eastAsia="zh-TW"/>
        </w:rPr>
        <w:t xml:space="preserve"> </w:t>
      </w:r>
      <w:r w:rsidR="00016DCA" w:rsidRPr="000D47AC">
        <w:rPr>
          <w:color w:val="000000"/>
        </w:rPr>
        <w:t>aim</w:t>
      </w:r>
      <w:r w:rsidR="00016DCA" w:rsidRPr="000D47AC">
        <w:rPr>
          <w:color w:val="000000"/>
          <w:lang w:eastAsia="zh-TW"/>
        </w:rPr>
        <w:t xml:space="preserve"> is</w:t>
      </w:r>
      <w:r w:rsidR="00016DCA" w:rsidRPr="000D47AC">
        <w:rPr>
          <w:color w:val="000000"/>
        </w:rPr>
        <w:t xml:space="preserve"> complex specificity in context, not </w:t>
      </w:r>
      <w:r w:rsidR="003958D2" w:rsidRPr="000D47AC">
        <w:rPr>
          <w:color w:val="000000"/>
        </w:rPr>
        <w:t xml:space="preserve">formal </w:t>
      </w:r>
      <w:r w:rsidR="00016DCA" w:rsidRPr="000D47AC">
        <w:rPr>
          <w:color w:val="000000"/>
        </w:rPr>
        <w:t>generalisations (</w:t>
      </w:r>
      <w:r w:rsidR="00016DCA" w:rsidRPr="000D47AC">
        <w:rPr>
          <w:color w:val="000000" w:themeColor="text1"/>
        </w:rPr>
        <w:t>Schwartz</w:t>
      </w:r>
      <w:r w:rsidR="00646AD5" w:rsidRPr="000D47AC">
        <w:rPr>
          <w:color w:val="000000" w:themeColor="text1"/>
        </w:rPr>
        <w:t xml:space="preserve">-Shea </w:t>
      </w:r>
      <w:r w:rsidR="00016DCA" w:rsidRPr="000D47AC">
        <w:rPr>
          <w:color w:val="000000" w:themeColor="text1"/>
        </w:rPr>
        <w:t>and Yanow 2012: 46-49)</w:t>
      </w:r>
      <w:r w:rsidR="00016DCA" w:rsidRPr="000D47AC">
        <w:t>.</w:t>
      </w:r>
    </w:p>
    <w:p w14:paraId="1D87E2C5" w14:textId="341E7A6C" w:rsidR="006E629E" w:rsidRPr="000D47AC" w:rsidRDefault="00B3738E" w:rsidP="00313088">
      <w:pPr>
        <w:spacing w:after="480" w:line="360" w:lineRule="auto"/>
        <w:rPr>
          <w:i/>
          <w:iCs/>
        </w:rPr>
      </w:pPr>
      <w:r w:rsidRPr="000D47AC">
        <w:t xml:space="preserve">The </w:t>
      </w:r>
      <w:r w:rsidRPr="000D47AC">
        <w:rPr>
          <w:i/>
        </w:rPr>
        <w:t>third</w:t>
      </w:r>
      <w:r w:rsidRPr="000D47AC">
        <w:t xml:space="preserve"> </w:t>
      </w:r>
      <w:r w:rsidR="009D6134" w:rsidRPr="000D47AC">
        <w:t xml:space="preserve">objection </w:t>
      </w:r>
      <w:r w:rsidRPr="000D47AC">
        <w:t xml:space="preserve">is that ethnographic approaches cannot produce a </w:t>
      </w:r>
      <w:r w:rsidRPr="000D47AC">
        <w:rPr>
          <w:i/>
        </w:rPr>
        <w:t>causal</w:t>
      </w:r>
      <w:r w:rsidRPr="000D47AC">
        <w:t xml:space="preserve"> account of politic</w:t>
      </w:r>
      <w:r w:rsidR="0099623A">
        <w:t>s</w:t>
      </w:r>
      <w:r w:rsidR="0035136A" w:rsidRPr="000D47AC">
        <w:t xml:space="preserve">; that is, </w:t>
      </w:r>
      <w:r w:rsidR="009D7EFF" w:rsidRPr="000D47AC">
        <w:t>they</w:t>
      </w:r>
      <w:r w:rsidR="0035136A" w:rsidRPr="000D47AC">
        <w:t xml:space="preserve"> </w:t>
      </w:r>
      <w:r w:rsidR="0035136A" w:rsidRPr="000D47AC">
        <w:rPr>
          <w:color w:val="000000" w:themeColor="text1"/>
        </w:rPr>
        <w:t>describe and understa</w:t>
      </w:r>
      <w:r w:rsidR="00EC70F2" w:rsidRPr="000D47AC">
        <w:rPr>
          <w:color w:val="000000" w:themeColor="text1"/>
        </w:rPr>
        <w:t>nd actions and practices, but they</w:t>
      </w:r>
      <w:r w:rsidR="0035136A" w:rsidRPr="000D47AC">
        <w:rPr>
          <w:color w:val="000000" w:themeColor="text1"/>
        </w:rPr>
        <w:t xml:space="preserve"> do not explain them. </w:t>
      </w:r>
      <w:r w:rsidR="001232EA" w:rsidRPr="000D47AC">
        <w:rPr>
          <w:color w:val="000000" w:themeColor="text1"/>
        </w:rPr>
        <w:t xml:space="preserve">This myth persists despite rigorous and sophisticated refutation (Katz 2001; 2002). </w:t>
      </w:r>
      <w:r w:rsidR="0035136A" w:rsidRPr="000D47AC">
        <w:t>In fact</w:t>
      </w:r>
      <w:r w:rsidR="00FB0694" w:rsidRPr="000D47AC">
        <w:t>,</w:t>
      </w:r>
      <w:r w:rsidR="0035136A" w:rsidRPr="000D47AC">
        <w:t xml:space="preserve"> ethnography has </w:t>
      </w:r>
      <w:r w:rsidR="00CB05AE" w:rsidRPr="000D47AC">
        <w:rPr>
          <w:color w:val="000000" w:themeColor="text1"/>
        </w:rPr>
        <w:t>a distinctive form of explanation, which Bevir (</w:t>
      </w:r>
      <w:r w:rsidR="009D7EFF" w:rsidRPr="000D47AC">
        <w:rPr>
          <w:color w:val="000000" w:themeColor="text1"/>
        </w:rPr>
        <w:t>2006) r</w:t>
      </w:r>
      <w:r w:rsidR="00CB05AE" w:rsidRPr="000D47AC">
        <w:rPr>
          <w:color w:val="000000" w:themeColor="text1"/>
        </w:rPr>
        <w:t xml:space="preserve">efers to as </w:t>
      </w:r>
      <w:r w:rsidR="00FB0694" w:rsidRPr="000D47AC">
        <w:rPr>
          <w:color w:val="000000" w:themeColor="text1"/>
        </w:rPr>
        <w:t>‘</w:t>
      </w:r>
      <w:r w:rsidR="00CB05AE" w:rsidRPr="000D47AC">
        <w:rPr>
          <w:color w:val="000000" w:themeColor="text1"/>
        </w:rPr>
        <w:t>narrative</w:t>
      </w:r>
      <w:r w:rsidR="00FB0694" w:rsidRPr="000D47AC">
        <w:rPr>
          <w:color w:val="000000" w:themeColor="text1"/>
        </w:rPr>
        <w:t>’</w:t>
      </w:r>
      <w:r w:rsidR="00CB05AE" w:rsidRPr="000D47AC">
        <w:rPr>
          <w:color w:val="000000" w:themeColor="text1"/>
        </w:rPr>
        <w:t xml:space="preserve">. </w:t>
      </w:r>
      <w:r w:rsidR="0035136A" w:rsidRPr="000D47AC">
        <w:rPr>
          <w:color w:val="000000" w:themeColor="text1"/>
        </w:rPr>
        <w:t>A</w:t>
      </w:r>
      <w:r w:rsidR="00CB05AE" w:rsidRPr="000D47AC">
        <w:rPr>
          <w:color w:val="000000" w:themeColor="text1"/>
        </w:rPr>
        <w:t xml:space="preserve"> narrative unpacks the disparate and contingent beliefs and practices of individuals through which they construct their world </w:t>
      </w:r>
      <w:r w:rsidR="009D7EFF" w:rsidRPr="000D47AC">
        <w:rPr>
          <w:color w:val="000000" w:themeColor="text1"/>
        </w:rPr>
        <w:t>and</w:t>
      </w:r>
      <w:r w:rsidR="00CB05AE" w:rsidRPr="000D47AC">
        <w:rPr>
          <w:color w:val="000000" w:themeColor="text1"/>
        </w:rPr>
        <w:t xml:space="preserve"> identif</w:t>
      </w:r>
      <w:r w:rsidR="009D7EFF" w:rsidRPr="000D47AC">
        <w:rPr>
          <w:color w:val="000000" w:themeColor="text1"/>
        </w:rPr>
        <w:t>ies</w:t>
      </w:r>
      <w:r w:rsidR="00CB05AE" w:rsidRPr="000D47AC">
        <w:rPr>
          <w:color w:val="000000" w:themeColor="text1"/>
        </w:rPr>
        <w:t xml:space="preserve"> the recurrent patterns of actions and related beliefs. </w:t>
      </w:r>
      <w:r w:rsidR="00FB0694" w:rsidRPr="000D47AC">
        <w:rPr>
          <w:color w:val="000000" w:themeColor="text1"/>
        </w:rPr>
        <w:t>We</w:t>
      </w:r>
      <w:r w:rsidR="00CB05AE" w:rsidRPr="000D47AC">
        <w:rPr>
          <w:color w:val="000000" w:themeColor="text1"/>
        </w:rPr>
        <w:t xml:space="preserve"> explain actions and practices in narratives by </w:t>
      </w:r>
      <w:r w:rsidR="00FB0694" w:rsidRPr="000D47AC">
        <w:t>identify</w:t>
      </w:r>
      <w:r w:rsidR="009D7EFF" w:rsidRPr="000D47AC">
        <w:t>ing</w:t>
      </w:r>
      <w:r w:rsidR="00FB0694" w:rsidRPr="000D47AC">
        <w:t xml:space="preserve"> the set of reasons, </w:t>
      </w:r>
      <w:r w:rsidR="00FB0694" w:rsidRPr="000D47AC">
        <w:rPr>
          <w:color w:val="000000" w:themeColor="text1"/>
        </w:rPr>
        <w:t>conscious and unconscious,</w:t>
      </w:r>
      <w:r w:rsidR="00FB0694" w:rsidRPr="000D47AC">
        <w:t xml:space="preserve"> that led to the particular action</w:t>
      </w:r>
      <w:r w:rsidR="009D7EFF" w:rsidRPr="000D47AC">
        <w:t>.</w:t>
      </w:r>
      <w:r w:rsidR="00FB0694" w:rsidRPr="000D47AC">
        <w:t xml:space="preserve"> </w:t>
      </w:r>
      <w:r w:rsidR="00C44F65" w:rsidRPr="000D47AC">
        <w:rPr>
          <w:color w:val="000000" w:themeColor="text1"/>
        </w:rPr>
        <w:t>I</w:t>
      </w:r>
      <w:r w:rsidR="00CB05AE" w:rsidRPr="000D47AC">
        <w:rPr>
          <w:color w:val="000000" w:themeColor="text1"/>
        </w:rPr>
        <w:t xml:space="preserve">nterpretive ethnography is about </w:t>
      </w:r>
      <w:r w:rsidR="0035136A" w:rsidRPr="000D47AC">
        <w:rPr>
          <w:color w:val="000000" w:themeColor="text1"/>
        </w:rPr>
        <w:t>explanation, not understanding</w:t>
      </w:r>
      <w:r w:rsidR="00301EA1" w:rsidRPr="000D47AC">
        <w:rPr>
          <w:color w:val="000000" w:themeColor="text1"/>
        </w:rPr>
        <w:t>,</w:t>
      </w:r>
      <w:r w:rsidR="0035136A" w:rsidRPr="000D47AC">
        <w:rPr>
          <w:color w:val="000000" w:themeColor="text1"/>
        </w:rPr>
        <w:t xml:space="preserve"> and na</w:t>
      </w:r>
      <w:r w:rsidR="00CB05AE" w:rsidRPr="000D47AC">
        <w:rPr>
          <w:color w:val="000000" w:themeColor="text1"/>
        </w:rPr>
        <w:t>rratives are the way interpretive ethnography explain</w:t>
      </w:r>
      <w:r w:rsidR="009F6B88" w:rsidRPr="000D47AC">
        <w:rPr>
          <w:color w:val="000000" w:themeColor="text1"/>
        </w:rPr>
        <w:t>s</w:t>
      </w:r>
      <w:r w:rsidR="00CB05AE" w:rsidRPr="000D47AC">
        <w:rPr>
          <w:color w:val="000000" w:themeColor="text1"/>
        </w:rPr>
        <w:t xml:space="preserve"> actions and practices. </w:t>
      </w:r>
    </w:p>
    <w:p w14:paraId="225AB835" w14:textId="023CAC9D" w:rsidR="001B4D50" w:rsidRPr="000D47AC" w:rsidRDefault="001B4D50" w:rsidP="00313088">
      <w:pPr>
        <w:spacing w:after="240" w:line="360" w:lineRule="auto"/>
        <w:rPr>
          <w:i/>
          <w:iCs/>
        </w:rPr>
      </w:pPr>
      <w:r w:rsidRPr="000D47AC">
        <w:rPr>
          <w:i/>
          <w:iCs/>
        </w:rPr>
        <w:t xml:space="preserve">Myth 3: </w:t>
      </w:r>
      <w:r w:rsidR="006D36E7" w:rsidRPr="000D47AC">
        <w:rPr>
          <w:i/>
          <w:iCs/>
        </w:rPr>
        <w:t>Ethnography is uncritical</w:t>
      </w:r>
    </w:p>
    <w:p w14:paraId="76DE4227" w14:textId="0B9FC7F3" w:rsidR="00AB1259" w:rsidRPr="000D47AC" w:rsidRDefault="006E629E" w:rsidP="00313088">
      <w:pPr>
        <w:spacing w:after="240" w:line="360" w:lineRule="auto"/>
      </w:pPr>
      <w:r w:rsidRPr="000D47AC">
        <w:lastRenderedPageBreak/>
        <w:t>The</w:t>
      </w:r>
      <w:r w:rsidR="009B2C95" w:rsidRPr="000D47AC">
        <w:t>re</w:t>
      </w:r>
      <w:r w:rsidRPr="000D47AC">
        <w:t xml:space="preserve"> </w:t>
      </w:r>
      <w:r w:rsidR="009B2C95" w:rsidRPr="000D47AC">
        <w:t xml:space="preserve">is a </w:t>
      </w:r>
      <w:r w:rsidRPr="000D47AC">
        <w:t>pervasive scepticism</w:t>
      </w:r>
      <w:r w:rsidR="006D36E7" w:rsidRPr="000D47AC">
        <w:t xml:space="preserve"> about ethnographic methods </w:t>
      </w:r>
      <w:r w:rsidR="009B2C95" w:rsidRPr="000D47AC">
        <w:t xml:space="preserve">because they are said to </w:t>
      </w:r>
      <w:r w:rsidR="006D36E7" w:rsidRPr="000D47AC">
        <w:t>blunt the</w:t>
      </w:r>
      <w:r w:rsidRPr="000D47AC">
        <w:t xml:space="preserve"> capacity for critical analysis. The suspicion is </w:t>
      </w:r>
      <w:r w:rsidR="006D36E7" w:rsidRPr="000D47AC">
        <w:t xml:space="preserve">that researchers dependent on elites for access will become uncritical apologists for their failings. </w:t>
      </w:r>
      <w:r w:rsidR="009F6B88" w:rsidRPr="000D47AC">
        <w:t>This</w:t>
      </w:r>
      <w:r w:rsidR="00E94DDA" w:rsidRPr="000D47AC">
        <w:t xml:space="preserve"> presum</w:t>
      </w:r>
      <w:r w:rsidR="001936D7" w:rsidRPr="000D47AC">
        <w:t>p</w:t>
      </w:r>
      <w:r w:rsidR="00E94DDA" w:rsidRPr="000D47AC">
        <w:t>tion</w:t>
      </w:r>
      <w:r w:rsidR="009F6B88" w:rsidRPr="000D47AC">
        <w:t xml:space="preserve"> is crude and inaccurate for two reasons.</w:t>
      </w:r>
    </w:p>
    <w:p w14:paraId="3E9F8EEB" w14:textId="723A85C5" w:rsidR="00B3738E" w:rsidRPr="000D47AC" w:rsidRDefault="008B2FD0" w:rsidP="00313088">
      <w:pPr>
        <w:spacing w:after="240" w:line="360" w:lineRule="auto"/>
      </w:pPr>
      <w:r w:rsidRPr="000D47AC">
        <w:t>First</w:t>
      </w:r>
      <w:r w:rsidR="00B3738E" w:rsidRPr="000D47AC">
        <w:t>, concern about academic ‘Stockholm Syndrome’ is tempered once we appreciate that ethnography can and does entail the multiplicity of methods of data collection discussed above. Ethnographers can piece together their analysis without being dependent on individual elites over long periods. They can also use data from across these multiple, diverse sources to triangulate the claims that individuals make about their actions and their professed motivations. They can compare the data from ‘practice, talk, and considered writing’ and explore contradictions (Oakeshott 1996: x).</w:t>
      </w:r>
      <w:r w:rsidR="0041524E" w:rsidRPr="000D47AC">
        <w:t xml:space="preserve"> </w:t>
      </w:r>
    </w:p>
    <w:p w14:paraId="6BB22EF0" w14:textId="104B5648" w:rsidR="00B3738E" w:rsidRPr="000D47AC" w:rsidRDefault="00B3738E" w:rsidP="00313088">
      <w:pPr>
        <w:spacing w:after="240" w:line="360" w:lineRule="auto"/>
      </w:pPr>
      <w:r w:rsidRPr="000D47AC">
        <w:t>Second, the stories that elites tell are not necessarily unreflexive or one-sided. This</w:t>
      </w:r>
      <w:r w:rsidR="00E94DDA" w:rsidRPr="000D47AC">
        <w:t xml:space="preserve"> belief</w:t>
      </w:r>
      <w:r w:rsidRPr="000D47AC">
        <w:t xml:space="preserve"> is not naive. Obviously many political actors will present themselves and their motivations in the best possible light. Yet what we know from existing studies of different sorts of political actors is that they are often fiercely critical of each ot</w:t>
      </w:r>
      <w:r w:rsidR="006E629E" w:rsidRPr="000D47AC">
        <w:t>her, and of democratic</w:t>
      </w:r>
      <w:r w:rsidRPr="000D47AC">
        <w:t xml:space="preserve"> institutions and pr</w:t>
      </w:r>
      <w:r w:rsidR="006E629E" w:rsidRPr="000D47AC">
        <w:t>actices</w:t>
      </w:r>
      <w:r w:rsidRPr="000D47AC">
        <w:t xml:space="preserve"> (</w:t>
      </w:r>
      <w:r w:rsidR="00EF2BE4" w:rsidRPr="000D47AC">
        <w:t>e</w:t>
      </w:r>
      <w:r w:rsidR="00E94DDA" w:rsidRPr="000D47AC">
        <w:t>.</w:t>
      </w:r>
      <w:r w:rsidR="00EF2BE4" w:rsidRPr="000D47AC">
        <w:t>g.</w:t>
      </w:r>
      <w:r w:rsidRPr="000D47AC">
        <w:t xml:space="preserve"> Boswell and Corbett 2015). Taking their insights seriously can broaden and enrich our understanding of the problems that pervade elite institutions. It can ultimately sharpen our diagnosis of the drivers of </w:t>
      </w:r>
      <w:r w:rsidR="00BF555A" w:rsidRPr="000D47AC">
        <w:t>democratic disaffection</w:t>
      </w:r>
      <w:r w:rsidRPr="000D47AC">
        <w:t xml:space="preserve">. </w:t>
      </w:r>
    </w:p>
    <w:p w14:paraId="53067D40" w14:textId="77777777" w:rsidR="00B3738E" w:rsidRPr="000D47AC" w:rsidRDefault="00B3738E" w:rsidP="00313088">
      <w:pPr>
        <w:spacing w:after="240" w:line="360" w:lineRule="auto"/>
        <w:ind w:firstLine="720"/>
      </w:pPr>
    </w:p>
    <w:p w14:paraId="4A57DDEB" w14:textId="5C9E01D8" w:rsidR="00340F93" w:rsidRPr="000D47AC" w:rsidRDefault="00FA78EF" w:rsidP="00313088">
      <w:pPr>
        <w:spacing w:after="240" w:line="360" w:lineRule="auto"/>
        <w:rPr>
          <w:b/>
          <w:bCs/>
          <w:iCs/>
        </w:rPr>
      </w:pPr>
      <w:r w:rsidRPr="000D47AC">
        <w:rPr>
          <w:b/>
          <w:bCs/>
          <w:iCs/>
        </w:rPr>
        <w:t>Lesson</w:t>
      </w:r>
      <w:r w:rsidR="00115714" w:rsidRPr="000D47AC">
        <w:rPr>
          <w:b/>
          <w:bCs/>
          <w:iCs/>
        </w:rPr>
        <w:t>s</w:t>
      </w:r>
      <w:r w:rsidRPr="000D47AC">
        <w:rPr>
          <w:b/>
          <w:bCs/>
          <w:iCs/>
        </w:rPr>
        <w:t xml:space="preserve"> from Elite </w:t>
      </w:r>
      <w:r w:rsidR="00273D6D" w:rsidRPr="000D47AC">
        <w:rPr>
          <w:b/>
          <w:bCs/>
          <w:iCs/>
        </w:rPr>
        <w:t>Ethnograph</w:t>
      </w:r>
      <w:r w:rsidRPr="000D47AC">
        <w:rPr>
          <w:b/>
          <w:bCs/>
          <w:iCs/>
        </w:rPr>
        <w:t xml:space="preserve">y </w:t>
      </w:r>
    </w:p>
    <w:p w14:paraId="77392AAC" w14:textId="3539C1DA" w:rsidR="0023448A" w:rsidRPr="000D47AC" w:rsidRDefault="00042724" w:rsidP="00313088">
      <w:pPr>
        <w:spacing w:after="240" w:line="360" w:lineRule="auto"/>
      </w:pPr>
      <w:r w:rsidRPr="000D47AC">
        <w:t xml:space="preserve">We have </w:t>
      </w:r>
      <w:r w:rsidR="00497871" w:rsidRPr="000D47AC">
        <w:t>argued</w:t>
      </w:r>
      <w:r w:rsidR="00F15664" w:rsidRPr="000D47AC">
        <w:t xml:space="preserve"> </w:t>
      </w:r>
      <w:r w:rsidR="00497871" w:rsidRPr="000D47AC">
        <w:t>that ethnographic</w:t>
      </w:r>
      <w:r w:rsidR="007E1EE4" w:rsidRPr="000D47AC">
        <w:t xml:space="preserve"> research </w:t>
      </w:r>
      <w:r w:rsidRPr="000D47AC">
        <w:t xml:space="preserve">can fill </w:t>
      </w:r>
      <w:r w:rsidR="007E1EE4" w:rsidRPr="000D47AC">
        <w:t>an</w:t>
      </w:r>
      <w:r w:rsidR="00F15664" w:rsidRPr="000D47AC">
        <w:t xml:space="preserve"> important gap in the </w:t>
      </w:r>
      <w:r w:rsidR="00BA28D1" w:rsidRPr="000D47AC">
        <w:t xml:space="preserve">existing </w:t>
      </w:r>
      <w:r w:rsidR="00F15664" w:rsidRPr="000D47AC">
        <w:t xml:space="preserve">literature on </w:t>
      </w:r>
      <w:r w:rsidRPr="000D47AC">
        <w:t xml:space="preserve">public </w:t>
      </w:r>
      <w:r w:rsidR="00BF555A" w:rsidRPr="000D47AC">
        <w:t xml:space="preserve">disaffection with </w:t>
      </w:r>
      <w:r w:rsidRPr="000D47AC">
        <w:t>governing elites</w:t>
      </w:r>
      <w:r w:rsidR="0041524E" w:rsidRPr="000D47AC">
        <w:t>, in the process debunk</w:t>
      </w:r>
      <w:r w:rsidR="009F6B88" w:rsidRPr="000D47AC">
        <w:t>ing</w:t>
      </w:r>
      <w:r w:rsidR="0041524E" w:rsidRPr="000D47AC">
        <w:t xml:space="preserve"> co</w:t>
      </w:r>
      <w:r w:rsidR="009F6B88" w:rsidRPr="000D47AC">
        <w:t>mmo</w:t>
      </w:r>
      <w:r w:rsidR="0041524E" w:rsidRPr="000D47AC">
        <w:t>n myths about what this resea</w:t>
      </w:r>
      <w:r w:rsidR="009B2C95" w:rsidRPr="000D47AC">
        <w:t>r</w:t>
      </w:r>
      <w:r w:rsidR="0041524E" w:rsidRPr="000D47AC">
        <w:t>ch entails.</w:t>
      </w:r>
      <w:r w:rsidRPr="000D47AC">
        <w:t xml:space="preserve"> </w:t>
      </w:r>
      <w:r w:rsidR="00BA28D1" w:rsidRPr="000D47AC">
        <w:t>Now we</w:t>
      </w:r>
      <w:r w:rsidR="00F15664" w:rsidRPr="000D47AC">
        <w:t xml:space="preserve"> illustrat</w:t>
      </w:r>
      <w:r w:rsidRPr="000D47AC">
        <w:t>e the pay-off such</w:t>
      </w:r>
      <w:r w:rsidR="00BA28D1" w:rsidRPr="000D47AC">
        <w:t xml:space="preserve"> </w:t>
      </w:r>
      <w:r w:rsidR="00F15664" w:rsidRPr="000D47AC">
        <w:t xml:space="preserve">research </w:t>
      </w:r>
      <w:r w:rsidRPr="000D47AC">
        <w:t>can deliver</w:t>
      </w:r>
      <w:r w:rsidR="00F15664" w:rsidRPr="000D47AC">
        <w:t>. To do so</w:t>
      </w:r>
      <w:r w:rsidR="00BA28D1" w:rsidRPr="000D47AC">
        <w:t>,</w:t>
      </w:r>
      <w:r w:rsidR="00497871" w:rsidRPr="000D47AC">
        <w:t xml:space="preserve"> </w:t>
      </w:r>
      <w:r w:rsidR="00F15664" w:rsidRPr="000D47AC">
        <w:t xml:space="preserve">we draw on </w:t>
      </w:r>
      <w:r w:rsidR="003E7776" w:rsidRPr="000D47AC">
        <w:t>pioneering</w:t>
      </w:r>
      <w:r w:rsidR="00F15664" w:rsidRPr="000D47AC">
        <w:t xml:space="preserve"> ethnographic</w:t>
      </w:r>
      <w:r w:rsidR="00BA28D1" w:rsidRPr="000D47AC">
        <w:t xml:space="preserve"> studies</w:t>
      </w:r>
      <w:r w:rsidR="003E7776" w:rsidRPr="000D47AC">
        <w:t xml:space="preserve"> of elite political actors</w:t>
      </w:r>
      <w:r w:rsidR="00E71C3F" w:rsidRPr="000D47AC">
        <w:t xml:space="preserve"> and politicians in particular</w:t>
      </w:r>
      <w:r w:rsidR="003E7776" w:rsidRPr="000D47AC">
        <w:t xml:space="preserve">. </w:t>
      </w:r>
      <w:r w:rsidR="00F15664" w:rsidRPr="000D47AC">
        <w:t>N</w:t>
      </w:r>
      <w:r w:rsidR="003E7776" w:rsidRPr="000D47AC">
        <w:t>one</w:t>
      </w:r>
      <w:r w:rsidR="00F15664" w:rsidRPr="000D47AC">
        <w:t xml:space="preserve"> explicitly engages with questions about </w:t>
      </w:r>
      <w:r w:rsidR="00BA28D1" w:rsidRPr="000D47AC">
        <w:t xml:space="preserve">public trust </w:t>
      </w:r>
      <w:r w:rsidR="00A71330" w:rsidRPr="000D47AC">
        <w:t>and</w:t>
      </w:r>
      <w:r w:rsidR="00BA28D1" w:rsidRPr="000D47AC">
        <w:t xml:space="preserve"> governing elites</w:t>
      </w:r>
      <w:r w:rsidR="00F15664" w:rsidRPr="000D47AC">
        <w:t xml:space="preserve">. </w:t>
      </w:r>
      <w:r w:rsidR="009B2C95" w:rsidRPr="000D47AC">
        <w:t>Therefore</w:t>
      </w:r>
      <w:r w:rsidR="00F15664" w:rsidRPr="000D47AC">
        <w:t xml:space="preserve">, we reinterpret </w:t>
      </w:r>
      <w:r w:rsidR="00BA28D1" w:rsidRPr="000D47AC">
        <w:t xml:space="preserve">this research </w:t>
      </w:r>
      <w:r w:rsidR="00F15664" w:rsidRPr="000D47AC">
        <w:t xml:space="preserve">for </w:t>
      </w:r>
      <w:r w:rsidR="00BA28D1" w:rsidRPr="000D47AC">
        <w:t xml:space="preserve">our </w:t>
      </w:r>
      <w:r w:rsidR="00F15664" w:rsidRPr="000D47AC">
        <w:t>purpose</w:t>
      </w:r>
      <w:r w:rsidR="00BA28D1" w:rsidRPr="000D47AC">
        <w:t>s</w:t>
      </w:r>
      <w:r w:rsidR="00F15664" w:rsidRPr="000D47AC">
        <w:t>. In particular</w:t>
      </w:r>
      <w:r w:rsidR="0023675B" w:rsidRPr="000D47AC">
        <w:t>, we</w:t>
      </w:r>
      <w:r w:rsidR="00F15664" w:rsidRPr="000D47AC">
        <w:t xml:space="preserve"> highlight</w:t>
      </w:r>
      <w:r w:rsidR="00775BF1" w:rsidRPr="000D47AC">
        <w:t xml:space="preserve"> how everyday </w:t>
      </w:r>
      <w:r w:rsidR="000D09A7" w:rsidRPr="000D47AC">
        <w:t>dilemmas, derived from the time con</w:t>
      </w:r>
      <w:r w:rsidR="009B2C95" w:rsidRPr="000D47AC">
        <w:t>s</w:t>
      </w:r>
      <w:r w:rsidR="000D09A7" w:rsidRPr="000D47AC">
        <w:t>traints, media and electoral pressures and limited resources of political life,</w:t>
      </w:r>
      <w:r w:rsidR="00775BF1" w:rsidRPr="000D47AC">
        <w:t xml:space="preserve"> </w:t>
      </w:r>
      <w:r w:rsidR="000D09A7" w:rsidRPr="000D47AC">
        <w:t>shape the</w:t>
      </w:r>
      <w:r w:rsidR="00162AAA" w:rsidRPr="000D47AC">
        <w:t xml:space="preserve"> </w:t>
      </w:r>
      <w:r w:rsidR="000D09A7" w:rsidRPr="000D47AC">
        <w:t>contemporary ‘professionalization</w:t>
      </w:r>
      <w:r w:rsidR="00162AAA" w:rsidRPr="000D47AC">
        <w:t>’</w:t>
      </w:r>
      <w:r w:rsidR="000D09A7" w:rsidRPr="000D47AC">
        <w:t xml:space="preserve"> of politics</w:t>
      </w:r>
      <w:r w:rsidR="0023448A" w:rsidRPr="000D47AC">
        <w:t>.</w:t>
      </w:r>
      <w:r w:rsidR="000D09A7" w:rsidRPr="000D47AC">
        <w:t xml:space="preserve"> Understanding these factors, often </w:t>
      </w:r>
      <w:r w:rsidR="000D09A7" w:rsidRPr="000D47AC">
        <w:lastRenderedPageBreak/>
        <w:t>hidden in quantitative and ‘standard’ qualitative explanations</w:t>
      </w:r>
      <w:r w:rsidR="008B351E" w:rsidRPr="000D47AC">
        <w:t>,</w:t>
      </w:r>
      <w:r w:rsidR="000D09A7" w:rsidRPr="000D47AC">
        <w:t xml:space="preserve"> </w:t>
      </w:r>
      <w:r w:rsidR="008B351E" w:rsidRPr="000D47AC">
        <w:t xml:space="preserve">which explain </w:t>
      </w:r>
      <w:r w:rsidR="000D09A7" w:rsidRPr="000D47AC">
        <w:t xml:space="preserve">why politicians act in a way that reproduces </w:t>
      </w:r>
      <w:r w:rsidR="00BF555A" w:rsidRPr="000D47AC">
        <w:t>disaffection</w:t>
      </w:r>
      <w:r w:rsidR="000D09A7" w:rsidRPr="000D47AC">
        <w:t>, enables a nuanced account of the professionalization of politicians</w:t>
      </w:r>
      <w:r w:rsidR="008B2FD0" w:rsidRPr="000D47AC">
        <w:t>. It</w:t>
      </w:r>
      <w:r w:rsidR="000D09A7" w:rsidRPr="000D47AC">
        <w:t xml:space="preserve"> acknowledges </w:t>
      </w:r>
      <w:r w:rsidR="008B2FD0" w:rsidRPr="000D47AC">
        <w:t>that politicians</w:t>
      </w:r>
      <w:r w:rsidR="000D09A7" w:rsidRPr="000D47AC">
        <w:t xml:space="preserve"> often act in ways that perpetuate negative images of politics, but cautions that the explanation for their actions lies in the fine-grained, often intractable, realities of political life.</w:t>
      </w:r>
    </w:p>
    <w:p w14:paraId="582DA1EB" w14:textId="77777777" w:rsidR="006E629E" w:rsidRDefault="006E629E" w:rsidP="00313088">
      <w:pPr>
        <w:spacing w:after="240" w:line="360" w:lineRule="auto"/>
      </w:pPr>
    </w:p>
    <w:p w14:paraId="56538972" w14:textId="2687BC1A" w:rsidR="003C1BBA" w:rsidRDefault="0050207E" w:rsidP="00313088">
      <w:pPr>
        <w:spacing w:after="240" w:line="360" w:lineRule="auto"/>
      </w:pPr>
      <w:r>
        <w:t>INSERT TABLE 2</w:t>
      </w:r>
      <w:r w:rsidR="003C1BBA">
        <w:t xml:space="preserve"> ABOUT HERE</w:t>
      </w:r>
    </w:p>
    <w:p w14:paraId="20899F94" w14:textId="64ED26BF" w:rsidR="004925AF" w:rsidRPr="000D47AC" w:rsidRDefault="004925AF" w:rsidP="00313088">
      <w:pPr>
        <w:spacing w:line="360" w:lineRule="auto"/>
      </w:pPr>
    </w:p>
    <w:p w14:paraId="012272C0" w14:textId="125BFEA0" w:rsidR="003E7776" w:rsidRPr="000D47AC" w:rsidRDefault="003E7776" w:rsidP="00313088">
      <w:pPr>
        <w:spacing w:after="240" w:line="360" w:lineRule="auto"/>
        <w:rPr>
          <w:i/>
          <w:iCs/>
        </w:rPr>
      </w:pPr>
      <w:r w:rsidRPr="000D47AC">
        <w:rPr>
          <w:i/>
          <w:iCs/>
        </w:rPr>
        <w:t xml:space="preserve">Lesson 1: </w:t>
      </w:r>
      <w:r w:rsidR="00DE7BE3" w:rsidRPr="000D47AC">
        <w:rPr>
          <w:i/>
          <w:iCs/>
        </w:rPr>
        <w:t>Local p</w:t>
      </w:r>
      <w:r w:rsidR="00767E10" w:rsidRPr="000D47AC">
        <w:rPr>
          <w:i/>
          <w:iCs/>
        </w:rPr>
        <w:t>oliticians demonise national</w:t>
      </w:r>
      <w:r w:rsidR="00DE7BE3" w:rsidRPr="000D47AC">
        <w:rPr>
          <w:i/>
          <w:iCs/>
        </w:rPr>
        <w:t xml:space="preserve"> elites</w:t>
      </w:r>
    </w:p>
    <w:p w14:paraId="7C775D9C" w14:textId="03CE9CCB" w:rsidR="00070762" w:rsidRPr="000D47AC" w:rsidRDefault="001A3D13" w:rsidP="00313088">
      <w:pPr>
        <w:spacing w:after="240" w:line="360" w:lineRule="auto"/>
      </w:pPr>
      <w:r w:rsidRPr="000D47AC">
        <w:t>As we have seen, t</w:t>
      </w:r>
      <w:r w:rsidR="00070762" w:rsidRPr="000D47AC">
        <w:t xml:space="preserve">he presumption at the heart of rising </w:t>
      </w:r>
      <w:r w:rsidR="00BF555A" w:rsidRPr="000D47AC">
        <w:t xml:space="preserve">disaffection </w:t>
      </w:r>
      <w:r w:rsidR="00070762" w:rsidRPr="000D47AC">
        <w:t xml:space="preserve">is a sense </w:t>
      </w:r>
      <w:r w:rsidR="005772A2" w:rsidRPr="000D47AC">
        <w:t>that the</w:t>
      </w:r>
      <w:r w:rsidR="00070762" w:rsidRPr="000D47AC">
        <w:t xml:space="preserve"> political class </w:t>
      </w:r>
      <w:r w:rsidR="005772A2" w:rsidRPr="000D47AC">
        <w:t xml:space="preserve">is </w:t>
      </w:r>
      <w:r w:rsidR="00070762" w:rsidRPr="000D47AC">
        <w:t xml:space="preserve">disconnected from </w:t>
      </w:r>
      <w:r w:rsidR="0020333C" w:rsidRPr="000D47AC">
        <w:t>everyday</w:t>
      </w:r>
      <w:r w:rsidR="00070762" w:rsidRPr="000D47AC">
        <w:t xml:space="preserve"> citizens</w:t>
      </w:r>
      <w:r w:rsidRPr="000D47AC">
        <w:t xml:space="preserve"> (Mudde 2004)</w:t>
      </w:r>
      <w:r w:rsidR="00070762" w:rsidRPr="000D47AC">
        <w:t xml:space="preserve">. </w:t>
      </w:r>
      <w:r w:rsidR="00D94355" w:rsidRPr="000D47AC">
        <w:t>Mainstream political science</w:t>
      </w:r>
      <w:r w:rsidRPr="000D47AC">
        <w:t xml:space="preserve"> largely supports popular ideas about</w:t>
      </w:r>
      <w:r w:rsidR="00D94355" w:rsidRPr="000D47AC">
        <w:t xml:space="preserve"> the increasing homogeneity of professionalised party systems</w:t>
      </w:r>
      <w:r w:rsidR="00C1726C" w:rsidRPr="000D47AC">
        <w:t xml:space="preserve"> (see e</w:t>
      </w:r>
      <w:r w:rsidR="00222DDB" w:rsidRPr="000D47AC">
        <w:t>.</w:t>
      </w:r>
      <w:r w:rsidR="00C1726C" w:rsidRPr="000D47AC">
        <w:t>g. Hay 2007)</w:t>
      </w:r>
      <w:r w:rsidR="00D94355" w:rsidRPr="000D47AC">
        <w:t xml:space="preserve">. </w:t>
      </w:r>
    </w:p>
    <w:p w14:paraId="4158C956" w14:textId="2861CDFF" w:rsidR="00801B47" w:rsidRDefault="00D94355" w:rsidP="00313088">
      <w:pPr>
        <w:spacing w:after="240" w:line="360" w:lineRule="auto"/>
      </w:pPr>
      <w:r w:rsidRPr="000D47AC">
        <w:t>Insights from elite ethnography</w:t>
      </w:r>
      <w:r w:rsidR="009C463A" w:rsidRPr="000D47AC">
        <w:t xml:space="preserve"> show that this ‘disconnection’ arises because of the norms </w:t>
      </w:r>
      <w:r w:rsidR="00384D22" w:rsidRPr="000D47AC">
        <w:t xml:space="preserve">embedded </w:t>
      </w:r>
      <w:r w:rsidR="009C463A" w:rsidRPr="000D47AC">
        <w:t>in political campaigning</w:t>
      </w:r>
      <w:r w:rsidR="006E629E" w:rsidRPr="000D47AC">
        <w:t>.</w:t>
      </w:r>
      <w:r w:rsidR="00C34BD9" w:rsidRPr="000D47AC">
        <w:t xml:space="preserve"> </w:t>
      </w:r>
      <w:r w:rsidR="008B2FD0" w:rsidRPr="000D47AC">
        <w:t>T</w:t>
      </w:r>
      <w:r w:rsidR="006E629E" w:rsidRPr="000D47AC">
        <w:t>he</w:t>
      </w:r>
      <w:r w:rsidRPr="000D47AC">
        <w:t xml:space="preserve"> pioneering work of Fenno (</w:t>
      </w:r>
      <w:r w:rsidR="005772A2" w:rsidRPr="000D47AC">
        <w:t xml:space="preserve">1978; </w:t>
      </w:r>
      <w:r w:rsidRPr="000D47AC">
        <w:t>1990</w:t>
      </w:r>
      <w:r w:rsidR="00EF2BE4" w:rsidRPr="000D47AC">
        <w:t>)</w:t>
      </w:r>
      <w:r w:rsidR="00E71C3F" w:rsidRPr="000D47AC">
        <w:t xml:space="preserve"> </w:t>
      </w:r>
      <w:r w:rsidRPr="000D47AC">
        <w:t>shed</w:t>
      </w:r>
      <w:r w:rsidR="006E629E" w:rsidRPr="000D47AC">
        <w:t>s</w:t>
      </w:r>
      <w:r w:rsidRPr="000D47AC">
        <w:t xml:space="preserve"> important light</w:t>
      </w:r>
      <w:r w:rsidR="008B2FD0" w:rsidRPr="000D47AC">
        <w:t xml:space="preserve"> on campaigning</w:t>
      </w:r>
      <w:r w:rsidRPr="000D47AC">
        <w:t>. Fenno</w:t>
      </w:r>
      <w:r w:rsidR="002653C5" w:rsidRPr="000D47AC">
        <w:t xml:space="preserve"> shadowed 18 members in the constituency for 2-3 days each over an 8</w:t>
      </w:r>
      <w:r w:rsidR="008B2FD0" w:rsidRPr="000D47AC">
        <w:t>-</w:t>
      </w:r>
      <w:r w:rsidR="002653C5" w:rsidRPr="000D47AC">
        <w:t>year period.</w:t>
      </w:r>
      <w:r w:rsidR="006E629E" w:rsidRPr="000D47AC">
        <w:t xml:space="preserve"> He noted</w:t>
      </w:r>
      <w:r w:rsidRPr="000D47AC">
        <w:t xml:space="preserve"> a tendency for </w:t>
      </w:r>
      <w:r w:rsidR="00801B47" w:rsidRPr="000D47AC">
        <w:t>politicians</w:t>
      </w:r>
      <w:r w:rsidRPr="000D47AC">
        <w:t xml:space="preserve"> to engage in what he called a ‘Home Style’</w:t>
      </w:r>
      <w:r w:rsidR="008B2FD0" w:rsidRPr="000D47AC">
        <w:t>.</w:t>
      </w:r>
      <w:r w:rsidR="00737120" w:rsidRPr="000D47AC">
        <w:t xml:space="preserve"> </w:t>
      </w:r>
      <w:r w:rsidR="008B2FD0" w:rsidRPr="000D47AC">
        <w:t>Fa</w:t>
      </w:r>
      <w:r w:rsidRPr="000D47AC">
        <w:t xml:space="preserve">r from conveying the sense </w:t>
      </w:r>
      <w:r w:rsidR="008B2FD0" w:rsidRPr="000D47AC">
        <w:t>that they were a</w:t>
      </w:r>
      <w:r w:rsidR="00737120" w:rsidRPr="000D47AC">
        <w:t xml:space="preserve"> </w:t>
      </w:r>
      <w:r w:rsidRPr="000D47AC">
        <w:t xml:space="preserve">‘machine politician’ from a Beltway production line, </w:t>
      </w:r>
      <w:r w:rsidR="00801B47" w:rsidRPr="000D47AC">
        <w:t>politicians would go out of their way to cultivate and</w:t>
      </w:r>
      <w:r w:rsidR="006E629E" w:rsidRPr="000D47AC">
        <w:t xml:space="preserve"> perform a</w:t>
      </w:r>
      <w:r w:rsidR="00801B47" w:rsidRPr="000D47AC">
        <w:t xml:space="preserve"> home</w:t>
      </w:r>
      <w:r w:rsidR="009B2C95" w:rsidRPr="000D47AC">
        <w:t>-</w:t>
      </w:r>
      <w:r w:rsidR="00801B47" w:rsidRPr="000D47AC">
        <w:t>grown approach</w:t>
      </w:r>
      <w:r w:rsidR="008B2FD0" w:rsidRPr="000D47AC">
        <w:t xml:space="preserve"> and distant themselves from Washington.</w:t>
      </w:r>
      <w:r w:rsidR="00737120" w:rsidRPr="000D47AC">
        <w:t xml:space="preserve"> </w:t>
      </w:r>
      <w:r w:rsidR="004774A6" w:rsidRPr="000D47AC">
        <w:t>Trust is central to how politicians cultivate their ‘Home Style</w:t>
      </w:r>
      <w:r w:rsidR="00442297">
        <w:t>’</w:t>
      </w:r>
      <w:r w:rsidR="004774A6" w:rsidRPr="000D47AC">
        <w:t xml:space="preserve"> (see Fenno 197</w:t>
      </w:r>
      <w:r w:rsidR="007232AA" w:rsidRPr="000D47AC">
        <w:t>8</w:t>
      </w:r>
      <w:r w:rsidR="004774A6" w:rsidRPr="000D47AC">
        <w:t>, p. 55-57)</w:t>
      </w:r>
      <w:r w:rsidR="007232AA" w:rsidRPr="000D47AC">
        <w:t>:</w:t>
      </w:r>
    </w:p>
    <w:p w14:paraId="3682A69E" w14:textId="77777777" w:rsidR="00144C15" w:rsidRPr="000D47AC" w:rsidRDefault="00144C15" w:rsidP="00313088">
      <w:pPr>
        <w:spacing w:after="240" w:line="360" w:lineRule="auto"/>
      </w:pPr>
    </w:p>
    <w:p w14:paraId="0F621934" w14:textId="41CE47E3" w:rsidR="007232AA" w:rsidRPr="000D47AC" w:rsidRDefault="007232AA" w:rsidP="00313088">
      <w:pPr>
        <w:spacing w:after="240" w:line="360" w:lineRule="auto"/>
        <w:ind w:left="720"/>
      </w:pPr>
      <w:r w:rsidRPr="000D47AC">
        <w:t>Trust is, however, a fragile relationship. It is not an overnight or a one-time thing. It is hard to win; and it must be constantly renewed and re</w:t>
      </w:r>
      <w:r w:rsidR="009B2C95" w:rsidRPr="000D47AC">
        <w:t>-</w:t>
      </w:r>
      <w:r w:rsidRPr="000D47AC">
        <w:t xml:space="preserve">won. </w:t>
      </w:r>
      <w:r w:rsidR="00442297">
        <w:t>‘</w:t>
      </w:r>
      <w:r w:rsidRPr="000D47AC">
        <w:t>Trust,</w:t>
      </w:r>
      <w:r w:rsidR="00442297">
        <w:t>’</w:t>
      </w:r>
      <w:r w:rsidRPr="000D47AC">
        <w:t xml:space="preserve"> said one </w:t>
      </w:r>
      <w:r w:rsidR="00C44F65" w:rsidRPr="000D47AC">
        <w:t>member</w:t>
      </w:r>
      <w:r w:rsidRPr="000D47AC">
        <w:t xml:space="preserve"> </w:t>
      </w:r>
      <w:r w:rsidR="00442297">
        <w:t>‘</w:t>
      </w:r>
      <w:r w:rsidRPr="000D47AC">
        <w:t>is a cumulative t</w:t>
      </w:r>
      <w:r w:rsidR="001A3D13" w:rsidRPr="000D47AC">
        <w:t>h</w:t>
      </w:r>
      <w:r w:rsidRPr="000D47AC">
        <w:t>ing, a totality thing … You do a little here and a little there.</w:t>
      </w:r>
      <w:r w:rsidR="00442297">
        <w:t>’</w:t>
      </w:r>
      <w:r w:rsidRPr="000D47AC">
        <w:t xml:space="preserve"> … That is what House members believe. And that is why they spend so much of their working time at home. Much of what I have observed in my travels can be explained as a continuous and </w:t>
      </w:r>
      <w:r w:rsidR="00C44F65" w:rsidRPr="000D47AC">
        <w:t>continuing</w:t>
      </w:r>
      <w:r w:rsidRPr="000D47AC">
        <w:t xml:space="preserve"> effort </w:t>
      </w:r>
      <w:r w:rsidRPr="000D47AC">
        <w:lastRenderedPageBreak/>
        <w:t xml:space="preserve">to win (for members) and to hold (for old members) the trust of supportive constituencies (Fenno 1978, p. 56). </w:t>
      </w:r>
    </w:p>
    <w:p w14:paraId="6B71B621" w14:textId="5547C769" w:rsidR="00D94355" w:rsidRDefault="007232AA" w:rsidP="00313088">
      <w:pPr>
        <w:spacing w:after="240" w:line="360" w:lineRule="auto"/>
      </w:pPr>
      <w:r w:rsidRPr="000D47AC">
        <w:t xml:space="preserve">Recent ethnographic studies by </w:t>
      </w:r>
      <w:r w:rsidR="00801B47" w:rsidRPr="000D47AC">
        <w:t xml:space="preserve">Gaddie’s (2003) </w:t>
      </w:r>
      <w:r w:rsidRPr="000D47AC">
        <w:t xml:space="preserve">and Reheer (2006) </w:t>
      </w:r>
      <w:r w:rsidR="006E629E" w:rsidRPr="000D47AC">
        <w:t>extend</w:t>
      </w:r>
      <w:r w:rsidR="00801B47" w:rsidRPr="000D47AC">
        <w:t xml:space="preserve"> these insights. </w:t>
      </w:r>
      <w:r w:rsidR="006950EE" w:rsidRPr="000D47AC">
        <w:t xml:space="preserve">Drawing together data drawn </w:t>
      </w:r>
      <w:r w:rsidR="008B61BA" w:rsidRPr="000D47AC">
        <w:t>many sources using the multiple methods</w:t>
      </w:r>
      <w:r w:rsidR="006950EE" w:rsidRPr="000D47AC">
        <w:t xml:space="preserve"> of contemporary ethnography</w:t>
      </w:r>
      <w:r w:rsidR="008B61BA" w:rsidRPr="000D47AC">
        <w:t xml:space="preserve"> - </w:t>
      </w:r>
      <w:r w:rsidR="006950EE" w:rsidRPr="000D47AC">
        <w:t>including observation but also interviews and the public record</w:t>
      </w:r>
      <w:r w:rsidR="008B61BA" w:rsidRPr="000D47AC">
        <w:t xml:space="preserve"> - </w:t>
      </w:r>
      <w:r w:rsidR="006950EE" w:rsidRPr="000D47AC">
        <w:t xml:space="preserve">Gaddie’s key contribution is to focus on the ambition underpinning the pursuit of a career in politics. </w:t>
      </w:r>
      <w:r w:rsidR="004A1DBB" w:rsidRPr="000D47AC">
        <w:t>His analysis of campaigning reveals how professionalised politics has become since Fenno</w:t>
      </w:r>
      <w:r w:rsidR="00380105" w:rsidRPr="000D47AC">
        <w:t>.</w:t>
      </w:r>
      <w:r w:rsidR="009F6B88" w:rsidRPr="000D47AC">
        <w:t xml:space="preserve"> </w:t>
      </w:r>
      <w:r w:rsidR="0086655F" w:rsidRPr="000D47AC">
        <w:t>He identifies twin drivers for this phenomen</w:t>
      </w:r>
      <w:r w:rsidR="009B2C95" w:rsidRPr="000D47AC">
        <w:t>on</w:t>
      </w:r>
      <w:r w:rsidR="00966465" w:rsidRPr="000D47AC">
        <w:t>. First,</w:t>
      </w:r>
      <w:r w:rsidR="0086655F" w:rsidRPr="000D47AC">
        <w:t xml:space="preserve"> technological change has allowed candidates to produce cheaper and better media</w:t>
      </w:r>
      <w:r w:rsidR="00966465" w:rsidRPr="000D47AC">
        <w:t>. Second,</w:t>
      </w:r>
      <w:r w:rsidR="0086655F" w:rsidRPr="000D47AC">
        <w:t xml:space="preserve"> declining civic participation has meant candidates can no</w:t>
      </w:r>
      <w:r w:rsidR="004A6B4E" w:rsidRPr="000D47AC">
        <w:t xml:space="preserve"> </w:t>
      </w:r>
      <w:r w:rsidR="0086655F" w:rsidRPr="000D47AC">
        <w:t>longer</w:t>
      </w:r>
      <w:r w:rsidR="00966465" w:rsidRPr="000D47AC">
        <w:t xml:space="preserve"> rely on an army of volunteers in</w:t>
      </w:r>
      <w:r w:rsidR="0086655F" w:rsidRPr="000D47AC">
        <w:t xml:space="preserve"> the constituency.</w:t>
      </w:r>
      <w:r w:rsidR="00737120" w:rsidRPr="000D47AC">
        <w:t xml:space="preserve"> </w:t>
      </w:r>
    </w:p>
    <w:p w14:paraId="6DEEA767" w14:textId="21A8A051" w:rsidR="00973EDB" w:rsidRPr="000D47AC" w:rsidRDefault="0086655F" w:rsidP="00313088">
      <w:pPr>
        <w:spacing w:after="240" w:line="360" w:lineRule="auto"/>
      </w:pPr>
      <w:r w:rsidRPr="000D47AC">
        <w:t xml:space="preserve">Both </w:t>
      </w:r>
      <w:r w:rsidR="0020333C" w:rsidRPr="000D47AC">
        <w:t xml:space="preserve">sets of </w:t>
      </w:r>
      <w:r w:rsidRPr="000D47AC">
        <w:t>insights have implications for</w:t>
      </w:r>
      <w:r w:rsidR="008F4E1C" w:rsidRPr="000D47AC">
        <w:t xml:space="preserve"> explaining</w:t>
      </w:r>
      <w:r w:rsidR="009A2693" w:rsidRPr="000D47AC">
        <w:t xml:space="preserve"> the professionalization of political campaigning</w:t>
      </w:r>
      <w:r w:rsidRPr="000D47AC">
        <w:t>.</w:t>
      </w:r>
      <w:r w:rsidR="007E458B" w:rsidRPr="000D47AC">
        <w:t xml:space="preserve"> </w:t>
      </w:r>
      <w:r w:rsidR="00384D22" w:rsidRPr="000D47AC">
        <w:t xml:space="preserve">Political parties engaged in competitive elections have a set of norms that </w:t>
      </w:r>
      <w:r w:rsidR="00D07D87" w:rsidRPr="000D47AC">
        <w:t xml:space="preserve">specify </w:t>
      </w:r>
      <w:r w:rsidR="00F26585" w:rsidRPr="000D47AC">
        <w:t xml:space="preserve">what </w:t>
      </w:r>
      <w:r w:rsidR="008F4E1C" w:rsidRPr="000D47AC">
        <w:t>it takes</w:t>
      </w:r>
      <w:r w:rsidR="00F26585" w:rsidRPr="000D47AC">
        <w:t xml:space="preserve"> to </w:t>
      </w:r>
      <w:r w:rsidR="008F4E1C" w:rsidRPr="000D47AC">
        <w:t xml:space="preserve">gain the </w:t>
      </w:r>
      <w:r w:rsidR="009A2693" w:rsidRPr="000D47AC">
        <w:t>support</w:t>
      </w:r>
      <w:r w:rsidR="008F4E1C" w:rsidRPr="000D47AC">
        <w:t xml:space="preserve"> necessary to be </w:t>
      </w:r>
      <w:r w:rsidR="00F26585" w:rsidRPr="000D47AC">
        <w:t>elected</w:t>
      </w:r>
      <w:r w:rsidR="00966465" w:rsidRPr="000D47AC">
        <w:t>. They</w:t>
      </w:r>
      <w:r w:rsidR="009A2693" w:rsidRPr="000D47AC">
        <w:t xml:space="preserve"> emphasis</w:t>
      </w:r>
      <w:r w:rsidR="00966465" w:rsidRPr="000D47AC">
        <w:t>e</w:t>
      </w:r>
      <w:r w:rsidR="009A2693" w:rsidRPr="000D47AC">
        <w:t xml:space="preserve"> local identity and political</w:t>
      </w:r>
      <w:r w:rsidR="008F4E1C" w:rsidRPr="000D47AC">
        <w:t xml:space="preserve"> </w:t>
      </w:r>
      <w:r w:rsidR="009A2693" w:rsidRPr="000D47AC">
        <w:t>ambition to create trust</w:t>
      </w:r>
      <w:r w:rsidR="008F4E1C" w:rsidRPr="000D47AC">
        <w:t xml:space="preserve">, and </w:t>
      </w:r>
      <w:r w:rsidR="009A2693" w:rsidRPr="000D47AC">
        <w:t xml:space="preserve">using </w:t>
      </w:r>
      <w:r w:rsidR="008F4E1C" w:rsidRPr="000D47AC">
        <w:t>technologies</w:t>
      </w:r>
      <w:r w:rsidR="009A2693" w:rsidRPr="000D47AC">
        <w:t xml:space="preserve"> to bridge a falling activist base</w:t>
      </w:r>
      <w:r w:rsidR="00F26585" w:rsidRPr="000D47AC">
        <w:t>.</w:t>
      </w:r>
      <w:r w:rsidRPr="000D47AC">
        <w:t xml:space="preserve"> </w:t>
      </w:r>
      <w:r w:rsidR="00F26585" w:rsidRPr="000D47AC">
        <w:t>These</w:t>
      </w:r>
      <w:r w:rsidR="008F4E1C" w:rsidRPr="000D47AC">
        <w:t xml:space="preserve"> campaigning</w:t>
      </w:r>
      <w:r w:rsidR="00966465" w:rsidRPr="000D47AC">
        <w:t xml:space="preserve"> practices</w:t>
      </w:r>
      <w:r w:rsidR="008F4E1C" w:rsidRPr="000D47AC">
        <w:t xml:space="preserve"> are</w:t>
      </w:r>
      <w:r w:rsidR="00966465" w:rsidRPr="000D47AC">
        <w:t xml:space="preserve"> </w:t>
      </w:r>
      <w:r w:rsidR="00384D22" w:rsidRPr="000D47AC">
        <w:t>e</w:t>
      </w:r>
      <w:r w:rsidR="008F4E1C" w:rsidRPr="000D47AC">
        <w:t>mbedded in t</w:t>
      </w:r>
      <w:r w:rsidR="009A2693" w:rsidRPr="000D47AC">
        <w:t>he culture of political par</w:t>
      </w:r>
      <w:r w:rsidR="00C861C0" w:rsidRPr="000D47AC">
        <w:t xml:space="preserve">ties, and are part of the trend towards professionalization. This insight suggests the drivers of professionalized campaigning </w:t>
      </w:r>
      <w:r w:rsidR="00966465" w:rsidRPr="000D47AC">
        <w:t>lie not just in the national</w:t>
      </w:r>
      <w:r w:rsidR="00C861C0" w:rsidRPr="000D47AC">
        <w:t xml:space="preserve"> </w:t>
      </w:r>
      <w:r w:rsidR="00966465" w:rsidRPr="000D47AC">
        <w:t>party system but also in</w:t>
      </w:r>
      <w:r w:rsidR="007E6494" w:rsidRPr="000D47AC">
        <w:t xml:space="preserve"> the micro-level incentives and</w:t>
      </w:r>
      <w:r w:rsidR="00966465" w:rsidRPr="000D47AC">
        <w:t xml:space="preserve"> dilemmas local candidates face, which </w:t>
      </w:r>
      <w:r w:rsidR="007E6494" w:rsidRPr="000D47AC">
        <w:t xml:space="preserve">push </w:t>
      </w:r>
      <w:r w:rsidR="00767E10" w:rsidRPr="000D47AC">
        <w:t>them towards this professionaliz</w:t>
      </w:r>
      <w:r w:rsidR="007E6494" w:rsidRPr="000D47AC">
        <w:t xml:space="preserve">ed approach. </w:t>
      </w:r>
    </w:p>
    <w:p w14:paraId="3ABD74B3" w14:textId="6E706E3C" w:rsidR="00DE7BE3" w:rsidRPr="000D47AC" w:rsidRDefault="00D07D87" w:rsidP="00313088">
      <w:pPr>
        <w:spacing w:after="240" w:line="360" w:lineRule="auto"/>
      </w:pPr>
      <w:r w:rsidRPr="000D47AC">
        <w:t>In addition</w:t>
      </w:r>
      <w:r w:rsidR="00DE7BE3" w:rsidRPr="000D47AC">
        <w:t>, these studies suggest that political candidates themselves may play a central role in reproducing negative stories about the ‘Beltway Elite’. In their efforts to distance themselves from these negative stereotypes and assert their authentic and local</w:t>
      </w:r>
      <w:r w:rsidR="00737120" w:rsidRPr="000D47AC">
        <w:t xml:space="preserve"> </w:t>
      </w:r>
      <w:r w:rsidR="00DE7BE3" w:rsidRPr="000D47AC">
        <w:t xml:space="preserve">credentials, they buy into and reinforce cynical assumptions about the political class. Such an insight helps to make new sense of a long-standing conundrum in political science survey research—that citizens typically express a deep dislike for elected representatives in general while approving of their own representative in particular. Politicians are desperate to develop the same relationship that Fenno identified more than three decades ago. Indeed, to generate personal trust they perpetuate collective </w:t>
      </w:r>
      <w:r w:rsidR="00BF555A" w:rsidRPr="000D47AC">
        <w:t>disaffection</w:t>
      </w:r>
      <w:r w:rsidR="00DE7BE3" w:rsidRPr="000D47AC">
        <w:t>.</w:t>
      </w:r>
    </w:p>
    <w:p w14:paraId="7E1ADAA4" w14:textId="77777777" w:rsidR="00DE7BE3" w:rsidRPr="000D47AC" w:rsidRDefault="00DE7BE3" w:rsidP="00313088">
      <w:pPr>
        <w:spacing w:after="240" w:line="360" w:lineRule="auto"/>
      </w:pPr>
    </w:p>
    <w:p w14:paraId="4D1CE9B8" w14:textId="6DCED800" w:rsidR="00070762" w:rsidRPr="000D47AC" w:rsidRDefault="003E7776" w:rsidP="00313088">
      <w:pPr>
        <w:spacing w:after="240" w:line="360" w:lineRule="auto"/>
        <w:rPr>
          <w:i/>
          <w:iCs/>
        </w:rPr>
      </w:pPr>
      <w:r w:rsidRPr="000D47AC">
        <w:rPr>
          <w:i/>
          <w:iCs/>
        </w:rPr>
        <w:lastRenderedPageBreak/>
        <w:t xml:space="preserve">Lesson 2: </w:t>
      </w:r>
      <w:r w:rsidR="00DE7BE3" w:rsidRPr="000D47AC">
        <w:rPr>
          <w:i/>
          <w:iCs/>
        </w:rPr>
        <w:t>C</w:t>
      </w:r>
      <w:r w:rsidR="009A2693" w:rsidRPr="000D47AC">
        <w:rPr>
          <w:i/>
          <w:iCs/>
        </w:rPr>
        <w:t xml:space="preserve">oping mechanisms reinforce </w:t>
      </w:r>
      <w:r w:rsidR="00DE7BE3" w:rsidRPr="000D47AC">
        <w:rPr>
          <w:i/>
          <w:iCs/>
        </w:rPr>
        <w:t>distance</w:t>
      </w:r>
    </w:p>
    <w:p w14:paraId="4D765961" w14:textId="7C7FF518" w:rsidR="00973EDB" w:rsidRPr="000D47AC" w:rsidRDefault="00973EDB" w:rsidP="00313088">
      <w:pPr>
        <w:spacing w:after="240" w:line="360" w:lineRule="auto"/>
      </w:pPr>
      <w:r w:rsidRPr="000D47AC">
        <w:t xml:space="preserve">If the public typically disapproves </w:t>
      </w:r>
      <w:r w:rsidR="00C758FE">
        <w:t xml:space="preserve">of </w:t>
      </w:r>
      <w:r w:rsidRPr="000D47AC">
        <w:t>politicians</w:t>
      </w:r>
      <w:r w:rsidR="0086655F" w:rsidRPr="000D47AC">
        <w:t>—their motivations and intentions—then</w:t>
      </w:r>
      <w:r w:rsidRPr="000D47AC">
        <w:t xml:space="preserve"> they equally resent what politicians do. The presumption—echoed in rational-actor models that predominate in mainstream political science—is that their actions serve to gather and maintain their own power, and that they are willing to deceive the public in pursuit of these aims. Yet </w:t>
      </w:r>
      <w:r w:rsidR="00966465" w:rsidRPr="000D47AC">
        <w:t>present-day</w:t>
      </w:r>
      <w:r w:rsidRPr="000D47AC">
        <w:t xml:space="preserve"> ethnographic research </w:t>
      </w:r>
      <w:r w:rsidR="006E629E" w:rsidRPr="000D47AC">
        <w:t>complicates this picture. We look at</w:t>
      </w:r>
      <w:r w:rsidRPr="000D47AC">
        <w:t xml:space="preserve"> two recent British studies focused on Whitehall (Rhodes 2011) and Westminster</w:t>
      </w:r>
      <w:r w:rsidR="00C1726C" w:rsidRPr="000D47AC">
        <w:t xml:space="preserve"> (Crewe 2015</w:t>
      </w:r>
      <w:r w:rsidRPr="000D47AC">
        <w:t>).</w:t>
      </w:r>
    </w:p>
    <w:p w14:paraId="36FFE036" w14:textId="5208C690" w:rsidR="00973EDB" w:rsidRPr="000D47AC" w:rsidRDefault="00C3444B" w:rsidP="00313088">
      <w:pPr>
        <w:spacing w:after="240" w:line="360" w:lineRule="auto"/>
      </w:pPr>
      <w:r w:rsidRPr="000D47AC">
        <w:t xml:space="preserve">Rhodes’s </w:t>
      </w:r>
      <w:r w:rsidR="00E7296C" w:rsidRPr="000D47AC">
        <w:t>study</w:t>
      </w:r>
      <w:r w:rsidRPr="000D47AC">
        <w:t xml:space="preserve"> of Ministerial life at Westminster</w:t>
      </w:r>
      <w:r w:rsidR="00E7296C" w:rsidRPr="000D47AC">
        <w:t xml:space="preserve"> </w:t>
      </w:r>
      <w:r w:rsidR="00F13574" w:rsidRPr="000D47AC">
        <w:t>combines</w:t>
      </w:r>
      <w:r w:rsidR="00E7296C" w:rsidRPr="000D47AC">
        <w:t xml:space="preserve"> </w:t>
      </w:r>
      <w:r w:rsidR="006E629E" w:rsidRPr="000D47AC">
        <w:t xml:space="preserve">hit-and-run </w:t>
      </w:r>
      <w:r w:rsidR="00F13574" w:rsidRPr="000D47AC">
        <w:t>observation</w:t>
      </w:r>
      <w:r w:rsidR="00E7296C" w:rsidRPr="000D47AC">
        <w:t xml:space="preserve"> </w:t>
      </w:r>
      <w:r w:rsidR="00C1726C" w:rsidRPr="000D47AC">
        <w:t xml:space="preserve">and </w:t>
      </w:r>
      <w:r w:rsidR="006E629E" w:rsidRPr="000D47AC">
        <w:t>ethnographic</w:t>
      </w:r>
      <w:r w:rsidR="00C1726C" w:rsidRPr="000D47AC">
        <w:t xml:space="preserve"> interviewing</w:t>
      </w:r>
      <w:r w:rsidR="009F6B88" w:rsidRPr="000D47AC">
        <w:t xml:space="preserve">. </w:t>
      </w:r>
      <w:r w:rsidR="00E7296C" w:rsidRPr="000D47AC">
        <w:t>His account</w:t>
      </w:r>
      <w:r w:rsidRPr="000D47AC">
        <w:t xml:space="preserve"> foc</w:t>
      </w:r>
      <w:r w:rsidR="006E629E" w:rsidRPr="000D47AC">
        <w:t>uses on</w:t>
      </w:r>
      <w:r w:rsidRPr="000D47AC">
        <w:t xml:space="preserve"> the ‘departmental court’ – the many actors and practices that surround</w:t>
      </w:r>
      <w:r w:rsidR="006E629E" w:rsidRPr="000D47AC">
        <w:t xml:space="preserve"> the Minster </w:t>
      </w:r>
      <w:r w:rsidRPr="000D47AC">
        <w:t xml:space="preserve">to coordinate </w:t>
      </w:r>
      <w:r w:rsidR="00966465" w:rsidRPr="000D47AC">
        <w:t>the work</w:t>
      </w:r>
      <w:r w:rsidRPr="000D47AC">
        <w:t xml:space="preserve"> and manage the conflicts and relationships that characterise this work</w:t>
      </w:r>
      <w:r w:rsidR="00973EDB" w:rsidRPr="000D47AC">
        <w:t>.</w:t>
      </w:r>
      <w:r w:rsidR="006E629E" w:rsidRPr="000D47AC">
        <w:t xml:space="preserve"> He describes the court as</w:t>
      </w:r>
      <w:r w:rsidR="00973EDB" w:rsidRPr="000D47AC">
        <w:t xml:space="preserve"> a complex coping mechanism</w:t>
      </w:r>
      <w:r w:rsidR="00D07D87" w:rsidRPr="000D47AC">
        <w:t xml:space="preserve"> -</w:t>
      </w:r>
      <w:r w:rsidR="00973EDB" w:rsidRPr="000D47AC">
        <w:t xml:space="preserve"> </w:t>
      </w:r>
      <w:r w:rsidR="00E7296C" w:rsidRPr="000D47AC">
        <w:t xml:space="preserve">a </w:t>
      </w:r>
      <w:r w:rsidR="00E7296C" w:rsidRPr="000D47AC">
        <w:rPr>
          <w:i/>
          <w:iCs/>
        </w:rPr>
        <w:t>cocoon</w:t>
      </w:r>
      <w:r w:rsidR="00E7296C" w:rsidRPr="000D47AC">
        <w:t xml:space="preserve"> </w:t>
      </w:r>
      <w:r w:rsidRPr="000D47AC">
        <w:t xml:space="preserve">from the pressures of media scrutiny, political rivalries and policy </w:t>
      </w:r>
      <w:r w:rsidR="00966465" w:rsidRPr="000D47AC">
        <w:t>surprises and failures</w:t>
      </w:r>
      <w:r w:rsidRPr="000D47AC">
        <w:t>.</w:t>
      </w:r>
      <w:r w:rsidR="00973EDB" w:rsidRPr="000D47AC">
        <w:t xml:space="preserve"> </w:t>
      </w:r>
      <w:r w:rsidR="001A3D13" w:rsidRPr="000D47AC">
        <w:rPr>
          <w:iCs/>
        </w:rPr>
        <w:t>P</w:t>
      </w:r>
      <w:r w:rsidRPr="000D47AC">
        <w:rPr>
          <w:iCs/>
        </w:rPr>
        <w:t>e</w:t>
      </w:r>
      <w:r w:rsidR="001A3D13" w:rsidRPr="000D47AC">
        <w:rPr>
          <w:iCs/>
        </w:rPr>
        <w:t>rmanent Secretaries and M</w:t>
      </w:r>
      <w:r w:rsidRPr="000D47AC">
        <w:rPr>
          <w:iCs/>
        </w:rPr>
        <w:t xml:space="preserve">inisters </w:t>
      </w:r>
      <w:r w:rsidR="006E629E" w:rsidRPr="000D47AC">
        <w:rPr>
          <w:iCs/>
        </w:rPr>
        <w:t xml:space="preserve">as </w:t>
      </w:r>
      <w:r w:rsidRPr="000D47AC">
        <w:rPr>
          <w:iCs/>
        </w:rPr>
        <w:t>l</w:t>
      </w:r>
      <w:r w:rsidR="006E629E" w:rsidRPr="000D47AC">
        <w:rPr>
          <w:iCs/>
        </w:rPr>
        <w:t>iving in a small, claustrophobic</w:t>
      </w:r>
      <w:r w:rsidRPr="000D47AC">
        <w:rPr>
          <w:iCs/>
        </w:rPr>
        <w:t xml:space="preserve"> world</w:t>
      </w:r>
      <w:r w:rsidR="00F13574" w:rsidRPr="000D47AC">
        <w:rPr>
          <w:iCs/>
        </w:rPr>
        <w:t>.</w:t>
      </w:r>
      <w:r w:rsidR="00966465" w:rsidRPr="000D47AC">
        <w:rPr>
          <w:iCs/>
        </w:rPr>
        <w:t xml:space="preserve"> </w:t>
      </w:r>
      <w:r w:rsidR="006B7CBB" w:rsidRPr="000D47AC">
        <w:t>T</w:t>
      </w:r>
      <w:r w:rsidR="00E7296C" w:rsidRPr="000D47AC">
        <w:t>he</w:t>
      </w:r>
      <w:r w:rsidR="006E629E" w:rsidRPr="000D47AC">
        <w:t>ir</w:t>
      </w:r>
      <w:r w:rsidRPr="000D47AC">
        <w:t xml:space="preserve"> combination of a genuine need for confidentiality, a siege mentality, and habitual caution can reinforce the walls of a closed world impervious both to the diversity of opinion outside the cocoon and to the consequences of its actions for other people.</w:t>
      </w:r>
    </w:p>
    <w:p w14:paraId="5B941773" w14:textId="53EA9D71" w:rsidR="00070762" w:rsidRPr="000D47AC" w:rsidRDefault="00C3444B" w:rsidP="00313088">
      <w:pPr>
        <w:spacing w:after="240" w:line="360" w:lineRule="auto"/>
      </w:pPr>
      <w:r w:rsidRPr="000D47AC">
        <w:t xml:space="preserve">Emma </w:t>
      </w:r>
      <w:r w:rsidR="00973EDB" w:rsidRPr="000D47AC">
        <w:t>Crewe</w:t>
      </w:r>
      <w:r w:rsidRPr="000D47AC">
        <w:t>’s</w:t>
      </w:r>
      <w:r w:rsidR="00973EDB" w:rsidRPr="000D47AC">
        <w:t xml:space="preserve"> (2015) </w:t>
      </w:r>
      <w:r w:rsidR="00E7296C" w:rsidRPr="000D47AC">
        <w:t>ethnographic study of the House of Commons</w:t>
      </w:r>
      <w:r w:rsidR="005F52C2" w:rsidRPr="000D47AC">
        <w:t xml:space="preserve"> draws together a wealth of observation, interviews and media coverage.</w:t>
      </w:r>
      <w:r w:rsidR="00E7296C" w:rsidRPr="000D47AC">
        <w:t xml:space="preserve"> </w:t>
      </w:r>
      <w:r w:rsidR="005F52C2" w:rsidRPr="000D47AC">
        <w:t>Central to her account is a depiction of the vast array of demands facing legislators</w:t>
      </w:r>
      <w:r w:rsidR="00966465" w:rsidRPr="000D47AC">
        <w:t xml:space="preserve">. These </w:t>
      </w:r>
      <w:r w:rsidR="00F14072" w:rsidRPr="000D47AC">
        <w:t xml:space="preserve">demands </w:t>
      </w:r>
      <w:r w:rsidR="00966465" w:rsidRPr="000D47AC">
        <w:t>call for</w:t>
      </w:r>
      <w:r w:rsidR="00F14072" w:rsidRPr="000D47AC">
        <w:t xml:space="preserve"> different sorts of social performances and can accentuate the perception of </w:t>
      </w:r>
      <w:r w:rsidR="00C1726C" w:rsidRPr="000D47AC">
        <w:t xml:space="preserve">politicians as </w:t>
      </w:r>
      <w:r w:rsidR="00966465" w:rsidRPr="000D47AC">
        <w:t>excessively</w:t>
      </w:r>
      <w:r w:rsidR="002B3320" w:rsidRPr="000D47AC">
        <w:t xml:space="preserve"> partisan</w:t>
      </w:r>
      <w:r w:rsidR="00F14072" w:rsidRPr="000D47AC">
        <w:t>.</w:t>
      </w:r>
      <w:r w:rsidR="009F6B88" w:rsidRPr="000D47AC">
        <w:t xml:space="preserve"> </w:t>
      </w:r>
      <w:r w:rsidR="00E7296C" w:rsidRPr="000D47AC">
        <w:t xml:space="preserve">On the one hand, she </w:t>
      </w:r>
      <w:r w:rsidR="00973EDB" w:rsidRPr="000D47AC">
        <w:t>details the intensive relationship MPs have with their constituents. This ‘glorified social work’ is hidden to the external obser</w:t>
      </w:r>
      <w:r w:rsidR="006E629E" w:rsidRPr="000D47AC">
        <w:t>ver</w:t>
      </w:r>
      <w:r w:rsidR="00D852B9" w:rsidRPr="000D47AC">
        <w:t>s</w:t>
      </w:r>
      <w:r w:rsidR="006E629E" w:rsidRPr="000D47AC">
        <w:t xml:space="preserve"> until </w:t>
      </w:r>
      <w:r w:rsidR="00D852B9" w:rsidRPr="000D47AC">
        <w:t xml:space="preserve">they </w:t>
      </w:r>
      <w:r w:rsidR="00D07D87" w:rsidRPr="000D47AC">
        <w:t>see</w:t>
      </w:r>
      <w:r w:rsidR="00973EDB" w:rsidRPr="000D47AC">
        <w:t xml:space="preserve"> the everyday life of a parliamentary office. Crewe observed that MPs</w:t>
      </w:r>
      <w:r w:rsidR="00380105" w:rsidRPr="000D47AC">
        <w:t>, even those in safe electorate seats,</w:t>
      </w:r>
      <w:r w:rsidR="00973EDB" w:rsidRPr="000D47AC">
        <w:t xml:space="preserve"> tended to meet those who were not on the electoral register, who faced losing their job, or were deal</w:t>
      </w:r>
      <w:r w:rsidR="002E6DFE" w:rsidRPr="000D47AC">
        <w:t>ing</w:t>
      </w:r>
      <w:r w:rsidR="00973EDB" w:rsidRPr="000D47AC">
        <w:t xml:space="preserve"> with their emotionally complex and difficult problems. The notion that MPs can simply act as the s</w:t>
      </w:r>
      <w:r w:rsidR="00C1726C" w:rsidRPr="000D47AC">
        <w:t xml:space="preserve">ingular ‘voice’ of constituents, then, </w:t>
      </w:r>
      <w:r w:rsidR="00973EDB" w:rsidRPr="000D47AC">
        <w:t>is confounded by the reality that most of the interactions they have with constituents are about ‘fixing’ their problems</w:t>
      </w:r>
      <w:r w:rsidR="00380105" w:rsidRPr="000D47AC">
        <w:t>.</w:t>
      </w:r>
      <w:r w:rsidR="009F6B88" w:rsidRPr="000D47AC">
        <w:t xml:space="preserve"> </w:t>
      </w:r>
      <w:r w:rsidR="00D07D87" w:rsidRPr="000D47AC">
        <w:t>On</w:t>
      </w:r>
      <w:r w:rsidR="005F52C2" w:rsidRPr="000D47AC">
        <w:t xml:space="preserve"> the other hand, </w:t>
      </w:r>
      <w:r w:rsidR="00973EDB" w:rsidRPr="000D47AC">
        <w:t xml:space="preserve">Crewe’s (2015: 153-4) work </w:t>
      </w:r>
      <w:r w:rsidR="005F52C2" w:rsidRPr="000D47AC">
        <w:t xml:space="preserve">also focuses on the demands MPs face in developing, defending and scrutinizing complex policy. She </w:t>
      </w:r>
      <w:r w:rsidR="00973EDB" w:rsidRPr="000D47AC">
        <w:t xml:space="preserve">shows that MPs do not, </w:t>
      </w:r>
      <w:r w:rsidR="00973EDB" w:rsidRPr="000D47AC">
        <w:lastRenderedPageBreak/>
        <w:t>and cannot, learn extensively a</w:t>
      </w:r>
      <w:r w:rsidR="00966465" w:rsidRPr="000D47AC">
        <w:t xml:space="preserve">bout all the areas they are </w:t>
      </w:r>
      <w:r w:rsidR="00973EDB" w:rsidRPr="000D47AC">
        <w:t xml:space="preserve">asked </w:t>
      </w:r>
      <w:r w:rsidR="00966465" w:rsidRPr="000D47AC">
        <w:t>to</w:t>
      </w:r>
      <w:r w:rsidR="00973EDB" w:rsidRPr="000D47AC">
        <w:t xml:space="preserve"> learn. </w:t>
      </w:r>
      <w:r w:rsidR="005F52C2" w:rsidRPr="000D47AC">
        <w:t xml:space="preserve">Instead, the competing demands mean they have to learn ‘riffs’ - </w:t>
      </w:r>
      <w:r w:rsidR="004F4BEC" w:rsidRPr="000D47AC">
        <w:t>9</w:t>
      </w:r>
      <w:r w:rsidR="00973EDB" w:rsidRPr="000D47AC">
        <w:t>0-second linguistic devices, ‘perhaps seven or eight at any one time’</w:t>
      </w:r>
      <w:r w:rsidR="001A3D13" w:rsidRPr="000D47AC">
        <w:t>,</w:t>
      </w:r>
      <w:r w:rsidR="00973EDB" w:rsidRPr="000D47AC">
        <w:t xml:space="preserve"> on a topic </w:t>
      </w:r>
      <w:r w:rsidR="005F52C2" w:rsidRPr="000D47AC">
        <w:t xml:space="preserve">that </w:t>
      </w:r>
      <w:r w:rsidR="00973EDB" w:rsidRPr="000D47AC">
        <w:t>they have had to learn abou</w:t>
      </w:r>
      <w:r w:rsidR="006E629E" w:rsidRPr="000D47AC">
        <w:t>t quickly. Riffs are</w:t>
      </w:r>
      <w:r w:rsidR="00973EDB" w:rsidRPr="000D47AC">
        <w:t xml:space="preserve"> a </w:t>
      </w:r>
      <w:r w:rsidR="006E629E" w:rsidRPr="000D47AC">
        <w:t>form of ‘message discipline’. They perpetuate</w:t>
      </w:r>
      <w:r w:rsidR="00973EDB" w:rsidRPr="000D47AC">
        <w:t xml:space="preserve"> the ‘</w:t>
      </w:r>
      <w:r w:rsidR="006E629E" w:rsidRPr="000D47AC">
        <w:t>spin’ accusations often</w:t>
      </w:r>
      <w:r w:rsidR="00973EDB" w:rsidRPr="000D47AC">
        <w:t xml:space="preserve"> included in </w:t>
      </w:r>
      <w:r w:rsidR="007E6494" w:rsidRPr="000D47AC">
        <w:t xml:space="preserve">explanations of </w:t>
      </w:r>
      <w:r w:rsidR="00BF555A" w:rsidRPr="000D47AC">
        <w:t>democratic disaffection</w:t>
      </w:r>
      <w:r w:rsidR="00973EDB" w:rsidRPr="000D47AC">
        <w:t>.</w:t>
      </w:r>
    </w:p>
    <w:p w14:paraId="2A8F6D25" w14:textId="1EAC1409" w:rsidR="007E6494" w:rsidRPr="000D47AC" w:rsidRDefault="007E6494" w:rsidP="00313088">
      <w:pPr>
        <w:spacing w:after="240" w:line="360" w:lineRule="auto"/>
      </w:pPr>
      <w:r w:rsidRPr="000D47AC">
        <w:t>Rhodes and Crewe</w:t>
      </w:r>
      <w:r w:rsidR="001A7ADA" w:rsidRPr="000D47AC">
        <w:t xml:space="preserve"> </w:t>
      </w:r>
      <w:r w:rsidRPr="000D47AC">
        <w:t xml:space="preserve">provide an insight into how the </w:t>
      </w:r>
      <w:r w:rsidR="008876FA" w:rsidRPr="000D47AC">
        <w:t>practices that constitute</w:t>
      </w:r>
      <w:r w:rsidRPr="000D47AC">
        <w:t xml:space="preserve"> political institutions shape </w:t>
      </w:r>
      <w:r w:rsidR="001B60DB" w:rsidRPr="000D47AC">
        <w:t>actions</w:t>
      </w:r>
      <w:r w:rsidRPr="000D47AC">
        <w:t xml:space="preserve"> </w:t>
      </w:r>
      <w:r w:rsidR="002B3320" w:rsidRPr="000D47AC">
        <w:t xml:space="preserve">that </w:t>
      </w:r>
      <w:r w:rsidR="00D07D87" w:rsidRPr="000D47AC">
        <w:t xml:space="preserve">are </w:t>
      </w:r>
      <w:r w:rsidR="002B3320" w:rsidRPr="000D47AC">
        <w:t xml:space="preserve">widely </w:t>
      </w:r>
      <w:r w:rsidR="001B60DB" w:rsidRPr="000D47AC">
        <w:t>recognised</w:t>
      </w:r>
      <w:r w:rsidR="002B3320" w:rsidRPr="000D47AC">
        <w:t xml:space="preserve"> </w:t>
      </w:r>
      <w:r w:rsidR="001B60DB" w:rsidRPr="000D47AC">
        <w:t>to</w:t>
      </w:r>
      <w:r w:rsidR="002B3320" w:rsidRPr="000D47AC">
        <w:t xml:space="preserve"> expla</w:t>
      </w:r>
      <w:r w:rsidR="001B60DB" w:rsidRPr="000D47AC">
        <w:t>i</w:t>
      </w:r>
      <w:r w:rsidR="002B3320" w:rsidRPr="000D47AC">
        <w:t>n</w:t>
      </w:r>
      <w:r w:rsidR="001B60DB" w:rsidRPr="000D47AC">
        <w:t xml:space="preserve"> </w:t>
      </w:r>
      <w:r w:rsidR="00BF555A" w:rsidRPr="000D47AC">
        <w:t>democratic disaffection</w:t>
      </w:r>
      <w:r w:rsidR="002B3320" w:rsidRPr="000D47AC">
        <w:t>. Crewe shows professionalization as a product of taxing constituency work, as well as an incredibly demanding and diverse policy brief. Rhodes details the ‘cocoon’ ministers create, and their attendant practice</w:t>
      </w:r>
      <w:r w:rsidR="00384D22" w:rsidRPr="000D47AC">
        <w:t>s</w:t>
      </w:r>
      <w:r w:rsidR="002B3320" w:rsidRPr="000D47AC">
        <w:t xml:space="preserve">, as coping mechanisms against </w:t>
      </w:r>
      <w:r w:rsidR="001A7ADA" w:rsidRPr="000D47AC">
        <w:t xml:space="preserve">an intrusive </w:t>
      </w:r>
      <w:r w:rsidR="002B3320" w:rsidRPr="000D47AC">
        <w:t>media.</w:t>
      </w:r>
      <w:r w:rsidR="00656781" w:rsidRPr="000D47AC">
        <w:t xml:space="preserve"> These insights show the everyday institutional effects t</w:t>
      </w:r>
      <w:r w:rsidR="00384D22" w:rsidRPr="000D47AC">
        <w:t xml:space="preserve">hat lead to professionalization, and help us understand why politicians might often act in ways that fuel </w:t>
      </w:r>
      <w:r w:rsidR="00BF555A" w:rsidRPr="000D47AC">
        <w:t>democratic disafection</w:t>
      </w:r>
      <w:r w:rsidR="00656781" w:rsidRPr="000D47AC">
        <w:t>.</w:t>
      </w:r>
    </w:p>
    <w:p w14:paraId="77B55205" w14:textId="77777777" w:rsidR="00F14072" w:rsidRPr="000D47AC" w:rsidRDefault="00F14072" w:rsidP="00313088">
      <w:pPr>
        <w:spacing w:after="240" w:line="360" w:lineRule="auto"/>
      </w:pPr>
    </w:p>
    <w:p w14:paraId="4B077D64" w14:textId="2363A748" w:rsidR="00CC6CD6" w:rsidRPr="000D47AC" w:rsidRDefault="00070762" w:rsidP="00313088">
      <w:pPr>
        <w:spacing w:after="240" w:line="360" w:lineRule="auto"/>
        <w:rPr>
          <w:i/>
          <w:iCs/>
        </w:rPr>
      </w:pPr>
      <w:r w:rsidRPr="000D47AC">
        <w:rPr>
          <w:i/>
          <w:iCs/>
        </w:rPr>
        <w:t>Lesson 3: From Incompetence to Impotence</w:t>
      </w:r>
    </w:p>
    <w:p w14:paraId="46440093" w14:textId="3C0C3199" w:rsidR="00ED1274" w:rsidRPr="000D47AC" w:rsidRDefault="00F14072" w:rsidP="00313088">
      <w:pPr>
        <w:spacing w:after="240" w:line="360" w:lineRule="auto"/>
      </w:pPr>
      <w:r w:rsidRPr="000D47AC">
        <w:t>The final popular charge thrown at political elites is that they lack competency</w:t>
      </w:r>
      <w:r w:rsidR="00FB2349" w:rsidRPr="000D47AC">
        <w:t>.</w:t>
      </w:r>
      <w:r w:rsidR="009F6B88" w:rsidRPr="000D47AC">
        <w:t xml:space="preserve"> </w:t>
      </w:r>
      <w:r w:rsidR="00924D61" w:rsidRPr="000D47AC">
        <w:t xml:space="preserve">A substantial line of enquiry focuses on the </w:t>
      </w:r>
      <w:r w:rsidR="001B60DB" w:rsidRPr="000D47AC">
        <w:t>failings</w:t>
      </w:r>
      <w:r w:rsidR="00924D61" w:rsidRPr="000D47AC">
        <w:t xml:space="preserve"> of political elites in running government. (</w:t>
      </w:r>
      <w:r w:rsidR="000A2D5C" w:rsidRPr="000D47AC">
        <w:t>e</w:t>
      </w:r>
      <w:r w:rsidR="00E94DDA" w:rsidRPr="000D47AC">
        <w:t>.</w:t>
      </w:r>
      <w:r w:rsidR="000A2D5C" w:rsidRPr="000D47AC">
        <w:t xml:space="preserve">g. </w:t>
      </w:r>
      <w:r w:rsidR="00924D61" w:rsidRPr="000D47AC">
        <w:t xml:space="preserve">Dunleavy 1995; </w:t>
      </w:r>
      <w:r w:rsidR="000A2D5C" w:rsidRPr="000D47AC">
        <w:t>Bovens and t’ Hart 1996; Schuck 2015</w:t>
      </w:r>
      <w:r w:rsidR="00924D61" w:rsidRPr="000D47AC">
        <w:t>)</w:t>
      </w:r>
      <w:r w:rsidR="000A2D5C" w:rsidRPr="000D47AC">
        <w:t>.</w:t>
      </w:r>
      <w:r w:rsidR="00F639AD" w:rsidRPr="000D47AC">
        <w:t xml:space="preserve"> Once again, ethnographic research </w:t>
      </w:r>
      <w:r w:rsidR="00656781" w:rsidRPr="000D47AC">
        <w:t>enables a more nuanced explanation of how ‘incompetence’ comes about, in this case due to unrealistic expectations.</w:t>
      </w:r>
    </w:p>
    <w:p w14:paraId="258D78F3" w14:textId="44A89659" w:rsidR="007B3D33" w:rsidRPr="000D47AC" w:rsidRDefault="00F639AD" w:rsidP="00313088">
      <w:pPr>
        <w:spacing w:after="240" w:line="360" w:lineRule="auto"/>
      </w:pPr>
      <w:r w:rsidRPr="000D47AC">
        <w:t>Grant Reeher</w:t>
      </w:r>
      <w:r w:rsidR="00BA2DCC" w:rsidRPr="000D47AC">
        <w:t>’s</w:t>
      </w:r>
      <w:r w:rsidR="00C1726C" w:rsidRPr="000D47AC">
        <w:t xml:space="preserve"> (2006)</w:t>
      </w:r>
      <w:r w:rsidRPr="000D47AC">
        <w:t xml:space="preserve"> biographical account of legislative life represents a rich collective portrait</w:t>
      </w:r>
      <w:r w:rsidR="005F2D09" w:rsidRPr="000D47AC">
        <w:t>.</w:t>
      </w:r>
      <w:r w:rsidRPr="000D47AC">
        <w:t xml:space="preserve"> Reeher’s account draws together </w:t>
      </w:r>
      <w:r w:rsidR="006E629E" w:rsidRPr="000D47AC">
        <w:t>ethnographic</w:t>
      </w:r>
      <w:r w:rsidR="00F13574" w:rsidRPr="000D47AC">
        <w:t xml:space="preserve"> </w:t>
      </w:r>
      <w:r w:rsidRPr="000D47AC">
        <w:t>interviews with dozens of state legislators</w:t>
      </w:r>
      <w:r w:rsidR="006E629E" w:rsidRPr="000D47AC">
        <w:t xml:space="preserve"> across the US. In relating</w:t>
      </w:r>
      <w:r w:rsidRPr="000D47AC">
        <w:t xml:space="preserve"> the</w:t>
      </w:r>
      <w:r w:rsidR="00C1726C" w:rsidRPr="000D47AC">
        <w:t>ir</w:t>
      </w:r>
      <w:r w:rsidRPr="000D47AC">
        <w:t xml:space="preserve"> intimate experience</w:t>
      </w:r>
      <w:r w:rsidR="00C1726C" w:rsidRPr="000D47AC">
        <w:t>s</w:t>
      </w:r>
      <w:r w:rsidR="006E629E" w:rsidRPr="000D47AC">
        <w:t>,</w:t>
      </w:r>
      <w:r w:rsidRPr="000D47AC">
        <w:t xml:space="preserve"> Reeher’s account introduces a peculiar paradox of life at the top—that</w:t>
      </w:r>
      <w:r w:rsidR="006E629E" w:rsidRPr="000D47AC">
        <w:t xml:space="preserve"> those who hold power</w:t>
      </w:r>
      <w:r w:rsidRPr="000D47AC">
        <w:t xml:space="preserve"> often feel </w:t>
      </w:r>
      <w:r w:rsidRPr="000D47AC">
        <w:rPr>
          <w:i/>
          <w:iCs/>
        </w:rPr>
        <w:t>powerless</w:t>
      </w:r>
      <w:r w:rsidRPr="000D47AC">
        <w:t xml:space="preserve">. In his account, legislators reflect that the demands of office, and the complex political environment that they have to navigate, can leave them feeling </w:t>
      </w:r>
      <w:r w:rsidR="001B60DB" w:rsidRPr="000D47AC">
        <w:t>helpless</w:t>
      </w:r>
      <w:r w:rsidRPr="000D47AC">
        <w:t xml:space="preserve">. </w:t>
      </w:r>
      <w:r w:rsidR="00BA2DCC" w:rsidRPr="000D47AC">
        <w:t>Reeher’s</w:t>
      </w:r>
      <w:r w:rsidRPr="000D47AC">
        <w:t xml:space="preserve"> participants express deep frustration about the barriers that thwart t</w:t>
      </w:r>
      <w:r w:rsidR="00E915D9" w:rsidRPr="000D47AC">
        <w:t>heir efforts towards meaningful</w:t>
      </w:r>
      <w:r w:rsidR="009F6B88" w:rsidRPr="000D47AC">
        <w:t xml:space="preserve"> </w:t>
      </w:r>
      <w:r w:rsidRPr="000D47AC">
        <w:t>change</w:t>
      </w:r>
      <w:r w:rsidR="0020333C" w:rsidRPr="000D47AC">
        <w:t>.</w:t>
      </w:r>
    </w:p>
    <w:p w14:paraId="21B84B0D" w14:textId="2BC40D18" w:rsidR="00BA2DCC" w:rsidRPr="000D47AC" w:rsidRDefault="00BA2DCC" w:rsidP="00313088">
      <w:pPr>
        <w:spacing w:after="240" w:line="360" w:lineRule="auto"/>
      </w:pPr>
      <w:r w:rsidRPr="000D47AC">
        <w:t>Corbett</w:t>
      </w:r>
      <w:r w:rsidR="00B66232" w:rsidRPr="000D47AC">
        <w:t xml:space="preserve"> (2015) sought to replicate Reheer’s study but in a different context: the Pacific Islands. He </w:t>
      </w:r>
      <w:r w:rsidRPr="000D47AC">
        <w:t xml:space="preserve">draws </w:t>
      </w:r>
      <w:r w:rsidR="00F13574" w:rsidRPr="000D47AC">
        <w:t xml:space="preserve">mainly </w:t>
      </w:r>
      <w:r w:rsidRPr="000D47AC">
        <w:t>on over 100 interviews</w:t>
      </w:r>
      <w:r w:rsidR="00B66232" w:rsidRPr="000D47AC">
        <w:t xml:space="preserve"> with politicians</w:t>
      </w:r>
      <w:r w:rsidR="00F13574" w:rsidRPr="000D47AC">
        <w:t xml:space="preserve"> and</w:t>
      </w:r>
      <w:r w:rsidRPr="000D47AC">
        <w:t xml:space="preserve"> </w:t>
      </w:r>
      <w:r w:rsidR="007B3D33" w:rsidRPr="000D47AC">
        <w:t xml:space="preserve">more </w:t>
      </w:r>
      <w:r w:rsidR="007B3D33" w:rsidRPr="000D47AC">
        <w:lastRenderedPageBreak/>
        <w:t>than 50 auto/bi</w:t>
      </w:r>
      <w:r w:rsidR="00A83AC3" w:rsidRPr="000D47AC">
        <w:t>o</w:t>
      </w:r>
      <w:r w:rsidR="007B3D33" w:rsidRPr="000D47AC">
        <w:t>graphies</w:t>
      </w:r>
      <w:r w:rsidRPr="000D47AC">
        <w:t>. Corbett’s account details the depth of concern about the corruption and incompetence of contemporary politicians</w:t>
      </w:r>
      <w:r w:rsidR="00C1726C" w:rsidRPr="000D47AC">
        <w:t xml:space="preserve"> in this region</w:t>
      </w:r>
      <w:r w:rsidR="001B60DB" w:rsidRPr="000D47AC">
        <w:t>. Unflattering comparisons were made with</w:t>
      </w:r>
      <w:r w:rsidR="00C1726C" w:rsidRPr="000D47AC">
        <w:t xml:space="preserve"> </w:t>
      </w:r>
      <w:r w:rsidR="001A3D13" w:rsidRPr="000D47AC">
        <w:t>the so-called Golden G</w:t>
      </w:r>
      <w:r w:rsidRPr="000D47AC">
        <w:t xml:space="preserve">eneration who had led most Pacific states to independence in the 1970s and 1980s. </w:t>
      </w:r>
      <w:r w:rsidR="00F13574" w:rsidRPr="000D47AC">
        <w:t>T</w:t>
      </w:r>
      <w:r w:rsidRPr="000D47AC">
        <w:t>he politicians at the centre of Corbett’s sto</w:t>
      </w:r>
      <w:r w:rsidR="00E915D9" w:rsidRPr="000D47AC">
        <w:t>ry are complicit in</w:t>
      </w:r>
      <w:r w:rsidRPr="000D47AC">
        <w:t xml:space="preserve"> reinforcing this narrative of decline. To win support, they make grand promises to improve the quality of governance and enhance living standards. </w:t>
      </w:r>
      <w:r w:rsidR="00D07D87" w:rsidRPr="000D47AC">
        <w:t>O</w:t>
      </w:r>
      <w:r w:rsidRPr="000D47AC">
        <w:t xml:space="preserve">nce in office, they experience </w:t>
      </w:r>
      <w:r w:rsidR="002210DB" w:rsidRPr="000D47AC">
        <w:t>first hand</w:t>
      </w:r>
      <w:r w:rsidRPr="000D47AC">
        <w:t xml:space="preserve"> the inevitable powerlessness of running a weak state apparatus in a context of poverty and aid dependency.</w:t>
      </w:r>
    </w:p>
    <w:p w14:paraId="53748861" w14:textId="45C5DF6B" w:rsidR="005A7186" w:rsidRPr="000D47AC" w:rsidRDefault="00384D22" w:rsidP="00313088">
      <w:pPr>
        <w:spacing w:after="240" w:line="360" w:lineRule="auto"/>
      </w:pPr>
      <w:r w:rsidRPr="000D47AC">
        <w:t xml:space="preserve">Reeher and Corbett’s insights </w:t>
      </w:r>
      <w:r w:rsidR="001A7ADA" w:rsidRPr="000D47AC">
        <w:t xml:space="preserve">into the feelings of powerlessness among legislators helps to explain </w:t>
      </w:r>
      <w:r w:rsidR="00452819" w:rsidRPr="000D47AC">
        <w:t xml:space="preserve">why they often </w:t>
      </w:r>
      <w:r w:rsidR="00BA01E6" w:rsidRPr="000D47AC">
        <w:t>appear ‘</w:t>
      </w:r>
      <w:r w:rsidR="00D07D87" w:rsidRPr="000D47AC">
        <w:t>incompetent’. This</w:t>
      </w:r>
      <w:r w:rsidR="001B60DB" w:rsidRPr="000D47AC">
        <w:t xml:space="preserve"> time, however,</w:t>
      </w:r>
      <w:r w:rsidR="00452819" w:rsidRPr="000D47AC">
        <w:t xml:space="preserve"> </w:t>
      </w:r>
      <w:r w:rsidR="001B60DB" w:rsidRPr="000D47AC">
        <w:t xml:space="preserve">the focus is not on </w:t>
      </w:r>
      <w:r w:rsidR="00452819" w:rsidRPr="000D47AC">
        <w:t xml:space="preserve">campaigning </w:t>
      </w:r>
      <w:r w:rsidR="001B60DB" w:rsidRPr="000D47AC">
        <w:t>but on the practices of</w:t>
      </w:r>
      <w:r w:rsidR="00452819" w:rsidRPr="000D47AC">
        <w:t xml:space="preserve"> governing. After</w:t>
      </w:r>
      <w:r w:rsidR="001A7ADA" w:rsidRPr="000D47AC">
        <w:t xml:space="preserve"> </w:t>
      </w:r>
      <w:r w:rsidR="001B60DB" w:rsidRPr="000D47AC">
        <w:t xml:space="preserve">building </w:t>
      </w:r>
      <w:r w:rsidR="001A7ADA" w:rsidRPr="000D47AC">
        <w:t xml:space="preserve">up </w:t>
      </w:r>
      <w:r w:rsidR="00452819" w:rsidRPr="000D47AC">
        <w:t xml:space="preserve">public expectations </w:t>
      </w:r>
      <w:r w:rsidR="001B60DB" w:rsidRPr="000D47AC">
        <w:t xml:space="preserve">to </w:t>
      </w:r>
      <w:r w:rsidR="00452819" w:rsidRPr="000D47AC">
        <w:t>gain trust during elections,</w:t>
      </w:r>
      <w:r w:rsidR="001B60DB" w:rsidRPr="000D47AC">
        <w:t xml:space="preserve"> then</w:t>
      </w:r>
      <w:r w:rsidR="00BA01E6" w:rsidRPr="000D47AC">
        <w:t xml:space="preserve"> </w:t>
      </w:r>
      <w:r w:rsidRPr="000D47AC">
        <w:t xml:space="preserve">politicians </w:t>
      </w:r>
      <w:r w:rsidR="00BA01E6" w:rsidRPr="000D47AC">
        <w:t>are</w:t>
      </w:r>
      <w:r w:rsidR="001B60DB" w:rsidRPr="000D47AC">
        <w:t xml:space="preserve"> </w:t>
      </w:r>
      <w:r w:rsidR="00BA01E6" w:rsidRPr="000D47AC">
        <w:t xml:space="preserve">thrown into a world of stretched resources and </w:t>
      </w:r>
      <w:r w:rsidR="001B60DB" w:rsidRPr="000D47AC">
        <w:t xml:space="preserve">impossible </w:t>
      </w:r>
      <w:r w:rsidR="00BA01E6" w:rsidRPr="000D47AC">
        <w:t>timescales</w:t>
      </w:r>
      <w:r w:rsidR="001B60DB" w:rsidRPr="000D47AC">
        <w:t>. Paradoxically</w:t>
      </w:r>
      <w:r w:rsidR="00D07D87" w:rsidRPr="000D47AC">
        <w:t>, they</w:t>
      </w:r>
      <w:r w:rsidR="001B60DB" w:rsidRPr="000D47AC">
        <w:t xml:space="preserve"> </w:t>
      </w:r>
      <w:r w:rsidR="00D07D87" w:rsidRPr="000D47AC">
        <w:t>confront now</w:t>
      </w:r>
      <w:r w:rsidR="001B60DB" w:rsidRPr="000D47AC">
        <w:t xml:space="preserve"> </w:t>
      </w:r>
      <w:r w:rsidR="00F76B54" w:rsidRPr="000D47AC">
        <w:t>the opposite</w:t>
      </w:r>
      <w:r w:rsidRPr="000D47AC">
        <w:t xml:space="preserve"> goals of </w:t>
      </w:r>
      <w:r w:rsidR="001B60DB" w:rsidRPr="000D47AC">
        <w:t xml:space="preserve">managing </w:t>
      </w:r>
      <w:r w:rsidRPr="000D47AC">
        <w:t xml:space="preserve">expectations </w:t>
      </w:r>
      <w:r w:rsidR="001B60DB" w:rsidRPr="000D47AC">
        <w:t>a</w:t>
      </w:r>
      <w:r w:rsidRPr="000D47AC">
        <w:t>nd downsizing</w:t>
      </w:r>
      <w:r w:rsidR="001A7ADA" w:rsidRPr="000D47AC">
        <w:t xml:space="preserve">. </w:t>
      </w:r>
      <w:r w:rsidR="001B60DB" w:rsidRPr="000D47AC">
        <w:t>Again, the beliefs and practices</w:t>
      </w:r>
      <w:r w:rsidR="00F76B54" w:rsidRPr="000D47AC">
        <w:t xml:space="preserve"> </w:t>
      </w:r>
      <w:r w:rsidR="001B60DB" w:rsidRPr="000D47AC">
        <w:t xml:space="preserve">that politicians inherit shapes the way they act, </w:t>
      </w:r>
      <w:r w:rsidR="00BA01E6" w:rsidRPr="000D47AC">
        <w:t>and provides nuance to our explanation of why they seem incompetent.</w:t>
      </w:r>
    </w:p>
    <w:p w14:paraId="74B85206" w14:textId="77777777" w:rsidR="00384D22" w:rsidRPr="000D47AC" w:rsidRDefault="00384D22" w:rsidP="00313088">
      <w:pPr>
        <w:spacing w:after="240" w:line="360" w:lineRule="auto"/>
      </w:pPr>
    </w:p>
    <w:p w14:paraId="5D7C7E1E" w14:textId="0BFF34A8" w:rsidR="00FA78EF" w:rsidRPr="000D47AC" w:rsidRDefault="00FA78EF" w:rsidP="00313088">
      <w:pPr>
        <w:spacing w:after="240" w:line="360" w:lineRule="auto"/>
        <w:rPr>
          <w:b/>
          <w:bCs/>
        </w:rPr>
      </w:pPr>
      <w:r w:rsidRPr="000D47AC">
        <w:rPr>
          <w:b/>
          <w:bCs/>
        </w:rPr>
        <w:t>Conclusion</w:t>
      </w:r>
    </w:p>
    <w:p w14:paraId="63BA4426" w14:textId="1B37178E" w:rsidR="00A83AC3" w:rsidRPr="000D47AC" w:rsidRDefault="00EF2BE4" w:rsidP="00313088">
      <w:pPr>
        <w:spacing w:after="240" w:line="360" w:lineRule="auto"/>
      </w:pPr>
      <w:r w:rsidRPr="000D47AC">
        <w:t xml:space="preserve">In this </w:t>
      </w:r>
      <w:r w:rsidR="00D07D87" w:rsidRPr="000D47AC">
        <w:t>article, we</w:t>
      </w:r>
      <w:r w:rsidR="00B3738E" w:rsidRPr="000D47AC">
        <w:t xml:space="preserve"> have</w:t>
      </w:r>
      <w:r w:rsidR="0041524E" w:rsidRPr="000D47AC">
        <w:t xml:space="preserve"> reviewed and </w:t>
      </w:r>
      <w:r w:rsidR="004A6B4E" w:rsidRPr="000D47AC">
        <w:t>reinterpreted</w:t>
      </w:r>
      <w:r w:rsidR="00B3738E" w:rsidRPr="000D47AC">
        <w:t xml:space="preserve"> several seminal ethnographic studies </w:t>
      </w:r>
      <w:r w:rsidR="0041524E" w:rsidRPr="000D47AC">
        <w:t xml:space="preserve">of political elites </w:t>
      </w:r>
      <w:r w:rsidR="00B3738E" w:rsidRPr="000D47AC">
        <w:t xml:space="preserve">by drawing out the lessons they provide those scholars interested in public </w:t>
      </w:r>
      <w:r w:rsidR="00BF555A" w:rsidRPr="000D47AC">
        <w:t xml:space="preserve">disaffection </w:t>
      </w:r>
      <w:r w:rsidR="00B3738E" w:rsidRPr="000D47AC">
        <w:t xml:space="preserve">towards politics and political institutions. We </w:t>
      </w:r>
      <w:r w:rsidR="0035380C" w:rsidRPr="000D47AC">
        <w:t>draw</w:t>
      </w:r>
      <w:r w:rsidR="00A83AC3" w:rsidRPr="000D47AC">
        <w:t xml:space="preserve"> three significant conclusions</w:t>
      </w:r>
      <w:r w:rsidR="009F6B88" w:rsidRPr="000D47AC">
        <w:t>:</w:t>
      </w:r>
    </w:p>
    <w:p w14:paraId="7C55C8E8" w14:textId="77777777" w:rsidR="007342AA" w:rsidRDefault="00DB043A" w:rsidP="007342AA">
      <w:pPr>
        <w:pStyle w:val="ListParagraph"/>
        <w:numPr>
          <w:ilvl w:val="0"/>
          <w:numId w:val="20"/>
        </w:numPr>
        <w:spacing w:after="240" w:line="360" w:lineRule="auto"/>
        <w:rPr>
          <w:rFonts w:ascii="Times New Roman" w:hAnsi="Times New Roman" w:cs="Times New Roman"/>
        </w:rPr>
      </w:pPr>
      <w:r w:rsidRPr="000D47AC">
        <w:rPr>
          <w:rFonts w:ascii="Times New Roman" w:hAnsi="Times New Roman" w:cs="Times New Roman"/>
        </w:rPr>
        <w:t>The drivers of p</w:t>
      </w:r>
      <w:r w:rsidR="00DA4192" w:rsidRPr="000D47AC">
        <w:rPr>
          <w:rFonts w:ascii="Times New Roman" w:hAnsi="Times New Roman" w:cs="Times New Roman"/>
        </w:rPr>
        <w:t>rofessionalization in political campaigns</w:t>
      </w:r>
      <w:r w:rsidRPr="000D47AC">
        <w:rPr>
          <w:rFonts w:ascii="Times New Roman" w:hAnsi="Times New Roman" w:cs="Times New Roman"/>
        </w:rPr>
        <w:t xml:space="preserve"> lie not only in</w:t>
      </w:r>
      <w:r w:rsidR="00DA4192" w:rsidRPr="000D47AC">
        <w:rPr>
          <w:rFonts w:ascii="Times New Roman" w:hAnsi="Times New Roman" w:cs="Times New Roman"/>
        </w:rPr>
        <w:t xml:space="preserve"> </w:t>
      </w:r>
      <w:r w:rsidRPr="000D47AC">
        <w:rPr>
          <w:rFonts w:ascii="Times New Roman" w:hAnsi="Times New Roman" w:cs="Times New Roman"/>
        </w:rPr>
        <w:t xml:space="preserve">the national party system but also in </w:t>
      </w:r>
      <w:r w:rsidR="00DE7BE3" w:rsidRPr="000D47AC">
        <w:rPr>
          <w:rFonts w:ascii="Times New Roman" w:hAnsi="Times New Roman" w:cs="Times New Roman"/>
          <w:b/>
        </w:rPr>
        <w:t>local practices</w:t>
      </w:r>
      <w:r w:rsidR="00DA4192" w:rsidRPr="000D47AC">
        <w:rPr>
          <w:rFonts w:ascii="Times New Roman" w:hAnsi="Times New Roman" w:cs="Times New Roman"/>
        </w:rPr>
        <w:t xml:space="preserve"> </w:t>
      </w:r>
      <w:r w:rsidR="00DE7BE3" w:rsidRPr="000D47AC">
        <w:rPr>
          <w:rFonts w:ascii="Times New Roman" w:hAnsi="Times New Roman" w:cs="Times New Roman"/>
        </w:rPr>
        <w:t>for</w:t>
      </w:r>
      <w:r w:rsidR="00DA4192" w:rsidRPr="000D47AC">
        <w:rPr>
          <w:rFonts w:ascii="Times New Roman" w:hAnsi="Times New Roman" w:cs="Times New Roman"/>
        </w:rPr>
        <w:t xml:space="preserve"> </w:t>
      </w:r>
      <w:r w:rsidR="00DE7BE3" w:rsidRPr="000D47AC">
        <w:rPr>
          <w:rFonts w:ascii="Times New Roman" w:hAnsi="Times New Roman" w:cs="Times New Roman"/>
        </w:rPr>
        <w:t>building</w:t>
      </w:r>
      <w:r w:rsidR="00DA4192" w:rsidRPr="000D47AC">
        <w:rPr>
          <w:rFonts w:ascii="Times New Roman" w:hAnsi="Times New Roman" w:cs="Times New Roman"/>
        </w:rPr>
        <w:t xml:space="preserve"> local</w:t>
      </w:r>
      <w:r w:rsidR="00767E10" w:rsidRPr="000D47AC">
        <w:rPr>
          <w:rFonts w:ascii="Times New Roman" w:hAnsi="Times New Roman" w:cs="Times New Roman"/>
        </w:rPr>
        <w:t xml:space="preserve"> identity to create trust</w:t>
      </w:r>
      <w:r w:rsidR="00DE7BE3" w:rsidRPr="000D47AC">
        <w:rPr>
          <w:rFonts w:ascii="Times New Roman" w:hAnsi="Times New Roman" w:cs="Times New Roman"/>
        </w:rPr>
        <w:t xml:space="preserve"> and foster political ambition.</w:t>
      </w:r>
    </w:p>
    <w:p w14:paraId="08B5F627" w14:textId="77777777" w:rsidR="007342AA" w:rsidRPr="007342AA" w:rsidRDefault="00DE7BE3" w:rsidP="007342AA">
      <w:pPr>
        <w:pStyle w:val="ListParagraph"/>
        <w:numPr>
          <w:ilvl w:val="0"/>
          <w:numId w:val="20"/>
        </w:numPr>
        <w:spacing w:after="240" w:line="360" w:lineRule="auto"/>
        <w:rPr>
          <w:rFonts w:ascii="Times New Roman" w:hAnsi="Times New Roman" w:cs="Times New Roman"/>
        </w:rPr>
      </w:pPr>
      <w:r w:rsidRPr="000D47AC">
        <w:t>The c</w:t>
      </w:r>
      <w:r w:rsidR="00A83AC3" w:rsidRPr="000D47AC">
        <w:t>oping</w:t>
      </w:r>
      <w:r w:rsidR="004A6B4E" w:rsidRPr="000D47AC">
        <w:t xml:space="preserve"> </w:t>
      </w:r>
      <w:r w:rsidR="006B4317" w:rsidRPr="000D47AC">
        <w:t>str</w:t>
      </w:r>
      <w:r w:rsidR="00A83AC3" w:rsidRPr="000D47AC">
        <w:t>a</w:t>
      </w:r>
      <w:r w:rsidR="006B4317" w:rsidRPr="000D47AC">
        <w:t>t</w:t>
      </w:r>
      <w:r w:rsidR="00A83AC3" w:rsidRPr="000D47AC">
        <w:t>e</w:t>
      </w:r>
      <w:r w:rsidR="006B4317" w:rsidRPr="000D47AC">
        <w:t xml:space="preserve">gies </w:t>
      </w:r>
      <w:r w:rsidRPr="000D47AC">
        <w:t>used b</w:t>
      </w:r>
      <w:r w:rsidR="00DB043A" w:rsidRPr="000D47AC">
        <w:t>y</w:t>
      </w:r>
      <w:r w:rsidRPr="000D47AC">
        <w:t xml:space="preserve"> politicians </w:t>
      </w:r>
      <w:r w:rsidR="001A3D13" w:rsidRPr="000D47AC">
        <w:t xml:space="preserve">create a </w:t>
      </w:r>
      <w:r w:rsidR="00384D22" w:rsidRPr="000D47AC">
        <w:t>‘</w:t>
      </w:r>
      <w:r w:rsidR="001A3D13" w:rsidRPr="000D47AC">
        <w:t>cocoon</w:t>
      </w:r>
      <w:r w:rsidR="00384D22" w:rsidRPr="000D47AC">
        <w:t xml:space="preserve">’ against hostile </w:t>
      </w:r>
      <w:r w:rsidR="000E0B31" w:rsidRPr="000D47AC">
        <w:t xml:space="preserve">interest groups and </w:t>
      </w:r>
      <w:r w:rsidR="00384D22" w:rsidRPr="000D47AC">
        <w:t>media</w:t>
      </w:r>
      <w:r w:rsidR="00DB043A" w:rsidRPr="000D47AC">
        <w:t>,</w:t>
      </w:r>
      <w:r w:rsidRPr="000D47AC">
        <w:t xml:space="preserve"> and increase the </w:t>
      </w:r>
      <w:r w:rsidRPr="007342AA">
        <w:rPr>
          <w:b/>
        </w:rPr>
        <w:t>distance between elites and citizens</w:t>
      </w:r>
      <w:r w:rsidR="00A83AC3" w:rsidRPr="000D47AC">
        <w:t>.</w:t>
      </w:r>
    </w:p>
    <w:p w14:paraId="28502FB5" w14:textId="47B0E67F" w:rsidR="00635F17" w:rsidRPr="007342AA" w:rsidRDefault="00DE7BE3" w:rsidP="007342AA">
      <w:pPr>
        <w:pStyle w:val="ListParagraph"/>
        <w:numPr>
          <w:ilvl w:val="0"/>
          <w:numId w:val="20"/>
        </w:numPr>
        <w:spacing w:after="240" w:line="360" w:lineRule="auto"/>
        <w:rPr>
          <w:rFonts w:ascii="Times New Roman" w:hAnsi="Times New Roman" w:cs="Times New Roman"/>
        </w:rPr>
      </w:pPr>
      <w:r w:rsidRPr="000D47AC">
        <w:t>The</w:t>
      </w:r>
      <w:r w:rsidR="00384D22" w:rsidRPr="000D47AC">
        <w:t xml:space="preserve"> incompetence </w:t>
      </w:r>
      <w:r w:rsidRPr="000D47AC">
        <w:t>of</w:t>
      </w:r>
      <w:r w:rsidR="00384D22" w:rsidRPr="000D47AC">
        <w:t xml:space="preserve"> politicians</w:t>
      </w:r>
      <w:r w:rsidR="00DB043A" w:rsidRPr="000D47AC">
        <w:t xml:space="preserve"> </w:t>
      </w:r>
      <w:r w:rsidRPr="000D47AC">
        <w:t xml:space="preserve">stems from the paradox </w:t>
      </w:r>
      <w:r w:rsidR="00DB043A" w:rsidRPr="007342AA">
        <w:rPr>
          <w:b/>
        </w:rPr>
        <w:t xml:space="preserve">between the practices of </w:t>
      </w:r>
      <w:r w:rsidR="00D07D87" w:rsidRPr="007342AA">
        <w:rPr>
          <w:b/>
        </w:rPr>
        <w:t>campaigning and</w:t>
      </w:r>
      <w:r w:rsidR="00DB043A" w:rsidRPr="007342AA">
        <w:rPr>
          <w:b/>
        </w:rPr>
        <w:t xml:space="preserve"> of governing</w:t>
      </w:r>
      <w:r w:rsidR="00D07D87" w:rsidRPr="000D47AC">
        <w:t>,</w:t>
      </w:r>
      <w:r w:rsidR="00DB043A" w:rsidRPr="000D47AC">
        <w:t xml:space="preserve"> between </w:t>
      </w:r>
      <w:r w:rsidRPr="000D47AC">
        <w:t xml:space="preserve">building up </w:t>
      </w:r>
      <w:r w:rsidRPr="000D47AC">
        <w:lastRenderedPageBreak/>
        <w:t>expectations to win elections and reducing expect</w:t>
      </w:r>
      <w:r w:rsidR="00DB043A" w:rsidRPr="000D47AC">
        <w:t>at</w:t>
      </w:r>
      <w:r w:rsidRPr="000D47AC">
        <w:t>ions</w:t>
      </w:r>
      <w:r w:rsidR="00DB043A" w:rsidRPr="000D47AC">
        <w:t xml:space="preserve"> when in office.</w:t>
      </w:r>
    </w:p>
    <w:p w14:paraId="1EE97FF4" w14:textId="2B8F6127" w:rsidR="00B3738E" w:rsidRPr="000D47AC" w:rsidRDefault="006B4317" w:rsidP="00313088">
      <w:pPr>
        <w:spacing w:after="240" w:line="360" w:lineRule="auto"/>
      </w:pPr>
      <w:r w:rsidRPr="000D47AC">
        <w:t xml:space="preserve">Combined, these findings </w:t>
      </w:r>
      <w:r w:rsidR="001B60DB" w:rsidRPr="000D47AC">
        <w:t>show</w:t>
      </w:r>
      <w:r w:rsidRPr="000D47AC">
        <w:t xml:space="preserve"> how attempts by pol</w:t>
      </w:r>
      <w:r w:rsidR="00635F17" w:rsidRPr="000D47AC">
        <w:t>i</w:t>
      </w:r>
      <w:r w:rsidRPr="000D47AC">
        <w:t xml:space="preserve">ticians to overcome some of the inherent paradoxes of democratic government </w:t>
      </w:r>
      <w:r w:rsidR="00992249" w:rsidRPr="000D47AC">
        <w:t xml:space="preserve">adopt professionalized practices commonly assumed to fuel </w:t>
      </w:r>
      <w:r w:rsidR="00BF555A" w:rsidRPr="000D47AC">
        <w:t>democratic disaffection</w:t>
      </w:r>
      <w:r w:rsidR="004D52E9" w:rsidRPr="000D47AC">
        <w:t xml:space="preserve">. </w:t>
      </w:r>
    </w:p>
    <w:p w14:paraId="718AEEC9" w14:textId="228E2742" w:rsidR="00205F6C" w:rsidRPr="000D47AC" w:rsidRDefault="00205F6C" w:rsidP="00313088">
      <w:pPr>
        <w:spacing w:after="240" w:line="360" w:lineRule="auto"/>
      </w:pPr>
      <w:r w:rsidRPr="000D47AC">
        <w:t>For the sake of clarity and brevity, our critical review has focused on studies</w:t>
      </w:r>
      <w:r w:rsidR="009F6B88" w:rsidRPr="000D47AC">
        <w:t xml:space="preserve"> of elec</w:t>
      </w:r>
      <w:r w:rsidR="00E915D9" w:rsidRPr="000D47AC">
        <w:t xml:space="preserve">ted officials. Yet, </w:t>
      </w:r>
      <w:r w:rsidRPr="000D47AC">
        <w:t xml:space="preserve">we can equally point to affinities in </w:t>
      </w:r>
      <w:r w:rsidR="0053796F" w:rsidRPr="000D47AC">
        <w:t xml:space="preserve">ethnographic research focused on the broader cast of elites engaged in contemporary governance. </w:t>
      </w:r>
      <w:r w:rsidR="00C758FE">
        <w:t>Given</w:t>
      </w:r>
      <w:r w:rsidR="00C758FE" w:rsidRPr="000D47AC">
        <w:t xml:space="preserve"> </w:t>
      </w:r>
      <w:r w:rsidR="0053796F" w:rsidRPr="000D47AC">
        <w:t>the popular disaffection with the EU, for exampl</w:t>
      </w:r>
      <w:r w:rsidR="00E915D9" w:rsidRPr="000D47AC">
        <w:t xml:space="preserve">e, Shore’s (2000) </w:t>
      </w:r>
      <w:r w:rsidR="0053796F" w:rsidRPr="000D47AC">
        <w:t>account of the inner workings o</w:t>
      </w:r>
      <w:r w:rsidR="009F6B88" w:rsidRPr="000D47AC">
        <w:t>f the European Commission foreshadows</w:t>
      </w:r>
      <w:r w:rsidR="0053796F" w:rsidRPr="000D47AC">
        <w:t xml:space="preserve"> Rhodes</w:t>
      </w:r>
      <w:r w:rsidR="009F6B88" w:rsidRPr="000D47AC">
        <w:t>’ portrayal</w:t>
      </w:r>
      <w:r w:rsidR="00E915D9" w:rsidRPr="000D47AC">
        <w:t xml:space="preserve"> of a</w:t>
      </w:r>
      <w:r w:rsidR="0053796F" w:rsidRPr="000D47AC">
        <w:t xml:space="preserve"> </w:t>
      </w:r>
      <w:r w:rsidR="001B60DB" w:rsidRPr="000D47AC">
        <w:t>cocooned</w:t>
      </w:r>
      <w:r w:rsidR="0053796F" w:rsidRPr="000D47AC">
        <w:t xml:space="preserve"> civil service. Affinities are also clear in studies of t</w:t>
      </w:r>
      <w:r w:rsidR="00E915D9" w:rsidRPr="000D47AC">
        <w:t xml:space="preserve">he elite of global governance. </w:t>
      </w:r>
      <w:r w:rsidR="00916ABB" w:rsidRPr="000D47AC">
        <w:t xml:space="preserve">Echoing </w:t>
      </w:r>
      <w:r w:rsidR="0053796F" w:rsidRPr="000D47AC">
        <w:t xml:space="preserve">Crewe’s nuanced account of political </w:t>
      </w:r>
      <w:r w:rsidR="00E915D9" w:rsidRPr="000D47AC">
        <w:t>spin</w:t>
      </w:r>
      <w:r w:rsidR="0053796F" w:rsidRPr="000D47AC">
        <w:t xml:space="preserve">, Weaver’s (2008) ethnographic study of the World Bank shows how organised </w:t>
      </w:r>
      <w:r w:rsidR="00D07D87" w:rsidRPr="000D47AC">
        <w:t>hypocrisy</w:t>
      </w:r>
      <w:r w:rsidR="00E915D9" w:rsidRPr="000D47AC">
        <w:t xml:space="preserve"> is central to the Bank’s work</w:t>
      </w:r>
      <w:r w:rsidR="0053796F" w:rsidRPr="000D47AC">
        <w:t>.</w:t>
      </w:r>
      <w:r w:rsidR="00737120" w:rsidRPr="000D47AC">
        <w:t xml:space="preserve"> </w:t>
      </w:r>
      <w:r w:rsidR="009F6B88" w:rsidRPr="000D47AC">
        <w:t>Moreover, l</w:t>
      </w:r>
      <w:r w:rsidR="00931E95" w:rsidRPr="000D47AC">
        <w:t xml:space="preserve">ike Reeher’s account of </w:t>
      </w:r>
      <w:r w:rsidR="00931E95" w:rsidRPr="000D47AC">
        <w:rPr>
          <w:i/>
          <w:iCs/>
        </w:rPr>
        <w:t>powerless</w:t>
      </w:r>
      <w:r w:rsidR="00931E95" w:rsidRPr="000D47AC">
        <w:t xml:space="preserve"> politicians, Our</w:t>
      </w:r>
      <w:r w:rsidR="00916ABB" w:rsidRPr="000D47AC">
        <w:t>ousso</w:t>
      </w:r>
      <w:r w:rsidR="00931E95" w:rsidRPr="000D47AC">
        <w:t>f’s (2010)</w:t>
      </w:r>
      <w:r w:rsidR="009F6B88" w:rsidRPr="000D47AC">
        <w:t xml:space="preserve"> ethnography</w:t>
      </w:r>
      <w:r w:rsidR="00931E95" w:rsidRPr="000D47AC">
        <w:t xml:space="preserve"> of Wall Street elites reveals </w:t>
      </w:r>
      <w:r w:rsidR="00916ABB" w:rsidRPr="000D47AC">
        <w:t xml:space="preserve">how </w:t>
      </w:r>
      <w:r w:rsidR="00931E95" w:rsidRPr="000D47AC">
        <w:t xml:space="preserve">these </w:t>
      </w:r>
      <w:r w:rsidR="00625989" w:rsidRPr="000D47AC">
        <w:t xml:space="preserve">supposedly omnipotent </w:t>
      </w:r>
      <w:r w:rsidR="00802D85" w:rsidRPr="000D47AC">
        <w:t>kingpins of</w:t>
      </w:r>
      <w:r w:rsidR="00931E95" w:rsidRPr="000D47AC">
        <w:t xml:space="preserve"> the global economy remain enthralled to </w:t>
      </w:r>
      <w:r w:rsidR="00916ABB" w:rsidRPr="000D47AC">
        <w:t>limiting</w:t>
      </w:r>
      <w:r w:rsidR="00931E95" w:rsidRPr="000D47AC">
        <w:t xml:space="preserve"> beliefs and</w:t>
      </w:r>
      <w:r w:rsidR="00916ABB" w:rsidRPr="000D47AC">
        <w:t xml:space="preserve"> entrenched practices</w:t>
      </w:r>
      <w:r w:rsidR="00931E95" w:rsidRPr="000D47AC">
        <w:t>. In each case, the lesson is the same – getting ‘inside’ the world of elites provides a more nuanced diagnosis of the pathologies that pervade contemporary systems of governance and feed widespread public disaffection.</w:t>
      </w:r>
    </w:p>
    <w:p w14:paraId="7DD0F732" w14:textId="23698055" w:rsidR="001A3D13" w:rsidRPr="000D47AC" w:rsidRDefault="001A3D13" w:rsidP="00313088">
      <w:pPr>
        <w:spacing w:after="240" w:line="360" w:lineRule="auto"/>
      </w:pPr>
      <w:r w:rsidRPr="000D47AC">
        <w:t>So</w:t>
      </w:r>
      <w:r w:rsidR="00C44F65" w:rsidRPr="000D47AC">
        <w:t>,</w:t>
      </w:r>
      <w:r w:rsidRPr="000D47AC">
        <w:t xml:space="preserve"> we </w:t>
      </w:r>
      <w:r w:rsidR="00C44F65" w:rsidRPr="000D47AC">
        <w:t xml:space="preserve">repeat </w:t>
      </w:r>
      <w:r w:rsidR="00B3738E" w:rsidRPr="000D47AC">
        <w:t xml:space="preserve">our call for political scientists to </w:t>
      </w:r>
      <w:r w:rsidR="008B61BA" w:rsidRPr="000D47AC">
        <w:t>be</w:t>
      </w:r>
      <w:r w:rsidR="004640BB" w:rsidRPr="000D47AC">
        <w:t>come</w:t>
      </w:r>
      <w:r w:rsidR="00B3738E" w:rsidRPr="000D47AC">
        <w:t xml:space="preserve"> ethnographic </w:t>
      </w:r>
      <w:r w:rsidR="008B61BA" w:rsidRPr="000D47AC">
        <w:t>b</w:t>
      </w:r>
      <w:r w:rsidR="00D07D87" w:rsidRPr="000D47AC">
        <w:t>r</w:t>
      </w:r>
      <w:r w:rsidR="008B61BA" w:rsidRPr="000D47AC">
        <w:t>icoleurs</w:t>
      </w:r>
      <w:r w:rsidR="00B3738E" w:rsidRPr="000D47AC">
        <w:t xml:space="preserve">. </w:t>
      </w:r>
      <w:r w:rsidR="00FF02C4" w:rsidRPr="000D47AC">
        <w:t xml:space="preserve">We do not claim it is the only </w:t>
      </w:r>
      <w:r w:rsidR="00A44494" w:rsidRPr="000D47AC">
        <w:t>approach</w:t>
      </w:r>
      <w:r w:rsidR="00EF2BE4" w:rsidRPr="000D47AC">
        <w:t xml:space="preserve">, </w:t>
      </w:r>
      <w:r w:rsidR="00FF02C4" w:rsidRPr="000D47AC">
        <w:t>but rather argue t</w:t>
      </w:r>
      <w:r w:rsidR="00E915D9" w:rsidRPr="000D47AC">
        <w:t xml:space="preserve">hat our ability to </w:t>
      </w:r>
      <w:r w:rsidR="00FF02C4" w:rsidRPr="000D47AC">
        <w:t xml:space="preserve">explain political phenomena is </w:t>
      </w:r>
      <w:r w:rsidR="004A6B4E" w:rsidRPr="000D47AC">
        <w:t>severely</w:t>
      </w:r>
      <w:r w:rsidR="00FF02C4" w:rsidRPr="000D47AC">
        <w:t xml:space="preserve"> limited by</w:t>
      </w:r>
      <w:r w:rsidR="004D52E9" w:rsidRPr="000D47AC">
        <w:t xml:space="preserve"> </w:t>
      </w:r>
      <w:r w:rsidR="00FF02C4" w:rsidRPr="000D47AC">
        <w:t>ethnography</w:t>
      </w:r>
      <w:r w:rsidR="0047156D" w:rsidRPr="000D47AC">
        <w:t xml:space="preserve">’s marginal standing in </w:t>
      </w:r>
      <w:r w:rsidR="00FF02C4" w:rsidRPr="000D47AC">
        <w:t>political science. Intuitively</w:t>
      </w:r>
      <w:r w:rsidR="0047156D" w:rsidRPr="000D47AC">
        <w:t>,</w:t>
      </w:r>
      <w:r w:rsidR="00FF02C4" w:rsidRPr="000D47AC">
        <w:t xml:space="preserve"> we believe most members of the profession would be sympathetic to the view that we should collect and use</w:t>
      </w:r>
      <w:r w:rsidR="00E915D9" w:rsidRPr="000D47AC">
        <w:t xml:space="preserve"> different forms of data</w:t>
      </w:r>
      <w:r w:rsidR="00FF02C4" w:rsidRPr="000D47AC">
        <w:t xml:space="preserve"> </w:t>
      </w:r>
      <w:r w:rsidR="00E915D9" w:rsidRPr="000D47AC">
        <w:t xml:space="preserve">to </w:t>
      </w:r>
      <w:r w:rsidR="00FF02C4" w:rsidRPr="000D47AC">
        <w:t>draw on the strengths (and overcome the endemic weaknesses) of</w:t>
      </w:r>
      <w:r w:rsidRPr="000D47AC">
        <w:t xml:space="preserve"> each approach.</w:t>
      </w:r>
      <w:r w:rsidR="00737120" w:rsidRPr="000D47AC">
        <w:t xml:space="preserve"> Ethnography produces descriptions characterised by detailed specificity in context that can form the basis of </w:t>
      </w:r>
      <w:r w:rsidR="001E331F" w:rsidRPr="000D47AC">
        <w:t>‘plausible conjectures’ (Boudon 1993)</w:t>
      </w:r>
      <w:r w:rsidR="00737120" w:rsidRPr="000D47AC">
        <w:t xml:space="preserve"> and challenge the generalisations of other research </w:t>
      </w:r>
      <w:r w:rsidR="001E331F" w:rsidRPr="000D47AC">
        <w:t xml:space="preserve">traditions. It adds texture, depth, nuance and authenticity to our accounts of government as well unearthing </w:t>
      </w:r>
      <w:r w:rsidR="004640BB" w:rsidRPr="000D47AC">
        <w:t>surprises</w:t>
      </w:r>
      <w:r w:rsidR="001E331F" w:rsidRPr="000D47AC">
        <w:t xml:space="preserve"> (and see Rhodes 2017: chapter </w:t>
      </w:r>
      <w:r w:rsidR="004640BB" w:rsidRPr="000D47AC">
        <w:t>3 and 4; and Schatz 2009: chapter</w:t>
      </w:r>
      <w:r w:rsidR="00B35BF1" w:rsidRPr="000D47AC">
        <w:t>s</w:t>
      </w:r>
      <w:r w:rsidR="004640BB" w:rsidRPr="000D47AC">
        <w:t xml:space="preserve"> 1 </w:t>
      </w:r>
      <w:r w:rsidR="00B35BF1" w:rsidRPr="000D47AC">
        <w:t xml:space="preserve">and 14 </w:t>
      </w:r>
      <w:r w:rsidR="004640BB" w:rsidRPr="000D47AC">
        <w:t>for a discussion</w:t>
      </w:r>
      <w:r w:rsidR="00737120" w:rsidRPr="000D47AC">
        <w:t xml:space="preserve"> </w:t>
      </w:r>
      <w:r w:rsidR="004640BB" w:rsidRPr="000D47AC">
        <w:t xml:space="preserve">of the pros and cons of ethnography). </w:t>
      </w:r>
    </w:p>
    <w:p w14:paraId="4123826C" w14:textId="5E410FF8" w:rsidR="006B4E91" w:rsidRPr="000D47AC" w:rsidRDefault="001A3D13" w:rsidP="00313088">
      <w:pPr>
        <w:spacing w:after="240" w:line="360" w:lineRule="auto"/>
      </w:pPr>
      <w:r w:rsidRPr="000D47AC">
        <w:lastRenderedPageBreak/>
        <w:t xml:space="preserve">We conclude, however, by suggesting that elite ethnography might be an especially important </w:t>
      </w:r>
      <w:r w:rsidR="00D07D87" w:rsidRPr="000D47AC">
        <w:t xml:space="preserve">approach </w:t>
      </w:r>
      <w:r w:rsidR="00C758FE">
        <w:t>given the</w:t>
      </w:r>
      <w:r w:rsidRPr="000D47AC">
        <w:t xml:space="preserve"> renewed public debate about</w:t>
      </w:r>
      <w:r w:rsidR="00D102B2" w:rsidRPr="000D47AC">
        <w:t>—and insurgent challenge to—</w:t>
      </w:r>
      <w:r w:rsidRPr="000D47AC">
        <w:t xml:space="preserve">the </w:t>
      </w:r>
      <w:r w:rsidR="00D102B2" w:rsidRPr="000D47AC">
        <w:t xml:space="preserve">political establishment. We have pointed to the affinity between </w:t>
      </w:r>
      <w:r w:rsidR="00BF555A" w:rsidRPr="000D47AC">
        <w:t xml:space="preserve">rising democratic disaffection </w:t>
      </w:r>
      <w:r w:rsidR="00D102B2" w:rsidRPr="000D47AC">
        <w:t>and the entrenchment of rational actor models of governing elites in political science. This is not to assert a causal link between political science orthodoxy and public attitudes</w:t>
      </w:r>
      <w:r w:rsidR="00BD265B" w:rsidRPr="000D47AC">
        <w:t xml:space="preserve">. </w:t>
      </w:r>
      <w:r w:rsidR="002210DB" w:rsidRPr="000D47AC">
        <w:t>We suggest</w:t>
      </w:r>
      <w:r w:rsidR="00D102B2" w:rsidRPr="000D47AC">
        <w:t xml:space="preserve"> </w:t>
      </w:r>
      <w:r w:rsidR="004640BB" w:rsidRPr="000D47AC">
        <w:t xml:space="preserve">only </w:t>
      </w:r>
      <w:r w:rsidR="00D102B2" w:rsidRPr="000D47AC">
        <w:t xml:space="preserve">that elite ethnography, and the human and humanizing stories it can tell about elites, can provide a powerful alternative that might at least broaden the </w:t>
      </w:r>
      <w:r w:rsidR="0047156D" w:rsidRPr="000D47AC">
        <w:t>boundaries</w:t>
      </w:r>
      <w:r w:rsidR="00D102B2" w:rsidRPr="000D47AC">
        <w:t xml:space="preserve"> of public debate. </w:t>
      </w:r>
    </w:p>
    <w:p w14:paraId="44F5A1AE" w14:textId="77777777" w:rsidR="00250354" w:rsidRPr="000D47AC" w:rsidRDefault="00250354" w:rsidP="00313088">
      <w:pPr>
        <w:spacing w:line="360" w:lineRule="auto"/>
        <w:rPr>
          <w:b/>
          <w:bCs/>
        </w:rPr>
      </w:pPr>
      <w:r w:rsidRPr="000D47AC">
        <w:rPr>
          <w:b/>
          <w:bCs/>
        </w:rPr>
        <w:br w:type="page"/>
      </w:r>
    </w:p>
    <w:p w14:paraId="791CE040" w14:textId="1A5834FE" w:rsidR="003017A5" w:rsidRPr="000D47AC" w:rsidRDefault="00576FF2" w:rsidP="00313088">
      <w:pPr>
        <w:spacing w:line="360" w:lineRule="auto"/>
      </w:pPr>
      <w:r w:rsidRPr="000D47AC">
        <w:rPr>
          <w:b/>
          <w:bCs/>
        </w:rPr>
        <w:lastRenderedPageBreak/>
        <w:t>References</w:t>
      </w:r>
      <w:r w:rsidR="003017A5" w:rsidRPr="000D47AC">
        <w:t xml:space="preserve"> </w:t>
      </w:r>
    </w:p>
    <w:p w14:paraId="57AE54A1" w14:textId="4BEED577" w:rsidR="00D708D0" w:rsidRPr="000D47AC" w:rsidRDefault="00D708D0" w:rsidP="00313088">
      <w:pPr>
        <w:pStyle w:val="Bibliogentry"/>
        <w:spacing w:after="240" w:line="360" w:lineRule="auto"/>
        <w:ind w:left="0" w:right="57" w:firstLine="0"/>
        <w:rPr>
          <w:rFonts w:ascii="Times New Roman" w:hAnsi="Times New Roman"/>
          <w:color w:val="000000" w:themeColor="text1"/>
          <w:szCs w:val="24"/>
        </w:rPr>
      </w:pPr>
      <w:r w:rsidRPr="000D47AC">
        <w:rPr>
          <w:rFonts w:ascii="Times New Roman" w:hAnsi="Times New Roman"/>
          <w:color w:val="000000" w:themeColor="text1"/>
          <w:szCs w:val="24"/>
        </w:rPr>
        <w:t xml:space="preserve">Agar, M. </w:t>
      </w:r>
      <w:r w:rsidR="000D47AC" w:rsidRPr="000D47AC">
        <w:rPr>
          <w:rFonts w:ascii="Times New Roman" w:hAnsi="Times New Roman"/>
          <w:color w:val="000000" w:themeColor="text1"/>
          <w:szCs w:val="24"/>
        </w:rPr>
        <w:t>and</w:t>
      </w:r>
      <w:r w:rsidRPr="000D47AC">
        <w:rPr>
          <w:rFonts w:ascii="Times New Roman" w:hAnsi="Times New Roman"/>
          <w:color w:val="000000" w:themeColor="text1"/>
          <w:szCs w:val="24"/>
        </w:rPr>
        <w:t xml:space="preserve"> MacDonald, J. (1995) ‘Focus Groups and Ethnography.’ </w:t>
      </w:r>
      <w:r w:rsidRPr="000D47AC">
        <w:rPr>
          <w:rStyle w:val="Italics"/>
          <w:rFonts w:ascii="Times New Roman" w:hAnsi="Times New Roman"/>
          <w:color w:val="000000" w:themeColor="text1"/>
          <w:szCs w:val="24"/>
        </w:rPr>
        <w:t>Human Organization,</w:t>
      </w:r>
      <w:r w:rsidRPr="000D47AC">
        <w:rPr>
          <w:rFonts w:ascii="Times New Roman" w:hAnsi="Times New Roman"/>
          <w:color w:val="000000" w:themeColor="text1"/>
          <w:szCs w:val="24"/>
        </w:rPr>
        <w:t xml:space="preserve"> 54, 78–86.</w:t>
      </w:r>
    </w:p>
    <w:p w14:paraId="3CE98F3F" w14:textId="010E86AC" w:rsidR="00341746" w:rsidRPr="000D47AC" w:rsidRDefault="00341746" w:rsidP="00313088">
      <w:pPr>
        <w:spacing w:after="240" w:line="360" w:lineRule="auto"/>
        <w:ind w:right="57"/>
        <w:jc w:val="both"/>
        <w:rPr>
          <w:color w:val="000000" w:themeColor="text1"/>
        </w:rPr>
      </w:pPr>
      <w:r w:rsidRPr="00313088">
        <w:rPr>
          <w:color w:val="000000" w:themeColor="text1"/>
        </w:rPr>
        <w:t xml:space="preserve">Allen, N. and Birch, S. (2015). </w:t>
      </w:r>
      <w:r w:rsidRPr="000D47AC">
        <w:rPr>
          <w:i/>
          <w:color w:val="000000" w:themeColor="text1"/>
        </w:rPr>
        <w:t xml:space="preserve">Ethics and Integrity in British Politics: How Citizens Judge Their Politicians Conduct and </w:t>
      </w:r>
      <w:r w:rsidR="002210DB" w:rsidRPr="000D47AC">
        <w:rPr>
          <w:i/>
          <w:color w:val="000000" w:themeColor="text1"/>
        </w:rPr>
        <w:t>why</w:t>
      </w:r>
      <w:r w:rsidRPr="000D47AC">
        <w:rPr>
          <w:i/>
          <w:color w:val="000000" w:themeColor="text1"/>
        </w:rPr>
        <w:t xml:space="preserve"> it Matters</w:t>
      </w:r>
      <w:r w:rsidRPr="000D47AC">
        <w:rPr>
          <w:color w:val="000000" w:themeColor="text1"/>
        </w:rPr>
        <w:t>. Cambridge: Cambridge University Press.</w:t>
      </w:r>
    </w:p>
    <w:p w14:paraId="49468931" w14:textId="64D4579F" w:rsidR="00813384" w:rsidRPr="0004233E" w:rsidRDefault="00AD7E63" w:rsidP="00313088">
      <w:pPr>
        <w:spacing w:after="240" w:line="360" w:lineRule="auto"/>
        <w:ind w:right="57"/>
        <w:jc w:val="both"/>
        <w:rPr>
          <w:color w:val="000000" w:themeColor="text1"/>
        </w:rPr>
      </w:pPr>
      <w:r w:rsidRPr="000D47AC">
        <w:rPr>
          <w:color w:val="000000" w:themeColor="text1"/>
        </w:rPr>
        <w:t>Allen, P, and P</w:t>
      </w:r>
      <w:r w:rsidR="00813384" w:rsidRPr="000D47AC">
        <w:rPr>
          <w:color w:val="000000" w:themeColor="text1"/>
        </w:rPr>
        <w:t xml:space="preserve"> Cairney</w:t>
      </w:r>
      <w:r w:rsidR="000A4F7D" w:rsidRPr="000D47AC">
        <w:rPr>
          <w:color w:val="000000" w:themeColor="text1"/>
        </w:rPr>
        <w:t xml:space="preserve"> (2015)</w:t>
      </w:r>
      <w:r w:rsidR="00813384" w:rsidRPr="000D47AC">
        <w:rPr>
          <w:color w:val="000000" w:themeColor="text1"/>
        </w:rPr>
        <w:t xml:space="preserve">. </w:t>
      </w:r>
      <w:r w:rsidR="00C44F65" w:rsidRPr="000D47AC">
        <w:rPr>
          <w:color w:val="000000" w:themeColor="text1"/>
        </w:rPr>
        <w:t>‘</w:t>
      </w:r>
      <w:r w:rsidR="00813384" w:rsidRPr="000D47AC">
        <w:rPr>
          <w:color w:val="000000" w:themeColor="text1"/>
        </w:rPr>
        <w:t xml:space="preserve">What </w:t>
      </w:r>
      <w:r w:rsidR="000A4F7D" w:rsidRPr="000D47AC">
        <w:rPr>
          <w:color w:val="000000" w:themeColor="text1"/>
        </w:rPr>
        <w:t xml:space="preserve">Do We Mean When We Talk About the </w:t>
      </w:r>
      <w:r w:rsidR="00C44F65" w:rsidRPr="003C1BBA">
        <w:rPr>
          <w:color w:val="000000" w:themeColor="text1"/>
        </w:rPr>
        <w:t>“</w:t>
      </w:r>
      <w:r w:rsidR="000A4F7D" w:rsidRPr="003C1BBA">
        <w:rPr>
          <w:color w:val="000000" w:themeColor="text1"/>
        </w:rPr>
        <w:t>Political Class</w:t>
      </w:r>
      <w:r w:rsidR="00C44F65" w:rsidRPr="003C1BBA">
        <w:rPr>
          <w:color w:val="000000" w:themeColor="text1"/>
        </w:rPr>
        <w:t>”</w:t>
      </w:r>
      <w:r w:rsidR="00813384" w:rsidRPr="003C1BBA">
        <w:rPr>
          <w:color w:val="000000" w:themeColor="text1"/>
        </w:rPr>
        <w:t>?</w:t>
      </w:r>
      <w:r w:rsidR="000A4F7D" w:rsidRPr="003C1BBA">
        <w:rPr>
          <w:color w:val="000000" w:themeColor="text1"/>
        </w:rPr>
        <w:t xml:space="preserve">’ </w:t>
      </w:r>
      <w:r w:rsidR="00813384" w:rsidRPr="003C1BBA">
        <w:rPr>
          <w:i/>
          <w:color w:val="000000" w:themeColor="text1"/>
        </w:rPr>
        <w:t>Political Studies Review</w:t>
      </w:r>
      <w:r w:rsidR="000A4F7D" w:rsidRPr="0004233E">
        <w:rPr>
          <w:i/>
          <w:color w:val="000000" w:themeColor="text1"/>
        </w:rPr>
        <w:t xml:space="preserve"> </w:t>
      </w:r>
      <w:r w:rsidR="000A4F7D" w:rsidRPr="0004233E">
        <w:rPr>
          <w:color w:val="333333"/>
          <w:shd w:val="clear" w:color="auto" w:fill="FFFFFF"/>
        </w:rPr>
        <w:t>15 (1): 18-27</w:t>
      </w:r>
    </w:p>
    <w:p w14:paraId="2FD97634" w14:textId="060EF75F" w:rsidR="00D708D0" w:rsidRDefault="00D708D0" w:rsidP="00313088">
      <w:pPr>
        <w:spacing w:after="240" w:line="360" w:lineRule="auto"/>
        <w:ind w:right="57"/>
        <w:rPr>
          <w:color w:val="000000" w:themeColor="text1"/>
        </w:rPr>
      </w:pPr>
      <w:r w:rsidRPr="000D47AC">
        <w:rPr>
          <w:color w:val="000000" w:themeColor="text1"/>
        </w:rPr>
        <w:t>Aronoff, M. J. and Kubik, J. (2013)</w:t>
      </w:r>
      <w:r w:rsidR="000D47AC" w:rsidRPr="000D47AC">
        <w:rPr>
          <w:color w:val="000000" w:themeColor="text1"/>
        </w:rPr>
        <w:t>.</w:t>
      </w:r>
      <w:r w:rsidRPr="000D47AC">
        <w:rPr>
          <w:color w:val="000000" w:themeColor="text1"/>
        </w:rPr>
        <w:t xml:space="preserve"> </w:t>
      </w:r>
      <w:r w:rsidRPr="000D47AC">
        <w:rPr>
          <w:i/>
          <w:iCs/>
          <w:color w:val="000000" w:themeColor="text1"/>
        </w:rPr>
        <w:t xml:space="preserve">Anthropology and Political Science. A Convergent Approach, </w:t>
      </w:r>
      <w:r w:rsidRPr="000D47AC">
        <w:rPr>
          <w:color w:val="000000" w:themeColor="text1"/>
        </w:rPr>
        <w:t xml:space="preserve">New York: Berghahn Books. </w:t>
      </w:r>
    </w:p>
    <w:p w14:paraId="067D8FA7" w14:textId="192A1C00" w:rsidR="0004233E" w:rsidRPr="000D47AC" w:rsidRDefault="0004233E" w:rsidP="00313088">
      <w:pPr>
        <w:spacing w:after="240" w:line="360" w:lineRule="auto"/>
        <w:ind w:right="57"/>
        <w:rPr>
          <w:color w:val="000000" w:themeColor="text1"/>
        </w:rPr>
      </w:pPr>
      <w:r w:rsidRPr="0004233E">
        <w:t>Atkinson, P., Coffey, A., Delamont, S., Lofland, J. and Lofla</w:t>
      </w:r>
      <w:r>
        <w:t>nd, L. (E</w:t>
      </w:r>
      <w:r w:rsidRPr="0004233E">
        <w:t>ds.) (2001)</w:t>
      </w:r>
      <w:r>
        <w:t>.</w:t>
      </w:r>
      <w:r w:rsidRPr="0004233E">
        <w:t xml:space="preserve"> Handbook of Ethnography, London: Sage</w:t>
      </w:r>
    </w:p>
    <w:p w14:paraId="0B97046A" w14:textId="25512557" w:rsidR="00065AF8" w:rsidRDefault="00065AF8" w:rsidP="00313088">
      <w:pPr>
        <w:spacing w:after="240" w:line="360" w:lineRule="auto"/>
        <w:jc w:val="both"/>
        <w:rPr>
          <w:noProof/>
        </w:rPr>
      </w:pPr>
      <w:r w:rsidRPr="000D47AC">
        <w:rPr>
          <w:noProof/>
        </w:rPr>
        <w:t xml:space="preserve">Auyero, J., </w:t>
      </w:r>
      <w:r w:rsidR="000D47AC" w:rsidRPr="000D47AC">
        <w:rPr>
          <w:noProof/>
        </w:rPr>
        <w:t>and</w:t>
      </w:r>
      <w:r w:rsidRPr="000D47AC">
        <w:rPr>
          <w:noProof/>
        </w:rPr>
        <w:t xml:space="preserve"> Joseph, L. (2007)</w:t>
      </w:r>
      <w:r w:rsidR="000D47AC" w:rsidRPr="000D47AC">
        <w:rPr>
          <w:noProof/>
        </w:rPr>
        <w:t>.</w:t>
      </w:r>
      <w:r w:rsidRPr="000D47AC">
        <w:rPr>
          <w:noProof/>
        </w:rPr>
        <w:t xml:space="preserve"> ‘Introduction: Politics under the Ethnographic Microscope’, in L. Mahler, J. M. &amp; Auyero, J. (Eds.) </w:t>
      </w:r>
      <w:r w:rsidRPr="000D47AC">
        <w:rPr>
          <w:i/>
          <w:noProof/>
        </w:rPr>
        <w:t>New Perspectives on Political Ethnography</w:t>
      </w:r>
      <w:r w:rsidRPr="000D47AC">
        <w:rPr>
          <w:noProof/>
        </w:rPr>
        <w:t>. New York: Springer, pp. 1-13.</w:t>
      </w:r>
    </w:p>
    <w:p w14:paraId="6DC8554E" w14:textId="556ABCD1" w:rsidR="00442297" w:rsidRDefault="00442297" w:rsidP="00313088">
      <w:pPr>
        <w:spacing w:after="240" w:line="360" w:lineRule="auto"/>
        <w:jc w:val="both"/>
        <w:rPr>
          <w:noProof/>
        </w:rPr>
      </w:pPr>
      <w:r>
        <w:rPr>
          <w:noProof/>
        </w:rPr>
        <w:t xml:space="preserve">Bevir, M. and Rhodes R. A. W. (2003) </w:t>
      </w:r>
      <w:r>
        <w:rPr>
          <w:i/>
          <w:noProof/>
        </w:rPr>
        <w:t>Interpreting British Governance</w:t>
      </w:r>
      <w:r>
        <w:rPr>
          <w:noProof/>
        </w:rPr>
        <w:t xml:space="preserve">/ London: Routledge. </w:t>
      </w:r>
    </w:p>
    <w:p w14:paraId="41BE8C0B" w14:textId="2CA6AEED" w:rsidR="00550DF5" w:rsidRPr="00442297" w:rsidRDefault="00550DF5" w:rsidP="00313088">
      <w:pPr>
        <w:spacing w:after="240" w:line="360" w:lineRule="auto"/>
        <w:jc w:val="both"/>
        <w:rPr>
          <w:noProof/>
        </w:rPr>
      </w:pPr>
      <w:r>
        <w:rPr>
          <w:noProof/>
        </w:rPr>
        <w:t xml:space="preserve">Bevir, M. and Rhodes R. A. W. </w:t>
      </w:r>
      <w:r>
        <w:rPr>
          <w:rFonts w:asciiTheme="majorBidi" w:hAnsiTheme="majorBidi" w:cstheme="majorBidi"/>
        </w:rPr>
        <w:t>(Eds.)</w:t>
      </w:r>
      <w:r w:rsidRPr="00B316FF">
        <w:rPr>
          <w:rFonts w:asciiTheme="majorBidi" w:hAnsiTheme="majorBidi" w:cstheme="majorBidi"/>
        </w:rPr>
        <w:t xml:space="preserve"> </w:t>
      </w:r>
      <w:r>
        <w:rPr>
          <w:rFonts w:asciiTheme="majorBidi" w:hAnsiTheme="majorBidi" w:cstheme="majorBidi"/>
        </w:rPr>
        <w:t xml:space="preserve">(2015). </w:t>
      </w:r>
      <w:r w:rsidRPr="00B316FF">
        <w:rPr>
          <w:rFonts w:asciiTheme="majorBidi" w:hAnsiTheme="majorBidi" w:cstheme="majorBidi"/>
          <w:i/>
          <w:iCs/>
        </w:rPr>
        <w:t>The Routledge Handbook of Interpretive Political Science</w:t>
      </w:r>
      <w:r>
        <w:rPr>
          <w:rFonts w:asciiTheme="majorBidi" w:hAnsiTheme="majorBidi" w:cstheme="majorBidi"/>
          <w:i/>
          <w:iCs/>
        </w:rPr>
        <w:t>.</w:t>
      </w:r>
      <w:r>
        <w:rPr>
          <w:rFonts w:asciiTheme="majorBidi" w:hAnsiTheme="majorBidi" w:cstheme="majorBidi"/>
        </w:rPr>
        <w:t xml:space="preserve"> Abingdon, Oxon: Routledge</w:t>
      </w:r>
      <w:r w:rsidRPr="00B316FF">
        <w:rPr>
          <w:rFonts w:asciiTheme="majorBidi" w:hAnsiTheme="majorBidi" w:cstheme="majorBidi"/>
        </w:rPr>
        <w:t>.</w:t>
      </w:r>
    </w:p>
    <w:p w14:paraId="270CF84B" w14:textId="0734A55F" w:rsidR="009D7EFF" w:rsidRPr="000D47AC" w:rsidRDefault="009D7EFF" w:rsidP="00313088">
      <w:pPr>
        <w:spacing w:after="120" w:line="360" w:lineRule="auto"/>
        <w:rPr>
          <w:color w:val="000000" w:themeColor="text1"/>
        </w:rPr>
      </w:pPr>
      <w:r w:rsidRPr="000D47AC">
        <w:rPr>
          <w:color w:val="000000" w:themeColor="text1"/>
        </w:rPr>
        <w:t>Bevir, M. (2006)</w:t>
      </w:r>
      <w:r w:rsidR="000D47AC" w:rsidRPr="000D47AC">
        <w:rPr>
          <w:color w:val="000000" w:themeColor="text1"/>
        </w:rPr>
        <w:t>.</w:t>
      </w:r>
      <w:r w:rsidRPr="000D47AC">
        <w:rPr>
          <w:color w:val="000000" w:themeColor="text1"/>
        </w:rPr>
        <w:t xml:space="preserve"> ‘How Narratives Explain’, in Yanow, D. and Schwartz-Shea, P. (Eds.) </w:t>
      </w:r>
      <w:r w:rsidRPr="000D47AC">
        <w:rPr>
          <w:i/>
          <w:iCs/>
          <w:color w:val="000000" w:themeColor="text1"/>
        </w:rPr>
        <w:t>Interpretation and Method: Empirical Research Methods and the Interpretive Turn</w:t>
      </w:r>
      <w:r w:rsidRPr="000D47AC">
        <w:rPr>
          <w:color w:val="000000" w:themeColor="text1"/>
        </w:rPr>
        <w:t xml:space="preserve">. Armonk, NY: M.E. Sharpe, pp. 281-90. </w:t>
      </w:r>
    </w:p>
    <w:p w14:paraId="0ECAC440" w14:textId="17F71C5A" w:rsidR="006E0DAF" w:rsidRPr="000D47AC" w:rsidRDefault="006E0DAF" w:rsidP="00313088">
      <w:pPr>
        <w:spacing w:after="240" w:line="360" w:lineRule="auto"/>
        <w:ind w:right="-149"/>
        <w:jc w:val="both"/>
      </w:pPr>
      <w:r w:rsidRPr="000D47AC">
        <w:t>Boswell, J, and J Corbett</w:t>
      </w:r>
      <w:r w:rsidR="000E19B0" w:rsidRPr="000D47AC">
        <w:t xml:space="preserve"> (2015)</w:t>
      </w:r>
      <w:r w:rsidR="000D47AC" w:rsidRPr="000D47AC">
        <w:t>.</w:t>
      </w:r>
      <w:r w:rsidRPr="000D47AC">
        <w:t xml:space="preserve"> </w:t>
      </w:r>
      <w:r w:rsidR="00D96B7A" w:rsidRPr="000D47AC">
        <w:t>‘</w:t>
      </w:r>
      <w:r w:rsidRPr="000D47AC">
        <w:t xml:space="preserve">Stoic Democrats? Anti-politics, </w:t>
      </w:r>
      <w:r w:rsidR="00D96B7A" w:rsidRPr="000D47AC">
        <w:t xml:space="preserve">Élite Cynicism </w:t>
      </w:r>
      <w:r w:rsidR="002210DB" w:rsidRPr="000D47AC">
        <w:t>and</w:t>
      </w:r>
      <w:r w:rsidR="00D96B7A" w:rsidRPr="000D47AC">
        <w:t xml:space="preserve"> </w:t>
      </w:r>
      <w:r w:rsidR="002210DB" w:rsidRPr="000D47AC">
        <w:t>the</w:t>
      </w:r>
      <w:r w:rsidR="00D96B7A" w:rsidRPr="000D47AC">
        <w:t xml:space="preserve"> Policy Process’, </w:t>
      </w:r>
      <w:r w:rsidRPr="000D47AC">
        <w:rPr>
          <w:i/>
          <w:iCs/>
        </w:rPr>
        <w:t>Journal of European Public Policy</w:t>
      </w:r>
      <w:r w:rsidR="00D96B7A" w:rsidRPr="000D47AC">
        <w:t xml:space="preserve"> </w:t>
      </w:r>
      <w:r w:rsidRPr="000D47AC">
        <w:t>22.10: 1388-1405</w:t>
      </w:r>
    </w:p>
    <w:p w14:paraId="626F8899" w14:textId="158D90B9" w:rsidR="003958D2" w:rsidRPr="000D47AC" w:rsidRDefault="003958D2" w:rsidP="00313088">
      <w:pPr>
        <w:spacing w:after="240" w:line="360" w:lineRule="auto"/>
        <w:ind w:right="-147"/>
        <w:rPr>
          <w:color w:val="000000" w:themeColor="text1"/>
        </w:rPr>
      </w:pPr>
      <w:r w:rsidRPr="000D47AC">
        <w:rPr>
          <w:color w:val="000000" w:themeColor="text1"/>
        </w:rPr>
        <w:t xml:space="preserve">Boudon, R. </w:t>
      </w:r>
      <w:r w:rsidR="000E19B0" w:rsidRPr="000D47AC">
        <w:rPr>
          <w:color w:val="000000" w:themeColor="text1"/>
        </w:rPr>
        <w:t>(</w:t>
      </w:r>
      <w:r w:rsidRPr="000D47AC">
        <w:rPr>
          <w:color w:val="000000" w:themeColor="text1"/>
        </w:rPr>
        <w:t>1993</w:t>
      </w:r>
      <w:r w:rsidR="000E19B0" w:rsidRPr="000D47AC">
        <w:rPr>
          <w:color w:val="000000" w:themeColor="text1"/>
        </w:rPr>
        <w:t>)</w:t>
      </w:r>
      <w:r w:rsidR="000D47AC" w:rsidRPr="000D47AC">
        <w:rPr>
          <w:color w:val="000000" w:themeColor="text1"/>
        </w:rPr>
        <w:t>.</w:t>
      </w:r>
      <w:r w:rsidRPr="000D47AC">
        <w:rPr>
          <w:color w:val="000000" w:themeColor="text1"/>
        </w:rPr>
        <w:t xml:space="preserve"> ‘Towards a Synthetic Theory of Rationality’, </w:t>
      </w:r>
      <w:r w:rsidRPr="000D47AC">
        <w:rPr>
          <w:i/>
          <w:iCs/>
          <w:color w:val="000000" w:themeColor="text1"/>
        </w:rPr>
        <w:t>International Studies in the Philosophy of Science,</w:t>
      </w:r>
      <w:r w:rsidRPr="000D47AC">
        <w:rPr>
          <w:color w:val="000000" w:themeColor="text1"/>
        </w:rPr>
        <w:t xml:space="preserve"> 7</w:t>
      </w:r>
      <w:r w:rsidR="000A4F7D" w:rsidRPr="000D47AC">
        <w:rPr>
          <w:color w:val="000000" w:themeColor="text1"/>
        </w:rPr>
        <w:t>:</w:t>
      </w:r>
      <w:r w:rsidRPr="000D47AC">
        <w:rPr>
          <w:color w:val="000000" w:themeColor="text1"/>
        </w:rPr>
        <w:t xml:space="preserve"> 5-19. </w:t>
      </w:r>
    </w:p>
    <w:p w14:paraId="3AE618B6" w14:textId="7E077874" w:rsidR="007067BA" w:rsidRPr="000D47AC" w:rsidRDefault="007067BA" w:rsidP="00313088">
      <w:pPr>
        <w:spacing w:after="240" w:line="360" w:lineRule="auto"/>
        <w:ind w:right="-147"/>
        <w:rPr>
          <w:color w:val="000000" w:themeColor="text1"/>
        </w:rPr>
      </w:pPr>
      <w:r w:rsidRPr="000D47AC">
        <w:rPr>
          <w:color w:val="000000" w:themeColor="text1"/>
          <w:lang w:val="de-DE"/>
        </w:rPr>
        <w:lastRenderedPageBreak/>
        <w:t xml:space="preserve">Bovens, Mark and Paul 't Hart. </w:t>
      </w:r>
      <w:r w:rsidRPr="006A027A">
        <w:rPr>
          <w:color w:val="000000" w:themeColor="text1"/>
        </w:rPr>
        <w:t xml:space="preserve">(1996). </w:t>
      </w:r>
      <w:r w:rsidRPr="000D47AC">
        <w:rPr>
          <w:i/>
          <w:color w:val="000000" w:themeColor="text1"/>
        </w:rPr>
        <w:t>Understanding Policy Fiascos</w:t>
      </w:r>
      <w:r w:rsidRPr="000D47AC">
        <w:rPr>
          <w:color w:val="000000" w:themeColor="text1"/>
        </w:rPr>
        <w:t>. London: Transaction.</w:t>
      </w:r>
    </w:p>
    <w:p w14:paraId="0E5615BA" w14:textId="76518D2E" w:rsidR="006E0DAF" w:rsidRPr="000D47AC" w:rsidRDefault="006E0DAF" w:rsidP="00313088">
      <w:pPr>
        <w:spacing w:after="240" w:line="360" w:lineRule="auto"/>
        <w:ind w:right="-149"/>
        <w:jc w:val="both"/>
        <w:rPr>
          <w:color w:val="000000" w:themeColor="text1"/>
          <w:shd w:val="clear" w:color="auto" w:fill="FFFFFF"/>
        </w:rPr>
      </w:pPr>
      <w:r w:rsidRPr="000D47AC">
        <w:rPr>
          <w:color w:val="000000" w:themeColor="text1"/>
          <w:shd w:val="clear" w:color="auto" w:fill="FFFFFF"/>
          <w:lang w:eastAsia="en-US"/>
        </w:rPr>
        <w:t xml:space="preserve">Campbell, </w:t>
      </w:r>
      <w:r w:rsidRPr="000D47AC">
        <w:rPr>
          <w:color w:val="000000" w:themeColor="text1"/>
          <w:shd w:val="clear" w:color="auto" w:fill="FFFFFF"/>
        </w:rPr>
        <w:t>R</w:t>
      </w:r>
      <w:r w:rsidRPr="000D47AC">
        <w:rPr>
          <w:color w:val="000000" w:themeColor="text1"/>
          <w:shd w:val="clear" w:color="auto" w:fill="FFFFFF"/>
          <w:lang w:eastAsia="en-US"/>
        </w:rPr>
        <w:t xml:space="preserve">, and </w:t>
      </w:r>
      <w:r w:rsidRPr="000D47AC">
        <w:rPr>
          <w:color w:val="000000" w:themeColor="text1"/>
          <w:shd w:val="clear" w:color="auto" w:fill="FFFFFF"/>
        </w:rPr>
        <w:t>P</w:t>
      </w:r>
      <w:r w:rsidRPr="000D47AC">
        <w:rPr>
          <w:color w:val="000000" w:themeColor="text1"/>
          <w:shd w:val="clear" w:color="auto" w:fill="FFFFFF"/>
          <w:lang w:eastAsia="en-US"/>
        </w:rPr>
        <w:t xml:space="preserve"> Cowley</w:t>
      </w:r>
      <w:r w:rsidR="000E19B0" w:rsidRPr="000D47AC">
        <w:rPr>
          <w:color w:val="000000" w:themeColor="text1"/>
          <w:shd w:val="clear" w:color="auto" w:fill="FFFFFF"/>
          <w:lang w:eastAsia="en-US"/>
        </w:rPr>
        <w:t xml:space="preserve"> (2014)</w:t>
      </w:r>
      <w:r w:rsidR="000D47AC" w:rsidRPr="000D47AC">
        <w:rPr>
          <w:color w:val="000000" w:themeColor="text1"/>
          <w:shd w:val="clear" w:color="auto" w:fill="FFFFFF"/>
          <w:lang w:eastAsia="en-US"/>
        </w:rPr>
        <w:t>.</w:t>
      </w:r>
      <w:r w:rsidRPr="000D47AC">
        <w:rPr>
          <w:color w:val="000000" w:themeColor="text1"/>
          <w:shd w:val="clear" w:color="auto" w:fill="FFFFFF"/>
          <w:lang w:eastAsia="en-US"/>
        </w:rPr>
        <w:t xml:space="preserve"> </w:t>
      </w:r>
      <w:r w:rsidR="00442297">
        <w:rPr>
          <w:color w:val="000000" w:themeColor="text1"/>
          <w:shd w:val="clear" w:color="auto" w:fill="FFFFFF"/>
          <w:lang w:eastAsia="en-US"/>
        </w:rPr>
        <w:t>‘</w:t>
      </w:r>
      <w:r w:rsidRPr="000D47AC">
        <w:rPr>
          <w:color w:val="000000" w:themeColor="text1"/>
          <w:shd w:val="clear" w:color="auto" w:fill="FFFFFF"/>
          <w:lang w:eastAsia="en-US"/>
        </w:rPr>
        <w:t xml:space="preserve">Rich </w:t>
      </w:r>
      <w:r w:rsidR="00D96B7A" w:rsidRPr="000D47AC">
        <w:rPr>
          <w:color w:val="000000" w:themeColor="text1"/>
          <w:shd w:val="clear" w:color="auto" w:fill="FFFFFF"/>
          <w:lang w:eastAsia="en-US"/>
        </w:rPr>
        <w:t>Man, Poor Man, Politician Man</w:t>
      </w:r>
      <w:r w:rsidRPr="000D47AC">
        <w:rPr>
          <w:color w:val="000000" w:themeColor="text1"/>
          <w:shd w:val="clear" w:color="auto" w:fill="FFFFFF"/>
          <w:lang w:eastAsia="en-US"/>
        </w:rPr>
        <w:t>: Wealth effects in a candidate biography survey experiment."</w:t>
      </w:r>
      <w:r w:rsidR="00442297">
        <w:rPr>
          <w:color w:val="000000" w:themeColor="text1"/>
          <w:shd w:val="clear" w:color="auto" w:fill="FFFFFF"/>
          <w:lang w:eastAsia="en-US"/>
        </w:rPr>
        <w:t xml:space="preserve"> </w:t>
      </w:r>
      <w:r w:rsidRPr="000D47AC">
        <w:rPr>
          <w:i/>
          <w:color w:val="000000" w:themeColor="text1"/>
          <w:shd w:val="clear" w:color="auto" w:fill="FFFFFF"/>
          <w:lang w:eastAsia="en-US"/>
        </w:rPr>
        <w:t>The British Journal of Politics and International Relation</w:t>
      </w:r>
      <w:r w:rsidRPr="000D47AC">
        <w:rPr>
          <w:color w:val="000000" w:themeColor="text1"/>
          <w:shd w:val="clear" w:color="auto" w:fill="FFFFFF"/>
          <w:lang w:eastAsia="en-US"/>
        </w:rPr>
        <w:t>s 16.1: 56-74</w:t>
      </w:r>
    </w:p>
    <w:p w14:paraId="6477D52A" w14:textId="367FB4C9" w:rsidR="00F35F64" w:rsidRPr="000D47AC" w:rsidRDefault="00F35F64" w:rsidP="00313088">
      <w:pPr>
        <w:spacing w:after="240" w:line="360" w:lineRule="auto"/>
        <w:ind w:right="-149"/>
        <w:jc w:val="both"/>
        <w:rPr>
          <w:color w:val="000000" w:themeColor="text1"/>
          <w:shd w:val="clear" w:color="auto" w:fill="FFFFFF"/>
          <w:lang w:eastAsia="en-US"/>
        </w:rPr>
      </w:pPr>
      <w:r w:rsidRPr="000D47AC">
        <w:rPr>
          <w:color w:val="000000" w:themeColor="text1"/>
          <w:shd w:val="clear" w:color="auto" w:fill="FFFFFF"/>
          <w:lang w:eastAsia="en-US"/>
        </w:rPr>
        <w:t xml:space="preserve">Campbell, R. </w:t>
      </w:r>
      <w:r w:rsidR="000D47AC" w:rsidRPr="000D47AC">
        <w:rPr>
          <w:color w:val="000000" w:themeColor="text1"/>
          <w:shd w:val="clear" w:color="auto" w:fill="FFFFFF"/>
          <w:lang w:eastAsia="en-US"/>
        </w:rPr>
        <w:t>and</w:t>
      </w:r>
      <w:r w:rsidRPr="000D47AC">
        <w:rPr>
          <w:color w:val="000000" w:themeColor="text1"/>
          <w:shd w:val="clear" w:color="auto" w:fill="FFFFFF"/>
          <w:lang w:eastAsia="en-US"/>
        </w:rPr>
        <w:t xml:space="preserve"> Cowley</w:t>
      </w:r>
      <w:r w:rsidR="000E19B0" w:rsidRPr="000D47AC">
        <w:rPr>
          <w:color w:val="000000" w:themeColor="text1"/>
          <w:shd w:val="clear" w:color="auto" w:fill="FFFFFF"/>
          <w:lang w:eastAsia="en-US"/>
        </w:rPr>
        <w:t xml:space="preserve"> P. (2015)</w:t>
      </w:r>
      <w:r w:rsidR="000D47AC" w:rsidRPr="000D47AC">
        <w:rPr>
          <w:color w:val="000000" w:themeColor="text1"/>
          <w:shd w:val="clear" w:color="auto" w:fill="FFFFFF"/>
          <w:lang w:eastAsia="en-US"/>
        </w:rPr>
        <w:t>.</w:t>
      </w:r>
      <w:r w:rsidRPr="000D47AC">
        <w:rPr>
          <w:color w:val="000000" w:themeColor="text1"/>
          <w:shd w:val="clear" w:color="auto" w:fill="FFFFFF"/>
          <w:lang w:eastAsia="en-US"/>
        </w:rPr>
        <w:t xml:space="preserve"> </w:t>
      </w:r>
      <w:r w:rsidR="00442297">
        <w:rPr>
          <w:color w:val="000000" w:themeColor="text1"/>
          <w:shd w:val="clear" w:color="auto" w:fill="FFFFFF"/>
          <w:lang w:eastAsia="en-US"/>
        </w:rPr>
        <w:t>‘</w:t>
      </w:r>
      <w:r w:rsidRPr="000D47AC">
        <w:rPr>
          <w:color w:val="000000" w:themeColor="text1"/>
          <w:shd w:val="clear" w:color="auto" w:fill="FFFFFF"/>
          <w:lang w:eastAsia="en-US"/>
        </w:rPr>
        <w:t xml:space="preserve">Attitudes to </w:t>
      </w:r>
      <w:r w:rsidR="00D96B7A" w:rsidRPr="000D47AC">
        <w:rPr>
          <w:color w:val="000000" w:themeColor="text1"/>
          <w:shd w:val="clear" w:color="auto" w:fill="FFFFFF"/>
          <w:lang w:eastAsia="en-US"/>
        </w:rPr>
        <w:t>Moonlighting Politicians</w:t>
      </w:r>
      <w:r w:rsidRPr="000D47AC">
        <w:rPr>
          <w:color w:val="000000" w:themeColor="text1"/>
          <w:shd w:val="clear" w:color="auto" w:fill="FFFFFF"/>
          <w:lang w:eastAsia="en-US"/>
        </w:rPr>
        <w:t>: evidence from the UK</w:t>
      </w:r>
      <w:r w:rsidR="00442297">
        <w:rPr>
          <w:color w:val="000000" w:themeColor="text1"/>
          <w:shd w:val="clear" w:color="auto" w:fill="FFFFFF"/>
          <w:lang w:eastAsia="en-US"/>
        </w:rPr>
        <w:t>’</w:t>
      </w:r>
      <w:r w:rsidRPr="000D47AC">
        <w:rPr>
          <w:color w:val="000000" w:themeColor="text1"/>
          <w:shd w:val="clear" w:color="auto" w:fill="FFFFFF"/>
          <w:lang w:eastAsia="en-US"/>
        </w:rPr>
        <w:t>.</w:t>
      </w:r>
      <w:r w:rsidR="00D96B7A" w:rsidRPr="000D47AC">
        <w:rPr>
          <w:color w:val="000000" w:themeColor="text1"/>
          <w:shd w:val="clear" w:color="auto" w:fill="FFFFFF"/>
          <w:lang w:eastAsia="en-US"/>
        </w:rPr>
        <w:t xml:space="preserve"> </w:t>
      </w:r>
      <w:r w:rsidRPr="000D47AC">
        <w:rPr>
          <w:i/>
          <w:iCs/>
          <w:color w:val="000000" w:themeColor="text1"/>
          <w:shd w:val="clear" w:color="auto" w:fill="FFFFFF"/>
          <w:lang w:eastAsia="en-US"/>
        </w:rPr>
        <w:t>Journal of Experimental Political Science</w:t>
      </w:r>
      <w:r w:rsidRPr="000D47AC">
        <w:rPr>
          <w:color w:val="000000" w:themeColor="text1"/>
          <w:shd w:val="clear" w:color="auto" w:fill="FFFFFF"/>
          <w:lang w:eastAsia="en-US"/>
        </w:rPr>
        <w:t>.</w:t>
      </w:r>
      <w:r w:rsidR="00D96B7A" w:rsidRPr="000D47AC">
        <w:rPr>
          <w:color w:val="000000" w:themeColor="text1"/>
          <w:shd w:val="clear" w:color="auto" w:fill="FFFFFF"/>
          <w:lang w:eastAsia="en-US"/>
        </w:rPr>
        <w:t xml:space="preserve"> </w:t>
      </w:r>
      <w:r w:rsidRPr="000D47AC">
        <w:rPr>
          <w:color w:val="000000" w:themeColor="text1"/>
          <w:shd w:val="clear" w:color="auto" w:fill="FFFFFF"/>
          <w:lang w:eastAsia="en-US"/>
        </w:rPr>
        <w:t>2:1: 63-72.</w:t>
      </w:r>
    </w:p>
    <w:p w14:paraId="532C28E9" w14:textId="249F4F9B" w:rsidR="001F459E" w:rsidRPr="000D47AC" w:rsidRDefault="001F459E" w:rsidP="00313088">
      <w:pPr>
        <w:spacing w:after="240" w:line="360" w:lineRule="auto"/>
        <w:ind w:right="-149"/>
        <w:jc w:val="both"/>
        <w:rPr>
          <w:color w:val="000000" w:themeColor="text1"/>
          <w:shd w:val="clear" w:color="auto" w:fill="FFFFFF"/>
        </w:rPr>
      </w:pPr>
      <w:r w:rsidRPr="000D47AC">
        <w:rPr>
          <w:color w:val="000000" w:themeColor="text1"/>
          <w:shd w:val="clear" w:color="auto" w:fill="FFFFFF"/>
        </w:rPr>
        <w:t>Catterberg, G., and Moreno, A. (2006). 'The Individual Bases of Political Trust: Trends in New and Established Democracies.'</w:t>
      </w:r>
      <w:r w:rsidRPr="000D47AC">
        <w:rPr>
          <w:i/>
          <w:color w:val="000000" w:themeColor="text1"/>
          <w:shd w:val="clear" w:color="auto" w:fill="FFFFFF"/>
        </w:rPr>
        <w:t xml:space="preserve"> International Journal of Public Opinion Research</w:t>
      </w:r>
      <w:r w:rsidRPr="000D47AC">
        <w:rPr>
          <w:color w:val="000000" w:themeColor="text1"/>
          <w:shd w:val="clear" w:color="auto" w:fill="FFFFFF"/>
        </w:rPr>
        <w:t xml:space="preserve"> 18</w:t>
      </w:r>
      <w:r w:rsidR="00AB3F1A" w:rsidRPr="000D47AC">
        <w:rPr>
          <w:color w:val="000000" w:themeColor="text1"/>
          <w:shd w:val="clear" w:color="auto" w:fill="FFFFFF"/>
        </w:rPr>
        <w:t xml:space="preserve"> </w:t>
      </w:r>
      <w:r w:rsidRPr="000D47AC">
        <w:rPr>
          <w:color w:val="000000" w:themeColor="text1"/>
          <w:shd w:val="clear" w:color="auto" w:fill="FFFFFF"/>
        </w:rPr>
        <w:t>(1): 31-48.</w:t>
      </w:r>
    </w:p>
    <w:p w14:paraId="68502BAB" w14:textId="60AD12B0" w:rsidR="003017A5" w:rsidRPr="000D47AC" w:rsidRDefault="003017A5" w:rsidP="00313088">
      <w:pPr>
        <w:spacing w:after="240" w:line="360" w:lineRule="auto"/>
        <w:ind w:right="-149"/>
        <w:jc w:val="both"/>
        <w:rPr>
          <w:color w:val="000000" w:themeColor="text1"/>
          <w:shd w:val="clear" w:color="auto" w:fill="FFFFFF"/>
        </w:rPr>
      </w:pPr>
      <w:r w:rsidRPr="000D47AC">
        <w:rPr>
          <w:color w:val="000000" w:themeColor="text1"/>
          <w:shd w:val="clear" w:color="auto" w:fill="FFFFFF"/>
        </w:rPr>
        <w:t xml:space="preserve">Clarke, N., Jennings, W., Moss, J. and Stoker, G. (2016). </w:t>
      </w:r>
      <w:r w:rsidRPr="000D47AC">
        <w:rPr>
          <w:i/>
          <w:color w:val="000000" w:themeColor="text1"/>
          <w:shd w:val="clear" w:color="auto" w:fill="FFFFFF"/>
        </w:rPr>
        <w:t xml:space="preserve">The </w:t>
      </w:r>
      <w:r w:rsidR="00D96B7A" w:rsidRPr="000D47AC">
        <w:rPr>
          <w:i/>
          <w:color w:val="000000" w:themeColor="text1"/>
          <w:shd w:val="clear" w:color="auto" w:fill="FFFFFF"/>
        </w:rPr>
        <w:t xml:space="preserve">Rise </w:t>
      </w:r>
      <w:r w:rsidRPr="000D47AC">
        <w:rPr>
          <w:i/>
          <w:color w:val="000000" w:themeColor="text1"/>
          <w:shd w:val="clear" w:color="auto" w:fill="FFFFFF"/>
        </w:rPr>
        <w:t xml:space="preserve">of </w:t>
      </w:r>
      <w:r w:rsidR="00D96B7A" w:rsidRPr="000D47AC">
        <w:rPr>
          <w:i/>
          <w:color w:val="000000" w:themeColor="text1"/>
          <w:shd w:val="clear" w:color="auto" w:fill="FFFFFF"/>
        </w:rPr>
        <w:t xml:space="preserve">Anti-Politics </w:t>
      </w:r>
      <w:r w:rsidRPr="000D47AC">
        <w:rPr>
          <w:i/>
          <w:color w:val="000000" w:themeColor="text1"/>
          <w:shd w:val="clear" w:color="auto" w:fill="FFFFFF"/>
        </w:rPr>
        <w:t>in Britain</w:t>
      </w:r>
      <w:r w:rsidRPr="000D47AC">
        <w:rPr>
          <w:color w:val="000000" w:themeColor="text1"/>
          <w:shd w:val="clear" w:color="auto" w:fill="FFFFFF"/>
        </w:rPr>
        <w:t>. Southampton: University of Southampton.</w:t>
      </w:r>
    </w:p>
    <w:p w14:paraId="3C31197F" w14:textId="75B0733E" w:rsidR="00222DDB" w:rsidRPr="000D47AC" w:rsidRDefault="00222DDB" w:rsidP="00313088">
      <w:pPr>
        <w:tabs>
          <w:tab w:val="left" w:pos="360"/>
          <w:tab w:val="left" w:pos="540"/>
          <w:tab w:val="left" w:pos="720"/>
        </w:tabs>
        <w:spacing w:after="120" w:line="360" w:lineRule="auto"/>
        <w:ind w:right="-46"/>
      </w:pPr>
      <w:r w:rsidRPr="000D47AC">
        <w:t>Corbett, J. (2015)</w:t>
      </w:r>
      <w:r w:rsidR="000D47AC" w:rsidRPr="000D47AC">
        <w:t>.</w:t>
      </w:r>
      <w:r w:rsidRPr="000D47AC">
        <w:t xml:space="preserve"> </w:t>
      </w:r>
      <w:r w:rsidRPr="000D47AC">
        <w:rPr>
          <w:i/>
          <w:iCs/>
        </w:rPr>
        <w:t>Being Political. Leadership and Democracy in the Pacific Islands</w:t>
      </w:r>
      <w:r w:rsidRPr="000D47AC">
        <w:t xml:space="preserve">. Honolulu: University of Hawai’i Press. </w:t>
      </w:r>
    </w:p>
    <w:p w14:paraId="5E539769" w14:textId="5C4748A0" w:rsidR="009A537C" w:rsidRPr="000D47AC" w:rsidRDefault="009A537C" w:rsidP="00313088">
      <w:pPr>
        <w:tabs>
          <w:tab w:val="left" w:pos="360"/>
          <w:tab w:val="left" w:pos="540"/>
          <w:tab w:val="left" w:pos="720"/>
        </w:tabs>
        <w:spacing w:after="120" w:line="360" w:lineRule="auto"/>
        <w:ind w:right="-46"/>
      </w:pPr>
      <w:r w:rsidRPr="000D47AC">
        <w:t>Cramer, K. J. (2016).</w:t>
      </w:r>
      <w:r w:rsidR="000D47AC" w:rsidRPr="000D47AC">
        <w:t xml:space="preserve"> </w:t>
      </w:r>
      <w:r w:rsidRPr="000D47AC">
        <w:rPr>
          <w:i/>
          <w:iCs/>
        </w:rPr>
        <w:t>The politics of resentment: Rural consciousness in Wisconsin and the rise of Scott Walker</w:t>
      </w:r>
      <w:r w:rsidRPr="000D47AC">
        <w:t>. University of Chicago Press.</w:t>
      </w:r>
    </w:p>
    <w:p w14:paraId="4AFF660C" w14:textId="37EE9E14" w:rsidR="004B72CA" w:rsidRPr="000D47AC" w:rsidRDefault="004B72CA" w:rsidP="00313088">
      <w:pPr>
        <w:tabs>
          <w:tab w:val="left" w:pos="360"/>
          <w:tab w:val="left" w:pos="540"/>
          <w:tab w:val="left" w:pos="720"/>
        </w:tabs>
        <w:spacing w:after="240" w:line="360" w:lineRule="auto"/>
        <w:jc w:val="both"/>
      </w:pPr>
      <w:r w:rsidRPr="000D47AC">
        <w:t>Crewe, E. (2005)</w:t>
      </w:r>
      <w:r w:rsidR="000D47AC" w:rsidRPr="000D47AC">
        <w:t>.</w:t>
      </w:r>
      <w:r w:rsidRPr="000D47AC">
        <w:t xml:space="preserve"> </w:t>
      </w:r>
      <w:r w:rsidRPr="000D47AC">
        <w:rPr>
          <w:i/>
        </w:rPr>
        <w:t>Lords of Parliament</w:t>
      </w:r>
      <w:r w:rsidRPr="000D47AC">
        <w:t xml:space="preserve">. Manchester: Manchester University Press. </w:t>
      </w:r>
    </w:p>
    <w:p w14:paraId="42FAAD74" w14:textId="58333271" w:rsidR="004B72CA" w:rsidRPr="000D47AC" w:rsidRDefault="004B72CA" w:rsidP="00313088">
      <w:pPr>
        <w:tabs>
          <w:tab w:val="left" w:pos="360"/>
          <w:tab w:val="left" w:pos="540"/>
          <w:tab w:val="left" w:pos="720"/>
        </w:tabs>
        <w:spacing w:after="240" w:line="360" w:lineRule="auto"/>
        <w:jc w:val="both"/>
      </w:pPr>
      <w:r w:rsidRPr="000D47AC">
        <w:t>Crewe, E. (2015)</w:t>
      </w:r>
      <w:r w:rsidR="000D47AC" w:rsidRPr="000D47AC">
        <w:t>.</w:t>
      </w:r>
      <w:r w:rsidRPr="000D47AC">
        <w:t xml:space="preserve"> </w:t>
      </w:r>
      <w:r w:rsidRPr="000D47AC">
        <w:rPr>
          <w:i/>
        </w:rPr>
        <w:t>The House of Commons</w:t>
      </w:r>
      <w:r w:rsidRPr="000D47AC">
        <w:t xml:space="preserve">. London: Bloomsbury. </w:t>
      </w:r>
    </w:p>
    <w:p w14:paraId="57898AF0" w14:textId="293ACD80" w:rsidR="00065AF8" w:rsidRPr="000D47AC" w:rsidRDefault="00065AF8" w:rsidP="00313088">
      <w:pPr>
        <w:tabs>
          <w:tab w:val="left" w:pos="360"/>
          <w:tab w:val="left" w:pos="540"/>
          <w:tab w:val="left" w:pos="720"/>
        </w:tabs>
        <w:spacing w:after="240" w:line="360" w:lineRule="auto"/>
        <w:jc w:val="both"/>
      </w:pPr>
      <w:r w:rsidRPr="000D47AC">
        <w:t>Crozier, M., Huntington, S.</w:t>
      </w:r>
      <w:r w:rsidR="00CF3200" w:rsidRPr="000D47AC">
        <w:t xml:space="preserve"> </w:t>
      </w:r>
      <w:r w:rsidRPr="000D47AC">
        <w:t>P., and Watanuki, J. (1975).</w:t>
      </w:r>
      <w:r w:rsidRPr="000D47AC">
        <w:rPr>
          <w:i/>
        </w:rPr>
        <w:t xml:space="preserve"> The Crisis of Democracy</w:t>
      </w:r>
      <w:r w:rsidRPr="000D47AC">
        <w:t>. New York: New York University Press.</w:t>
      </w:r>
    </w:p>
    <w:p w14:paraId="6D4B07CC" w14:textId="3145A063" w:rsidR="001F459E" w:rsidRPr="000D47AC" w:rsidRDefault="001F459E" w:rsidP="00313088">
      <w:pPr>
        <w:tabs>
          <w:tab w:val="left" w:pos="360"/>
          <w:tab w:val="left" w:pos="540"/>
          <w:tab w:val="left" w:pos="720"/>
        </w:tabs>
        <w:spacing w:after="240" w:line="360" w:lineRule="auto"/>
        <w:jc w:val="both"/>
      </w:pPr>
      <w:r w:rsidRPr="000D47AC">
        <w:t>Dalton, R.</w:t>
      </w:r>
      <w:r w:rsidR="00CF3200" w:rsidRPr="000D47AC">
        <w:t xml:space="preserve"> </w:t>
      </w:r>
      <w:r w:rsidRPr="000D47AC">
        <w:t xml:space="preserve">J. (2004). </w:t>
      </w:r>
      <w:r w:rsidRPr="000D47AC">
        <w:rPr>
          <w:i/>
        </w:rPr>
        <w:t>Democratic Challenges, Democratic Choices: The Erosion of Political Support in Advanced Industrial Democracies</w:t>
      </w:r>
      <w:r w:rsidRPr="000D47AC">
        <w:t>. Oxford: Oxford University Press.</w:t>
      </w:r>
      <w:r w:rsidR="00AC618A" w:rsidRPr="000D47AC">
        <w:t xml:space="preserve"> </w:t>
      </w:r>
    </w:p>
    <w:p w14:paraId="5726B08F" w14:textId="3B51208D" w:rsidR="00AC618A" w:rsidRPr="003C1BBA" w:rsidRDefault="00AC618A" w:rsidP="00313088">
      <w:pPr>
        <w:autoSpaceDE w:val="0"/>
        <w:autoSpaceDN w:val="0"/>
        <w:adjustRightInd w:val="0"/>
        <w:spacing w:line="360" w:lineRule="auto"/>
        <w:rPr>
          <w:color w:val="000000" w:themeColor="text1"/>
          <w:lang w:eastAsia="en-US"/>
        </w:rPr>
      </w:pPr>
      <w:r w:rsidRPr="000D47AC">
        <w:rPr>
          <w:color w:val="000000" w:themeColor="text1"/>
          <w:lang w:eastAsia="en-US"/>
        </w:rPr>
        <w:t>Delamont, Sara. (2007)</w:t>
      </w:r>
      <w:r w:rsidR="000D47AC" w:rsidRPr="000D47AC">
        <w:rPr>
          <w:color w:val="000000" w:themeColor="text1"/>
          <w:lang w:eastAsia="en-US"/>
        </w:rPr>
        <w:t>.</w:t>
      </w:r>
      <w:r w:rsidRPr="000D47AC">
        <w:rPr>
          <w:color w:val="000000" w:themeColor="text1"/>
          <w:lang w:eastAsia="en-US"/>
        </w:rPr>
        <w:t xml:space="preserve"> ‘Ethnography and Participant Observation’, in Clive Seale, Gobo Giampietri, Jaber F. Gubrium and David S. Silverman</w:t>
      </w:r>
      <w:r w:rsidRPr="003C1BBA">
        <w:rPr>
          <w:i/>
          <w:iCs/>
          <w:color w:val="000000" w:themeColor="text1"/>
          <w:lang w:eastAsia="en-US"/>
        </w:rPr>
        <w:t xml:space="preserve"> </w:t>
      </w:r>
      <w:r w:rsidRPr="003C1BBA">
        <w:rPr>
          <w:color w:val="000000" w:themeColor="text1"/>
          <w:lang w:eastAsia="en-US"/>
        </w:rPr>
        <w:t xml:space="preserve">(Eds.) </w:t>
      </w:r>
      <w:r w:rsidRPr="003C1BBA">
        <w:rPr>
          <w:i/>
          <w:iCs/>
          <w:color w:val="000000" w:themeColor="text1"/>
          <w:lang w:eastAsia="en-US"/>
        </w:rPr>
        <w:t>Qualitative Research Practice</w:t>
      </w:r>
      <w:r w:rsidRPr="003C1BBA">
        <w:rPr>
          <w:color w:val="000000" w:themeColor="text1"/>
          <w:lang w:eastAsia="en-US"/>
        </w:rPr>
        <w:t>, Thousand Oaks, CA: Sage: 205–27.</w:t>
      </w:r>
    </w:p>
    <w:p w14:paraId="3977709D" w14:textId="325A9CDC" w:rsidR="000A0166" w:rsidRPr="000D47AC" w:rsidRDefault="000A0166" w:rsidP="00313088">
      <w:pPr>
        <w:spacing w:after="240" w:line="360" w:lineRule="auto"/>
        <w:jc w:val="both"/>
        <w:rPr>
          <w:color w:val="000000" w:themeColor="text1"/>
        </w:rPr>
      </w:pPr>
      <w:r w:rsidRPr="000D47AC">
        <w:rPr>
          <w:color w:val="000000" w:themeColor="text1"/>
        </w:rPr>
        <w:lastRenderedPageBreak/>
        <w:t>Denzin, N. K. and Lincoln, Y. S. (2011) [1994]</w:t>
      </w:r>
      <w:r w:rsidR="000D47AC" w:rsidRPr="000D47AC">
        <w:rPr>
          <w:color w:val="000000" w:themeColor="text1"/>
        </w:rPr>
        <w:t>.</w:t>
      </w:r>
      <w:r w:rsidRPr="000D47AC">
        <w:rPr>
          <w:color w:val="000000" w:themeColor="text1"/>
        </w:rPr>
        <w:t xml:space="preserve"> ‘Introduction: the </w:t>
      </w:r>
      <w:r w:rsidR="00D96B7A" w:rsidRPr="000D47AC">
        <w:rPr>
          <w:color w:val="000000" w:themeColor="text1"/>
        </w:rPr>
        <w:t>Discipline and Practice of Qualitative Research</w:t>
      </w:r>
      <w:r w:rsidRPr="000D47AC">
        <w:rPr>
          <w:color w:val="000000" w:themeColor="text1"/>
        </w:rPr>
        <w:t xml:space="preserve">’, in N. K. Denzin, and Y. S. Lincoln (Eds.) </w:t>
      </w:r>
      <w:r w:rsidRPr="000D47AC">
        <w:rPr>
          <w:i/>
          <w:color w:val="000000" w:themeColor="text1"/>
        </w:rPr>
        <w:t>Handbook of Qualitative Research,</w:t>
      </w:r>
      <w:r w:rsidRPr="000D47AC">
        <w:rPr>
          <w:color w:val="000000" w:themeColor="text1"/>
        </w:rPr>
        <w:t xml:space="preserve"> 4th edition, London: Sage, pp. 1-19. </w:t>
      </w:r>
    </w:p>
    <w:p w14:paraId="2915DD8E" w14:textId="2DFFF596" w:rsidR="007067BA" w:rsidRPr="000D47AC" w:rsidRDefault="00646AD5" w:rsidP="00313088">
      <w:pPr>
        <w:pStyle w:val="EndnoteText"/>
        <w:spacing w:after="240" w:line="360" w:lineRule="auto"/>
        <w:ind w:right="-147"/>
        <w:rPr>
          <w:sz w:val="24"/>
          <w:szCs w:val="24"/>
        </w:rPr>
      </w:pPr>
      <w:r w:rsidRPr="000D47AC">
        <w:rPr>
          <w:sz w:val="24"/>
          <w:szCs w:val="24"/>
        </w:rPr>
        <w:t>Dunleavy, P</w:t>
      </w:r>
      <w:r w:rsidR="007067BA" w:rsidRPr="000D47AC">
        <w:rPr>
          <w:sz w:val="24"/>
          <w:szCs w:val="24"/>
        </w:rPr>
        <w:t xml:space="preserve">. (1995). ‘Policy Disasters’ </w:t>
      </w:r>
      <w:r w:rsidR="007067BA" w:rsidRPr="000D47AC">
        <w:rPr>
          <w:i/>
          <w:sz w:val="24"/>
          <w:szCs w:val="24"/>
        </w:rPr>
        <w:t>Public Policy and Administration</w:t>
      </w:r>
      <w:r w:rsidR="007067BA" w:rsidRPr="000D47AC">
        <w:rPr>
          <w:sz w:val="24"/>
          <w:szCs w:val="24"/>
        </w:rPr>
        <w:t xml:space="preserve"> 10</w:t>
      </w:r>
      <w:r w:rsidR="00D96B7A" w:rsidRPr="000D47AC">
        <w:rPr>
          <w:sz w:val="24"/>
          <w:szCs w:val="24"/>
        </w:rPr>
        <w:t xml:space="preserve"> </w:t>
      </w:r>
      <w:r w:rsidR="007067BA" w:rsidRPr="000D47AC">
        <w:rPr>
          <w:sz w:val="24"/>
          <w:szCs w:val="24"/>
        </w:rPr>
        <w:t>(2): 52-70.</w:t>
      </w:r>
    </w:p>
    <w:p w14:paraId="49583DE9" w14:textId="59408361" w:rsidR="00222DDB" w:rsidRPr="000D47AC" w:rsidRDefault="00BD265B" w:rsidP="00313088">
      <w:pPr>
        <w:spacing w:after="120" w:line="360" w:lineRule="auto"/>
        <w:rPr>
          <w:color w:val="000000" w:themeColor="text1"/>
          <w:shd w:val="clear" w:color="auto" w:fill="FFFFFF"/>
        </w:rPr>
      </w:pPr>
      <w:r w:rsidRPr="000D47AC">
        <w:rPr>
          <w:color w:val="000000" w:themeColor="text1"/>
        </w:rPr>
        <w:t>Fenno, R. F</w:t>
      </w:r>
      <w:r w:rsidR="00222DDB" w:rsidRPr="000D47AC">
        <w:rPr>
          <w:color w:val="000000" w:themeColor="text1"/>
        </w:rPr>
        <w:t>. (1978)</w:t>
      </w:r>
      <w:r w:rsidR="000D47AC" w:rsidRPr="000D47AC">
        <w:rPr>
          <w:color w:val="000000" w:themeColor="text1"/>
        </w:rPr>
        <w:t>.</w:t>
      </w:r>
      <w:r w:rsidR="00222DDB" w:rsidRPr="000D47AC">
        <w:rPr>
          <w:color w:val="000000" w:themeColor="text1"/>
        </w:rPr>
        <w:t xml:space="preserve"> </w:t>
      </w:r>
      <w:r w:rsidR="00222DDB" w:rsidRPr="000D47AC">
        <w:rPr>
          <w:i/>
          <w:iCs/>
          <w:color w:val="000000" w:themeColor="text1"/>
          <w:shd w:val="clear" w:color="auto" w:fill="FFFFFF"/>
        </w:rPr>
        <w:t>Home Style: House Members in their Districts,</w:t>
      </w:r>
      <w:r w:rsidR="00222DDB" w:rsidRPr="000D47AC">
        <w:rPr>
          <w:color w:val="000000" w:themeColor="text1"/>
          <w:shd w:val="clear" w:color="auto" w:fill="FFFFFF"/>
        </w:rPr>
        <w:t xml:space="preserve"> Boston: Little, Brown.</w:t>
      </w:r>
    </w:p>
    <w:p w14:paraId="73576612" w14:textId="4A107F20" w:rsidR="00BD265B" w:rsidRPr="000D47AC" w:rsidRDefault="00BD265B" w:rsidP="00313088">
      <w:pPr>
        <w:spacing w:after="120" w:line="360" w:lineRule="auto"/>
        <w:rPr>
          <w:color w:val="000000" w:themeColor="text1"/>
          <w:shd w:val="clear" w:color="auto" w:fill="FFFFFF"/>
        </w:rPr>
      </w:pPr>
      <w:r w:rsidRPr="000D47AC">
        <w:rPr>
          <w:color w:val="000000" w:themeColor="text1"/>
          <w:shd w:val="clear" w:color="auto" w:fill="FFFFFF"/>
        </w:rPr>
        <w:t>Fenno, R. F. (1990).</w:t>
      </w:r>
      <w:r w:rsidR="00D96B7A" w:rsidRPr="000D47AC">
        <w:rPr>
          <w:color w:val="000000" w:themeColor="text1"/>
          <w:shd w:val="clear" w:color="auto" w:fill="FFFFFF"/>
        </w:rPr>
        <w:t xml:space="preserve"> </w:t>
      </w:r>
      <w:r w:rsidRPr="000D47AC">
        <w:rPr>
          <w:i/>
          <w:iCs/>
          <w:color w:val="000000" w:themeColor="text1"/>
          <w:shd w:val="clear" w:color="auto" w:fill="FFFFFF"/>
        </w:rPr>
        <w:t>Watching politicians: Essays on participant observation</w:t>
      </w:r>
      <w:r w:rsidRPr="000D47AC">
        <w:rPr>
          <w:color w:val="000000" w:themeColor="text1"/>
          <w:shd w:val="clear" w:color="auto" w:fill="FFFFFF"/>
        </w:rPr>
        <w:t>. Univ</w:t>
      </w:r>
      <w:r w:rsidR="002210DB">
        <w:rPr>
          <w:color w:val="000000" w:themeColor="text1"/>
          <w:shd w:val="clear" w:color="auto" w:fill="FFFFFF"/>
        </w:rPr>
        <w:t>ersity</w:t>
      </w:r>
      <w:r w:rsidRPr="000D47AC">
        <w:rPr>
          <w:color w:val="000000" w:themeColor="text1"/>
          <w:shd w:val="clear" w:color="auto" w:fill="FFFFFF"/>
        </w:rPr>
        <w:t xml:space="preserve"> of California.</w:t>
      </w:r>
    </w:p>
    <w:p w14:paraId="150BC9E7" w14:textId="0F7902DD" w:rsidR="00C512EF" w:rsidRPr="000D47AC" w:rsidRDefault="00646AD5" w:rsidP="00313088">
      <w:pPr>
        <w:spacing w:after="240" w:line="360" w:lineRule="auto"/>
        <w:jc w:val="both"/>
        <w:rPr>
          <w:color w:val="000000" w:themeColor="text1"/>
        </w:rPr>
      </w:pPr>
      <w:r w:rsidRPr="000D47AC">
        <w:rPr>
          <w:color w:val="000000" w:themeColor="text1"/>
        </w:rPr>
        <w:t>Finifter, A</w:t>
      </w:r>
      <w:r w:rsidR="00C512EF" w:rsidRPr="000D47AC">
        <w:rPr>
          <w:color w:val="000000" w:themeColor="text1"/>
        </w:rPr>
        <w:t xml:space="preserve"> W. (1970). ‘Dimensions of Political Alienation.’ </w:t>
      </w:r>
      <w:r w:rsidR="00C512EF" w:rsidRPr="000D47AC">
        <w:rPr>
          <w:i/>
          <w:color w:val="000000" w:themeColor="text1"/>
        </w:rPr>
        <w:t xml:space="preserve">American Political Science Review </w:t>
      </w:r>
      <w:r w:rsidR="00C512EF" w:rsidRPr="000D47AC">
        <w:rPr>
          <w:color w:val="000000" w:themeColor="text1"/>
        </w:rPr>
        <w:t>64(2): 389-410.</w:t>
      </w:r>
    </w:p>
    <w:p w14:paraId="66A828FE" w14:textId="1AFD09D1" w:rsidR="003017A5" w:rsidRPr="000D47AC" w:rsidRDefault="003017A5" w:rsidP="00313088">
      <w:pPr>
        <w:spacing w:after="240" w:line="360" w:lineRule="auto"/>
        <w:jc w:val="both"/>
      </w:pPr>
      <w:r w:rsidRPr="000D47AC">
        <w:t>Flinders, M. (2012)</w:t>
      </w:r>
      <w:r w:rsidR="000D47AC" w:rsidRPr="000D47AC">
        <w:t>.</w:t>
      </w:r>
      <w:r w:rsidRPr="000D47AC">
        <w:t xml:space="preserve"> </w:t>
      </w:r>
      <w:r w:rsidRPr="000D47AC">
        <w:rPr>
          <w:i/>
        </w:rPr>
        <w:t>Defending Politics: Why Democracy Matters in the Twenty-First Century</w:t>
      </w:r>
      <w:r w:rsidRPr="000D47AC">
        <w:t>. Oxford: Oxford University Press.</w:t>
      </w:r>
    </w:p>
    <w:p w14:paraId="22850A9E" w14:textId="35BA1883" w:rsidR="009472B9" w:rsidRPr="000D47AC" w:rsidRDefault="009472B9" w:rsidP="00313088">
      <w:pPr>
        <w:spacing w:after="240" w:line="360" w:lineRule="auto"/>
        <w:jc w:val="both"/>
        <w:rPr>
          <w:color w:val="000000" w:themeColor="text1"/>
          <w:lang w:eastAsia="en-US"/>
        </w:rPr>
      </w:pPr>
      <w:r w:rsidRPr="000D47AC">
        <w:rPr>
          <w:color w:val="000000" w:themeColor="text1"/>
          <w:lang w:eastAsia="en-US"/>
        </w:rPr>
        <w:t>Gaddie, Ronald Keith</w:t>
      </w:r>
      <w:r w:rsidR="00222DDB" w:rsidRPr="000D47AC">
        <w:rPr>
          <w:color w:val="000000" w:themeColor="text1"/>
          <w:lang w:eastAsia="en-US"/>
        </w:rPr>
        <w:t xml:space="preserve"> (2003)</w:t>
      </w:r>
      <w:r w:rsidRPr="000D47AC">
        <w:rPr>
          <w:color w:val="000000" w:themeColor="text1"/>
          <w:lang w:eastAsia="en-US"/>
        </w:rPr>
        <w:t>.</w:t>
      </w:r>
      <w:r w:rsidR="00D96B7A" w:rsidRPr="000D47AC">
        <w:rPr>
          <w:color w:val="000000" w:themeColor="text1"/>
          <w:lang w:eastAsia="en-US"/>
        </w:rPr>
        <w:t xml:space="preserve"> </w:t>
      </w:r>
      <w:r w:rsidRPr="000D47AC">
        <w:rPr>
          <w:i/>
          <w:color w:val="000000" w:themeColor="text1"/>
          <w:lang w:eastAsia="en-US"/>
        </w:rPr>
        <w:t xml:space="preserve">Born </w:t>
      </w:r>
      <w:r w:rsidR="00222DDB" w:rsidRPr="000D47AC">
        <w:rPr>
          <w:i/>
          <w:color w:val="000000" w:themeColor="text1"/>
          <w:lang w:eastAsia="en-US"/>
        </w:rPr>
        <w:t>To Run: Origins of the Political Career</w:t>
      </w:r>
      <w:r w:rsidRPr="000D47AC">
        <w:rPr>
          <w:i/>
          <w:color w:val="000000" w:themeColor="text1"/>
          <w:lang w:eastAsia="en-US"/>
        </w:rPr>
        <w:t xml:space="preserve">. </w:t>
      </w:r>
      <w:r w:rsidRPr="000D47AC">
        <w:rPr>
          <w:iCs/>
          <w:color w:val="000000" w:themeColor="text1"/>
          <w:lang w:eastAsia="en-US"/>
        </w:rPr>
        <w:t xml:space="preserve">Rowman </w:t>
      </w:r>
      <w:r w:rsidR="000D47AC" w:rsidRPr="000D47AC">
        <w:rPr>
          <w:iCs/>
          <w:color w:val="000000" w:themeColor="text1"/>
          <w:lang w:eastAsia="en-US"/>
        </w:rPr>
        <w:t>and</w:t>
      </w:r>
      <w:r w:rsidRPr="000D47AC">
        <w:rPr>
          <w:iCs/>
          <w:color w:val="000000" w:themeColor="text1"/>
          <w:lang w:eastAsia="en-US"/>
        </w:rPr>
        <w:t xml:space="preserve"> Littlefield Publishers</w:t>
      </w:r>
      <w:r w:rsidR="00F824B9" w:rsidRPr="000D47AC">
        <w:rPr>
          <w:color w:val="000000" w:themeColor="text1"/>
          <w:lang w:eastAsia="en-US"/>
        </w:rPr>
        <w:t>.</w:t>
      </w:r>
    </w:p>
    <w:p w14:paraId="6012B7B6" w14:textId="3F4B3321" w:rsidR="00F824B9" w:rsidRPr="003C1BBA" w:rsidRDefault="00F824B9" w:rsidP="00313088">
      <w:pPr>
        <w:spacing w:line="360" w:lineRule="auto"/>
      </w:pPr>
      <w:r w:rsidRPr="000D47AC">
        <w:t>Gerring, J. (2007)</w:t>
      </w:r>
      <w:r w:rsidR="000D47AC" w:rsidRPr="000D47AC">
        <w:t>.</w:t>
      </w:r>
      <w:r w:rsidRPr="000D47AC">
        <w:t xml:space="preserve"> </w:t>
      </w:r>
      <w:r w:rsidRPr="000D47AC">
        <w:rPr>
          <w:i/>
        </w:rPr>
        <w:t xml:space="preserve">Case Study Research: Principles </w:t>
      </w:r>
      <w:r w:rsidR="0011751C" w:rsidRPr="000D47AC">
        <w:rPr>
          <w:i/>
        </w:rPr>
        <w:t>a</w:t>
      </w:r>
      <w:r w:rsidRPr="000D47AC">
        <w:rPr>
          <w:i/>
        </w:rPr>
        <w:t>nd Practices</w:t>
      </w:r>
      <w:r w:rsidRPr="000D47AC">
        <w:t>. Cambri</w:t>
      </w:r>
      <w:r w:rsidR="002210DB">
        <w:t>d</w:t>
      </w:r>
      <w:r w:rsidRPr="000D47AC">
        <w:t>ge:</w:t>
      </w:r>
      <w:r w:rsidR="002210DB">
        <w:t xml:space="preserve"> </w:t>
      </w:r>
      <w:r w:rsidRPr="000D47AC">
        <w:t xml:space="preserve">Cambridge University Press. </w:t>
      </w:r>
    </w:p>
    <w:p w14:paraId="71FA8893" w14:textId="439388A6" w:rsidR="003958D2" w:rsidRDefault="003958D2" w:rsidP="00313088">
      <w:pPr>
        <w:spacing w:after="240" w:line="360" w:lineRule="auto"/>
        <w:rPr>
          <w:color w:val="000000" w:themeColor="text1"/>
        </w:rPr>
      </w:pPr>
      <w:r w:rsidRPr="000D47AC">
        <w:rPr>
          <w:color w:val="000000" w:themeColor="text1"/>
        </w:rPr>
        <w:t>Geertz, C. (1993) [1973]</w:t>
      </w:r>
      <w:r w:rsidR="000D47AC" w:rsidRPr="000D47AC">
        <w:rPr>
          <w:color w:val="000000" w:themeColor="text1"/>
        </w:rPr>
        <w:t>.</w:t>
      </w:r>
      <w:r w:rsidRPr="000D47AC">
        <w:rPr>
          <w:color w:val="000000" w:themeColor="text1"/>
        </w:rPr>
        <w:t xml:space="preserve"> ‘Thick Description: Toward an Interpretive Theory of Culture’, in his </w:t>
      </w:r>
      <w:r w:rsidRPr="000D47AC">
        <w:rPr>
          <w:i/>
          <w:color w:val="000000" w:themeColor="text1"/>
        </w:rPr>
        <w:t>The Interpretation of Cultures,</w:t>
      </w:r>
      <w:r w:rsidRPr="000D47AC">
        <w:rPr>
          <w:color w:val="000000" w:themeColor="text1"/>
        </w:rPr>
        <w:t xml:space="preserve"> London: Fontana, 3-30. </w:t>
      </w:r>
    </w:p>
    <w:p w14:paraId="0F20CB7E" w14:textId="72436DB8" w:rsidR="00F55C69" w:rsidRPr="00F55C69" w:rsidRDefault="00F55C69" w:rsidP="00313088">
      <w:pPr>
        <w:spacing w:after="240" w:line="360" w:lineRule="auto"/>
        <w:jc w:val="both"/>
      </w:pPr>
      <w:r w:rsidRPr="00F55C69">
        <w:t xml:space="preserve">Glaser; Barney G. </w:t>
      </w:r>
      <w:r>
        <w:t xml:space="preserve">and </w:t>
      </w:r>
      <w:r w:rsidRPr="00F55C69">
        <w:t>Strauss</w:t>
      </w:r>
      <w:r>
        <w:t xml:space="preserve">, </w:t>
      </w:r>
      <w:r w:rsidRPr="00F55C69">
        <w:t xml:space="preserve">Anselm L. </w:t>
      </w:r>
      <w:r>
        <w:t>(2017) [1967)].</w:t>
      </w:r>
      <w:r w:rsidRPr="00F55C69">
        <w:rPr>
          <w:i/>
        </w:rPr>
        <w:t>The Discovery of Grounded Theory. Strategies for Qualitative Research</w:t>
      </w:r>
      <w:r>
        <w:rPr>
          <w:i/>
        </w:rPr>
        <w:t xml:space="preserve">. </w:t>
      </w:r>
      <w:r>
        <w:t>London: Routledge</w:t>
      </w:r>
    </w:p>
    <w:p w14:paraId="7A04F974" w14:textId="42F55526" w:rsidR="000A0166" w:rsidRPr="000D47AC" w:rsidRDefault="00F55C69" w:rsidP="00313088">
      <w:pPr>
        <w:tabs>
          <w:tab w:val="left" w:pos="8280"/>
        </w:tabs>
        <w:spacing w:after="240" w:line="360" w:lineRule="auto"/>
        <w:rPr>
          <w:color w:val="000000" w:themeColor="text1"/>
        </w:rPr>
      </w:pPr>
      <w:r>
        <w:rPr>
          <w:color w:val="000000" w:themeColor="text1"/>
        </w:rPr>
        <w:t xml:space="preserve">Goffman, E. </w:t>
      </w:r>
      <w:r w:rsidR="00550DF5">
        <w:rPr>
          <w:color w:val="000000" w:themeColor="text1"/>
        </w:rPr>
        <w:t xml:space="preserve">(1990) [1959]. </w:t>
      </w:r>
      <w:r>
        <w:rPr>
          <w:i/>
          <w:color w:val="000000" w:themeColor="text1"/>
        </w:rPr>
        <w:t>The Presentation of Self in Everyday Life</w:t>
      </w:r>
      <w:r>
        <w:rPr>
          <w:color w:val="000000" w:themeColor="text1"/>
        </w:rPr>
        <w:t xml:space="preserve">. </w:t>
      </w:r>
      <w:r w:rsidR="00550DF5">
        <w:rPr>
          <w:color w:val="000000" w:themeColor="text1"/>
        </w:rPr>
        <w:t xml:space="preserve">London: Penguin Books. </w:t>
      </w:r>
      <w:r w:rsidR="000A0166" w:rsidRPr="000D47AC">
        <w:rPr>
          <w:color w:val="000000" w:themeColor="text1"/>
        </w:rPr>
        <w:t>Hammersley, M. and Atkinson, P. (2007) [1983]</w:t>
      </w:r>
      <w:r w:rsidR="000D47AC" w:rsidRPr="000D47AC">
        <w:rPr>
          <w:color w:val="000000" w:themeColor="text1"/>
        </w:rPr>
        <w:t>.</w:t>
      </w:r>
      <w:r w:rsidR="000A0166" w:rsidRPr="000D47AC">
        <w:rPr>
          <w:color w:val="000000" w:themeColor="text1"/>
        </w:rPr>
        <w:t xml:space="preserve"> </w:t>
      </w:r>
      <w:r w:rsidR="000A0166" w:rsidRPr="000D47AC">
        <w:rPr>
          <w:i/>
          <w:color w:val="000000" w:themeColor="text1"/>
        </w:rPr>
        <w:t>Ethnography: Principles in Practice.</w:t>
      </w:r>
      <w:r w:rsidR="000A0166" w:rsidRPr="000D47AC">
        <w:rPr>
          <w:color w:val="000000" w:themeColor="text1"/>
        </w:rPr>
        <w:t xml:space="preserve"> Third edition. London: Routledge.</w:t>
      </w:r>
    </w:p>
    <w:p w14:paraId="5C398B5D" w14:textId="58D07CAD" w:rsidR="003017A5" w:rsidRPr="000D47AC" w:rsidRDefault="003017A5" w:rsidP="00313088">
      <w:pPr>
        <w:autoSpaceDE w:val="0"/>
        <w:autoSpaceDN w:val="0"/>
        <w:adjustRightInd w:val="0"/>
        <w:spacing w:after="240" w:line="360" w:lineRule="auto"/>
        <w:jc w:val="both"/>
      </w:pPr>
      <w:r w:rsidRPr="000D47AC">
        <w:t>Hay, C. (2007)</w:t>
      </w:r>
      <w:r w:rsidR="000D47AC" w:rsidRPr="000D47AC">
        <w:t>.</w:t>
      </w:r>
      <w:r w:rsidRPr="000D47AC">
        <w:t xml:space="preserve"> </w:t>
      </w:r>
      <w:r w:rsidRPr="000D47AC">
        <w:rPr>
          <w:i/>
          <w:iCs/>
        </w:rPr>
        <w:t>Why We Hate Politics</w:t>
      </w:r>
      <w:r w:rsidR="000D47AC" w:rsidRPr="000D47AC">
        <w:t>.</w:t>
      </w:r>
      <w:r w:rsidRPr="000D47AC">
        <w:t xml:space="preserve"> Cambridge: Polity.</w:t>
      </w:r>
    </w:p>
    <w:p w14:paraId="43140150" w14:textId="265EEC3E" w:rsidR="00714902" w:rsidRPr="000D47AC" w:rsidRDefault="00714902" w:rsidP="00313088">
      <w:pPr>
        <w:autoSpaceDE w:val="0"/>
        <w:autoSpaceDN w:val="0"/>
        <w:adjustRightInd w:val="0"/>
        <w:spacing w:after="240" w:line="360" w:lineRule="auto"/>
        <w:jc w:val="both"/>
      </w:pPr>
      <w:r w:rsidRPr="000D47AC">
        <w:t xml:space="preserve">Hetherington, Marc. (2006). </w:t>
      </w:r>
      <w:r w:rsidRPr="000D47AC">
        <w:rPr>
          <w:i/>
        </w:rPr>
        <w:t>Why Trust Matters: Declining Political Trust and the Demise of American Liberalism</w:t>
      </w:r>
      <w:r w:rsidRPr="000D47AC">
        <w:t>. Princeton: Princeton University Press.</w:t>
      </w:r>
    </w:p>
    <w:p w14:paraId="61D68768" w14:textId="77777777" w:rsidR="00E915D9" w:rsidRPr="000D47AC" w:rsidRDefault="00714902" w:rsidP="00313088">
      <w:pPr>
        <w:autoSpaceDE w:val="0"/>
        <w:autoSpaceDN w:val="0"/>
        <w:adjustRightInd w:val="0"/>
        <w:spacing w:after="240" w:line="360" w:lineRule="auto"/>
        <w:jc w:val="both"/>
        <w:rPr>
          <w:bCs/>
        </w:rPr>
      </w:pPr>
      <w:r w:rsidRPr="000D47AC">
        <w:rPr>
          <w:lang w:val="en-US"/>
        </w:rPr>
        <w:lastRenderedPageBreak/>
        <w:t xml:space="preserve">Hetherington, Marc, and Rudolph, Thomas. (2015). </w:t>
      </w:r>
      <w:r w:rsidRPr="000D47AC">
        <w:rPr>
          <w:bCs/>
          <w:i/>
        </w:rPr>
        <w:t xml:space="preserve">Why Washington Won't Work: Polarization, Political Trust, and the Governing Crisis </w:t>
      </w:r>
      <w:r w:rsidRPr="000D47AC">
        <w:rPr>
          <w:bCs/>
        </w:rPr>
        <w:t>Chicago: University of Chicago Press.</w:t>
      </w:r>
    </w:p>
    <w:p w14:paraId="0C4C00D7" w14:textId="7BB3BAF3" w:rsidR="001E23B5" w:rsidRPr="000D47AC" w:rsidRDefault="001E23B5" w:rsidP="00313088">
      <w:pPr>
        <w:spacing w:after="240" w:line="360" w:lineRule="auto"/>
      </w:pPr>
      <w:r w:rsidRPr="000D47AC">
        <w:t>Holmes, D. R. and Marcus, G. E. (2005)</w:t>
      </w:r>
      <w:r w:rsidR="000D47AC" w:rsidRPr="000D47AC">
        <w:t>.</w:t>
      </w:r>
      <w:r w:rsidRPr="000D47AC">
        <w:t xml:space="preserve"> ‘Refunctioning Ethnography: The Challenge of an Anthropology of the Contemporary’, in N. K. Denzin, and Y. S. Lincoln (Eds.) </w:t>
      </w:r>
      <w:r w:rsidRPr="000D47AC">
        <w:rPr>
          <w:i/>
        </w:rPr>
        <w:t>Handbook of Qualitative Research,</w:t>
      </w:r>
      <w:r w:rsidRPr="000D47AC">
        <w:t xml:space="preserve"> 3rd edition, London: Sage: 1087-101. </w:t>
      </w:r>
    </w:p>
    <w:p w14:paraId="10F3FD56" w14:textId="5010C7BE" w:rsidR="00163DE3" w:rsidRPr="000D47AC" w:rsidRDefault="00163DE3" w:rsidP="00313088">
      <w:pPr>
        <w:spacing w:after="240" w:line="360" w:lineRule="auto"/>
        <w:rPr>
          <w:u w:val="single"/>
        </w:rPr>
      </w:pPr>
      <w:r w:rsidRPr="000D47AC">
        <w:t>Hochschild, A. (2016).</w:t>
      </w:r>
      <w:r w:rsidRPr="000D47AC">
        <w:rPr>
          <w:i/>
          <w:iCs/>
        </w:rPr>
        <w:t xml:space="preserve"> </w:t>
      </w:r>
      <w:hyperlink r:id="rId8" w:tooltip="Strangers in Their Own Land" w:history="1">
        <w:r w:rsidRPr="000D47AC">
          <w:rPr>
            <w:rStyle w:val="Hyperlink"/>
            <w:i/>
            <w:iCs/>
            <w:color w:val="auto"/>
            <w:u w:val="none"/>
          </w:rPr>
          <w:t>Strangers in Their Own Land</w:t>
        </w:r>
      </w:hyperlink>
      <w:r w:rsidRPr="000D47AC">
        <w:rPr>
          <w:i/>
          <w:iCs/>
        </w:rPr>
        <w:t>: Anger and Mourning on the American Right</w:t>
      </w:r>
      <w:r w:rsidRPr="000D47AC">
        <w:t>. New York: The New Press.</w:t>
      </w:r>
    </w:p>
    <w:p w14:paraId="31D02570" w14:textId="3918089E" w:rsidR="00AE7532" w:rsidRPr="000D47AC" w:rsidRDefault="00AE7532" w:rsidP="00313088">
      <w:pPr>
        <w:spacing w:after="240" w:line="360" w:lineRule="auto"/>
      </w:pPr>
      <w:r w:rsidRPr="000D47AC">
        <w:rPr>
          <w:lang w:val="en-US"/>
        </w:rPr>
        <w:t>Inglehart, R. and Norris, P. (2016)</w:t>
      </w:r>
      <w:r w:rsidR="000D47AC" w:rsidRPr="000D47AC">
        <w:rPr>
          <w:lang w:val="en-US"/>
        </w:rPr>
        <w:t>.</w:t>
      </w:r>
      <w:r w:rsidRPr="000D47AC">
        <w:rPr>
          <w:lang w:val="en-US"/>
        </w:rPr>
        <w:t xml:space="preserve"> Trump, Brexit, and the Rise of Populism: Economic Have-Nots and Cultural Backlash, July 29. HKS Working Paper No. RWP16-026.</w:t>
      </w:r>
    </w:p>
    <w:p w14:paraId="645E2B4A" w14:textId="6A0F777A" w:rsidR="001F2F04" w:rsidRPr="000D47AC" w:rsidRDefault="007C0510" w:rsidP="00313088">
      <w:pPr>
        <w:spacing w:after="240" w:line="360" w:lineRule="auto"/>
      </w:pPr>
      <w:r w:rsidRPr="000D47AC">
        <w:t>Kapiszewski, D., MacLean, L. M. and Read, B. L. (2015)</w:t>
      </w:r>
      <w:r w:rsidR="000D47AC" w:rsidRPr="000D47AC">
        <w:t>.</w:t>
      </w:r>
      <w:r w:rsidRPr="000D47AC">
        <w:t xml:space="preserve"> </w:t>
      </w:r>
      <w:r w:rsidRPr="000D47AC">
        <w:rPr>
          <w:i/>
          <w:iCs/>
        </w:rPr>
        <w:t>Field Research in Political Science</w:t>
      </w:r>
      <w:r w:rsidRPr="000D47AC">
        <w:t>. Cambridge: Cambridge University Press.</w:t>
      </w:r>
    </w:p>
    <w:p w14:paraId="536EFE3C" w14:textId="68A73006" w:rsidR="00EE03B2" w:rsidRPr="000D47AC" w:rsidRDefault="00EE03B2" w:rsidP="00313088">
      <w:pPr>
        <w:spacing w:after="240" w:line="360" w:lineRule="auto"/>
      </w:pPr>
      <w:r w:rsidRPr="000D47AC">
        <w:t xml:space="preserve">Katz, J. (2001). </w:t>
      </w:r>
      <w:r w:rsidR="000D47AC" w:rsidRPr="000D47AC">
        <w:t>‘</w:t>
      </w:r>
      <w:r w:rsidR="00097D82" w:rsidRPr="000D47AC">
        <w:t xml:space="preserve">From How </w:t>
      </w:r>
      <w:r w:rsidR="002210DB" w:rsidRPr="000D47AC">
        <w:t>to</w:t>
      </w:r>
      <w:r w:rsidR="00097D82" w:rsidRPr="000D47AC">
        <w:t xml:space="preserve"> Why</w:t>
      </w:r>
      <w:r w:rsidRPr="000D47AC">
        <w:t xml:space="preserve">: On </w:t>
      </w:r>
      <w:r w:rsidR="0011751C" w:rsidRPr="000D47AC">
        <w:t xml:space="preserve">Luminous Description </w:t>
      </w:r>
      <w:r w:rsidRPr="000D47AC">
        <w:t xml:space="preserve">and </w:t>
      </w:r>
      <w:r w:rsidR="0011751C" w:rsidRPr="000D47AC">
        <w:t xml:space="preserve">Causal Inference </w:t>
      </w:r>
      <w:r w:rsidRPr="000D47AC">
        <w:t xml:space="preserve">in </w:t>
      </w:r>
      <w:r w:rsidR="0011751C" w:rsidRPr="000D47AC">
        <w:t xml:space="preserve">Ethnography </w:t>
      </w:r>
      <w:r w:rsidRPr="000D47AC">
        <w:t>(Part I)</w:t>
      </w:r>
      <w:r w:rsidR="000D47AC" w:rsidRPr="000D47AC">
        <w:t>’</w:t>
      </w:r>
      <w:r w:rsidRPr="000D47AC">
        <w:t>.</w:t>
      </w:r>
      <w:r w:rsidR="0011751C" w:rsidRPr="000D47AC">
        <w:t xml:space="preserve"> </w:t>
      </w:r>
      <w:r w:rsidRPr="000D47AC">
        <w:rPr>
          <w:i/>
          <w:iCs/>
        </w:rPr>
        <w:t>Ethnography</w:t>
      </w:r>
      <w:r w:rsidRPr="00144C15">
        <w:t>,</w:t>
      </w:r>
      <w:r w:rsidR="0011751C" w:rsidRPr="00144C15">
        <w:t xml:space="preserve"> </w:t>
      </w:r>
      <w:r w:rsidRPr="00144C15">
        <w:rPr>
          <w:iCs/>
        </w:rPr>
        <w:t>2</w:t>
      </w:r>
      <w:r w:rsidR="00144C15">
        <w:rPr>
          <w:iCs/>
        </w:rPr>
        <w:t>:</w:t>
      </w:r>
      <w:r w:rsidR="0011751C" w:rsidRPr="000D47AC">
        <w:rPr>
          <w:i/>
          <w:iCs/>
        </w:rPr>
        <w:t xml:space="preserve"> </w:t>
      </w:r>
      <w:r w:rsidRPr="000D47AC">
        <w:t>443-473.</w:t>
      </w:r>
    </w:p>
    <w:p w14:paraId="25144E9D" w14:textId="68BBA3CF" w:rsidR="00EE03B2" w:rsidRDefault="00EE03B2" w:rsidP="00313088">
      <w:pPr>
        <w:spacing w:after="240" w:line="360" w:lineRule="auto"/>
      </w:pPr>
      <w:r w:rsidRPr="000D47AC">
        <w:t xml:space="preserve">Katz, J. (2002). </w:t>
      </w:r>
      <w:r w:rsidR="000D47AC" w:rsidRPr="000D47AC">
        <w:t>‘</w:t>
      </w:r>
      <w:r w:rsidR="00097D82" w:rsidRPr="000D47AC">
        <w:t xml:space="preserve">From How </w:t>
      </w:r>
      <w:r w:rsidR="002210DB" w:rsidRPr="000D47AC">
        <w:t>to</w:t>
      </w:r>
      <w:r w:rsidR="00097D82" w:rsidRPr="000D47AC">
        <w:t xml:space="preserve"> Why</w:t>
      </w:r>
      <w:r w:rsidRPr="000D47AC">
        <w:t xml:space="preserve">: On </w:t>
      </w:r>
      <w:r w:rsidR="00097D82" w:rsidRPr="000D47AC">
        <w:t xml:space="preserve">Luminous Description </w:t>
      </w:r>
      <w:r w:rsidRPr="000D47AC">
        <w:t xml:space="preserve">and </w:t>
      </w:r>
      <w:r w:rsidR="00097D82" w:rsidRPr="000D47AC">
        <w:t xml:space="preserve">Causal Inference </w:t>
      </w:r>
      <w:r w:rsidRPr="000D47AC">
        <w:t xml:space="preserve">in </w:t>
      </w:r>
      <w:r w:rsidR="00097D82" w:rsidRPr="000D47AC">
        <w:t xml:space="preserve">Ethnography </w:t>
      </w:r>
      <w:r w:rsidRPr="000D47AC">
        <w:t>(Part 2)</w:t>
      </w:r>
      <w:r w:rsidR="000D47AC" w:rsidRPr="000D47AC">
        <w:t>’</w:t>
      </w:r>
      <w:r w:rsidRPr="000D47AC">
        <w:t>.</w:t>
      </w:r>
      <w:r w:rsidR="00097D82" w:rsidRPr="000D47AC">
        <w:t xml:space="preserve"> </w:t>
      </w:r>
      <w:r w:rsidRPr="000D47AC">
        <w:rPr>
          <w:i/>
          <w:iCs/>
        </w:rPr>
        <w:t>Ethnography</w:t>
      </w:r>
      <w:r w:rsidRPr="000D47AC">
        <w:t>,</w:t>
      </w:r>
      <w:r w:rsidR="00097D82" w:rsidRPr="000D47AC">
        <w:t xml:space="preserve"> </w:t>
      </w:r>
      <w:r w:rsidRPr="000D47AC">
        <w:rPr>
          <w:i/>
          <w:iCs/>
        </w:rPr>
        <w:t>3</w:t>
      </w:r>
      <w:r w:rsidR="00144C15">
        <w:t>:</w:t>
      </w:r>
      <w:r w:rsidRPr="000D47AC">
        <w:t xml:space="preserve"> 63-90.</w:t>
      </w:r>
    </w:p>
    <w:p w14:paraId="7F926A0D" w14:textId="461BB922" w:rsidR="00163DE3" w:rsidRPr="000D47AC" w:rsidRDefault="00163DE3" w:rsidP="00313088">
      <w:pPr>
        <w:spacing w:after="240" w:line="360" w:lineRule="auto"/>
      </w:pPr>
      <w:r w:rsidRPr="000D47AC">
        <w:t xml:space="preserve">Laitin D. (2006). </w:t>
      </w:r>
      <w:r w:rsidR="00013E2F">
        <w:t>‘</w:t>
      </w:r>
      <w:r w:rsidRPr="000D47AC">
        <w:t xml:space="preserve">Ethnography and/or </w:t>
      </w:r>
      <w:r w:rsidR="00097D82" w:rsidRPr="000D47AC">
        <w:t>Rational Choice</w:t>
      </w:r>
      <w:r w:rsidRPr="000D47AC">
        <w:t xml:space="preserve">: a </w:t>
      </w:r>
      <w:r w:rsidR="00097D82" w:rsidRPr="000D47AC">
        <w:t xml:space="preserve">Response </w:t>
      </w:r>
      <w:r w:rsidRPr="000D47AC">
        <w:t>from David Laitin</w:t>
      </w:r>
      <w:r w:rsidR="00013E2F">
        <w:t>’</w:t>
      </w:r>
      <w:r w:rsidRPr="000D47AC">
        <w:t xml:space="preserve">. </w:t>
      </w:r>
      <w:r w:rsidRPr="000D47AC">
        <w:rPr>
          <w:i/>
          <w:iCs/>
        </w:rPr>
        <w:t>Qualitative Methods</w:t>
      </w:r>
      <w:r w:rsidRPr="000D47AC">
        <w:t xml:space="preserve"> 4:</w:t>
      </w:r>
      <w:r w:rsidR="00097D82" w:rsidRPr="000D47AC">
        <w:t xml:space="preserve"> </w:t>
      </w:r>
      <w:r w:rsidRPr="000D47AC">
        <w:t>26–33</w:t>
      </w:r>
    </w:p>
    <w:p w14:paraId="52347050" w14:textId="13FBF986" w:rsidR="00763588" w:rsidRPr="000D47AC" w:rsidRDefault="00763588" w:rsidP="00313088">
      <w:pPr>
        <w:tabs>
          <w:tab w:val="left" w:pos="9072"/>
        </w:tabs>
        <w:spacing w:after="120" w:line="360" w:lineRule="auto"/>
        <w:ind w:right="-46"/>
        <w:rPr>
          <w:color w:val="000000" w:themeColor="text1"/>
        </w:rPr>
      </w:pPr>
      <w:r w:rsidRPr="000D47AC">
        <w:rPr>
          <w:color w:val="000000" w:themeColor="text1"/>
        </w:rPr>
        <w:t>Maynard-Moody, S. and Musheno, M. (2003)</w:t>
      </w:r>
      <w:r w:rsidR="000D47AC" w:rsidRPr="000D47AC">
        <w:rPr>
          <w:color w:val="000000" w:themeColor="text1"/>
        </w:rPr>
        <w:t>.</w:t>
      </w:r>
      <w:r w:rsidRPr="000D47AC">
        <w:rPr>
          <w:color w:val="000000" w:themeColor="text1"/>
        </w:rPr>
        <w:t xml:space="preserve"> </w:t>
      </w:r>
      <w:r w:rsidRPr="000D47AC">
        <w:rPr>
          <w:i/>
          <w:color w:val="000000" w:themeColor="text1"/>
        </w:rPr>
        <w:t xml:space="preserve">Cops, </w:t>
      </w:r>
      <w:r w:rsidR="00D96B7A" w:rsidRPr="000D47AC">
        <w:rPr>
          <w:i/>
          <w:color w:val="000000" w:themeColor="text1"/>
        </w:rPr>
        <w:t xml:space="preserve">Teachers, </w:t>
      </w:r>
      <w:r w:rsidR="002210DB" w:rsidRPr="000D47AC">
        <w:rPr>
          <w:i/>
          <w:color w:val="000000" w:themeColor="text1"/>
        </w:rPr>
        <w:t>Counsellors</w:t>
      </w:r>
      <w:r w:rsidR="00D96B7A" w:rsidRPr="000D47AC">
        <w:rPr>
          <w:i/>
          <w:color w:val="000000" w:themeColor="text1"/>
        </w:rPr>
        <w:t>: Stories from the Front Lines of Public Service</w:t>
      </w:r>
      <w:r w:rsidRPr="000D47AC">
        <w:rPr>
          <w:i/>
          <w:color w:val="000000" w:themeColor="text1"/>
        </w:rPr>
        <w:t>.</w:t>
      </w:r>
      <w:r w:rsidRPr="000D47AC">
        <w:rPr>
          <w:color w:val="000000" w:themeColor="text1"/>
        </w:rPr>
        <w:t xml:space="preserve"> Ann Arbor, Michigan: The University of Michigan Press. </w:t>
      </w:r>
    </w:p>
    <w:p w14:paraId="14417615" w14:textId="4977A7CF" w:rsidR="0001185B" w:rsidRPr="000D47AC" w:rsidRDefault="0001185B" w:rsidP="00313088">
      <w:pPr>
        <w:spacing w:after="240" w:line="360" w:lineRule="auto"/>
        <w:rPr>
          <w:color w:val="000000" w:themeColor="text1"/>
        </w:rPr>
      </w:pPr>
      <w:r w:rsidRPr="000D47AC">
        <w:rPr>
          <w:color w:val="000000" w:themeColor="text1"/>
        </w:rPr>
        <w:t>Marcus, George E. (1995)</w:t>
      </w:r>
      <w:r w:rsidR="000D47AC" w:rsidRPr="000D47AC">
        <w:rPr>
          <w:color w:val="000000" w:themeColor="text1"/>
        </w:rPr>
        <w:t>.</w:t>
      </w:r>
      <w:r w:rsidRPr="000D47AC">
        <w:rPr>
          <w:color w:val="000000" w:themeColor="text1"/>
        </w:rPr>
        <w:t xml:space="preserve"> ‘Ethnography in/of the World System: the Emergence of Multi-Sited Ethnography’, </w:t>
      </w:r>
      <w:r w:rsidRPr="000D47AC">
        <w:rPr>
          <w:i/>
          <w:iCs/>
          <w:color w:val="000000" w:themeColor="text1"/>
        </w:rPr>
        <w:t>Annual Review in Anthropology</w:t>
      </w:r>
      <w:r w:rsidRPr="000D47AC">
        <w:rPr>
          <w:color w:val="000000" w:themeColor="text1"/>
        </w:rPr>
        <w:t>, 24: 95-117.</w:t>
      </w:r>
    </w:p>
    <w:p w14:paraId="0952C2E4" w14:textId="470B57DB" w:rsidR="0001185B" w:rsidRPr="000D47AC" w:rsidRDefault="0001185B" w:rsidP="00313088">
      <w:pPr>
        <w:spacing w:after="240" w:line="360" w:lineRule="auto"/>
        <w:rPr>
          <w:color w:val="000000" w:themeColor="text1"/>
        </w:rPr>
      </w:pPr>
      <w:r w:rsidRPr="000D47AC">
        <w:rPr>
          <w:color w:val="000000" w:themeColor="text1"/>
        </w:rPr>
        <w:t xml:space="preserve">Marcus, George E. </w:t>
      </w:r>
      <w:r w:rsidRPr="000D47AC">
        <w:rPr>
          <w:rFonts w:eastAsia="PMingLiU"/>
          <w:color w:val="000000" w:themeColor="text1"/>
          <w:lang w:eastAsia="zh-TW"/>
        </w:rPr>
        <w:t>(2007a) ‘</w:t>
      </w:r>
      <w:r w:rsidRPr="000D47AC">
        <w:rPr>
          <w:color w:val="000000" w:themeColor="text1"/>
        </w:rPr>
        <w:t>Ethnography Two Decades after Writing Culture: From the Experimental to the Baroque</w:t>
      </w:r>
      <w:r w:rsidRPr="000D47AC">
        <w:rPr>
          <w:rFonts w:eastAsia="PMingLiU"/>
          <w:color w:val="000000" w:themeColor="text1"/>
          <w:lang w:eastAsia="zh-TW"/>
        </w:rPr>
        <w:t>’</w:t>
      </w:r>
      <w:r w:rsidRPr="000D47AC">
        <w:rPr>
          <w:color w:val="000000" w:themeColor="text1"/>
        </w:rPr>
        <w:t xml:space="preserve">, </w:t>
      </w:r>
      <w:r w:rsidRPr="000D47AC">
        <w:rPr>
          <w:i/>
          <w:iCs/>
          <w:color w:val="000000" w:themeColor="text1"/>
        </w:rPr>
        <w:t>Anthropological Quarterly</w:t>
      </w:r>
      <w:r w:rsidRPr="000D47AC">
        <w:rPr>
          <w:color w:val="000000" w:themeColor="text1"/>
        </w:rPr>
        <w:t xml:space="preserve"> 80</w:t>
      </w:r>
      <w:r w:rsidRPr="000D47AC">
        <w:rPr>
          <w:rFonts w:eastAsia="PMingLiU"/>
          <w:color w:val="000000" w:themeColor="text1"/>
          <w:lang w:eastAsia="zh-TW"/>
        </w:rPr>
        <w:t xml:space="preserve"> (</w:t>
      </w:r>
      <w:r w:rsidRPr="000D47AC">
        <w:rPr>
          <w:color w:val="000000" w:themeColor="text1"/>
        </w:rPr>
        <w:t>4</w:t>
      </w:r>
      <w:r w:rsidRPr="000D47AC">
        <w:rPr>
          <w:rFonts w:eastAsia="PMingLiU"/>
          <w:color w:val="000000" w:themeColor="text1"/>
          <w:lang w:eastAsia="zh-TW"/>
        </w:rPr>
        <w:t xml:space="preserve">): </w:t>
      </w:r>
      <w:r w:rsidRPr="000D47AC">
        <w:rPr>
          <w:color w:val="000000" w:themeColor="text1"/>
        </w:rPr>
        <w:t>1127-1145</w:t>
      </w:r>
    </w:p>
    <w:p w14:paraId="75E95A7D" w14:textId="4AE7A841" w:rsidR="0001185B" w:rsidRPr="000D47AC" w:rsidRDefault="0001185B" w:rsidP="00313088">
      <w:pPr>
        <w:autoSpaceDE w:val="0"/>
        <w:autoSpaceDN w:val="0"/>
        <w:adjustRightInd w:val="0"/>
        <w:spacing w:after="240" w:line="360" w:lineRule="auto"/>
        <w:rPr>
          <w:color w:val="000000" w:themeColor="text1"/>
          <w:lang w:val="en-AU"/>
        </w:rPr>
      </w:pPr>
      <w:r w:rsidRPr="000D47AC">
        <w:rPr>
          <w:color w:val="000000" w:themeColor="text1"/>
          <w:lang w:eastAsia="en-US"/>
        </w:rPr>
        <w:lastRenderedPageBreak/>
        <w:t xml:space="preserve">Marcus, George E. (2007b). ‘How Short can Field Research Be? </w:t>
      </w:r>
      <w:r w:rsidRPr="000D47AC">
        <w:rPr>
          <w:i/>
          <w:iCs/>
          <w:color w:val="000000" w:themeColor="text1"/>
          <w:lang w:eastAsia="en-US"/>
        </w:rPr>
        <w:t xml:space="preserve">Social Anthropology </w:t>
      </w:r>
      <w:r w:rsidRPr="000D47AC">
        <w:rPr>
          <w:color w:val="000000" w:themeColor="text1"/>
          <w:lang w:eastAsia="en-US"/>
        </w:rPr>
        <w:t>15 (3):353–367.</w:t>
      </w:r>
    </w:p>
    <w:p w14:paraId="3FAD1C66" w14:textId="577325F2" w:rsidR="00384F62" w:rsidRPr="000D47AC" w:rsidRDefault="00384F62" w:rsidP="00313088">
      <w:pPr>
        <w:pStyle w:val="Bibliogentry"/>
        <w:spacing w:after="240" w:line="360" w:lineRule="auto"/>
        <w:ind w:left="0" w:firstLine="0"/>
        <w:jc w:val="both"/>
        <w:rPr>
          <w:rFonts w:ascii="Times New Roman" w:hAnsi="Times New Roman"/>
          <w:color w:val="000000" w:themeColor="text1"/>
          <w:szCs w:val="24"/>
        </w:rPr>
      </w:pPr>
      <w:r w:rsidRPr="000D47AC">
        <w:rPr>
          <w:rFonts w:ascii="Times New Roman" w:hAnsi="Times New Roman"/>
          <w:color w:val="000000" w:themeColor="text1"/>
          <w:szCs w:val="24"/>
        </w:rPr>
        <w:t xml:space="preserve">Mudde, C. (2004) </w:t>
      </w:r>
      <w:r w:rsidR="00D96B7A" w:rsidRPr="000D47AC">
        <w:rPr>
          <w:rFonts w:ascii="Times New Roman" w:hAnsi="Times New Roman"/>
          <w:color w:val="000000" w:themeColor="text1"/>
          <w:szCs w:val="24"/>
        </w:rPr>
        <w:t>‘</w:t>
      </w:r>
      <w:r w:rsidR="00AC618A" w:rsidRPr="000D47AC">
        <w:rPr>
          <w:rFonts w:ascii="Times New Roman" w:hAnsi="Times New Roman"/>
          <w:color w:val="000000" w:themeColor="text1"/>
          <w:szCs w:val="24"/>
        </w:rPr>
        <w:t>T</w:t>
      </w:r>
      <w:r w:rsidRPr="000D47AC">
        <w:rPr>
          <w:rFonts w:ascii="Times New Roman" w:hAnsi="Times New Roman"/>
          <w:color w:val="000000" w:themeColor="text1"/>
          <w:szCs w:val="24"/>
        </w:rPr>
        <w:t xml:space="preserve">he </w:t>
      </w:r>
      <w:r w:rsidR="00D96B7A" w:rsidRPr="000D47AC">
        <w:rPr>
          <w:rFonts w:ascii="Times New Roman" w:hAnsi="Times New Roman"/>
          <w:color w:val="000000" w:themeColor="text1"/>
          <w:szCs w:val="24"/>
        </w:rPr>
        <w:t>Populist Zeitgeis</w:t>
      </w:r>
      <w:r w:rsidR="002210DB">
        <w:rPr>
          <w:rFonts w:ascii="Times New Roman" w:hAnsi="Times New Roman"/>
          <w:color w:val="000000" w:themeColor="text1"/>
          <w:szCs w:val="24"/>
        </w:rPr>
        <w:t>t</w:t>
      </w:r>
      <w:r w:rsidR="00D96B7A" w:rsidRPr="000D47AC">
        <w:rPr>
          <w:rFonts w:ascii="Times New Roman" w:hAnsi="Times New Roman"/>
          <w:color w:val="000000" w:themeColor="text1"/>
          <w:szCs w:val="24"/>
        </w:rPr>
        <w:t xml:space="preserve">‘, </w:t>
      </w:r>
      <w:r w:rsidRPr="000D47AC">
        <w:rPr>
          <w:rFonts w:ascii="Times New Roman" w:hAnsi="Times New Roman"/>
          <w:i/>
          <w:iCs/>
          <w:color w:val="000000" w:themeColor="text1"/>
          <w:szCs w:val="24"/>
        </w:rPr>
        <w:t>Government and Opposition</w:t>
      </w:r>
      <w:r w:rsidR="000A4F7D" w:rsidRPr="000D47AC">
        <w:rPr>
          <w:rFonts w:ascii="Times New Roman" w:hAnsi="Times New Roman"/>
          <w:i/>
          <w:iCs/>
          <w:color w:val="000000" w:themeColor="text1"/>
          <w:szCs w:val="24"/>
        </w:rPr>
        <w:t xml:space="preserve">, </w:t>
      </w:r>
      <w:r w:rsidRPr="000D47AC">
        <w:rPr>
          <w:rFonts w:ascii="Times New Roman" w:hAnsi="Times New Roman"/>
          <w:color w:val="000000" w:themeColor="text1"/>
          <w:szCs w:val="24"/>
        </w:rPr>
        <w:t>39</w:t>
      </w:r>
      <w:r w:rsidR="000A4F7D" w:rsidRPr="000D47AC">
        <w:rPr>
          <w:rFonts w:ascii="Times New Roman" w:hAnsi="Times New Roman"/>
          <w:color w:val="000000" w:themeColor="text1"/>
          <w:szCs w:val="24"/>
        </w:rPr>
        <w:t xml:space="preserve"> (</w:t>
      </w:r>
      <w:r w:rsidRPr="000D47AC">
        <w:rPr>
          <w:rFonts w:ascii="Times New Roman" w:hAnsi="Times New Roman"/>
          <w:color w:val="000000" w:themeColor="text1"/>
          <w:szCs w:val="24"/>
        </w:rPr>
        <w:t>4</w:t>
      </w:r>
      <w:r w:rsidR="000A4F7D" w:rsidRPr="000D47AC">
        <w:rPr>
          <w:rFonts w:ascii="Times New Roman" w:hAnsi="Times New Roman"/>
          <w:color w:val="000000" w:themeColor="text1"/>
          <w:szCs w:val="24"/>
        </w:rPr>
        <w:t>)</w:t>
      </w:r>
      <w:r w:rsidRPr="000D47AC">
        <w:rPr>
          <w:rFonts w:ascii="Times New Roman" w:hAnsi="Times New Roman"/>
          <w:color w:val="000000" w:themeColor="text1"/>
          <w:szCs w:val="24"/>
        </w:rPr>
        <w:t>: 542-563.</w:t>
      </w:r>
    </w:p>
    <w:p w14:paraId="7C6136A0" w14:textId="2088D436" w:rsidR="00384F62" w:rsidRPr="000D47AC" w:rsidRDefault="00384F62" w:rsidP="00313088">
      <w:pPr>
        <w:pStyle w:val="Default"/>
        <w:spacing w:after="240" w:line="360" w:lineRule="auto"/>
        <w:jc w:val="both"/>
        <w:rPr>
          <w:color w:val="000000" w:themeColor="text1"/>
        </w:rPr>
      </w:pPr>
      <w:r w:rsidRPr="000D47AC">
        <w:rPr>
          <w:color w:val="000000" w:themeColor="text1"/>
        </w:rPr>
        <w:t>Mudde, C. (2007)</w:t>
      </w:r>
      <w:r w:rsidR="000D47AC" w:rsidRPr="000D47AC">
        <w:rPr>
          <w:color w:val="000000" w:themeColor="text1"/>
        </w:rPr>
        <w:t>.</w:t>
      </w:r>
      <w:r w:rsidRPr="000D47AC">
        <w:rPr>
          <w:color w:val="000000" w:themeColor="text1"/>
        </w:rPr>
        <w:t xml:space="preserve"> </w:t>
      </w:r>
      <w:r w:rsidRPr="000D47AC">
        <w:rPr>
          <w:i/>
          <w:color w:val="000000" w:themeColor="text1"/>
        </w:rPr>
        <w:t>Populist Radical Right Parties in Europe</w:t>
      </w:r>
      <w:r w:rsidRPr="000D47AC">
        <w:rPr>
          <w:color w:val="000000" w:themeColor="text1"/>
        </w:rPr>
        <w:t>. Cambridge: Cambridge University Press.</w:t>
      </w:r>
    </w:p>
    <w:p w14:paraId="0AD109C1" w14:textId="1941C906" w:rsidR="00384F62" w:rsidRPr="000D47AC" w:rsidRDefault="00384F62" w:rsidP="00313088">
      <w:pPr>
        <w:pStyle w:val="Default"/>
        <w:spacing w:after="240" w:line="360" w:lineRule="auto"/>
        <w:jc w:val="both"/>
        <w:rPr>
          <w:color w:val="000000" w:themeColor="text1"/>
        </w:rPr>
      </w:pPr>
      <w:r w:rsidRPr="000D47AC">
        <w:rPr>
          <w:color w:val="000000" w:themeColor="text1"/>
        </w:rPr>
        <w:t xml:space="preserve">Norris, P. (2005). </w:t>
      </w:r>
      <w:r w:rsidRPr="000D47AC">
        <w:rPr>
          <w:i/>
          <w:iCs/>
          <w:color w:val="000000" w:themeColor="text1"/>
        </w:rPr>
        <w:t>Radical Right: Voters and Parties in the Electoral Market</w:t>
      </w:r>
      <w:r w:rsidRPr="000D47AC">
        <w:rPr>
          <w:color w:val="000000" w:themeColor="text1"/>
        </w:rPr>
        <w:t>. Cambridge: Cambridge University Press.</w:t>
      </w:r>
    </w:p>
    <w:p w14:paraId="45CFB280" w14:textId="77777777" w:rsidR="003017A5" w:rsidRPr="000D47AC" w:rsidRDefault="003017A5" w:rsidP="00313088">
      <w:pPr>
        <w:pStyle w:val="Default"/>
        <w:spacing w:after="240" w:line="360" w:lineRule="auto"/>
        <w:jc w:val="both"/>
        <w:rPr>
          <w:color w:val="000000" w:themeColor="text1"/>
        </w:rPr>
      </w:pPr>
      <w:r w:rsidRPr="000D47AC">
        <w:rPr>
          <w:color w:val="000000" w:themeColor="text1"/>
        </w:rPr>
        <w:t xml:space="preserve">Norris, P. (2011). </w:t>
      </w:r>
      <w:r w:rsidRPr="000D47AC">
        <w:rPr>
          <w:i/>
          <w:color w:val="000000" w:themeColor="text1"/>
        </w:rPr>
        <w:t>Democratic Deficit: Critical Citizens Revisited</w:t>
      </w:r>
      <w:r w:rsidRPr="000D47AC">
        <w:rPr>
          <w:color w:val="000000" w:themeColor="text1"/>
        </w:rPr>
        <w:t>. Cambridge: Cambridge University Press.</w:t>
      </w:r>
    </w:p>
    <w:p w14:paraId="0FE4392D" w14:textId="539F5E04" w:rsidR="00DF51C2" w:rsidRPr="000D47AC" w:rsidRDefault="00DF51C2" w:rsidP="00313088">
      <w:pPr>
        <w:autoSpaceDE w:val="0"/>
        <w:autoSpaceDN w:val="0"/>
        <w:adjustRightInd w:val="0"/>
        <w:spacing w:after="240" w:line="360" w:lineRule="auto"/>
        <w:ind w:right="-147"/>
      </w:pPr>
      <w:r w:rsidRPr="000D47AC">
        <w:t>Oakeshott, M. (1996)</w:t>
      </w:r>
      <w:r w:rsidR="000D47AC">
        <w:t>.</w:t>
      </w:r>
      <w:r w:rsidRPr="000D47AC">
        <w:t xml:space="preserve"> </w:t>
      </w:r>
      <w:r w:rsidRPr="000D47AC">
        <w:rPr>
          <w:i/>
        </w:rPr>
        <w:t>The Politics of Faith and the Politics of Scepticism</w:t>
      </w:r>
      <w:r w:rsidRPr="000D47AC">
        <w:t>. Edited by Timothy Fuller. New Haven: Yale University Press.</w:t>
      </w:r>
    </w:p>
    <w:p w14:paraId="5D960833" w14:textId="2E496FBD" w:rsidR="00C512EF" w:rsidRPr="000D47AC" w:rsidRDefault="00C512EF" w:rsidP="00313088">
      <w:pPr>
        <w:spacing w:after="240" w:line="360" w:lineRule="auto"/>
        <w:jc w:val="both"/>
        <w:rPr>
          <w:color w:val="000000" w:themeColor="text1"/>
        </w:rPr>
      </w:pPr>
      <w:r w:rsidRPr="000D47AC">
        <w:rPr>
          <w:color w:val="000000" w:themeColor="text1"/>
        </w:rPr>
        <w:t xml:space="preserve">Olsen, Marvin. (1969). ‘Two Categories of Political Alienation.’ </w:t>
      </w:r>
      <w:r w:rsidRPr="000D47AC">
        <w:rPr>
          <w:i/>
          <w:color w:val="000000" w:themeColor="text1"/>
        </w:rPr>
        <w:t>Social Forces</w:t>
      </w:r>
      <w:r w:rsidRPr="000D47AC">
        <w:rPr>
          <w:color w:val="000000" w:themeColor="text1"/>
        </w:rPr>
        <w:t xml:space="preserve"> 47</w:t>
      </w:r>
      <w:r w:rsidR="000A4F7D" w:rsidRPr="000D47AC">
        <w:rPr>
          <w:color w:val="000000" w:themeColor="text1"/>
        </w:rPr>
        <w:t xml:space="preserve"> </w:t>
      </w:r>
      <w:r w:rsidRPr="000D47AC">
        <w:rPr>
          <w:color w:val="000000" w:themeColor="text1"/>
        </w:rPr>
        <w:t>(3): 288-299.</w:t>
      </w:r>
    </w:p>
    <w:p w14:paraId="4C6BA438" w14:textId="27BA3D5E" w:rsidR="00931E95" w:rsidRPr="000D47AC" w:rsidRDefault="00931E95" w:rsidP="00313088">
      <w:pPr>
        <w:spacing w:after="240" w:line="360" w:lineRule="auto"/>
        <w:jc w:val="both"/>
        <w:rPr>
          <w:color w:val="000000" w:themeColor="text1"/>
        </w:rPr>
      </w:pPr>
      <w:r w:rsidRPr="000D47AC">
        <w:rPr>
          <w:color w:val="000000" w:themeColor="text1"/>
        </w:rPr>
        <w:t xml:space="preserve">Ouroussof, A. (2010). </w:t>
      </w:r>
      <w:r w:rsidRPr="000D47AC">
        <w:rPr>
          <w:i/>
          <w:iCs/>
          <w:color w:val="000000" w:themeColor="text1"/>
        </w:rPr>
        <w:t xml:space="preserve">Wall Street at War: The </w:t>
      </w:r>
      <w:r w:rsidR="00D96B7A" w:rsidRPr="000D47AC">
        <w:rPr>
          <w:i/>
          <w:iCs/>
          <w:color w:val="000000" w:themeColor="text1"/>
        </w:rPr>
        <w:t xml:space="preserve">Secret Struggle </w:t>
      </w:r>
      <w:r w:rsidRPr="000D47AC">
        <w:rPr>
          <w:i/>
          <w:iCs/>
          <w:color w:val="000000" w:themeColor="text1"/>
        </w:rPr>
        <w:t xml:space="preserve">for the </w:t>
      </w:r>
      <w:r w:rsidR="00D96B7A" w:rsidRPr="000D47AC">
        <w:rPr>
          <w:i/>
          <w:iCs/>
          <w:color w:val="000000" w:themeColor="text1"/>
        </w:rPr>
        <w:t>Global Economy</w:t>
      </w:r>
      <w:r w:rsidRPr="000D47AC">
        <w:rPr>
          <w:color w:val="000000" w:themeColor="text1"/>
        </w:rPr>
        <w:t>. Cambridge: Polity Press.</w:t>
      </w:r>
    </w:p>
    <w:p w14:paraId="5246C93B" w14:textId="44A03EA7" w:rsidR="001F2F04" w:rsidRPr="000D47AC" w:rsidRDefault="001F2F04" w:rsidP="00313088">
      <w:pPr>
        <w:spacing w:after="240" w:line="360" w:lineRule="auto"/>
        <w:jc w:val="both"/>
        <w:rPr>
          <w:color w:val="000000" w:themeColor="text1"/>
        </w:rPr>
      </w:pPr>
      <w:r w:rsidRPr="000D47AC">
        <w:rPr>
          <w:color w:val="000000" w:themeColor="text1"/>
        </w:rPr>
        <w:t>Pachirat, Timothy</w:t>
      </w:r>
      <w:r w:rsidR="000D47AC">
        <w:rPr>
          <w:color w:val="000000" w:themeColor="text1"/>
        </w:rPr>
        <w:t xml:space="preserve"> (2011)</w:t>
      </w:r>
      <w:r w:rsidRPr="000D47AC">
        <w:rPr>
          <w:color w:val="000000" w:themeColor="text1"/>
        </w:rPr>
        <w:t>.</w:t>
      </w:r>
      <w:r w:rsidR="00097D82" w:rsidRPr="000D47AC">
        <w:rPr>
          <w:color w:val="000000" w:themeColor="text1"/>
        </w:rPr>
        <w:t xml:space="preserve"> </w:t>
      </w:r>
      <w:r w:rsidRPr="000D47AC">
        <w:rPr>
          <w:i/>
          <w:iCs/>
          <w:color w:val="000000" w:themeColor="text1"/>
        </w:rPr>
        <w:t xml:space="preserve">Every </w:t>
      </w:r>
      <w:r w:rsidR="00097D82" w:rsidRPr="000D47AC">
        <w:rPr>
          <w:i/>
          <w:iCs/>
          <w:color w:val="000000" w:themeColor="text1"/>
        </w:rPr>
        <w:t>Twelve Seconds</w:t>
      </w:r>
      <w:r w:rsidRPr="000D47AC">
        <w:rPr>
          <w:i/>
          <w:iCs/>
          <w:color w:val="000000" w:themeColor="text1"/>
        </w:rPr>
        <w:t xml:space="preserve">: Industrialized </w:t>
      </w:r>
      <w:r w:rsidR="00097D82" w:rsidRPr="000D47AC">
        <w:rPr>
          <w:i/>
          <w:iCs/>
          <w:color w:val="000000" w:themeColor="text1"/>
        </w:rPr>
        <w:t xml:space="preserve">Slaughter </w:t>
      </w:r>
      <w:r w:rsidRPr="000D47AC">
        <w:rPr>
          <w:i/>
          <w:iCs/>
          <w:color w:val="000000" w:themeColor="text1"/>
        </w:rPr>
        <w:t xml:space="preserve">and the </w:t>
      </w:r>
      <w:r w:rsidR="00097D82" w:rsidRPr="000D47AC">
        <w:rPr>
          <w:i/>
          <w:iCs/>
          <w:color w:val="000000" w:themeColor="text1"/>
        </w:rPr>
        <w:t xml:space="preserve">Politics </w:t>
      </w:r>
      <w:r w:rsidRPr="000D47AC">
        <w:rPr>
          <w:i/>
          <w:iCs/>
          <w:color w:val="000000" w:themeColor="text1"/>
        </w:rPr>
        <w:t xml:space="preserve">of </w:t>
      </w:r>
      <w:r w:rsidR="00097D82" w:rsidRPr="000D47AC">
        <w:rPr>
          <w:i/>
          <w:iCs/>
          <w:color w:val="000000" w:themeColor="text1"/>
        </w:rPr>
        <w:t>Sight</w:t>
      </w:r>
      <w:r w:rsidRPr="000D47AC">
        <w:rPr>
          <w:color w:val="000000" w:themeColor="text1"/>
        </w:rPr>
        <w:t>. Yale University Press,.</w:t>
      </w:r>
    </w:p>
    <w:p w14:paraId="5A641E80" w14:textId="7B97524F" w:rsidR="00802D85" w:rsidRPr="000D47AC" w:rsidRDefault="00802D85" w:rsidP="00313088">
      <w:pPr>
        <w:spacing w:after="240" w:line="360" w:lineRule="auto"/>
        <w:jc w:val="both"/>
        <w:rPr>
          <w:color w:val="000000" w:themeColor="text1"/>
        </w:rPr>
      </w:pPr>
      <w:r w:rsidRPr="000D47AC">
        <w:rPr>
          <w:color w:val="000000" w:themeColor="text1"/>
        </w:rPr>
        <w:t xml:space="preserve">Papadopoulos, Y (2013). </w:t>
      </w:r>
      <w:r w:rsidRPr="000D47AC">
        <w:rPr>
          <w:i/>
          <w:iCs/>
          <w:color w:val="000000" w:themeColor="text1"/>
        </w:rPr>
        <w:t>Democracy in Crisis.</w:t>
      </w:r>
      <w:r w:rsidRPr="000D47AC">
        <w:rPr>
          <w:color w:val="000000" w:themeColor="text1"/>
        </w:rPr>
        <w:t xml:space="preserve"> Basingstoke: Palgrave Macmillan.</w:t>
      </w:r>
    </w:p>
    <w:p w14:paraId="1E8B83DC" w14:textId="5290769E" w:rsidR="001F459E" w:rsidRPr="000D47AC" w:rsidRDefault="001F459E" w:rsidP="00313088">
      <w:pPr>
        <w:autoSpaceDE w:val="0"/>
        <w:autoSpaceDN w:val="0"/>
        <w:adjustRightInd w:val="0"/>
        <w:spacing w:after="240" w:line="360" w:lineRule="auto"/>
        <w:ind w:right="-147"/>
        <w:jc w:val="both"/>
      </w:pPr>
      <w:r w:rsidRPr="000D47AC">
        <w:t>Pharr, S.</w:t>
      </w:r>
      <w:r w:rsidR="00CF3200" w:rsidRPr="000D47AC">
        <w:t xml:space="preserve"> </w:t>
      </w:r>
      <w:r w:rsidRPr="000D47AC">
        <w:t>J., and Putnam, R. (</w:t>
      </w:r>
      <w:r w:rsidR="00AB3F1A" w:rsidRPr="000D47AC">
        <w:t>E</w:t>
      </w:r>
      <w:r w:rsidRPr="000D47AC">
        <w:t xml:space="preserve">ds.) (2000). </w:t>
      </w:r>
      <w:r w:rsidRPr="000D47AC">
        <w:rPr>
          <w:i/>
        </w:rPr>
        <w:t>Disaffected Democracies: What's Troubling the Trilateral Countries?</w:t>
      </w:r>
      <w:r w:rsidRPr="000D47AC">
        <w:t xml:space="preserve"> Princeton: Princeton University Press.</w:t>
      </w:r>
    </w:p>
    <w:p w14:paraId="49BA25B5" w14:textId="5405B028" w:rsidR="00E915D9" w:rsidRPr="000D47AC" w:rsidRDefault="00E915D9" w:rsidP="00313088">
      <w:pPr>
        <w:pStyle w:val="Default"/>
        <w:spacing w:after="240" w:line="360" w:lineRule="auto"/>
        <w:jc w:val="both"/>
        <w:rPr>
          <w:color w:val="000000" w:themeColor="text1"/>
        </w:rPr>
      </w:pPr>
      <w:r w:rsidRPr="000D47AC">
        <w:rPr>
          <w:color w:val="000000" w:themeColor="text1"/>
        </w:rPr>
        <w:t xml:space="preserve">Pink, Sarah (2013) </w:t>
      </w:r>
      <w:r w:rsidRPr="000D47AC">
        <w:rPr>
          <w:i/>
          <w:iCs/>
          <w:color w:val="000000" w:themeColor="text1"/>
        </w:rPr>
        <w:t>Doing Visual Ethnography,</w:t>
      </w:r>
      <w:r w:rsidRPr="000D47AC">
        <w:rPr>
          <w:color w:val="000000" w:themeColor="text1"/>
        </w:rPr>
        <w:t xml:space="preserve"> 3</w:t>
      </w:r>
      <w:r w:rsidRPr="000D47AC">
        <w:rPr>
          <w:color w:val="000000" w:themeColor="text1"/>
          <w:vertAlign w:val="superscript"/>
        </w:rPr>
        <w:t>rd</w:t>
      </w:r>
      <w:r w:rsidRPr="000D47AC">
        <w:rPr>
          <w:color w:val="000000" w:themeColor="text1"/>
        </w:rPr>
        <w:t xml:space="preserve"> edition. London: Sage </w:t>
      </w:r>
    </w:p>
    <w:p w14:paraId="0E2055F7" w14:textId="77777777" w:rsidR="0017094F" w:rsidRPr="000D47AC" w:rsidRDefault="0017094F" w:rsidP="00313088">
      <w:pPr>
        <w:pStyle w:val="EndnoteText"/>
        <w:spacing w:after="240" w:line="360" w:lineRule="auto"/>
        <w:ind w:right="-147"/>
        <w:rPr>
          <w:sz w:val="24"/>
          <w:szCs w:val="24"/>
        </w:rPr>
      </w:pPr>
      <w:r w:rsidRPr="000D47AC">
        <w:rPr>
          <w:sz w:val="24"/>
          <w:szCs w:val="24"/>
        </w:rPr>
        <w:t xml:space="preserve">Reeher, G. (2006) </w:t>
      </w:r>
      <w:r w:rsidRPr="000D47AC">
        <w:rPr>
          <w:i/>
          <w:iCs/>
          <w:sz w:val="24"/>
          <w:szCs w:val="24"/>
        </w:rPr>
        <w:t>First Person Political</w:t>
      </w:r>
      <w:r w:rsidRPr="000D47AC">
        <w:rPr>
          <w:sz w:val="24"/>
          <w:szCs w:val="24"/>
        </w:rPr>
        <w:t>. New York: New York University Press.</w:t>
      </w:r>
    </w:p>
    <w:p w14:paraId="4588B121" w14:textId="77777777" w:rsidR="003017A5" w:rsidRPr="000D47AC" w:rsidRDefault="003017A5" w:rsidP="00313088">
      <w:pPr>
        <w:spacing w:after="240" w:line="360" w:lineRule="auto"/>
        <w:jc w:val="both"/>
      </w:pPr>
      <w:r w:rsidRPr="000D47AC">
        <w:t xml:space="preserve">Rhodes, R. A. W. (2011) </w:t>
      </w:r>
      <w:r w:rsidRPr="000D47AC">
        <w:rPr>
          <w:i/>
          <w:iCs/>
        </w:rPr>
        <w:t>Everyday Life in British Government</w:t>
      </w:r>
      <w:r w:rsidRPr="000D47AC">
        <w:t xml:space="preserve"> Oxford: Oxford University Press.</w:t>
      </w:r>
    </w:p>
    <w:p w14:paraId="28001FDF" w14:textId="77777777" w:rsidR="003017A5" w:rsidRPr="000D47AC" w:rsidRDefault="003017A5" w:rsidP="00313088">
      <w:pPr>
        <w:pStyle w:val="References"/>
        <w:spacing w:after="240" w:line="360" w:lineRule="auto"/>
        <w:ind w:left="0" w:firstLine="0"/>
        <w:jc w:val="both"/>
        <w:rPr>
          <w:color w:val="000000" w:themeColor="text1"/>
        </w:rPr>
      </w:pPr>
      <w:r w:rsidRPr="000D47AC">
        <w:rPr>
          <w:color w:val="000000" w:themeColor="text1"/>
        </w:rPr>
        <w:lastRenderedPageBreak/>
        <w:t xml:space="preserve">Rhodes, R. A. W. and A Tiernan (2014) </w:t>
      </w:r>
      <w:r w:rsidRPr="000D47AC">
        <w:rPr>
          <w:i/>
          <w:iCs/>
          <w:color w:val="000000" w:themeColor="text1"/>
        </w:rPr>
        <w:t>Lessons of Governing: A Profile of Prime Ministers’ Chiefs Of Staff</w:t>
      </w:r>
      <w:r w:rsidRPr="000D47AC">
        <w:rPr>
          <w:color w:val="000000" w:themeColor="text1"/>
        </w:rPr>
        <w:t xml:space="preserve">, Melbourne: Melbourne University Press. </w:t>
      </w:r>
    </w:p>
    <w:p w14:paraId="78A8F315" w14:textId="73CB2D29" w:rsidR="00B54872" w:rsidRPr="000D47AC" w:rsidRDefault="00BD265B" w:rsidP="00313088">
      <w:pPr>
        <w:pStyle w:val="Default"/>
        <w:spacing w:after="240" w:line="360" w:lineRule="auto"/>
        <w:jc w:val="both"/>
        <w:rPr>
          <w:color w:val="000000" w:themeColor="text1"/>
          <w:lang w:eastAsia="en-GB"/>
        </w:rPr>
      </w:pPr>
      <w:r w:rsidRPr="000D47AC">
        <w:rPr>
          <w:color w:val="000000" w:themeColor="text1"/>
          <w:lang w:eastAsia="en-GB"/>
        </w:rPr>
        <w:t xml:space="preserve">Richards, D., </w:t>
      </w:r>
      <w:r w:rsidR="000D47AC" w:rsidRPr="000D47AC">
        <w:rPr>
          <w:color w:val="000000" w:themeColor="text1"/>
          <w:lang w:eastAsia="en-GB"/>
        </w:rPr>
        <w:t>and</w:t>
      </w:r>
      <w:r w:rsidRPr="000D47AC">
        <w:rPr>
          <w:color w:val="000000" w:themeColor="text1"/>
          <w:lang w:eastAsia="en-GB"/>
        </w:rPr>
        <w:t xml:space="preserve"> Mathers, H. (2010). </w:t>
      </w:r>
      <w:r w:rsidR="00013E2F">
        <w:rPr>
          <w:color w:val="000000" w:themeColor="text1"/>
          <w:lang w:eastAsia="en-GB"/>
        </w:rPr>
        <w:t>‘</w:t>
      </w:r>
      <w:r w:rsidRPr="000D47AC">
        <w:rPr>
          <w:color w:val="000000" w:themeColor="text1"/>
          <w:lang w:eastAsia="en-GB"/>
        </w:rPr>
        <w:t xml:space="preserve">Political </w:t>
      </w:r>
      <w:r w:rsidR="00D96B7A" w:rsidRPr="000D47AC">
        <w:rPr>
          <w:color w:val="000000" w:themeColor="text1"/>
          <w:lang w:eastAsia="en-GB"/>
        </w:rPr>
        <w:t xml:space="preserve">Memoirs </w:t>
      </w:r>
      <w:r w:rsidRPr="000D47AC">
        <w:rPr>
          <w:color w:val="000000" w:themeColor="text1"/>
          <w:lang w:eastAsia="en-GB"/>
        </w:rPr>
        <w:t xml:space="preserve">and New Labour: Interpretations of </w:t>
      </w:r>
      <w:r w:rsidR="00D96B7A" w:rsidRPr="000D47AC">
        <w:rPr>
          <w:color w:val="000000" w:themeColor="text1"/>
          <w:lang w:eastAsia="en-GB"/>
        </w:rPr>
        <w:t>Power</w:t>
      </w:r>
      <w:r w:rsidRPr="000D47AC">
        <w:rPr>
          <w:color w:val="000000" w:themeColor="text1"/>
          <w:lang w:eastAsia="en-GB"/>
        </w:rPr>
        <w:t xml:space="preserve"> and the </w:t>
      </w:r>
      <w:r w:rsidR="00013E2F">
        <w:rPr>
          <w:color w:val="000000" w:themeColor="text1"/>
          <w:lang w:eastAsia="en-GB"/>
        </w:rPr>
        <w:t>“</w:t>
      </w:r>
      <w:r w:rsidR="00D96B7A" w:rsidRPr="000D47AC">
        <w:rPr>
          <w:color w:val="000000" w:themeColor="text1"/>
          <w:lang w:eastAsia="en-GB"/>
        </w:rPr>
        <w:t>Club Rules</w:t>
      </w:r>
      <w:r w:rsidR="00013E2F">
        <w:rPr>
          <w:color w:val="000000" w:themeColor="text1"/>
          <w:lang w:eastAsia="en-GB"/>
        </w:rPr>
        <w:t>”’</w:t>
      </w:r>
      <w:r w:rsidRPr="000D47AC">
        <w:rPr>
          <w:color w:val="000000" w:themeColor="text1"/>
          <w:lang w:eastAsia="en-GB"/>
        </w:rPr>
        <w:t>.</w:t>
      </w:r>
      <w:r w:rsidR="000A4F7D" w:rsidRPr="000D47AC">
        <w:rPr>
          <w:color w:val="000000" w:themeColor="text1"/>
          <w:lang w:eastAsia="en-GB"/>
        </w:rPr>
        <w:t xml:space="preserve"> </w:t>
      </w:r>
      <w:r w:rsidRPr="000D47AC">
        <w:rPr>
          <w:i/>
          <w:iCs/>
          <w:color w:val="000000" w:themeColor="text1"/>
          <w:lang w:eastAsia="en-GB"/>
        </w:rPr>
        <w:t xml:space="preserve">The British Journal of Politics </w:t>
      </w:r>
      <w:r w:rsidR="000D47AC" w:rsidRPr="000D47AC">
        <w:rPr>
          <w:i/>
          <w:iCs/>
          <w:color w:val="000000" w:themeColor="text1"/>
          <w:lang w:eastAsia="en-GB"/>
        </w:rPr>
        <w:t>and</w:t>
      </w:r>
      <w:r w:rsidRPr="000D47AC">
        <w:rPr>
          <w:i/>
          <w:iCs/>
          <w:color w:val="000000" w:themeColor="text1"/>
          <w:lang w:eastAsia="en-GB"/>
        </w:rPr>
        <w:t xml:space="preserve"> International Relations</w:t>
      </w:r>
      <w:r w:rsidRPr="000D47AC">
        <w:rPr>
          <w:color w:val="000000" w:themeColor="text1"/>
          <w:lang w:eastAsia="en-GB"/>
        </w:rPr>
        <w:t>,</w:t>
      </w:r>
      <w:r w:rsidR="000A4F7D" w:rsidRPr="000D47AC">
        <w:rPr>
          <w:color w:val="000000" w:themeColor="text1"/>
          <w:lang w:eastAsia="en-GB"/>
        </w:rPr>
        <w:t xml:space="preserve"> </w:t>
      </w:r>
      <w:r w:rsidRPr="000D47AC">
        <w:rPr>
          <w:i/>
          <w:iCs/>
          <w:color w:val="000000" w:themeColor="text1"/>
          <w:lang w:eastAsia="en-GB"/>
        </w:rPr>
        <w:t>12</w:t>
      </w:r>
      <w:r w:rsidR="000A4F7D" w:rsidRPr="000D47AC">
        <w:rPr>
          <w:i/>
          <w:iCs/>
          <w:color w:val="000000" w:themeColor="text1"/>
          <w:lang w:eastAsia="en-GB"/>
        </w:rPr>
        <w:t xml:space="preserve"> </w:t>
      </w:r>
      <w:r w:rsidRPr="000D47AC">
        <w:rPr>
          <w:color w:val="000000" w:themeColor="text1"/>
          <w:lang w:eastAsia="en-GB"/>
        </w:rPr>
        <w:t>(4), 498-522</w:t>
      </w:r>
      <w:r w:rsidR="00B54872" w:rsidRPr="000D47AC">
        <w:rPr>
          <w:color w:val="000000" w:themeColor="text1"/>
          <w:lang w:eastAsia="en-GB"/>
        </w:rPr>
        <w:t>.</w:t>
      </w:r>
    </w:p>
    <w:p w14:paraId="50400B8F" w14:textId="472E0C39" w:rsidR="00384F62" w:rsidRPr="000D47AC" w:rsidRDefault="00384F62" w:rsidP="00313088">
      <w:pPr>
        <w:pStyle w:val="Default"/>
        <w:spacing w:after="240" w:line="360" w:lineRule="auto"/>
        <w:jc w:val="both"/>
        <w:rPr>
          <w:color w:val="000000" w:themeColor="text1"/>
        </w:rPr>
      </w:pPr>
      <w:r w:rsidRPr="006A027A">
        <w:rPr>
          <w:color w:val="000000" w:themeColor="text1"/>
          <w:lang w:val="de-DE"/>
        </w:rPr>
        <w:t xml:space="preserve">Rooduijn, M., de Lange, S. L., </w:t>
      </w:r>
      <w:r w:rsidR="000A4F7D" w:rsidRPr="006A027A">
        <w:rPr>
          <w:color w:val="000000" w:themeColor="text1"/>
          <w:lang w:val="de-DE"/>
        </w:rPr>
        <w:t>and</w:t>
      </w:r>
      <w:r w:rsidR="00737120" w:rsidRPr="006A027A">
        <w:rPr>
          <w:color w:val="000000" w:themeColor="text1"/>
          <w:lang w:val="de-DE"/>
        </w:rPr>
        <w:t xml:space="preserve"> </w:t>
      </w:r>
      <w:r w:rsidRPr="006A027A">
        <w:rPr>
          <w:color w:val="000000" w:themeColor="text1"/>
          <w:lang w:val="de-DE"/>
        </w:rPr>
        <w:t xml:space="preserve">van der Brug, W. (2014). </w:t>
      </w:r>
      <w:r w:rsidR="00013E2F">
        <w:rPr>
          <w:color w:val="000000" w:themeColor="text1"/>
        </w:rPr>
        <w:t>‘</w:t>
      </w:r>
      <w:r w:rsidRPr="000D47AC">
        <w:rPr>
          <w:color w:val="000000" w:themeColor="text1"/>
        </w:rPr>
        <w:t xml:space="preserve">A </w:t>
      </w:r>
      <w:r w:rsidR="00097D82" w:rsidRPr="000D47AC">
        <w:rPr>
          <w:color w:val="000000" w:themeColor="text1"/>
        </w:rPr>
        <w:t>P</w:t>
      </w:r>
      <w:r w:rsidRPr="000D47AC">
        <w:rPr>
          <w:color w:val="000000" w:themeColor="text1"/>
        </w:rPr>
        <w:t xml:space="preserve">opulist Zeitgeist? Programmatic </w:t>
      </w:r>
      <w:r w:rsidR="00D96B7A" w:rsidRPr="000D47AC">
        <w:rPr>
          <w:color w:val="000000" w:themeColor="text1"/>
        </w:rPr>
        <w:t xml:space="preserve">Contagion by Populist Parties </w:t>
      </w:r>
      <w:r w:rsidRPr="000D47AC">
        <w:rPr>
          <w:color w:val="000000" w:themeColor="text1"/>
        </w:rPr>
        <w:t>in Western Europe</w:t>
      </w:r>
      <w:r w:rsidR="00013E2F">
        <w:rPr>
          <w:color w:val="000000" w:themeColor="text1"/>
        </w:rPr>
        <w:t>’</w:t>
      </w:r>
      <w:r w:rsidRPr="000D47AC">
        <w:rPr>
          <w:color w:val="000000" w:themeColor="text1"/>
        </w:rPr>
        <w:t xml:space="preserve">. </w:t>
      </w:r>
      <w:r w:rsidRPr="000D47AC">
        <w:rPr>
          <w:i/>
          <w:iCs/>
          <w:color w:val="000000" w:themeColor="text1"/>
        </w:rPr>
        <w:t>Party Politics,</w:t>
      </w:r>
      <w:r w:rsidRPr="000D47AC">
        <w:rPr>
          <w:color w:val="000000" w:themeColor="text1"/>
        </w:rPr>
        <w:t xml:space="preserve"> 20</w:t>
      </w:r>
      <w:r w:rsidR="000A4F7D" w:rsidRPr="000D47AC">
        <w:rPr>
          <w:color w:val="000000" w:themeColor="text1"/>
        </w:rPr>
        <w:t>:</w:t>
      </w:r>
      <w:r w:rsidRPr="000D47AC">
        <w:rPr>
          <w:color w:val="000000" w:themeColor="text1"/>
        </w:rPr>
        <w:t xml:space="preserve"> 563-575.</w:t>
      </w:r>
    </w:p>
    <w:p w14:paraId="3A03A6CF" w14:textId="76D6549A" w:rsidR="00097D82" w:rsidRPr="003C1BBA" w:rsidRDefault="00C60D7E" w:rsidP="00313088">
      <w:pPr>
        <w:autoSpaceDE w:val="0"/>
        <w:autoSpaceDN w:val="0"/>
        <w:adjustRightInd w:val="0"/>
        <w:spacing w:after="240" w:line="360" w:lineRule="auto"/>
        <w:rPr>
          <w:color w:val="000000" w:themeColor="text1"/>
          <w:lang w:eastAsia="en-US"/>
        </w:rPr>
      </w:pPr>
      <w:r w:rsidRPr="000D47AC">
        <w:rPr>
          <w:color w:val="000000" w:themeColor="text1"/>
          <w:lang w:val="de-DE" w:eastAsia="en-US"/>
        </w:rPr>
        <w:t>Schatz, Edward (2009)</w:t>
      </w:r>
      <w:r w:rsidR="000D47AC">
        <w:rPr>
          <w:color w:val="000000" w:themeColor="text1"/>
          <w:lang w:val="de-DE" w:eastAsia="en-US"/>
        </w:rPr>
        <w:t>.</w:t>
      </w:r>
      <w:r w:rsidRPr="000D47AC">
        <w:rPr>
          <w:color w:val="000000" w:themeColor="text1"/>
          <w:lang w:val="de-DE" w:eastAsia="en-US"/>
        </w:rPr>
        <w:t xml:space="preserve"> </w:t>
      </w:r>
      <w:r w:rsidRPr="006A027A">
        <w:rPr>
          <w:color w:val="000000" w:themeColor="text1"/>
          <w:lang w:val="de-DE" w:eastAsia="en-US"/>
        </w:rPr>
        <w:t xml:space="preserve">‘Introduction’, in Schatz, Edward (Ed.) </w:t>
      </w:r>
      <w:r w:rsidRPr="000D47AC">
        <w:rPr>
          <w:i/>
          <w:iCs/>
          <w:color w:val="000000" w:themeColor="text1"/>
          <w:lang w:eastAsia="en-US"/>
        </w:rPr>
        <w:t xml:space="preserve">Political Ethnography: The Difference Immersion Makes </w:t>
      </w:r>
      <w:r w:rsidRPr="003C1BBA">
        <w:rPr>
          <w:color w:val="000000" w:themeColor="text1"/>
          <w:lang w:eastAsia="en-US"/>
        </w:rPr>
        <w:t>Toronto: University of Toronto Press.: 1-22.</w:t>
      </w:r>
      <w:r w:rsidR="00737120" w:rsidRPr="003C1BBA">
        <w:rPr>
          <w:color w:val="000000" w:themeColor="text1"/>
          <w:lang w:eastAsia="en-US"/>
        </w:rPr>
        <w:t xml:space="preserve"> </w:t>
      </w:r>
    </w:p>
    <w:p w14:paraId="24A5FE6A" w14:textId="49428E08" w:rsidR="00816328" w:rsidRPr="000D47AC" w:rsidRDefault="00816328" w:rsidP="00313088">
      <w:pPr>
        <w:autoSpaceDE w:val="0"/>
        <w:autoSpaceDN w:val="0"/>
        <w:adjustRightInd w:val="0"/>
        <w:spacing w:after="240" w:line="360" w:lineRule="auto"/>
        <w:rPr>
          <w:color w:val="000000" w:themeColor="text1"/>
        </w:rPr>
      </w:pPr>
      <w:r w:rsidRPr="000D47AC">
        <w:rPr>
          <w:color w:val="000000" w:themeColor="text1"/>
          <w:shd w:val="clear" w:color="auto" w:fill="FFFFFF"/>
        </w:rPr>
        <w:t>Schwartz-Shea, P. and Yanow, D. (2012)</w:t>
      </w:r>
      <w:r w:rsidR="000D47AC">
        <w:rPr>
          <w:color w:val="000000" w:themeColor="text1"/>
          <w:shd w:val="clear" w:color="auto" w:fill="FFFFFF"/>
        </w:rPr>
        <w:t>.</w:t>
      </w:r>
      <w:r w:rsidRPr="000D47AC">
        <w:rPr>
          <w:rStyle w:val="apple-converted-space"/>
          <w:color w:val="000000" w:themeColor="text1"/>
          <w:shd w:val="clear" w:color="auto" w:fill="FFFFFF"/>
        </w:rPr>
        <w:t xml:space="preserve"> </w:t>
      </w:r>
      <w:r w:rsidRPr="000D47AC">
        <w:rPr>
          <w:rStyle w:val="Emphasis"/>
          <w:color w:val="000000" w:themeColor="text1"/>
          <w:shd w:val="clear" w:color="auto" w:fill="FFFFFF"/>
        </w:rPr>
        <w:t xml:space="preserve">Interpretive Research Design: Concepts and Processes. London: </w:t>
      </w:r>
      <w:r w:rsidRPr="000D47AC">
        <w:rPr>
          <w:color w:val="000000" w:themeColor="text1"/>
          <w:shd w:val="clear" w:color="auto" w:fill="FFFFFF"/>
        </w:rPr>
        <w:t>Routledge</w:t>
      </w:r>
      <w:r w:rsidRPr="000D47AC">
        <w:rPr>
          <w:rStyle w:val="Emphasis"/>
          <w:color w:val="000000" w:themeColor="text1"/>
          <w:shd w:val="clear" w:color="auto" w:fill="FFFFFF"/>
        </w:rPr>
        <w:t>.</w:t>
      </w:r>
      <w:r w:rsidRPr="000D47AC">
        <w:rPr>
          <w:rStyle w:val="apple-converted-space"/>
          <w:color w:val="000000" w:themeColor="text1"/>
          <w:shd w:val="clear" w:color="auto" w:fill="FFFFFF"/>
        </w:rPr>
        <w:t> </w:t>
      </w:r>
    </w:p>
    <w:p w14:paraId="4CAAE572" w14:textId="0EBD306F" w:rsidR="007067BA" w:rsidRPr="000D47AC" w:rsidRDefault="00AD7E63" w:rsidP="00313088">
      <w:pPr>
        <w:pStyle w:val="EndnoteText"/>
        <w:spacing w:after="240" w:line="360" w:lineRule="auto"/>
        <w:ind w:right="-147"/>
        <w:rPr>
          <w:sz w:val="24"/>
          <w:szCs w:val="24"/>
        </w:rPr>
      </w:pPr>
      <w:r w:rsidRPr="000D47AC">
        <w:rPr>
          <w:sz w:val="24"/>
          <w:szCs w:val="24"/>
        </w:rPr>
        <w:t>Schuck, P</w:t>
      </w:r>
      <w:r w:rsidR="007067BA" w:rsidRPr="000D47AC">
        <w:rPr>
          <w:sz w:val="24"/>
          <w:szCs w:val="24"/>
        </w:rPr>
        <w:t xml:space="preserve"> H. (2015). </w:t>
      </w:r>
      <w:r w:rsidR="007067BA" w:rsidRPr="000D47AC">
        <w:rPr>
          <w:i/>
          <w:sz w:val="24"/>
          <w:szCs w:val="24"/>
        </w:rPr>
        <w:t>Why Government Fails So Often</w:t>
      </w:r>
      <w:r w:rsidR="007067BA" w:rsidRPr="000D47AC">
        <w:rPr>
          <w:sz w:val="24"/>
          <w:szCs w:val="24"/>
        </w:rPr>
        <w:t>. Princeton, NJ: Princeton University Press.</w:t>
      </w:r>
    </w:p>
    <w:p w14:paraId="44196136" w14:textId="02055D62" w:rsidR="00931E95" w:rsidRPr="000D47AC" w:rsidRDefault="00931E95" w:rsidP="00313088">
      <w:pPr>
        <w:spacing w:after="240" w:line="360" w:lineRule="auto"/>
        <w:jc w:val="both"/>
        <w:rPr>
          <w:color w:val="000000" w:themeColor="text1"/>
        </w:rPr>
      </w:pPr>
      <w:r w:rsidRPr="000D47AC">
        <w:rPr>
          <w:color w:val="000000" w:themeColor="text1"/>
        </w:rPr>
        <w:t xml:space="preserve">Shore, C. (2000). </w:t>
      </w:r>
      <w:r w:rsidRPr="000D47AC">
        <w:rPr>
          <w:i/>
          <w:iCs/>
          <w:color w:val="000000" w:themeColor="text1"/>
        </w:rPr>
        <w:t>Building Europe: The cultural politics of European integration</w:t>
      </w:r>
      <w:r w:rsidRPr="000D47AC">
        <w:rPr>
          <w:color w:val="000000" w:themeColor="text1"/>
        </w:rPr>
        <w:t>. London: Routledge.</w:t>
      </w:r>
    </w:p>
    <w:p w14:paraId="018C97EC" w14:textId="194FA299" w:rsidR="00341746" w:rsidRPr="000D47AC" w:rsidRDefault="00341746" w:rsidP="00313088">
      <w:pPr>
        <w:spacing w:after="240" w:line="360" w:lineRule="auto"/>
        <w:jc w:val="both"/>
        <w:rPr>
          <w:color w:val="000000" w:themeColor="text1"/>
        </w:rPr>
      </w:pPr>
      <w:r w:rsidRPr="000D47AC">
        <w:rPr>
          <w:color w:val="000000" w:themeColor="text1"/>
        </w:rPr>
        <w:t>Shore, C. and Nugent, S. (2002)</w:t>
      </w:r>
      <w:r w:rsidR="000D47AC">
        <w:rPr>
          <w:color w:val="000000" w:themeColor="text1"/>
        </w:rPr>
        <w:t>.</w:t>
      </w:r>
      <w:r w:rsidRPr="000D47AC">
        <w:rPr>
          <w:color w:val="000000" w:themeColor="text1"/>
        </w:rPr>
        <w:t xml:space="preserve"> </w:t>
      </w:r>
      <w:r w:rsidRPr="000D47AC">
        <w:rPr>
          <w:i/>
          <w:color w:val="000000" w:themeColor="text1"/>
        </w:rPr>
        <w:t>Elite Cultures. Anthropological Perspectives</w:t>
      </w:r>
      <w:r w:rsidRPr="000D47AC">
        <w:rPr>
          <w:color w:val="000000" w:themeColor="text1"/>
        </w:rPr>
        <w:t xml:space="preserve">, ASA Monographs 38, London: Routledge. </w:t>
      </w:r>
    </w:p>
    <w:p w14:paraId="5748236A" w14:textId="1D1C61F8" w:rsidR="007A65A2" w:rsidRDefault="004D0A22" w:rsidP="00313088">
      <w:pPr>
        <w:spacing w:after="240" w:line="360" w:lineRule="auto"/>
        <w:jc w:val="both"/>
      </w:pPr>
      <w:r w:rsidRPr="004D0A22">
        <w:t>Small</w:t>
      </w:r>
      <w:r>
        <w:t>, M. L. (2009). ‘</w:t>
      </w:r>
      <w:r w:rsidRPr="004D0A22">
        <w:t xml:space="preserve">How </w:t>
      </w:r>
      <w:r w:rsidR="007A65A2" w:rsidRPr="004D0A22">
        <w:t>Many Cases Do I Need</w:t>
      </w:r>
      <w:r w:rsidRPr="004D0A22">
        <w:t>?</w:t>
      </w:r>
      <w:r>
        <w:t xml:space="preserve"> </w:t>
      </w:r>
      <w:r w:rsidRPr="004D0A22">
        <w:t xml:space="preserve">On </w:t>
      </w:r>
      <w:r>
        <w:t>Science and the Logic of Case Selection i</w:t>
      </w:r>
      <w:r w:rsidRPr="004D0A22">
        <w:t>n Field-Based Research</w:t>
      </w:r>
      <w:r>
        <w:t xml:space="preserve">’ </w:t>
      </w:r>
      <w:r>
        <w:rPr>
          <w:i/>
        </w:rPr>
        <w:t>Ethnography</w:t>
      </w:r>
      <w:r w:rsidR="00013E2F">
        <w:rPr>
          <w:i/>
        </w:rPr>
        <w:t xml:space="preserve"> </w:t>
      </w:r>
      <w:r w:rsidRPr="004D0A22">
        <w:t>10: 5-38</w:t>
      </w:r>
      <w:r>
        <w:t>.</w:t>
      </w:r>
    </w:p>
    <w:p w14:paraId="1DF2AEFA" w14:textId="17789C92" w:rsidR="00AB3F1A" w:rsidRPr="000D47AC" w:rsidRDefault="00AB3F1A" w:rsidP="00313088">
      <w:pPr>
        <w:spacing w:after="240" w:line="360" w:lineRule="auto"/>
        <w:jc w:val="both"/>
        <w:rPr>
          <w:color w:val="000000" w:themeColor="text1"/>
        </w:rPr>
      </w:pPr>
      <w:r w:rsidRPr="000D47AC">
        <w:rPr>
          <w:color w:val="000000" w:themeColor="text1"/>
        </w:rPr>
        <w:t>Smith, M. and Hay, C. (2015)</w:t>
      </w:r>
      <w:r w:rsidR="000D47AC">
        <w:rPr>
          <w:color w:val="000000" w:themeColor="text1"/>
        </w:rPr>
        <w:t>.</w:t>
      </w:r>
      <w:r w:rsidRPr="000D47AC">
        <w:rPr>
          <w:color w:val="000000" w:themeColor="text1"/>
        </w:rPr>
        <w:t xml:space="preserve"> ‘Horses for Courses?’ </w:t>
      </w:r>
      <w:r w:rsidRPr="000D47AC">
        <w:rPr>
          <w:i/>
          <w:color w:val="000000" w:themeColor="text1"/>
        </w:rPr>
        <w:t>West European Politics</w:t>
      </w:r>
      <w:r w:rsidRPr="000D47AC">
        <w:rPr>
          <w:color w:val="000000" w:themeColor="text1"/>
        </w:rPr>
        <w:t>, 28: 124-158.</w:t>
      </w:r>
    </w:p>
    <w:p w14:paraId="4E54CACD" w14:textId="77777777" w:rsidR="003017A5" w:rsidRPr="000D47AC" w:rsidRDefault="003017A5" w:rsidP="00313088">
      <w:pPr>
        <w:spacing w:after="240" w:line="360" w:lineRule="auto"/>
        <w:jc w:val="both"/>
      </w:pPr>
      <w:r w:rsidRPr="000D47AC">
        <w:t xml:space="preserve">Stoker, G. (2006) </w:t>
      </w:r>
      <w:r w:rsidRPr="000D47AC">
        <w:rPr>
          <w:i/>
        </w:rPr>
        <w:t>Why Politics Matters</w:t>
      </w:r>
      <w:r w:rsidRPr="000D47AC">
        <w:t>. Basingstoke: Palgrave Macmillan.</w:t>
      </w:r>
    </w:p>
    <w:p w14:paraId="49A9A415" w14:textId="7074B9C1" w:rsidR="00F55C69" w:rsidRDefault="00B54872" w:rsidP="00313088">
      <w:pPr>
        <w:spacing w:after="240" w:line="360" w:lineRule="auto"/>
        <w:jc w:val="both"/>
      </w:pPr>
      <w:r w:rsidRPr="000D47AC">
        <w:t xml:space="preserve">Stoker, G., </w:t>
      </w:r>
      <w:r w:rsidR="000D47AC" w:rsidRPr="000D47AC">
        <w:t>and</w:t>
      </w:r>
      <w:r w:rsidRPr="000D47AC">
        <w:t xml:space="preserve"> Hay, C. (201</w:t>
      </w:r>
      <w:r w:rsidR="000D47AC" w:rsidRPr="000D47AC">
        <w:t>7</w:t>
      </w:r>
      <w:r w:rsidRPr="000D47AC">
        <w:t xml:space="preserve">). Understanding and </w:t>
      </w:r>
      <w:r w:rsidR="00D708D0" w:rsidRPr="000D47AC">
        <w:t>C</w:t>
      </w:r>
      <w:r w:rsidRPr="000D47AC">
        <w:t xml:space="preserve">hallenging </w:t>
      </w:r>
      <w:r w:rsidR="00D708D0" w:rsidRPr="000D47AC">
        <w:t>P</w:t>
      </w:r>
      <w:r w:rsidRPr="000D47AC">
        <w:t xml:space="preserve">opulist </w:t>
      </w:r>
      <w:r w:rsidR="00D708D0" w:rsidRPr="000D47AC">
        <w:t>N</w:t>
      </w:r>
      <w:r w:rsidRPr="000D47AC">
        <w:t xml:space="preserve">egativity towards </w:t>
      </w:r>
      <w:r w:rsidR="00D708D0" w:rsidRPr="000D47AC">
        <w:t>P</w:t>
      </w:r>
      <w:r w:rsidRPr="000D47AC">
        <w:t xml:space="preserve">olitics: the </w:t>
      </w:r>
      <w:r w:rsidR="00D708D0" w:rsidRPr="000D47AC">
        <w:t xml:space="preserve">Perspectives </w:t>
      </w:r>
      <w:r w:rsidRPr="000D47AC">
        <w:t>of British citizens.</w:t>
      </w:r>
      <w:r w:rsidR="000A4F7D" w:rsidRPr="000D47AC">
        <w:t xml:space="preserve"> </w:t>
      </w:r>
      <w:r w:rsidRPr="000D47AC">
        <w:rPr>
          <w:i/>
          <w:iCs/>
        </w:rPr>
        <w:t>Political Studies</w:t>
      </w:r>
      <w:r w:rsidRPr="000D47AC">
        <w:t>,</w:t>
      </w:r>
      <w:r w:rsidR="000D47AC" w:rsidRPr="000D47AC">
        <w:rPr>
          <w:color w:val="333333"/>
          <w:shd w:val="clear" w:color="auto" w:fill="FFFFFF"/>
        </w:rPr>
        <w:t>65: 4-23</w:t>
      </w:r>
      <w:r w:rsidR="00013E2F">
        <w:rPr>
          <w:color w:val="333333"/>
          <w:shd w:val="clear" w:color="auto" w:fill="FFFFFF"/>
        </w:rPr>
        <w:t xml:space="preserve">. </w:t>
      </w:r>
      <w:r w:rsidR="000D47AC" w:rsidRPr="000D47AC">
        <w:t xml:space="preserve"> </w:t>
      </w:r>
    </w:p>
    <w:p w14:paraId="5313DED3" w14:textId="419EF792" w:rsidR="00D708D0" w:rsidRPr="003C1BBA" w:rsidRDefault="00D708D0" w:rsidP="00313088">
      <w:pPr>
        <w:spacing w:after="240" w:line="360" w:lineRule="auto"/>
        <w:jc w:val="both"/>
      </w:pPr>
      <w:r w:rsidRPr="000D47AC">
        <w:rPr>
          <w:lang w:eastAsia="en-US"/>
        </w:rPr>
        <w:lastRenderedPageBreak/>
        <w:t>Taylor, L. (2014)</w:t>
      </w:r>
      <w:r w:rsidR="000D47AC">
        <w:rPr>
          <w:lang w:eastAsia="en-US"/>
        </w:rPr>
        <w:t>.</w:t>
      </w:r>
      <w:r w:rsidRPr="000D47AC">
        <w:rPr>
          <w:lang w:eastAsia="en-US"/>
        </w:rPr>
        <w:t xml:space="preserve"> ‘On the Endangered Art of Ethnography’, </w:t>
      </w:r>
      <w:r w:rsidRPr="000D47AC">
        <w:rPr>
          <w:i/>
          <w:iCs/>
          <w:lang w:eastAsia="en-US"/>
        </w:rPr>
        <w:t>Times Higher Education</w:t>
      </w:r>
      <w:r w:rsidRPr="000D47AC">
        <w:rPr>
          <w:lang w:eastAsia="en-US"/>
        </w:rPr>
        <w:t>, 19 June: 1-5.</w:t>
      </w:r>
    </w:p>
    <w:p w14:paraId="43581578" w14:textId="34C75B02" w:rsidR="001F459E" w:rsidRPr="0004233E" w:rsidRDefault="001F459E" w:rsidP="00313088">
      <w:pPr>
        <w:spacing w:after="240" w:line="360" w:lineRule="auto"/>
        <w:jc w:val="both"/>
        <w:rPr>
          <w:rFonts w:eastAsia="Times New Roman"/>
          <w:color w:val="000000" w:themeColor="text1"/>
        </w:rPr>
      </w:pPr>
      <w:r w:rsidRPr="0004233E">
        <w:rPr>
          <w:rFonts w:eastAsia="Times New Roman"/>
          <w:color w:val="000000" w:themeColor="text1"/>
        </w:rPr>
        <w:t>Torcal, M., and Montero, J.</w:t>
      </w:r>
      <w:r w:rsidR="00AB3F1A" w:rsidRPr="0004233E">
        <w:rPr>
          <w:rFonts w:eastAsia="Times New Roman"/>
          <w:color w:val="000000" w:themeColor="text1"/>
        </w:rPr>
        <w:t xml:space="preserve"> </w:t>
      </w:r>
      <w:r w:rsidRPr="0004233E">
        <w:rPr>
          <w:rFonts w:eastAsia="Times New Roman"/>
          <w:color w:val="000000" w:themeColor="text1"/>
        </w:rPr>
        <w:t>R. (</w:t>
      </w:r>
      <w:r w:rsidR="00AB3F1A" w:rsidRPr="0004233E">
        <w:rPr>
          <w:rFonts w:eastAsia="Times New Roman"/>
          <w:color w:val="000000" w:themeColor="text1"/>
        </w:rPr>
        <w:t>E</w:t>
      </w:r>
      <w:r w:rsidRPr="0004233E">
        <w:rPr>
          <w:rFonts w:eastAsia="Times New Roman"/>
          <w:color w:val="000000" w:themeColor="text1"/>
        </w:rPr>
        <w:t xml:space="preserve">ds.). (2006). </w:t>
      </w:r>
      <w:r w:rsidRPr="0004233E">
        <w:rPr>
          <w:rFonts w:eastAsia="Times New Roman"/>
          <w:i/>
          <w:color w:val="000000" w:themeColor="text1"/>
        </w:rPr>
        <w:t>Political Disaffection in Contemporary Democracies: Social Capital, Institutions and Politics</w:t>
      </w:r>
      <w:r w:rsidRPr="0004233E">
        <w:rPr>
          <w:rFonts w:eastAsia="Times New Roman"/>
          <w:color w:val="000000" w:themeColor="text1"/>
        </w:rPr>
        <w:t>. London: Routledge.</w:t>
      </w:r>
    </w:p>
    <w:p w14:paraId="6CD96F47" w14:textId="49D75138" w:rsidR="00931E95" w:rsidRPr="0004233E" w:rsidRDefault="00931E95" w:rsidP="00313088">
      <w:pPr>
        <w:spacing w:after="240" w:line="360" w:lineRule="auto"/>
        <w:jc w:val="both"/>
        <w:rPr>
          <w:rFonts w:eastAsia="Times New Roman"/>
          <w:color w:val="000000" w:themeColor="text1"/>
        </w:rPr>
      </w:pPr>
      <w:r w:rsidRPr="0004233E">
        <w:rPr>
          <w:rFonts w:eastAsia="Times New Roman"/>
          <w:color w:val="000000" w:themeColor="text1"/>
        </w:rPr>
        <w:t xml:space="preserve">Weaver, C. (2009). </w:t>
      </w:r>
      <w:r w:rsidRPr="0004233E">
        <w:rPr>
          <w:rFonts w:eastAsia="Times New Roman"/>
          <w:i/>
          <w:iCs/>
          <w:color w:val="000000" w:themeColor="text1"/>
        </w:rPr>
        <w:t xml:space="preserve">Hypocrisy Trap: The World Bank and the </w:t>
      </w:r>
      <w:r w:rsidR="000A4F7D" w:rsidRPr="0004233E">
        <w:rPr>
          <w:rFonts w:eastAsia="Times New Roman"/>
          <w:i/>
          <w:iCs/>
          <w:color w:val="000000" w:themeColor="text1"/>
        </w:rPr>
        <w:t xml:space="preserve">Poverty </w:t>
      </w:r>
      <w:r w:rsidRPr="0004233E">
        <w:rPr>
          <w:rFonts w:eastAsia="Times New Roman"/>
          <w:i/>
          <w:iCs/>
          <w:color w:val="000000" w:themeColor="text1"/>
        </w:rPr>
        <w:t xml:space="preserve">of </w:t>
      </w:r>
      <w:r w:rsidR="000A4F7D" w:rsidRPr="0004233E">
        <w:rPr>
          <w:rFonts w:eastAsia="Times New Roman"/>
          <w:i/>
          <w:iCs/>
          <w:color w:val="000000" w:themeColor="text1"/>
        </w:rPr>
        <w:t>Reform</w:t>
      </w:r>
      <w:r w:rsidRPr="0004233E">
        <w:rPr>
          <w:rFonts w:eastAsia="Times New Roman"/>
          <w:color w:val="000000" w:themeColor="text1"/>
        </w:rPr>
        <w:t>. Princeton, NJ: Princeton University Press.</w:t>
      </w:r>
    </w:p>
    <w:p w14:paraId="71A0614F" w14:textId="5B048175" w:rsidR="004A7DD9" w:rsidRDefault="004A7DD9" w:rsidP="00313088">
      <w:pPr>
        <w:spacing w:after="240" w:line="360" w:lineRule="auto"/>
        <w:jc w:val="both"/>
        <w:rPr>
          <w:rFonts w:eastAsia="Times New Roman"/>
          <w:color w:val="000000" w:themeColor="text1"/>
        </w:rPr>
      </w:pPr>
      <w:r w:rsidRPr="0004233E">
        <w:rPr>
          <w:rFonts w:eastAsia="Times New Roman"/>
          <w:color w:val="000000" w:themeColor="text1"/>
        </w:rPr>
        <w:t>Wedeen, L. (2010)</w:t>
      </w:r>
      <w:r w:rsidR="000D47AC" w:rsidRPr="0004233E">
        <w:rPr>
          <w:rFonts w:eastAsia="Times New Roman"/>
          <w:color w:val="000000" w:themeColor="text1"/>
        </w:rPr>
        <w:t>.</w:t>
      </w:r>
      <w:r w:rsidRPr="0004233E">
        <w:rPr>
          <w:rFonts w:eastAsia="Times New Roman"/>
          <w:color w:val="000000" w:themeColor="text1"/>
        </w:rPr>
        <w:t xml:space="preserve"> </w:t>
      </w:r>
      <w:r w:rsidR="00442297">
        <w:rPr>
          <w:rFonts w:eastAsia="Times New Roman"/>
          <w:color w:val="000000" w:themeColor="text1"/>
        </w:rPr>
        <w:t>‘</w:t>
      </w:r>
      <w:r w:rsidRPr="0004233E">
        <w:rPr>
          <w:rFonts w:eastAsia="Times New Roman"/>
          <w:color w:val="000000" w:themeColor="text1"/>
        </w:rPr>
        <w:t>Reflections on ethnographic work in political science.</w:t>
      </w:r>
      <w:r w:rsidR="00442297">
        <w:rPr>
          <w:rFonts w:eastAsia="Times New Roman"/>
          <w:color w:val="000000" w:themeColor="text1"/>
        </w:rPr>
        <w:t>’</w:t>
      </w:r>
      <w:r w:rsidR="00D708D0" w:rsidRPr="0004233E">
        <w:rPr>
          <w:rFonts w:eastAsia="Times New Roman"/>
          <w:color w:val="000000" w:themeColor="text1"/>
        </w:rPr>
        <w:t xml:space="preserve"> </w:t>
      </w:r>
      <w:r w:rsidRPr="0004233E">
        <w:rPr>
          <w:rFonts w:eastAsia="Times New Roman"/>
          <w:i/>
          <w:iCs/>
          <w:color w:val="000000" w:themeColor="text1"/>
        </w:rPr>
        <w:t>Annual Review of Political Science,</w:t>
      </w:r>
      <w:r w:rsidR="000A4F7D" w:rsidRPr="0004233E">
        <w:rPr>
          <w:rFonts w:eastAsia="Times New Roman"/>
          <w:color w:val="000000" w:themeColor="text1"/>
        </w:rPr>
        <w:t xml:space="preserve"> </w:t>
      </w:r>
      <w:r w:rsidRPr="0004233E">
        <w:rPr>
          <w:rFonts w:eastAsia="Times New Roman"/>
          <w:color w:val="000000" w:themeColor="text1"/>
        </w:rPr>
        <w:t>13</w:t>
      </w:r>
      <w:r w:rsidR="00013E2F">
        <w:rPr>
          <w:rFonts w:eastAsia="Times New Roman"/>
          <w:color w:val="000000" w:themeColor="text1"/>
        </w:rPr>
        <w:t>:</w:t>
      </w:r>
      <w:r w:rsidRPr="0004233E">
        <w:rPr>
          <w:rFonts w:eastAsia="Times New Roman"/>
          <w:color w:val="000000" w:themeColor="text1"/>
        </w:rPr>
        <w:t xml:space="preserve"> 255-272. </w:t>
      </w:r>
    </w:p>
    <w:p w14:paraId="768CB0C5" w14:textId="3CED1C9B" w:rsidR="00AB678B" w:rsidRPr="00AB678B" w:rsidRDefault="00AB678B" w:rsidP="00313088">
      <w:pPr>
        <w:spacing w:after="240" w:line="360" w:lineRule="auto"/>
        <w:jc w:val="both"/>
        <w:rPr>
          <w:rFonts w:eastAsia="Times New Roman"/>
          <w:color w:val="000000" w:themeColor="text1"/>
        </w:rPr>
      </w:pPr>
      <w:r>
        <w:rPr>
          <w:rFonts w:eastAsia="Times New Roman"/>
          <w:color w:val="000000" w:themeColor="text1"/>
        </w:rPr>
        <w:t xml:space="preserve">Whyte, W. F. (1993) [1943]. </w:t>
      </w:r>
      <w:r w:rsidR="00013E2F">
        <w:rPr>
          <w:rFonts w:eastAsia="Times New Roman"/>
          <w:i/>
          <w:color w:val="000000" w:themeColor="text1"/>
        </w:rPr>
        <w:t>Street C</w:t>
      </w:r>
      <w:r>
        <w:rPr>
          <w:rFonts w:eastAsia="Times New Roman"/>
          <w:i/>
          <w:color w:val="000000" w:themeColor="text1"/>
        </w:rPr>
        <w:t xml:space="preserve">orner Society. </w:t>
      </w:r>
      <w:r>
        <w:rPr>
          <w:rFonts w:eastAsia="Times New Roman"/>
          <w:color w:val="000000" w:themeColor="text1"/>
        </w:rPr>
        <w:t>4</w:t>
      </w:r>
      <w:r w:rsidRPr="00AB678B">
        <w:rPr>
          <w:rFonts w:eastAsia="Times New Roman"/>
          <w:color w:val="000000" w:themeColor="text1"/>
          <w:vertAlign w:val="superscript"/>
        </w:rPr>
        <w:t>th</w:t>
      </w:r>
      <w:r>
        <w:rPr>
          <w:rFonts w:eastAsia="Times New Roman"/>
          <w:color w:val="000000" w:themeColor="text1"/>
        </w:rPr>
        <w:t xml:space="preserve"> edition. Chicago: Chicago University Press. </w:t>
      </w:r>
    </w:p>
    <w:p w14:paraId="03803208" w14:textId="56E7433D" w:rsidR="0004233E" w:rsidRDefault="00D852B9" w:rsidP="00313088">
      <w:pPr>
        <w:spacing w:after="120" w:line="360" w:lineRule="auto"/>
      </w:pPr>
      <w:r w:rsidRPr="0004233E">
        <w:rPr>
          <w:shd w:val="clear" w:color="auto" w:fill="FFFFFF"/>
        </w:rPr>
        <w:t>Wolcott, H. F. (1995)</w:t>
      </w:r>
      <w:r w:rsidR="000D47AC" w:rsidRPr="0004233E">
        <w:rPr>
          <w:shd w:val="clear" w:color="auto" w:fill="FFFFFF"/>
        </w:rPr>
        <w:t>.</w:t>
      </w:r>
      <w:r w:rsidRPr="0004233E">
        <w:rPr>
          <w:shd w:val="clear" w:color="auto" w:fill="FFFFFF"/>
        </w:rPr>
        <w:t xml:space="preserve"> </w:t>
      </w:r>
      <w:r w:rsidRPr="0004233E">
        <w:rPr>
          <w:i/>
          <w:iCs/>
          <w:shd w:val="clear" w:color="auto" w:fill="FFFFFF"/>
        </w:rPr>
        <w:t>The Art of Fieldwork</w:t>
      </w:r>
      <w:r w:rsidR="00013E2F">
        <w:rPr>
          <w:i/>
          <w:iCs/>
          <w:shd w:val="clear" w:color="auto" w:fill="FFFFFF"/>
        </w:rPr>
        <w:t>.</w:t>
      </w:r>
      <w:r w:rsidRPr="0004233E">
        <w:rPr>
          <w:shd w:val="clear" w:color="auto" w:fill="FFFFFF"/>
        </w:rPr>
        <w:t xml:space="preserve"> Walnut Creek, CA: Altamira Press.</w:t>
      </w:r>
      <w:r w:rsidR="00D708D0" w:rsidRPr="0004233E">
        <w:t>Wood, Elizabeth J. (2007)</w:t>
      </w:r>
      <w:r w:rsidR="000D47AC" w:rsidRPr="0004233E">
        <w:t>.</w:t>
      </w:r>
      <w:r w:rsidR="00D708D0" w:rsidRPr="0004233E">
        <w:t xml:space="preserve"> ‘Field Research’ in Carles Boix and Susan C. Stokes (Eds.), The Oxford Handbook of Comparative Politics Oxford: Oxford University Press 123-46. </w:t>
      </w:r>
    </w:p>
    <w:p w14:paraId="5768F149" w14:textId="77831F00" w:rsidR="003C1BBA" w:rsidRPr="004D0A22" w:rsidRDefault="003C1BBA" w:rsidP="00313088">
      <w:pPr>
        <w:spacing w:line="360" w:lineRule="auto"/>
        <w:rPr>
          <w:i/>
        </w:rPr>
      </w:pPr>
      <w:r>
        <w:rPr>
          <w:color w:val="000000" w:themeColor="text1"/>
        </w:rPr>
        <w:br w:type="page"/>
      </w:r>
    </w:p>
    <w:p w14:paraId="23802B11" w14:textId="77777777" w:rsidR="003C1BBA" w:rsidRPr="000D47AC" w:rsidRDefault="003C1BBA" w:rsidP="00313088">
      <w:pPr>
        <w:spacing w:after="240" w:line="276" w:lineRule="auto"/>
        <w:rPr>
          <w:b/>
          <w:bCs/>
        </w:rPr>
      </w:pPr>
      <w:r w:rsidRPr="000D47AC">
        <w:rPr>
          <w:b/>
          <w:bCs/>
        </w:rPr>
        <w:lastRenderedPageBreak/>
        <w:t>Table 1: Bricolage</w:t>
      </w:r>
    </w:p>
    <w:tbl>
      <w:tblPr>
        <w:tblStyle w:val="TableGrid"/>
        <w:tblW w:w="0" w:type="auto"/>
        <w:tblLook w:val="04A0" w:firstRow="1" w:lastRow="0" w:firstColumn="1" w:lastColumn="0" w:noHBand="0" w:noVBand="1"/>
      </w:tblPr>
      <w:tblGrid>
        <w:gridCol w:w="1630"/>
        <w:gridCol w:w="2236"/>
        <w:gridCol w:w="2236"/>
        <w:gridCol w:w="2414"/>
      </w:tblGrid>
      <w:tr w:rsidR="003C1BBA" w:rsidRPr="000D47AC" w14:paraId="08534707"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0700F18A" w14:textId="77777777" w:rsidR="003C1BBA" w:rsidRPr="000D47AC" w:rsidRDefault="003C1BBA" w:rsidP="00313088">
            <w:pPr>
              <w:spacing w:after="120" w:line="276" w:lineRule="auto"/>
              <w:rPr>
                <w:b/>
                <w:bCs/>
                <w:lang w:val="en-US"/>
              </w:rPr>
            </w:pPr>
            <w:r w:rsidRPr="000D47AC">
              <w:rPr>
                <w:b/>
                <w:bCs/>
                <w:lang w:val="en-US"/>
              </w:rPr>
              <w:t>Ethnographic methods</w:t>
            </w:r>
          </w:p>
        </w:tc>
        <w:tc>
          <w:tcPr>
            <w:tcW w:w="2268" w:type="dxa"/>
            <w:tcBorders>
              <w:top w:val="single" w:sz="4" w:space="0" w:color="auto"/>
              <w:left w:val="single" w:sz="4" w:space="0" w:color="auto"/>
              <w:bottom w:val="single" w:sz="4" w:space="0" w:color="auto"/>
              <w:right w:val="single" w:sz="4" w:space="0" w:color="auto"/>
            </w:tcBorders>
            <w:hideMark/>
          </w:tcPr>
          <w:p w14:paraId="4A3EDDC0" w14:textId="77777777" w:rsidR="003C1BBA" w:rsidRPr="000D47AC" w:rsidRDefault="003C1BBA" w:rsidP="00313088">
            <w:pPr>
              <w:spacing w:after="120" w:line="276" w:lineRule="auto"/>
              <w:rPr>
                <w:b/>
                <w:bCs/>
                <w:lang w:val="en-US"/>
              </w:rPr>
            </w:pPr>
            <w:r w:rsidRPr="000D47AC">
              <w:rPr>
                <w:b/>
                <w:bCs/>
                <w:lang w:val="en-US"/>
              </w:rPr>
              <w:t>Definition</w:t>
            </w:r>
          </w:p>
        </w:tc>
        <w:tc>
          <w:tcPr>
            <w:tcW w:w="2268" w:type="dxa"/>
            <w:tcBorders>
              <w:top w:val="single" w:sz="4" w:space="0" w:color="auto"/>
              <w:left w:val="single" w:sz="4" w:space="0" w:color="auto"/>
              <w:bottom w:val="single" w:sz="4" w:space="0" w:color="auto"/>
              <w:right w:val="single" w:sz="4" w:space="0" w:color="auto"/>
            </w:tcBorders>
            <w:hideMark/>
          </w:tcPr>
          <w:p w14:paraId="68CDE571" w14:textId="77777777" w:rsidR="003C1BBA" w:rsidRPr="000D47AC" w:rsidRDefault="003C1BBA" w:rsidP="00313088">
            <w:pPr>
              <w:spacing w:after="120" w:line="276" w:lineRule="auto"/>
              <w:rPr>
                <w:b/>
                <w:bCs/>
                <w:lang w:val="en-US"/>
              </w:rPr>
            </w:pPr>
            <w:r w:rsidRPr="000D47AC">
              <w:rPr>
                <w:b/>
                <w:bCs/>
                <w:lang w:val="en-US"/>
              </w:rPr>
              <w:t>Potential data sources</w:t>
            </w:r>
          </w:p>
        </w:tc>
        <w:tc>
          <w:tcPr>
            <w:tcW w:w="2454" w:type="dxa"/>
            <w:tcBorders>
              <w:top w:val="single" w:sz="4" w:space="0" w:color="auto"/>
              <w:left w:val="single" w:sz="4" w:space="0" w:color="auto"/>
              <w:bottom w:val="single" w:sz="4" w:space="0" w:color="auto"/>
              <w:right w:val="single" w:sz="4" w:space="0" w:color="auto"/>
            </w:tcBorders>
            <w:hideMark/>
          </w:tcPr>
          <w:p w14:paraId="3DE7FFF6" w14:textId="77777777" w:rsidR="003C1BBA" w:rsidRPr="000D47AC" w:rsidRDefault="003C1BBA" w:rsidP="00313088">
            <w:pPr>
              <w:spacing w:after="120" w:line="276" w:lineRule="auto"/>
              <w:rPr>
                <w:b/>
                <w:bCs/>
                <w:lang w:val="en-US"/>
              </w:rPr>
            </w:pPr>
            <w:r w:rsidRPr="000D47AC">
              <w:rPr>
                <w:b/>
                <w:bCs/>
                <w:lang w:val="en-US"/>
              </w:rPr>
              <w:t>Model</w:t>
            </w:r>
          </w:p>
        </w:tc>
      </w:tr>
      <w:tr w:rsidR="003C1BBA" w:rsidRPr="000D47AC" w14:paraId="15D1C5C9"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7DD89608" w14:textId="77777777" w:rsidR="003C1BBA" w:rsidRPr="000D47AC" w:rsidRDefault="003C1BBA" w:rsidP="00313088">
            <w:pPr>
              <w:spacing w:after="120" w:line="276" w:lineRule="auto"/>
              <w:rPr>
                <w:b/>
                <w:bCs/>
                <w:lang w:val="en-US"/>
              </w:rPr>
            </w:pPr>
            <w:r w:rsidRPr="000D47AC">
              <w:rPr>
                <w:b/>
                <w:bCs/>
                <w:lang w:val="en-US"/>
              </w:rPr>
              <w:t>Hit-and-run fieldwork</w:t>
            </w:r>
          </w:p>
        </w:tc>
        <w:tc>
          <w:tcPr>
            <w:tcW w:w="2268" w:type="dxa"/>
            <w:tcBorders>
              <w:top w:val="single" w:sz="4" w:space="0" w:color="auto"/>
              <w:left w:val="single" w:sz="4" w:space="0" w:color="auto"/>
              <w:bottom w:val="single" w:sz="4" w:space="0" w:color="auto"/>
              <w:right w:val="single" w:sz="4" w:space="0" w:color="auto"/>
            </w:tcBorders>
            <w:hideMark/>
          </w:tcPr>
          <w:p w14:paraId="79009D79" w14:textId="77777777" w:rsidR="003C1BBA" w:rsidRPr="000D47AC" w:rsidRDefault="003C1BBA" w:rsidP="00313088">
            <w:pPr>
              <w:spacing w:after="120" w:line="276" w:lineRule="auto"/>
              <w:rPr>
                <w:lang w:val="en-US"/>
              </w:rPr>
            </w:pPr>
            <w:r w:rsidRPr="000D47AC">
              <w:rPr>
                <w:lang w:val="en-US"/>
              </w:rPr>
              <w:t xml:space="preserve">Repeated, short bursts of intensive observation as researchers move in-and-out of the field </w:t>
            </w:r>
          </w:p>
        </w:tc>
        <w:tc>
          <w:tcPr>
            <w:tcW w:w="2268" w:type="dxa"/>
            <w:tcBorders>
              <w:top w:val="single" w:sz="4" w:space="0" w:color="auto"/>
              <w:left w:val="single" w:sz="4" w:space="0" w:color="auto"/>
              <w:bottom w:val="single" w:sz="4" w:space="0" w:color="auto"/>
              <w:right w:val="single" w:sz="4" w:space="0" w:color="auto"/>
            </w:tcBorders>
            <w:hideMark/>
          </w:tcPr>
          <w:p w14:paraId="27A632CE" w14:textId="77777777" w:rsidR="003C1BBA" w:rsidRPr="000D47AC" w:rsidRDefault="003C1BBA" w:rsidP="00313088">
            <w:pPr>
              <w:spacing w:after="120" w:line="276" w:lineRule="auto"/>
              <w:rPr>
                <w:lang w:val="en-US"/>
              </w:rPr>
            </w:pPr>
            <w:r w:rsidRPr="000D47AC">
              <w:rPr>
                <w:lang w:val="en-US"/>
              </w:rPr>
              <w:t>Legislatures, constituency offices, campaign events</w:t>
            </w:r>
          </w:p>
        </w:tc>
        <w:tc>
          <w:tcPr>
            <w:tcW w:w="2454" w:type="dxa"/>
            <w:tcBorders>
              <w:top w:val="single" w:sz="4" w:space="0" w:color="auto"/>
              <w:left w:val="single" w:sz="4" w:space="0" w:color="auto"/>
              <w:bottom w:val="single" w:sz="4" w:space="0" w:color="auto"/>
              <w:right w:val="single" w:sz="4" w:space="0" w:color="auto"/>
            </w:tcBorders>
            <w:hideMark/>
          </w:tcPr>
          <w:p w14:paraId="2DF7C874" w14:textId="77777777" w:rsidR="003C1BBA" w:rsidRPr="000D47AC" w:rsidRDefault="003C1BBA" w:rsidP="00313088">
            <w:pPr>
              <w:spacing w:after="120" w:line="276" w:lineRule="auto"/>
              <w:rPr>
                <w:lang w:val="en-US"/>
              </w:rPr>
            </w:pPr>
            <w:r w:rsidRPr="000D47AC">
              <w:rPr>
                <w:lang w:val="en-US"/>
              </w:rPr>
              <w:t xml:space="preserve">Rhodes’s (2011) </w:t>
            </w:r>
            <w:r w:rsidRPr="000D47AC">
              <w:rPr>
                <w:i/>
                <w:iCs/>
                <w:lang w:val="en-US"/>
              </w:rPr>
              <w:t>Everyday Life in British Government</w:t>
            </w:r>
            <w:r w:rsidRPr="000D47AC">
              <w:rPr>
                <w:lang w:val="en-US"/>
              </w:rPr>
              <w:t xml:space="preserve">; Crewe’s (2015) </w:t>
            </w:r>
            <w:r w:rsidRPr="000D47AC">
              <w:rPr>
                <w:i/>
                <w:iCs/>
                <w:lang w:val="en-US"/>
              </w:rPr>
              <w:t>The House of Commons</w:t>
            </w:r>
          </w:p>
        </w:tc>
      </w:tr>
      <w:tr w:rsidR="003C1BBA" w:rsidRPr="000D47AC" w14:paraId="6AB70514"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2B9D79FA" w14:textId="77777777" w:rsidR="003C1BBA" w:rsidRPr="000D47AC" w:rsidRDefault="003C1BBA" w:rsidP="00313088">
            <w:pPr>
              <w:spacing w:after="120" w:line="276" w:lineRule="auto"/>
              <w:rPr>
                <w:b/>
                <w:bCs/>
                <w:lang w:val="en-US"/>
              </w:rPr>
            </w:pPr>
            <w:r w:rsidRPr="000D47AC">
              <w:rPr>
                <w:b/>
                <w:bCs/>
                <w:lang w:val="en-US"/>
              </w:rPr>
              <w:t>Ethnographic interviewing</w:t>
            </w:r>
          </w:p>
        </w:tc>
        <w:tc>
          <w:tcPr>
            <w:tcW w:w="2268" w:type="dxa"/>
            <w:tcBorders>
              <w:top w:val="single" w:sz="4" w:space="0" w:color="auto"/>
              <w:left w:val="single" w:sz="4" w:space="0" w:color="auto"/>
              <w:bottom w:val="single" w:sz="4" w:space="0" w:color="auto"/>
              <w:right w:val="single" w:sz="4" w:space="0" w:color="auto"/>
            </w:tcBorders>
            <w:hideMark/>
          </w:tcPr>
          <w:p w14:paraId="535D2A03" w14:textId="77777777" w:rsidR="003C1BBA" w:rsidRPr="000D47AC" w:rsidRDefault="003C1BBA" w:rsidP="00313088">
            <w:pPr>
              <w:spacing w:after="120" w:line="276" w:lineRule="auto"/>
              <w:rPr>
                <w:lang w:val="en-US"/>
              </w:rPr>
            </w:pPr>
            <w:r w:rsidRPr="000D47AC">
              <w:rPr>
                <w:lang w:val="en-US"/>
              </w:rPr>
              <w:t xml:space="preserve">Repeated, semi-structured and unstructured interviews with the same participant </w:t>
            </w:r>
          </w:p>
        </w:tc>
        <w:tc>
          <w:tcPr>
            <w:tcW w:w="2268" w:type="dxa"/>
            <w:tcBorders>
              <w:top w:val="single" w:sz="4" w:space="0" w:color="auto"/>
              <w:left w:val="single" w:sz="4" w:space="0" w:color="auto"/>
              <w:bottom w:val="single" w:sz="4" w:space="0" w:color="auto"/>
              <w:right w:val="single" w:sz="4" w:space="0" w:color="auto"/>
            </w:tcBorders>
            <w:hideMark/>
          </w:tcPr>
          <w:p w14:paraId="382185CA" w14:textId="77777777" w:rsidR="003C1BBA" w:rsidRPr="000D47AC" w:rsidRDefault="003C1BBA" w:rsidP="00313088">
            <w:pPr>
              <w:spacing w:after="120" w:line="276" w:lineRule="auto"/>
              <w:rPr>
                <w:lang w:val="en-US"/>
              </w:rPr>
            </w:pPr>
            <w:r w:rsidRPr="000D47AC">
              <w:rPr>
                <w:lang w:val="en-US"/>
              </w:rPr>
              <w:t>Recently retired politicians and public officials</w:t>
            </w:r>
          </w:p>
        </w:tc>
        <w:tc>
          <w:tcPr>
            <w:tcW w:w="2454" w:type="dxa"/>
            <w:tcBorders>
              <w:top w:val="single" w:sz="4" w:space="0" w:color="auto"/>
              <w:left w:val="single" w:sz="4" w:space="0" w:color="auto"/>
              <w:bottom w:val="single" w:sz="4" w:space="0" w:color="auto"/>
              <w:right w:val="single" w:sz="4" w:space="0" w:color="auto"/>
            </w:tcBorders>
            <w:hideMark/>
          </w:tcPr>
          <w:p w14:paraId="791661E8" w14:textId="77777777" w:rsidR="003C1BBA" w:rsidRPr="000D47AC" w:rsidRDefault="003C1BBA" w:rsidP="00313088">
            <w:pPr>
              <w:spacing w:after="120" w:line="276" w:lineRule="auto"/>
              <w:rPr>
                <w:lang w:val="en-US"/>
              </w:rPr>
            </w:pPr>
            <w:r w:rsidRPr="000D47AC">
              <w:rPr>
                <w:lang w:val="en-US"/>
              </w:rPr>
              <w:t xml:space="preserve">Reeher’s (2006) </w:t>
            </w:r>
            <w:r w:rsidRPr="000D47AC">
              <w:rPr>
                <w:i/>
                <w:iCs/>
                <w:lang w:val="en-US"/>
              </w:rPr>
              <w:t>First Person Political</w:t>
            </w:r>
          </w:p>
        </w:tc>
      </w:tr>
      <w:tr w:rsidR="003C1BBA" w:rsidRPr="000D47AC" w14:paraId="25F7A7A1"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0A4ABD97" w14:textId="77777777" w:rsidR="003C1BBA" w:rsidRPr="000D47AC" w:rsidRDefault="003C1BBA" w:rsidP="00313088">
            <w:pPr>
              <w:spacing w:after="120" w:line="276" w:lineRule="auto"/>
              <w:rPr>
                <w:b/>
                <w:bCs/>
                <w:lang w:val="en-US"/>
              </w:rPr>
            </w:pPr>
            <w:r w:rsidRPr="000D47AC">
              <w:rPr>
                <w:b/>
                <w:bCs/>
                <w:lang w:val="en-US"/>
              </w:rPr>
              <w:t>Memoirs</w:t>
            </w:r>
          </w:p>
        </w:tc>
        <w:tc>
          <w:tcPr>
            <w:tcW w:w="2268" w:type="dxa"/>
            <w:tcBorders>
              <w:top w:val="single" w:sz="4" w:space="0" w:color="auto"/>
              <w:left w:val="single" w:sz="4" w:space="0" w:color="auto"/>
              <w:bottom w:val="single" w:sz="4" w:space="0" w:color="auto"/>
              <w:right w:val="single" w:sz="4" w:space="0" w:color="auto"/>
            </w:tcBorders>
            <w:hideMark/>
          </w:tcPr>
          <w:p w14:paraId="7057FDDA" w14:textId="77777777" w:rsidR="003C1BBA" w:rsidRPr="000D47AC" w:rsidRDefault="003C1BBA" w:rsidP="00313088">
            <w:pPr>
              <w:spacing w:after="120" w:line="276" w:lineRule="auto"/>
              <w:rPr>
                <w:lang w:val="en-US"/>
              </w:rPr>
            </w:pPr>
            <w:r w:rsidRPr="000D47AC">
              <w:rPr>
                <w:lang w:val="en-US"/>
              </w:rPr>
              <w:t xml:space="preserve">First-person reflections on governing </w:t>
            </w:r>
          </w:p>
        </w:tc>
        <w:tc>
          <w:tcPr>
            <w:tcW w:w="2268" w:type="dxa"/>
            <w:tcBorders>
              <w:top w:val="single" w:sz="4" w:space="0" w:color="auto"/>
              <w:left w:val="single" w:sz="4" w:space="0" w:color="auto"/>
              <w:bottom w:val="single" w:sz="4" w:space="0" w:color="auto"/>
              <w:right w:val="single" w:sz="4" w:space="0" w:color="auto"/>
            </w:tcBorders>
            <w:hideMark/>
          </w:tcPr>
          <w:p w14:paraId="7AB296A4" w14:textId="77777777" w:rsidR="003C1BBA" w:rsidRPr="000D47AC" w:rsidRDefault="003C1BBA" w:rsidP="00313088">
            <w:pPr>
              <w:spacing w:after="120" w:line="276" w:lineRule="auto"/>
              <w:rPr>
                <w:lang w:val="en-US"/>
              </w:rPr>
            </w:pPr>
            <w:r w:rsidRPr="000D47AC">
              <w:rPr>
                <w:lang w:val="en-US"/>
              </w:rPr>
              <w:t>Auto-biographies and authorized biographies; radio and television interviews</w:t>
            </w:r>
          </w:p>
        </w:tc>
        <w:tc>
          <w:tcPr>
            <w:tcW w:w="2454" w:type="dxa"/>
            <w:tcBorders>
              <w:top w:val="single" w:sz="4" w:space="0" w:color="auto"/>
              <w:left w:val="single" w:sz="4" w:space="0" w:color="auto"/>
              <w:bottom w:val="single" w:sz="4" w:space="0" w:color="auto"/>
              <w:right w:val="single" w:sz="4" w:space="0" w:color="auto"/>
            </w:tcBorders>
            <w:hideMark/>
          </w:tcPr>
          <w:p w14:paraId="304A1AEC" w14:textId="77777777" w:rsidR="003C1BBA" w:rsidRPr="000D47AC" w:rsidRDefault="003C1BBA" w:rsidP="00313088">
            <w:pPr>
              <w:spacing w:after="120" w:line="276" w:lineRule="auto"/>
              <w:rPr>
                <w:lang w:val="en-US"/>
              </w:rPr>
            </w:pPr>
            <w:r w:rsidRPr="000D47AC">
              <w:rPr>
                <w:lang w:val="en-US"/>
              </w:rPr>
              <w:t xml:space="preserve">Richards and Mathers’ (2010) </w:t>
            </w:r>
            <w:r w:rsidRPr="000D47AC">
              <w:rPr>
                <w:i/>
                <w:iCs/>
                <w:lang w:val="en-US"/>
              </w:rPr>
              <w:t xml:space="preserve">Political Memoirs and New Labour; </w:t>
            </w:r>
            <w:r w:rsidRPr="000D47AC">
              <w:rPr>
                <w:lang w:val="en-US"/>
              </w:rPr>
              <w:t xml:space="preserve">Corbett’s (2015) </w:t>
            </w:r>
            <w:r w:rsidRPr="000D47AC">
              <w:rPr>
                <w:i/>
                <w:iCs/>
                <w:lang w:val="en-US"/>
              </w:rPr>
              <w:t>Being Political</w:t>
            </w:r>
          </w:p>
        </w:tc>
      </w:tr>
      <w:tr w:rsidR="003C1BBA" w:rsidRPr="000D47AC" w14:paraId="1EB31A88"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28E68170" w14:textId="77777777" w:rsidR="003C1BBA" w:rsidRPr="000D47AC" w:rsidRDefault="003C1BBA" w:rsidP="00313088">
            <w:pPr>
              <w:spacing w:after="120" w:line="276" w:lineRule="auto"/>
              <w:rPr>
                <w:b/>
                <w:bCs/>
                <w:lang w:val="en-US"/>
              </w:rPr>
            </w:pPr>
            <w:r w:rsidRPr="000D47AC">
              <w:rPr>
                <w:b/>
                <w:bCs/>
                <w:lang w:val="en-US"/>
              </w:rPr>
              <w:t>Elite focus groups</w:t>
            </w:r>
          </w:p>
        </w:tc>
        <w:tc>
          <w:tcPr>
            <w:tcW w:w="2268" w:type="dxa"/>
            <w:tcBorders>
              <w:top w:val="single" w:sz="4" w:space="0" w:color="auto"/>
              <w:left w:val="single" w:sz="4" w:space="0" w:color="auto"/>
              <w:bottom w:val="single" w:sz="4" w:space="0" w:color="auto"/>
              <w:right w:val="single" w:sz="4" w:space="0" w:color="auto"/>
            </w:tcBorders>
            <w:hideMark/>
          </w:tcPr>
          <w:p w14:paraId="2E007723" w14:textId="77777777" w:rsidR="003C1BBA" w:rsidRPr="000D47AC" w:rsidRDefault="003C1BBA" w:rsidP="00313088">
            <w:pPr>
              <w:spacing w:after="120" w:line="276" w:lineRule="auto"/>
              <w:rPr>
                <w:lang w:val="en-US"/>
              </w:rPr>
            </w:pPr>
            <w:r w:rsidRPr="000D47AC">
              <w:rPr>
                <w:lang w:val="en-US"/>
              </w:rPr>
              <w:t xml:space="preserve">Group reflections that encourage elites to flesh out and challenge each other’s claims </w:t>
            </w:r>
          </w:p>
        </w:tc>
        <w:tc>
          <w:tcPr>
            <w:tcW w:w="2268" w:type="dxa"/>
            <w:tcBorders>
              <w:top w:val="single" w:sz="4" w:space="0" w:color="auto"/>
              <w:left w:val="single" w:sz="4" w:space="0" w:color="auto"/>
              <w:bottom w:val="single" w:sz="4" w:space="0" w:color="auto"/>
              <w:right w:val="single" w:sz="4" w:space="0" w:color="auto"/>
            </w:tcBorders>
            <w:hideMark/>
          </w:tcPr>
          <w:p w14:paraId="62E73E33" w14:textId="77777777" w:rsidR="003C1BBA" w:rsidRPr="000D47AC" w:rsidRDefault="003C1BBA" w:rsidP="00313088">
            <w:pPr>
              <w:spacing w:after="120" w:line="276" w:lineRule="auto"/>
              <w:rPr>
                <w:lang w:val="en-US"/>
              </w:rPr>
            </w:pPr>
            <w:r w:rsidRPr="000D47AC">
              <w:rPr>
                <w:lang w:val="en-US"/>
              </w:rPr>
              <w:t>Recently retired politicians and public officials</w:t>
            </w:r>
          </w:p>
        </w:tc>
        <w:tc>
          <w:tcPr>
            <w:tcW w:w="2454" w:type="dxa"/>
            <w:tcBorders>
              <w:top w:val="single" w:sz="4" w:space="0" w:color="auto"/>
              <w:left w:val="single" w:sz="4" w:space="0" w:color="auto"/>
              <w:bottom w:val="single" w:sz="4" w:space="0" w:color="auto"/>
              <w:right w:val="single" w:sz="4" w:space="0" w:color="auto"/>
            </w:tcBorders>
            <w:hideMark/>
          </w:tcPr>
          <w:p w14:paraId="5C4A051D" w14:textId="77777777" w:rsidR="003C1BBA" w:rsidRPr="000D47AC" w:rsidRDefault="003C1BBA" w:rsidP="00313088">
            <w:pPr>
              <w:spacing w:after="120" w:line="276" w:lineRule="auto"/>
              <w:rPr>
                <w:lang w:val="en-US"/>
              </w:rPr>
            </w:pPr>
            <w:r w:rsidRPr="000D47AC">
              <w:rPr>
                <w:lang w:val="en-US"/>
              </w:rPr>
              <w:t xml:space="preserve">Rhodes and Tiernan’s (2014) </w:t>
            </w:r>
            <w:r w:rsidRPr="000D47AC">
              <w:rPr>
                <w:i/>
                <w:iCs/>
                <w:lang w:val="en-US"/>
              </w:rPr>
              <w:t>Lessons of Governing</w:t>
            </w:r>
          </w:p>
        </w:tc>
      </w:tr>
      <w:tr w:rsidR="003C1BBA" w:rsidRPr="000D47AC" w14:paraId="4E3F56F8"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580D8396" w14:textId="77777777" w:rsidR="003C1BBA" w:rsidRPr="000D47AC" w:rsidRDefault="003C1BBA" w:rsidP="00313088">
            <w:pPr>
              <w:spacing w:after="120" w:line="276" w:lineRule="auto"/>
              <w:rPr>
                <w:b/>
                <w:bCs/>
                <w:lang w:val="en-US"/>
              </w:rPr>
            </w:pPr>
            <w:r w:rsidRPr="000D47AC">
              <w:rPr>
                <w:b/>
                <w:bCs/>
                <w:lang w:val="en-US"/>
              </w:rPr>
              <w:t>Para-ethnography</w:t>
            </w:r>
          </w:p>
        </w:tc>
        <w:tc>
          <w:tcPr>
            <w:tcW w:w="2268" w:type="dxa"/>
            <w:tcBorders>
              <w:top w:val="single" w:sz="4" w:space="0" w:color="auto"/>
              <w:left w:val="single" w:sz="4" w:space="0" w:color="auto"/>
              <w:bottom w:val="single" w:sz="4" w:space="0" w:color="auto"/>
              <w:right w:val="single" w:sz="4" w:space="0" w:color="auto"/>
            </w:tcBorders>
            <w:hideMark/>
          </w:tcPr>
          <w:p w14:paraId="197DE377" w14:textId="77777777" w:rsidR="003C1BBA" w:rsidRPr="000D47AC" w:rsidRDefault="003C1BBA" w:rsidP="00313088">
            <w:pPr>
              <w:spacing w:after="120" w:line="276" w:lineRule="auto"/>
              <w:rPr>
                <w:lang w:val="en-US"/>
              </w:rPr>
            </w:pPr>
            <w:r w:rsidRPr="000D47AC">
              <w:rPr>
                <w:lang w:val="en-US"/>
              </w:rPr>
              <w:t>An ethnographic interview focused around explaining a particular document or artefact (see Holmes and Markus 2005)</w:t>
            </w:r>
          </w:p>
        </w:tc>
        <w:tc>
          <w:tcPr>
            <w:tcW w:w="2268" w:type="dxa"/>
            <w:tcBorders>
              <w:top w:val="single" w:sz="4" w:space="0" w:color="auto"/>
              <w:left w:val="single" w:sz="4" w:space="0" w:color="auto"/>
              <w:bottom w:val="single" w:sz="4" w:space="0" w:color="auto"/>
              <w:right w:val="single" w:sz="4" w:space="0" w:color="auto"/>
            </w:tcBorders>
            <w:hideMark/>
          </w:tcPr>
          <w:p w14:paraId="0D8C1B22" w14:textId="77777777" w:rsidR="003C1BBA" w:rsidRPr="000D47AC" w:rsidRDefault="003C1BBA" w:rsidP="00313088">
            <w:pPr>
              <w:spacing w:after="120" w:line="276" w:lineRule="auto"/>
              <w:rPr>
                <w:lang w:val="en-US"/>
              </w:rPr>
            </w:pPr>
            <w:r w:rsidRPr="000D47AC">
              <w:rPr>
                <w:lang w:val="en-US"/>
              </w:rPr>
              <w:t xml:space="preserve">Focused on particular legislative documents, departmental files </w:t>
            </w:r>
          </w:p>
        </w:tc>
        <w:tc>
          <w:tcPr>
            <w:tcW w:w="2454" w:type="dxa"/>
            <w:tcBorders>
              <w:top w:val="single" w:sz="4" w:space="0" w:color="auto"/>
              <w:left w:val="single" w:sz="4" w:space="0" w:color="auto"/>
              <w:bottom w:val="single" w:sz="4" w:space="0" w:color="auto"/>
              <w:right w:val="single" w:sz="4" w:space="0" w:color="auto"/>
            </w:tcBorders>
            <w:hideMark/>
          </w:tcPr>
          <w:p w14:paraId="52F9A517" w14:textId="77777777" w:rsidR="003C1BBA" w:rsidRPr="000D47AC" w:rsidRDefault="003C1BBA" w:rsidP="00313088">
            <w:pPr>
              <w:spacing w:after="120" w:line="276" w:lineRule="auto"/>
              <w:rPr>
                <w:lang w:val="en-US"/>
              </w:rPr>
            </w:pPr>
            <w:r w:rsidRPr="000D47AC">
              <w:rPr>
                <w:lang w:val="en-US"/>
              </w:rPr>
              <w:t xml:space="preserve">Novel in political science </w:t>
            </w:r>
          </w:p>
        </w:tc>
      </w:tr>
      <w:tr w:rsidR="003C1BBA" w:rsidRPr="000D47AC" w14:paraId="4084A600" w14:textId="77777777" w:rsidTr="00272D4E">
        <w:tc>
          <w:tcPr>
            <w:tcW w:w="1526" w:type="dxa"/>
            <w:tcBorders>
              <w:top w:val="single" w:sz="4" w:space="0" w:color="auto"/>
              <w:left w:val="single" w:sz="4" w:space="0" w:color="auto"/>
              <w:bottom w:val="single" w:sz="4" w:space="0" w:color="auto"/>
              <w:right w:val="single" w:sz="4" w:space="0" w:color="auto"/>
            </w:tcBorders>
            <w:hideMark/>
          </w:tcPr>
          <w:p w14:paraId="6EF84C58" w14:textId="77777777" w:rsidR="003C1BBA" w:rsidRPr="000D47AC" w:rsidRDefault="003C1BBA" w:rsidP="00313088">
            <w:pPr>
              <w:spacing w:after="120" w:line="276" w:lineRule="auto"/>
              <w:rPr>
                <w:b/>
                <w:bCs/>
                <w:lang w:val="en-US"/>
              </w:rPr>
            </w:pPr>
            <w:r w:rsidRPr="000D47AC">
              <w:rPr>
                <w:b/>
                <w:bCs/>
                <w:lang w:val="en-US"/>
              </w:rPr>
              <w:t>Visual ethnography</w:t>
            </w:r>
          </w:p>
        </w:tc>
        <w:tc>
          <w:tcPr>
            <w:tcW w:w="2268" w:type="dxa"/>
            <w:tcBorders>
              <w:top w:val="single" w:sz="4" w:space="0" w:color="auto"/>
              <w:left w:val="single" w:sz="4" w:space="0" w:color="auto"/>
              <w:bottom w:val="single" w:sz="4" w:space="0" w:color="auto"/>
              <w:right w:val="single" w:sz="4" w:space="0" w:color="auto"/>
            </w:tcBorders>
            <w:hideMark/>
          </w:tcPr>
          <w:p w14:paraId="4695CD85" w14:textId="77777777" w:rsidR="003C1BBA" w:rsidRPr="000D47AC" w:rsidRDefault="003C1BBA" w:rsidP="00313088">
            <w:pPr>
              <w:spacing w:after="120" w:line="276" w:lineRule="auto"/>
              <w:rPr>
                <w:lang w:val="en-US"/>
              </w:rPr>
            </w:pPr>
            <w:r w:rsidRPr="000D47AC">
              <w:rPr>
                <w:lang w:val="en-US"/>
              </w:rPr>
              <w:t>Using video recordings as a form of remote observation (see Pink 2013)</w:t>
            </w:r>
          </w:p>
        </w:tc>
        <w:tc>
          <w:tcPr>
            <w:tcW w:w="2268" w:type="dxa"/>
            <w:tcBorders>
              <w:top w:val="single" w:sz="4" w:space="0" w:color="auto"/>
              <w:left w:val="single" w:sz="4" w:space="0" w:color="auto"/>
              <w:bottom w:val="single" w:sz="4" w:space="0" w:color="auto"/>
              <w:right w:val="single" w:sz="4" w:space="0" w:color="auto"/>
            </w:tcBorders>
            <w:hideMark/>
          </w:tcPr>
          <w:p w14:paraId="7BFA4366" w14:textId="77777777" w:rsidR="003C1BBA" w:rsidRPr="000D47AC" w:rsidRDefault="003C1BBA" w:rsidP="00313088">
            <w:pPr>
              <w:spacing w:after="120" w:line="276" w:lineRule="auto"/>
              <w:rPr>
                <w:lang w:val="en-US"/>
              </w:rPr>
            </w:pPr>
            <w:r w:rsidRPr="000D47AC">
              <w:rPr>
                <w:lang w:val="en-US"/>
              </w:rPr>
              <w:t>C-SPAN (and similar footage elsewhere); press conferences, parliament live</w:t>
            </w:r>
          </w:p>
        </w:tc>
        <w:tc>
          <w:tcPr>
            <w:tcW w:w="2454" w:type="dxa"/>
            <w:tcBorders>
              <w:top w:val="single" w:sz="4" w:space="0" w:color="auto"/>
              <w:left w:val="single" w:sz="4" w:space="0" w:color="auto"/>
              <w:bottom w:val="single" w:sz="4" w:space="0" w:color="auto"/>
              <w:right w:val="single" w:sz="4" w:space="0" w:color="auto"/>
            </w:tcBorders>
            <w:hideMark/>
          </w:tcPr>
          <w:p w14:paraId="4AF8A953" w14:textId="77777777" w:rsidR="003C1BBA" w:rsidRPr="000D47AC" w:rsidRDefault="003C1BBA" w:rsidP="00313088">
            <w:pPr>
              <w:spacing w:after="120" w:line="276" w:lineRule="auto"/>
              <w:rPr>
                <w:rFonts w:eastAsia="SimSun"/>
                <w:color w:val="000000"/>
                <w:lang w:val="en-US" w:eastAsia="zh-CN"/>
              </w:rPr>
            </w:pPr>
            <w:r w:rsidRPr="000D47AC">
              <w:rPr>
                <w:lang w:val="en-US"/>
              </w:rPr>
              <w:t>Novel in political science</w:t>
            </w:r>
          </w:p>
        </w:tc>
      </w:tr>
    </w:tbl>
    <w:p w14:paraId="13107DBC" w14:textId="77777777" w:rsidR="003C1BBA" w:rsidRDefault="003C1BBA" w:rsidP="00313088">
      <w:pPr>
        <w:spacing w:line="276" w:lineRule="auto"/>
        <w:rPr>
          <w:b/>
          <w:bCs/>
        </w:rPr>
      </w:pPr>
      <w:r>
        <w:rPr>
          <w:b/>
          <w:bCs/>
        </w:rPr>
        <w:br w:type="page"/>
      </w:r>
    </w:p>
    <w:p w14:paraId="03E516F2" w14:textId="010B5DEB" w:rsidR="003C1BBA" w:rsidRPr="000D47AC" w:rsidRDefault="003C1BBA" w:rsidP="00313088">
      <w:pPr>
        <w:spacing w:after="240" w:line="276" w:lineRule="auto"/>
        <w:rPr>
          <w:b/>
          <w:bCs/>
        </w:rPr>
      </w:pPr>
      <w:r w:rsidRPr="000D47AC">
        <w:rPr>
          <w:b/>
          <w:bCs/>
        </w:rPr>
        <w:lastRenderedPageBreak/>
        <w:t xml:space="preserve">Table </w:t>
      </w:r>
      <w:r>
        <w:rPr>
          <w:b/>
          <w:bCs/>
        </w:rPr>
        <w:t>2</w:t>
      </w:r>
      <w:r w:rsidRPr="000D47AC">
        <w:rPr>
          <w:b/>
          <w:bCs/>
        </w:rPr>
        <w:t>: Lessons about professionalization from ethnographic research</w:t>
      </w:r>
    </w:p>
    <w:tbl>
      <w:tblPr>
        <w:tblStyle w:val="TableGrid"/>
        <w:tblW w:w="0" w:type="auto"/>
        <w:tblLook w:val="04A0" w:firstRow="1" w:lastRow="0" w:firstColumn="1" w:lastColumn="0" w:noHBand="0" w:noVBand="1"/>
      </w:tblPr>
      <w:tblGrid>
        <w:gridCol w:w="1604"/>
        <w:gridCol w:w="2297"/>
        <w:gridCol w:w="2367"/>
        <w:gridCol w:w="2248"/>
      </w:tblGrid>
      <w:tr w:rsidR="003C1BBA" w:rsidRPr="000D47AC" w14:paraId="47E405FB" w14:textId="77777777" w:rsidTr="00F55C69">
        <w:trPr>
          <w:trHeight w:val="1001"/>
        </w:trPr>
        <w:tc>
          <w:tcPr>
            <w:tcW w:w="1604" w:type="dxa"/>
            <w:tcBorders>
              <w:top w:val="single" w:sz="4" w:space="0" w:color="auto"/>
              <w:left w:val="single" w:sz="4" w:space="0" w:color="auto"/>
              <w:bottom w:val="single" w:sz="4" w:space="0" w:color="auto"/>
              <w:right w:val="single" w:sz="4" w:space="0" w:color="auto"/>
            </w:tcBorders>
          </w:tcPr>
          <w:p w14:paraId="06ADF6BE" w14:textId="77777777" w:rsidR="003C1BBA" w:rsidRPr="000D47AC" w:rsidRDefault="003C1BBA" w:rsidP="00313088">
            <w:pPr>
              <w:spacing w:line="276" w:lineRule="auto"/>
              <w:rPr>
                <w:b/>
                <w:bCs/>
                <w:lang w:eastAsia="zh-TW"/>
              </w:rPr>
            </w:pPr>
          </w:p>
        </w:tc>
        <w:tc>
          <w:tcPr>
            <w:tcW w:w="2297" w:type="dxa"/>
            <w:tcBorders>
              <w:top w:val="single" w:sz="4" w:space="0" w:color="auto"/>
              <w:left w:val="single" w:sz="4" w:space="0" w:color="auto"/>
              <w:bottom w:val="single" w:sz="4" w:space="0" w:color="auto"/>
              <w:right w:val="single" w:sz="4" w:space="0" w:color="auto"/>
            </w:tcBorders>
            <w:hideMark/>
          </w:tcPr>
          <w:p w14:paraId="5ADF8CAC" w14:textId="77777777" w:rsidR="003C1BBA" w:rsidRPr="000D47AC" w:rsidRDefault="003C1BBA" w:rsidP="00313088">
            <w:pPr>
              <w:spacing w:line="276" w:lineRule="auto"/>
              <w:rPr>
                <w:b/>
                <w:bCs/>
                <w:lang w:eastAsia="zh-TW"/>
              </w:rPr>
            </w:pPr>
            <w:r w:rsidRPr="000D47AC">
              <w:rPr>
                <w:b/>
                <w:bCs/>
              </w:rPr>
              <w:t>Assumption within existing literature</w:t>
            </w:r>
          </w:p>
        </w:tc>
        <w:tc>
          <w:tcPr>
            <w:tcW w:w="2367" w:type="dxa"/>
            <w:tcBorders>
              <w:top w:val="single" w:sz="4" w:space="0" w:color="auto"/>
              <w:left w:val="single" w:sz="4" w:space="0" w:color="auto"/>
              <w:bottom w:val="single" w:sz="4" w:space="0" w:color="auto"/>
              <w:right w:val="single" w:sz="4" w:space="0" w:color="auto"/>
            </w:tcBorders>
            <w:hideMark/>
          </w:tcPr>
          <w:p w14:paraId="4D247E6C" w14:textId="77777777" w:rsidR="003C1BBA" w:rsidRPr="000D47AC" w:rsidRDefault="003C1BBA" w:rsidP="00313088">
            <w:pPr>
              <w:spacing w:line="276" w:lineRule="auto"/>
              <w:rPr>
                <w:b/>
                <w:bCs/>
                <w:lang w:eastAsia="zh-TW"/>
              </w:rPr>
            </w:pPr>
            <w:r w:rsidRPr="000D47AC">
              <w:rPr>
                <w:b/>
                <w:bCs/>
              </w:rPr>
              <w:t>Explanation derived from elite ethnography</w:t>
            </w:r>
          </w:p>
        </w:tc>
        <w:tc>
          <w:tcPr>
            <w:tcW w:w="2248" w:type="dxa"/>
            <w:tcBorders>
              <w:top w:val="single" w:sz="4" w:space="0" w:color="auto"/>
              <w:left w:val="single" w:sz="4" w:space="0" w:color="auto"/>
              <w:bottom w:val="single" w:sz="4" w:space="0" w:color="auto"/>
              <w:right w:val="single" w:sz="4" w:space="0" w:color="auto"/>
            </w:tcBorders>
            <w:hideMark/>
          </w:tcPr>
          <w:p w14:paraId="0C12CA35" w14:textId="77777777" w:rsidR="003C1BBA" w:rsidRPr="000D47AC" w:rsidRDefault="003C1BBA" w:rsidP="00313088">
            <w:pPr>
              <w:spacing w:line="276" w:lineRule="auto"/>
              <w:rPr>
                <w:b/>
                <w:bCs/>
                <w:lang w:eastAsia="zh-TW"/>
              </w:rPr>
            </w:pPr>
            <w:r w:rsidRPr="000D47AC">
              <w:rPr>
                <w:b/>
                <w:bCs/>
              </w:rPr>
              <w:t>Implication for explaining politicians’ negative political behaviour through everyday norms</w:t>
            </w:r>
          </w:p>
        </w:tc>
      </w:tr>
      <w:tr w:rsidR="003C1BBA" w:rsidRPr="000D47AC" w14:paraId="78432900" w14:textId="77777777" w:rsidTr="00F55C69">
        <w:trPr>
          <w:trHeight w:val="1700"/>
        </w:trPr>
        <w:tc>
          <w:tcPr>
            <w:tcW w:w="1604" w:type="dxa"/>
            <w:tcBorders>
              <w:top w:val="single" w:sz="4" w:space="0" w:color="auto"/>
              <w:left w:val="single" w:sz="4" w:space="0" w:color="auto"/>
              <w:bottom w:val="single" w:sz="4" w:space="0" w:color="auto"/>
              <w:right w:val="single" w:sz="4" w:space="0" w:color="auto"/>
            </w:tcBorders>
            <w:hideMark/>
          </w:tcPr>
          <w:p w14:paraId="11C646E7" w14:textId="77777777" w:rsidR="003C1BBA" w:rsidRPr="000D47AC" w:rsidRDefault="003C1BBA" w:rsidP="00313088">
            <w:pPr>
              <w:spacing w:line="276" w:lineRule="auto"/>
              <w:rPr>
                <w:b/>
                <w:bCs/>
                <w:lang w:eastAsia="zh-TW"/>
              </w:rPr>
            </w:pPr>
            <w:r w:rsidRPr="000D47AC">
              <w:rPr>
                <w:b/>
                <w:bCs/>
              </w:rPr>
              <w:t xml:space="preserve">Campaigning </w:t>
            </w:r>
          </w:p>
        </w:tc>
        <w:tc>
          <w:tcPr>
            <w:tcW w:w="2297" w:type="dxa"/>
            <w:tcBorders>
              <w:top w:val="single" w:sz="4" w:space="0" w:color="auto"/>
              <w:left w:val="single" w:sz="4" w:space="0" w:color="auto"/>
              <w:bottom w:val="single" w:sz="4" w:space="0" w:color="auto"/>
              <w:right w:val="single" w:sz="4" w:space="0" w:color="auto"/>
            </w:tcBorders>
          </w:tcPr>
          <w:p w14:paraId="7E9AC1CA" w14:textId="77777777" w:rsidR="003C1BBA" w:rsidRPr="000D47AC" w:rsidRDefault="003C1BBA" w:rsidP="00313088">
            <w:pPr>
              <w:spacing w:line="276" w:lineRule="auto"/>
              <w:rPr>
                <w:i/>
                <w:iCs/>
              </w:rPr>
            </w:pPr>
            <w:r w:rsidRPr="000D47AC">
              <w:rPr>
                <w:i/>
                <w:iCs/>
              </w:rPr>
              <w:t xml:space="preserve">Beltway </w:t>
            </w:r>
          </w:p>
          <w:p w14:paraId="1209533A" w14:textId="77777777" w:rsidR="003C1BBA" w:rsidRPr="000D47AC" w:rsidRDefault="003C1BBA" w:rsidP="00313088">
            <w:pPr>
              <w:spacing w:line="276" w:lineRule="auto"/>
            </w:pPr>
          </w:p>
          <w:p w14:paraId="0ACAA0D4" w14:textId="77777777" w:rsidR="003C1BBA" w:rsidRPr="000D47AC" w:rsidRDefault="003C1BBA" w:rsidP="00313088">
            <w:pPr>
              <w:spacing w:line="276" w:lineRule="auto"/>
            </w:pPr>
            <w:r w:rsidRPr="000D47AC">
              <w:t>Governing elites are enthralled to party machinery for their own career ambitions.</w:t>
            </w:r>
          </w:p>
          <w:p w14:paraId="1A88A6CE" w14:textId="77777777" w:rsidR="003C1BBA" w:rsidRPr="000D47AC" w:rsidRDefault="003C1BBA" w:rsidP="00313088">
            <w:pPr>
              <w:spacing w:line="276" w:lineRule="auto"/>
            </w:pPr>
          </w:p>
          <w:p w14:paraId="0773F2BF" w14:textId="77777777" w:rsidR="003C1BBA" w:rsidRPr="000D47AC" w:rsidRDefault="003C1BBA" w:rsidP="00313088">
            <w:pPr>
              <w:spacing w:line="276" w:lineRule="auto"/>
              <w:rPr>
                <w:lang w:eastAsia="zh-TW"/>
              </w:rPr>
            </w:pPr>
          </w:p>
        </w:tc>
        <w:tc>
          <w:tcPr>
            <w:tcW w:w="2367" w:type="dxa"/>
            <w:tcBorders>
              <w:top w:val="single" w:sz="4" w:space="0" w:color="auto"/>
              <w:left w:val="single" w:sz="4" w:space="0" w:color="auto"/>
              <w:bottom w:val="single" w:sz="4" w:space="0" w:color="auto"/>
              <w:right w:val="single" w:sz="4" w:space="0" w:color="auto"/>
            </w:tcBorders>
          </w:tcPr>
          <w:p w14:paraId="06344EED" w14:textId="77777777" w:rsidR="003C1BBA" w:rsidRPr="000D47AC" w:rsidRDefault="003C1BBA" w:rsidP="00313088">
            <w:pPr>
              <w:spacing w:line="276" w:lineRule="auto"/>
              <w:rPr>
                <w:i/>
                <w:iCs/>
              </w:rPr>
            </w:pPr>
            <w:r w:rsidRPr="000D47AC">
              <w:rPr>
                <w:i/>
                <w:iCs/>
              </w:rPr>
              <w:t>Home Style</w:t>
            </w:r>
          </w:p>
          <w:p w14:paraId="1FC47CCB" w14:textId="77777777" w:rsidR="003C1BBA" w:rsidRPr="000D47AC" w:rsidRDefault="003C1BBA" w:rsidP="00313088">
            <w:pPr>
              <w:spacing w:line="276" w:lineRule="auto"/>
            </w:pPr>
          </w:p>
          <w:p w14:paraId="4FF42F0B" w14:textId="77777777" w:rsidR="003C1BBA" w:rsidRPr="000D47AC" w:rsidRDefault="003C1BBA" w:rsidP="00313088">
            <w:pPr>
              <w:spacing w:line="276" w:lineRule="auto"/>
            </w:pPr>
            <w:r w:rsidRPr="000D47AC">
              <w:t>Those seeking election are at pains to distance themselves from the central political elite and adopt a localised ‘home style’ instead.</w:t>
            </w:r>
          </w:p>
          <w:p w14:paraId="65BD94C8" w14:textId="77777777" w:rsidR="003C1BBA" w:rsidRPr="000D47AC" w:rsidRDefault="003C1BBA" w:rsidP="00313088">
            <w:pPr>
              <w:spacing w:line="276" w:lineRule="auto"/>
            </w:pPr>
          </w:p>
          <w:p w14:paraId="3501AA0D" w14:textId="77777777" w:rsidR="003C1BBA" w:rsidRPr="000D47AC" w:rsidRDefault="003C1BBA" w:rsidP="00313088">
            <w:pPr>
              <w:spacing w:line="276" w:lineRule="auto"/>
              <w:rPr>
                <w:lang w:eastAsia="zh-TW"/>
              </w:rPr>
            </w:pPr>
            <w:r w:rsidRPr="000D47AC">
              <w:t>E.g. Fenno 1978, Gaddie 2003</w:t>
            </w:r>
          </w:p>
        </w:tc>
        <w:tc>
          <w:tcPr>
            <w:tcW w:w="2248" w:type="dxa"/>
            <w:tcBorders>
              <w:top w:val="single" w:sz="4" w:space="0" w:color="auto"/>
              <w:left w:val="single" w:sz="4" w:space="0" w:color="auto"/>
              <w:bottom w:val="single" w:sz="4" w:space="0" w:color="auto"/>
              <w:right w:val="single" w:sz="4" w:space="0" w:color="auto"/>
            </w:tcBorders>
          </w:tcPr>
          <w:p w14:paraId="1BE5960F" w14:textId="77777777" w:rsidR="003C1BBA" w:rsidRPr="000D47AC" w:rsidRDefault="003C1BBA" w:rsidP="00313088">
            <w:pPr>
              <w:spacing w:line="276" w:lineRule="auto"/>
            </w:pPr>
          </w:p>
          <w:p w14:paraId="51BA6F0D" w14:textId="77777777" w:rsidR="003C1BBA" w:rsidRPr="000D47AC" w:rsidRDefault="003C1BBA" w:rsidP="00313088">
            <w:pPr>
              <w:spacing w:line="276" w:lineRule="auto"/>
              <w:rPr>
                <w:lang w:eastAsia="zh-TW"/>
              </w:rPr>
            </w:pPr>
            <w:r w:rsidRPr="000D47AC">
              <w:rPr>
                <w:lang w:eastAsia="zh-TW"/>
              </w:rPr>
              <w:t>Constituency- and party-based election campaigns set up a distinction between the local and national that politicians play with to get elected</w:t>
            </w:r>
          </w:p>
        </w:tc>
      </w:tr>
      <w:tr w:rsidR="003C1BBA" w:rsidRPr="000D47AC" w14:paraId="12A79CCD" w14:textId="77777777" w:rsidTr="00F55C69">
        <w:trPr>
          <w:trHeight w:val="661"/>
        </w:trPr>
        <w:tc>
          <w:tcPr>
            <w:tcW w:w="1604" w:type="dxa"/>
            <w:tcBorders>
              <w:top w:val="single" w:sz="4" w:space="0" w:color="auto"/>
              <w:left w:val="single" w:sz="4" w:space="0" w:color="auto"/>
              <w:bottom w:val="single" w:sz="4" w:space="0" w:color="auto"/>
              <w:right w:val="single" w:sz="4" w:space="0" w:color="auto"/>
            </w:tcBorders>
            <w:hideMark/>
          </w:tcPr>
          <w:p w14:paraId="4388D8B0" w14:textId="77777777" w:rsidR="003C1BBA" w:rsidRPr="000D47AC" w:rsidRDefault="003C1BBA" w:rsidP="00313088">
            <w:pPr>
              <w:spacing w:line="276" w:lineRule="auto"/>
              <w:rPr>
                <w:b/>
                <w:bCs/>
                <w:lang w:eastAsia="zh-TW"/>
              </w:rPr>
            </w:pPr>
            <w:r w:rsidRPr="000D47AC">
              <w:rPr>
                <w:b/>
                <w:bCs/>
              </w:rPr>
              <w:t xml:space="preserve">Representing </w:t>
            </w:r>
          </w:p>
        </w:tc>
        <w:tc>
          <w:tcPr>
            <w:tcW w:w="2297" w:type="dxa"/>
            <w:tcBorders>
              <w:top w:val="single" w:sz="4" w:space="0" w:color="auto"/>
              <w:left w:val="single" w:sz="4" w:space="0" w:color="auto"/>
              <w:bottom w:val="single" w:sz="4" w:space="0" w:color="auto"/>
              <w:right w:val="single" w:sz="4" w:space="0" w:color="auto"/>
            </w:tcBorders>
          </w:tcPr>
          <w:p w14:paraId="73EDC328" w14:textId="77777777" w:rsidR="003C1BBA" w:rsidRPr="000D47AC" w:rsidRDefault="003C1BBA" w:rsidP="00313088">
            <w:pPr>
              <w:spacing w:line="276" w:lineRule="auto"/>
              <w:rPr>
                <w:i/>
                <w:iCs/>
              </w:rPr>
            </w:pPr>
            <w:r w:rsidRPr="000D47AC">
              <w:rPr>
                <w:i/>
                <w:iCs/>
              </w:rPr>
              <w:t>Partisanship</w:t>
            </w:r>
          </w:p>
          <w:p w14:paraId="0364D2F7" w14:textId="77777777" w:rsidR="003C1BBA" w:rsidRPr="000D47AC" w:rsidRDefault="003C1BBA" w:rsidP="00313088">
            <w:pPr>
              <w:spacing w:line="276" w:lineRule="auto"/>
            </w:pPr>
          </w:p>
          <w:p w14:paraId="4DFE03E7" w14:textId="77777777" w:rsidR="003C1BBA" w:rsidRPr="000D47AC" w:rsidRDefault="003C1BBA" w:rsidP="00313088">
            <w:pPr>
              <w:spacing w:line="276" w:lineRule="auto"/>
            </w:pPr>
            <w:r w:rsidRPr="000D47AC">
              <w:t>Elected representatives are too partisan, failing to represent the substantive concerns of their constituents.</w:t>
            </w:r>
          </w:p>
          <w:p w14:paraId="24E89B46" w14:textId="77777777" w:rsidR="003C1BBA" w:rsidRPr="000D47AC" w:rsidRDefault="003C1BBA" w:rsidP="00313088">
            <w:pPr>
              <w:spacing w:line="276" w:lineRule="auto"/>
            </w:pPr>
          </w:p>
          <w:p w14:paraId="0A99848E" w14:textId="77777777" w:rsidR="003C1BBA" w:rsidRPr="000D47AC" w:rsidRDefault="003C1BBA" w:rsidP="00313088">
            <w:pPr>
              <w:spacing w:line="276" w:lineRule="auto"/>
              <w:rPr>
                <w:lang w:eastAsia="zh-TW"/>
              </w:rPr>
            </w:pPr>
          </w:p>
        </w:tc>
        <w:tc>
          <w:tcPr>
            <w:tcW w:w="2367" w:type="dxa"/>
            <w:tcBorders>
              <w:top w:val="single" w:sz="4" w:space="0" w:color="auto"/>
              <w:left w:val="single" w:sz="4" w:space="0" w:color="auto"/>
              <w:bottom w:val="single" w:sz="4" w:space="0" w:color="auto"/>
              <w:right w:val="single" w:sz="4" w:space="0" w:color="auto"/>
            </w:tcBorders>
          </w:tcPr>
          <w:p w14:paraId="3E7EF0EF" w14:textId="77777777" w:rsidR="003C1BBA" w:rsidRPr="000D47AC" w:rsidRDefault="003C1BBA" w:rsidP="00313088">
            <w:pPr>
              <w:spacing w:line="276" w:lineRule="auto"/>
              <w:rPr>
                <w:i/>
                <w:iCs/>
              </w:rPr>
            </w:pPr>
            <w:r w:rsidRPr="000D47AC">
              <w:rPr>
                <w:i/>
                <w:iCs/>
              </w:rPr>
              <w:t>Coping</w:t>
            </w:r>
          </w:p>
          <w:p w14:paraId="26EDE741" w14:textId="77777777" w:rsidR="003C1BBA" w:rsidRPr="000D47AC" w:rsidRDefault="003C1BBA" w:rsidP="00313088">
            <w:pPr>
              <w:spacing w:line="276" w:lineRule="auto"/>
            </w:pPr>
          </w:p>
          <w:p w14:paraId="0FCD67B5" w14:textId="7712F003" w:rsidR="003C1BBA" w:rsidRPr="000D47AC" w:rsidRDefault="003C1BBA" w:rsidP="00313088">
            <w:pPr>
              <w:spacing w:line="276" w:lineRule="auto"/>
            </w:pPr>
            <w:r w:rsidRPr="000D47AC">
              <w:t xml:space="preserve">Governing elites have to wear many ‘masks’, have their time and attention stretched, often insulate themselves with expert advisers. </w:t>
            </w:r>
          </w:p>
          <w:p w14:paraId="56103BFB" w14:textId="77777777" w:rsidR="003C1BBA" w:rsidRPr="000D47AC" w:rsidRDefault="003C1BBA" w:rsidP="00313088">
            <w:pPr>
              <w:spacing w:line="276" w:lineRule="auto"/>
            </w:pPr>
          </w:p>
          <w:p w14:paraId="47D9F2FC" w14:textId="77777777" w:rsidR="003C1BBA" w:rsidRPr="000D47AC" w:rsidRDefault="003C1BBA" w:rsidP="00313088">
            <w:pPr>
              <w:spacing w:line="276" w:lineRule="auto"/>
              <w:rPr>
                <w:lang w:eastAsia="zh-TW"/>
              </w:rPr>
            </w:pPr>
            <w:r w:rsidRPr="000D47AC">
              <w:t>E.g. Crewe 2005, Rhodes 2011</w:t>
            </w:r>
          </w:p>
        </w:tc>
        <w:tc>
          <w:tcPr>
            <w:tcW w:w="2248" w:type="dxa"/>
            <w:tcBorders>
              <w:top w:val="single" w:sz="4" w:space="0" w:color="auto"/>
              <w:left w:val="single" w:sz="4" w:space="0" w:color="auto"/>
              <w:bottom w:val="single" w:sz="4" w:space="0" w:color="auto"/>
              <w:right w:val="single" w:sz="4" w:space="0" w:color="auto"/>
            </w:tcBorders>
          </w:tcPr>
          <w:p w14:paraId="0F4B8F7B" w14:textId="77777777" w:rsidR="003C1BBA" w:rsidRPr="000D47AC" w:rsidRDefault="003C1BBA" w:rsidP="00313088">
            <w:pPr>
              <w:spacing w:line="276" w:lineRule="auto"/>
            </w:pPr>
          </w:p>
          <w:p w14:paraId="60CC24AB" w14:textId="77777777" w:rsidR="003C1BBA" w:rsidRPr="000D47AC" w:rsidRDefault="003C1BBA" w:rsidP="00313088">
            <w:pPr>
              <w:spacing w:line="276" w:lineRule="auto"/>
              <w:rPr>
                <w:lang w:eastAsia="zh-TW"/>
              </w:rPr>
            </w:pPr>
            <w:r w:rsidRPr="000D47AC">
              <w:rPr>
                <w:lang w:eastAsia="zh-TW"/>
              </w:rPr>
              <w:t>Mediatized parliamentary politics, and a lack of practical resources incentivise politicians to devise ‘short-cuts’ that reinforce partisan framing</w:t>
            </w:r>
          </w:p>
        </w:tc>
      </w:tr>
      <w:tr w:rsidR="003C1BBA" w:rsidRPr="000D47AC" w14:paraId="319A49FB" w14:textId="77777777" w:rsidTr="00F55C69">
        <w:trPr>
          <w:trHeight w:val="1001"/>
        </w:trPr>
        <w:tc>
          <w:tcPr>
            <w:tcW w:w="1604" w:type="dxa"/>
            <w:tcBorders>
              <w:top w:val="single" w:sz="4" w:space="0" w:color="auto"/>
              <w:left w:val="single" w:sz="4" w:space="0" w:color="auto"/>
              <w:bottom w:val="single" w:sz="4" w:space="0" w:color="auto"/>
              <w:right w:val="single" w:sz="4" w:space="0" w:color="auto"/>
            </w:tcBorders>
            <w:hideMark/>
          </w:tcPr>
          <w:p w14:paraId="43370E6F" w14:textId="77777777" w:rsidR="003C1BBA" w:rsidRPr="000D47AC" w:rsidRDefault="003C1BBA" w:rsidP="00313088">
            <w:pPr>
              <w:spacing w:line="276" w:lineRule="auto"/>
              <w:rPr>
                <w:b/>
                <w:bCs/>
                <w:lang w:eastAsia="zh-TW"/>
              </w:rPr>
            </w:pPr>
            <w:r w:rsidRPr="000D47AC">
              <w:rPr>
                <w:b/>
                <w:bCs/>
              </w:rPr>
              <w:t xml:space="preserve">Governing </w:t>
            </w:r>
          </w:p>
        </w:tc>
        <w:tc>
          <w:tcPr>
            <w:tcW w:w="2297" w:type="dxa"/>
            <w:tcBorders>
              <w:top w:val="single" w:sz="4" w:space="0" w:color="auto"/>
              <w:left w:val="single" w:sz="4" w:space="0" w:color="auto"/>
              <w:bottom w:val="single" w:sz="4" w:space="0" w:color="auto"/>
              <w:right w:val="single" w:sz="4" w:space="0" w:color="auto"/>
            </w:tcBorders>
          </w:tcPr>
          <w:p w14:paraId="32318760" w14:textId="77777777" w:rsidR="003C1BBA" w:rsidRPr="000D47AC" w:rsidRDefault="003C1BBA" w:rsidP="00313088">
            <w:pPr>
              <w:spacing w:line="276" w:lineRule="auto"/>
              <w:rPr>
                <w:i/>
                <w:iCs/>
              </w:rPr>
            </w:pPr>
            <w:r w:rsidRPr="000D47AC">
              <w:rPr>
                <w:i/>
                <w:iCs/>
              </w:rPr>
              <w:t>Incompetence</w:t>
            </w:r>
          </w:p>
          <w:p w14:paraId="3123398E" w14:textId="77777777" w:rsidR="003C1BBA" w:rsidRPr="000D47AC" w:rsidRDefault="003C1BBA" w:rsidP="00313088">
            <w:pPr>
              <w:spacing w:line="276" w:lineRule="auto"/>
            </w:pPr>
          </w:p>
          <w:p w14:paraId="2F63C199" w14:textId="77777777" w:rsidR="003C1BBA" w:rsidRPr="000D47AC" w:rsidRDefault="003C1BBA" w:rsidP="00313088">
            <w:pPr>
              <w:spacing w:line="276" w:lineRule="auto"/>
            </w:pPr>
            <w:r w:rsidRPr="000D47AC">
              <w:t>Democratic leaders are not competent to deliver on their plans and promises.</w:t>
            </w:r>
          </w:p>
          <w:p w14:paraId="2106C939" w14:textId="77777777" w:rsidR="003C1BBA" w:rsidRPr="000D47AC" w:rsidRDefault="003C1BBA" w:rsidP="00313088">
            <w:pPr>
              <w:spacing w:line="276" w:lineRule="auto"/>
            </w:pPr>
          </w:p>
          <w:p w14:paraId="1C6263DB" w14:textId="77777777" w:rsidR="003C1BBA" w:rsidRPr="000D47AC" w:rsidRDefault="003C1BBA" w:rsidP="00313088">
            <w:pPr>
              <w:spacing w:line="276" w:lineRule="auto"/>
              <w:rPr>
                <w:lang w:eastAsia="zh-TW"/>
              </w:rPr>
            </w:pPr>
          </w:p>
        </w:tc>
        <w:tc>
          <w:tcPr>
            <w:tcW w:w="2367" w:type="dxa"/>
            <w:tcBorders>
              <w:top w:val="single" w:sz="4" w:space="0" w:color="auto"/>
              <w:left w:val="single" w:sz="4" w:space="0" w:color="auto"/>
              <w:bottom w:val="single" w:sz="4" w:space="0" w:color="auto"/>
              <w:right w:val="single" w:sz="4" w:space="0" w:color="auto"/>
            </w:tcBorders>
          </w:tcPr>
          <w:p w14:paraId="059D7B5D" w14:textId="77777777" w:rsidR="003C1BBA" w:rsidRPr="000D47AC" w:rsidRDefault="003C1BBA" w:rsidP="00313088">
            <w:pPr>
              <w:spacing w:line="276" w:lineRule="auto"/>
              <w:rPr>
                <w:i/>
                <w:iCs/>
              </w:rPr>
            </w:pPr>
            <w:r w:rsidRPr="000D47AC">
              <w:rPr>
                <w:i/>
                <w:iCs/>
              </w:rPr>
              <w:t>Impotence</w:t>
            </w:r>
          </w:p>
          <w:p w14:paraId="0592581C" w14:textId="77777777" w:rsidR="003C1BBA" w:rsidRPr="000D47AC" w:rsidRDefault="003C1BBA" w:rsidP="00313088">
            <w:pPr>
              <w:spacing w:line="276" w:lineRule="auto"/>
            </w:pPr>
          </w:p>
          <w:p w14:paraId="5A4ADBEC" w14:textId="77777777" w:rsidR="003C1BBA" w:rsidRPr="000D47AC" w:rsidRDefault="003C1BBA" w:rsidP="00313088">
            <w:pPr>
              <w:spacing w:line="276" w:lineRule="auto"/>
            </w:pPr>
            <w:r w:rsidRPr="000D47AC">
              <w:t>The complex realities of governing make delivering anything difficult.</w:t>
            </w:r>
          </w:p>
          <w:p w14:paraId="04E3DDF4" w14:textId="77777777" w:rsidR="003C1BBA" w:rsidRPr="000D47AC" w:rsidRDefault="003C1BBA" w:rsidP="00313088">
            <w:pPr>
              <w:spacing w:line="276" w:lineRule="auto"/>
            </w:pPr>
          </w:p>
          <w:p w14:paraId="34C69EBA" w14:textId="77777777" w:rsidR="003C1BBA" w:rsidRPr="000D47AC" w:rsidRDefault="003C1BBA" w:rsidP="00313088">
            <w:pPr>
              <w:spacing w:line="276" w:lineRule="auto"/>
              <w:rPr>
                <w:i/>
                <w:iCs/>
                <w:lang w:eastAsia="zh-TW"/>
              </w:rPr>
            </w:pPr>
            <w:r w:rsidRPr="000D47AC">
              <w:t>E.g. Reeher 2006, Corbett 2015</w:t>
            </w:r>
          </w:p>
        </w:tc>
        <w:tc>
          <w:tcPr>
            <w:tcW w:w="2248" w:type="dxa"/>
            <w:tcBorders>
              <w:top w:val="single" w:sz="4" w:space="0" w:color="auto"/>
              <w:left w:val="single" w:sz="4" w:space="0" w:color="auto"/>
              <w:bottom w:val="single" w:sz="4" w:space="0" w:color="auto"/>
              <w:right w:val="single" w:sz="4" w:space="0" w:color="auto"/>
            </w:tcBorders>
          </w:tcPr>
          <w:p w14:paraId="42C40B2E" w14:textId="77777777" w:rsidR="003C1BBA" w:rsidRPr="000D47AC" w:rsidRDefault="003C1BBA" w:rsidP="00313088">
            <w:pPr>
              <w:spacing w:line="276" w:lineRule="auto"/>
            </w:pPr>
          </w:p>
          <w:p w14:paraId="75EDB3BB" w14:textId="77777777" w:rsidR="003C1BBA" w:rsidRPr="000D47AC" w:rsidRDefault="003C1BBA" w:rsidP="00313088">
            <w:pPr>
              <w:spacing w:line="276" w:lineRule="auto"/>
              <w:rPr>
                <w:lang w:eastAsia="zh-TW"/>
              </w:rPr>
            </w:pPr>
            <w:r w:rsidRPr="000D47AC">
              <w:rPr>
                <w:lang w:eastAsia="zh-TW"/>
              </w:rPr>
              <w:t>The norms of competitive electoral processes require politicians to make promises, which build expectations that are subsequently dashed by the complexities of government</w:t>
            </w:r>
          </w:p>
          <w:p w14:paraId="3B150CD6" w14:textId="77777777" w:rsidR="003C1BBA" w:rsidRPr="000D47AC" w:rsidRDefault="003C1BBA" w:rsidP="00313088">
            <w:pPr>
              <w:spacing w:line="276" w:lineRule="auto"/>
              <w:rPr>
                <w:lang w:eastAsia="zh-TW"/>
              </w:rPr>
            </w:pPr>
          </w:p>
        </w:tc>
      </w:tr>
    </w:tbl>
    <w:p w14:paraId="74308181" w14:textId="77777777" w:rsidR="003958D2" w:rsidRPr="003C1BBA" w:rsidRDefault="003958D2" w:rsidP="00313088">
      <w:pPr>
        <w:spacing w:after="240" w:line="360" w:lineRule="auto"/>
        <w:rPr>
          <w:color w:val="000000" w:themeColor="text1"/>
        </w:rPr>
      </w:pPr>
    </w:p>
    <w:sectPr w:rsidR="003958D2" w:rsidRPr="003C1BBA" w:rsidSect="000C179A">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64462" w14:textId="77777777" w:rsidR="00F219D3" w:rsidRDefault="00F219D3" w:rsidP="00576FF2">
      <w:r>
        <w:separator/>
      </w:r>
    </w:p>
  </w:endnote>
  <w:endnote w:type="continuationSeparator" w:id="0">
    <w:p w14:paraId="3232F54B" w14:textId="77777777" w:rsidR="00F219D3" w:rsidRDefault="00F219D3" w:rsidP="00576FF2">
      <w:r>
        <w:continuationSeparator/>
      </w:r>
    </w:p>
  </w:endnote>
  <w:endnote w:id="1">
    <w:p w14:paraId="521BE890" w14:textId="119D4133" w:rsidR="00F55C69" w:rsidRPr="003C1BBA" w:rsidRDefault="00F55C69" w:rsidP="00313088">
      <w:pPr>
        <w:pStyle w:val="EndnoteText"/>
        <w:spacing w:after="240" w:line="360" w:lineRule="auto"/>
        <w:rPr>
          <w:b/>
          <w:sz w:val="24"/>
          <w:szCs w:val="24"/>
        </w:rPr>
      </w:pPr>
      <w:r w:rsidRPr="003C1BBA">
        <w:rPr>
          <w:b/>
          <w:sz w:val="24"/>
          <w:szCs w:val="24"/>
        </w:rPr>
        <w:t>Note</w:t>
      </w:r>
    </w:p>
    <w:p w14:paraId="212B249F" w14:textId="77777777" w:rsidR="00370E18" w:rsidRDefault="00F55C69" w:rsidP="00313088">
      <w:pPr>
        <w:tabs>
          <w:tab w:val="left" w:pos="9026"/>
        </w:tabs>
        <w:spacing w:after="240" w:line="360" w:lineRule="auto"/>
        <w:ind w:right="-46"/>
      </w:pPr>
      <w:r w:rsidRPr="00166E08">
        <w:rPr>
          <w:rStyle w:val="EndnoteReference"/>
        </w:rPr>
        <w:endnoteRef/>
      </w:r>
      <w:r w:rsidRPr="00166E08">
        <w:t xml:space="preserve"> This article is written by political scientists for political scientists and published in a political science journal, hence the focus on the discip</w:t>
      </w:r>
      <w:r w:rsidRPr="00370E18">
        <w:t xml:space="preserve">lines of political science and </w:t>
      </w:r>
      <w:r w:rsidRPr="00377E9C">
        <w:t>(political) anthropology. Of course, we recognise that ethnography is a major approach in sociology</w:t>
      </w:r>
      <w:r w:rsidR="00370E18">
        <w:t xml:space="preserve"> but for sheer lack of space we leave out </w:t>
      </w:r>
      <w:r w:rsidR="00370E18" w:rsidRPr="003C1BBA">
        <w:rPr>
          <w:color w:val="000000"/>
        </w:rPr>
        <w:t xml:space="preserve">the large methodological literature on ethnography </w:t>
      </w:r>
      <w:r w:rsidR="00370E18">
        <w:rPr>
          <w:color w:val="000000"/>
        </w:rPr>
        <w:t>in</w:t>
      </w:r>
      <w:r w:rsidR="00370E18" w:rsidRPr="003C1BBA">
        <w:rPr>
          <w:color w:val="000000"/>
        </w:rPr>
        <w:t xml:space="preserve"> sociology</w:t>
      </w:r>
      <w:r w:rsidR="00370E18">
        <w:rPr>
          <w:color w:val="000000"/>
        </w:rPr>
        <w:t xml:space="preserve"> apart from the occasional reference. Also, we recognise t</w:t>
      </w:r>
      <w:r w:rsidRPr="00166E08">
        <w:t xml:space="preserve">hat there are many alternatives to our preferred </w:t>
      </w:r>
      <w:r w:rsidRPr="00370E18">
        <w:t xml:space="preserve">interpretive approach. </w:t>
      </w:r>
    </w:p>
    <w:p w14:paraId="23E0E472" w14:textId="768D514C" w:rsidR="00370E18" w:rsidRDefault="00F55C69" w:rsidP="00313088">
      <w:pPr>
        <w:tabs>
          <w:tab w:val="left" w:pos="9026"/>
        </w:tabs>
        <w:spacing w:after="240" w:line="360" w:lineRule="auto"/>
        <w:ind w:right="-46"/>
        <w:rPr>
          <w:rFonts w:asciiTheme="majorBidi" w:hAnsiTheme="majorBidi" w:cstheme="majorBidi"/>
        </w:rPr>
      </w:pPr>
      <w:r w:rsidRPr="00370E18">
        <w:t>Irrespective of discipline, everyone employing ethnography owes a major deb</w:t>
      </w:r>
      <w:r w:rsidR="009D3BEE" w:rsidRPr="00370E18">
        <w:t>t</w:t>
      </w:r>
      <w:r w:rsidRPr="00370E18">
        <w:t xml:space="preserve"> to the Chicago School and Whyte’s (1993 [1943] famous study of </w:t>
      </w:r>
      <w:r w:rsidRPr="00370E18">
        <w:rPr>
          <w:bCs/>
          <w:i/>
          <w:iCs/>
          <w:color w:val="000000"/>
          <w:shd w:val="clear" w:color="auto" w:fill="FFFFFF"/>
        </w:rPr>
        <w:t>Street Corner Society</w:t>
      </w:r>
      <w:r w:rsidRPr="00370E18">
        <w:rPr>
          <w:bCs/>
          <w:iCs/>
          <w:color w:val="000000"/>
          <w:shd w:val="clear" w:color="auto" w:fill="FFFFFF"/>
        </w:rPr>
        <w:t xml:space="preserve">. </w:t>
      </w:r>
      <w:r w:rsidRPr="00370E18">
        <w:rPr>
          <w:color w:val="000000"/>
          <w:shd w:val="clear" w:color="auto" w:fill="FFFFFF"/>
        </w:rPr>
        <w:t xml:space="preserve">Any reader wishing to explore sociology and ethnography can start with Atkinson et al. (2001) and Hammersley and Atkinson (2007) [1983]. </w:t>
      </w:r>
      <w:r w:rsidR="00550DF5" w:rsidRPr="00370E18">
        <w:rPr>
          <w:color w:val="000000"/>
          <w:shd w:val="clear" w:color="auto" w:fill="FFFFFF"/>
        </w:rPr>
        <w:t xml:space="preserve">However, all is not well </w:t>
      </w:r>
      <w:r w:rsidR="009D3BEE" w:rsidRPr="00370E18">
        <w:rPr>
          <w:color w:val="000000"/>
          <w:shd w:val="clear" w:color="auto" w:fill="FFFFFF"/>
        </w:rPr>
        <w:t>with ethn</w:t>
      </w:r>
      <w:r w:rsidR="00550DF5" w:rsidRPr="00370E18">
        <w:rPr>
          <w:color w:val="000000"/>
          <w:shd w:val="clear" w:color="auto" w:fill="FFFFFF"/>
        </w:rPr>
        <w:t xml:space="preserve">ography in sociology. </w:t>
      </w:r>
      <w:r w:rsidR="00550DF5" w:rsidRPr="00370E18">
        <w:rPr>
          <w:rFonts w:asciiTheme="majorBidi" w:hAnsiTheme="majorBidi" w:cstheme="majorBidi"/>
        </w:rPr>
        <w:t xml:space="preserve">Taylor (2014) argues ethnography is ‘endangered’ because it </w:t>
      </w:r>
      <w:r w:rsidR="009D3BEE" w:rsidRPr="00370E18">
        <w:rPr>
          <w:rFonts w:asciiTheme="majorBidi" w:hAnsiTheme="majorBidi" w:cstheme="majorBidi"/>
        </w:rPr>
        <w:t>takes</w:t>
      </w:r>
      <w:r w:rsidR="00550DF5" w:rsidRPr="00370E18">
        <w:rPr>
          <w:rFonts w:asciiTheme="majorBidi" w:hAnsiTheme="majorBidi" w:cstheme="majorBidi"/>
        </w:rPr>
        <w:t xml:space="preserve"> a long time, </w:t>
      </w:r>
      <w:r w:rsidR="009D3BEE" w:rsidRPr="00370E18">
        <w:rPr>
          <w:rFonts w:asciiTheme="majorBidi" w:hAnsiTheme="majorBidi" w:cstheme="majorBidi"/>
        </w:rPr>
        <w:t>is</w:t>
      </w:r>
      <w:r w:rsidR="00550DF5" w:rsidRPr="00370E18">
        <w:rPr>
          <w:rFonts w:asciiTheme="majorBidi" w:hAnsiTheme="majorBidi" w:cstheme="majorBidi"/>
        </w:rPr>
        <w:t xml:space="preserve"> ethically sensitive</w:t>
      </w:r>
      <w:r w:rsidR="009D3BEE" w:rsidRPr="00370E18">
        <w:rPr>
          <w:rFonts w:asciiTheme="majorBidi" w:hAnsiTheme="majorBidi" w:cstheme="majorBidi"/>
        </w:rPr>
        <w:t xml:space="preserve">, </w:t>
      </w:r>
      <w:r w:rsidR="00550DF5" w:rsidRPr="00370E18">
        <w:rPr>
          <w:rFonts w:asciiTheme="majorBidi" w:hAnsiTheme="majorBidi" w:cstheme="majorBidi"/>
        </w:rPr>
        <w:t>difficult</w:t>
      </w:r>
      <w:r w:rsidR="009D3BEE" w:rsidRPr="00370E18">
        <w:rPr>
          <w:rFonts w:asciiTheme="majorBidi" w:hAnsiTheme="majorBidi" w:cstheme="majorBidi"/>
        </w:rPr>
        <w:t xml:space="preserve"> to fund,</w:t>
      </w:r>
      <w:r w:rsidR="00550DF5" w:rsidRPr="00370E18">
        <w:rPr>
          <w:rFonts w:asciiTheme="majorBidi" w:hAnsiTheme="majorBidi" w:cstheme="majorBidi"/>
        </w:rPr>
        <w:t xml:space="preserve"> </w:t>
      </w:r>
      <w:r w:rsidR="009D3BEE" w:rsidRPr="00370E18">
        <w:rPr>
          <w:rFonts w:asciiTheme="majorBidi" w:hAnsiTheme="majorBidi" w:cstheme="majorBidi"/>
        </w:rPr>
        <w:t xml:space="preserve">and does not fit well with the </w:t>
      </w:r>
      <w:r w:rsidR="00550DF5" w:rsidRPr="00370E18">
        <w:rPr>
          <w:rFonts w:asciiTheme="majorBidi" w:hAnsiTheme="majorBidi" w:cstheme="majorBidi"/>
        </w:rPr>
        <w:t>performance assessment regime in UK</w:t>
      </w:r>
      <w:r w:rsidR="009D3BEE" w:rsidRPr="00370E18">
        <w:rPr>
          <w:rFonts w:asciiTheme="majorBidi" w:hAnsiTheme="majorBidi" w:cstheme="majorBidi"/>
        </w:rPr>
        <w:t xml:space="preserve"> universities. The irony is not lost on us that we argue for an approach </w:t>
      </w:r>
      <w:r w:rsidR="002210DB">
        <w:rPr>
          <w:rFonts w:asciiTheme="majorBidi" w:hAnsiTheme="majorBidi" w:cstheme="majorBidi"/>
        </w:rPr>
        <w:t xml:space="preserve">that is </w:t>
      </w:r>
      <w:r w:rsidR="009D3BEE" w:rsidRPr="00370E18">
        <w:rPr>
          <w:rFonts w:asciiTheme="majorBidi" w:hAnsiTheme="majorBidi" w:cstheme="majorBidi"/>
        </w:rPr>
        <w:t xml:space="preserve">out of favour in its heartland. </w:t>
      </w:r>
    </w:p>
    <w:p w14:paraId="47706A9E" w14:textId="333682DD" w:rsidR="009D3BEE" w:rsidRPr="002210DB" w:rsidRDefault="00F55C69" w:rsidP="00313088">
      <w:pPr>
        <w:spacing w:line="360" w:lineRule="auto"/>
      </w:pPr>
      <w:r w:rsidRPr="00370E18">
        <w:rPr>
          <w:shd w:val="clear" w:color="auto" w:fill="FFFFFF"/>
        </w:rPr>
        <w:t>The relevant theoretical perspectives</w:t>
      </w:r>
      <w:r w:rsidR="00370E18">
        <w:rPr>
          <w:shd w:val="clear" w:color="auto" w:fill="FFFFFF"/>
        </w:rPr>
        <w:t xml:space="preserve"> can</w:t>
      </w:r>
      <w:r w:rsidRPr="00370E18">
        <w:rPr>
          <w:shd w:val="clear" w:color="auto" w:fill="FFFFFF"/>
        </w:rPr>
        <w:t xml:space="preserve"> include </w:t>
      </w:r>
      <w:r w:rsidR="00166E08" w:rsidRPr="00166E08">
        <w:rPr>
          <w:rFonts w:cs="Minion Condensed"/>
        </w:rPr>
        <w:t xml:space="preserve">constructivism, cultural studies, </w:t>
      </w:r>
      <w:r w:rsidR="00166E08" w:rsidRPr="00166E08">
        <w:t>ethnomethodology</w:t>
      </w:r>
      <w:r w:rsidR="00166E08">
        <w:rPr>
          <w:rFonts w:cs="Minion Condensed"/>
        </w:rPr>
        <w:t xml:space="preserve">, </w:t>
      </w:r>
      <w:r w:rsidR="00166E08" w:rsidRPr="00166E08">
        <w:rPr>
          <w:rFonts w:cs="Minion Condensed"/>
        </w:rPr>
        <w:t xml:space="preserve">feminism, </w:t>
      </w:r>
      <w:r w:rsidR="00166E08">
        <w:rPr>
          <w:rFonts w:cs="Minion Condensed"/>
        </w:rPr>
        <w:t xml:space="preserve">governmentality, </w:t>
      </w:r>
      <w:r w:rsidR="00166E08" w:rsidRPr="00166E08">
        <w:t>hermeneutics</w:t>
      </w:r>
      <w:r w:rsidR="00166E08">
        <w:rPr>
          <w:rFonts w:cs="Minion Condensed"/>
        </w:rPr>
        <w:t xml:space="preserve">, </w:t>
      </w:r>
      <w:r w:rsidR="00166E08" w:rsidRPr="00166E08">
        <w:rPr>
          <w:rFonts w:cs="Minion Condensed"/>
        </w:rPr>
        <w:t xml:space="preserve">Marxism, </w:t>
      </w:r>
      <w:r w:rsidR="00166E08" w:rsidRPr="00166E08">
        <w:t xml:space="preserve">phenomenology, </w:t>
      </w:r>
      <w:r w:rsidR="00166E08">
        <w:t xml:space="preserve">pragmatism, </w:t>
      </w:r>
      <w:r w:rsidR="00166E08" w:rsidRPr="00166E08">
        <w:t>and psychoanalysis</w:t>
      </w:r>
      <w:r w:rsidRPr="00166E08">
        <w:rPr>
          <w:shd w:val="clear" w:color="auto" w:fill="FFFFFF"/>
        </w:rPr>
        <w:t>. For a brief review</w:t>
      </w:r>
      <w:r w:rsidR="009D3BEE" w:rsidRPr="00166E08">
        <w:rPr>
          <w:shd w:val="clear" w:color="auto" w:fill="FFFFFF"/>
        </w:rPr>
        <w:t>,</w:t>
      </w:r>
      <w:r w:rsidRPr="00166E08">
        <w:rPr>
          <w:shd w:val="clear" w:color="auto" w:fill="FFFFFF"/>
        </w:rPr>
        <w:t xml:space="preserve"> see</w:t>
      </w:r>
      <w:r w:rsidR="009D3BEE" w:rsidRPr="00166E08">
        <w:rPr>
          <w:shd w:val="clear" w:color="auto" w:fill="FFFFFF"/>
        </w:rPr>
        <w:t>:</w:t>
      </w:r>
      <w:r w:rsidRPr="00166E08">
        <w:rPr>
          <w:shd w:val="clear" w:color="auto" w:fill="FFFFFF"/>
        </w:rPr>
        <w:t xml:space="preserve"> </w:t>
      </w:r>
      <w:r w:rsidRPr="00166E08">
        <w:rPr>
          <w:color w:val="000000" w:themeColor="text1"/>
        </w:rPr>
        <w:t>Denzin and Lincoln (2011) [1994]</w:t>
      </w:r>
      <w:r w:rsidR="00370E18">
        <w:rPr>
          <w:color w:val="000000" w:themeColor="text1"/>
        </w:rPr>
        <w:t>:</w:t>
      </w:r>
      <w:r w:rsidR="00166E08">
        <w:rPr>
          <w:color w:val="000000" w:themeColor="text1"/>
        </w:rPr>
        <w:t xml:space="preserve"> Part II</w:t>
      </w:r>
      <w:r w:rsidR="00550DF5" w:rsidRPr="00166E08">
        <w:rPr>
          <w:color w:val="000000" w:themeColor="text1"/>
        </w:rPr>
        <w:t xml:space="preserve">; and Bevir and Rhodes </w:t>
      </w:r>
      <w:r w:rsidR="00166E08">
        <w:rPr>
          <w:color w:val="000000" w:themeColor="text1"/>
        </w:rPr>
        <w:t>(</w:t>
      </w:r>
      <w:r w:rsidR="00550DF5" w:rsidRPr="00166E08">
        <w:rPr>
          <w:color w:val="000000" w:themeColor="text1"/>
        </w:rPr>
        <w:t>2015</w:t>
      </w:r>
      <w:r w:rsidR="00166E08">
        <w:rPr>
          <w:color w:val="000000" w:themeColor="text1"/>
        </w:rPr>
        <w:t>):</w:t>
      </w:r>
      <w:r w:rsidR="00550DF5" w:rsidRPr="00166E08">
        <w:rPr>
          <w:color w:val="000000" w:themeColor="text1"/>
        </w:rPr>
        <w:t xml:space="preserve"> Part II. For any reader un</w:t>
      </w:r>
      <w:r w:rsidRPr="00166E08">
        <w:rPr>
          <w:color w:val="000000" w:themeColor="text1"/>
        </w:rPr>
        <w:t xml:space="preserve">persuaded by </w:t>
      </w:r>
      <w:r w:rsidR="002210DB">
        <w:rPr>
          <w:color w:val="000000" w:themeColor="text1"/>
        </w:rPr>
        <w:t>our</w:t>
      </w:r>
      <w:r w:rsidRPr="00166E08">
        <w:rPr>
          <w:color w:val="000000" w:themeColor="text1"/>
        </w:rPr>
        <w:t xml:space="preserve"> interpretive approach, their search for an alternative could begin with </w:t>
      </w:r>
      <w:r w:rsidR="009D3BEE" w:rsidRPr="00166E08">
        <w:t xml:space="preserve">Glaser and Strauss (2017) [1967)] </w:t>
      </w:r>
      <w:r w:rsidRPr="00166E08">
        <w:rPr>
          <w:color w:val="000000" w:themeColor="text1"/>
        </w:rPr>
        <w:t>on grounded theory</w:t>
      </w:r>
      <w:r w:rsidR="00166E08">
        <w:rPr>
          <w:color w:val="000000" w:themeColor="text1"/>
        </w:rPr>
        <w:t>,</w:t>
      </w:r>
      <w:r w:rsidRPr="00166E08">
        <w:rPr>
          <w:color w:val="000000" w:themeColor="text1"/>
        </w:rPr>
        <w:t xml:space="preserve"> and </w:t>
      </w:r>
      <w:r w:rsidR="002210DB" w:rsidRPr="00166E08">
        <w:rPr>
          <w:color w:val="000000" w:themeColor="text1"/>
        </w:rPr>
        <w:t>Goffman</w:t>
      </w:r>
      <w:r w:rsidRPr="00166E08">
        <w:rPr>
          <w:color w:val="000000" w:themeColor="text1"/>
        </w:rPr>
        <w:t xml:space="preserve"> (</w:t>
      </w:r>
      <w:r w:rsidR="00550DF5" w:rsidRPr="00166E08">
        <w:rPr>
          <w:color w:val="000000" w:themeColor="text1"/>
        </w:rPr>
        <w:t>1999</w:t>
      </w:r>
      <w:r w:rsidRPr="00166E08">
        <w:rPr>
          <w:color w:val="000000" w:themeColor="text1"/>
        </w:rPr>
        <w:t>) [1956] on symbolic interaction</w:t>
      </w:r>
      <w:r w:rsidR="00166E08">
        <w:rPr>
          <w:color w:val="000000" w:themeColor="text1"/>
        </w:rPr>
        <w:t>ism</w:t>
      </w:r>
      <w:r w:rsidRPr="00166E08">
        <w:rPr>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inion Condensed">
    <w:altName w:val="Minion Condensed"/>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02341"/>
      <w:docPartObj>
        <w:docPartGallery w:val="Page Numbers (Bottom of Page)"/>
        <w:docPartUnique/>
      </w:docPartObj>
    </w:sdtPr>
    <w:sdtEndPr>
      <w:rPr>
        <w:noProof/>
      </w:rPr>
    </w:sdtEndPr>
    <w:sdtContent>
      <w:p w14:paraId="5119ADB9" w14:textId="7C86C5E1" w:rsidR="00F55C69" w:rsidRDefault="00F55C69">
        <w:pPr>
          <w:pStyle w:val="Footer"/>
          <w:jc w:val="right"/>
        </w:pPr>
        <w:r>
          <w:fldChar w:fldCharType="begin"/>
        </w:r>
        <w:r>
          <w:instrText xml:space="preserve"> PAGE   \* MERGEFORMAT </w:instrText>
        </w:r>
        <w:r>
          <w:fldChar w:fldCharType="separate"/>
        </w:r>
        <w:r w:rsidR="00404A7C">
          <w:rPr>
            <w:noProof/>
          </w:rPr>
          <w:t>1</w:t>
        </w:r>
        <w:r>
          <w:rPr>
            <w:noProof/>
          </w:rPr>
          <w:fldChar w:fldCharType="end"/>
        </w:r>
      </w:p>
    </w:sdtContent>
  </w:sdt>
  <w:p w14:paraId="4BBE101D" w14:textId="77777777" w:rsidR="00F55C69" w:rsidRDefault="00F55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12C40" w14:textId="77777777" w:rsidR="00F219D3" w:rsidRDefault="00F219D3" w:rsidP="00576FF2">
      <w:r>
        <w:separator/>
      </w:r>
    </w:p>
  </w:footnote>
  <w:footnote w:type="continuationSeparator" w:id="0">
    <w:p w14:paraId="1F18948D" w14:textId="77777777" w:rsidR="00F219D3" w:rsidRDefault="00F219D3" w:rsidP="00576FF2">
      <w:r>
        <w:continuationSeparator/>
      </w:r>
    </w:p>
  </w:footnote>
  <w:footnote w:id="1">
    <w:p w14:paraId="2C305947" w14:textId="0770ECA9" w:rsidR="006A027A" w:rsidRDefault="006A027A">
      <w:pPr>
        <w:pStyle w:val="FootnoteText"/>
      </w:pPr>
      <w:r>
        <w:rPr>
          <w:rStyle w:val="FootnoteReference"/>
        </w:rPr>
        <w:footnoteRef/>
      </w:r>
      <w:r>
        <w:t xml:space="preserve"> A slightly amended version of this paper is forthcoming in the </w:t>
      </w:r>
      <w:r w:rsidRPr="00045097">
        <w:rPr>
          <w:i/>
          <w:iCs/>
        </w:rPr>
        <w:t>European Journal of Political Research</w:t>
      </w:r>
      <w:r w:rsidR="0004509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ACF"/>
    <w:multiLevelType w:val="hybridMultilevel"/>
    <w:tmpl w:val="E8A22FA4"/>
    <w:lvl w:ilvl="0" w:tplc="717AF23C">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52C4C"/>
    <w:multiLevelType w:val="hybridMultilevel"/>
    <w:tmpl w:val="1166FC5C"/>
    <w:lvl w:ilvl="0" w:tplc="DCDC7C04">
      <w:start w:val="1"/>
      <w:numFmt w:val="decimal"/>
      <w:lvlText w:val="%1."/>
      <w:lvlJc w:val="left"/>
      <w:pPr>
        <w:ind w:left="0" w:hanging="360"/>
      </w:pPr>
      <w:rPr>
        <w:rFonts w:hint="default"/>
      </w:rPr>
    </w:lvl>
    <w:lvl w:ilvl="1" w:tplc="08090019">
      <w:start w:val="1"/>
      <w:numFmt w:val="lowerLetter"/>
      <w:lvlText w:val="%2."/>
      <w:lvlJc w:val="left"/>
      <w:pPr>
        <w:ind w:left="720" w:hanging="360"/>
      </w:pPr>
    </w:lvl>
    <w:lvl w:ilvl="2" w:tplc="DCDC7C04">
      <w:start w:val="1"/>
      <w:numFmt w:val="decimal"/>
      <w:lvlText w:val="%3."/>
      <w:lvlJc w:val="left"/>
      <w:pPr>
        <w:ind w:left="1440" w:hanging="180"/>
      </w:pPr>
      <w:rPr>
        <w:rFonts w:hint="default"/>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D77056F"/>
    <w:multiLevelType w:val="hybridMultilevel"/>
    <w:tmpl w:val="3A4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339F"/>
    <w:multiLevelType w:val="hybridMultilevel"/>
    <w:tmpl w:val="3F6E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D7205"/>
    <w:multiLevelType w:val="hybridMultilevel"/>
    <w:tmpl w:val="E26E543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8E75DA"/>
    <w:multiLevelType w:val="hybridMultilevel"/>
    <w:tmpl w:val="CF8CBE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EC2708"/>
    <w:multiLevelType w:val="hybridMultilevel"/>
    <w:tmpl w:val="381AA86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EAD6B18"/>
    <w:multiLevelType w:val="hybridMultilevel"/>
    <w:tmpl w:val="2962F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A5A91"/>
    <w:multiLevelType w:val="hybridMultilevel"/>
    <w:tmpl w:val="789A45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CD87665"/>
    <w:multiLevelType w:val="hybridMultilevel"/>
    <w:tmpl w:val="EF3EE1D8"/>
    <w:lvl w:ilvl="0" w:tplc="4600ECB2">
      <w:start w:val="1"/>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E1FBC"/>
    <w:multiLevelType w:val="hybridMultilevel"/>
    <w:tmpl w:val="366C16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864388"/>
    <w:multiLevelType w:val="hybridMultilevel"/>
    <w:tmpl w:val="FD36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B5CFD"/>
    <w:multiLevelType w:val="multilevel"/>
    <w:tmpl w:val="38C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40D26"/>
    <w:multiLevelType w:val="multilevel"/>
    <w:tmpl w:val="3B6A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741BE"/>
    <w:multiLevelType w:val="hybridMultilevel"/>
    <w:tmpl w:val="C05A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41F5B"/>
    <w:multiLevelType w:val="hybridMultilevel"/>
    <w:tmpl w:val="8E000B34"/>
    <w:lvl w:ilvl="0" w:tplc="FA58CE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76666E"/>
    <w:multiLevelType w:val="hybridMultilevel"/>
    <w:tmpl w:val="B74E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060DA"/>
    <w:multiLevelType w:val="hybridMultilevel"/>
    <w:tmpl w:val="9E1E69F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E11B76"/>
    <w:multiLevelType w:val="hybridMultilevel"/>
    <w:tmpl w:val="B0D8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C187F"/>
    <w:multiLevelType w:val="hybridMultilevel"/>
    <w:tmpl w:val="366C16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EB71F6"/>
    <w:multiLevelType w:val="multilevel"/>
    <w:tmpl w:val="8CF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929F3"/>
    <w:multiLevelType w:val="hybridMultilevel"/>
    <w:tmpl w:val="1AA2031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6"/>
  </w:num>
  <w:num w:numId="2">
    <w:abstractNumId w:val="2"/>
  </w:num>
  <w:num w:numId="3">
    <w:abstractNumId w:val="18"/>
  </w:num>
  <w:num w:numId="4">
    <w:abstractNumId w:val="14"/>
  </w:num>
  <w:num w:numId="5">
    <w:abstractNumId w:val="3"/>
  </w:num>
  <w:num w:numId="6">
    <w:abstractNumId w:val="11"/>
  </w:num>
  <w:num w:numId="7">
    <w:abstractNumId w:val="1"/>
  </w:num>
  <w:num w:numId="8">
    <w:abstractNumId w:val="9"/>
  </w:num>
  <w:num w:numId="9">
    <w:abstractNumId w:val="7"/>
  </w:num>
  <w:num w:numId="10">
    <w:abstractNumId w:val="4"/>
  </w:num>
  <w:num w:numId="11">
    <w:abstractNumId w:val="0"/>
  </w:num>
  <w:num w:numId="12">
    <w:abstractNumId w:val="17"/>
  </w:num>
  <w:num w:numId="13">
    <w:abstractNumId w:val="6"/>
  </w:num>
  <w:num w:numId="14">
    <w:abstractNumId w:val="8"/>
  </w:num>
  <w:num w:numId="15">
    <w:abstractNumId w:val="5"/>
  </w:num>
  <w:num w:numId="16">
    <w:abstractNumId w:val="10"/>
  </w:num>
  <w:num w:numId="17">
    <w:abstractNumId w:val="19"/>
  </w:num>
  <w:num w:numId="18">
    <w:abstractNumId w:val="21"/>
  </w:num>
  <w:num w:numId="19">
    <w:abstractNumId w:val="20"/>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58"/>
    <w:rsid w:val="00000645"/>
    <w:rsid w:val="00000B6B"/>
    <w:rsid w:val="000113E1"/>
    <w:rsid w:val="0001185B"/>
    <w:rsid w:val="00013B2B"/>
    <w:rsid w:val="00013E2F"/>
    <w:rsid w:val="00015726"/>
    <w:rsid w:val="00016DCA"/>
    <w:rsid w:val="0002034E"/>
    <w:rsid w:val="000320EE"/>
    <w:rsid w:val="00033A77"/>
    <w:rsid w:val="00033AAC"/>
    <w:rsid w:val="00036A63"/>
    <w:rsid w:val="000413E7"/>
    <w:rsid w:val="0004233E"/>
    <w:rsid w:val="00042724"/>
    <w:rsid w:val="0004278F"/>
    <w:rsid w:val="00042934"/>
    <w:rsid w:val="00045097"/>
    <w:rsid w:val="00057077"/>
    <w:rsid w:val="00060CAE"/>
    <w:rsid w:val="000633F8"/>
    <w:rsid w:val="000634F9"/>
    <w:rsid w:val="00065AF8"/>
    <w:rsid w:val="0006603A"/>
    <w:rsid w:val="00070762"/>
    <w:rsid w:val="0007299F"/>
    <w:rsid w:val="00074470"/>
    <w:rsid w:val="00076310"/>
    <w:rsid w:val="00096D4C"/>
    <w:rsid w:val="000979D4"/>
    <w:rsid w:val="00097D82"/>
    <w:rsid w:val="000A0166"/>
    <w:rsid w:val="000A2D5C"/>
    <w:rsid w:val="000A4F7D"/>
    <w:rsid w:val="000A5436"/>
    <w:rsid w:val="000B1B9E"/>
    <w:rsid w:val="000B24EB"/>
    <w:rsid w:val="000B43D9"/>
    <w:rsid w:val="000C0A84"/>
    <w:rsid w:val="000C179A"/>
    <w:rsid w:val="000C4573"/>
    <w:rsid w:val="000C55E2"/>
    <w:rsid w:val="000C6CB1"/>
    <w:rsid w:val="000D09A7"/>
    <w:rsid w:val="000D47AC"/>
    <w:rsid w:val="000E0B31"/>
    <w:rsid w:val="000E19B0"/>
    <w:rsid w:val="000E6939"/>
    <w:rsid w:val="000F09BE"/>
    <w:rsid w:val="0010160C"/>
    <w:rsid w:val="0010593D"/>
    <w:rsid w:val="001104A5"/>
    <w:rsid w:val="00115714"/>
    <w:rsid w:val="0011751C"/>
    <w:rsid w:val="001232EA"/>
    <w:rsid w:val="001274C3"/>
    <w:rsid w:val="00133D3A"/>
    <w:rsid w:val="00140982"/>
    <w:rsid w:val="00144C15"/>
    <w:rsid w:val="00144F5A"/>
    <w:rsid w:val="00146328"/>
    <w:rsid w:val="00151D63"/>
    <w:rsid w:val="00152FE8"/>
    <w:rsid w:val="00153AE3"/>
    <w:rsid w:val="0015647F"/>
    <w:rsid w:val="00162AAA"/>
    <w:rsid w:val="00163DE3"/>
    <w:rsid w:val="00166E08"/>
    <w:rsid w:val="0017048D"/>
    <w:rsid w:val="0017094F"/>
    <w:rsid w:val="00174190"/>
    <w:rsid w:val="00174549"/>
    <w:rsid w:val="001819A4"/>
    <w:rsid w:val="00181E99"/>
    <w:rsid w:val="001915F3"/>
    <w:rsid w:val="00191A58"/>
    <w:rsid w:val="001936D7"/>
    <w:rsid w:val="00195268"/>
    <w:rsid w:val="001961FC"/>
    <w:rsid w:val="001A060D"/>
    <w:rsid w:val="001A3D13"/>
    <w:rsid w:val="001A4D6D"/>
    <w:rsid w:val="001A50D1"/>
    <w:rsid w:val="001A768D"/>
    <w:rsid w:val="001A7ADA"/>
    <w:rsid w:val="001B0D02"/>
    <w:rsid w:val="001B2681"/>
    <w:rsid w:val="001B305A"/>
    <w:rsid w:val="001B3E44"/>
    <w:rsid w:val="001B4489"/>
    <w:rsid w:val="001B4D50"/>
    <w:rsid w:val="001B60DB"/>
    <w:rsid w:val="001B6B0F"/>
    <w:rsid w:val="001C127E"/>
    <w:rsid w:val="001C41FB"/>
    <w:rsid w:val="001C4AC8"/>
    <w:rsid w:val="001D354B"/>
    <w:rsid w:val="001E23B5"/>
    <w:rsid w:val="001E331F"/>
    <w:rsid w:val="001E6E9F"/>
    <w:rsid w:val="001F2F04"/>
    <w:rsid w:val="001F459E"/>
    <w:rsid w:val="001F629A"/>
    <w:rsid w:val="002028AC"/>
    <w:rsid w:val="0020333C"/>
    <w:rsid w:val="002035AF"/>
    <w:rsid w:val="00205981"/>
    <w:rsid w:val="00205F6C"/>
    <w:rsid w:val="0020752D"/>
    <w:rsid w:val="00210811"/>
    <w:rsid w:val="002200AA"/>
    <w:rsid w:val="002210DB"/>
    <w:rsid w:val="00222DDB"/>
    <w:rsid w:val="00232A3D"/>
    <w:rsid w:val="0023448A"/>
    <w:rsid w:val="0023675B"/>
    <w:rsid w:val="00237C57"/>
    <w:rsid w:val="00243BB9"/>
    <w:rsid w:val="002450CC"/>
    <w:rsid w:val="00247655"/>
    <w:rsid w:val="00250354"/>
    <w:rsid w:val="00257E8B"/>
    <w:rsid w:val="00262143"/>
    <w:rsid w:val="002653C5"/>
    <w:rsid w:val="00272D4E"/>
    <w:rsid w:val="00273D6D"/>
    <w:rsid w:val="00276BF4"/>
    <w:rsid w:val="0028038B"/>
    <w:rsid w:val="0029114D"/>
    <w:rsid w:val="002A2235"/>
    <w:rsid w:val="002B1E2A"/>
    <w:rsid w:val="002B3320"/>
    <w:rsid w:val="002B56D1"/>
    <w:rsid w:val="002C125A"/>
    <w:rsid w:val="002C2DAF"/>
    <w:rsid w:val="002D2D63"/>
    <w:rsid w:val="002D6DB0"/>
    <w:rsid w:val="002E0D00"/>
    <w:rsid w:val="002E6DFE"/>
    <w:rsid w:val="0030075C"/>
    <w:rsid w:val="003017A5"/>
    <w:rsid w:val="00301EA1"/>
    <w:rsid w:val="003031B7"/>
    <w:rsid w:val="00310BD4"/>
    <w:rsid w:val="00313088"/>
    <w:rsid w:val="00322E29"/>
    <w:rsid w:val="003257D1"/>
    <w:rsid w:val="0033001D"/>
    <w:rsid w:val="00332185"/>
    <w:rsid w:val="0033587F"/>
    <w:rsid w:val="00340F93"/>
    <w:rsid w:val="00341746"/>
    <w:rsid w:val="0034493A"/>
    <w:rsid w:val="0035136A"/>
    <w:rsid w:val="0035380C"/>
    <w:rsid w:val="00364E04"/>
    <w:rsid w:val="00370E18"/>
    <w:rsid w:val="00376185"/>
    <w:rsid w:val="00377E9C"/>
    <w:rsid w:val="00380105"/>
    <w:rsid w:val="00384D22"/>
    <w:rsid w:val="00384F62"/>
    <w:rsid w:val="00387A2A"/>
    <w:rsid w:val="003928B1"/>
    <w:rsid w:val="003958D2"/>
    <w:rsid w:val="003B02D4"/>
    <w:rsid w:val="003B09EA"/>
    <w:rsid w:val="003B0C87"/>
    <w:rsid w:val="003B48C8"/>
    <w:rsid w:val="003C1BBA"/>
    <w:rsid w:val="003C5808"/>
    <w:rsid w:val="003C685D"/>
    <w:rsid w:val="003C7BDF"/>
    <w:rsid w:val="003D1460"/>
    <w:rsid w:val="003E0D7B"/>
    <w:rsid w:val="003E3922"/>
    <w:rsid w:val="003E3B20"/>
    <w:rsid w:val="003E40CF"/>
    <w:rsid w:val="003E48DE"/>
    <w:rsid w:val="003E7776"/>
    <w:rsid w:val="003F3901"/>
    <w:rsid w:val="003F3969"/>
    <w:rsid w:val="003F3B55"/>
    <w:rsid w:val="003F4142"/>
    <w:rsid w:val="0040429B"/>
    <w:rsid w:val="00404A7C"/>
    <w:rsid w:val="0040618F"/>
    <w:rsid w:val="00410841"/>
    <w:rsid w:val="0041524E"/>
    <w:rsid w:val="004163E5"/>
    <w:rsid w:val="00423D7E"/>
    <w:rsid w:val="00426BFB"/>
    <w:rsid w:val="004301F5"/>
    <w:rsid w:val="00431972"/>
    <w:rsid w:val="0043435B"/>
    <w:rsid w:val="0043517A"/>
    <w:rsid w:val="00442297"/>
    <w:rsid w:val="00452819"/>
    <w:rsid w:val="00456646"/>
    <w:rsid w:val="0046304F"/>
    <w:rsid w:val="004635ED"/>
    <w:rsid w:val="00463BA4"/>
    <w:rsid w:val="004640BB"/>
    <w:rsid w:val="0047156D"/>
    <w:rsid w:val="00473C4D"/>
    <w:rsid w:val="00474895"/>
    <w:rsid w:val="004774A6"/>
    <w:rsid w:val="004813C8"/>
    <w:rsid w:val="0048329F"/>
    <w:rsid w:val="00487C8C"/>
    <w:rsid w:val="004925AF"/>
    <w:rsid w:val="00497871"/>
    <w:rsid w:val="004A0A75"/>
    <w:rsid w:val="004A1DBB"/>
    <w:rsid w:val="004A5F89"/>
    <w:rsid w:val="004A6B4E"/>
    <w:rsid w:val="004A6BE0"/>
    <w:rsid w:val="004A7DD9"/>
    <w:rsid w:val="004B72CA"/>
    <w:rsid w:val="004C2D62"/>
    <w:rsid w:val="004D0A22"/>
    <w:rsid w:val="004D1A61"/>
    <w:rsid w:val="004D52E9"/>
    <w:rsid w:val="004D5B59"/>
    <w:rsid w:val="004E6098"/>
    <w:rsid w:val="004F2033"/>
    <w:rsid w:val="004F2458"/>
    <w:rsid w:val="004F4BEC"/>
    <w:rsid w:val="005003ED"/>
    <w:rsid w:val="0050207E"/>
    <w:rsid w:val="00515FDD"/>
    <w:rsid w:val="005165C0"/>
    <w:rsid w:val="00517FA0"/>
    <w:rsid w:val="00530FF2"/>
    <w:rsid w:val="0053796F"/>
    <w:rsid w:val="005458BE"/>
    <w:rsid w:val="00550DF5"/>
    <w:rsid w:val="00565082"/>
    <w:rsid w:val="005658EC"/>
    <w:rsid w:val="005678DC"/>
    <w:rsid w:val="005705FF"/>
    <w:rsid w:val="005719D7"/>
    <w:rsid w:val="00576FF2"/>
    <w:rsid w:val="005772A2"/>
    <w:rsid w:val="00583563"/>
    <w:rsid w:val="0058357D"/>
    <w:rsid w:val="00584831"/>
    <w:rsid w:val="00593F9D"/>
    <w:rsid w:val="00595543"/>
    <w:rsid w:val="005A2142"/>
    <w:rsid w:val="005A4FD0"/>
    <w:rsid w:val="005A5F75"/>
    <w:rsid w:val="005A7186"/>
    <w:rsid w:val="005B75A2"/>
    <w:rsid w:val="005C02F7"/>
    <w:rsid w:val="005C1BB3"/>
    <w:rsid w:val="005C1DD9"/>
    <w:rsid w:val="005D48BB"/>
    <w:rsid w:val="005D4A41"/>
    <w:rsid w:val="005F2D09"/>
    <w:rsid w:val="005F4A55"/>
    <w:rsid w:val="005F52C2"/>
    <w:rsid w:val="00601E1B"/>
    <w:rsid w:val="00604BA8"/>
    <w:rsid w:val="0061340C"/>
    <w:rsid w:val="00616B47"/>
    <w:rsid w:val="00620E7D"/>
    <w:rsid w:val="00625989"/>
    <w:rsid w:val="00635F17"/>
    <w:rsid w:val="0063625B"/>
    <w:rsid w:val="00637C88"/>
    <w:rsid w:val="006415A5"/>
    <w:rsid w:val="006460E0"/>
    <w:rsid w:val="00646AD5"/>
    <w:rsid w:val="0064798A"/>
    <w:rsid w:val="00650F2E"/>
    <w:rsid w:val="00652F2D"/>
    <w:rsid w:val="00656781"/>
    <w:rsid w:val="00657A23"/>
    <w:rsid w:val="006621D0"/>
    <w:rsid w:val="00670E56"/>
    <w:rsid w:val="006733D3"/>
    <w:rsid w:val="0068140F"/>
    <w:rsid w:val="00682371"/>
    <w:rsid w:val="00685355"/>
    <w:rsid w:val="006913DB"/>
    <w:rsid w:val="00694005"/>
    <w:rsid w:val="006946A3"/>
    <w:rsid w:val="00694D05"/>
    <w:rsid w:val="006950EE"/>
    <w:rsid w:val="006A027A"/>
    <w:rsid w:val="006B1075"/>
    <w:rsid w:val="006B4317"/>
    <w:rsid w:val="006B4E91"/>
    <w:rsid w:val="006B7CBB"/>
    <w:rsid w:val="006C30C3"/>
    <w:rsid w:val="006D36E7"/>
    <w:rsid w:val="006E0DAF"/>
    <w:rsid w:val="006E5F92"/>
    <w:rsid w:val="006E629E"/>
    <w:rsid w:val="006E7FCA"/>
    <w:rsid w:val="00702BFB"/>
    <w:rsid w:val="0070595F"/>
    <w:rsid w:val="007067BA"/>
    <w:rsid w:val="00710708"/>
    <w:rsid w:val="0071098C"/>
    <w:rsid w:val="00714902"/>
    <w:rsid w:val="007161B4"/>
    <w:rsid w:val="007232AA"/>
    <w:rsid w:val="007260F0"/>
    <w:rsid w:val="00727459"/>
    <w:rsid w:val="007276ED"/>
    <w:rsid w:val="00732B32"/>
    <w:rsid w:val="007342AA"/>
    <w:rsid w:val="00737120"/>
    <w:rsid w:val="00737A4B"/>
    <w:rsid w:val="00744A38"/>
    <w:rsid w:val="00746E6B"/>
    <w:rsid w:val="00747F92"/>
    <w:rsid w:val="00750F58"/>
    <w:rsid w:val="00756E8C"/>
    <w:rsid w:val="00760674"/>
    <w:rsid w:val="00763588"/>
    <w:rsid w:val="00763ACC"/>
    <w:rsid w:val="007660E7"/>
    <w:rsid w:val="00767E10"/>
    <w:rsid w:val="007704D2"/>
    <w:rsid w:val="00775BF1"/>
    <w:rsid w:val="00776977"/>
    <w:rsid w:val="00777077"/>
    <w:rsid w:val="00781C42"/>
    <w:rsid w:val="00782DE2"/>
    <w:rsid w:val="0078782A"/>
    <w:rsid w:val="00791E15"/>
    <w:rsid w:val="007A65A2"/>
    <w:rsid w:val="007A70A4"/>
    <w:rsid w:val="007B0332"/>
    <w:rsid w:val="007B0AEC"/>
    <w:rsid w:val="007B1382"/>
    <w:rsid w:val="007B3D33"/>
    <w:rsid w:val="007B64CC"/>
    <w:rsid w:val="007C0510"/>
    <w:rsid w:val="007C5C5F"/>
    <w:rsid w:val="007D06F7"/>
    <w:rsid w:val="007D08ED"/>
    <w:rsid w:val="007D0CF8"/>
    <w:rsid w:val="007D60CE"/>
    <w:rsid w:val="007E1EE4"/>
    <w:rsid w:val="007E458B"/>
    <w:rsid w:val="007E6494"/>
    <w:rsid w:val="007F37A9"/>
    <w:rsid w:val="007F3CB5"/>
    <w:rsid w:val="00801B47"/>
    <w:rsid w:val="00802D85"/>
    <w:rsid w:val="00805506"/>
    <w:rsid w:val="0081253F"/>
    <w:rsid w:val="00813384"/>
    <w:rsid w:val="00814D52"/>
    <w:rsid w:val="00816328"/>
    <w:rsid w:val="00820307"/>
    <w:rsid w:val="00821AF2"/>
    <w:rsid w:val="00826D13"/>
    <w:rsid w:val="00845296"/>
    <w:rsid w:val="00845447"/>
    <w:rsid w:val="00854C1B"/>
    <w:rsid w:val="008558A6"/>
    <w:rsid w:val="008641B7"/>
    <w:rsid w:val="0086578A"/>
    <w:rsid w:val="0086655F"/>
    <w:rsid w:val="00872DCE"/>
    <w:rsid w:val="00874ACB"/>
    <w:rsid w:val="008876FA"/>
    <w:rsid w:val="00890F71"/>
    <w:rsid w:val="008A05C2"/>
    <w:rsid w:val="008A07B6"/>
    <w:rsid w:val="008A3732"/>
    <w:rsid w:val="008A3D91"/>
    <w:rsid w:val="008A64A4"/>
    <w:rsid w:val="008A6A54"/>
    <w:rsid w:val="008A779A"/>
    <w:rsid w:val="008B1619"/>
    <w:rsid w:val="008B2FD0"/>
    <w:rsid w:val="008B30FF"/>
    <w:rsid w:val="008B351E"/>
    <w:rsid w:val="008B356E"/>
    <w:rsid w:val="008B45C5"/>
    <w:rsid w:val="008B61BA"/>
    <w:rsid w:val="008B732F"/>
    <w:rsid w:val="008C2E66"/>
    <w:rsid w:val="008C6766"/>
    <w:rsid w:val="008D6E0A"/>
    <w:rsid w:val="008D7492"/>
    <w:rsid w:val="008F4E1C"/>
    <w:rsid w:val="00904A6C"/>
    <w:rsid w:val="00906CF4"/>
    <w:rsid w:val="0091078A"/>
    <w:rsid w:val="00910987"/>
    <w:rsid w:val="00910F2C"/>
    <w:rsid w:val="00912FC8"/>
    <w:rsid w:val="009154A2"/>
    <w:rsid w:val="00916ABB"/>
    <w:rsid w:val="00924D61"/>
    <w:rsid w:val="00931055"/>
    <w:rsid w:val="00931E95"/>
    <w:rsid w:val="009352DD"/>
    <w:rsid w:val="009472B9"/>
    <w:rsid w:val="00954359"/>
    <w:rsid w:val="00957DC0"/>
    <w:rsid w:val="00962F3D"/>
    <w:rsid w:val="00963028"/>
    <w:rsid w:val="009633D1"/>
    <w:rsid w:val="00964518"/>
    <w:rsid w:val="00966465"/>
    <w:rsid w:val="00967B00"/>
    <w:rsid w:val="00973EDB"/>
    <w:rsid w:val="00973F99"/>
    <w:rsid w:val="00974205"/>
    <w:rsid w:val="00976E81"/>
    <w:rsid w:val="009779DD"/>
    <w:rsid w:val="00980158"/>
    <w:rsid w:val="00980B3C"/>
    <w:rsid w:val="009838CB"/>
    <w:rsid w:val="009910C0"/>
    <w:rsid w:val="00992249"/>
    <w:rsid w:val="00994C6C"/>
    <w:rsid w:val="00994D7B"/>
    <w:rsid w:val="00995329"/>
    <w:rsid w:val="0099623A"/>
    <w:rsid w:val="0099736C"/>
    <w:rsid w:val="009A2693"/>
    <w:rsid w:val="009A537C"/>
    <w:rsid w:val="009B2C95"/>
    <w:rsid w:val="009C32AE"/>
    <w:rsid w:val="009C463A"/>
    <w:rsid w:val="009C791C"/>
    <w:rsid w:val="009D3BEE"/>
    <w:rsid w:val="009D6134"/>
    <w:rsid w:val="009D7EFF"/>
    <w:rsid w:val="009F3042"/>
    <w:rsid w:val="009F6B88"/>
    <w:rsid w:val="00A05AF1"/>
    <w:rsid w:val="00A10EE3"/>
    <w:rsid w:val="00A11D2F"/>
    <w:rsid w:val="00A16E1D"/>
    <w:rsid w:val="00A202CA"/>
    <w:rsid w:val="00A22702"/>
    <w:rsid w:val="00A31D1C"/>
    <w:rsid w:val="00A42FD7"/>
    <w:rsid w:val="00A43BB2"/>
    <w:rsid w:val="00A44494"/>
    <w:rsid w:val="00A55EA5"/>
    <w:rsid w:val="00A6112A"/>
    <w:rsid w:val="00A61485"/>
    <w:rsid w:val="00A65C3C"/>
    <w:rsid w:val="00A67053"/>
    <w:rsid w:val="00A7000F"/>
    <w:rsid w:val="00A7003C"/>
    <w:rsid w:val="00A71330"/>
    <w:rsid w:val="00A725F7"/>
    <w:rsid w:val="00A726A6"/>
    <w:rsid w:val="00A812D5"/>
    <w:rsid w:val="00A83AC3"/>
    <w:rsid w:val="00A83E91"/>
    <w:rsid w:val="00A85F6E"/>
    <w:rsid w:val="00A97ED8"/>
    <w:rsid w:val="00AA2159"/>
    <w:rsid w:val="00AA64D8"/>
    <w:rsid w:val="00AA7533"/>
    <w:rsid w:val="00AB1259"/>
    <w:rsid w:val="00AB3F1A"/>
    <w:rsid w:val="00AB5511"/>
    <w:rsid w:val="00AB560C"/>
    <w:rsid w:val="00AB678B"/>
    <w:rsid w:val="00AB6B68"/>
    <w:rsid w:val="00AB7823"/>
    <w:rsid w:val="00AC618A"/>
    <w:rsid w:val="00AD0E7A"/>
    <w:rsid w:val="00AD1689"/>
    <w:rsid w:val="00AD37F4"/>
    <w:rsid w:val="00AD7E63"/>
    <w:rsid w:val="00AE7532"/>
    <w:rsid w:val="00AE778C"/>
    <w:rsid w:val="00AE78B6"/>
    <w:rsid w:val="00B038A6"/>
    <w:rsid w:val="00B069EA"/>
    <w:rsid w:val="00B1542F"/>
    <w:rsid w:val="00B21708"/>
    <w:rsid w:val="00B25AA8"/>
    <w:rsid w:val="00B35829"/>
    <w:rsid w:val="00B35BF1"/>
    <w:rsid w:val="00B3738E"/>
    <w:rsid w:val="00B40263"/>
    <w:rsid w:val="00B44173"/>
    <w:rsid w:val="00B444D9"/>
    <w:rsid w:val="00B453DD"/>
    <w:rsid w:val="00B47B33"/>
    <w:rsid w:val="00B54872"/>
    <w:rsid w:val="00B54D5A"/>
    <w:rsid w:val="00B5580C"/>
    <w:rsid w:val="00B65755"/>
    <w:rsid w:val="00B66232"/>
    <w:rsid w:val="00B710EC"/>
    <w:rsid w:val="00B74900"/>
    <w:rsid w:val="00B77867"/>
    <w:rsid w:val="00B82596"/>
    <w:rsid w:val="00B87431"/>
    <w:rsid w:val="00B87623"/>
    <w:rsid w:val="00B95971"/>
    <w:rsid w:val="00B978E2"/>
    <w:rsid w:val="00BA013E"/>
    <w:rsid w:val="00BA01E6"/>
    <w:rsid w:val="00BA28D1"/>
    <w:rsid w:val="00BA2DCC"/>
    <w:rsid w:val="00BB1655"/>
    <w:rsid w:val="00BC0FB2"/>
    <w:rsid w:val="00BC77CB"/>
    <w:rsid w:val="00BD265B"/>
    <w:rsid w:val="00BD3386"/>
    <w:rsid w:val="00BD5243"/>
    <w:rsid w:val="00BD65CD"/>
    <w:rsid w:val="00BD7E66"/>
    <w:rsid w:val="00BE07ED"/>
    <w:rsid w:val="00BE1F4F"/>
    <w:rsid w:val="00BF4BF2"/>
    <w:rsid w:val="00BF52E2"/>
    <w:rsid w:val="00BF555A"/>
    <w:rsid w:val="00C07ABF"/>
    <w:rsid w:val="00C12DAB"/>
    <w:rsid w:val="00C1726C"/>
    <w:rsid w:val="00C20629"/>
    <w:rsid w:val="00C302D8"/>
    <w:rsid w:val="00C31C50"/>
    <w:rsid w:val="00C3444B"/>
    <w:rsid w:val="00C34BD9"/>
    <w:rsid w:val="00C36BE8"/>
    <w:rsid w:val="00C4042A"/>
    <w:rsid w:val="00C42537"/>
    <w:rsid w:val="00C43F96"/>
    <w:rsid w:val="00C44F65"/>
    <w:rsid w:val="00C466E2"/>
    <w:rsid w:val="00C512EF"/>
    <w:rsid w:val="00C532BF"/>
    <w:rsid w:val="00C56603"/>
    <w:rsid w:val="00C57CD2"/>
    <w:rsid w:val="00C60D7E"/>
    <w:rsid w:val="00C64112"/>
    <w:rsid w:val="00C71A04"/>
    <w:rsid w:val="00C738DD"/>
    <w:rsid w:val="00C758FE"/>
    <w:rsid w:val="00C827E7"/>
    <w:rsid w:val="00C835AE"/>
    <w:rsid w:val="00C84728"/>
    <w:rsid w:val="00C861C0"/>
    <w:rsid w:val="00C87EC4"/>
    <w:rsid w:val="00C93045"/>
    <w:rsid w:val="00CA32C9"/>
    <w:rsid w:val="00CA3BFA"/>
    <w:rsid w:val="00CA45E2"/>
    <w:rsid w:val="00CB05AE"/>
    <w:rsid w:val="00CB4877"/>
    <w:rsid w:val="00CC21A3"/>
    <w:rsid w:val="00CC6CD6"/>
    <w:rsid w:val="00CD4A5B"/>
    <w:rsid w:val="00CE21F7"/>
    <w:rsid w:val="00CE3093"/>
    <w:rsid w:val="00CE3624"/>
    <w:rsid w:val="00CE4BA1"/>
    <w:rsid w:val="00CE51C5"/>
    <w:rsid w:val="00CE7C57"/>
    <w:rsid w:val="00CF3200"/>
    <w:rsid w:val="00CF541A"/>
    <w:rsid w:val="00CF5585"/>
    <w:rsid w:val="00CF58FC"/>
    <w:rsid w:val="00CF6996"/>
    <w:rsid w:val="00D07D87"/>
    <w:rsid w:val="00D102B2"/>
    <w:rsid w:val="00D11C2D"/>
    <w:rsid w:val="00D130DF"/>
    <w:rsid w:val="00D14DD1"/>
    <w:rsid w:val="00D17719"/>
    <w:rsid w:val="00D213EC"/>
    <w:rsid w:val="00D26173"/>
    <w:rsid w:val="00D40411"/>
    <w:rsid w:val="00D5374F"/>
    <w:rsid w:val="00D54F05"/>
    <w:rsid w:val="00D5657D"/>
    <w:rsid w:val="00D622DD"/>
    <w:rsid w:val="00D63F3D"/>
    <w:rsid w:val="00D708D0"/>
    <w:rsid w:val="00D73C29"/>
    <w:rsid w:val="00D75B8E"/>
    <w:rsid w:val="00D76708"/>
    <w:rsid w:val="00D828BE"/>
    <w:rsid w:val="00D852B9"/>
    <w:rsid w:val="00D94355"/>
    <w:rsid w:val="00D96B7A"/>
    <w:rsid w:val="00D96D1C"/>
    <w:rsid w:val="00D97709"/>
    <w:rsid w:val="00DA4192"/>
    <w:rsid w:val="00DB043A"/>
    <w:rsid w:val="00DB0AC5"/>
    <w:rsid w:val="00DB5494"/>
    <w:rsid w:val="00DB63DC"/>
    <w:rsid w:val="00DC0061"/>
    <w:rsid w:val="00DC3E1F"/>
    <w:rsid w:val="00DC7FD6"/>
    <w:rsid w:val="00DD3D3B"/>
    <w:rsid w:val="00DE5194"/>
    <w:rsid w:val="00DE73A5"/>
    <w:rsid w:val="00DE7BE3"/>
    <w:rsid w:val="00DE7D49"/>
    <w:rsid w:val="00DF51C2"/>
    <w:rsid w:val="00DF5E4A"/>
    <w:rsid w:val="00DF7965"/>
    <w:rsid w:val="00E032F3"/>
    <w:rsid w:val="00E07746"/>
    <w:rsid w:val="00E07996"/>
    <w:rsid w:val="00E1128D"/>
    <w:rsid w:val="00E155DA"/>
    <w:rsid w:val="00E1742C"/>
    <w:rsid w:val="00E20FE7"/>
    <w:rsid w:val="00E239DF"/>
    <w:rsid w:val="00E24CF6"/>
    <w:rsid w:val="00E26AC9"/>
    <w:rsid w:val="00E27B85"/>
    <w:rsid w:val="00E313B3"/>
    <w:rsid w:val="00E33456"/>
    <w:rsid w:val="00E40AC1"/>
    <w:rsid w:val="00E44199"/>
    <w:rsid w:val="00E4446F"/>
    <w:rsid w:val="00E505E8"/>
    <w:rsid w:val="00E51DB0"/>
    <w:rsid w:val="00E661D2"/>
    <w:rsid w:val="00E705C7"/>
    <w:rsid w:val="00E70733"/>
    <w:rsid w:val="00E710EE"/>
    <w:rsid w:val="00E71802"/>
    <w:rsid w:val="00E71C3F"/>
    <w:rsid w:val="00E7296C"/>
    <w:rsid w:val="00E748F4"/>
    <w:rsid w:val="00E76F9D"/>
    <w:rsid w:val="00E869D5"/>
    <w:rsid w:val="00E915D9"/>
    <w:rsid w:val="00E92234"/>
    <w:rsid w:val="00E92F83"/>
    <w:rsid w:val="00E94DDA"/>
    <w:rsid w:val="00E969EA"/>
    <w:rsid w:val="00EA3B4C"/>
    <w:rsid w:val="00EA76BF"/>
    <w:rsid w:val="00EB3955"/>
    <w:rsid w:val="00EB68BC"/>
    <w:rsid w:val="00EC6BD1"/>
    <w:rsid w:val="00EC70F2"/>
    <w:rsid w:val="00ED1274"/>
    <w:rsid w:val="00ED1443"/>
    <w:rsid w:val="00ED15EA"/>
    <w:rsid w:val="00EE03B2"/>
    <w:rsid w:val="00EE722A"/>
    <w:rsid w:val="00EF2BE4"/>
    <w:rsid w:val="00EF4959"/>
    <w:rsid w:val="00F0402F"/>
    <w:rsid w:val="00F13574"/>
    <w:rsid w:val="00F14072"/>
    <w:rsid w:val="00F15664"/>
    <w:rsid w:val="00F219D3"/>
    <w:rsid w:val="00F26585"/>
    <w:rsid w:val="00F30580"/>
    <w:rsid w:val="00F34C47"/>
    <w:rsid w:val="00F35F64"/>
    <w:rsid w:val="00F36FF4"/>
    <w:rsid w:val="00F433DE"/>
    <w:rsid w:val="00F45AD5"/>
    <w:rsid w:val="00F5118C"/>
    <w:rsid w:val="00F54D7B"/>
    <w:rsid w:val="00F54E58"/>
    <w:rsid w:val="00F55C69"/>
    <w:rsid w:val="00F5606A"/>
    <w:rsid w:val="00F62C64"/>
    <w:rsid w:val="00F639AD"/>
    <w:rsid w:val="00F6605F"/>
    <w:rsid w:val="00F6744E"/>
    <w:rsid w:val="00F76B54"/>
    <w:rsid w:val="00F77875"/>
    <w:rsid w:val="00F824B9"/>
    <w:rsid w:val="00F83377"/>
    <w:rsid w:val="00F85B1E"/>
    <w:rsid w:val="00F94B83"/>
    <w:rsid w:val="00F957EB"/>
    <w:rsid w:val="00FA25DD"/>
    <w:rsid w:val="00FA5DC1"/>
    <w:rsid w:val="00FA78EF"/>
    <w:rsid w:val="00FB0694"/>
    <w:rsid w:val="00FB1824"/>
    <w:rsid w:val="00FB2349"/>
    <w:rsid w:val="00FB27E7"/>
    <w:rsid w:val="00FC0F42"/>
    <w:rsid w:val="00FD1BF0"/>
    <w:rsid w:val="00FD2644"/>
    <w:rsid w:val="00FD4685"/>
    <w:rsid w:val="00FE5857"/>
    <w:rsid w:val="00FE5F0E"/>
    <w:rsid w:val="00FF02C4"/>
    <w:rsid w:val="00FF2548"/>
    <w:rsid w:val="00FF4BBA"/>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FE079"/>
  <w15:docId w15:val="{A5156CC5-8C33-455B-98C1-328C1F47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8BB"/>
    <w:rPr>
      <w:rFonts w:ascii="Times New Roman" w:hAnsi="Times New Roman" w:cs="Times New Roman"/>
      <w:lang w:val="en-GB" w:eastAsia="en-GB"/>
    </w:rPr>
  </w:style>
  <w:style w:type="paragraph" w:styleId="Heading1">
    <w:name w:val="heading 1"/>
    <w:basedOn w:val="Normal"/>
    <w:next w:val="Normal"/>
    <w:link w:val="Heading1Char"/>
    <w:uiPriority w:val="9"/>
    <w:qFormat/>
    <w:rsid w:val="00000645"/>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link w:val="Heading3Char"/>
    <w:uiPriority w:val="9"/>
    <w:qFormat/>
    <w:rsid w:val="007C0510"/>
    <w:pPr>
      <w:spacing w:before="100" w:beforeAutospacing="1" w:after="100" w:afterAutospacing="1"/>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91A58"/>
    <w:pPr>
      <w:spacing w:before="60" w:after="60"/>
      <w:jc w:val="both"/>
    </w:pPr>
    <w:rPr>
      <w:rFonts w:eastAsia="Times New Roman"/>
      <w:sz w:val="22"/>
      <w:szCs w:val="20"/>
      <w:lang w:eastAsia="en-US"/>
    </w:rPr>
  </w:style>
  <w:style w:type="character" w:customStyle="1" w:styleId="BodyText2Char">
    <w:name w:val="Body Text 2 Char"/>
    <w:basedOn w:val="DefaultParagraphFont"/>
    <w:link w:val="BodyText2"/>
    <w:rsid w:val="00191A58"/>
    <w:rPr>
      <w:rFonts w:ascii="Times New Roman" w:eastAsia="Times New Roman" w:hAnsi="Times New Roman" w:cs="Times New Roman"/>
      <w:sz w:val="22"/>
      <w:szCs w:val="20"/>
      <w:lang w:val="en-GB"/>
    </w:rPr>
  </w:style>
  <w:style w:type="table" w:styleId="TableGrid">
    <w:name w:val="Table Grid"/>
    <w:basedOn w:val="TableNormal"/>
    <w:uiPriority w:val="39"/>
    <w:rsid w:val="00E4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2DD"/>
    <w:rPr>
      <w:color w:val="0000FF" w:themeColor="hyperlink"/>
      <w:u w:val="single"/>
    </w:rPr>
  </w:style>
  <w:style w:type="paragraph" w:styleId="BalloonText">
    <w:name w:val="Balloon Text"/>
    <w:basedOn w:val="Normal"/>
    <w:link w:val="BalloonTextChar"/>
    <w:uiPriority w:val="99"/>
    <w:semiHidden/>
    <w:unhideWhenUsed/>
    <w:rsid w:val="009352DD"/>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9352DD"/>
    <w:rPr>
      <w:rFonts w:ascii="Lucida Grande" w:hAnsi="Lucida Grande" w:cs="Lucida Grande"/>
      <w:sz w:val="18"/>
      <w:szCs w:val="18"/>
    </w:rPr>
  </w:style>
  <w:style w:type="paragraph" w:styleId="ListParagraph">
    <w:name w:val="List Paragraph"/>
    <w:basedOn w:val="Normal"/>
    <w:uiPriority w:val="34"/>
    <w:qFormat/>
    <w:rsid w:val="009352DD"/>
    <w:pPr>
      <w:ind w:left="720"/>
      <w:contextualSpacing/>
    </w:pPr>
    <w:rPr>
      <w:rFonts w:asciiTheme="minorHAnsi" w:hAnsiTheme="minorHAnsi" w:cstheme="minorBidi"/>
      <w:lang w:eastAsia="en-US"/>
    </w:rPr>
  </w:style>
  <w:style w:type="character" w:styleId="FollowedHyperlink">
    <w:name w:val="FollowedHyperlink"/>
    <w:basedOn w:val="DefaultParagraphFont"/>
    <w:uiPriority w:val="99"/>
    <w:semiHidden/>
    <w:unhideWhenUsed/>
    <w:rsid w:val="00EB3955"/>
    <w:rPr>
      <w:color w:val="800080" w:themeColor="followedHyperlink"/>
      <w:u w:val="single"/>
    </w:rPr>
  </w:style>
  <w:style w:type="character" w:styleId="CommentReference">
    <w:name w:val="annotation reference"/>
    <w:basedOn w:val="DefaultParagraphFont"/>
    <w:uiPriority w:val="99"/>
    <w:semiHidden/>
    <w:unhideWhenUsed/>
    <w:rsid w:val="00273D6D"/>
    <w:rPr>
      <w:sz w:val="18"/>
      <w:szCs w:val="18"/>
    </w:rPr>
  </w:style>
  <w:style w:type="paragraph" w:styleId="CommentText">
    <w:name w:val="annotation text"/>
    <w:basedOn w:val="Normal"/>
    <w:link w:val="CommentTextChar"/>
    <w:uiPriority w:val="99"/>
    <w:unhideWhenUsed/>
    <w:rsid w:val="00273D6D"/>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273D6D"/>
  </w:style>
  <w:style w:type="paragraph" w:styleId="CommentSubject">
    <w:name w:val="annotation subject"/>
    <w:basedOn w:val="CommentText"/>
    <w:next w:val="CommentText"/>
    <w:link w:val="CommentSubjectChar"/>
    <w:uiPriority w:val="99"/>
    <w:semiHidden/>
    <w:unhideWhenUsed/>
    <w:rsid w:val="00273D6D"/>
    <w:rPr>
      <w:b/>
      <w:bCs/>
      <w:sz w:val="20"/>
      <w:szCs w:val="20"/>
    </w:rPr>
  </w:style>
  <w:style w:type="character" w:customStyle="1" w:styleId="CommentSubjectChar">
    <w:name w:val="Comment Subject Char"/>
    <w:basedOn w:val="CommentTextChar"/>
    <w:link w:val="CommentSubject"/>
    <w:uiPriority w:val="99"/>
    <w:semiHidden/>
    <w:rsid w:val="00273D6D"/>
    <w:rPr>
      <w:b/>
      <w:bCs/>
      <w:sz w:val="20"/>
      <w:szCs w:val="20"/>
    </w:rPr>
  </w:style>
  <w:style w:type="paragraph" w:styleId="EndnoteText">
    <w:name w:val="endnote text"/>
    <w:basedOn w:val="Normal"/>
    <w:link w:val="EndnoteTextChar"/>
    <w:unhideWhenUsed/>
    <w:rsid w:val="00273D6D"/>
    <w:rPr>
      <w:rFonts w:eastAsia="SimSun"/>
      <w:sz w:val="20"/>
      <w:szCs w:val="20"/>
      <w:lang w:eastAsia="zh-CN"/>
    </w:rPr>
  </w:style>
  <w:style w:type="character" w:customStyle="1" w:styleId="EndnoteTextChar">
    <w:name w:val="Endnote Text Char"/>
    <w:basedOn w:val="DefaultParagraphFont"/>
    <w:link w:val="EndnoteText"/>
    <w:rsid w:val="00273D6D"/>
    <w:rPr>
      <w:rFonts w:ascii="Times New Roman" w:eastAsia="SimSun" w:hAnsi="Times New Roman" w:cs="Times New Roman"/>
      <w:sz w:val="20"/>
      <w:szCs w:val="20"/>
      <w:lang w:val="en-GB" w:eastAsia="zh-CN"/>
    </w:rPr>
  </w:style>
  <w:style w:type="character" w:customStyle="1" w:styleId="2ndheadingChar">
    <w:name w:val="2nd heading Char"/>
    <w:link w:val="2ndheading"/>
    <w:locked/>
    <w:rsid w:val="00FA78EF"/>
    <w:rPr>
      <w:spacing w:val="-3"/>
    </w:rPr>
  </w:style>
  <w:style w:type="paragraph" w:customStyle="1" w:styleId="2ndheading">
    <w:name w:val="2nd heading"/>
    <w:basedOn w:val="Normal"/>
    <w:link w:val="2ndheadingChar"/>
    <w:rsid w:val="00FA78EF"/>
    <w:pPr>
      <w:spacing w:line="480" w:lineRule="auto"/>
      <w:ind w:firstLine="720"/>
      <w:jc w:val="both"/>
    </w:pPr>
    <w:rPr>
      <w:rFonts w:asciiTheme="minorHAnsi" w:hAnsiTheme="minorHAnsi" w:cstheme="minorBidi"/>
      <w:spacing w:val="-3"/>
      <w:lang w:eastAsia="en-US"/>
    </w:rPr>
  </w:style>
  <w:style w:type="character" w:customStyle="1" w:styleId="apple-converted-space">
    <w:name w:val="apple-converted-space"/>
    <w:basedOn w:val="DefaultParagraphFont"/>
    <w:rsid w:val="00FA78EF"/>
  </w:style>
  <w:style w:type="paragraph" w:styleId="Header">
    <w:name w:val="header"/>
    <w:basedOn w:val="Normal"/>
    <w:link w:val="HeaderChar"/>
    <w:uiPriority w:val="99"/>
    <w:unhideWhenUsed/>
    <w:rsid w:val="00576FF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576FF2"/>
  </w:style>
  <w:style w:type="paragraph" w:styleId="Footer">
    <w:name w:val="footer"/>
    <w:basedOn w:val="Normal"/>
    <w:link w:val="FooterChar"/>
    <w:uiPriority w:val="99"/>
    <w:unhideWhenUsed/>
    <w:rsid w:val="00576FF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576FF2"/>
  </w:style>
  <w:style w:type="paragraph" w:customStyle="1" w:styleId="Default">
    <w:name w:val="Default"/>
    <w:rsid w:val="003017A5"/>
    <w:pPr>
      <w:autoSpaceDE w:val="0"/>
      <w:autoSpaceDN w:val="0"/>
      <w:adjustRightInd w:val="0"/>
    </w:pPr>
    <w:rPr>
      <w:rFonts w:ascii="Times New Roman" w:hAnsi="Times New Roman" w:cs="Times New Roman"/>
      <w:color w:val="000000"/>
      <w:lang w:val="en-GB" w:eastAsia="zh-CN"/>
    </w:rPr>
  </w:style>
  <w:style w:type="paragraph" w:customStyle="1" w:styleId="References">
    <w:name w:val="References"/>
    <w:basedOn w:val="Normal"/>
    <w:rsid w:val="003017A5"/>
    <w:pPr>
      <w:tabs>
        <w:tab w:val="left" w:pos="10"/>
      </w:tabs>
      <w:spacing w:line="480" w:lineRule="auto"/>
      <w:ind w:left="720" w:hanging="720"/>
    </w:pPr>
    <w:rPr>
      <w:rFonts w:eastAsia="Times New Roman"/>
      <w:lang w:eastAsia="zh-CN"/>
    </w:rPr>
  </w:style>
  <w:style w:type="character" w:customStyle="1" w:styleId="Heading3Char">
    <w:name w:val="Heading 3 Char"/>
    <w:basedOn w:val="DefaultParagraphFont"/>
    <w:link w:val="Heading3"/>
    <w:uiPriority w:val="9"/>
    <w:rsid w:val="007C0510"/>
    <w:rPr>
      <w:rFonts w:ascii="Times New Roman" w:eastAsia="Times New Roman" w:hAnsi="Times New Roman" w:cs="Times New Roman"/>
      <w:b/>
      <w:bCs/>
      <w:sz w:val="27"/>
      <w:szCs w:val="27"/>
      <w:lang w:val="en-GB" w:eastAsia="zh-CN"/>
    </w:rPr>
  </w:style>
  <w:style w:type="character" w:customStyle="1" w:styleId="author-name">
    <w:name w:val="author-name"/>
    <w:basedOn w:val="DefaultParagraphFont"/>
    <w:rsid w:val="007C0510"/>
  </w:style>
  <w:style w:type="character" w:customStyle="1" w:styleId="affiliation">
    <w:name w:val="affiliation"/>
    <w:basedOn w:val="DefaultParagraphFont"/>
    <w:rsid w:val="007C0510"/>
  </w:style>
  <w:style w:type="character" w:customStyle="1" w:styleId="separator">
    <w:name w:val="separator"/>
    <w:basedOn w:val="DefaultParagraphFont"/>
    <w:rsid w:val="007C0510"/>
  </w:style>
  <w:style w:type="paragraph" w:customStyle="1" w:styleId="Bibliogentry">
    <w:name w:val="#Bibliog entry"/>
    <w:basedOn w:val="Normal"/>
    <w:rsid w:val="0071098C"/>
    <w:pPr>
      <w:ind w:left="720" w:hanging="720"/>
    </w:pPr>
    <w:rPr>
      <w:rFonts w:ascii="Palatino Linotype" w:eastAsia="Times" w:hAnsi="Palatino Linotype"/>
      <w:szCs w:val="20"/>
      <w:lang w:eastAsia="zh-CN"/>
    </w:rPr>
  </w:style>
  <w:style w:type="character" w:customStyle="1" w:styleId="Italics">
    <w:name w:val="#Italics"/>
    <w:uiPriority w:val="1"/>
    <w:qFormat/>
    <w:rsid w:val="0071098C"/>
    <w:rPr>
      <w:i/>
      <w:iCs w:val="0"/>
    </w:rPr>
  </w:style>
  <w:style w:type="paragraph" w:customStyle="1" w:styleId="Body">
    <w:name w:val="Body"/>
    <w:rsid w:val="00A67053"/>
    <w:rPr>
      <w:rFonts w:ascii="Helvetica" w:eastAsia="ヒラギノ角ゴ Pro W3" w:hAnsi="Helvetica" w:cs="Times New Roman"/>
      <w:color w:val="000000"/>
      <w:szCs w:val="20"/>
      <w:lang w:val="en-GB"/>
    </w:rPr>
  </w:style>
  <w:style w:type="paragraph" w:styleId="FootnoteText">
    <w:name w:val="footnote text"/>
    <w:basedOn w:val="Normal"/>
    <w:link w:val="FootnoteTextChar"/>
    <w:unhideWhenUsed/>
    <w:rsid w:val="00474895"/>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rsid w:val="00474895"/>
    <w:rPr>
      <w:sz w:val="20"/>
      <w:szCs w:val="20"/>
      <w:lang w:val="en-GB" w:eastAsia="zh-CN"/>
    </w:rPr>
  </w:style>
  <w:style w:type="character" w:styleId="FootnoteReference">
    <w:name w:val="footnote reference"/>
    <w:basedOn w:val="DefaultParagraphFont"/>
    <w:uiPriority w:val="99"/>
    <w:semiHidden/>
    <w:unhideWhenUsed/>
    <w:rsid w:val="00474895"/>
    <w:rPr>
      <w:vertAlign w:val="superscript"/>
    </w:rPr>
  </w:style>
  <w:style w:type="character" w:styleId="Emphasis">
    <w:name w:val="Emphasis"/>
    <w:basedOn w:val="DefaultParagraphFont"/>
    <w:uiPriority w:val="20"/>
    <w:qFormat/>
    <w:rsid w:val="00474895"/>
    <w:rPr>
      <w:i/>
      <w:iCs/>
    </w:rPr>
  </w:style>
  <w:style w:type="character" w:customStyle="1" w:styleId="slug-doi">
    <w:name w:val="slug-doi"/>
    <w:basedOn w:val="DefaultParagraphFont"/>
    <w:rsid w:val="00BF4BF2"/>
  </w:style>
  <w:style w:type="character" w:customStyle="1" w:styleId="Heading1Char">
    <w:name w:val="Heading 1 Char"/>
    <w:basedOn w:val="DefaultParagraphFont"/>
    <w:link w:val="Heading1"/>
    <w:uiPriority w:val="9"/>
    <w:rsid w:val="0000064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39"/>
    <w:rsid w:val="00BA2DCC"/>
    <w:rPr>
      <w:rFonts w:ascii="Calibri" w:eastAsia="SimSun" w:hAnsi="Calibri" w:cs="Arial"/>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CB05AE"/>
    <w:rPr>
      <w:vertAlign w:val="superscript"/>
    </w:rPr>
  </w:style>
  <w:style w:type="paragraph" w:styleId="Revision">
    <w:name w:val="Revision"/>
    <w:hidden/>
    <w:uiPriority w:val="99"/>
    <w:semiHidden/>
    <w:rsid w:val="00B35829"/>
    <w:rPr>
      <w:rFonts w:ascii="Times New Roman" w:hAnsi="Times New Roman" w:cs="Times New Roman"/>
      <w:lang w:val="en-GB" w:eastAsia="en-GB"/>
    </w:rPr>
  </w:style>
  <w:style w:type="character" w:customStyle="1" w:styleId="a-size-large">
    <w:name w:val="a-size-large"/>
    <w:basedOn w:val="DefaultParagraphFont"/>
    <w:rsid w:val="00F824B9"/>
  </w:style>
  <w:style w:type="character" w:customStyle="1" w:styleId="contribdegrees">
    <w:name w:val="contribdegrees"/>
    <w:basedOn w:val="DefaultParagraphFont"/>
    <w:rsid w:val="004D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135">
      <w:bodyDiv w:val="1"/>
      <w:marLeft w:val="0"/>
      <w:marRight w:val="0"/>
      <w:marTop w:val="0"/>
      <w:marBottom w:val="0"/>
      <w:divBdr>
        <w:top w:val="none" w:sz="0" w:space="0" w:color="auto"/>
        <w:left w:val="none" w:sz="0" w:space="0" w:color="auto"/>
        <w:bottom w:val="none" w:sz="0" w:space="0" w:color="auto"/>
        <w:right w:val="none" w:sz="0" w:space="0" w:color="auto"/>
      </w:divBdr>
      <w:divsChild>
        <w:div w:id="997071694">
          <w:marLeft w:val="0"/>
          <w:marRight w:val="0"/>
          <w:marTop w:val="0"/>
          <w:marBottom w:val="0"/>
          <w:divBdr>
            <w:top w:val="none" w:sz="0" w:space="0" w:color="auto"/>
            <w:left w:val="none" w:sz="0" w:space="0" w:color="auto"/>
            <w:bottom w:val="none" w:sz="0" w:space="0" w:color="auto"/>
            <w:right w:val="none" w:sz="0" w:space="0" w:color="auto"/>
          </w:divBdr>
          <w:divsChild>
            <w:div w:id="552042480">
              <w:marLeft w:val="0"/>
              <w:marRight w:val="0"/>
              <w:marTop w:val="0"/>
              <w:marBottom w:val="0"/>
              <w:divBdr>
                <w:top w:val="none" w:sz="0" w:space="0" w:color="auto"/>
                <w:left w:val="none" w:sz="0" w:space="0" w:color="auto"/>
                <w:bottom w:val="none" w:sz="0" w:space="0" w:color="auto"/>
                <w:right w:val="none" w:sz="0" w:space="0" w:color="auto"/>
              </w:divBdr>
              <w:divsChild>
                <w:div w:id="10629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6266">
      <w:bodyDiv w:val="1"/>
      <w:marLeft w:val="0"/>
      <w:marRight w:val="0"/>
      <w:marTop w:val="0"/>
      <w:marBottom w:val="0"/>
      <w:divBdr>
        <w:top w:val="none" w:sz="0" w:space="0" w:color="auto"/>
        <w:left w:val="none" w:sz="0" w:space="0" w:color="auto"/>
        <w:bottom w:val="none" w:sz="0" w:space="0" w:color="auto"/>
        <w:right w:val="none" w:sz="0" w:space="0" w:color="auto"/>
      </w:divBdr>
    </w:div>
    <w:div w:id="62723310">
      <w:bodyDiv w:val="1"/>
      <w:marLeft w:val="0"/>
      <w:marRight w:val="0"/>
      <w:marTop w:val="0"/>
      <w:marBottom w:val="0"/>
      <w:divBdr>
        <w:top w:val="none" w:sz="0" w:space="0" w:color="auto"/>
        <w:left w:val="none" w:sz="0" w:space="0" w:color="auto"/>
        <w:bottom w:val="none" w:sz="0" w:space="0" w:color="auto"/>
        <w:right w:val="none" w:sz="0" w:space="0" w:color="auto"/>
      </w:divBdr>
    </w:div>
    <w:div w:id="68893072">
      <w:bodyDiv w:val="1"/>
      <w:marLeft w:val="0"/>
      <w:marRight w:val="0"/>
      <w:marTop w:val="0"/>
      <w:marBottom w:val="0"/>
      <w:divBdr>
        <w:top w:val="none" w:sz="0" w:space="0" w:color="auto"/>
        <w:left w:val="none" w:sz="0" w:space="0" w:color="auto"/>
        <w:bottom w:val="none" w:sz="0" w:space="0" w:color="auto"/>
        <w:right w:val="none" w:sz="0" w:space="0" w:color="auto"/>
      </w:divBdr>
    </w:div>
    <w:div w:id="75053041">
      <w:bodyDiv w:val="1"/>
      <w:marLeft w:val="0"/>
      <w:marRight w:val="0"/>
      <w:marTop w:val="0"/>
      <w:marBottom w:val="0"/>
      <w:divBdr>
        <w:top w:val="none" w:sz="0" w:space="0" w:color="auto"/>
        <w:left w:val="none" w:sz="0" w:space="0" w:color="auto"/>
        <w:bottom w:val="none" w:sz="0" w:space="0" w:color="auto"/>
        <w:right w:val="none" w:sz="0" w:space="0" w:color="auto"/>
      </w:divBdr>
      <w:divsChild>
        <w:div w:id="608396903">
          <w:marLeft w:val="0"/>
          <w:marRight w:val="0"/>
          <w:marTop w:val="0"/>
          <w:marBottom w:val="0"/>
          <w:divBdr>
            <w:top w:val="none" w:sz="0" w:space="0" w:color="auto"/>
            <w:left w:val="none" w:sz="0" w:space="0" w:color="auto"/>
            <w:bottom w:val="none" w:sz="0" w:space="0" w:color="auto"/>
            <w:right w:val="none" w:sz="0" w:space="0" w:color="auto"/>
          </w:divBdr>
          <w:divsChild>
            <w:div w:id="203520757">
              <w:marLeft w:val="0"/>
              <w:marRight w:val="0"/>
              <w:marTop w:val="0"/>
              <w:marBottom w:val="0"/>
              <w:divBdr>
                <w:top w:val="none" w:sz="0" w:space="0" w:color="auto"/>
                <w:left w:val="none" w:sz="0" w:space="0" w:color="auto"/>
                <w:bottom w:val="none" w:sz="0" w:space="0" w:color="auto"/>
                <w:right w:val="none" w:sz="0" w:space="0" w:color="auto"/>
              </w:divBdr>
            </w:div>
            <w:div w:id="664552931">
              <w:marLeft w:val="0"/>
              <w:marRight w:val="0"/>
              <w:marTop w:val="0"/>
              <w:marBottom w:val="0"/>
              <w:divBdr>
                <w:top w:val="none" w:sz="0" w:space="0" w:color="auto"/>
                <w:left w:val="none" w:sz="0" w:space="0" w:color="auto"/>
                <w:bottom w:val="none" w:sz="0" w:space="0" w:color="auto"/>
                <w:right w:val="none" w:sz="0" w:space="0" w:color="auto"/>
              </w:divBdr>
            </w:div>
          </w:divsChild>
        </w:div>
        <w:div w:id="2132892935">
          <w:marLeft w:val="0"/>
          <w:marRight w:val="0"/>
          <w:marTop w:val="0"/>
          <w:marBottom w:val="150"/>
          <w:divBdr>
            <w:top w:val="none" w:sz="0" w:space="0" w:color="auto"/>
            <w:left w:val="none" w:sz="0" w:space="0" w:color="auto"/>
            <w:bottom w:val="none" w:sz="0" w:space="0" w:color="auto"/>
            <w:right w:val="none" w:sz="0" w:space="0" w:color="auto"/>
          </w:divBdr>
          <w:divsChild>
            <w:div w:id="576130172">
              <w:marLeft w:val="0"/>
              <w:marRight w:val="0"/>
              <w:marTop w:val="0"/>
              <w:marBottom w:val="0"/>
              <w:divBdr>
                <w:top w:val="none" w:sz="0" w:space="0" w:color="auto"/>
                <w:left w:val="none" w:sz="0" w:space="0" w:color="auto"/>
                <w:bottom w:val="none" w:sz="0" w:space="0" w:color="auto"/>
                <w:right w:val="none" w:sz="0" w:space="0" w:color="auto"/>
              </w:divBdr>
              <w:divsChild>
                <w:div w:id="434251256">
                  <w:marLeft w:val="0"/>
                  <w:marRight w:val="0"/>
                  <w:marTop w:val="0"/>
                  <w:marBottom w:val="0"/>
                  <w:divBdr>
                    <w:top w:val="none" w:sz="0" w:space="0" w:color="auto"/>
                    <w:left w:val="none" w:sz="0" w:space="0" w:color="auto"/>
                    <w:bottom w:val="none" w:sz="0" w:space="0" w:color="auto"/>
                    <w:right w:val="none" w:sz="0" w:space="0" w:color="auto"/>
                  </w:divBdr>
                  <w:divsChild>
                    <w:div w:id="8352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378">
      <w:bodyDiv w:val="1"/>
      <w:marLeft w:val="0"/>
      <w:marRight w:val="0"/>
      <w:marTop w:val="0"/>
      <w:marBottom w:val="0"/>
      <w:divBdr>
        <w:top w:val="none" w:sz="0" w:space="0" w:color="auto"/>
        <w:left w:val="none" w:sz="0" w:space="0" w:color="auto"/>
        <w:bottom w:val="none" w:sz="0" w:space="0" w:color="auto"/>
        <w:right w:val="none" w:sz="0" w:space="0" w:color="auto"/>
      </w:divBdr>
    </w:div>
    <w:div w:id="89667781">
      <w:bodyDiv w:val="1"/>
      <w:marLeft w:val="0"/>
      <w:marRight w:val="0"/>
      <w:marTop w:val="0"/>
      <w:marBottom w:val="0"/>
      <w:divBdr>
        <w:top w:val="none" w:sz="0" w:space="0" w:color="auto"/>
        <w:left w:val="none" w:sz="0" w:space="0" w:color="auto"/>
        <w:bottom w:val="none" w:sz="0" w:space="0" w:color="auto"/>
        <w:right w:val="none" w:sz="0" w:space="0" w:color="auto"/>
      </w:divBdr>
    </w:div>
    <w:div w:id="166022711">
      <w:bodyDiv w:val="1"/>
      <w:marLeft w:val="0"/>
      <w:marRight w:val="0"/>
      <w:marTop w:val="0"/>
      <w:marBottom w:val="0"/>
      <w:divBdr>
        <w:top w:val="none" w:sz="0" w:space="0" w:color="auto"/>
        <w:left w:val="none" w:sz="0" w:space="0" w:color="auto"/>
        <w:bottom w:val="none" w:sz="0" w:space="0" w:color="auto"/>
        <w:right w:val="none" w:sz="0" w:space="0" w:color="auto"/>
      </w:divBdr>
      <w:divsChild>
        <w:div w:id="47850398">
          <w:marLeft w:val="0"/>
          <w:marRight w:val="0"/>
          <w:marTop w:val="0"/>
          <w:marBottom w:val="0"/>
          <w:divBdr>
            <w:top w:val="none" w:sz="0" w:space="0" w:color="auto"/>
            <w:left w:val="none" w:sz="0" w:space="0" w:color="auto"/>
            <w:bottom w:val="none" w:sz="0" w:space="0" w:color="auto"/>
            <w:right w:val="none" w:sz="0" w:space="0" w:color="auto"/>
          </w:divBdr>
          <w:divsChild>
            <w:div w:id="1710255562">
              <w:marLeft w:val="0"/>
              <w:marRight w:val="0"/>
              <w:marTop w:val="0"/>
              <w:marBottom w:val="0"/>
              <w:divBdr>
                <w:top w:val="none" w:sz="0" w:space="0" w:color="auto"/>
                <w:left w:val="none" w:sz="0" w:space="0" w:color="auto"/>
                <w:bottom w:val="none" w:sz="0" w:space="0" w:color="auto"/>
                <w:right w:val="none" w:sz="0" w:space="0" w:color="auto"/>
              </w:divBdr>
              <w:divsChild>
                <w:div w:id="6325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603">
      <w:bodyDiv w:val="1"/>
      <w:marLeft w:val="0"/>
      <w:marRight w:val="0"/>
      <w:marTop w:val="0"/>
      <w:marBottom w:val="0"/>
      <w:divBdr>
        <w:top w:val="none" w:sz="0" w:space="0" w:color="auto"/>
        <w:left w:val="none" w:sz="0" w:space="0" w:color="auto"/>
        <w:bottom w:val="none" w:sz="0" w:space="0" w:color="auto"/>
        <w:right w:val="none" w:sz="0" w:space="0" w:color="auto"/>
      </w:divBdr>
    </w:div>
    <w:div w:id="222526362">
      <w:bodyDiv w:val="1"/>
      <w:marLeft w:val="0"/>
      <w:marRight w:val="0"/>
      <w:marTop w:val="0"/>
      <w:marBottom w:val="0"/>
      <w:divBdr>
        <w:top w:val="none" w:sz="0" w:space="0" w:color="auto"/>
        <w:left w:val="none" w:sz="0" w:space="0" w:color="auto"/>
        <w:bottom w:val="none" w:sz="0" w:space="0" w:color="auto"/>
        <w:right w:val="none" w:sz="0" w:space="0" w:color="auto"/>
      </w:divBdr>
    </w:div>
    <w:div w:id="233395693">
      <w:bodyDiv w:val="1"/>
      <w:marLeft w:val="0"/>
      <w:marRight w:val="0"/>
      <w:marTop w:val="0"/>
      <w:marBottom w:val="0"/>
      <w:divBdr>
        <w:top w:val="none" w:sz="0" w:space="0" w:color="auto"/>
        <w:left w:val="none" w:sz="0" w:space="0" w:color="auto"/>
        <w:bottom w:val="none" w:sz="0" w:space="0" w:color="auto"/>
        <w:right w:val="none" w:sz="0" w:space="0" w:color="auto"/>
      </w:divBdr>
    </w:div>
    <w:div w:id="250551059">
      <w:bodyDiv w:val="1"/>
      <w:marLeft w:val="0"/>
      <w:marRight w:val="0"/>
      <w:marTop w:val="0"/>
      <w:marBottom w:val="0"/>
      <w:divBdr>
        <w:top w:val="none" w:sz="0" w:space="0" w:color="auto"/>
        <w:left w:val="none" w:sz="0" w:space="0" w:color="auto"/>
        <w:bottom w:val="none" w:sz="0" w:space="0" w:color="auto"/>
        <w:right w:val="none" w:sz="0" w:space="0" w:color="auto"/>
      </w:divBdr>
    </w:div>
    <w:div w:id="267129529">
      <w:bodyDiv w:val="1"/>
      <w:marLeft w:val="0"/>
      <w:marRight w:val="0"/>
      <w:marTop w:val="0"/>
      <w:marBottom w:val="0"/>
      <w:divBdr>
        <w:top w:val="none" w:sz="0" w:space="0" w:color="auto"/>
        <w:left w:val="none" w:sz="0" w:space="0" w:color="auto"/>
        <w:bottom w:val="none" w:sz="0" w:space="0" w:color="auto"/>
        <w:right w:val="none" w:sz="0" w:space="0" w:color="auto"/>
      </w:divBdr>
    </w:div>
    <w:div w:id="282226679">
      <w:bodyDiv w:val="1"/>
      <w:marLeft w:val="0"/>
      <w:marRight w:val="0"/>
      <w:marTop w:val="0"/>
      <w:marBottom w:val="0"/>
      <w:divBdr>
        <w:top w:val="none" w:sz="0" w:space="0" w:color="auto"/>
        <w:left w:val="none" w:sz="0" w:space="0" w:color="auto"/>
        <w:bottom w:val="none" w:sz="0" w:space="0" w:color="auto"/>
        <w:right w:val="none" w:sz="0" w:space="0" w:color="auto"/>
      </w:divBdr>
    </w:div>
    <w:div w:id="314526231">
      <w:bodyDiv w:val="1"/>
      <w:marLeft w:val="0"/>
      <w:marRight w:val="0"/>
      <w:marTop w:val="0"/>
      <w:marBottom w:val="0"/>
      <w:divBdr>
        <w:top w:val="none" w:sz="0" w:space="0" w:color="auto"/>
        <w:left w:val="none" w:sz="0" w:space="0" w:color="auto"/>
        <w:bottom w:val="none" w:sz="0" w:space="0" w:color="auto"/>
        <w:right w:val="none" w:sz="0" w:space="0" w:color="auto"/>
      </w:divBdr>
    </w:div>
    <w:div w:id="342629599">
      <w:bodyDiv w:val="1"/>
      <w:marLeft w:val="0"/>
      <w:marRight w:val="0"/>
      <w:marTop w:val="0"/>
      <w:marBottom w:val="0"/>
      <w:divBdr>
        <w:top w:val="none" w:sz="0" w:space="0" w:color="auto"/>
        <w:left w:val="none" w:sz="0" w:space="0" w:color="auto"/>
        <w:bottom w:val="none" w:sz="0" w:space="0" w:color="auto"/>
        <w:right w:val="none" w:sz="0" w:space="0" w:color="auto"/>
      </w:divBdr>
    </w:div>
    <w:div w:id="359089492">
      <w:bodyDiv w:val="1"/>
      <w:marLeft w:val="0"/>
      <w:marRight w:val="0"/>
      <w:marTop w:val="0"/>
      <w:marBottom w:val="0"/>
      <w:divBdr>
        <w:top w:val="none" w:sz="0" w:space="0" w:color="auto"/>
        <w:left w:val="none" w:sz="0" w:space="0" w:color="auto"/>
        <w:bottom w:val="none" w:sz="0" w:space="0" w:color="auto"/>
        <w:right w:val="none" w:sz="0" w:space="0" w:color="auto"/>
      </w:divBdr>
    </w:div>
    <w:div w:id="391926828">
      <w:bodyDiv w:val="1"/>
      <w:marLeft w:val="0"/>
      <w:marRight w:val="0"/>
      <w:marTop w:val="0"/>
      <w:marBottom w:val="0"/>
      <w:divBdr>
        <w:top w:val="none" w:sz="0" w:space="0" w:color="auto"/>
        <w:left w:val="none" w:sz="0" w:space="0" w:color="auto"/>
        <w:bottom w:val="none" w:sz="0" w:space="0" w:color="auto"/>
        <w:right w:val="none" w:sz="0" w:space="0" w:color="auto"/>
      </w:divBdr>
    </w:div>
    <w:div w:id="403340356">
      <w:bodyDiv w:val="1"/>
      <w:marLeft w:val="0"/>
      <w:marRight w:val="0"/>
      <w:marTop w:val="0"/>
      <w:marBottom w:val="0"/>
      <w:divBdr>
        <w:top w:val="none" w:sz="0" w:space="0" w:color="auto"/>
        <w:left w:val="none" w:sz="0" w:space="0" w:color="auto"/>
        <w:bottom w:val="none" w:sz="0" w:space="0" w:color="auto"/>
        <w:right w:val="none" w:sz="0" w:space="0" w:color="auto"/>
      </w:divBdr>
      <w:divsChild>
        <w:div w:id="462625357">
          <w:marLeft w:val="0"/>
          <w:marRight w:val="0"/>
          <w:marTop w:val="0"/>
          <w:marBottom w:val="0"/>
          <w:divBdr>
            <w:top w:val="none" w:sz="0" w:space="0" w:color="auto"/>
            <w:left w:val="none" w:sz="0" w:space="0" w:color="auto"/>
            <w:bottom w:val="none" w:sz="0" w:space="0" w:color="auto"/>
            <w:right w:val="none" w:sz="0" w:space="0" w:color="auto"/>
          </w:divBdr>
          <w:divsChild>
            <w:div w:id="444276952">
              <w:marLeft w:val="0"/>
              <w:marRight w:val="0"/>
              <w:marTop w:val="0"/>
              <w:marBottom w:val="0"/>
              <w:divBdr>
                <w:top w:val="none" w:sz="0" w:space="0" w:color="auto"/>
                <w:left w:val="none" w:sz="0" w:space="0" w:color="auto"/>
                <w:bottom w:val="none" w:sz="0" w:space="0" w:color="auto"/>
                <w:right w:val="none" w:sz="0" w:space="0" w:color="auto"/>
              </w:divBdr>
              <w:divsChild>
                <w:div w:id="14645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73469">
      <w:bodyDiv w:val="1"/>
      <w:marLeft w:val="0"/>
      <w:marRight w:val="0"/>
      <w:marTop w:val="0"/>
      <w:marBottom w:val="0"/>
      <w:divBdr>
        <w:top w:val="none" w:sz="0" w:space="0" w:color="auto"/>
        <w:left w:val="none" w:sz="0" w:space="0" w:color="auto"/>
        <w:bottom w:val="none" w:sz="0" w:space="0" w:color="auto"/>
        <w:right w:val="none" w:sz="0" w:space="0" w:color="auto"/>
      </w:divBdr>
    </w:div>
    <w:div w:id="429471075">
      <w:bodyDiv w:val="1"/>
      <w:marLeft w:val="0"/>
      <w:marRight w:val="0"/>
      <w:marTop w:val="0"/>
      <w:marBottom w:val="0"/>
      <w:divBdr>
        <w:top w:val="none" w:sz="0" w:space="0" w:color="auto"/>
        <w:left w:val="none" w:sz="0" w:space="0" w:color="auto"/>
        <w:bottom w:val="none" w:sz="0" w:space="0" w:color="auto"/>
        <w:right w:val="none" w:sz="0" w:space="0" w:color="auto"/>
      </w:divBdr>
    </w:div>
    <w:div w:id="430012867">
      <w:bodyDiv w:val="1"/>
      <w:marLeft w:val="0"/>
      <w:marRight w:val="0"/>
      <w:marTop w:val="0"/>
      <w:marBottom w:val="0"/>
      <w:divBdr>
        <w:top w:val="none" w:sz="0" w:space="0" w:color="auto"/>
        <w:left w:val="none" w:sz="0" w:space="0" w:color="auto"/>
        <w:bottom w:val="none" w:sz="0" w:space="0" w:color="auto"/>
        <w:right w:val="none" w:sz="0" w:space="0" w:color="auto"/>
      </w:divBdr>
    </w:div>
    <w:div w:id="437874723">
      <w:bodyDiv w:val="1"/>
      <w:marLeft w:val="0"/>
      <w:marRight w:val="0"/>
      <w:marTop w:val="0"/>
      <w:marBottom w:val="0"/>
      <w:divBdr>
        <w:top w:val="none" w:sz="0" w:space="0" w:color="auto"/>
        <w:left w:val="none" w:sz="0" w:space="0" w:color="auto"/>
        <w:bottom w:val="none" w:sz="0" w:space="0" w:color="auto"/>
        <w:right w:val="none" w:sz="0" w:space="0" w:color="auto"/>
      </w:divBdr>
    </w:div>
    <w:div w:id="470093655">
      <w:bodyDiv w:val="1"/>
      <w:marLeft w:val="0"/>
      <w:marRight w:val="0"/>
      <w:marTop w:val="0"/>
      <w:marBottom w:val="0"/>
      <w:divBdr>
        <w:top w:val="none" w:sz="0" w:space="0" w:color="auto"/>
        <w:left w:val="none" w:sz="0" w:space="0" w:color="auto"/>
        <w:bottom w:val="none" w:sz="0" w:space="0" w:color="auto"/>
        <w:right w:val="none" w:sz="0" w:space="0" w:color="auto"/>
      </w:divBdr>
    </w:div>
    <w:div w:id="480076841">
      <w:bodyDiv w:val="1"/>
      <w:marLeft w:val="0"/>
      <w:marRight w:val="0"/>
      <w:marTop w:val="0"/>
      <w:marBottom w:val="0"/>
      <w:divBdr>
        <w:top w:val="none" w:sz="0" w:space="0" w:color="auto"/>
        <w:left w:val="none" w:sz="0" w:space="0" w:color="auto"/>
        <w:bottom w:val="none" w:sz="0" w:space="0" w:color="auto"/>
        <w:right w:val="none" w:sz="0" w:space="0" w:color="auto"/>
      </w:divBdr>
    </w:div>
    <w:div w:id="485514509">
      <w:bodyDiv w:val="1"/>
      <w:marLeft w:val="0"/>
      <w:marRight w:val="0"/>
      <w:marTop w:val="0"/>
      <w:marBottom w:val="0"/>
      <w:divBdr>
        <w:top w:val="none" w:sz="0" w:space="0" w:color="auto"/>
        <w:left w:val="none" w:sz="0" w:space="0" w:color="auto"/>
        <w:bottom w:val="none" w:sz="0" w:space="0" w:color="auto"/>
        <w:right w:val="none" w:sz="0" w:space="0" w:color="auto"/>
      </w:divBdr>
    </w:div>
    <w:div w:id="487743880">
      <w:bodyDiv w:val="1"/>
      <w:marLeft w:val="0"/>
      <w:marRight w:val="0"/>
      <w:marTop w:val="0"/>
      <w:marBottom w:val="0"/>
      <w:divBdr>
        <w:top w:val="none" w:sz="0" w:space="0" w:color="auto"/>
        <w:left w:val="none" w:sz="0" w:space="0" w:color="auto"/>
        <w:bottom w:val="none" w:sz="0" w:space="0" w:color="auto"/>
        <w:right w:val="none" w:sz="0" w:space="0" w:color="auto"/>
      </w:divBdr>
    </w:div>
    <w:div w:id="496193275">
      <w:bodyDiv w:val="1"/>
      <w:marLeft w:val="0"/>
      <w:marRight w:val="0"/>
      <w:marTop w:val="0"/>
      <w:marBottom w:val="0"/>
      <w:divBdr>
        <w:top w:val="none" w:sz="0" w:space="0" w:color="auto"/>
        <w:left w:val="none" w:sz="0" w:space="0" w:color="auto"/>
        <w:bottom w:val="none" w:sz="0" w:space="0" w:color="auto"/>
        <w:right w:val="none" w:sz="0" w:space="0" w:color="auto"/>
      </w:divBdr>
    </w:div>
    <w:div w:id="508327447">
      <w:bodyDiv w:val="1"/>
      <w:marLeft w:val="0"/>
      <w:marRight w:val="0"/>
      <w:marTop w:val="0"/>
      <w:marBottom w:val="0"/>
      <w:divBdr>
        <w:top w:val="none" w:sz="0" w:space="0" w:color="auto"/>
        <w:left w:val="none" w:sz="0" w:space="0" w:color="auto"/>
        <w:bottom w:val="none" w:sz="0" w:space="0" w:color="auto"/>
        <w:right w:val="none" w:sz="0" w:space="0" w:color="auto"/>
      </w:divBdr>
    </w:div>
    <w:div w:id="565645572">
      <w:bodyDiv w:val="1"/>
      <w:marLeft w:val="0"/>
      <w:marRight w:val="0"/>
      <w:marTop w:val="0"/>
      <w:marBottom w:val="0"/>
      <w:divBdr>
        <w:top w:val="none" w:sz="0" w:space="0" w:color="auto"/>
        <w:left w:val="none" w:sz="0" w:space="0" w:color="auto"/>
        <w:bottom w:val="none" w:sz="0" w:space="0" w:color="auto"/>
        <w:right w:val="none" w:sz="0" w:space="0" w:color="auto"/>
      </w:divBdr>
    </w:div>
    <w:div w:id="565845292">
      <w:bodyDiv w:val="1"/>
      <w:marLeft w:val="0"/>
      <w:marRight w:val="0"/>
      <w:marTop w:val="0"/>
      <w:marBottom w:val="0"/>
      <w:divBdr>
        <w:top w:val="none" w:sz="0" w:space="0" w:color="auto"/>
        <w:left w:val="none" w:sz="0" w:space="0" w:color="auto"/>
        <w:bottom w:val="none" w:sz="0" w:space="0" w:color="auto"/>
        <w:right w:val="none" w:sz="0" w:space="0" w:color="auto"/>
      </w:divBdr>
      <w:divsChild>
        <w:div w:id="1925217897">
          <w:marLeft w:val="0"/>
          <w:marRight w:val="0"/>
          <w:marTop w:val="0"/>
          <w:marBottom w:val="0"/>
          <w:divBdr>
            <w:top w:val="none" w:sz="0" w:space="0" w:color="auto"/>
            <w:left w:val="none" w:sz="0" w:space="0" w:color="auto"/>
            <w:bottom w:val="none" w:sz="0" w:space="0" w:color="auto"/>
            <w:right w:val="none" w:sz="0" w:space="0" w:color="auto"/>
          </w:divBdr>
          <w:divsChild>
            <w:div w:id="1525481705">
              <w:marLeft w:val="0"/>
              <w:marRight w:val="0"/>
              <w:marTop w:val="0"/>
              <w:marBottom w:val="0"/>
              <w:divBdr>
                <w:top w:val="none" w:sz="0" w:space="0" w:color="auto"/>
                <w:left w:val="none" w:sz="0" w:space="0" w:color="auto"/>
                <w:bottom w:val="none" w:sz="0" w:space="0" w:color="auto"/>
                <w:right w:val="none" w:sz="0" w:space="0" w:color="auto"/>
              </w:divBdr>
              <w:divsChild>
                <w:div w:id="310183472">
                  <w:marLeft w:val="0"/>
                  <w:marRight w:val="0"/>
                  <w:marTop w:val="0"/>
                  <w:marBottom w:val="0"/>
                  <w:divBdr>
                    <w:top w:val="none" w:sz="0" w:space="0" w:color="auto"/>
                    <w:left w:val="none" w:sz="0" w:space="0" w:color="auto"/>
                    <w:bottom w:val="none" w:sz="0" w:space="0" w:color="auto"/>
                    <w:right w:val="none" w:sz="0" w:space="0" w:color="auto"/>
                  </w:divBdr>
                  <w:divsChild>
                    <w:div w:id="19743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8914">
      <w:bodyDiv w:val="1"/>
      <w:marLeft w:val="0"/>
      <w:marRight w:val="0"/>
      <w:marTop w:val="0"/>
      <w:marBottom w:val="0"/>
      <w:divBdr>
        <w:top w:val="none" w:sz="0" w:space="0" w:color="auto"/>
        <w:left w:val="none" w:sz="0" w:space="0" w:color="auto"/>
        <w:bottom w:val="none" w:sz="0" w:space="0" w:color="auto"/>
        <w:right w:val="none" w:sz="0" w:space="0" w:color="auto"/>
      </w:divBdr>
    </w:div>
    <w:div w:id="585573382">
      <w:bodyDiv w:val="1"/>
      <w:marLeft w:val="0"/>
      <w:marRight w:val="0"/>
      <w:marTop w:val="0"/>
      <w:marBottom w:val="0"/>
      <w:divBdr>
        <w:top w:val="none" w:sz="0" w:space="0" w:color="auto"/>
        <w:left w:val="none" w:sz="0" w:space="0" w:color="auto"/>
        <w:bottom w:val="none" w:sz="0" w:space="0" w:color="auto"/>
        <w:right w:val="none" w:sz="0" w:space="0" w:color="auto"/>
      </w:divBdr>
    </w:div>
    <w:div w:id="588470412">
      <w:bodyDiv w:val="1"/>
      <w:marLeft w:val="0"/>
      <w:marRight w:val="0"/>
      <w:marTop w:val="0"/>
      <w:marBottom w:val="0"/>
      <w:divBdr>
        <w:top w:val="none" w:sz="0" w:space="0" w:color="auto"/>
        <w:left w:val="none" w:sz="0" w:space="0" w:color="auto"/>
        <w:bottom w:val="none" w:sz="0" w:space="0" w:color="auto"/>
        <w:right w:val="none" w:sz="0" w:space="0" w:color="auto"/>
      </w:divBdr>
    </w:div>
    <w:div w:id="601035964">
      <w:bodyDiv w:val="1"/>
      <w:marLeft w:val="0"/>
      <w:marRight w:val="0"/>
      <w:marTop w:val="0"/>
      <w:marBottom w:val="0"/>
      <w:divBdr>
        <w:top w:val="none" w:sz="0" w:space="0" w:color="auto"/>
        <w:left w:val="none" w:sz="0" w:space="0" w:color="auto"/>
        <w:bottom w:val="none" w:sz="0" w:space="0" w:color="auto"/>
        <w:right w:val="none" w:sz="0" w:space="0" w:color="auto"/>
      </w:divBdr>
      <w:divsChild>
        <w:div w:id="464592008">
          <w:marLeft w:val="0"/>
          <w:marRight w:val="0"/>
          <w:marTop w:val="0"/>
          <w:marBottom w:val="0"/>
          <w:divBdr>
            <w:top w:val="none" w:sz="0" w:space="0" w:color="auto"/>
            <w:left w:val="none" w:sz="0" w:space="0" w:color="auto"/>
            <w:bottom w:val="none" w:sz="0" w:space="0" w:color="auto"/>
            <w:right w:val="none" w:sz="0" w:space="0" w:color="auto"/>
          </w:divBdr>
          <w:divsChild>
            <w:div w:id="1864585045">
              <w:marLeft w:val="0"/>
              <w:marRight w:val="0"/>
              <w:marTop w:val="0"/>
              <w:marBottom w:val="0"/>
              <w:divBdr>
                <w:top w:val="none" w:sz="0" w:space="0" w:color="auto"/>
                <w:left w:val="none" w:sz="0" w:space="0" w:color="auto"/>
                <w:bottom w:val="none" w:sz="0" w:space="0" w:color="auto"/>
                <w:right w:val="none" w:sz="0" w:space="0" w:color="auto"/>
              </w:divBdr>
              <w:divsChild>
                <w:div w:id="18881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8352">
      <w:bodyDiv w:val="1"/>
      <w:marLeft w:val="0"/>
      <w:marRight w:val="0"/>
      <w:marTop w:val="0"/>
      <w:marBottom w:val="0"/>
      <w:divBdr>
        <w:top w:val="none" w:sz="0" w:space="0" w:color="auto"/>
        <w:left w:val="none" w:sz="0" w:space="0" w:color="auto"/>
        <w:bottom w:val="none" w:sz="0" w:space="0" w:color="auto"/>
        <w:right w:val="none" w:sz="0" w:space="0" w:color="auto"/>
      </w:divBdr>
    </w:div>
    <w:div w:id="630939116">
      <w:bodyDiv w:val="1"/>
      <w:marLeft w:val="0"/>
      <w:marRight w:val="0"/>
      <w:marTop w:val="0"/>
      <w:marBottom w:val="0"/>
      <w:divBdr>
        <w:top w:val="none" w:sz="0" w:space="0" w:color="auto"/>
        <w:left w:val="none" w:sz="0" w:space="0" w:color="auto"/>
        <w:bottom w:val="none" w:sz="0" w:space="0" w:color="auto"/>
        <w:right w:val="none" w:sz="0" w:space="0" w:color="auto"/>
      </w:divBdr>
      <w:divsChild>
        <w:div w:id="465662688">
          <w:marLeft w:val="0"/>
          <w:marRight w:val="0"/>
          <w:marTop w:val="0"/>
          <w:marBottom w:val="0"/>
          <w:divBdr>
            <w:top w:val="none" w:sz="0" w:space="0" w:color="auto"/>
            <w:left w:val="none" w:sz="0" w:space="0" w:color="auto"/>
            <w:bottom w:val="none" w:sz="0" w:space="0" w:color="auto"/>
            <w:right w:val="none" w:sz="0" w:space="0" w:color="auto"/>
          </w:divBdr>
          <w:divsChild>
            <w:div w:id="1402412188">
              <w:marLeft w:val="0"/>
              <w:marRight w:val="0"/>
              <w:marTop w:val="0"/>
              <w:marBottom w:val="0"/>
              <w:divBdr>
                <w:top w:val="none" w:sz="0" w:space="0" w:color="auto"/>
                <w:left w:val="none" w:sz="0" w:space="0" w:color="auto"/>
                <w:bottom w:val="none" w:sz="0" w:space="0" w:color="auto"/>
                <w:right w:val="none" w:sz="0" w:space="0" w:color="auto"/>
              </w:divBdr>
              <w:divsChild>
                <w:div w:id="8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1953">
      <w:bodyDiv w:val="1"/>
      <w:marLeft w:val="0"/>
      <w:marRight w:val="0"/>
      <w:marTop w:val="0"/>
      <w:marBottom w:val="0"/>
      <w:divBdr>
        <w:top w:val="none" w:sz="0" w:space="0" w:color="auto"/>
        <w:left w:val="none" w:sz="0" w:space="0" w:color="auto"/>
        <w:bottom w:val="none" w:sz="0" w:space="0" w:color="auto"/>
        <w:right w:val="none" w:sz="0" w:space="0" w:color="auto"/>
      </w:divBdr>
    </w:div>
    <w:div w:id="642468244">
      <w:bodyDiv w:val="1"/>
      <w:marLeft w:val="0"/>
      <w:marRight w:val="0"/>
      <w:marTop w:val="0"/>
      <w:marBottom w:val="0"/>
      <w:divBdr>
        <w:top w:val="none" w:sz="0" w:space="0" w:color="auto"/>
        <w:left w:val="none" w:sz="0" w:space="0" w:color="auto"/>
        <w:bottom w:val="none" w:sz="0" w:space="0" w:color="auto"/>
        <w:right w:val="none" w:sz="0" w:space="0" w:color="auto"/>
      </w:divBdr>
    </w:div>
    <w:div w:id="662244814">
      <w:bodyDiv w:val="1"/>
      <w:marLeft w:val="0"/>
      <w:marRight w:val="0"/>
      <w:marTop w:val="0"/>
      <w:marBottom w:val="0"/>
      <w:divBdr>
        <w:top w:val="none" w:sz="0" w:space="0" w:color="auto"/>
        <w:left w:val="none" w:sz="0" w:space="0" w:color="auto"/>
        <w:bottom w:val="none" w:sz="0" w:space="0" w:color="auto"/>
        <w:right w:val="none" w:sz="0" w:space="0" w:color="auto"/>
      </w:divBdr>
      <w:divsChild>
        <w:div w:id="1431002179">
          <w:marLeft w:val="0"/>
          <w:marRight w:val="0"/>
          <w:marTop w:val="0"/>
          <w:marBottom w:val="0"/>
          <w:divBdr>
            <w:top w:val="none" w:sz="0" w:space="0" w:color="auto"/>
            <w:left w:val="none" w:sz="0" w:space="0" w:color="auto"/>
            <w:bottom w:val="none" w:sz="0" w:space="0" w:color="auto"/>
            <w:right w:val="none" w:sz="0" w:space="0" w:color="auto"/>
          </w:divBdr>
          <w:divsChild>
            <w:div w:id="1523275010">
              <w:marLeft w:val="0"/>
              <w:marRight w:val="0"/>
              <w:marTop w:val="0"/>
              <w:marBottom w:val="0"/>
              <w:divBdr>
                <w:top w:val="none" w:sz="0" w:space="0" w:color="auto"/>
                <w:left w:val="none" w:sz="0" w:space="0" w:color="auto"/>
                <w:bottom w:val="none" w:sz="0" w:space="0" w:color="auto"/>
                <w:right w:val="none" w:sz="0" w:space="0" w:color="auto"/>
              </w:divBdr>
              <w:divsChild>
                <w:div w:id="5538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4411">
      <w:bodyDiv w:val="1"/>
      <w:marLeft w:val="0"/>
      <w:marRight w:val="0"/>
      <w:marTop w:val="0"/>
      <w:marBottom w:val="0"/>
      <w:divBdr>
        <w:top w:val="none" w:sz="0" w:space="0" w:color="auto"/>
        <w:left w:val="none" w:sz="0" w:space="0" w:color="auto"/>
        <w:bottom w:val="none" w:sz="0" w:space="0" w:color="auto"/>
        <w:right w:val="none" w:sz="0" w:space="0" w:color="auto"/>
      </w:divBdr>
    </w:div>
    <w:div w:id="793715191">
      <w:bodyDiv w:val="1"/>
      <w:marLeft w:val="0"/>
      <w:marRight w:val="0"/>
      <w:marTop w:val="0"/>
      <w:marBottom w:val="0"/>
      <w:divBdr>
        <w:top w:val="none" w:sz="0" w:space="0" w:color="auto"/>
        <w:left w:val="none" w:sz="0" w:space="0" w:color="auto"/>
        <w:bottom w:val="none" w:sz="0" w:space="0" w:color="auto"/>
        <w:right w:val="none" w:sz="0" w:space="0" w:color="auto"/>
      </w:divBdr>
    </w:div>
    <w:div w:id="803039462">
      <w:bodyDiv w:val="1"/>
      <w:marLeft w:val="0"/>
      <w:marRight w:val="0"/>
      <w:marTop w:val="0"/>
      <w:marBottom w:val="0"/>
      <w:divBdr>
        <w:top w:val="none" w:sz="0" w:space="0" w:color="auto"/>
        <w:left w:val="none" w:sz="0" w:space="0" w:color="auto"/>
        <w:bottom w:val="none" w:sz="0" w:space="0" w:color="auto"/>
        <w:right w:val="none" w:sz="0" w:space="0" w:color="auto"/>
      </w:divBdr>
    </w:div>
    <w:div w:id="810830158">
      <w:bodyDiv w:val="1"/>
      <w:marLeft w:val="0"/>
      <w:marRight w:val="0"/>
      <w:marTop w:val="0"/>
      <w:marBottom w:val="0"/>
      <w:divBdr>
        <w:top w:val="none" w:sz="0" w:space="0" w:color="auto"/>
        <w:left w:val="none" w:sz="0" w:space="0" w:color="auto"/>
        <w:bottom w:val="none" w:sz="0" w:space="0" w:color="auto"/>
        <w:right w:val="none" w:sz="0" w:space="0" w:color="auto"/>
      </w:divBdr>
    </w:div>
    <w:div w:id="819419287">
      <w:bodyDiv w:val="1"/>
      <w:marLeft w:val="0"/>
      <w:marRight w:val="0"/>
      <w:marTop w:val="0"/>
      <w:marBottom w:val="0"/>
      <w:divBdr>
        <w:top w:val="none" w:sz="0" w:space="0" w:color="auto"/>
        <w:left w:val="none" w:sz="0" w:space="0" w:color="auto"/>
        <w:bottom w:val="none" w:sz="0" w:space="0" w:color="auto"/>
        <w:right w:val="none" w:sz="0" w:space="0" w:color="auto"/>
      </w:divBdr>
    </w:div>
    <w:div w:id="821190200">
      <w:bodyDiv w:val="1"/>
      <w:marLeft w:val="0"/>
      <w:marRight w:val="0"/>
      <w:marTop w:val="0"/>
      <w:marBottom w:val="0"/>
      <w:divBdr>
        <w:top w:val="none" w:sz="0" w:space="0" w:color="auto"/>
        <w:left w:val="none" w:sz="0" w:space="0" w:color="auto"/>
        <w:bottom w:val="none" w:sz="0" w:space="0" w:color="auto"/>
        <w:right w:val="none" w:sz="0" w:space="0" w:color="auto"/>
      </w:divBdr>
    </w:div>
    <w:div w:id="845480877">
      <w:bodyDiv w:val="1"/>
      <w:marLeft w:val="0"/>
      <w:marRight w:val="0"/>
      <w:marTop w:val="0"/>
      <w:marBottom w:val="0"/>
      <w:divBdr>
        <w:top w:val="none" w:sz="0" w:space="0" w:color="auto"/>
        <w:left w:val="none" w:sz="0" w:space="0" w:color="auto"/>
        <w:bottom w:val="none" w:sz="0" w:space="0" w:color="auto"/>
        <w:right w:val="none" w:sz="0" w:space="0" w:color="auto"/>
      </w:divBdr>
    </w:div>
    <w:div w:id="848256922">
      <w:bodyDiv w:val="1"/>
      <w:marLeft w:val="0"/>
      <w:marRight w:val="0"/>
      <w:marTop w:val="0"/>
      <w:marBottom w:val="0"/>
      <w:divBdr>
        <w:top w:val="none" w:sz="0" w:space="0" w:color="auto"/>
        <w:left w:val="none" w:sz="0" w:space="0" w:color="auto"/>
        <w:bottom w:val="none" w:sz="0" w:space="0" w:color="auto"/>
        <w:right w:val="none" w:sz="0" w:space="0" w:color="auto"/>
      </w:divBdr>
    </w:div>
    <w:div w:id="851451181">
      <w:bodyDiv w:val="1"/>
      <w:marLeft w:val="0"/>
      <w:marRight w:val="0"/>
      <w:marTop w:val="0"/>
      <w:marBottom w:val="0"/>
      <w:divBdr>
        <w:top w:val="none" w:sz="0" w:space="0" w:color="auto"/>
        <w:left w:val="none" w:sz="0" w:space="0" w:color="auto"/>
        <w:bottom w:val="none" w:sz="0" w:space="0" w:color="auto"/>
        <w:right w:val="none" w:sz="0" w:space="0" w:color="auto"/>
      </w:divBdr>
    </w:div>
    <w:div w:id="861094454">
      <w:bodyDiv w:val="1"/>
      <w:marLeft w:val="0"/>
      <w:marRight w:val="0"/>
      <w:marTop w:val="0"/>
      <w:marBottom w:val="0"/>
      <w:divBdr>
        <w:top w:val="none" w:sz="0" w:space="0" w:color="auto"/>
        <w:left w:val="none" w:sz="0" w:space="0" w:color="auto"/>
        <w:bottom w:val="none" w:sz="0" w:space="0" w:color="auto"/>
        <w:right w:val="none" w:sz="0" w:space="0" w:color="auto"/>
      </w:divBdr>
      <w:divsChild>
        <w:div w:id="1379402519">
          <w:marLeft w:val="0"/>
          <w:marRight w:val="0"/>
          <w:marTop w:val="0"/>
          <w:marBottom w:val="0"/>
          <w:divBdr>
            <w:top w:val="none" w:sz="0" w:space="0" w:color="auto"/>
            <w:left w:val="none" w:sz="0" w:space="0" w:color="auto"/>
            <w:bottom w:val="none" w:sz="0" w:space="0" w:color="auto"/>
            <w:right w:val="none" w:sz="0" w:space="0" w:color="auto"/>
          </w:divBdr>
        </w:div>
      </w:divsChild>
    </w:div>
    <w:div w:id="907691646">
      <w:bodyDiv w:val="1"/>
      <w:marLeft w:val="0"/>
      <w:marRight w:val="0"/>
      <w:marTop w:val="0"/>
      <w:marBottom w:val="0"/>
      <w:divBdr>
        <w:top w:val="none" w:sz="0" w:space="0" w:color="auto"/>
        <w:left w:val="none" w:sz="0" w:space="0" w:color="auto"/>
        <w:bottom w:val="none" w:sz="0" w:space="0" w:color="auto"/>
        <w:right w:val="none" w:sz="0" w:space="0" w:color="auto"/>
      </w:divBdr>
    </w:div>
    <w:div w:id="915087611">
      <w:bodyDiv w:val="1"/>
      <w:marLeft w:val="0"/>
      <w:marRight w:val="0"/>
      <w:marTop w:val="0"/>
      <w:marBottom w:val="0"/>
      <w:divBdr>
        <w:top w:val="none" w:sz="0" w:space="0" w:color="auto"/>
        <w:left w:val="none" w:sz="0" w:space="0" w:color="auto"/>
        <w:bottom w:val="none" w:sz="0" w:space="0" w:color="auto"/>
        <w:right w:val="none" w:sz="0" w:space="0" w:color="auto"/>
      </w:divBdr>
    </w:div>
    <w:div w:id="932011592">
      <w:bodyDiv w:val="1"/>
      <w:marLeft w:val="0"/>
      <w:marRight w:val="0"/>
      <w:marTop w:val="0"/>
      <w:marBottom w:val="0"/>
      <w:divBdr>
        <w:top w:val="none" w:sz="0" w:space="0" w:color="auto"/>
        <w:left w:val="none" w:sz="0" w:space="0" w:color="auto"/>
        <w:bottom w:val="none" w:sz="0" w:space="0" w:color="auto"/>
        <w:right w:val="none" w:sz="0" w:space="0" w:color="auto"/>
      </w:divBdr>
      <w:divsChild>
        <w:div w:id="162010352">
          <w:marLeft w:val="0"/>
          <w:marRight w:val="0"/>
          <w:marTop w:val="0"/>
          <w:marBottom w:val="0"/>
          <w:divBdr>
            <w:top w:val="none" w:sz="0" w:space="0" w:color="auto"/>
            <w:left w:val="none" w:sz="0" w:space="0" w:color="auto"/>
            <w:bottom w:val="none" w:sz="0" w:space="0" w:color="auto"/>
            <w:right w:val="none" w:sz="0" w:space="0" w:color="auto"/>
          </w:divBdr>
          <w:divsChild>
            <w:div w:id="1154183183">
              <w:marLeft w:val="0"/>
              <w:marRight w:val="0"/>
              <w:marTop w:val="0"/>
              <w:marBottom w:val="0"/>
              <w:divBdr>
                <w:top w:val="none" w:sz="0" w:space="0" w:color="auto"/>
                <w:left w:val="none" w:sz="0" w:space="0" w:color="auto"/>
                <w:bottom w:val="none" w:sz="0" w:space="0" w:color="auto"/>
                <w:right w:val="none" w:sz="0" w:space="0" w:color="auto"/>
              </w:divBdr>
              <w:divsChild>
                <w:div w:id="2997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79247">
      <w:bodyDiv w:val="1"/>
      <w:marLeft w:val="0"/>
      <w:marRight w:val="0"/>
      <w:marTop w:val="0"/>
      <w:marBottom w:val="0"/>
      <w:divBdr>
        <w:top w:val="none" w:sz="0" w:space="0" w:color="auto"/>
        <w:left w:val="none" w:sz="0" w:space="0" w:color="auto"/>
        <w:bottom w:val="none" w:sz="0" w:space="0" w:color="auto"/>
        <w:right w:val="none" w:sz="0" w:space="0" w:color="auto"/>
      </w:divBdr>
    </w:div>
    <w:div w:id="1009527777">
      <w:bodyDiv w:val="1"/>
      <w:marLeft w:val="0"/>
      <w:marRight w:val="0"/>
      <w:marTop w:val="0"/>
      <w:marBottom w:val="0"/>
      <w:divBdr>
        <w:top w:val="none" w:sz="0" w:space="0" w:color="auto"/>
        <w:left w:val="none" w:sz="0" w:space="0" w:color="auto"/>
        <w:bottom w:val="none" w:sz="0" w:space="0" w:color="auto"/>
        <w:right w:val="none" w:sz="0" w:space="0" w:color="auto"/>
      </w:divBdr>
    </w:div>
    <w:div w:id="1022829217">
      <w:bodyDiv w:val="1"/>
      <w:marLeft w:val="0"/>
      <w:marRight w:val="0"/>
      <w:marTop w:val="0"/>
      <w:marBottom w:val="0"/>
      <w:divBdr>
        <w:top w:val="none" w:sz="0" w:space="0" w:color="auto"/>
        <w:left w:val="none" w:sz="0" w:space="0" w:color="auto"/>
        <w:bottom w:val="none" w:sz="0" w:space="0" w:color="auto"/>
        <w:right w:val="none" w:sz="0" w:space="0" w:color="auto"/>
      </w:divBdr>
    </w:div>
    <w:div w:id="1033262551">
      <w:bodyDiv w:val="1"/>
      <w:marLeft w:val="0"/>
      <w:marRight w:val="0"/>
      <w:marTop w:val="0"/>
      <w:marBottom w:val="0"/>
      <w:divBdr>
        <w:top w:val="none" w:sz="0" w:space="0" w:color="auto"/>
        <w:left w:val="none" w:sz="0" w:space="0" w:color="auto"/>
        <w:bottom w:val="none" w:sz="0" w:space="0" w:color="auto"/>
        <w:right w:val="none" w:sz="0" w:space="0" w:color="auto"/>
      </w:divBdr>
    </w:div>
    <w:div w:id="1039432883">
      <w:bodyDiv w:val="1"/>
      <w:marLeft w:val="0"/>
      <w:marRight w:val="0"/>
      <w:marTop w:val="0"/>
      <w:marBottom w:val="0"/>
      <w:divBdr>
        <w:top w:val="none" w:sz="0" w:space="0" w:color="auto"/>
        <w:left w:val="none" w:sz="0" w:space="0" w:color="auto"/>
        <w:bottom w:val="none" w:sz="0" w:space="0" w:color="auto"/>
        <w:right w:val="none" w:sz="0" w:space="0" w:color="auto"/>
      </w:divBdr>
    </w:div>
    <w:div w:id="1040475268">
      <w:bodyDiv w:val="1"/>
      <w:marLeft w:val="0"/>
      <w:marRight w:val="0"/>
      <w:marTop w:val="0"/>
      <w:marBottom w:val="0"/>
      <w:divBdr>
        <w:top w:val="none" w:sz="0" w:space="0" w:color="auto"/>
        <w:left w:val="none" w:sz="0" w:space="0" w:color="auto"/>
        <w:bottom w:val="none" w:sz="0" w:space="0" w:color="auto"/>
        <w:right w:val="none" w:sz="0" w:space="0" w:color="auto"/>
      </w:divBdr>
    </w:div>
    <w:div w:id="1049065773">
      <w:bodyDiv w:val="1"/>
      <w:marLeft w:val="0"/>
      <w:marRight w:val="0"/>
      <w:marTop w:val="0"/>
      <w:marBottom w:val="0"/>
      <w:divBdr>
        <w:top w:val="none" w:sz="0" w:space="0" w:color="auto"/>
        <w:left w:val="none" w:sz="0" w:space="0" w:color="auto"/>
        <w:bottom w:val="none" w:sz="0" w:space="0" w:color="auto"/>
        <w:right w:val="none" w:sz="0" w:space="0" w:color="auto"/>
      </w:divBdr>
      <w:divsChild>
        <w:div w:id="1906522174">
          <w:marLeft w:val="0"/>
          <w:marRight w:val="0"/>
          <w:marTop w:val="0"/>
          <w:marBottom w:val="0"/>
          <w:divBdr>
            <w:top w:val="none" w:sz="0" w:space="0" w:color="auto"/>
            <w:left w:val="none" w:sz="0" w:space="0" w:color="auto"/>
            <w:bottom w:val="none" w:sz="0" w:space="0" w:color="auto"/>
            <w:right w:val="none" w:sz="0" w:space="0" w:color="auto"/>
          </w:divBdr>
          <w:divsChild>
            <w:div w:id="377706542">
              <w:marLeft w:val="0"/>
              <w:marRight w:val="0"/>
              <w:marTop w:val="0"/>
              <w:marBottom w:val="0"/>
              <w:divBdr>
                <w:top w:val="none" w:sz="0" w:space="0" w:color="auto"/>
                <w:left w:val="none" w:sz="0" w:space="0" w:color="auto"/>
                <w:bottom w:val="none" w:sz="0" w:space="0" w:color="auto"/>
                <w:right w:val="none" w:sz="0" w:space="0" w:color="auto"/>
              </w:divBdr>
              <w:divsChild>
                <w:div w:id="6509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2924">
      <w:bodyDiv w:val="1"/>
      <w:marLeft w:val="0"/>
      <w:marRight w:val="0"/>
      <w:marTop w:val="0"/>
      <w:marBottom w:val="0"/>
      <w:divBdr>
        <w:top w:val="none" w:sz="0" w:space="0" w:color="auto"/>
        <w:left w:val="none" w:sz="0" w:space="0" w:color="auto"/>
        <w:bottom w:val="none" w:sz="0" w:space="0" w:color="auto"/>
        <w:right w:val="none" w:sz="0" w:space="0" w:color="auto"/>
      </w:divBdr>
    </w:div>
    <w:div w:id="1110275509">
      <w:bodyDiv w:val="1"/>
      <w:marLeft w:val="0"/>
      <w:marRight w:val="0"/>
      <w:marTop w:val="0"/>
      <w:marBottom w:val="0"/>
      <w:divBdr>
        <w:top w:val="none" w:sz="0" w:space="0" w:color="auto"/>
        <w:left w:val="none" w:sz="0" w:space="0" w:color="auto"/>
        <w:bottom w:val="none" w:sz="0" w:space="0" w:color="auto"/>
        <w:right w:val="none" w:sz="0" w:space="0" w:color="auto"/>
      </w:divBdr>
    </w:div>
    <w:div w:id="1125007574">
      <w:bodyDiv w:val="1"/>
      <w:marLeft w:val="0"/>
      <w:marRight w:val="0"/>
      <w:marTop w:val="0"/>
      <w:marBottom w:val="0"/>
      <w:divBdr>
        <w:top w:val="none" w:sz="0" w:space="0" w:color="auto"/>
        <w:left w:val="none" w:sz="0" w:space="0" w:color="auto"/>
        <w:bottom w:val="none" w:sz="0" w:space="0" w:color="auto"/>
        <w:right w:val="none" w:sz="0" w:space="0" w:color="auto"/>
      </w:divBdr>
    </w:div>
    <w:div w:id="1129325280">
      <w:bodyDiv w:val="1"/>
      <w:marLeft w:val="0"/>
      <w:marRight w:val="0"/>
      <w:marTop w:val="0"/>
      <w:marBottom w:val="0"/>
      <w:divBdr>
        <w:top w:val="none" w:sz="0" w:space="0" w:color="auto"/>
        <w:left w:val="none" w:sz="0" w:space="0" w:color="auto"/>
        <w:bottom w:val="none" w:sz="0" w:space="0" w:color="auto"/>
        <w:right w:val="none" w:sz="0" w:space="0" w:color="auto"/>
      </w:divBdr>
    </w:div>
    <w:div w:id="1149176677">
      <w:bodyDiv w:val="1"/>
      <w:marLeft w:val="0"/>
      <w:marRight w:val="0"/>
      <w:marTop w:val="0"/>
      <w:marBottom w:val="0"/>
      <w:divBdr>
        <w:top w:val="none" w:sz="0" w:space="0" w:color="auto"/>
        <w:left w:val="none" w:sz="0" w:space="0" w:color="auto"/>
        <w:bottom w:val="none" w:sz="0" w:space="0" w:color="auto"/>
        <w:right w:val="none" w:sz="0" w:space="0" w:color="auto"/>
      </w:divBdr>
    </w:div>
    <w:div w:id="1164781887">
      <w:bodyDiv w:val="1"/>
      <w:marLeft w:val="0"/>
      <w:marRight w:val="0"/>
      <w:marTop w:val="0"/>
      <w:marBottom w:val="0"/>
      <w:divBdr>
        <w:top w:val="none" w:sz="0" w:space="0" w:color="auto"/>
        <w:left w:val="none" w:sz="0" w:space="0" w:color="auto"/>
        <w:bottom w:val="none" w:sz="0" w:space="0" w:color="auto"/>
        <w:right w:val="none" w:sz="0" w:space="0" w:color="auto"/>
      </w:divBdr>
    </w:div>
    <w:div w:id="1175341062">
      <w:bodyDiv w:val="1"/>
      <w:marLeft w:val="0"/>
      <w:marRight w:val="0"/>
      <w:marTop w:val="0"/>
      <w:marBottom w:val="0"/>
      <w:divBdr>
        <w:top w:val="none" w:sz="0" w:space="0" w:color="auto"/>
        <w:left w:val="none" w:sz="0" w:space="0" w:color="auto"/>
        <w:bottom w:val="none" w:sz="0" w:space="0" w:color="auto"/>
        <w:right w:val="none" w:sz="0" w:space="0" w:color="auto"/>
      </w:divBdr>
    </w:div>
    <w:div w:id="1201359325">
      <w:bodyDiv w:val="1"/>
      <w:marLeft w:val="0"/>
      <w:marRight w:val="0"/>
      <w:marTop w:val="0"/>
      <w:marBottom w:val="0"/>
      <w:divBdr>
        <w:top w:val="none" w:sz="0" w:space="0" w:color="auto"/>
        <w:left w:val="none" w:sz="0" w:space="0" w:color="auto"/>
        <w:bottom w:val="none" w:sz="0" w:space="0" w:color="auto"/>
        <w:right w:val="none" w:sz="0" w:space="0" w:color="auto"/>
      </w:divBdr>
    </w:div>
    <w:div w:id="1211453759">
      <w:bodyDiv w:val="1"/>
      <w:marLeft w:val="0"/>
      <w:marRight w:val="0"/>
      <w:marTop w:val="0"/>
      <w:marBottom w:val="0"/>
      <w:divBdr>
        <w:top w:val="none" w:sz="0" w:space="0" w:color="auto"/>
        <w:left w:val="none" w:sz="0" w:space="0" w:color="auto"/>
        <w:bottom w:val="none" w:sz="0" w:space="0" w:color="auto"/>
        <w:right w:val="none" w:sz="0" w:space="0" w:color="auto"/>
      </w:divBdr>
    </w:div>
    <w:div w:id="1222786304">
      <w:bodyDiv w:val="1"/>
      <w:marLeft w:val="0"/>
      <w:marRight w:val="0"/>
      <w:marTop w:val="0"/>
      <w:marBottom w:val="0"/>
      <w:divBdr>
        <w:top w:val="none" w:sz="0" w:space="0" w:color="auto"/>
        <w:left w:val="none" w:sz="0" w:space="0" w:color="auto"/>
        <w:bottom w:val="none" w:sz="0" w:space="0" w:color="auto"/>
        <w:right w:val="none" w:sz="0" w:space="0" w:color="auto"/>
      </w:divBdr>
      <w:divsChild>
        <w:div w:id="437994365">
          <w:marLeft w:val="0"/>
          <w:marRight w:val="0"/>
          <w:marTop w:val="0"/>
          <w:marBottom w:val="0"/>
          <w:divBdr>
            <w:top w:val="none" w:sz="0" w:space="0" w:color="auto"/>
            <w:left w:val="none" w:sz="0" w:space="0" w:color="auto"/>
            <w:bottom w:val="none" w:sz="0" w:space="0" w:color="auto"/>
            <w:right w:val="none" w:sz="0" w:space="0" w:color="auto"/>
          </w:divBdr>
        </w:div>
      </w:divsChild>
    </w:div>
    <w:div w:id="1261647826">
      <w:bodyDiv w:val="1"/>
      <w:marLeft w:val="0"/>
      <w:marRight w:val="0"/>
      <w:marTop w:val="0"/>
      <w:marBottom w:val="0"/>
      <w:divBdr>
        <w:top w:val="none" w:sz="0" w:space="0" w:color="auto"/>
        <w:left w:val="none" w:sz="0" w:space="0" w:color="auto"/>
        <w:bottom w:val="none" w:sz="0" w:space="0" w:color="auto"/>
        <w:right w:val="none" w:sz="0" w:space="0" w:color="auto"/>
      </w:divBdr>
    </w:div>
    <w:div w:id="1298103286">
      <w:bodyDiv w:val="1"/>
      <w:marLeft w:val="0"/>
      <w:marRight w:val="0"/>
      <w:marTop w:val="0"/>
      <w:marBottom w:val="0"/>
      <w:divBdr>
        <w:top w:val="none" w:sz="0" w:space="0" w:color="auto"/>
        <w:left w:val="none" w:sz="0" w:space="0" w:color="auto"/>
        <w:bottom w:val="none" w:sz="0" w:space="0" w:color="auto"/>
        <w:right w:val="none" w:sz="0" w:space="0" w:color="auto"/>
      </w:divBdr>
    </w:div>
    <w:div w:id="1305890559">
      <w:bodyDiv w:val="1"/>
      <w:marLeft w:val="0"/>
      <w:marRight w:val="0"/>
      <w:marTop w:val="0"/>
      <w:marBottom w:val="0"/>
      <w:divBdr>
        <w:top w:val="none" w:sz="0" w:space="0" w:color="auto"/>
        <w:left w:val="none" w:sz="0" w:space="0" w:color="auto"/>
        <w:bottom w:val="none" w:sz="0" w:space="0" w:color="auto"/>
        <w:right w:val="none" w:sz="0" w:space="0" w:color="auto"/>
      </w:divBdr>
    </w:div>
    <w:div w:id="1307933572">
      <w:bodyDiv w:val="1"/>
      <w:marLeft w:val="0"/>
      <w:marRight w:val="0"/>
      <w:marTop w:val="0"/>
      <w:marBottom w:val="0"/>
      <w:divBdr>
        <w:top w:val="none" w:sz="0" w:space="0" w:color="auto"/>
        <w:left w:val="none" w:sz="0" w:space="0" w:color="auto"/>
        <w:bottom w:val="none" w:sz="0" w:space="0" w:color="auto"/>
        <w:right w:val="none" w:sz="0" w:space="0" w:color="auto"/>
      </w:divBdr>
    </w:div>
    <w:div w:id="1312834485">
      <w:bodyDiv w:val="1"/>
      <w:marLeft w:val="0"/>
      <w:marRight w:val="0"/>
      <w:marTop w:val="0"/>
      <w:marBottom w:val="0"/>
      <w:divBdr>
        <w:top w:val="none" w:sz="0" w:space="0" w:color="auto"/>
        <w:left w:val="none" w:sz="0" w:space="0" w:color="auto"/>
        <w:bottom w:val="none" w:sz="0" w:space="0" w:color="auto"/>
        <w:right w:val="none" w:sz="0" w:space="0" w:color="auto"/>
      </w:divBdr>
    </w:div>
    <w:div w:id="1323776343">
      <w:bodyDiv w:val="1"/>
      <w:marLeft w:val="0"/>
      <w:marRight w:val="0"/>
      <w:marTop w:val="0"/>
      <w:marBottom w:val="0"/>
      <w:divBdr>
        <w:top w:val="none" w:sz="0" w:space="0" w:color="auto"/>
        <w:left w:val="none" w:sz="0" w:space="0" w:color="auto"/>
        <w:bottom w:val="none" w:sz="0" w:space="0" w:color="auto"/>
        <w:right w:val="none" w:sz="0" w:space="0" w:color="auto"/>
      </w:divBdr>
    </w:div>
    <w:div w:id="1328821319">
      <w:bodyDiv w:val="1"/>
      <w:marLeft w:val="0"/>
      <w:marRight w:val="0"/>
      <w:marTop w:val="0"/>
      <w:marBottom w:val="0"/>
      <w:divBdr>
        <w:top w:val="none" w:sz="0" w:space="0" w:color="auto"/>
        <w:left w:val="none" w:sz="0" w:space="0" w:color="auto"/>
        <w:bottom w:val="none" w:sz="0" w:space="0" w:color="auto"/>
        <w:right w:val="none" w:sz="0" w:space="0" w:color="auto"/>
      </w:divBdr>
    </w:div>
    <w:div w:id="1333951192">
      <w:bodyDiv w:val="1"/>
      <w:marLeft w:val="0"/>
      <w:marRight w:val="0"/>
      <w:marTop w:val="0"/>
      <w:marBottom w:val="0"/>
      <w:divBdr>
        <w:top w:val="none" w:sz="0" w:space="0" w:color="auto"/>
        <w:left w:val="none" w:sz="0" w:space="0" w:color="auto"/>
        <w:bottom w:val="none" w:sz="0" w:space="0" w:color="auto"/>
        <w:right w:val="none" w:sz="0" w:space="0" w:color="auto"/>
      </w:divBdr>
    </w:div>
    <w:div w:id="1346664492">
      <w:bodyDiv w:val="1"/>
      <w:marLeft w:val="0"/>
      <w:marRight w:val="0"/>
      <w:marTop w:val="0"/>
      <w:marBottom w:val="0"/>
      <w:divBdr>
        <w:top w:val="none" w:sz="0" w:space="0" w:color="auto"/>
        <w:left w:val="none" w:sz="0" w:space="0" w:color="auto"/>
        <w:bottom w:val="none" w:sz="0" w:space="0" w:color="auto"/>
        <w:right w:val="none" w:sz="0" w:space="0" w:color="auto"/>
      </w:divBdr>
    </w:div>
    <w:div w:id="1395813724">
      <w:bodyDiv w:val="1"/>
      <w:marLeft w:val="0"/>
      <w:marRight w:val="0"/>
      <w:marTop w:val="0"/>
      <w:marBottom w:val="0"/>
      <w:divBdr>
        <w:top w:val="none" w:sz="0" w:space="0" w:color="auto"/>
        <w:left w:val="none" w:sz="0" w:space="0" w:color="auto"/>
        <w:bottom w:val="none" w:sz="0" w:space="0" w:color="auto"/>
        <w:right w:val="none" w:sz="0" w:space="0" w:color="auto"/>
      </w:divBdr>
    </w:div>
    <w:div w:id="1418790820">
      <w:bodyDiv w:val="1"/>
      <w:marLeft w:val="0"/>
      <w:marRight w:val="0"/>
      <w:marTop w:val="0"/>
      <w:marBottom w:val="0"/>
      <w:divBdr>
        <w:top w:val="none" w:sz="0" w:space="0" w:color="auto"/>
        <w:left w:val="none" w:sz="0" w:space="0" w:color="auto"/>
        <w:bottom w:val="none" w:sz="0" w:space="0" w:color="auto"/>
        <w:right w:val="none" w:sz="0" w:space="0" w:color="auto"/>
      </w:divBdr>
    </w:div>
    <w:div w:id="1452364370">
      <w:bodyDiv w:val="1"/>
      <w:marLeft w:val="0"/>
      <w:marRight w:val="0"/>
      <w:marTop w:val="0"/>
      <w:marBottom w:val="0"/>
      <w:divBdr>
        <w:top w:val="none" w:sz="0" w:space="0" w:color="auto"/>
        <w:left w:val="none" w:sz="0" w:space="0" w:color="auto"/>
        <w:bottom w:val="none" w:sz="0" w:space="0" w:color="auto"/>
        <w:right w:val="none" w:sz="0" w:space="0" w:color="auto"/>
      </w:divBdr>
    </w:div>
    <w:div w:id="1476874552">
      <w:bodyDiv w:val="1"/>
      <w:marLeft w:val="0"/>
      <w:marRight w:val="0"/>
      <w:marTop w:val="0"/>
      <w:marBottom w:val="0"/>
      <w:divBdr>
        <w:top w:val="none" w:sz="0" w:space="0" w:color="auto"/>
        <w:left w:val="none" w:sz="0" w:space="0" w:color="auto"/>
        <w:bottom w:val="none" w:sz="0" w:space="0" w:color="auto"/>
        <w:right w:val="none" w:sz="0" w:space="0" w:color="auto"/>
      </w:divBdr>
    </w:div>
    <w:div w:id="1483504038">
      <w:bodyDiv w:val="1"/>
      <w:marLeft w:val="0"/>
      <w:marRight w:val="0"/>
      <w:marTop w:val="0"/>
      <w:marBottom w:val="0"/>
      <w:divBdr>
        <w:top w:val="none" w:sz="0" w:space="0" w:color="auto"/>
        <w:left w:val="none" w:sz="0" w:space="0" w:color="auto"/>
        <w:bottom w:val="none" w:sz="0" w:space="0" w:color="auto"/>
        <w:right w:val="none" w:sz="0" w:space="0" w:color="auto"/>
      </w:divBdr>
    </w:div>
    <w:div w:id="1508835343">
      <w:bodyDiv w:val="1"/>
      <w:marLeft w:val="0"/>
      <w:marRight w:val="0"/>
      <w:marTop w:val="0"/>
      <w:marBottom w:val="0"/>
      <w:divBdr>
        <w:top w:val="none" w:sz="0" w:space="0" w:color="auto"/>
        <w:left w:val="none" w:sz="0" w:space="0" w:color="auto"/>
        <w:bottom w:val="none" w:sz="0" w:space="0" w:color="auto"/>
        <w:right w:val="none" w:sz="0" w:space="0" w:color="auto"/>
      </w:divBdr>
    </w:div>
    <w:div w:id="1553662627">
      <w:bodyDiv w:val="1"/>
      <w:marLeft w:val="0"/>
      <w:marRight w:val="0"/>
      <w:marTop w:val="0"/>
      <w:marBottom w:val="0"/>
      <w:divBdr>
        <w:top w:val="none" w:sz="0" w:space="0" w:color="auto"/>
        <w:left w:val="none" w:sz="0" w:space="0" w:color="auto"/>
        <w:bottom w:val="none" w:sz="0" w:space="0" w:color="auto"/>
        <w:right w:val="none" w:sz="0" w:space="0" w:color="auto"/>
      </w:divBdr>
    </w:div>
    <w:div w:id="1555198068">
      <w:bodyDiv w:val="1"/>
      <w:marLeft w:val="0"/>
      <w:marRight w:val="0"/>
      <w:marTop w:val="0"/>
      <w:marBottom w:val="0"/>
      <w:divBdr>
        <w:top w:val="none" w:sz="0" w:space="0" w:color="auto"/>
        <w:left w:val="none" w:sz="0" w:space="0" w:color="auto"/>
        <w:bottom w:val="none" w:sz="0" w:space="0" w:color="auto"/>
        <w:right w:val="none" w:sz="0" w:space="0" w:color="auto"/>
      </w:divBdr>
    </w:div>
    <w:div w:id="1558315698">
      <w:bodyDiv w:val="1"/>
      <w:marLeft w:val="0"/>
      <w:marRight w:val="0"/>
      <w:marTop w:val="0"/>
      <w:marBottom w:val="0"/>
      <w:divBdr>
        <w:top w:val="none" w:sz="0" w:space="0" w:color="auto"/>
        <w:left w:val="none" w:sz="0" w:space="0" w:color="auto"/>
        <w:bottom w:val="none" w:sz="0" w:space="0" w:color="auto"/>
        <w:right w:val="none" w:sz="0" w:space="0" w:color="auto"/>
      </w:divBdr>
    </w:div>
    <w:div w:id="1569417755">
      <w:bodyDiv w:val="1"/>
      <w:marLeft w:val="0"/>
      <w:marRight w:val="0"/>
      <w:marTop w:val="0"/>
      <w:marBottom w:val="0"/>
      <w:divBdr>
        <w:top w:val="none" w:sz="0" w:space="0" w:color="auto"/>
        <w:left w:val="none" w:sz="0" w:space="0" w:color="auto"/>
        <w:bottom w:val="none" w:sz="0" w:space="0" w:color="auto"/>
        <w:right w:val="none" w:sz="0" w:space="0" w:color="auto"/>
      </w:divBdr>
    </w:div>
    <w:div w:id="1577127796">
      <w:bodyDiv w:val="1"/>
      <w:marLeft w:val="0"/>
      <w:marRight w:val="0"/>
      <w:marTop w:val="0"/>
      <w:marBottom w:val="0"/>
      <w:divBdr>
        <w:top w:val="none" w:sz="0" w:space="0" w:color="auto"/>
        <w:left w:val="none" w:sz="0" w:space="0" w:color="auto"/>
        <w:bottom w:val="none" w:sz="0" w:space="0" w:color="auto"/>
        <w:right w:val="none" w:sz="0" w:space="0" w:color="auto"/>
      </w:divBdr>
    </w:div>
    <w:div w:id="1577131633">
      <w:bodyDiv w:val="1"/>
      <w:marLeft w:val="0"/>
      <w:marRight w:val="0"/>
      <w:marTop w:val="0"/>
      <w:marBottom w:val="0"/>
      <w:divBdr>
        <w:top w:val="none" w:sz="0" w:space="0" w:color="auto"/>
        <w:left w:val="none" w:sz="0" w:space="0" w:color="auto"/>
        <w:bottom w:val="none" w:sz="0" w:space="0" w:color="auto"/>
        <w:right w:val="none" w:sz="0" w:space="0" w:color="auto"/>
      </w:divBdr>
    </w:div>
    <w:div w:id="1598833059">
      <w:bodyDiv w:val="1"/>
      <w:marLeft w:val="0"/>
      <w:marRight w:val="0"/>
      <w:marTop w:val="0"/>
      <w:marBottom w:val="0"/>
      <w:divBdr>
        <w:top w:val="none" w:sz="0" w:space="0" w:color="auto"/>
        <w:left w:val="none" w:sz="0" w:space="0" w:color="auto"/>
        <w:bottom w:val="none" w:sz="0" w:space="0" w:color="auto"/>
        <w:right w:val="none" w:sz="0" w:space="0" w:color="auto"/>
      </w:divBdr>
    </w:div>
    <w:div w:id="1618220697">
      <w:bodyDiv w:val="1"/>
      <w:marLeft w:val="0"/>
      <w:marRight w:val="0"/>
      <w:marTop w:val="0"/>
      <w:marBottom w:val="0"/>
      <w:divBdr>
        <w:top w:val="none" w:sz="0" w:space="0" w:color="auto"/>
        <w:left w:val="none" w:sz="0" w:space="0" w:color="auto"/>
        <w:bottom w:val="none" w:sz="0" w:space="0" w:color="auto"/>
        <w:right w:val="none" w:sz="0" w:space="0" w:color="auto"/>
      </w:divBdr>
    </w:div>
    <w:div w:id="1672222444">
      <w:bodyDiv w:val="1"/>
      <w:marLeft w:val="0"/>
      <w:marRight w:val="0"/>
      <w:marTop w:val="0"/>
      <w:marBottom w:val="0"/>
      <w:divBdr>
        <w:top w:val="none" w:sz="0" w:space="0" w:color="auto"/>
        <w:left w:val="none" w:sz="0" w:space="0" w:color="auto"/>
        <w:bottom w:val="none" w:sz="0" w:space="0" w:color="auto"/>
        <w:right w:val="none" w:sz="0" w:space="0" w:color="auto"/>
      </w:divBdr>
    </w:div>
    <w:div w:id="1681547540">
      <w:bodyDiv w:val="1"/>
      <w:marLeft w:val="0"/>
      <w:marRight w:val="0"/>
      <w:marTop w:val="0"/>
      <w:marBottom w:val="0"/>
      <w:divBdr>
        <w:top w:val="none" w:sz="0" w:space="0" w:color="auto"/>
        <w:left w:val="none" w:sz="0" w:space="0" w:color="auto"/>
        <w:bottom w:val="none" w:sz="0" w:space="0" w:color="auto"/>
        <w:right w:val="none" w:sz="0" w:space="0" w:color="auto"/>
      </w:divBdr>
    </w:div>
    <w:div w:id="1720133137">
      <w:bodyDiv w:val="1"/>
      <w:marLeft w:val="0"/>
      <w:marRight w:val="0"/>
      <w:marTop w:val="0"/>
      <w:marBottom w:val="0"/>
      <w:divBdr>
        <w:top w:val="none" w:sz="0" w:space="0" w:color="auto"/>
        <w:left w:val="none" w:sz="0" w:space="0" w:color="auto"/>
        <w:bottom w:val="none" w:sz="0" w:space="0" w:color="auto"/>
        <w:right w:val="none" w:sz="0" w:space="0" w:color="auto"/>
      </w:divBdr>
    </w:div>
    <w:div w:id="1734549302">
      <w:bodyDiv w:val="1"/>
      <w:marLeft w:val="0"/>
      <w:marRight w:val="0"/>
      <w:marTop w:val="0"/>
      <w:marBottom w:val="0"/>
      <w:divBdr>
        <w:top w:val="none" w:sz="0" w:space="0" w:color="auto"/>
        <w:left w:val="none" w:sz="0" w:space="0" w:color="auto"/>
        <w:bottom w:val="none" w:sz="0" w:space="0" w:color="auto"/>
        <w:right w:val="none" w:sz="0" w:space="0" w:color="auto"/>
      </w:divBdr>
    </w:div>
    <w:div w:id="1740595585">
      <w:bodyDiv w:val="1"/>
      <w:marLeft w:val="0"/>
      <w:marRight w:val="0"/>
      <w:marTop w:val="0"/>
      <w:marBottom w:val="0"/>
      <w:divBdr>
        <w:top w:val="none" w:sz="0" w:space="0" w:color="auto"/>
        <w:left w:val="none" w:sz="0" w:space="0" w:color="auto"/>
        <w:bottom w:val="none" w:sz="0" w:space="0" w:color="auto"/>
        <w:right w:val="none" w:sz="0" w:space="0" w:color="auto"/>
      </w:divBdr>
    </w:div>
    <w:div w:id="1740859648">
      <w:bodyDiv w:val="1"/>
      <w:marLeft w:val="0"/>
      <w:marRight w:val="0"/>
      <w:marTop w:val="0"/>
      <w:marBottom w:val="0"/>
      <w:divBdr>
        <w:top w:val="none" w:sz="0" w:space="0" w:color="auto"/>
        <w:left w:val="none" w:sz="0" w:space="0" w:color="auto"/>
        <w:bottom w:val="none" w:sz="0" w:space="0" w:color="auto"/>
        <w:right w:val="none" w:sz="0" w:space="0" w:color="auto"/>
      </w:divBdr>
      <w:divsChild>
        <w:div w:id="1217667624">
          <w:marLeft w:val="0"/>
          <w:marRight w:val="0"/>
          <w:marTop w:val="0"/>
          <w:marBottom w:val="0"/>
          <w:divBdr>
            <w:top w:val="none" w:sz="0" w:space="0" w:color="auto"/>
            <w:left w:val="none" w:sz="0" w:space="0" w:color="auto"/>
            <w:bottom w:val="none" w:sz="0" w:space="0" w:color="auto"/>
            <w:right w:val="none" w:sz="0" w:space="0" w:color="auto"/>
          </w:divBdr>
          <w:divsChild>
            <w:div w:id="1258515499">
              <w:marLeft w:val="0"/>
              <w:marRight w:val="0"/>
              <w:marTop w:val="0"/>
              <w:marBottom w:val="0"/>
              <w:divBdr>
                <w:top w:val="none" w:sz="0" w:space="0" w:color="auto"/>
                <w:left w:val="none" w:sz="0" w:space="0" w:color="auto"/>
                <w:bottom w:val="none" w:sz="0" w:space="0" w:color="auto"/>
                <w:right w:val="none" w:sz="0" w:space="0" w:color="auto"/>
              </w:divBdr>
              <w:divsChild>
                <w:div w:id="996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5890">
      <w:bodyDiv w:val="1"/>
      <w:marLeft w:val="0"/>
      <w:marRight w:val="0"/>
      <w:marTop w:val="0"/>
      <w:marBottom w:val="0"/>
      <w:divBdr>
        <w:top w:val="none" w:sz="0" w:space="0" w:color="auto"/>
        <w:left w:val="none" w:sz="0" w:space="0" w:color="auto"/>
        <w:bottom w:val="none" w:sz="0" w:space="0" w:color="auto"/>
        <w:right w:val="none" w:sz="0" w:space="0" w:color="auto"/>
      </w:divBdr>
    </w:div>
    <w:div w:id="1755206070">
      <w:bodyDiv w:val="1"/>
      <w:marLeft w:val="0"/>
      <w:marRight w:val="0"/>
      <w:marTop w:val="0"/>
      <w:marBottom w:val="0"/>
      <w:divBdr>
        <w:top w:val="none" w:sz="0" w:space="0" w:color="auto"/>
        <w:left w:val="none" w:sz="0" w:space="0" w:color="auto"/>
        <w:bottom w:val="none" w:sz="0" w:space="0" w:color="auto"/>
        <w:right w:val="none" w:sz="0" w:space="0" w:color="auto"/>
      </w:divBdr>
    </w:div>
    <w:div w:id="1797217130">
      <w:bodyDiv w:val="1"/>
      <w:marLeft w:val="0"/>
      <w:marRight w:val="0"/>
      <w:marTop w:val="0"/>
      <w:marBottom w:val="0"/>
      <w:divBdr>
        <w:top w:val="none" w:sz="0" w:space="0" w:color="auto"/>
        <w:left w:val="none" w:sz="0" w:space="0" w:color="auto"/>
        <w:bottom w:val="none" w:sz="0" w:space="0" w:color="auto"/>
        <w:right w:val="none" w:sz="0" w:space="0" w:color="auto"/>
      </w:divBdr>
    </w:div>
    <w:div w:id="1809740803">
      <w:bodyDiv w:val="1"/>
      <w:marLeft w:val="0"/>
      <w:marRight w:val="0"/>
      <w:marTop w:val="0"/>
      <w:marBottom w:val="0"/>
      <w:divBdr>
        <w:top w:val="none" w:sz="0" w:space="0" w:color="auto"/>
        <w:left w:val="none" w:sz="0" w:space="0" w:color="auto"/>
        <w:bottom w:val="none" w:sz="0" w:space="0" w:color="auto"/>
        <w:right w:val="none" w:sz="0" w:space="0" w:color="auto"/>
      </w:divBdr>
    </w:div>
    <w:div w:id="1810976454">
      <w:bodyDiv w:val="1"/>
      <w:marLeft w:val="0"/>
      <w:marRight w:val="0"/>
      <w:marTop w:val="0"/>
      <w:marBottom w:val="0"/>
      <w:divBdr>
        <w:top w:val="none" w:sz="0" w:space="0" w:color="auto"/>
        <w:left w:val="none" w:sz="0" w:space="0" w:color="auto"/>
        <w:bottom w:val="none" w:sz="0" w:space="0" w:color="auto"/>
        <w:right w:val="none" w:sz="0" w:space="0" w:color="auto"/>
      </w:divBdr>
    </w:div>
    <w:div w:id="1822649391">
      <w:bodyDiv w:val="1"/>
      <w:marLeft w:val="0"/>
      <w:marRight w:val="0"/>
      <w:marTop w:val="0"/>
      <w:marBottom w:val="0"/>
      <w:divBdr>
        <w:top w:val="none" w:sz="0" w:space="0" w:color="auto"/>
        <w:left w:val="none" w:sz="0" w:space="0" w:color="auto"/>
        <w:bottom w:val="none" w:sz="0" w:space="0" w:color="auto"/>
        <w:right w:val="none" w:sz="0" w:space="0" w:color="auto"/>
      </w:divBdr>
    </w:div>
    <w:div w:id="1858425672">
      <w:bodyDiv w:val="1"/>
      <w:marLeft w:val="0"/>
      <w:marRight w:val="0"/>
      <w:marTop w:val="0"/>
      <w:marBottom w:val="0"/>
      <w:divBdr>
        <w:top w:val="none" w:sz="0" w:space="0" w:color="auto"/>
        <w:left w:val="none" w:sz="0" w:space="0" w:color="auto"/>
        <w:bottom w:val="none" w:sz="0" w:space="0" w:color="auto"/>
        <w:right w:val="none" w:sz="0" w:space="0" w:color="auto"/>
      </w:divBdr>
    </w:div>
    <w:div w:id="1875314686">
      <w:bodyDiv w:val="1"/>
      <w:marLeft w:val="0"/>
      <w:marRight w:val="0"/>
      <w:marTop w:val="0"/>
      <w:marBottom w:val="0"/>
      <w:divBdr>
        <w:top w:val="none" w:sz="0" w:space="0" w:color="auto"/>
        <w:left w:val="none" w:sz="0" w:space="0" w:color="auto"/>
        <w:bottom w:val="none" w:sz="0" w:space="0" w:color="auto"/>
        <w:right w:val="none" w:sz="0" w:space="0" w:color="auto"/>
      </w:divBdr>
    </w:div>
    <w:div w:id="1879580877">
      <w:bodyDiv w:val="1"/>
      <w:marLeft w:val="0"/>
      <w:marRight w:val="0"/>
      <w:marTop w:val="0"/>
      <w:marBottom w:val="0"/>
      <w:divBdr>
        <w:top w:val="none" w:sz="0" w:space="0" w:color="auto"/>
        <w:left w:val="none" w:sz="0" w:space="0" w:color="auto"/>
        <w:bottom w:val="none" w:sz="0" w:space="0" w:color="auto"/>
        <w:right w:val="none" w:sz="0" w:space="0" w:color="auto"/>
      </w:divBdr>
    </w:div>
    <w:div w:id="1887792207">
      <w:bodyDiv w:val="1"/>
      <w:marLeft w:val="0"/>
      <w:marRight w:val="0"/>
      <w:marTop w:val="0"/>
      <w:marBottom w:val="0"/>
      <w:divBdr>
        <w:top w:val="none" w:sz="0" w:space="0" w:color="auto"/>
        <w:left w:val="none" w:sz="0" w:space="0" w:color="auto"/>
        <w:bottom w:val="none" w:sz="0" w:space="0" w:color="auto"/>
        <w:right w:val="none" w:sz="0" w:space="0" w:color="auto"/>
      </w:divBdr>
      <w:divsChild>
        <w:div w:id="164328600">
          <w:marLeft w:val="0"/>
          <w:marRight w:val="0"/>
          <w:marTop w:val="0"/>
          <w:marBottom w:val="0"/>
          <w:divBdr>
            <w:top w:val="none" w:sz="0" w:space="0" w:color="auto"/>
            <w:left w:val="none" w:sz="0" w:space="0" w:color="auto"/>
            <w:bottom w:val="none" w:sz="0" w:space="0" w:color="auto"/>
            <w:right w:val="none" w:sz="0" w:space="0" w:color="auto"/>
          </w:divBdr>
        </w:div>
      </w:divsChild>
    </w:div>
    <w:div w:id="1892156029">
      <w:bodyDiv w:val="1"/>
      <w:marLeft w:val="0"/>
      <w:marRight w:val="0"/>
      <w:marTop w:val="0"/>
      <w:marBottom w:val="0"/>
      <w:divBdr>
        <w:top w:val="none" w:sz="0" w:space="0" w:color="auto"/>
        <w:left w:val="none" w:sz="0" w:space="0" w:color="auto"/>
        <w:bottom w:val="none" w:sz="0" w:space="0" w:color="auto"/>
        <w:right w:val="none" w:sz="0" w:space="0" w:color="auto"/>
      </w:divBdr>
    </w:div>
    <w:div w:id="1904755196">
      <w:bodyDiv w:val="1"/>
      <w:marLeft w:val="0"/>
      <w:marRight w:val="0"/>
      <w:marTop w:val="0"/>
      <w:marBottom w:val="0"/>
      <w:divBdr>
        <w:top w:val="none" w:sz="0" w:space="0" w:color="auto"/>
        <w:left w:val="none" w:sz="0" w:space="0" w:color="auto"/>
        <w:bottom w:val="none" w:sz="0" w:space="0" w:color="auto"/>
        <w:right w:val="none" w:sz="0" w:space="0" w:color="auto"/>
      </w:divBdr>
    </w:div>
    <w:div w:id="1925452081">
      <w:bodyDiv w:val="1"/>
      <w:marLeft w:val="0"/>
      <w:marRight w:val="0"/>
      <w:marTop w:val="0"/>
      <w:marBottom w:val="0"/>
      <w:divBdr>
        <w:top w:val="none" w:sz="0" w:space="0" w:color="auto"/>
        <w:left w:val="none" w:sz="0" w:space="0" w:color="auto"/>
        <w:bottom w:val="none" w:sz="0" w:space="0" w:color="auto"/>
        <w:right w:val="none" w:sz="0" w:space="0" w:color="auto"/>
      </w:divBdr>
    </w:div>
    <w:div w:id="1965649825">
      <w:bodyDiv w:val="1"/>
      <w:marLeft w:val="0"/>
      <w:marRight w:val="0"/>
      <w:marTop w:val="0"/>
      <w:marBottom w:val="0"/>
      <w:divBdr>
        <w:top w:val="none" w:sz="0" w:space="0" w:color="auto"/>
        <w:left w:val="none" w:sz="0" w:space="0" w:color="auto"/>
        <w:bottom w:val="none" w:sz="0" w:space="0" w:color="auto"/>
        <w:right w:val="none" w:sz="0" w:space="0" w:color="auto"/>
      </w:divBdr>
    </w:div>
    <w:div w:id="1989480807">
      <w:bodyDiv w:val="1"/>
      <w:marLeft w:val="0"/>
      <w:marRight w:val="0"/>
      <w:marTop w:val="0"/>
      <w:marBottom w:val="0"/>
      <w:divBdr>
        <w:top w:val="none" w:sz="0" w:space="0" w:color="auto"/>
        <w:left w:val="none" w:sz="0" w:space="0" w:color="auto"/>
        <w:bottom w:val="none" w:sz="0" w:space="0" w:color="auto"/>
        <w:right w:val="none" w:sz="0" w:space="0" w:color="auto"/>
      </w:divBdr>
    </w:div>
    <w:div w:id="2011325101">
      <w:bodyDiv w:val="1"/>
      <w:marLeft w:val="0"/>
      <w:marRight w:val="0"/>
      <w:marTop w:val="0"/>
      <w:marBottom w:val="0"/>
      <w:divBdr>
        <w:top w:val="none" w:sz="0" w:space="0" w:color="auto"/>
        <w:left w:val="none" w:sz="0" w:space="0" w:color="auto"/>
        <w:bottom w:val="none" w:sz="0" w:space="0" w:color="auto"/>
        <w:right w:val="none" w:sz="0" w:space="0" w:color="auto"/>
      </w:divBdr>
    </w:div>
    <w:div w:id="2017027805">
      <w:bodyDiv w:val="1"/>
      <w:marLeft w:val="0"/>
      <w:marRight w:val="0"/>
      <w:marTop w:val="0"/>
      <w:marBottom w:val="0"/>
      <w:divBdr>
        <w:top w:val="none" w:sz="0" w:space="0" w:color="auto"/>
        <w:left w:val="none" w:sz="0" w:space="0" w:color="auto"/>
        <w:bottom w:val="none" w:sz="0" w:space="0" w:color="auto"/>
        <w:right w:val="none" w:sz="0" w:space="0" w:color="auto"/>
      </w:divBdr>
    </w:div>
    <w:div w:id="2025205399">
      <w:bodyDiv w:val="1"/>
      <w:marLeft w:val="0"/>
      <w:marRight w:val="0"/>
      <w:marTop w:val="0"/>
      <w:marBottom w:val="0"/>
      <w:divBdr>
        <w:top w:val="none" w:sz="0" w:space="0" w:color="auto"/>
        <w:left w:val="none" w:sz="0" w:space="0" w:color="auto"/>
        <w:bottom w:val="none" w:sz="0" w:space="0" w:color="auto"/>
        <w:right w:val="none" w:sz="0" w:space="0" w:color="auto"/>
      </w:divBdr>
    </w:div>
    <w:div w:id="2041737773">
      <w:bodyDiv w:val="1"/>
      <w:marLeft w:val="0"/>
      <w:marRight w:val="0"/>
      <w:marTop w:val="0"/>
      <w:marBottom w:val="0"/>
      <w:divBdr>
        <w:top w:val="none" w:sz="0" w:space="0" w:color="auto"/>
        <w:left w:val="none" w:sz="0" w:space="0" w:color="auto"/>
        <w:bottom w:val="none" w:sz="0" w:space="0" w:color="auto"/>
        <w:right w:val="none" w:sz="0" w:space="0" w:color="auto"/>
      </w:divBdr>
    </w:div>
    <w:div w:id="2042048506">
      <w:bodyDiv w:val="1"/>
      <w:marLeft w:val="0"/>
      <w:marRight w:val="0"/>
      <w:marTop w:val="0"/>
      <w:marBottom w:val="0"/>
      <w:divBdr>
        <w:top w:val="none" w:sz="0" w:space="0" w:color="auto"/>
        <w:left w:val="none" w:sz="0" w:space="0" w:color="auto"/>
        <w:bottom w:val="none" w:sz="0" w:space="0" w:color="auto"/>
        <w:right w:val="none" w:sz="0" w:space="0" w:color="auto"/>
      </w:divBdr>
      <w:divsChild>
        <w:div w:id="869030371">
          <w:marLeft w:val="0"/>
          <w:marRight w:val="0"/>
          <w:marTop w:val="0"/>
          <w:marBottom w:val="0"/>
          <w:divBdr>
            <w:top w:val="none" w:sz="0" w:space="0" w:color="auto"/>
            <w:left w:val="none" w:sz="0" w:space="0" w:color="auto"/>
            <w:bottom w:val="none" w:sz="0" w:space="0" w:color="auto"/>
            <w:right w:val="none" w:sz="0" w:space="0" w:color="auto"/>
          </w:divBdr>
          <w:divsChild>
            <w:div w:id="341712839">
              <w:marLeft w:val="0"/>
              <w:marRight w:val="0"/>
              <w:marTop w:val="0"/>
              <w:marBottom w:val="0"/>
              <w:divBdr>
                <w:top w:val="none" w:sz="0" w:space="0" w:color="auto"/>
                <w:left w:val="none" w:sz="0" w:space="0" w:color="auto"/>
                <w:bottom w:val="none" w:sz="0" w:space="0" w:color="auto"/>
                <w:right w:val="none" w:sz="0" w:space="0" w:color="auto"/>
              </w:divBdr>
              <w:divsChild>
                <w:div w:id="15701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85029">
      <w:bodyDiv w:val="1"/>
      <w:marLeft w:val="0"/>
      <w:marRight w:val="0"/>
      <w:marTop w:val="0"/>
      <w:marBottom w:val="0"/>
      <w:divBdr>
        <w:top w:val="none" w:sz="0" w:space="0" w:color="auto"/>
        <w:left w:val="none" w:sz="0" w:space="0" w:color="auto"/>
        <w:bottom w:val="none" w:sz="0" w:space="0" w:color="auto"/>
        <w:right w:val="none" w:sz="0" w:space="0" w:color="auto"/>
      </w:divBdr>
    </w:div>
    <w:div w:id="2083942800">
      <w:bodyDiv w:val="1"/>
      <w:marLeft w:val="0"/>
      <w:marRight w:val="0"/>
      <w:marTop w:val="0"/>
      <w:marBottom w:val="0"/>
      <w:divBdr>
        <w:top w:val="none" w:sz="0" w:space="0" w:color="auto"/>
        <w:left w:val="none" w:sz="0" w:space="0" w:color="auto"/>
        <w:bottom w:val="none" w:sz="0" w:space="0" w:color="auto"/>
        <w:right w:val="none" w:sz="0" w:space="0" w:color="auto"/>
      </w:divBdr>
    </w:div>
    <w:div w:id="2092114440">
      <w:bodyDiv w:val="1"/>
      <w:marLeft w:val="0"/>
      <w:marRight w:val="0"/>
      <w:marTop w:val="0"/>
      <w:marBottom w:val="0"/>
      <w:divBdr>
        <w:top w:val="none" w:sz="0" w:space="0" w:color="auto"/>
        <w:left w:val="none" w:sz="0" w:space="0" w:color="auto"/>
        <w:bottom w:val="none" w:sz="0" w:space="0" w:color="auto"/>
        <w:right w:val="none" w:sz="0" w:space="0" w:color="auto"/>
      </w:divBdr>
    </w:div>
    <w:div w:id="2093115603">
      <w:bodyDiv w:val="1"/>
      <w:marLeft w:val="0"/>
      <w:marRight w:val="0"/>
      <w:marTop w:val="0"/>
      <w:marBottom w:val="0"/>
      <w:divBdr>
        <w:top w:val="none" w:sz="0" w:space="0" w:color="auto"/>
        <w:left w:val="none" w:sz="0" w:space="0" w:color="auto"/>
        <w:bottom w:val="none" w:sz="0" w:space="0" w:color="auto"/>
        <w:right w:val="none" w:sz="0" w:space="0" w:color="auto"/>
      </w:divBdr>
    </w:div>
    <w:div w:id="2122189788">
      <w:bodyDiv w:val="1"/>
      <w:marLeft w:val="0"/>
      <w:marRight w:val="0"/>
      <w:marTop w:val="0"/>
      <w:marBottom w:val="0"/>
      <w:divBdr>
        <w:top w:val="none" w:sz="0" w:space="0" w:color="auto"/>
        <w:left w:val="none" w:sz="0" w:space="0" w:color="auto"/>
        <w:bottom w:val="none" w:sz="0" w:space="0" w:color="auto"/>
        <w:right w:val="none" w:sz="0" w:space="0" w:color="auto"/>
      </w:divBdr>
    </w:div>
    <w:div w:id="2126537777">
      <w:bodyDiv w:val="1"/>
      <w:marLeft w:val="0"/>
      <w:marRight w:val="0"/>
      <w:marTop w:val="0"/>
      <w:marBottom w:val="0"/>
      <w:divBdr>
        <w:top w:val="none" w:sz="0" w:space="0" w:color="auto"/>
        <w:left w:val="none" w:sz="0" w:space="0" w:color="auto"/>
        <w:bottom w:val="none" w:sz="0" w:space="0" w:color="auto"/>
        <w:right w:val="none" w:sz="0" w:space="0" w:color="auto"/>
      </w:divBdr>
    </w:div>
    <w:div w:id="2142646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rangers_in_Their_Own_La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EB443-2EFE-4629-9E0D-77A4D1E6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7856</Words>
  <Characters>44784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52535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flinders</dc:creator>
  <cp:lastModifiedBy>Edwards L.</cp:lastModifiedBy>
  <cp:revision>2</cp:revision>
  <cp:lastPrinted>2017-05-09T07:52:00Z</cp:lastPrinted>
  <dcterms:created xsi:type="dcterms:W3CDTF">2018-04-23T08:43:00Z</dcterms:created>
  <dcterms:modified xsi:type="dcterms:W3CDTF">2018-04-23T08:43:00Z</dcterms:modified>
</cp:coreProperties>
</file>