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67D" w:rsidRDefault="00047ED2" w:rsidP="0086667D">
      <w:pPr>
        <w:pStyle w:val="ExpressTitle"/>
      </w:pPr>
      <w:r w:rsidRPr="00047ED2">
        <w:t>All-</w:t>
      </w:r>
      <w:r w:rsidR="00FA625B">
        <w:t>o</w:t>
      </w:r>
      <w:r w:rsidRPr="00047ED2">
        <w:t xml:space="preserve">ptical </w:t>
      </w:r>
      <w:r w:rsidR="00FA625B">
        <w:t>m</w:t>
      </w:r>
      <w:r w:rsidRPr="00047ED2">
        <w:t xml:space="preserve">ode and </w:t>
      </w:r>
      <w:r w:rsidR="00FA625B">
        <w:t>w</w:t>
      </w:r>
      <w:r w:rsidRPr="00047ED2">
        <w:t xml:space="preserve">avelength </w:t>
      </w:r>
      <w:r w:rsidR="00FA625B">
        <w:t>c</w:t>
      </w:r>
      <w:r w:rsidRPr="00047ED2">
        <w:t xml:space="preserve">onverter based on </w:t>
      </w:r>
      <w:r w:rsidR="00FA625B">
        <w:t>p</w:t>
      </w:r>
      <w:r w:rsidRPr="00047ED2">
        <w:t xml:space="preserve">arametric </w:t>
      </w:r>
      <w:r w:rsidR="00FA625B">
        <w:t>p</w:t>
      </w:r>
      <w:r w:rsidRPr="00047ED2">
        <w:t xml:space="preserve">rocesses in a </w:t>
      </w:r>
      <w:r w:rsidR="00FA625B">
        <w:t>t</w:t>
      </w:r>
      <w:r w:rsidRPr="00047ED2">
        <w:t>hree-</w:t>
      </w:r>
      <w:r w:rsidR="00FA625B">
        <w:t>m</w:t>
      </w:r>
      <w:r w:rsidRPr="00047ED2">
        <w:t xml:space="preserve">ode </w:t>
      </w:r>
      <w:r w:rsidR="00FA625B">
        <w:t>f</w:t>
      </w:r>
      <w:r w:rsidRPr="00047ED2">
        <w:t>iber</w:t>
      </w:r>
    </w:p>
    <w:p w:rsidR="0086667D" w:rsidRPr="00002A9B" w:rsidRDefault="00047ED2" w:rsidP="00047ED2">
      <w:pPr>
        <w:pStyle w:val="Author-OE"/>
        <w:rPr>
          <w:vertAlign w:val="superscript"/>
          <w:lang w:val="de-DE"/>
        </w:rPr>
      </w:pPr>
      <w:r w:rsidRPr="00002A9B">
        <w:rPr>
          <w:lang w:val="de-DE"/>
        </w:rPr>
        <w:t>F. Parmigiani</w:t>
      </w:r>
      <w:r w:rsidRPr="00002A9B">
        <w:rPr>
          <w:vertAlign w:val="superscript"/>
          <w:lang w:val="de-DE"/>
        </w:rPr>
        <w:t>1*</w:t>
      </w:r>
      <w:r w:rsidRPr="00002A9B">
        <w:rPr>
          <w:lang w:val="de-DE"/>
        </w:rPr>
        <w:t>, P. Horak</w:t>
      </w:r>
      <w:r w:rsidRPr="00002A9B">
        <w:rPr>
          <w:vertAlign w:val="superscript"/>
          <w:lang w:val="de-DE"/>
        </w:rPr>
        <w:t>1</w:t>
      </w:r>
      <w:r w:rsidRPr="00002A9B">
        <w:rPr>
          <w:lang w:val="de-DE"/>
        </w:rPr>
        <w:t>, Y. Jung</w:t>
      </w:r>
      <w:r w:rsidRPr="00002A9B">
        <w:rPr>
          <w:vertAlign w:val="superscript"/>
          <w:lang w:val="de-DE"/>
        </w:rPr>
        <w:t>1</w:t>
      </w:r>
      <w:r w:rsidRPr="00002A9B">
        <w:rPr>
          <w:lang w:val="de-DE"/>
        </w:rPr>
        <w:t>, L. Grüner-Nielsen</w:t>
      </w:r>
      <w:r w:rsidRPr="00002A9B">
        <w:rPr>
          <w:vertAlign w:val="superscript"/>
          <w:lang w:val="de-DE"/>
        </w:rPr>
        <w:t>2</w:t>
      </w:r>
      <w:r w:rsidRPr="00002A9B">
        <w:rPr>
          <w:lang w:val="de-DE"/>
        </w:rPr>
        <w:t>, T. Geisler</w:t>
      </w:r>
      <w:r w:rsidRPr="00002A9B">
        <w:rPr>
          <w:vertAlign w:val="superscript"/>
          <w:lang w:val="de-DE"/>
        </w:rPr>
        <w:t>3</w:t>
      </w:r>
      <w:r w:rsidRPr="00002A9B">
        <w:rPr>
          <w:lang w:val="de-DE"/>
        </w:rPr>
        <w:t>, P. Petropoulos</w:t>
      </w:r>
      <w:r w:rsidRPr="00002A9B">
        <w:rPr>
          <w:vertAlign w:val="superscript"/>
          <w:lang w:val="de-DE"/>
        </w:rPr>
        <w:t>1</w:t>
      </w:r>
      <w:r w:rsidRPr="00002A9B">
        <w:rPr>
          <w:lang w:val="de-DE"/>
        </w:rPr>
        <w:t>, D. J. Richardson</w:t>
      </w:r>
      <w:r w:rsidRPr="00002A9B">
        <w:rPr>
          <w:vertAlign w:val="superscript"/>
          <w:lang w:val="de-DE"/>
        </w:rPr>
        <w:t>1</w:t>
      </w:r>
    </w:p>
    <w:p w:rsidR="00047ED2" w:rsidRDefault="0086667D" w:rsidP="00047ED2">
      <w:pPr>
        <w:pStyle w:val="ExpressAuthorAffiliation"/>
      </w:pPr>
      <w:r>
        <w:rPr>
          <w:vertAlign w:val="superscript"/>
        </w:rPr>
        <w:t>1</w:t>
      </w:r>
      <w:r w:rsidR="00047ED2" w:rsidRPr="00047ED2">
        <w:t xml:space="preserve"> Optoelectronics Research Centre, University of Southampton, Southampton SO17 1BJ, U.K.</w:t>
      </w:r>
    </w:p>
    <w:p w:rsidR="0086667D" w:rsidRDefault="00047ED2" w:rsidP="00047ED2">
      <w:pPr>
        <w:pStyle w:val="ExpressAuthorAffiliation"/>
      </w:pPr>
      <w:r w:rsidRPr="00047ED2">
        <w:t xml:space="preserve"> </w:t>
      </w:r>
      <w:r w:rsidR="0086667D">
        <w:rPr>
          <w:vertAlign w:val="superscript"/>
        </w:rPr>
        <w:t>2</w:t>
      </w:r>
      <w:r w:rsidRPr="00047ED2">
        <w:t>Danish Optical Fiber Innovation, Åvendingen 22A, 2700 Brønshøj, Denmark</w:t>
      </w:r>
    </w:p>
    <w:p w:rsidR="00047ED2" w:rsidRPr="000D4342" w:rsidRDefault="0086667D" w:rsidP="00047ED2">
      <w:pPr>
        <w:pStyle w:val="ExpressAuthorAffiliation"/>
        <w:rPr>
          <w:lang w:val="en-GB"/>
        </w:rPr>
      </w:pPr>
      <w:r w:rsidRPr="000D4342">
        <w:rPr>
          <w:vertAlign w:val="superscript"/>
          <w:lang w:val="en-GB"/>
        </w:rPr>
        <w:t>3</w:t>
      </w:r>
      <w:r w:rsidR="00047ED2" w:rsidRPr="000D4342">
        <w:rPr>
          <w:lang w:val="en-GB"/>
        </w:rPr>
        <w:t xml:space="preserve"> OFS, Priorparken 680, 2605 Brøndby, Denmark </w:t>
      </w:r>
    </w:p>
    <w:p w:rsidR="0086667D" w:rsidRPr="000D4342" w:rsidRDefault="009B6617" w:rsidP="00047ED2">
      <w:pPr>
        <w:pStyle w:val="ExpressAuthorAffiliation"/>
        <w:rPr>
          <w:lang w:val="en-GB"/>
        </w:rPr>
      </w:pPr>
      <w:hyperlink r:id="rId5" w:history="1">
        <w:r w:rsidR="00047ED2" w:rsidRPr="000D4342">
          <w:rPr>
            <w:rStyle w:val="Hyperlink"/>
            <w:lang w:val="en-GB"/>
          </w:rPr>
          <w:t>*frp@orc.soton.ac.uk</w:t>
        </w:r>
      </w:hyperlink>
    </w:p>
    <w:p w:rsidR="0086667D" w:rsidRDefault="0086667D" w:rsidP="00002A9B">
      <w:pPr>
        <w:pStyle w:val="ExpressAbstractBody"/>
      </w:pPr>
      <w:r w:rsidRPr="00827636">
        <w:rPr>
          <w:rFonts w:cs="Times New Roman"/>
          <w:b/>
        </w:rPr>
        <w:t>Abstract:</w:t>
      </w:r>
      <w:r w:rsidRPr="00437F52">
        <w:t xml:space="preserve"> </w:t>
      </w:r>
      <w:bookmarkStart w:id="0" w:name="_GoBack"/>
      <w:r w:rsidR="00047ED2" w:rsidRPr="00047ED2">
        <w:t>We demonstrate, both experimentally and numerically, all-optical mode and wavelength conversion both within the C-band and between the C- and L-bands. This is achieved by exploiting phase-matched inter-modal four-wave-mixing processes among the spatial modes of a three-mode fiber. By increasing the number of spatial modes supported by the fiber and tailoring their dispersion profile, it is envisaged that broadband operation over widely separated wavelength bands can be achieved in a single multi-mode fiber using this method</w:t>
      </w:r>
      <w:r w:rsidRPr="008439DE">
        <w:t xml:space="preserve">. </w:t>
      </w:r>
      <w:bookmarkEnd w:id="0"/>
    </w:p>
    <w:p w:rsidR="0086667D" w:rsidRDefault="0086667D" w:rsidP="0086667D">
      <w:pPr>
        <w:pStyle w:val="ExpressCopyright"/>
      </w:pPr>
      <w:r>
        <w:t>© 201</w:t>
      </w:r>
      <w:r w:rsidR="001A6CF9">
        <w:t>7</w:t>
      </w:r>
      <w:r>
        <w:t xml:space="preserve"> Optical Society of America</w:t>
      </w:r>
      <w:r w:rsidR="004703FE">
        <w:t xml:space="preserve"> </w:t>
      </w:r>
      <w:r w:rsidR="004703FE" w:rsidRPr="004703FE">
        <w:t xml:space="preserve">under the terms of the </w:t>
      </w:r>
      <w:hyperlink r:id="rId6" w:history="1">
        <w:r w:rsidR="004703FE" w:rsidRPr="009502FD">
          <w:rPr>
            <w:rStyle w:val="Hyperlink"/>
            <w:color w:val="2F2FB1"/>
            <w:u w:val="none"/>
          </w:rPr>
          <w:t>OSA Open Access Publishing Agreement</w:t>
        </w:r>
      </w:hyperlink>
    </w:p>
    <w:p w:rsidR="0086667D" w:rsidRDefault="0086667D" w:rsidP="00047ED2">
      <w:pPr>
        <w:pStyle w:val="ExpressOCISCodesBody"/>
      </w:pPr>
      <w:r w:rsidRPr="00827636">
        <w:rPr>
          <w:rFonts w:cs="Times New Roman"/>
          <w:b/>
        </w:rPr>
        <w:t xml:space="preserve">OCIS </w:t>
      </w:r>
      <w:r w:rsidR="00B21AA2">
        <w:rPr>
          <w:rFonts w:cs="Times New Roman"/>
          <w:b/>
        </w:rPr>
        <w:t>c</w:t>
      </w:r>
      <w:r w:rsidRPr="00827636">
        <w:rPr>
          <w:rFonts w:cs="Times New Roman"/>
          <w:b/>
        </w:rPr>
        <w:t>odes:</w:t>
      </w:r>
      <w:r>
        <w:t xml:space="preserve"> (</w:t>
      </w:r>
      <w:r w:rsidR="00047ED2" w:rsidRPr="00047ED2">
        <w:t>060.4370</w:t>
      </w:r>
      <w:r>
        <w:t xml:space="preserve">) </w:t>
      </w:r>
      <w:r w:rsidR="00047ED2">
        <w:rPr>
          <w:rStyle w:val="term"/>
        </w:rPr>
        <w:t>Nonlinear optics, fibers</w:t>
      </w:r>
      <w:r>
        <w:t>; (</w:t>
      </w:r>
      <w:r w:rsidR="00047ED2">
        <w:t>190.4380</w:t>
      </w:r>
      <w:r>
        <w:t xml:space="preserve">) </w:t>
      </w:r>
      <w:r w:rsidR="00047ED2">
        <w:rPr>
          <w:rStyle w:val="term"/>
        </w:rPr>
        <w:t>Nonlinear optics, four-wave mixing; (</w:t>
      </w:r>
      <w:r w:rsidR="00047ED2">
        <w:t>190.4410)   </w:t>
      </w:r>
      <w:r w:rsidR="00047ED2">
        <w:rPr>
          <w:rStyle w:val="term"/>
        </w:rPr>
        <w:t>Nonlinear optics, parametric processes</w:t>
      </w:r>
      <w:r>
        <w:t>.</w:t>
      </w:r>
    </w:p>
    <w:p w:rsidR="0086667D" w:rsidRPr="00600BC1" w:rsidRDefault="0086667D" w:rsidP="00600BC1">
      <w:pPr>
        <w:pStyle w:val="ExpressReferenceTitle"/>
        <w:rPr>
          <w:rFonts w:eastAsia="PMingLiU"/>
          <w:lang w:eastAsia="zh-TW"/>
        </w:rPr>
      </w:pPr>
      <w:r>
        <w:t xml:space="preserve">References and </w:t>
      </w:r>
      <w:r w:rsidR="00B21AA2">
        <w:t>l</w:t>
      </w:r>
      <w:r>
        <w:t>inks</w:t>
      </w:r>
    </w:p>
    <w:p w:rsidR="00CA2C9C" w:rsidRPr="00FA625B" w:rsidRDefault="00CA2C9C" w:rsidP="008F22B4">
      <w:pPr>
        <w:pStyle w:val="ExpressReferences"/>
      </w:pPr>
      <w:r w:rsidRPr="00CA2C9C">
        <w:t xml:space="preserve">Li </w:t>
      </w:r>
      <w:r w:rsidRPr="00FA625B">
        <w:t xml:space="preserve">Zhao, </w:t>
      </w:r>
      <w:r w:rsidR="008F22B4" w:rsidRPr="00FA625B">
        <w:t>W</w:t>
      </w:r>
      <w:r w:rsidR="008F22B4" w:rsidRPr="00FA625B">
        <w:rPr>
          <w:rFonts w:eastAsia="PMingLiU" w:hint="eastAsia"/>
          <w:lang w:eastAsia="zh-TW"/>
        </w:rPr>
        <w:t xml:space="preserve">. </w:t>
      </w:r>
      <w:r w:rsidR="008F22B4" w:rsidRPr="00FA625B">
        <w:t>Suna</w:t>
      </w:r>
      <w:r w:rsidR="008F22B4" w:rsidRPr="00FA625B">
        <w:rPr>
          <w:rFonts w:eastAsia="PMingLiU" w:hint="eastAsia"/>
          <w:lang w:eastAsia="zh-TW"/>
        </w:rPr>
        <w:t xml:space="preserve">, </w:t>
      </w:r>
      <w:r w:rsidR="008F22B4" w:rsidRPr="00FA625B">
        <w:t>W</w:t>
      </w:r>
      <w:r w:rsidR="008F22B4" w:rsidRPr="00FA625B">
        <w:rPr>
          <w:rFonts w:eastAsia="PMingLiU" w:hint="eastAsia"/>
          <w:lang w:eastAsia="zh-TW"/>
        </w:rPr>
        <w:t xml:space="preserve">. </w:t>
      </w:r>
      <w:r w:rsidR="008F22B4" w:rsidRPr="00FA625B">
        <w:t>Hua</w:t>
      </w:r>
      <w:r w:rsidR="008F22B4" w:rsidRPr="00FA625B">
        <w:rPr>
          <w:rFonts w:eastAsia="PMingLiU" w:hint="eastAsia"/>
          <w:lang w:eastAsia="zh-TW"/>
        </w:rPr>
        <w:t xml:space="preserve">, </w:t>
      </w:r>
      <w:r w:rsidR="008F22B4" w:rsidRPr="00FA625B">
        <w:t>C</w:t>
      </w:r>
      <w:r w:rsidR="008F22B4" w:rsidRPr="00FA625B">
        <w:rPr>
          <w:rFonts w:eastAsia="PMingLiU" w:hint="eastAsia"/>
          <w:lang w:eastAsia="zh-TW"/>
        </w:rPr>
        <w:t xml:space="preserve">. </w:t>
      </w:r>
      <w:r w:rsidR="008F22B4" w:rsidRPr="00FA625B">
        <w:t>Baib</w:t>
      </w:r>
      <w:r w:rsidRPr="00FA625B">
        <w:t>, “Wavelength contention resolution in WSS based ROADMs</w:t>
      </w:r>
      <w:r w:rsidRPr="00FA625B">
        <w:rPr>
          <w:rFonts w:eastAsia="PMingLiU" w:hint="eastAsia"/>
          <w:lang w:eastAsia="zh-TW"/>
        </w:rPr>
        <w:t>,</w:t>
      </w:r>
      <w:r w:rsidRPr="00FA625B">
        <w:t xml:space="preserve">” Optical Switching and Networking, Volume </w:t>
      </w:r>
      <w:r w:rsidRPr="00FA625B">
        <w:rPr>
          <w:b/>
          <w:bCs/>
        </w:rPr>
        <w:t>15</w:t>
      </w:r>
      <w:r w:rsidR="00116E68" w:rsidRPr="00FA625B">
        <w:t>,</w:t>
      </w:r>
      <w:r w:rsidRPr="00FA625B">
        <w:rPr>
          <w:rFonts w:eastAsia="PMingLiU" w:hint="eastAsia"/>
          <w:lang w:eastAsia="zh-TW"/>
        </w:rPr>
        <w:t xml:space="preserve"> </w:t>
      </w:r>
      <w:r w:rsidRPr="00FA625B">
        <w:t>67-74</w:t>
      </w:r>
      <w:r w:rsidRPr="00FA625B">
        <w:rPr>
          <w:rFonts w:eastAsia="PMingLiU" w:hint="eastAsia"/>
          <w:lang w:eastAsia="zh-TW"/>
        </w:rPr>
        <w:t xml:space="preserve"> (2015).</w:t>
      </w:r>
    </w:p>
    <w:p w:rsidR="00CA2A40" w:rsidRPr="00FA625B" w:rsidRDefault="00CA2A40" w:rsidP="00530CAF">
      <w:pPr>
        <w:pStyle w:val="ExpressReferences"/>
      </w:pPr>
      <w:r w:rsidRPr="00FA625B">
        <w:t>H. N. Tan</w:t>
      </w:r>
      <w:r w:rsidR="00530CAF" w:rsidRPr="00FA625B">
        <w:t>, T. Inoue, K. Solis-Trapala</w:t>
      </w:r>
      <w:r w:rsidRPr="00FA625B">
        <w:t>,</w:t>
      </w:r>
      <w:r w:rsidR="00530CAF" w:rsidRPr="00FA625B">
        <w:t xml:space="preserve"> S. Petit, Y. Oikawa, K. Ota, S. Takasaka, T. Yagi, M. Pelusi, S. Namiki </w:t>
      </w:r>
      <w:r w:rsidRPr="00FA625B">
        <w:t xml:space="preserve"> “On the Cascadability of All-Optical Wavelength Converter for High-Order QAM Formats,” IEEE J. Lightw. Technol. </w:t>
      </w:r>
      <w:r w:rsidRPr="00FA625B">
        <w:rPr>
          <w:b/>
          <w:bCs/>
        </w:rPr>
        <w:t>34</w:t>
      </w:r>
      <w:r w:rsidR="00116E68" w:rsidRPr="00FA625B">
        <w:t xml:space="preserve"> (13),</w:t>
      </w:r>
      <w:r w:rsidRPr="00FA625B">
        <w:t xml:space="preserve"> 3194-3205 (2016).</w:t>
      </w:r>
    </w:p>
    <w:p w:rsidR="002D058C" w:rsidRPr="00FA625B" w:rsidRDefault="002D058C" w:rsidP="002D058C">
      <w:pPr>
        <w:pStyle w:val="ExpressReferences"/>
      </w:pPr>
      <w:r w:rsidRPr="00FA625B">
        <w:t>S. Radic and C. J. McKinstrie, “Optical amplification and signal processing in highly-nonlinear optical fiber,”</w:t>
      </w:r>
      <w:r w:rsidRPr="00FA625B">
        <w:rPr>
          <w:rFonts w:eastAsia="PMingLiU" w:hint="eastAsia"/>
          <w:lang w:eastAsia="zh-TW"/>
        </w:rPr>
        <w:t xml:space="preserve"> </w:t>
      </w:r>
      <w:r w:rsidRPr="00FA625B">
        <w:t>IEICE Trans. Electron.</w:t>
      </w:r>
      <w:r w:rsidRPr="00FA625B">
        <w:rPr>
          <w:rFonts w:eastAsia="PMingLiU" w:hint="eastAsia"/>
          <w:lang w:eastAsia="zh-TW"/>
        </w:rPr>
        <w:t xml:space="preserve"> </w:t>
      </w:r>
      <w:r w:rsidRPr="00FA625B">
        <w:rPr>
          <w:b/>
          <w:bCs/>
        </w:rPr>
        <w:t>E88C</w:t>
      </w:r>
      <w:r w:rsidRPr="00FA625B">
        <w:t>, 859–869 (2005).</w:t>
      </w:r>
    </w:p>
    <w:p w:rsidR="002401A8" w:rsidRPr="00FA625B" w:rsidRDefault="002401A8" w:rsidP="002401A8">
      <w:pPr>
        <w:pStyle w:val="ExpressReferences"/>
      </w:pPr>
      <w:r w:rsidRPr="00FA625B">
        <w:t>S. Radic, C. J. McKinstrie, A. R. Chraplyvy, G. Raybon, J. C</w:t>
      </w:r>
      <w:r w:rsidRPr="00FA625B">
        <w:rPr>
          <w:rFonts w:eastAsia="PMingLiU" w:hint="eastAsia"/>
          <w:lang w:eastAsia="zh-TW"/>
        </w:rPr>
        <w:t xml:space="preserve"> </w:t>
      </w:r>
      <w:r w:rsidRPr="00FA625B">
        <w:t>. Centanni, C. G. Jorgensen, K. Brar and C. Headley,</w:t>
      </w:r>
      <w:r w:rsidRPr="00FA625B">
        <w:rPr>
          <w:rFonts w:eastAsia="PMingLiU" w:hint="eastAsia"/>
          <w:lang w:eastAsia="zh-TW"/>
        </w:rPr>
        <w:t xml:space="preserve"> </w:t>
      </w:r>
      <w:r w:rsidRPr="00FA625B">
        <w:t>“Continuous-wave parametric-gain synthesis using nondegenerate-pump four-wave mixing,” IEEE Photon. Technol. Lett.</w:t>
      </w:r>
      <w:r w:rsidRPr="00FA625B">
        <w:rPr>
          <w:b/>
          <w:bCs/>
        </w:rPr>
        <w:t>14</w:t>
      </w:r>
      <w:r w:rsidRPr="00FA625B">
        <w:t>, 1406–1408 (2002).</w:t>
      </w:r>
    </w:p>
    <w:p w:rsidR="002401A8" w:rsidRPr="00FA625B" w:rsidRDefault="002401A8" w:rsidP="002401A8">
      <w:pPr>
        <w:pStyle w:val="ExpressReferences"/>
      </w:pPr>
      <w:r w:rsidRPr="00FA625B">
        <w:t xml:space="preserve"> J. Hansryd, P. A. Andrekson, M. Westlund, J. Li and P. O. Hedekvist, “Fiber-based optical parametric amplifiers</w:t>
      </w:r>
      <w:r w:rsidRPr="00FA625B">
        <w:rPr>
          <w:rFonts w:eastAsia="PMingLiU" w:hint="eastAsia"/>
          <w:lang w:eastAsia="zh-TW"/>
        </w:rPr>
        <w:t xml:space="preserve"> </w:t>
      </w:r>
      <w:r w:rsidRPr="00FA625B">
        <w:t>and their applications,” IEEE J. Sel. Top. Quantum Electron.</w:t>
      </w:r>
      <w:r w:rsidRPr="00FA625B">
        <w:rPr>
          <w:rFonts w:eastAsia="PMingLiU" w:hint="eastAsia"/>
          <w:lang w:eastAsia="zh-TW"/>
        </w:rPr>
        <w:t xml:space="preserve"> </w:t>
      </w:r>
      <w:r w:rsidRPr="00FA625B">
        <w:rPr>
          <w:b/>
          <w:bCs/>
        </w:rPr>
        <w:t>8</w:t>
      </w:r>
      <w:r w:rsidRPr="00FA625B">
        <w:t>, 506–520 (2002)</w:t>
      </w:r>
      <w:r w:rsidRPr="00FA625B">
        <w:rPr>
          <w:rFonts w:eastAsia="PMingLiU" w:hint="eastAsia"/>
          <w:lang w:eastAsia="zh-TW"/>
        </w:rPr>
        <w:t>.</w:t>
      </w:r>
    </w:p>
    <w:p w:rsidR="008F22B4" w:rsidRPr="00FA625B" w:rsidRDefault="008F22B4" w:rsidP="008F22B4">
      <w:pPr>
        <w:pStyle w:val="ExpressReferences"/>
        <w:rPr>
          <w:lang w:val="en-GB" w:eastAsia="en-GB"/>
        </w:rPr>
      </w:pPr>
      <w:r w:rsidRPr="00FA625B">
        <w:rPr>
          <w:lang w:val="en-GB" w:eastAsia="en-GB"/>
        </w:rPr>
        <w:t xml:space="preserve">Víctor J. F. Rancaño, </w:t>
      </w:r>
      <w:r w:rsidRPr="00FA625B">
        <w:t>F</w:t>
      </w:r>
      <w:r w:rsidRPr="00FA625B">
        <w:rPr>
          <w:rFonts w:eastAsia="PMingLiU" w:hint="eastAsia"/>
          <w:lang w:eastAsia="zh-TW"/>
        </w:rPr>
        <w:t>.</w:t>
      </w:r>
      <w:r w:rsidRPr="00FA625B">
        <w:t xml:space="preserve"> Parmigiani, P</w:t>
      </w:r>
      <w:r w:rsidRPr="00FA625B">
        <w:rPr>
          <w:rFonts w:eastAsia="PMingLiU" w:hint="eastAsia"/>
          <w:lang w:eastAsia="zh-TW"/>
        </w:rPr>
        <w:t>.</w:t>
      </w:r>
      <w:r w:rsidRPr="00FA625B">
        <w:t xml:space="preserve"> Petropoulos, and D</w:t>
      </w:r>
      <w:r w:rsidRPr="00FA625B">
        <w:rPr>
          <w:rFonts w:eastAsia="PMingLiU" w:hint="eastAsia"/>
          <w:lang w:eastAsia="zh-TW"/>
        </w:rPr>
        <w:t>.</w:t>
      </w:r>
      <w:r w:rsidRPr="00FA625B">
        <w:t xml:space="preserve"> J. Richardson</w:t>
      </w:r>
      <w:r w:rsidRPr="00FA625B">
        <w:rPr>
          <w:lang w:val="en-GB" w:eastAsia="en-GB"/>
        </w:rPr>
        <w:t>, "100-GHz Grid-Aligned Multi-Channel Polarization Insensitive Black-Box Wavelength Converter</w:t>
      </w:r>
      <w:r w:rsidR="00722822" w:rsidRPr="00FA625B">
        <w:rPr>
          <w:lang w:val="en-GB" w:eastAsia="en-GB"/>
        </w:rPr>
        <w:t>,"</w:t>
      </w:r>
      <w:r w:rsidRPr="00FA625B">
        <w:rPr>
          <w:lang w:val="en-GB" w:eastAsia="en-GB"/>
        </w:rPr>
        <w:t xml:space="preserve"> </w:t>
      </w:r>
      <w:r w:rsidRPr="00FA625B">
        <w:rPr>
          <w:i/>
          <w:iCs/>
          <w:lang w:val="en-GB" w:eastAsia="en-GB"/>
        </w:rPr>
        <w:t>Lightwave Technology Journal of</w:t>
      </w:r>
      <w:r w:rsidRPr="00FA625B">
        <w:rPr>
          <w:lang w:val="en-GB" w:eastAsia="en-GB"/>
        </w:rPr>
        <w:t xml:space="preserve">, vol. </w:t>
      </w:r>
      <w:r w:rsidRPr="00FA625B">
        <w:rPr>
          <w:b/>
          <w:bCs/>
          <w:lang w:val="en-GB" w:eastAsia="en-GB"/>
        </w:rPr>
        <w:t>32</w:t>
      </w:r>
      <w:r w:rsidR="00116E68" w:rsidRPr="00FA625B">
        <w:rPr>
          <w:lang w:val="en-GB" w:eastAsia="en-GB"/>
        </w:rPr>
        <w:t>,</w:t>
      </w:r>
      <w:r w:rsidRPr="00FA625B">
        <w:rPr>
          <w:lang w:val="en-GB" w:eastAsia="en-GB"/>
        </w:rPr>
        <w:t xml:space="preserve"> 3027-3035, </w:t>
      </w:r>
      <w:r w:rsidR="007C36E9" w:rsidRPr="00FA625B">
        <w:rPr>
          <w:lang w:val="en-GB" w:eastAsia="en-GB"/>
        </w:rPr>
        <w:t>(</w:t>
      </w:r>
      <w:r w:rsidRPr="00FA625B">
        <w:rPr>
          <w:lang w:val="en-GB" w:eastAsia="en-GB"/>
        </w:rPr>
        <w:t>2014</w:t>
      </w:r>
      <w:r w:rsidR="007C36E9" w:rsidRPr="00FA625B">
        <w:rPr>
          <w:lang w:val="en-GB" w:eastAsia="en-GB"/>
        </w:rPr>
        <w:t>).</w:t>
      </w:r>
    </w:p>
    <w:p w:rsidR="00CA2A40" w:rsidRPr="00FA625B" w:rsidRDefault="00CA2A40" w:rsidP="00530CAF">
      <w:pPr>
        <w:pStyle w:val="ExpressReferences"/>
      </w:pPr>
      <w:r w:rsidRPr="00FA625B">
        <w:t>J. Demas</w:t>
      </w:r>
      <w:r w:rsidR="00530CAF" w:rsidRPr="00FA625B">
        <w:t>, L. Rishøj, X Liu, G. Prabhakar, and S. Ramachandra</w:t>
      </w:r>
      <w:r w:rsidR="00747188" w:rsidRPr="00FA625B">
        <w:rPr>
          <w:rFonts w:eastAsia="PMingLiU" w:hint="eastAsia"/>
          <w:lang w:eastAsia="zh-TW"/>
        </w:rPr>
        <w:t>n</w:t>
      </w:r>
      <w:r w:rsidRPr="00FA625B">
        <w:t>., “High-power, wavelength-tunable NIR all-fiber lasers</w:t>
      </w:r>
      <w:r w:rsidR="00C41A9E" w:rsidRPr="00FA625B">
        <w:t xml:space="preserve"> </w:t>
      </w:r>
      <w:r w:rsidRPr="00FA625B">
        <w:t xml:space="preserve">via intermodal four-wave mixing,” JTh5A.8, CLEO US </w:t>
      </w:r>
      <w:r w:rsidR="007C36E9" w:rsidRPr="00FA625B">
        <w:t>(</w:t>
      </w:r>
      <w:r w:rsidRPr="00FA625B">
        <w:t>2017</w:t>
      </w:r>
      <w:r w:rsidR="007C36E9" w:rsidRPr="00FA625B">
        <w:t>)</w:t>
      </w:r>
      <w:r w:rsidRPr="00FA625B">
        <w:t xml:space="preserve">. </w:t>
      </w:r>
    </w:p>
    <w:p w:rsidR="00747188" w:rsidRPr="00FA625B" w:rsidRDefault="00747188" w:rsidP="00747188">
      <w:pPr>
        <w:pStyle w:val="ExpressReferences"/>
        <w:rPr>
          <w:rFonts w:eastAsia="PMingLiU"/>
          <w:lang w:eastAsia="zh-TW"/>
        </w:rPr>
      </w:pPr>
      <w:r w:rsidRPr="00FA625B">
        <w:t>J. Demas</w:t>
      </w:r>
      <w:r w:rsidRPr="00FA625B">
        <w:rPr>
          <w:rFonts w:eastAsia="PMingLiU" w:hint="eastAsia"/>
          <w:lang w:eastAsia="zh-TW"/>
        </w:rPr>
        <w:t xml:space="preserve">, </w:t>
      </w:r>
      <w:r w:rsidRPr="00FA625B">
        <w:rPr>
          <w:rFonts w:eastAsia="PMingLiU"/>
          <w:lang w:eastAsia="zh-TW"/>
        </w:rPr>
        <w:t>P. S</w:t>
      </w:r>
      <w:r w:rsidRPr="00FA625B">
        <w:rPr>
          <w:rFonts w:eastAsia="PMingLiU" w:hint="eastAsia"/>
          <w:lang w:eastAsia="zh-TW"/>
        </w:rPr>
        <w:t>teinvurzel, B. Tai, L. Rish</w:t>
      </w:r>
      <w:r w:rsidRPr="00FA625B">
        <w:rPr>
          <w:rFonts w:eastAsia="PMingLiU"/>
          <w:lang w:eastAsia="zh-TW"/>
        </w:rPr>
        <w:t>ø</w:t>
      </w:r>
      <w:r w:rsidRPr="00FA625B">
        <w:rPr>
          <w:rFonts w:eastAsia="PMingLiU" w:hint="eastAsia"/>
          <w:lang w:eastAsia="zh-TW"/>
        </w:rPr>
        <w:t>j, Y. Chen and S. Ramachandran</w:t>
      </w:r>
      <w:r w:rsidRPr="00FA625B">
        <w:t xml:space="preserve">, “Intermodal nonlinear mixing with Bessel beams in optical fibers,” Optica </w:t>
      </w:r>
      <w:r w:rsidRPr="00FA625B">
        <w:rPr>
          <w:b/>
          <w:bCs/>
        </w:rPr>
        <w:t>2</w:t>
      </w:r>
      <w:r w:rsidR="00116E68" w:rsidRPr="00FA625B">
        <w:t>,</w:t>
      </w:r>
      <w:r w:rsidRPr="00FA625B">
        <w:rPr>
          <w:rFonts w:eastAsia="PMingLiU" w:hint="eastAsia"/>
          <w:lang w:eastAsia="zh-TW"/>
        </w:rPr>
        <w:t xml:space="preserve"> </w:t>
      </w:r>
      <w:r w:rsidRPr="00FA625B">
        <w:t>14-17 (2015)</w:t>
      </w:r>
      <w:r w:rsidRPr="00FA625B">
        <w:rPr>
          <w:rFonts w:eastAsia="PMingLiU" w:hint="eastAsia"/>
          <w:lang w:eastAsia="zh-TW"/>
        </w:rPr>
        <w:t>.</w:t>
      </w:r>
    </w:p>
    <w:p w:rsidR="002D21A3" w:rsidRPr="00FA625B" w:rsidRDefault="002D21A3" w:rsidP="002D21A3">
      <w:pPr>
        <w:pStyle w:val="ExpressReferences"/>
      </w:pPr>
      <w:r w:rsidRPr="00FA625B">
        <w:t xml:space="preserve">J. M. Chavez Boggio, J. R. Windmiller, M. Knutzen, R. Jiang, C.-S. Brès, N. Alic, B. Stossel, K. Rottwitt, and S. Radic, “730-nm optical parametric conversion from near- to short-wave infrared band,” Opt. Express </w:t>
      </w:r>
      <w:r w:rsidRPr="00FA625B">
        <w:rPr>
          <w:b/>
          <w:bCs/>
        </w:rPr>
        <w:t>16</w:t>
      </w:r>
      <w:r w:rsidRPr="00FA625B">
        <w:rPr>
          <w:rFonts w:eastAsia="PMingLiU" w:hint="eastAsia"/>
          <w:lang w:eastAsia="zh-TW"/>
        </w:rPr>
        <w:t xml:space="preserve"> </w:t>
      </w:r>
      <w:r w:rsidRPr="00FA625B">
        <w:t>(8),</w:t>
      </w:r>
      <w:r w:rsidRPr="00FA625B">
        <w:rPr>
          <w:rFonts w:eastAsia="PMingLiU" w:hint="eastAsia"/>
          <w:lang w:eastAsia="zh-TW"/>
        </w:rPr>
        <w:t xml:space="preserve"> </w:t>
      </w:r>
      <w:r w:rsidRPr="00FA625B">
        <w:t xml:space="preserve">5435–5443 (2008). </w:t>
      </w:r>
    </w:p>
    <w:p w:rsidR="00CA2A40" w:rsidRPr="00FA625B" w:rsidRDefault="00CA2A40" w:rsidP="00530CAF">
      <w:pPr>
        <w:pStyle w:val="ExpressReferences"/>
      </w:pPr>
      <w:r w:rsidRPr="00FA625B">
        <w:t>J. Hansryd</w:t>
      </w:r>
      <w:r w:rsidR="00530CAF" w:rsidRPr="00FA625B">
        <w:t>, and P. A. Andrekson</w:t>
      </w:r>
      <w:r w:rsidRPr="00FA625B">
        <w:t xml:space="preserve">, “Broad-band continuous-wave-pumped fiber optical parametric amplifier with 49-dB gain and wavelength-conversion efficiency,” IEEE Photon. Technol. Lett. </w:t>
      </w:r>
      <w:r w:rsidRPr="00FA625B">
        <w:rPr>
          <w:b/>
          <w:bCs/>
        </w:rPr>
        <w:t>13</w:t>
      </w:r>
      <w:r w:rsidR="00116E68" w:rsidRPr="00FA625B">
        <w:t xml:space="preserve"> (3),</w:t>
      </w:r>
      <w:r w:rsidRPr="00FA625B">
        <w:t xml:space="preserve"> 194-196 (2001). </w:t>
      </w:r>
    </w:p>
    <w:p w:rsidR="00CA2A40" w:rsidRPr="00FA625B" w:rsidRDefault="00CA2A40" w:rsidP="00530CAF">
      <w:pPr>
        <w:pStyle w:val="ExpressReferences"/>
      </w:pPr>
      <w:r w:rsidRPr="00FA625B">
        <w:t>D. Nodop</w:t>
      </w:r>
      <w:r w:rsidR="00530CAF" w:rsidRPr="00FA625B">
        <w:t>, C. Jauregui, D. Schimpf, J. Limpert, and A. Tünnermann</w:t>
      </w:r>
      <w:r w:rsidRPr="00FA625B">
        <w:t xml:space="preserve">, “Efficient high-power generation of visible and mid-infrared light by degenerate four-wave-mixing in a large-mode-area photonic-crystal fiber,” Opt. Lett. </w:t>
      </w:r>
      <w:r w:rsidRPr="00FA625B">
        <w:rPr>
          <w:b/>
          <w:bCs/>
        </w:rPr>
        <w:t>34</w:t>
      </w:r>
      <w:r w:rsidR="00116E68" w:rsidRPr="00FA625B">
        <w:t>,</w:t>
      </w:r>
      <w:r w:rsidRPr="00FA625B">
        <w:t xml:space="preserve"> 3499 (2009).</w:t>
      </w:r>
    </w:p>
    <w:p w:rsidR="00CA2A40" w:rsidRPr="00FA625B" w:rsidRDefault="00CA2A40" w:rsidP="00AB6433">
      <w:pPr>
        <w:pStyle w:val="ExpressReferences"/>
      </w:pPr>
      <w:r w:rsidRPr="00FA625B">
        <w:t>F. Parmigiani</w:t>
      </w:r>
      <w:r w:rsidR="00530CAF" w:rsidRPr="00FA625B">
        <w:t>, Y</w:t>
      </w:r>
      <w:r w:rsidR="00AB6433" w:rsidRPr="00FA625B">
        <w:t>.</w:t>
      </w:r>
      <w:r w:rsidR="00530CAF" w:rsidRPr="00FA625B">
        <w:t xml:space="preserve"> Jung, P</w:t>
      </w:r>
      <w:r w:rsidR="00AB6433" w:rsidRPr="00FA625B">
        <w:t>.</w:t>
      </w:r>
      <w:r w:rsidR="00530CAF" w:rsidRPr="00FA625B">
        <w:t xml:space="preserve"> Horak, L</w:t>
      </w:r>
      <w:r w:rsidR="00AB6433" w:rsidRPr="00FA625B">
        <w:t>.</w:t>
      </w:r>
      <w:r w:rsidR="00530CAF" w:rsidRPr="00FA625B">
        <w:t xml:space="preserve"> Grüner-Nielsen, T</w:t>
      </w:r>
      <w:r w:rsidR="00AB6433" w:rsidRPr="00FA625B">
        <w:t>.</w:t>
      </w:r>
      <w:r w:rsidR="00530CAF" w:rsidRPr="00FA625B">
        <w:t xml:space="preserve"> Geisler, P</w:t>
      </w:r>
      <w:r w:rsidR="00AB6433" w:rsidRPr="00FA625B">
        <w:t>.</w:t>
      </w:r>
      <w:r w:rsidR="00530CAF" w:rsidRPr="00FA625B">
        <w:t xml:space="preserve"> Petropoulos, and D</w:t>
      </w:r>
      <w:r w:rsidR="00AB6433" w:rsidRPr="00FA625B">
        <w:t>.</w:t>
      </w:r>
      <w:r w:rsidR="00530CAF" w:rsidRPr="00FA625B">
        <w:t xml:space="preserve"> J. Richardson</w:t>
      </w:r>
      <w:r w:rsidRPr="00FA625B">
        <w:t>, “C- to L- band Wavelength Conversion Enabled by Parametric Processes in a Few Mode Fiber</w:t>
      </w:r>
      <w:r w:rsidR="00722822" w:rsidRPr="00FA625B">
        <w:t>,”</w:t>
      </w:r>
      <w:r w:rsidRPr="00FA625B">
        <w:t xml:space="preserve"> Th1F.4, OFC 2017.</w:t>
      </w:r>
    </w:p>
    <w:p w:rsidR="00CA2A40" w:rsidRPr="00FA625B" w:rsidRDefault="00CA2A40" w:rsidP="00AB6433">
      <w:pPr>
        <w:pStyle w:val="ExpressReferences"/>
      </w:pPr>
      <w:r w:rsidRPr="00FA625B">
        <w:t>S. M. M. Friis</w:t>
      </w:r>
      <w:r w:rsidR="00AB6433" w:rsidRPr="00FA625B">
        <w:t>, I. Begleris, Y. Jung, K. Rottwitt, P. Petropoulos, D. J. Richardson, P. Horak, and F. Parmigiani</w:t>
      </w:r>
      <w:r w:rsidRPr="00FA625B">
        <w:t xml:space="preserve">, “Inter-modal four-wave mixing study in a two-mode fiber,” Opt. Expr., </w:t>
      </w:r>
      <w:r w:rsidRPr="00FA625B">
        <w:rPr>
          <w:b/>
          <w:bCs/>
        </w:rPr>
        <w:t>24</w:t>
      </w:r>
      <w:r w:rsidR="00116E68" w:rsidRPr="00FA625B">
        <w:t>, (26),</w:t>
      </w:r>
      <w:r w:rsidR="007C36E9" w:rsidRPr="00FA625B">
        <w:t xml:space="preserve"> 30338-30349</w:t>
      </w:r>
      <w:r w:rsidRPr="00FA625B">
        <w:t xml:space="preserve"> </w:t>
      </w:r>
      <w:r w:rsidR="007C36E9" w:rsidRPr="00FA625B">
        <w:t>(</w:t>
      </w:r>
      <w:r w:rsidRPr="00FA625B">
        <w:t>2016</w:t>
      </w:r>
      <w:r w:rsidR="007C36E9" w:rsidRPr="00FA625B">
        <w:t>)</w:t>
      </w:r>
      <w:r w:rsidRPr="00FA625B">
        <w:t>.</w:t>
      </w:r>
    </w:p>
    <w:p w:rsidR="00CA2A40" w:rsidRPr="00FA625B" w:rsidRDefault="00CA2A40" w:rsidP="00AB6433">
      <w:pPr>
        <w:pStyle w:val="ExpressReferences"/>
      </w:pPr>
      <w:r w:rsidRPr="00FA625B">
        <w:lastRenderedPageBreak/>
        <w:t>R.-J. Essiambre</w:t>
      </w:r>
      <w:r w:rsidR="00AB6433" w:rsidRPr="00FA625B">
        <w:t>, M. A. Mestre, R. Ryf, A. H. Gnauck, R. W. Tkach, A. R. Chraplyvy, Y. Sun, X. Jiang, and R. Lingle</w:t>
      </w:r>
      <w:r w:rsidRPr="00FA625B">
        <w:t>, “Experimental Investigation of Inter-Modal Four-Wave Mixing in Few-Mode Fibers</w:t>
      </w:r>
      <w:r w:rsidR="00722822" w:rsidRPr="00FA625B">
        <w:t>,”</w:t>
      </w:r>
      <w:r w:rsidRPr="00FA625B">
        <w:t xml:space="preserve"> IEEE Photon. Technol. Lett. </w:t>
      </w:r>
      <w:r w:rsidRPr="00FA625B">
        <w:rPr>
          <w:b/>
          <w:bCs/>
        </w:rPr>
        <w:t>25</w:t>
      </w:r>
      <w:r w:rsidRPr="00FA625B">
        <w:t>, 539–542 (2013).</w:t>
      </w:r>
    </w:p>
    <w:p w:rsidR="007D5D53" w:rsidRPr="00FA625B" w:rsidRDefault="007D5D53" w:rsidP="007C36E9">
      <w:pPr>
        <w:pStyle w:val="ExpressReferences"/>
      </w:pPr>
      <w:r w:rsidRPr="00FA625B">
        <w:t xml:space="preserve">M. Esmaeelpour, R.-J. Essiambre, N. K. Fontaine, R. Ryf, J. Toulouse, Y. Sun and R. Lingle, "Power Fluctuations of Intermodal Four-Wave Mixing in Few-Mode Fibers," J. Lightwave Technol., vol. </w:t>
      </w:r>
      <w:r w:rsidRPr="00FA625B">
        <w:rPr>
          <w:b/>
          <w:bCs/>
        </w:rPr>
        <w:t>35</w:t>
      </w:r>
      <w:r w:rsidR="00116E68" w:rsidRPr="00FA625B">
        <w:t>,</w:t>
      </w:r>
      <w:r w:rsidR="007C36E9" w:rsidRPr="00FA625B">
        <w:t xml:space="preserve"> 2429-2435</w:t>
      </w:r>
      <w:r w:rsidRPr="00FA625B">
        <w:t xml:space="preserve"> </w:t>
      </w:r>
      <w:r w:rsidR="007C36E9" w:rsidRPr="00FA625B">
        <w:t>(</w:t>
      </w:r>
      <w:r w:rsidRPr="00FA625B">
        <w:t>2017</w:t>
      </w:r>
      <w:r w:rsidR="007C36E9" w:rsidRPr="00FA625B">
        <w:t>)</w:t>
      </w:r>
      <w:r w:rsidRPr="00FA625B">
        <w:t>.</w:t>
      </w:r>
    </w:p>
    <w:p w:rsidR="00CA2A40" w:rsidRPr="00FA625B" w:rsidRDefault="00CA2A40" w:rsidP="00AB6433">
      <w:pPr>
        <w:pStyle w:val="ExpressReferences"/>
      </w:pPr>
      <w:r w:rsidRPr="00FA625B">
        <w:t>D. J. Richardson</w:t>
      </w:r>
      <w:r w:rsidR="00AB6433" w:rsidRPr="00FA625B">
        <w:t>, J. M. Fini, and L. E. Nelson</w:t>
      </w:r>
      <w:r w:rsidRPr="00FA625B">
        <w:t>, “Space-division multiplexing in optical fibers</w:t>
      </w:r>
      <w:r w:rsidR="00722822" w:rsidRPr="00FA625B">
        <w:t>,”</w:t>
      </w:r>
      <w:r w:rsidRPr="00FA625B">
        <w:t xml:space="preserve"> Nat. Photon. </w:t>
      </w:r>
      <w:r w:rsidRPr="00FA625B">
        <w:rPr>
          <w:b/>
          <w:bCs/>
        </w:rPr>
        <w:t>7</w:t>
      </w:r>
      <w:r w:rsidR="007C36E9" w:rsidRPr="00FA625B">
        <w:t>, 354-362</w:t>
      </w:r>
      <w:r w:rsidRPr="00FA625B">
        <w:t xml:space="preserve"> </w:t>
      </w:r>
      <w:r w:rsidR="007C36E9" w:rsidRPr="00FA625B">
        <w:t>(</w:t>
      </w:r>
      <w:r w:rsidRPr="00FA625B">
        <w:t>2013</w:t>
      </w:r>
      <w:r w:rsidR="007C36E9" w:rsidRPr="00FA625B">
        <w:t>)</w:t>
      </w:r>
      <w:r w:rsidRPr="00FA625B">
        <w:t>.</w:t>
      </w:r>
    </w:p>
    <w:p w:rsidR="00CA2A40" w:rsidRPr="00FA625B" w:rsidRDefault="00CA2A40" w:rsidP="00CA2A40">
      <w:pPr>
        <w:pStyle w:val="ExpressReferences"/>
      </w:pPr>
      <w:r w:rsidRPr="00FA625B">
        <w:t xml:space="preserve">C. J. McKinstrie, S. Radic, and A. R. Chraplyvy, “Parametric amplifiers driven by two pump waves,” IEEE J. Sel. Top. Quantum Electron. </w:t>
      </w:r>
      <w:r w:rsidRPr="00FA625B">
        <w:rPr>
          <w:b/>
          <w:bCs/>
        </w:rPr>
        <w:t>8</w:t>
      </w:r>
      <w:r w:rsidRPr="00FA625B">
        <w:t>, 538–547 (2002).</w:t>
      </w:r>
    </w:p>
    <w:p w:rsidR="00306CA6" w:rsidRPr="00FA625B" w:rsidRDefault="00306CA6" w:rsidP="00306CA6">
      <w:pPr>
        <w:pStyle w:val="ExpressReferences"/>
        <w:rPr>
          <w:lang w:val="en-GB" w:eastAsia="zh-CN"/>
        </w:rPr>
      </w:pPr>
      <w:r w:rsidRPr="00FA625B">
        <w:rPr>
          <w:rFonts w:eastAsia="PMingLiU"/>
          <w:lang w:val="en-GB" w:eastAsia="zh-TW"/>
        </w:rPr>
        <w:t>L. Grüner-Nielsen</w:t>
      </w:r>
      <w:r w:rsidRPr="00FA625B">
        <w:rPr>
          <w:rFonts w:eastAsia="PMingLiU" w:hint="eastAsia"/>
          <w:lang w:val="en-GB" w:eastAsia="zh-TW"/>
        </w:rPr>
        <w:t>,</w:t>
      </w:r>
      <w:r w:rsidRPr="00FA625B">
        <w:rPr>
          <w:rFonts w:eastAsia="PMingLiU"/>
          <w:lang w:val="en-GB" w:eastAsia="zh-TW"/>
        </w:rPr>
        <w:t xml:space="preserve"> S. Herstrom</w:t>
      </w:r>
      <w:r w:rsidRPr="00FA625B">
        <w:rPr>
          <w:rFonts w:eastAsia="PMingLiU" w:hint="eastAsia"/>
          <w:lang w:val="en-GB" w:eastAsia="zh-TW"/>
        </w:rPr>
        <w:t>,</w:t>
      </w:r>
      <w:r w:rsidRPr="00FA625B">
        <w:rPr>
          <w:rFonts w:eastAsia="PMingLiU"/>
          <w:lang w:val="en-GB" w:eastAsia="zh-TW"/>
        </w:rPr>
        <w:t xml:space="preserve"> S. Dasgupta</w:t>
      </w:r>
      <w:r w:rsidRPr="00FA625B">
        <w:rPr>
          <w:rFonts w:eastAsia="PMingLiU" w:hint="eastAsia"/>
          <w:lang w:val="en-GB" w:eastAsia="zh-TW"/>
        </w:rPr>
        <w:t>,</w:t>
      </w:r>
      <w:r w:rsidRPr="00FA625B">
        <w:rPr>
          <w:rFonts w:eastAsia="PMingLiU"/>
          <w:lang w:val="en-GB" w:eastAsia="zh-TW"/>
        </w:rPr>
        <w:t xml:space="preserve"> D. Richardson</w:t>
      </w:r>
      <w:r w:rsidRPr="00FA625B">
        <w:rPr>
          <w:rFonts w:eastAsia="PMingLiU" w:hint="eastAsia"/>
          <w:lang w:val="en-GB" w:eastAsia="zh-TW"/>
        </w:rPr>
        <w:t>,</w:t>
      </w:r>
      <w:r w:rsidRPr="00FA625B">
        <w:rPr>
          <w:rFonts w:eastAsia="PMingLiU"/>
          <w:lang w:val="en-GB" w:eastAsia="zh-TW"/>
        </w:rPr>
        <w:t xml:space="preserve"> D. Jakobsen</w:t>
      </w:r>
      <w:r w:rsidRPr="00FA625B">
        <w:rPr>
          <w:rFonts w:eastAsia="PMingLiU" w:hint="eastAsia"/>
          <w:lang w:val="en-GB" w:eastAsia="zh-TW"/>
        </w:rPr>
        <w:t>,</w:t>
      </w:r>
      <w:r w:rsidRPr="00FA625B">
        <w:rPr>
          <w:rFonts w:eastAsia="PMingLiU"/>
          <w:lang w:val="en-GB" w:eastAsia="zh-TW"/>
        </w:rPr>
        <w:t xml:space="preserve"> Carl Lundström</w:t>
      </w:r>
      <w:r w:rsidRPr="00FA625B">
        <w:rPr>
          <w:rFonts w:eastAsia="PMingLiU" w:hint="eastAsia"/>
          <w:lang w:val="en-GB" w:eastAsia="zh-TW"/>
        </w:rPr>
        <w:t>,</w:t>
      </w:r>
      <w:r w:rsidRPr="00FA625B">
        <w:rPr>
          <w:rFonts w:eastAsia="PMingLiU"/>
          <w:lang w:val="en-GB" w:eastAsia="zh-TW"/>
        </w:rPr>
        <w:t xml:space="preserve"> Peter Andrekson</w:t>
      </w:r>
      <w:r w:rsidRPr="00FA625B">
        <w:rPr>
          <w:rFonts w:eastAsia="PMingLiU" w:hint="eastAsia"/>
          <w:lang w:val="en-GB" w:eastAsia="zh-TW"/>
        </w:rPr>
        <w:t>,</w:t>
      </w:r>
      <w:r w:rsidRPr="00FA625B">
        <w:rPr>
          <w:rFonts w:eastAsia="PMingLiU"/>
          <w:lang w:val="en-GB" w:eastAsia="zh-TW"/>
        </w:rPr>
        <w:t xml:space="preserve"> M.E.V. Pedersen</w:t>
      </w:r>
      <w:r w:rsidRPr="00FA625B">
        <w:rPr>
          <w:rFonts w:eastAsia="PMingLiU" w:hint="eastAsia"/>
          <w:lang w:val="en-GB" w:eastAsia="zh-TW"/>
        </w:rPr>
        <w:t>,</w:t>
      </w:r>
      <w:r w:rsidRPr="00FA625B">
        <w:rPr>
          <w:rFonts w:eastAsia="PMingLiU"/>
          <w:lang w:val="en-GB" w:eastAsia="zh-TW"/>
        </w:rPr>
        <w:t xml:space="preserve"> B. Pálsdóttir</w:t>
      </w:r>
      <w:r w:rsidRPr="00FA625B">
        <w:rPr>
          <w:rFonts w:eastAsia="PMingLiU" w:hint="eastAsia"/>
          <w:lang w:val="en-GB" w:eastAsia="zh-TW"/>
        </w:rPr>
        <w:t>,</w:t>
      </w:r>
      <w:r w:rsidRPr="00FA625B">
        <w:rPr>
          <w:rFonts w:eastAsia="PMingLiU"/>
          <w:lang w:val="en-GB" w:eastAsia="zh-TW"/>
        </w:rPr>
        <w:t xml:space="preserve"> ‘</w:t>
      </w:r>
      <w:r w:rsidRPr="00FA625B">
        <w:rPr>
          <w:lang w:val="en-GB" w:eastAsia="zh-CN"/>
        </w:rPr>
        <w:t>Silica-based highly nonlinear fibers with a high SBS threshold</w:t>
      </w:r>
      <w:r w:rsidRPr="00FA625B">
        <w:rPr>
          <w:rFonts w:eastAsia="PMingLiU" w:hint="eastAsia"/>
          <w:lang w:val="en-GB" w:eastAsia="zh-TW"/>
        </w:rPr>
        <w:t>,</w:t>
      </w:r>
      <w:r w:rsidRPr="00FA625B">
        <w:rPr>
          <w:rFonts w:eastAsia="PMingLiU"/>
          <w:lang w:val="en-GB" w:eastAsia="zh-TW"/>
        </w:rPr>
        <w:t>’</w:t>
      </w:r>
      <w:r w:rsidRPr="00FA625B">
        <w:rPr>
          <w:rFonts w:eastAsia="PMingLiU" w:hint="eastAsia"/>
          <w:lang w:val="en-GB" w:eastAsia="zh-TW"/>
        </w:rPr>
        <w:t xml:space="preserve"> </w:t>
      </w:r>
      <w:r w:rsidRPr="00FA625B">
        <w:rPr>
          <w:rFonts w:eastAsia="PMingLiU"/>
          <w:lang w:val="en-GB" w:eastAsia="zh-TW"/>
        </w:rPr>
        <w:t>I</w:t>
      </w:r>
      <w:r w:rsidR="00116E68" w:rsidRPr="00FA625B">
        <w:rPr>
          <w:rFonts w:eastAsia="PMingLiU"/>
          <w:lang w:val="en-GB" w:eastAsia="zh-TW"/>
        </w:rPr>
        <w:t>EEE Winter Topicals, WTM 2011,</w:t>
      </w:r>
      <w:r w:rsidRPr="00FA625B">
        <w:rPr>
          <w:rFonts w:eastAsia="PMingLiU"/>
          <w:lang w:val="en-GB" w:eastAsia="zh-TW"/>
        </w:rPr>
        <w:t xml:space="preserve"> 171-172. (2011)</w:t>
      </w:r>
    </w:p>
    <w:p w:rsidR="00CA2A40" w:rsidRPr="00FA625B" w:rsidRDefault="00CA2A40" w:rsidP="00AB6433">
      <w:pPr>
        <w:pStyle w:val="ExpressReferences"/>
      </w:pPr>
      <w:r w:rsidRPr="00FA625B">
        <w:t>F. Parmigiani</w:t>
      </w:r>
      <w:r w:rsidR="00AB6433" w:rsidRPr="00FA625B">
        <w:t>, Y. Jung</w:t>
      </w:r>
      <w:r w:rsidR="006E27FB" w:rsidRPr="00FA625B">
        <w:t xml:space="preserve">, </w:t>
      </w:r>
      <w:r w:rsidR="00AB6433" w:rsidRPr="00FA625B">
        <w:t xml:space="preserve">L. Grüner-Nielsen, T. Geisler, P. Petropoulos, and D. J. Richardson, </w:t>
      </w:r>
      <w:r w:rsidRPr="00FA625B">
        <w:t>“Elliptical Core Few Mode Fibers for Multiple-Input Multiple Output-free Space Division Multiplexing Transmission</w:t>
      </w:r>
      <w:r w:rsidR="00722822" w:rsidRPr="00FA625B">
        <w:t>,”</w:t>
      </w:r>
      <w:r w:rsidRPr="00FA625B">
        <w:t xml:space="preserve"> IEEE Photon. Technol. Lett. </w:t>
      </w:r>
      <w:r w:rsidR="007C36E9" w:rsidRPr="00FA625B">
        <w:t>(</w:t>
      </w:r>
      <w:r w:rsidRPr="00FA625B">
        <w:t>2017</w:t>
      </w:r>
      <w:r w:rsidR="007C36E9" w:rsidRPr="00FA625B">
        <w:t>)</w:t>
      </w:r>
      <w:r w:rsidRPr="00FA625B">
        <w:t>.</w:t>
      </w:r>
    </w:p>
    <w:p w:rsidR="00C97A09" w:rsidRPr="00FA625B" w:rsidRDefault="004A0FDA" w:rsidP="00C97A09">
      <w:pPr>
        <w:pStyle w:val="ExpressReferences"/>
      </w:pPr>
      <w:r w:rsidRPr="00FA625B">
        <w:rPr>
          <w:rFonts w:eastAsia="PMingLiU" w:hint="eastAsia"/>
          <w:lang w:eastAsia="zh-TW"/>
        </w:rPr>
        <w:t>J</w:t>
      </w:r>
      <w:r w:rsidR="00C97A09" w:rsidRPr="00FA625B">
        <w:t xml:space="preserve">acob G. Koefoed, Søren M. M. Friis, Jesper B. Christensen, and Karsten Rottwitt, "Spectrally pure heralded single photons by spontaneous four-wave mixing in a fiber: reducing impact of dispersion fluctuations," Opt. Express </w:t>
      </w:r>
      <w:r w:rsidR="00C97A09" w:rsidRPr="00FA625B">
        <w:rPr>
          <w:b/>
          <w:bCs/>
        </w:rPr>
        <w:t>25</w:t>
      </w:r>
      <w:r w:rsidR="00C97A09" w:rsidRPr="00FA625B">
        <w:t>, 20835-20849 (2017)</w:t>
      </w:r>
      <w:r w:rsidRPr="00FA625B">
        <w:rPr>
          <w:rFonts w:eastAsia="PMingLiU" w:hint="eastAsia"/>
          <w:lang w:eastAsia="zh-TW"/>
        </w:rPr>
        <w:t>.</w:t>
      </w:r>
    </w:p>
    <w:p w:rsidR="004A0FDA" w:rsidRPr="00FA625B" w:rsidRDefault="004A0FDA" w:rsidP="004A0FDA">
      <w:pPr>
        <w:pStyle w:val="ExpressReferences"/>
      </w:pPr>
      <w:r w:rsidRPr="00FA625B">
        <w:t xml:space="preserve">M. Guasoni, F. Parmigiani, P. Horak, J. Fatome and D. J. Richardson, "Intermodal Four-Wave-Mixing and Parametric Amplification in km-long Multi-Mode Fibers," IEEE Early Access Articles in </w:t>
      </w:r>
      <w:r w:rsidR="007C36E9" w:rsidRPr="00FA625B">
        <w:t>Journal of Lightwave Technology</w:t>
      </w:r>
      <w:r w:rsidRPr="00FA625B">
        <w:t xml:space="preserve"> </w:t>
      </w:r>
      <w:r w:rsidR="007C36E9" w:rsidRPr="00FA625B">
        <w:t>(</w:t>
      </w:r>
      <w:r w:rsidRPr="00FA625B">
        <w:t>2017</w:t>
      </w:r>
      <w:r w:rsidR="007C36E9" w:rsidRPr="00FA625B">
        <w:t>)</w:t>
      </w:r>
      <w:r w:rsidRPr="00FA625B">
        <w:t>.</w:t>
      </w:r>
    </w:p>
    <w:p w:rsidR="00643CF3" w:rsidRPr="00FA625B" w:rsidRDefault="00643CF3" w:rsidP="006F4F35">
      <w:pPr>
        <w:pStyle w:val="ExpressReferences"/>
      </w:pPr>
      <w:r w:rsidRPr="00FA625B">
        <w:t xml:space="preserve">M. Karlsson, ‘Four-wave mixing in fibers with randomly varying zero dispersion wavelength,’ J. Opt. Soc. Am. B </w:t>
      </w:r>
      <w:r w:rsidRPr="00FA625B">
        <w:rPr>
          <w:b/>
          <w:bCs/>
        </w:rPr>
        <w:t>15</w:t>
      </w:r>
      <w:r w:rsidRPr="00FA625B">
        <w:t>, 2269-2275 (1998).</w:t>
      </w:r>
    </w:p>
    <w:p w:rsidR="001A6CF9" w:rsidRPr="00FA625B" w:rsidRDefault="001A6CF9" w:rsidP="00CA2A40">
      <w:pPr>
        <w:pStyle w:val="ExpressReferences"/>
        <w:numPr>
          <w:ilvl w:val="0"/>
          <w:numId w:val="0"/>
        </w:numPr>
        <w:pBdr>
          <w:bottom w:val="single" w:sz="4" w:space="1" w:color="auto"/>
        </w:pBdr>
      </w:pPr>
    </w:p>
    <w:p w:rsidR="0086667D" w:rsidRPr="00FA625B" w:rsidRDefault="0086667D" w:rsidP="0086667D">
      <w:pPr>
        <w:pStyle w:val="ExpressSectionHeader1"/>
      </w:pPr>
      <w:r w:rsidRPr="00FA625B">
        <w:t>Introduction</w:t>
      </w:r>
    </w:p>
    <w:p w:rsidR="001066F0" w:rsidRPr="00FA625B" w:rsidRDefault="001066F0" w:rsidP="001514A1">
      <w:pPr>
        <w:pStyle w:val="ExpressBodySubsequentParagraph"/>
      </w:pPr>
      <w:r w:rsidRPr="00FA625B">
        <w:t>The capability to generate signals at a desired frequency by all-optical wavelength conversion offers interesting prospects for many different applications, including telecommunications, sensing, medicine and defense. For example, in telecommunications, wavelength converters are an indispensable means for avoiding wavelength contention, i.e. ensuring that different signals always occupy different wavelengths in the same optical fiber</w:t>
      </w:r>
      <w:r w:rsidR="00CA2C9C" w:rsidRPr="00FA625B">
        <w:rPr>
          <w:rFonts w:eastAsia="PMingLiU" w:hint="eastAsia"/>
          <w:lang w:eastAsia="zh-TW"/>
        </w:rPr>
        <w:t xml:space="preserve"> [1]</w:t>
      </w:r>
      <w:r w:rsidR="00E4318E" w:rsidRPr="00FA625B">
        <w:rPr>
          <w:rFonts w:eastAsia="PMingLiU" w:hint="eastAsia"/>
          <w:lang w:eastAsia="zh-TW"/>
        </w:rPr>
        <w:t xml:space="preserve">. </w:t>
      </w:r>
      <w:r w:rsidR="00E4318E" w:rsidRPr="00FA625B">
        <w:rPr>
          <w:rFonts w:eastAsia="PMingLiU"/>
          <w:lang w:eastAsia="zh-TW"/>
        </w:rPr>
        <w:t>Flexible all-optical means to achieve this functionality are of great interest</w:t>
      </w:r>
      <w:r w:rsidR="002401A8" w:rsidRPr="00FA625B">
        <w:rPr>
          <w:rFonts w:eastAsia="PMingLiU" w:hint="eastAsia"/>
          <w:lang w:eastAsia="zh-TW"/>
        </w:rPr>
        <w:t xml:space="preserve"> </w:t>
      </w:r>
      <w:r w:rsidR="002401A8" w:rsidRPr="00FA625B">
        <w:rPr>
          <w:rFonts w:eastAsia="PMingLiU"/>
          <w:lang w:eastAsia="zh-TW"/>
        </w:rPr>
        <w:t>[2-</w:t>
      </w:r>
      <w:r w:rsidR="002401A8" w:rsidRPr="00FA625B">
        <w:rPr>
          <w:rFonts w:eastAsia="PMingLiU" w:hint="eastAsia"/>
          <w:lang w:eastAsia="zh-TW"/>
        </w:rPr>
        <w:t>6</w:t>
      </w:r>
      <w:r w:rsidR="002401A8" w:rsidRPr="00FA625B">
        <w:rPr>
          <w:rFonts w:eastAsia="PMingLiU"/>
          <w:lang w:eastAsia="zh-TW"/>
        </w:rPr>
        <w:t>]</w:t>
      </w:r>
      <w:r w:rsidR="00CD2AB0" w:rsidRPr="00FA625B">
        <w:rPr>
          <w:rFonts w:eastAsia="PMingLiU" w:hint="eastAsia"/>
          <w:lang w:eastAsia="zh-TW"/>
        </w:rPr>
        <w:t>,</w:t>
      </w:r>
      <w:r w:rsidR="00CD2AB0" w:rsidRPr="00FA625B">
        <w:rPr>
          <w:rFonts w:eastAsia="PMingLiU"/>
          <w:lang w:eastAsia="zh-TW"/>
        </w:rPr>
        <w:t xml:space="preserve"> </w:t>
      </w:r>
      <w:r w:rsidR="001514A1" w:rsidRPr="00FA625B">
        <w:rPr>
          <w:rFonts w:eastAsia="PMingLiU"/>
          <w:lang w:eastAsia="zh-TW"/>
        </w:rPr>
        <w:t>even though the implementation requirements associated with possible adoption in real systems are not to be underestimated</w:t>
      </w:r>
      <w:r w:rsidR="00E4318E" w:rsidRPr="00FA625B">
        <w:rPr>
          <w:rFonts w:eastAsia="PMingLiU"/>
          <w:lang w:eastAsia="zh-TW"/>
        </w:rPr>
        <w:t>.</w:t>
      </w:r>
      <w:r w:rsidRPr="00FA625B">
        <w:t xml:space="preserve"> </w:t>
      </w:r>
      <w:r w:rsidR="00E4318E" w:rsidRPr="00FA625B">
        <w:rPr>
          <w:rFonts w:eastAsia="PMingLiU" w:hint="eastAsia"/>
          <w:lang w:eastAsia="zh-TW"/>
        </w:rPr>
        <w:t>The</w:t>
      </w:r>
      <w:r w:rsidRPr="00FA625B">
        <w:t xml:space="preserve"> signal wavelengths of interest are typically within the C- band (1530-1565 nm) or in the C- and L-bands (1530-1625 nm). Similarly, the capability of wavelength converting cheap and reliable optical sources (e.g. in the C-band) to generate sources at new colors, potentially within very different frequency bands as compared to the original, is also extremely attractive [</w:t>
      </w:r>
      <w:r w:rsidR="002401A8" w:rsidRPr="00FA625B">
        <w:rPr>
          <w:rFonts w:eastAsia="PMingLiU" w:hint="eastAsia"/>
          <w:lang w:eastAsia="zh-TW"/>
        </w:rPr>
        <w:t>7</w:t>
      </w:r>
      <w:r w:rsidR="00A100C3" w:rsidRPr="00FA625B">
        <w:rPr>
          <w:rFonts w:eastAsia="PMingLiU" w:hint="eastAsia"/>
          <w:lang w:eastAsia="zh-TW"/>
        </w:rPr>
        <w:t>-</w:t>
      </w:r>
      <w:r w:rsidR="002401A8" w:rsidRPr="00FA625B">
        <w:rPr>
          <w:rFonts w:eastAsia="PMingLiU" w:hint="eastAsia"/>
          <w:lang w:eastAsia="zh-TW"/>
        </w:rPr>
        <w:t>9</w:t>
      </w:r>
      <w:r w:rsidRPr="00FA625B">
        <w:t xml:space="preserve">]. </w:t>
      </w:r>
    </w:p>
    <w:p w:rsidR="0086667D" w:rsidRDefault="001066F0" w:rsidP="00002A9B">
      <w:pPr>
        <w:pStyle w:val="ExpressBodySubsequentParagraph"/>
        <w:ind w:firstLine="0"/>
      </w:pPr>
      <w:r w:rsidRPr="00FA625B">
        <w:t>Parametric processes, such as four wave mixing (FWM), have been proven a very powerful means for frequency conversions [</w:t>
      </w:r>
      <w:r w:rsidR="007D5D53" w:rsidRPr="00FA625B">
        <w:rPr>
          <w:rFonts w:eastAsia="PMingLiU" w:hint="eastAsia"/>
          <w:lang w:eastAsia="zh-TW"/>
        </w:rPr>
        <w:t>3-6, 10</w:t>
      </w:r>
      <w:r w:rsidRPr="00FA625B">
        <w:t>]. They inherently preserve the phase information of the signal and are not tied to any atomic or</w:t>
      </w:r>
      <w:r>
        <w:t xml:space="preserve"> molecular energy levels, and so in principle can work in any spectral region as long as phase matching is satisfied, i.e. if the propagation constants of the interacting waves are properly matched. In a single-mode fiber, phase matching can typically be achieved either over a relatively broad spectral region (for example up to hundreds nanometers at 1550 nm) around the pump wavelength(s) [</w:t>
      </w:r>
      <w:r w:rsidR="002D21A3">
        <w:rPr>
          <w:rFonts w:eastAsia="PMingLiU" w:hint="eastAsia"/>
          <w:lang w:eastAsia="zh-TW"/>
        </w:rPr>
        <w:t>9</w:t>
      </w:r>
      <w:r w:rsidR="007D5D53">
        <w:rPr>
          <w:rFonts w:eastAsia="PMingLiU" w:hint="eastAsia"/>
          <w:lang w:eastAsia="zh-TW"/>
        </w:rPr>
        <w:t>-10</w:t>
      </w:r>
      <w:r>
        <w:t xml:space="preserve">], or at discrete (but narrow) bands that can potentially be far away from the pump </w:t>
      </w:r>
      <w:r w:rsidR="00680A13" w:rsidRPr="00597509">
        <w:rPr>
          <w:noProof/>
          <w:szCs w:val="20"/>
          <w:lang w:eastAsia="en-GB"/>
        </w:rPr>
        <w:t>wavelength(s) [</w:t>
      </w:r>
      <w:r w:rsidR="002D21A3">
        <w:rPr>
          <w:rFonts w:eastAsia="PMingLiU" w:hint="eastAsia"/>
          <w:noProof/>
          <w:szCs w:val="20"/>
          <w:lang w:eastAsia="zh-TW"/>
        </w:rPr>
        <w:t>1</w:t>
      </w:r>
      <w:r w:rsidR="007D5D53">
        <w:rPr>
          <w:rFonts w:eastAsia="PMingLiU" w:hint="eastAsia"/>
          <w:noProof/>
          <w:szCs w:val="20"/>
          <w:lang w:eastAsia="zh-TW"/>
        </w:rPr>
        <w:t>1</w:t>
      </w:r>
      <w:r w:rsidR="00680A13" w:rsidRPr="00597509">
        <w:rPr>
          <w:noProof/>
          <w:szCs w:val="20"/>
          <w:lang w:eastAsia="en-GB"/>
        </w:rPr>
        <w:t>]. On the other hand, multi</w:t>
      </w:r>
      <w:r w:rsidR="00680A13">
        <w:rPr>
          <w:noProof/>
          <w:szCs w:val="20"/>
          <w:lang w:eastAsia="en-GB"/>
        </w:rPr>
        <w:t>-</w:t>
      </w:r>
      <w:r w:rsidR="00680A13" w:rsidRPr="00597509">
        <w:rPr>
          <w:noProof/>
          <w:szCs w:val="20"/>
          <w:lang w:eastAsia="en-GB"/>
        </w:rPr>
        <w:t xml:space="preserve"> (</w:t>
      </w:r>
      <w:r w:rsidR="00680A13">
        <w:rPr>
          <w:noProof/>
          <w:szCs w:val="20"/>
          <w:lang w:eastAsia="en-GB"/>
        </w:rPr>
        <w:t xml:space="preserve">or </w:t>
      </w:r>
      <w:r w:rsidR="00680A13" w:rsidRPr="00597509">
        <w:rPr>
          <w:noProof/>
          <w:szCs w:val="20"/>
          <w:lang w:eastAsia="en-GB"/>
        </w:rPr>
        <w:t>few</w:t>
      </w:r>
      <w:r w:rsidR="00680A13">
        <w:rPr>
          <w:noProof/>
          <w:szCs w:val="20"/>
          <w:lang w:eastAsia="en-GB"/>
        </w:rPr>
        <w:t xml:space="preserve">-) mode </w:t>
      </w:r>
      <w:r w:rsidRPr="001066F0">
        <w:t>fibers offer an extra degree of freedom by allowing phase matching between different spatial modes and thereby, the potential for achieving broadband operation at any desired spectral band [</w:t>
      </w:r>
      <w:r w:rsidR="007D5D53">
        <w:rPr>
          <w:rFonts w:eastAsia="PMingLiU" w:hint="eastAsia"/>
          <w:lang w:eastAsia="zh-TW"/>
        </w:rPr>
        <w:t>7-8</w:t>
      </w:r>
      <w:r w:rsidRPr="001066F0">
        <w:t xml:space="preserve">, </w:t>
      </w:r>
      <w:r w:rsidR="007D5D53">
        <w:rPr>
          <w:rFonts w:eastAsia="PMingLiU" w:hint="eastAsia"/>
          <w:lang w:eastAsia="zh-TW"/>
        </w:rPr>
        <w:t>12-13</w:t>
      </w:r>
      <w:r w:rsidRPr="001066F0">
        <w:t>]. Thus, inter-modal FWM processes have regained interest in recent years [</w:t>
      </w:r>
      <w:r w:rsidR="007D5D53">
        <w:rPr>
          <w:rFonts w:eastAsia="PMingLiU" w:hint="eastAsia"/>
          <w:lang w:eastAsia="zh-TW"/>
        </w:rPr>
        <w:t>7-8</w:t>
      </w:r>
      <w:r w:rsidRPr="001066F0">
        <w:t xml:space="preserve">, </w:t>
      </w:r>
      <w:r w:rsidR="007D5D53">
        <w:rPr>
          <w:rFonts w:eastAsia="PMingLiU" w:hint="eastAsia"/>
          <w:lang w:eastAsia="zh-TW"/>
        </w:rPr>
        <w:t>12-15</w:t>
      </w:r>
      <w:r w:rsidRPr="001066F0">
        <w:t>], primarily driven by developments in space division multiplexing communications [</w:t>
      </w:r>
      <w:r w:rsidR="007D5D53">
        <w:rPr>
          <w:rFonts w:eastAsia="PMingLiU" w:hint="eastAsia"/>
          <w:lang w:eastAsia="zh-TW"/>
        </w:rPr>
        <w:t>16</w:t>
      </w:r>
      <w:r w:rsidRPr="001066F0">
        <w:t>]. In this letter, expanding from our previous work [</w:t>
      </w:r>
      <w:r w:rsidR="00CD2AB0">
        <w:rPr>
          <w:rFonts w:eastAsia="PMingLiU" w:hint="eastAsia"/>
          <w:lang w:eastAsia="zh-TW"/>
        </w:rPr>
        <w:t>12</w:t>
      </w:r>
      <w:r w:rsidRPr="001066F0">
        <w:t xml:space="preserve">], we consider a multi-pump configuration with each pump exciting a different spatial mode of a three-mode </w:t>
      </w:r>
      <w:r w:rsidRPr="00FA625B">
        <w:t xml:space="preserve">fiber. </w:t>
      </w:r>
      <w:r w:rsidR="00C66797" w:rsidRPr="00FA625B">
        <w:t>After explaining its operation</w:t>
      </w:r>
      <w:r w:rsidR="00002A9B" w:rsidRPr="00FA625B">
        <w:t>al</w:t>
      </w:r>
      <w:r w:rsidR="00C66797" w:rsidRPr="00FA625B">
        <w:t xml:space="preserve"> principle, w</w:t>
      </w:r>
      <w:r w:rsidRPr="00FA625B">
        <w:t xml:space="preserve">e numerically and experimentally investigate inter-modal FWM-based wavelength conversion </w:t>
      </w:r>
      <w:r w:rsidR="00002A9B" w:rsidRPr="00FA625B">
        <w:t>both around and further away from phase matching</w:t>
      </w:r>
      <w:r w:rsidR="00C66797" w:rsidRPr="00FA625B">
        <w:t xml:space="preserve">. The </w:t>
      </w:r>
      <w:r w:rsidRPr="00FA625B">
        <w:t xml:space="preserve">C-band signals </w:t>
      </w:r>
      <w:r w:rsidR="00C66797" w:rsidRPr="00FA625B">
        <w:t xml:space="preserve">are converted </w:t>
      </w:r>
      <w:r w:rsidRPr="00FA625B">
        <w:t>into newly generated idler waves at frequencies located within</w:t>
      </w:r>
      <w:r w:rsidRPr="001066F0">
        <w:t xml:space="preserve"> the C- and/or the L- bands. Depending on the </w:t>
      </w:r>
      <w:r w:rsidRPr="001066F0">
        <w:lastRenderedPageBreak/>
        <w:t>particular nonlinear process, namely Modulation Instability (MI), Bragg Scattering (BS) or Phase Conjugation (PC) [</w:t>
      </w:r>
      <w:r w:rsidR="007D5D53">
        <w:rPr>
          <w:rFonts w:eastAsia="PMingLiU" w:hint="eastAsia"/>
          <w:lang w:eastAsia="zh-TW"/>
        </w:rPr>
        <w:t>1</w:t>
      </w:r>
      <w:r w:rsidR="00CD2AB0">
        <w:rPr>
          <w:rFonts w:eastAsia="PMingLiU" w:hint="eastAsia"/>
          <w:lang w:eastAsia="zh-TW"/>
        </w:rPr>
        <w:t>7</w:t>
      </w:r>
      <w:r w:rsidRPr="001066F0">
        <w:t xml:space="preserve">], the generated idlers will appear at the appropriate phase-matched wavelengths in the same mode as the signal (for MI) or in different modes (for BS and PC). </w:t>
      </w:r>
      <w:r w:rsidR="00002A9B" w:rsidRPr="00002A9B">
        <w:rPr>
          <w:rFonts w:eastAsia="PMingLiU"/>
          <w:u w:val="single"/>
          <w:lang w:eastAsia="zh-TW"/>
        </w:rPr>
        <w:t>The results highlight the impact of inhomogeneity with the 1-km long fiber caused by the fabrication process and the impact of the resulting stochastic variations of the key fiber parameters (e. g. random core-radius fluctuations) that cause the relative inverse group velocities (RIGVs) of the modes to vary along the length, leading to a “blurring” of the phase matched wavelengths.</w:t>
      </w:r>
      <w:r w:rsidR="00002A9B">
        <w:rPr>
          <w:rFonts w:eastAsia="PMingLiU"/>
          <w:lang w:eastAsia="zh-TW"/>
        </w:rPr>
        <w:t xml:space="preserve"> </w:t>
      </w:r>
      <w:r w:rsidRPr="001066F0">
        <w:t>This proof-of-principle study demonstrates the feasibility of simultaneously achieving mode and wavelength conversion of broadband signals between different and potentially widely separated spectral regions by exciting phase matched and dispersion tailored modes of a single multi-mode nonlinear fiber (or indeed any other nonlinear multi-mode optical waveguide).</w:t>
      </w:r>
    </w:p>
    <w:p w:rsidR="001066F0" w:rsidRDefault="001066F0" w:rsidP="00C41A9E">
      <w:pPr>
        <w:pStyle w:val="ExpressSectionHeader1"/>
      </w:pPr>
      <w:r w:rsidRPr="00597509">
        <w:t xml:space="preserve">Operation </w:t>
      </w:r>
      <w:r w:rsidR="00FA625B">
        <w:t>p</w:t>
      </w:r>
      <w:r w:rsidRPr="00597509">
        <w:t xml:space="preserve">rinciple and </w:t>
      </w:r>
      <w:r w:rsidR="00FA625B">
        <w:t>e</w:t>
      </w:r>
      <w:r w:rsidRPr="00597509">
        <w:t xml:space="preserve">xperimental </w:t>
      </w:r>
      <w:r w:rsidR="00FA625B">
        <w:t>s</w:t>
      </w:r>
      <w:r w:rsidRPr="00597509">
        <w:t>et-u</w:t>
      </w:r>
      <w:r>
        <w:t>p</w:t>
      </w:r>
    </w:p>
    <w:p w:rsidR="001066F0" w:rsidRDefault="001066F0" w:rsidP="001066F0">
      <w:pPr>
        <w:pStyle w:val="ExpressFigure"/>
      </w:pPr>
      <w:r w:rsidRPr="001066F0">
        <w:rPr>
          <w:noProof/>
          <w:sz w:val="20"/>
          <w:lang w:val="en-GB" w:eastAsia="en-GB"/>
        </w:rPr>
        <w:drawing>
          <wp:inline distT="0" distB="0" distL="0" distR="0" wp14:anchorId="6D4141C0" wp14:editId="7B84651F">
            <wp:extent cx="2901950" cy="1932305"/>
            <wp:effectExtent l="0" t="0" r="0" b="0"/>
            <wp:docPr id="6" name="Picture 6" descr="Operation_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ration_principle"/>
                    <pic:cNvPicPr>
                      <a:picLocks noChangeAspect="1" noChangeArrowheads="1"/>
                    </pic:cNvPicPr>
                  </pic:nvPicPr>
                  <pic:blipFill>
                    <a:blip r:embed="rId7">
                      <a:extLst>
                        <a:ext uri="{28A0092B-C50C-407E-A947-70E740481C1C}">
                          <a14:useLocalDpi xmlns:a14="http://schemas.microsoft.com/office/drawing/2010/main" val="0"/>
                        </a:ext>
                      </a:extLst>
                    </a:blip>
                    <a:srcRect t="3937" r="51726" b="53168"/>
                    <a:stretch>
                      <a:fillRect/>
                    </a:stretch>
                  </pic:blipFill>
                  <pic:spPr bwMode="auto">
                    <a:xfrm>
                      <a:off x="0" y="0"/>
                      <a:ext cx="2901950" cy="1932305"/>
                    </a:xfrm>
                    <a:prstGeom prst="rect">
                      <a:avLst/>
                    </a:prstGeom>
                    <a:noFill/>
                    <a:ln>
                      <a:noFill/>
                    </a:ln>
                  </pic:spPr>
                </pic:pic>
              </a:graphicData>
            </a:graphic>
          </wp:inline>
        </w:drawing>
      </w:r>
    </w:p>
    <w:p w:rsidR="0020074D" w:rsidRDefault="0020074D" w:rsidP="0020074D">
      <w:pPr>
        <w:pStyle w:val="ExpressFigureCaptionShort"/>
        <w:ind w:left="726" w:right="726"/>
        <w:jc w:val="both"/>
      </w:pPr>
      <w:r>
        <w:t xml:space="preserve">Fig. 1. </w:t>
      </w:r>
      <w:r w:rsidRPr="001066F0">
        <w:t>Schematic of the relative inverse group velocities versus wavelength of the modes supported by a multi-mode waveguide, where the dotted red line highlights inter-modal phase matching among the pump(s), signal(s) and BS idler(s) in a multi–pump configuration. Broadband operation is guaranteed if the IGV curves of the modes are identical shifted replicas of each other in the band of interest. Inset: corresponding simulated intensity profiles of the modes.</w:t>
      </w:r>
    </w:p>
    <w:p w:rsidR="00FD5BFA" w:rsidRDefault="001066F0" w:rsidP="0020074D">
      <w:pPr>
        <w:pStyle w:val="ExpressBodySubsequentParagraph"/>
        <w:ind w:firstLine="0"/>
      </w:pPr>
      <w:r>
        <w:t xml:space="preserve">The operational principle of the broadband wavelength converter working across many different frequency bands and exciting various spatial modes of a multi-mode nonlinear optical </w:t>
      </w:r>
      <w:r w:rsidR="00680A13">
        <w:t>waveguide</w:t>
      </w:r>
      <w:r>
        <w:t xml:space="preserve"> is illustrated in Fig.</w:t>
      </w:r>
      <w:r w:rsidR="00FA625B">
        <w:t xml:space="preserve"> </w:t>
      </w:r>
      <w:r>
        <w:t xml:space="preserve">1. The figure shows the </w:t>
      </w:r>
      <w:r w:rsidR="00156536">
        <w:t>RIGV</w:t>
      </w:r>
      <w:r>
        <w:t xml:space="preserve"> curves of the various modes supported by the multi-mode waveguide as a function of wavelength. Phase matching is achieved when the propagation constants of the interacting waves satisfy conservation of momentum (as well as conservation of energy). This occurs when the </w:t>
      </w:r>
      <w:r w:rsidR="00C41A9E">
        <w:t xml:space="preserve">value of </w:t>
      </w:r>
      <w:r>
        <w:t xml:space="preserve">IGVs of the various modes evaluated at the average wavelength of the waves in the same mode (pump-signal </w:t>
      </w:r>
      <w:r w:rsidR="00C41A9E">
        <w:t>and</w:t>
      </w:r>
      <w:r>
        <w:t xml:space="preserve"> pump-idler pairs in this instance) are equal [7-8]. For example, for the BS process, which is the one illustrated in the figure, Idler 2 is generated in mode 2 through mixing with pump P2 in the same mode</w:t>
      </w:r>
      <w:r w:rsidR="00C41A9E">
        <w:t xml:space="preserve"> </w:t>
      </w:r>
      <w:r>
        <w:t>and the signal-pump pair (Signal</w:t>
      </w:r>
      <w:r w:rsidR="00680A13">
        <w:t xml:space="preserve"> </w:t>
      </w:r>
      <w:r w:rsidR="00072561">
        <w:t>1 – P1) in mode 1. Its</w:t>
      </w:r>
      <w:r>
        <w:t xml:space="preserve"> wavelength</w:t>
      </w:r>
      <w:r w:rsidR="00072561">
        <w:t>, given by the energy conservation,</w:t>
      </w:r>
      <w:r>
        <w:t xml:space="preserve"> is such that the</w:t>
      </w:r>
      <w:r w:rsidR="00072561">
        <w:t xml:space="preserve"> IGV of mode 2, evaluated at the</w:t>
      </w:r>
      <w:r>
        <w:t xml:space="preserve"> average wavelength of Idler 2 and P2</w:t>
      </w:r>
      <w:r w:rsidR="00072561">
        <w:t>,</w:t>
      </w:r>
      <w:r>
        <w:t xml:space="preserve"> lies on the</w:t>
      </w:r>
      <w:r w:rsidR="00072561">
        <w:t xml:space="preserve"> very same</w:t>
      </w:r>
      <w:r>
        <w:t xml:space="preserve"> horizontal line </w:t>
      </w:r>
      <w:r w:rsidR="00072561">
        <w:t>that intercept</w:t>
      </w:r>
      <w:r>
        <w:t xml:space="preserve"> the </w:t>
      </w:r>
      <w:r w:rsidR="00072561">
        <w:t xml:space="preserve">IGV of mode 1 at </w:t>
      </w:r>
      <w:r>
        <w:t xml:space="preserve">average </w:t>
      </w:r>
      <w:r w:rsidR="00072561">
        <w:t xml:space="preserve">wavelength </w:t>
      </w:r>
      <w:r>
        <w:t>between Signal 1 and P1</w:t>
      </w:r>
      <w:r w:rsidR="00072561">
        <w:t>. This is</w:t>
      </w:r>
      <w:r>
        <w:t xml:space="preserve"> illustrated by the red dotted line in Fig.</w:t>
      </w:r>
      <w:r w:rsidR="00FA625B">
        <w:t xml:space="preserve"> </w:t>
      </w:r>
      <w:r>
        <w:t>1. Then, by exciting the appropriate spatial mode N of the fiber, it is possible to convert the signal to any</w:t>
      </w:r>
      <w:r w:rsidR="00875149">
        <w:t xml:space="preserve"> </w:t>
      </w:r>
      <w:r w:rsidR="00A60119">
        <w:t>discrete</w:t>
      </w:r>
      <w:r>
        <w:t xml:space="preserve"> (far away) frequency band. Furthermore, for the BS process, broadband operation is guaranteed if the IGV curves of the modes are engineered such that they are identical but shifted replicas of each other in the bands of interest. Indeed,</w:t>
      </w:r>
      <w:r w:rsidR="00875149">
        <w:t xml:space="preserve"> as shown in Fig.</w:t>
      </w:r>
      <w:r w:rsidR="00FA625B">
        <w:t xml:space="preserve"> </w:t>
      </w:r>
      <w:r w:rsidR="00875149">
        <w:t>1,</w:t>
      </w:r>
      <w:r>
        <w:t xml:space="preserve"> as the signal wavelength moves to longer wavelengths, the idler </w:t>
      </w:r>
    </w:p>
    <w:p w:rsidR="00FD5BFA" w:rsidRDefault="00FD5BFA" w:rsidP="0020074D">
      <w:pPr>
        <w:pStyle w:val="ExpressBodySubsequentParagraph"/>
        <w:ind w:firstLine="0"/>
      </w:pPr>
    </w:p>
    <w:p w:rsidR="00FD5BFA" w:rsidRDefault="00FD5BFA" w:rsidP="00FD5BFA">
      <w:pPr>
        <w:pStyle w:val="ExpressFigure"/>
      </w:pPr>
      <w:r>
        <w:rPr>
          <w:noProof/>
          <w:lang w:val="en-GB" w:eastAsia="en-GB"/>
        </w:rPr>
        <w:lastRenderedPageBreak/>
        <w:drawing>
          <wp:inline distT="0" distB="0" distL="0" distR="0" wp14:anchorId="0A131290" wp14:editId="18BBD623">
            <wp:extent cx="4791710" cy="14177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l="1299" t="2519"/>
                    <a:stretch>
                      <a:fillRect/>
                    </a:stretch>
                  </pic:blipFill>
                  <pic:spPr bwMode="auto">
                    <a:xfrm>
                      <a:off x="0" y="0"/>
                      <a:ext cx="4791710" cy="1417702"/>
                    </a:xfrm>
                    <a:prstGeom prst="rect">
                      <a:avLst/>
                    </a:prstGeom>
                    <a:noFill/>
                    <a:ln>
                      <a:noFill/>
                    </a:ln>
                  </pic:spPr>
                </pic:pic>
              </a:graphicData>
            </a:graphic>
          </wp:inline>
        </w:drawing>
      </w:r>
    </w:p>
    <w:p w:rsidR="00FD5BFA" w:rsidRDefault="00FD5BFA" w:rsidP="00FD5BFA">
      <w:pPr>
        <w:pStyle w:val="ExpressFigureCaptionShort"/>
        <w:ind w:left="726" w:right="726"/>
        <w:jc w:val="both"/>
      </w:pPr>
      <w:r w:rsidRPr="001066F0">
        <w:t>Fig.</w:t>
      </w:r>
      <w:r>
        <w:rPr>
          <w:rFonts w:eastAsia="PMingLiU" w:hint="eastAsia"/>
          <w:lang w:eastAsia="zh-TW"/>
        </w:rPr>
        <w:t xml:space="preserve"> </w:t>
      </w:r>
      <w:r w:rsidRPr="001066F0">
        <w:t>2</w:t>
      </w:r>
      <w:r>
        <w:t>.</w:t>
      </w:r>
      <w:r w:rsidRPr="001066F0">
        <w:t xml:space="preserve"> a) Experimental set-up of the </w:t>
      </w:r>
      <w:r>
        <w:t>inter-modal four-wave mixing</w:t>
      </w:r>
      <w:r w:rsidRPr="001066F0">
        <w:t xml:space="preserve"> based mode and wavelength converter using a three-mode EC-FMF, supporting the LP</w:t>
      </w:r>
      <w:r w:rsidRPr="0004774C">
        <w:rPr>
          <w:vertAlign w:val="subscript"/>
        </w:rPr>
        <w:t>01</w:t>
      </w:r>
      <w:r w:rsidRPr="001066F0">
        <w:t xml:space="preserve"> and LP</w:t>
      </w:r>
      <w:r w:rsidRPr="0004774C">
        <w:rPr>
          <w:vertAlign w:val="subscript"/>
        </w:rPr>
        <w:t>11</w:t>
      </w:r>
      <w:r w:rsidRPr="001066F0">
        <w:t xml:space="preserve"> mode groups. b) Corresponding measured relative IGV curves of the s</w:t>
      </w:r>
      <w:r>
        <w:t>upported LP</w:t>
      </w:r>
      <w:r w:rsidRPr="0004774C">
        <w:rPr>
          <w:vertAlign w:val="subscript"/>
        </w:rPr>
        <w:t>01</w:t>
      </w:r>
      <w:r>
        <w:t>, LP</w:t>
      </w:r>
      <w:r w:rsidRPr="0004774C">
        <w:rPr>
          <w:vertAlign w:val="subscript"/>
        </w:rPr>
        <w:t>11a</w:t>
      </w:r>
      <w:r>
        <w:t xml:space="preserve"> and LP</w:t>
      </w:r>
      <w:r w:rsidRPr="0004774C">
        <w:rPr>
          <w:vertAlign w:val="subscript"/>
        </w:rPr>
        <w:t>11b</w:t>
      </w:r>
      <w:r>
        <w:t xml:space="preserve"> </w:t>
      </w:r>
      <w:r w:rsidRPr="001066F0">
        <w:t>with their measured intensity profil</w:t>
      </w:r>
      <w:r>
        <w:t>es</w:t>
      </w:r>
      <w:r w:rsidRPr="001066F0">
        <w:t>.</w:t>
      </w:r>
    </w:p>
    <w:p w:rsidR="001066F0" w:rsidRDefault="001066F0" w:rsidP="0020074D">
      <w:pPr>
        <w:pStyle w:val="ExpressBodySubsequentParagraph"/>
        <w:ind w:firstLine="0"/>
      </w:pPr>
      <w:r>
        <w:t>wavelength will change accordingly, conserving both the overall energy and the momentum</w:t>
      </w:r>
      <w:r w:rsidR="00875149">
        <w:t>, only if the</w:t>
      </w:r>
      <w:r w:rsidR="00A60119">
        <w:t xml:space="preserve"> slope of their</w:t>
      </w:r>
      <w:r w:rsidR="00875149">
        <w:t xml:space="preserve"> IGV curves </w:t>
      </w:r>
      <w:r w:rsidR="00A60119">
        <w:t>is the same</w:t>
      </w:r>
      <w:r>
        <w:t>.</w:t>
      </w:r>
    </w:p>
    <w:p w:rsidR="0004774C" w:rsidRDefault="001066F0" w:rsidP="001066F0">
      <w:pPr>
        <w:pStyle w:val="ExpressBodySubsequentParagraph"/>
      </w:pPr>
      <w:r>
        <w:t>The inter-modal FWM-based mode and wavelength converter was demonstrated in a three-spatial-mode fiber using the expe</w:t>
      </w:r>
      <w:r w:rsidR="00FA625B">
        <w:t>rimental set-up shown in Fig. 2</w:t>
      </w:r>
      <w:r>
        <w:t>(a), where the arrangement of the pumps, signal and idlers was as outlined in Fig. 1. In order to ensure the presence of three independent modes and, thus, three well-separated IGV curves corresponding to each of the supported spatial modes, a graded index (GI) elliptical core (EC) two-spatial-mode-group fiber was used. The EC- few mode fiber (FMF) supports only the LP</w:t>
      </w:r>
      <w:r w:rsidRPr="0004774C">
        <w:rPr>
          <w:vertAlign w:val="subscript"/>
        </w:rPr>
        <w:t>01</w:t>
      </w:r>
      <w:r>
        <w:t xml:space="preserve"> and LP</w:t>
      </w:r>
      <w:r w:rsidRPr="0004774C">
        <w:rPr>
          <w:vertAlign w:val="subscript"/>
        </w:rPr>
        <w:t>11</w:t>
      </w:r>
      <w:r>
        <w:t xml:space="preserve"> mode groups, but its core ellipticity of about 10% effectively breaks the degeneracy of the LP</w:t>
      </w:r>
      <w:r w:rsidRPr="0004774C">
        <w:rPr>
          <w:vertAlign w:val="subscript"/>
        </w:rPr>
        <w:t>11</w:t>
      </w:r>
      <w:r>
        <w:t xml:space="preserve"> spatial mode (and not the polarization degeneracy of the modes), guaranteeing minimal linear coupling between the LP</w:t>
      </w:r>
      <w:r w:rsidRPr="0004774C">
        <w:rPr>
          <w:vertAlign w:val="subscript"/>
        </w:rPr>
        <w:t>11a</w:t>
      </w:r>
      <w:r>
        <w:t xml:space="preserve"> and LP</w:t>
      </w:r>
      <w:r w:rsidRPr="0004774C">
        <w:rPr>
          <w:vertAlign w:val="subscript"/>
        </w:rPr>
        <w:t>11b</w:t>
      </w:r>
      <w:r>
        <w:t xml:space="preserve"> modes and the presence of different propagation constants. Note that a circular fiber supporting a total of three spatial mode groups coul</w:t>
      </w:r>
      <w:r w:rsidR="00FA625B">
        <w:t>d have also been used. Figure 2</w:t>
      </w:r>
      <w:r>
        <w:t>(b) shows the measured relative IGV of the modes using a time of flight measurement, confirming the break in degeneracy of the LP</w:t>
      </w:r>
      <w:r w:rsidRPr="0004774C">
        <w:rPr>
          <w:vertAlign w:val="subscript"/>
        </w:rPr>
        <w:t>11</w:t>
      </w:r>
      <w:r>
        <w:t xml:space="preserve"> spatial mode. From the curves, it is possible to estimate the phase matching between any two modes of the EC-FMF. In our case, the LP</w:t>
      </w:r>
      <w:r w:rsidRPr="0004774C">
        <w:rPr>
          <w:vertAlign w:val="subscript"/>
        </w:rPr>
        <w:t>01</w:t>
      </w:r>
      <w:r>
        <w:t xml:space="preserve"> and LP</w:t>
      </w:r>
      <w:r w:rsidRPr="0004774C">
        <w:rPr>
          <w:vertAlign w:val="subscript"/>
        </w:rPr>
        <w:t>11a</w:t>
      </w:r>
      <w:r>
        <w:t xml:space="preserve"> (LP</w:t>
      </w:r>
      <w:r w:rsidRPr="0004774C">
        <w:rPr>
          <w:vertAlign w:val="subscript"/>
        </w:rPr>
        <w:t>11b</w:t>
      </w:r>
      <w:r>
        <w:t xml:space="preserve">) modes are phase matched if the waves exciting them have a wavelength separation, </w:t>
      </w:r>
      <w:r w:rsidRPr="0004774C">
        <w:rPr>
          <w:rFonts w:ascii="Symbol" w:hAnsi="Symbol"/>
        </w:rPr>
        <w:t></w:t>
      </w:r>
      <w:r w:rsidRPr="0004774C">
        <w:rPr>
          <w:rFonts w:ascii="Symbol" w:hAnsi="Symbol"/>
        </w:rPr>
        <w:t></w:t>
      </w:r>
      <w:r>
        <w:t xml:space="preserve">, of about 25 nm (40.6 nm). </w:t>
      </w:r>
    </w:p>
    <w:p w:rsidR="0086667D" w:rsidRDefault="0004774C" w:rsidP="00FD5BFA">
      <w:pPr>
        <w:pStyle w:val="ExpressBodySubsequentParagraph"/>
      </w:pPr>
      <w:r>
        <w:t xml:space="preserve">The used pumps (P1, P2 and P3) and signal (S) waves are continuous-wave tunable laser sources that are gated with a 10% duty cycle at a repetition rate of 10 MHz (not shown in </w:t>
      </w:r>
      <w:r w:rsidR="003943F8">
        <w:t>Fig.</w:t>
      </w:r>
      <w:r w:rsidR="00FA625B">
        <w:t xml:space="preserve"> </w:t>
      </w:r>
      <w:r w:rsidR="003943F8">
        <w:t xml:space="preserve">2(a)) to increase the peak power into the fiber and to increase the stimulated Brillouin scattering threshold. </w:t>
      </w:r>
      <w:r w:rsidR="008905FB" w:rsidRPr="00FA625B">
        <w:rPr>
          <w:rFonts w:eastAsia="PMingLiU"/>
          <w:lang w:eastAsia="zh-TW"/>
        </w:rPr>
        <w:t>Indeed, while several other methods of increasing the SBS threshold have been proposed in the literature [2, 18], the approach we pursued allowed us to increase the overall effective nonlinearity by a factor of 10, which is critical due to the relatively modest nonlinear coefficient of the fiber we employed (about 0.7/W/km) [13].</w:t>
      </w:r>
      <w:r w:rsidR="008905FB" w:rsidRPr="008905FB">
        <w:rPr>
          <w:rFonts w:eastAsia="PMingLiU"/>
          <w:lang w:eastAsia="zh-TW"/>
        </w:rPr>
        <w:t xml:space="preserve"> </w:t>
      </w:r>
      <w:r w:rsidR="003943F8">
        <w:t>The signal and one pump (P1) excite the LP</w:t>
      </w:r>
      <w:r w:rsidR="003943F8" w:rsidRPr="0004774C">
        <w:rPr>
          <w:vertAlign w:val="subscript"/>
        </w:rPr>
        <w:t>01</w:t>
      </w:r>
      <w:r w:rsidR="003943F8">
        <w:t xml:space="preserve"> mode, whereas a second pump (either P2 or P3) can be selectively launched into either the LP</w:t>
      </w:r>
      <w:r w:rsidR="003943F8" w:rsidRPr="0004774C">
        <w:rPr>
          <w:vertAlign w:val="subscript"/>
        </w:rPr>
        <w:t>11a</w:t>
      </w:r>
      <w:r w:rsidR="003943F8">
        <w:t xml:space="preserve"> or LP</w:t>
      </w:r>
      <w:r w:rsidR="003943F8" w:rsidRPr="0004774C">
        <w:rPr>
          <w:vertAlign w:val="subscript"/>
        </w:rPr>
        <w:t>11b</w:t>
      </w:r>
      <w:r w:rsidR="003943F8">
        <w:t xml:space="preserve"> mode by using a free-space mode-multiplexer (MMUX) based on bulk phase plates (PPs). Polarization </w:t>
      </w:r>
      <w:r w:rsidR="001066F0">
        <w:t>controllers (PCs) and a polarization beam splitter (PBS) are used to ensure that the launched waves are co-polarized at the fiber input. Two single-mode optical amplifiers (OAs) are used to achieve about 20.5 dBm average power in each pump at the input of the 1 km long EC-FMF, with a signal to P1 ratio of about -10 dB. The other key fiber properties are as follows: the optical loss is about 0.2 dB/km for all of the modes, the calculated effective areas of the LP</w:t>
      </w:r>
      <w:r w:rsidR="001066F0" w:rsidRPr="00487F2D">
        <w:rPr>
          <w:vertAlign w:val="subscript"/>
        </w:rPr>
        <w:t>01</w:t>
      </w:r>
      <w:r w:rsidR="001066F0">
        <w:t xml:space="preserve"> and the two LP</w:t>
      </w:r>
      <w:r w:rsidR="001066F0" w:rsidRPr="00487F2D">
        <w:rPr>
          <w:vertAlign w:val="subscript"/>
        </w:rPr>
        <w:t>11</w:t>
      </w:r>
      <w:r w:rsidR="001066F0">
        <w:t xml:space="preserve"> modes are 89 </w:t>
      </w:r>
      <w:r w:rsidR="001066F0" w:rsidRPr="0004774C">
        <w:rPr>
          <w:rFonts w:ascii="Symbol" w:hAnsi="Symbol"/>
        </w:rPr>
        <w:t></w:t>
      </w:r>
      <w:r w:rsidR="001066F0">
        <w:t>m</w:t>
      </w:r>
      <w:r w:rsidR="001066F0" w:rsidRPr="0004774C">
        <w:rPr>
          <w:vertAlign w:val="superscript"/>
        </w:rPr>
        <w:t>2</w:t>
      </w:r>
      <w:r w:rsidR="001066F0">
        <w:t xml:space="preserve"> and 125 </w:t>
      </w:r>
      <w:r w:rsidR="001066F0" w:rsidRPr="0004774C">
        <w:rPr>
          <w:rFonts w:ascii="Symbol" w:hAnsi="Symbol"/>
        </w:rPr>
        <w:t></w:t>
      </w:r>
      <w:r w:rsidR="001066F0">
        <w:t>m</w:t>
      </w:r>
      <w:r w:rsidR="001066F0" w:rsidRPr="0004774C">
        <w:rPr>
          <w:vertAlign w:val="superscript"/>
        </w:rPr>
        <w:t>2</w:t>
      </w:r>
      <w:r w:rsidR="001066F0">
        <w:t xml:space="preserve"> at 1550 nm respectively, and the chromatic dispersions estimated from Fig. 2(b) are D</w:t>
      </w:r>
      <w:r w:rsidR="001066F0" w:rsidRPr="0004774C">
        <w:rPr>
          <w:vertAlign w:val="subscript"/>
        </w:rPr>
        <w:t>(01)</w:t>
      </w:r>
      <w:r w:rsidR="001066F0">
        <w:t xml:space="preserve"> = 18.5 ps/(km nm), D</w:t>
      </w:r>
      <w:r w:rsidR="001066F0" w:rsidRPr="0004774C">
        <w:rPr>
          <w:vertAlign w:val="subscript"/>
        </w:rPr>
        <w:t>(11a)</w:t>
      </w:r>
      <w:r w:rsidR="001066F0">
        <w:t xml:space="preserve"> = 18 ps/(km nm) and D</w:t>
      </w:r>
      <w:r w:rsidR="001066F0" w:rsidRPr="0004774C">
        <w:rPr>
          <w:vertAlign w:val="subscript"/>
        </w:rPr>
        <w:t>(11b)</w:t>
      </w:r>
      <w:r w:rsidR="001066F0">
        <w:t xml:space="preserve"> = 16.3 ps/(km nm) with a dispersion slope of about 0.066 ps/nm</w:t>
      </w:r>
      <w:r w:rsidR="001066F0" w:rsidRPr="0004774C">
        <w:rPr>
          <w:vertAlign w:val="superscript"/>
        </w:rPr>
        <w:t>2</w:t>
      </w:r>
      <w:r w:rsidR="001066F0">
        <w:t>/km at 1550 nm for all modes. High precision fiber rotators (FR</w:t>
      </w:r>
      <w:r w:rsidR="00A60119">
        <w:t>s</w:t>
      </w:r>
      <w:r w:rsidR="001066F0">
        <w:t>) are used at the input/output end of the FMF to align the angular position of the elliptic fiber core with the input LP</w:t>
      </w:r>
      <w:r w:rsidR="001066F0" w:rsidRPr="0004774C">
        <w:rPr>
          <w:vertAlign w:val="subscript"/>
        </w:rPr>
        <w:t>11a</w:t>
      </w:r>
      <w:r w:rsidR="001066F0">
        <w:t xml:space="preserve"> (LP</w:t>
      </w:r>
      <w:r w:rsidR="001066F0" w:rsidRPr="0004774C">
        <w:rPr>
          <w:vertAlign w:val="subscript"/>
        </w:rPr>
        <w:t>11b</w:t>
      </w:r>
      <w:r w:rsidR="001066F0">
        <w:t>) phase plates, enabling high modal purity excitation of about 20 dB  and distributed crosstalk among any two spatial modes of</w:t>
      </w:r>
      <w:r w:rsidR="00B9515D">
        <w:t xml:space="preserve"> better than 27 dB [19</w:t>
      </w:r>
      <w:r w:rsidR="001066F0">
        <w:t>]. At the EC-FMF output, we extract the different spatial modes using a free-space mode-demultiplexer (MDMUX) based again on bulk PPs, and launch each demultiplexed mode into separate single-mode fibers. An optical switch enables the selection and independent measurement of each of the MDMUX output ports on an optical spectrum analyzer (OSA)</w:t>
      </w:r>
      <w:r w:rsidR="0086667D" w:rsidRPr="00A03147">
        <w:t xml:space="preserve">. </w:t>
      </w:r>
    </w:p>
    <w:p w:rsidR="0004774C" w:rsidRPr="0004774C" w:rsidRDefault="00487F2D" w:rsidP="00582322">
      <w:pPr>
        <w:pStyle w:val="ExpressSectionHeader1"/>
      </w:pPr>
      <w:r>
        <w:t>E</w:t>
      </w:r>
      <w:r w:rsidR="0004774C" w:rsidRPr="0004774C">
        <w:t xml:space="preserve">xperimental </w:t>
      </w:r>
      <w:r w:rsidR="00FA625B">
        <w:t>r</w:t>
      </w:r>
      <w:r w:rsidR="00E03ADC">
        <w:t>esults</w:t>
      </w:r>
    </w:p>
    <w:p w:rsidR="0004774C" w:rsidRDefault="005F5586" w:rsidP="0004774C">
      <w:pPr>
        <w:pStyle w:val="ExpressFigure"/>
      </w:pPr>
      <w:r>
        <w:rPr>
          <w:noProof/>
          <w:lang w:val="en-GB" w:eastAsia="en-GB"/>
        </w:rPr>
        <w:drawing>
          <wp:inline distT="0" distB="0" distL="0" distR="0">
            <wp:extent cx="4586400" cy="1328400"/>
            <wp:effectExtent l="0" t="0" r="508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png"/>
                    <pic:cNvPicPr/>
                  </pic:nvPicPr>
                  <pic:blipFill rotWithShape="1">
                    <a:blip r:embed="rId9">
                      <a:extLst>
                        <a:ext uri="{28A0092B-C50C-407E-A947-70E740481C1C}">
                          <a14:useLocalDpi xmlns:a14="http://schemas.microsoft.com/office/drawing/2010/main" val="0"/>
                        </a:ext>
                      </a:extLst>
                    </a:blip>
                    <a:srcRect r="22172" b="59882"/>
                    <a:stretch/>
                  </pic:blipFill>
                  <pic:spPr bwMode="auto">
                    <a:xfrm>
                      <a:off x="0" y="0"/>
                      <a:ext cx="4586400" cy="1328400"/>
                    </a:xfrm>
                    <a:prstGeom prst="rect">
                      <a:avLst/>
                    </a:prstGeom>
                    <a:ln>
                      <a:noFill/>
                    </a:ln>
                    <a:extLst>
                      <a:ext uri="{53640926-AAD7-44D8-BBD7-CCE9431645EC}">
                        <a14:shadowObscured xmlns:a14="http://schemas.microsoft.com/office/drawing/2010/main"/>
                      </a:ext>
                    </a:extLst>
                  </pic:spPr>
                </pic:pic>
              </a:graphicData>
            </a:graphic>
          </wp:inline>
        </w:drawing>
      </w:r>
    </w:p>
    <w:p w:rsidR="0020074D" w:rsidRDefault="0020074D" w:rsidP="0020074D">
      <w:pPr>
        <w:pStyle w:val="ExpressFigureCaptionShort"/>
        <w:ind w:left="726" w:right="726"/>
        <w:jc w:val="both"/>
      </w:pPr>
      <w:r w:rsidRPr="0004774C">
        <w:t>Fig.</w:t>
      </w:r>
      <w:r>
        <w:rPr>
          <w:rFonts w:eastAsia="PMingLiU" w:hint="eastAsia"/>
          <w:lang w:eastAsia="zh-TW"/>
        </w:rPr>
        <w:t xml:space="preserve"> </w:t>
      </w:r>
      <w:r w:rsidRPr="0004774C">
        <w:t>3</w:t>
      </w:r>
      <w:r>
        <w:t>.</w:t>
      </w:r>
      <w:r w:rsidRPr="0004774C">
        <w:t xml:space="preserve"> MDMUX spectra of LP</w:t>
      </w:r>
      <w:r w:rsidRPr="00487F2D">
        <w:rPr>
          <w:vertAlign w:val="subscript"/>
        </w:rPr>
        <w:t>01</w:t>
      </w:r>
      <w:r w:rsidRPr="0004774C">
        <w:t xml:space="preserve"> port (a) and LP</w:t>
      </w:r>
      <w:r w:rsidRPr="00487F2D">
        <w:rPr>
          <w:vertAlign w:val="subscript"/>
        </w:rPr>
        <w:t>11a</w:t>
      </w:r>
      <w:r w:rsidRPr="0004774C">
        <w:t xml:space="preserve"> port (b) for </w:t>
      </w:r>
      <w:r w:rsidRPr="00487F2D">
        <w:rPr>
          <w:rFonts w:ascii="Symbol" w:hAnsi="Symbol"/>
        </w:rPr>
        <w:t></w:t>
      </w:r>
      <w:r w:rsidRPr="00487F2D">
        <w:rPr>
          <w:vertAlign w:val="subscript"/>
        </w:rPr>
        <w:t>P1</w:t>
      </w:r>
      <w:r w:rsidRPr="0004774C">
        <w:t xml:space="preserve"> and </w:t>
      </w:r>
      <w:r w:rsidRPr="00487F2D">
        <w:rPr>
          <w:rFonts w:ascii="Symbol" w:hAnsi="Symbol"/>
        </w:rPr>
        <w:t></w:t>
      </w:r>
      <w:r w:rsidRPr="00487F2D">
        <w:rPr>
          <w:vertAlign w:val="subscript"/>
        </w:rPr>
        <w:t>S</w:t>
      </w:r>
      <w:r w:rsidRPr="0004774C">
        <w:t xml:space="preserve"> equal to 1537.4 nm or 1537.9 nm, respectively, and </w:t>
      </w:r>
      <w:r w:rsidRPr="00487F2D">
        <w:rPr>
          <w:rFonts w:ascii="Symbol" w:hAnsi="Symbol"/>
        </w:rPr>
        <w:t></w:t>
      </w:r>
      <w:r w:rsidRPr="00487F2D">
        <w:rPr>
          <w:vertAlign w:val="subscript"/>
        </w:rPr>
        <w:t>P2</w:t>
      </w:r>
      <w:r w:rsidRPr="0004774C">
        <w:t xml:space="preserve"> equal to 1557.3 nm, 1562.4 nm, 1567.13 nm, and 1578 nm, respectively, when P1 and S excite the LP</w:t>
      </w:r>
      <w:r w:rsidRPr="00487F2D">
        <w:rPr>
          <w:vertAlign w:val="subscript"/>
        </w:rPr>
        <w:t>01</w:t>
      </w:r>
      <w:r w:rsidRPr="0004774C">
        <w:t xml:space="preserve"> mode of the fibe</w:t>
      </w:r>
      <w:r>
        <w:t>r and P2 excites the LP</w:t>
      </w:r>
      <w:r w:rsidRPr="00487F2D">
        <w:rPr>
          <w:vertAlign w:val="subscript"/>
        </w:rPr>
        <w:t>11a</w:t>
      </w:r>
      <w:r>
        <w:t xml:space="preserve"> mode</w:t>
      </w:r>
      <w:r w:rsidRPr="001066F0">
        <w:t>.</w:t>
      </w:r>
    </w:p>
    <w:p w:rsidR="00FD5BFA" w:rsidRDefault="0004774C" w:rsidP="00FD5BFA">
      <w:pPr>
        <w:pStyle w:val="ExpressFigure"/>
        <w:jc w:val="both"/>
        <w:rPr>
          <w:sz w:val="20"/>
        </w:rPr>
      </w:pPr>
      <w:r w:rsidRPr="0004774C">
        <w:rPr>
          <w:sz w:val="20"/>
        </w:rPr>
        <w:t>Figure 3 shows some typical spectra obtained on the LP</w:t>
      </w:r>
      <w:r w:rsidRPr="0004774C">
        <w:rPr>
          <w:sz w:val="20"/>
          <w:vertAlign w:val="subscript"/>
        </w:rPr>
        <w:t>01</w:t>
      </w:r>
      <w:r w:rsidRPr="0004774C">
        <w:rPr>
          <w:sz w:val="20"/>
        </w:rPr>
        <w:t xml:space="preserve"> (Fig.</w:t>
      </w:r>
      <w:r w:rsidR="00FA625B">
        <w:rPr>
          <w:sz w:val="20"/>
        </w:rPr>
        <w:t xml:space="preserve"> 3</w:t>
      </w:r>
      <w:r w:rsidRPr="0004774C">
        <w:rPr>
          <w:sz w:val="20"/>
        </w:rPr>
        <w:t>(a)) and LP</w:t>
      </w:r>
      <w:r w:rsidRPr="0004774C">
        <w:rPr>
          <w:sz w:val="20"/>
          <w:vertAlign w:val="subscript"/>
        </w:rPr>
        <w:t>11a</w:t>
      </w:r>
      <w:r w:rsidRPr="0004774C">
        <w:rPr>
          <w:sz w:val="20"/>
        </w:rPr>
        <w:t xml:space="preserve"> (Fig.</w:t>
      </w:r>
      <w:r w:rsidR="00FA625B">
        <w:rPr>
          <w:sz w:val="20"/>
        </w:rPr>
        <w:t xml:space="preserve"> 3</w:t>
      </w:r>
      <w:r w:rsidRPr="0004774C">
        <w:rPr>
          <w:sz w:val="20"/>
        </w:rPr>
        <w:t>(b)) output ports, when P1 and S are launched in the LP</w:t>
      </w:r>
      <w:r w:rsidRPr="0004774C">
        <w:rPr>
          <w:sz w:val="20"/>
          <w:vertAlign w:val="subscript"/>
        </w:rPr>
        <w:t xml:space="preserve">01 </w:t>
      </w:r>
      <w:r w:rsidRPr="0004774C">
        <w:rPr>
          <w:sz w:val="20"/>
        </w:rPr>
        <w:t>mode of the fiber and P2 in the LP</w:t>
      </w:r>
      <w:r w:rsidRPr="0004774C">
        <w:rPr>
          <w:sz w:val="20"/>
          <w:vertAlign w:val="subscript"/>
        </w:rPr>
        <w:t>11a</w:t>
      </w:r>
      <w:r w:rsidRPr="0004774C">
        <w:rPr>
          <w:sz w:val="20"/>
        </w:rPr>
        <w:t xml:space="preserve"> mode. For these measurements, </w:t>
      </w:r>
      <w:r w:rsidRPr="0004774C">
        <w:rPr>
          <w:rFonts w:ascii="Symbol" w:hAnsi="Symbol"/>
          <w:sz w:val="20"/>
        </w:rPr>
        <w:t></w:t>
      </w:r>
      <w:r w:rsidRPr="0004774C">
        <w:rPr>
          <w:sz w:val="20"/>
          <w:vertAlign w:val="subscript"/>
        </w:rPr>
        <w:t>P1</w:t>
      </w:r>
      <w:r w:rsidRPr="0004774C">
        <w:rPr>
          <w:sz w:val="20"/>
        </w:rPr>
        <w:t xml:space="preserve"> and </w:t>
      </w:r>
      <w:r w:rsidRPr="0004774C">
        <w:rPr>
          <w:rFonts w:ascii="Symbol" w:hAnsi="Symbol"/>
          <w:sz w:val="20"/>
        </w:rPr>
        <w:t></w:t>
      </w:r>
      <w:r w:rsidRPr="0004774C">
        <w:rPr>
          <w:sz w:val="20"/>
          <w:vertAlign w:val="subscript"/>
        </w:rPr>
        <w:t xml:space="preserve">S </w:t>
      </w:r>
      <w:r w:rsidRPr="0004774C">
        <w:rPr>
          <w:sz w:val="20"/>
        </w:rPr>
        <w:t xml:space="preserve">are set to 1537.4 nm and 1537.9 nm, respectively, and </w:t>
      </w:r>
      <w:r w:rsidRPr="0004774C">
        <w:rPr>
          <w:rFonts w:ascii="Symbol" w:hAnsi="Symbol"/>
          <w:sz w:val="20"/>
        </w:rPr>
        <w:t></w:t>
      </w:r>
      <w:r w:rsidRPr="0004774C">
        <w:rPr>
          <w:sz w:val="20"/>
          <w:vertAlign w:val="subscript"/>
        </w:rPr>
        <w:t>P2</w:t>
      </w:r>
      <w:r w:rsidRPr="0004774C">
        <w:rPr>
          <w:sz w:val="20"/>
        </w:rPr>
        <w:t xml:space="preserve"> is varied among 1557.3 nm, 1562.4 nm, 1567.13 nm or 1578 nm, respectively. All the spectra are normalized to the LP</w:t>
      </w:r>
      <w:r w:rsidRPr="00C713DC">
        <w:rPr>
          <w:sz w:val="20"/>
          <w:vertAlign w:val="subscript"/>
        </w:rPr>
        <w:t>01</w:t>
      </w:r>
      <w:r w:rsidRPr="0004774C">
        <w:rPr>
          <w:sz w:val="20"/>
        </w:rPr>
        <w:t xml:space="preserve"> and LP</w:t>
      </w:r>
      <w:r w:rsidRPr="00C713DC">
        <w:rPr>
          <w:sz w:val="20"/>
          <w:vertAlign w:val="subscript"/>
        </w:rPr>
        <w:t>11</w:t>
      </w:r>
      <w:r w:rsidRPr="0004774C">
        <w:rPr>
          <w:sz w:val="20"/>
        </w:rPr>
        <w:t xml:space="preserve"> pump output powers (assumed to be equal due to their similar modal losses and neglecting any pump depletion effects) in each graph, respectively. From the spectral </w:t>
      </w:r>
      <w:r w:rsidR="00487F2D" w:rsidRPr="0004774C">
        <w:rPr>
          <w:sz w:val="20"/>
        </w:rPr>
        <w:t>traces,</w:t>
      </w:r>
      <w:r w:rsidRPr="0004774C">
        <w:rPr>
          <w:sz w:val="20"/>
        </w:rPr>
        <w:t xml:space="preserve"> we observe that each port of the MDMUX extinguishes the other mode (labelled as leakage in the corresponding figures) with </w:t>
      </w:r>
      <w:r w:rsidR="00A60119" w:rsidRPr="0004774C">
        <w:rPr>
          <w:sz w:val="20"/>
        </w:rPr>
        <w:t>efficiency</w:t>
      </w:r>
      <w:r w:rsidRPr="0004774C">
        <w:rPr>
          <w:sz w:val="20"/>
        </w:rPr>
        <w:t xml:space="preserve"> betw</w:t>
      </w:r>
      <w:r w:rsidR="00753DFB">
        <w:rPr>
          <w:sz w:val="20"/>
        </w:rPr>
        <w:t>een -15 dB and -30 dB. Figure 3</w:t>
      </w:r>
      <w:r w:rsidRPr="0004774C">
        <w:rPr>
          <w:sz w:val="20"/>
        </w:rPr>
        <w:t xml:space="preserve">(a) highlights the generation of the intra-modal FWM idler (labelled as MI on the graph), together with the (cascaded) higher order FWM idlers in the fundamental mode. The conversion efficiency (CE), defined as the ratio between the idler and the output signal powers, of the MI idler was about -2 dB in all reported spectra. It is worth noting that if the dispersion of each individual mode was engineered to be normal, this intra-modal FWM would be drastically suppressed with only the inter-modal FWM phase matched processes occurring. On the other hand, Fig. 3(b) shows that efficient inter-modal FWM idlers (labelled </w:t>
      </w:r>
      <w:r w:rsidR="00753DFB" w:rsidRPr="0004774C">
        <w:rPr>
          <w:sz w:val="20"/>
        </w:rPr>
        <w:t>as BS and PC idlers in the figure) can be achieved in the LP</w:t>
      </w:r>
      <w:r w:rsidR="00753DFB" w:rsidRPr="00C713DC">
        <w:rPr>
          <w:sz w:val="20"/>
          <w:vertAlign w:val="subscript"/>
        </w:rPr>
        <w:t>11a</w:t>
      </w:r>
      <w:r w:rsidR="00753DFB" w:rsidRPr="0004774C">
        <w:rPr>
          <w:sz w:val="20"/>
        </w:rPr>
        <w:t xml:space="preserve"> mode only when </w:t>
      </w:r>
      <w:r w:rsidR="00753DFB" w:rsidRPr="00487F2D">
        <w:rPr>
          <w:rFonts w:ascii="Symbol" w:hAnsi="Symbol"/>
          <w:sz w:val="20"/>
        </w:rPr>
        <w:t></w:t>
      </w:r>
      <w:r w:rsidR="00753DFB" w:rsidRPr="00487F2D">
        <w:rPr>
          <w:sz w:val="20"/>
          <w:vertAlign w:val="subscript"/>
        </w:rPr>
        <w:t>P2</w:t>
      </w:r>
      <w:r w:rsidR="00753DFB" w:rsidRPr="0004774C">
        <w:rPr>
          <w:sz w:val="20"/>
        </w:rPr>
        <w:t xml:space="preserve"> is set to 1562.4 nm (i.e. </w:t>
      </w:r>
      <w:r w:rsidR="00753DFB" w:rsidRPr="00487F2D">
        <w:rPr>
          <w:rFonts w:ascii="Symbol" w:hAnsi="Symbol"/>
          <w:sz w:val="20"/>
        </w:rPr>
        <w:t></w:t>
      </w:r>
      <w:r w:rsidR="00753DFB" w:rsidRPr="00487F2D">
        <w:rPr>
          <w:sz w:val="20"/>
          <w:vertAlign w:val="subscript"/>
        </w:rPr>
        <w:t>P2</w:t>
      </w:r>
      <w:r w:rsidR="00753DFB" w:rsidRPr="0004774C">
        <w:rPr>
          <w:sz w:val="20"/>
        </w:rPr>
        <w:t xml:space="preserve"> -</w:t>
      </w:r>
      <w:r w:rsidR="00753DFB" w:rsidRPr="00487F2D">
        <w:rPr>
          <w:rFonts w:ascii="Symbol" w:hAnsi="Symbol"/>
          <w:sz w:val="20"/>
        </w:rPr>
        <w:t></w:t>
      </w:r>
      <w:r w:rsidR="00753DFB" w:rsidRPr="00487F2D">
        <w:rPr>
          <w:rFonts w:ascii="Symbol" w:hAnsi="Symbol"/>
          <w:sz w:val="20"/>
        </w:rPr>
        <w:t></w:t>
      </w:r>
      <w:r w:rsidR="00753DFB" w:rsidRPr="00487F2D">
        <w:rPr>
          <w:sz w:val="20"/>
          <w:vertAlign w:val="subscript"/>
        </w:rPr>
        <w:t>P1</w:t>
      </w:r>
      <w:r w:rsidR="00753DFB" w:rsidRPr="0004774C">
        <w:rPr>
          <w:sz w:val="20"/>
        </w:rPr>
        <w:t xml:space="preserve"> =</w:t>
      </w:r>
      <w:r w:rsidR="00753DFB" w:rsidRPr="00487F2D">
        <w:rPr>
          <w:rFonts w:ascii="Symbol" w:hAnsi="Symbol"/>
          <w:sz w:val="20"/>
        </w:rPr>
        <w:t></w:t>
      </w:r>
      <w:r w:rsidR="00753DFB" w:rsidRPr="00487F2D">
        <w:rPr>
          <w:rFonts w:ascii="Symbol" w:hAnsi="Symbol"/>
          <w:sz w:val="20"/>
        </w:rPr>
        <w:t></w:t>
      </w:r>
      <w:r w:rsidR="00753DFB" w:rsidRPr="0004774C">
        <w:rPr>
          <w:sz w:val="20"/>
        </w:rPr>
        <w:t xml:space="preserve">~ 25 nm), pink trace, corresponding to the phase </w:t>
      </w:r>
      <w:r w:rsidR="00753DFB">
        <w:rPr>
          <w:sz w:val="20"/>
        </w:rPr>
        <w:t xml:space="preserve">matching (PM) </w:t>
      </w:r>
      <w:r w:rsidR="00753DFB" w:rsidRPr="0004774C">
        <w:rPr>
          <w:sz w:val="20"/>
        </w:rPr>
        <w:t xml:space="preserve">case as predicted by Fig. 2(b). At this pump wavelength, the inter-modal FWM PC and BS idlers can be observed symmetrically about the P2 wave with a CE of about -5 dB for both cases. Higher order intra- and inter- modal FWM idlers can also be observed in the figure. When moving away from phase matching, i.e. moving </w:t>
      </w:r>
      <w:r w:rsidR="00753DFB" w:rsidRPr="00487F2D">
        <w:rPr>
          <w:rFonts w:ascii="Symbol" w:hAnsi="Symbol"/>
          <w:sz w:val="20"/>
        </w:rPr>
        <w:t></w:t>
      </w:r>
      <w:r w:rsidR="00753DFB" w:rsidRPr="00487F2D">
        <w:rPr>
          <w:sz w:val="20"/>
          <w:vertAlign w:val="subscript"/>
        </w:rPr>
        <w:t>P2</w:t>
      </w:r>
      <w:r w:rsidR="00753DFB" w:rsidRPr="0004774C">
        <w:rPr>
          <w:sz w:val="20"/>
        </w:rPr>
        <w:t xml:space="preserve"> from 1562.4 nm while keeping </w:t>
      </w:r>
      <w:r w:rsidR="00753DFB" w:rsidRPr="00487F2D">
        <w:rPr>
          <w:rFonts w:ascii="Symbol" w:hAnsi="Symbol"/>
          <w:sz w:val="20"/>
        </w:rPr>
        <w:t></w:t>
      </w:r>
      <w:r w:rsidR="00753DFB" w:rsidRPr="00487F2D">
        <w:rPr>
          <w:sz w:val="20"/>
          <w:vertAlign w:val="subscript"/>
        </w:rPr>
        <w:t>P1</w:t>
      </w:r>
      <w:r w:rsidR="00753DFB" w:rsidRPr="0004774C">
        <w:rPr>
          <w:sz w:val="20"/>
        </w:rPr>
        <w:t xml:space="preserve"> constant, the generated </w:t>
      </w:r>
      <w:r w:rsidR="00753DFB" w:rsidRPr="0020074D">
        <w:rPr>
          <w:sz w:val="20"/>
          <w:u w:val="single"/>
        </w:rPr>
        <w:t>inter-modal</w:t>
      </w:r>
      <w:r w:rsidR="00753DFB" w:rsidRPr="0004774C">
        <w:rPr>
          <w:sz w:val="20"/>
        </w:rPr>
        <w:t xml:space="preserve"> FWM idlers decrease in power, and both their CEs are reduced to -40 dB at </w:t>
      </w:r>
      <w:r w:rsidR="00753DFB" w:rsidRPr="00487F2D">
        <w:rPr>
          <w:rFonts w:ascii="Symbol" w:hAnsi="Symbol"/>
          <w:sz w:val="20"/>
        </w:rPr>
        <w:t></w:t>
      </w:r>
      <w:r w:rsidR="00753DFB" w:rsidRPr="00487F2D">
        <w:rPr>
          <w:sz w:val="20"/>
          <w:vertAlign w:val="subscript"/>
        </w:rPr>
        <w:t>P2</w:t>
      </w:r>
      <w:r w:rsidR="00753DFB" w:rsidRPr="0004774C">
        <w:rPr>
          <w:sz w:val="20"/>
        </w:rPr>
        <w:t>=1578 nm.</w:t>
      </w:r>
      <w:r w:rsidR="00753DFB">
        <w:rPr>
          <w:sz w:val="20"/>
        </w:rPr>
        <w:t xml:space="preserve"> </w:t>
      </w:r>
      <w:r w:rsidR="00753DFB" w:rsidRPr="0004774C">
        <w:rPr>
          <w:sz w:val="20"/>
        </w:rPr>
        <w:t xml:space="preserve">The measured CEs of the </w:t>
      </w:r>
      <w:r w:rsidR="00753DFB">
        <w:rPr>
          <w:sz w:val="20"/>
        </w:rPr>
        <w:t>PC</w:t>
      </w:r>
      <w:r w:rsidR="00753DFB" w:rsidRPr="0004774C">
        <w:rPr>
          <w:sz w:val="20"/>
        </w:rPr>
        <w:t xml:space="preserve"> and the </w:t>
      </w:r>
      <w:r w:rsidR="00753DFB">
        <w:rPr>
          <w:sz w:val="20"/>
        </w:rPr>
        <w:t>BS</w:t>
      </w:r>
      <w:r w:rsidR="00753DFB" w:rsidRPr="0004774C">
        <w:rPr>
          <w:sz w:val="20"/>
        </w:rPr>
        <w:t xml:space="preserve"> processes as a function of signal wavelength for three different </w:t>
      </w:r>
      <w:r w:rsidR="00753DFB" w:rsidRPr="00487F2D">
        <w:rPr>
          <w:rFonts w:ascii="Symbol" w:hAnsi="Symbol"/>
          <w:sz w:val="20"/>
        </w:rPr>
        <w:t></w:t>
      </w:r>
      <w:r w:rsidR="00753DFB" w:rsidRPr="00487F2D">
        <w:rPr>
          <w:sz w:val="20"/>
          <w:vertAlign w:val="subscript"/>
        </w:rPr>
        <w:t>P2</w:t>
      </w:r>
      <w:r w:rsidR="00753DFB" w:rsidRPr="0004774C">
        <w:rPr>
          <w:sz w:val="20"/>
        </w:rPr>
        <w:t xml:space="preserve"> values around the phase matching condition (about ± 1 nm from phase matching) are shown in Fig.</w:t>
      </w:r>
      <w:r w:rsidR="00753DFB">
        <w:rPr>
          <w:sz w:val="20"/>
        </w:rPr>
        <w:t xml:space="preserve"> </w:t>
      </w:r>
      <w:r w:rsidR="00753DFB" w:rsidRPr="0004774C">
        <w:rPr>
          <w:sz w:val="20"/>
        </w:rPr>
        <w:t xml:space="preserve">4. For the PC case, the  6 dB bandwidth is different for the three reported cases with a maximum measured bandwidth of about 1 nm for </w:t>
      </w:r>
      <w:r w:rsidR="00753DFB" w:rsidRPr="00487F2D">
        <w:rPr>
          <w:rFonts w:ascii="Symbol" w:hAnsi="Symbol"/>
          <w:sz w:val="20"/>
        </w:rPr>
        <w:t></w:t>
      </w:r>
      <w:r w:rsidR="00753DFB" w:rsidRPr="00487F2D">
        <w:rPr>
          <w:sz w:val="20"/>
          <w:vertAlign w:val="subscript"/>
        </w:rPr>
        <w:t>P2</w:t>
      </w:r>
      <w:r w:rsidR="00753DFB" w:rsidRPr="0004774C">
        <w:rPr>
          <w:sz w:val="20"/>
        </w:rPr>
        <w:t xml:space="preserve"> = 1562.4 nm (phase matching) and a maximum</w:t>
      </w:r>
      <w:r w:rsidR="00753DFB">
        <w:rPr>
          <w:sz w:val="20"/>
        </w:rPr>
        <w:t xml:space="preserve"> </w:t>
      </w:r>
      <w:r w:rsidR="00753DFB" w:rsidRPr="005E5D89">
        <w:rPr>
          <w:sz w:val="20"/>
        </w:rPr>
        <w:t>CE of -3 dB, see blue</w:t>
      </w:r>
    </w:p>
    <w:p w:rsidR="00FD5BFA" w:rsidRDefault="00753DFB" w:rsidP="00FD5BFA">
      <w:pPr>
        <w:pStyle w:val="ExpressFigure"/>
      </w:pPr>
      <w:r w:rsidRPr="005E5D89">
        <w:rPr>
          <w:sz w:val="20"/>
        </w:rPr>
        <w:t xml:space="preserve"> </w:t>
      </w:r>
      <w:r w:rsidR="00FD5BFA">
        <w:rPr>
          <w:noProof/>
          <w:lang w:val="en-GB" w:eastAsia="en-GB"/>
        </w:rPr>
        <w:drawing>
          <wp:inline distT="0" distB="0" distL="0" distR="0" wp14:anchorId="2E865062" wp14:editId="71C685E2">
            <wp:extent cx="4418839" cy="2465222"/>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png"/>
                    <pic:cNvPicPr/>
                  </pic:nvPicPr>
                  <pic:blipFill rotWithShape="1">
                    <a:blip r:embed="rId10" cstate="print">
                      <a:extLst>
                        <a:ext uri="{28A0092B-C50C-407E-A947-70E740481C1C}">
                          <a14:useLocalDpi xmlns:a14="http://schemas.microsoft.com/office/drawing/2010/main" val="0"/>
                        </a:ext>
                      </a:extLst>
                    </a:blip>
                    <a:srcRect t="4613" r="3817"/>
                    <a:stretch/>
                  </pic:blipFill>
                  <pic:spPr bwMode="auto">
                    <a:xfrm>
                      <a:off x="0" y="0"/>
                      <a:ext cx="4418839" cy="2465222"/>
                    </a:xfrm>
                    <a:prstGeom prst="rect">
                      <a:avLst/>
                    </a:prstGeom>
                    <a:ln>
                      <a:noFill/>
                    </a:ln>
                    <a:extLst>
                      <a:ext uri="{53640926-AAD7-44D8-BBD7-CCE9431645EC}">
                        <a14:shadowObscured xmlns:a14="http://schemas.microsoft.com/office/drawing/2010/main"/>
                      </a:ext>
                    </a:extLst>
                  </pic:spPr>
                </pic:pic>
              </a:graphicData>
            </a:graphic>
          </wp:inline>
        </w:drawing>
      </w:r>
    </w:p>
    <w:p w:rsidR="00FD5BFA" w:rsidRPr="00487F2D" w:rsidRDefault="00FD5BFA" w:rsidP="00FD5BFA">
      <w:pPr>
        <w:pStyle w:val="ExpressFigureCaptionShort"/>
        <w:ind w:left="726" w:right="726"/>
        <w:jc w:val="both"/>
      </w:pPr>
      <w:r w:rsidRPr="00487F2D">
        <w:t>Fig.</w:t>
      </w:r>
      <w:r>
        <w:rPr>
          <w:rFonts w:eastAsia="PMingLiU" w:hint="eastAsia"/>
          <w:lang w:eastAsia="zh-TW"/>
        </w:rPr>
        <w:t xml:space="preserve"> </w:t>
      </w:r>
      <w:r w:rsidRPr="00487F2D">
        <w:t>4</w:t>
      </w:r>
      <w:r>
        <w:t>.</w:t>
      </w:r>
      <w:r w:rsidRPr="00487F2D">
        <w:t xml:space="preserve"> Measured ((a) and (</w:t>
      </w:r>
      <w:r>
        <w:rPr>
          <w:rFonts w:eastAsia="PMingLiU" w:hint="eastAsia"/>
          <w:lang w:eastAsia="zh-TW"/>
        </w:rPr>
        <w:t>c</w:t>
      </w:r>
      <w:r w:rsidRPr="00487F2D">
        <w:t>)) and simulated</w:t>
      </w:r>
      <w:r>
        <w:t xml:space="preserve"> (</w:t>
      </w:r>
      <w:r>
        <w:rPr>
          <w:rFonts w:eastAsia="PMingLiU" w:hint="eastAsia"/>
          <w:lang w:eastAsia="zh-TW"/>
        </w:rPr>
        <w:t>(b) and (c)</w:t>
      </w:r>
      <w:r w:rsidRPr="00487F2D">
        <w:t xml:space="preserve">) conversion efficiencies of the </w:t>
      </w:r>
      <w:r>
        <w:t>PC (top line)</w:t>
      </w:r>
      <w:r w:rsidRPr="00487F2D">
        <w:t xml:space="preserve"> and </w:t>
      </w:r>
      <w:r>
        <w:t>BS (bottom line)</w:t>
      </w:r>
      <w:r w:rsidRPr="00487F2D">
        <w:t xml:space="preserve"> processes versus Signal to Pump 1 wavelength detuning, when the other pump excites the second mode (LP</w:t>
      </w:r>
      <w:r w:rsidRPr="00487F2D">
        <w:rPr>
          <w:vertAlign w:val="subscript"/>
        </w:rPr>
        <w:t>11a</w:t>
      </w:r>
      <w:r w:rsidRPr="00487F2D">
        <w:t>) of the fiber at different wavelengt</w:t>
      </w:r>
      <w:r>
        <w:t xml:space="preserve">hs around the phase matching </w:t>
      </w:r>
      <w:r w:rsidRPr="00487F2D">
        <w:t xml:space="preserve">condition, i.e. </w:t>
      </w:r>
      <w:r w:rsidRPr="00487F2D">
        <w:rPr>
          <w:rFonts w:ascii="Symbol" w:hAnsi="Symbol"/>
        </w:rPr>
        <w:t></w:t>
      </w:r>
      <w:r w:rsidRPr="00487F2D">
        <w:rPr>
          <w:vertAlign w:val="subscript"/>
        </w:rPr>
        <w:t>P1</w:t>
      </w:r>
      <w:r w:rsidRPr="00487F2D">
        <w:t>=1537.4</w:t>
      </w:r>
      <w:r>
        <w:t xml:space="preserve"> </w:t>
      </w:r>
      <w:r w:rsidRPr="00487F2D">
        <w:t>nm, while</w:t>
      </w:r>
      <w:r w:rsidRPr="00487F2D">
        <w:rPr>
          <w:rFonts w:ascii="Symbol" w:hAnsi="Symbol"/>
        </w:rPr>
        <w:t></w:t>
      </w:r>
      <w:r w:rsidRPr="00487F2D">
        <w:rPr>
          <w:rFonts w:ascii="Symbol" w:hAnsi="Symbol"/>
        </w:rPr>
        <w:t></w:t>
      </w:r>
      <w:r w:rsidRPr="00487F2D">
        <w:rPr>
          <w:vertAlign w:val="subscript"/>
        </w:rPr>
        <w:t>P2</w:t>
      </w:r>
      <w:r w:rsidRPr="00487F2D">
        <w:t>=1561.3</w:t>
      </w:r>
      <w:r>
        <w:t xml:space="preserve"> </w:t>
      </w:r>
      <w:r w:rsidRPr="00487F2D">
        <w:t>n</w:t>
      </w:r>
      <w:r>
        <w:t xml:space="preserve">m  (-1 nm from PM), </w:t>
      </w:r>
      <w:r w:rsidRPr="00487F2D">
        <w:rPr>
          <w:rFonts w:ascii="Symbol" w:hAnsi="Symbol"/>
        </w:rPr>
        <w:t></w:t>
      </w:r>
      <w:r w:rsidRPr="00487F2D">
        <w:rPr>
          <w:vertAlign w:val="subscript"/>
        </w:rPr>
        <w:t>P2</w:t>
      </w:r>
      <w:r>
        <w:t xml:space="preserve">=1562.4 nm (at PM) and </w:t>
      </w:r>
      <w:r w:rsidRPr="00487F2D">
        <w:rPr>
          <w:rFonts w:ascii="Symbol" w:hAnsi="Symbol"/>
        </w:rPr>
        <w:t></w:t>
      </w:r>
      <w:r w:rsidRPr="00487F2D">
        <w:rPr>
          <w:vertAlign w:val="subscript"/>
        </w:rPr>
        <w:t>P2</w:t>
      </w:r>
      <w:r>
        <w:t>=1563 nm (+</w:t>
      </w:r>
      <w:r>
        <w:rPr>
          <w:rFonts w:eastAsia="PMingLiU" w:hint="eastAsia"/>
          <w:lang w:eastAsia="zh-TW"/>
        </w:rPr>
        <w:t>0.6</w:t>
      </w:r>
      <w:r>
        <w:t xml:space="preserve"> nm from PM)</w:t>
      </w:r>
      <w:r w:rsidRPr="001066F0">
        <w:t>.</w:t>
      </w:r>
    </w:p>
    <w:p w:rsidR="00FD5BFA" w:rsidRDefault="00753DFB" w:rsidP="00FD5BFA">
      <w:pPr>
        <w:jc w:val="both"/>
        <w:rPr>
          <w:sz w:val="20"/>
          <w:u w:val="single"/>
        </w:rPr>
      </w:pPr>
      <w:r w:rsidRPr="005E5D89">
        <w:rPr>
          <w:sz w:val="20"/>
        </w:rPr>
        <w:t>diamond symbols in Fig. 4(a). The CE then quickly reduces to -40 dB as the signal wavelength is detuned from the pump by 3 nm</w:t>
      </w:r>
      <w:r w:rsidRPr="00FD5BFA">
        <w:rPr>
          <w:sz w:val="20"/>
        </w:rPr>
        <w:t xml:space="preserve">, demonstrating a narrow band operation at the phase matching [13-14]. </w:t>
      </w:r>
      <w:r w:rsidR="005E5D89" w:rsidRPr="00FD5BFA">
        <w:rPr>
          <w:sz w:val="20"/>
        </w:rPr>
        <w:t>This is perfectly mirrored</w:t>
      </w:r>
      <w:r w:rsidR="005E5D89" w:rsidRPr="005E5D89">
        <w:rPr>
          <w:sz w:val="20"/>
        </w:rPr>
        <w:t xml:space="preserve"> by the simulation results obtained by solving the</w:t>
      </w:r>
      <w:r w:rsidR="003943F8">
        <w:rPr>
          <w:sz w:val="20"/>
        </w:rPr>
        <w:t xml:space="preserve"> </w:t>
      </w:r>
      <w:r w:rsidR="003943F8" w:rsidRPr="005E5D89">
        <w:rPr>
          <w:sz w:val="20"/>
        </w:rPr>
        <w:t>multi-mode generalized nonlinear Schrödinger equations (MM-GNLSEs) [7], which are reported as the inset in Fig.</w:t>
      </w:r>
      <w:r>
        <w:rPr>
          <w:sz w:val="20"/>
        </w:rPr>
        <w:t xml:space="preserve"> 4</w:t>
      </w:r>
      <w:r w:rsidR="003943F8" w:rsidRPr="005E5D89">
        <w:rPr>
          <w:sz w:val="20"/>
        </w:rPr>
        <w:t>(a). At phase matching (solid blue line) a -6 dB bandwidth</w:t>
      </w:r>
      <w:r w:rsidR="003943F8">
        <w:rPr>
          <w:sz w:val="20"/>
        </w:rPr>
        <w:t xml:space="preserve"> of</w:t>
      </w:r>
      <w:r w:rsidR="005E5D89" w:rsidRPr="005E5D89">
        <w:rPr>
          <w:sz w:val="20"/>
        </w:rPr>
        <w:t xml:space="preserve"> narrows, while at longer wavelengths of P2 (dotted pink line) we observed the presence of two separated and narrow peaks that get more and more separated as </w:t>
      </w:r>
      <w:r w:rsidR="005E5D89" w:rsidRPr="005E5D89">
        <w:rPr>
          <w:rFonts w:ascii="Symbol" w:hAnsi="Symbol"/>
          <w:sz w:val="20"/>
        </w:rPr>
        <w:t></w:t>
      </w:r>
      <w:r w:rsidR="005E5D89" w:rsidRPr="005E5D89">
        <w:rPr>
          <w:sz w:val="20"/>
          <w:vertAlign w:val="subscript"/>
        </w:rPr>
        <w:t>P2</w:t>
      </w:r>
      <w:r w:rsidR="005E5D89" w:rsidRPr="005E5D89">
        <w:rPr>
          <w:sz w:val="20"/>
        </w:rPr>
        <w:t xml:space="preserve"> increases (see also bottom left graph of Fig.</w:t>
      </w:r>
      <w:r w:rsidR="00FA625B">
        <w:rPr>
          <w:sz w:val="20"/>
        </w:rPr>
        <w:t xml:space="preserve"> </w:t>
      </w:r>
      <w:r w:rsidR="005E5D89" w:rsidRPr="005E5D89">
        <w:rPr>
          <w:sz w:val="20"/>
        </w:rPr>
        <w:t>5) [7].  For the BS case, Fig. 4(b) while a relatively narrow bandwidth of 1.3 nm is measured at -6 dB at phase matching (</w:t>
      </w:r>
      <w:r w:rsidR="005E5D89" w:rsidRPr="005E5D89">
        <w:rPr>
          <w:rFonts w:ascii="Symbol" w:hAnsi="Symbol"/>
          <w:sz w:val="20"/>
        </w:rPr>
        <w:t></w:t>
      </w:r>
      <w:r w:rsidR="005E5D89" w:rsidRPr="005E5D89">
        <w:rPr>
          <w:sz w:val="20"/>
          <w:vertAlign w:val="subscript"/>
        </w:rPr>
        <w:t>P2</w:t>
      </w:r>
      <w:r w:rsidR="005E5D89" w:rsidRPr="005E5D89">
        <w:rPr>
          <w:sz w:val="20"/>
        </w:rPr>
        <w:t xml:space="preserve"> = 1562.4 nm), it can be noted that the CE stays relatively constant to about -15 dB </w:t>
      </w:r>
      <w:r w:rsidR="00D5213F" w:rsidRPr="00D5213F">
        <w:rPr>
          <w:sz w:val="20"/>
        </w:rPr>
        <w:t>across all signal wavelen</w:t>
      </w:r>
      <w:r w:rsidR="00D5213F">
        <w:rPr>
          <w:sz w:val="20"/>
        </w:rPr>
        <w:t>gths considered (spanning 3 nm)</w:t>
      </w:r>
      <w:r w:rsidR="005E5D89" w:rsidRPr="005E5D89">
        <w:rPr>
          <w:sz w:val="20"/>
        </w:rPr>
        <w:t xml:space="preserve">. </w:t>
      </w:r>
      <w:r w:rsidR="007034F6">
        <w:rPr>
          <w:rFonts w:eastAsia="PMingLiU" w:hint="eastAsia"/>
          <w:sz w:val="20"/>
          <w:lang w:eastAsia="zh-TW"/>
        </w:rPr>
        <w:t>These s</w:t>
      </w:r>
      <w:r w:rsidR="007034F6" w:rsidRPr="005E5D89">
        <w:rPr>
          <w:sz w:val="20"/>
        </w:rPr>
        <w:t xml:space="preserve">mall </w:t>
      </w:r>
      <w:r w:rsidR="005E5D89" w:rsidRPr="005E5D89">
        <w:rPr>
          <w:rFonts w:ascii="Symbol" w:hAnsi="Symbol"/>
          <w:sz w:val="20"/>
        </w:rPr>
        <w:t></w:t>
      </w:r>
      <w:r w:rsidR="005E5D89" w:rsidRPr="005E5D89">
        <w:rPr>
          <w:sz w:val="20"/>
          <w:vertAlign w:val="subscript"/>
        </w:rPr>
        <w:t>P2</w:t>
      </w:r>
      <w:r w:rsidR="005E5D89" w:rsidRPr="005E5D89">
        <w:rPr>
          <w:sz w:val="20"/>
        </w:rPr>
        <w:t xml:space="preserve"> changes mainly affect the maximum achievable CE, while the trend of constant CEs at larger </w:t>
      </w:r>
      <w:r w:rsidR="005E5D89" w:rsidRPr="00FD5BFA">
        <w:rPr>
          <w:sz w:val="20"/>
        </w:rPr>
        <w:t>signal detunings is still observable. These results imply that precise phase matching conditions are not required (</w:t>
      </w:r>
      <w:r w:rsidR="005E5D89" w:rsidRPr="00FD5BFA">
        <w:rPr>
          <w:rFonts w:ascii="Symbol" w:hAnsi="Symbol"/>
          <w:sz w:val="20"/>
        </w:rPr>
        <w:t></w:t>
      </w:r>
      <w:r w:rsidR="005E5D89" w:rsidRPr="00FD5BFA">
        <w:rPr>
          <w:sz w:val="20"/>
          <w:vertAlign w:val="subscript"/>
        </w:rPr>
        <w:t>P2</w:t>
      </w:r>
      <w:r w:rsidR="005E5D89" w:rsidRPr="00FD5BFA">
        <w:rPr>
          <w:sz w:val="20"/>
        </w:rPr>
        <w:t xml:space="preserve"> can  </w:t>
      </w:r>
      <w:r w:rsidR="00E5005A" w:rsidRPr="00FD5BFA">
        <w:rPr>
          <w:sz w:val="20"/>
        </w:rPr>
        <w:t>span of about 1.6 nm</w:t>
      </w:r>
      <w:r w:rsidR="005E5D89" w:rsidRPr="00FD5BFA">
        <w:rPr>
          <w:sz w:val="20"/>
        </w:rPr>
        <w:t xml:space="preserve">). </w:t>
      </w:r>
      <w:r w:rsidR="00023472" w:rsidRPr="00FD5BFA">
        <w:rPr>
          <w:rFonts w:eastAsia="PMingLiU" w:hint="eastAsia"/>
          <w:sz w:val="20"/>
          <w:lang w:eastAsia="zh-TW"/>
        </w:rPr>
        <w:t>On the other hand, the s</w:t>
      </w:r>
      <w:r w:rsidR="005E5D89" w:rsidRPr="00FD5BFA">
        <w:rPr>
          <w:sz w:val="20"/>
        </w:rPr>
        <w:t>imulation results for the BS case</w:t>
      </w:r>
      <w:r w:rsidR="00023472" w:rsidRPr="00FD5BFA">
        <w:rPr>
          <w:rFonts w:eastAsia="PMingLiU" w:hint="eastAsia"/>
          <w:sz w:val="20"/>
          <w:lang w:eastAsia="zh-TW"/>
        </w:rPr>
        <w:t>,</w:t>
      </w:r>
      <w:r w:rsidR="005E5D89" w:rsidRPr="00FD5BFA">
        <w:rPr>
          <w:sz w:val="20"/>
        </w:rPr>
        <w:t xml:space="preserve"> </w:t>
      </w:r>
      <w:r w:rsidR="00D5213F" w:rsidRPr="00FD5BFA">
        <w:rPr>
          <w:sz w:val="20"/>
        </w:rPr>
        <w:t>shown in Fig. 4(d)</w:t>
      </w:r>
      <w:r w:rsidR="00023472" w:rsidRPr="00FD5BFA">
        <w:rPr>
          <w:rFonts w:eastAsia="PMingLiU" w:hint="eastAsia"/>
          <w:sz w:val="20"/>
          <w:lang w:eastAsia="zh-TW"/>
        </w:rPr>
        <w:t xml:space="preserve">, </w:t>
      </w:r>
      <w:r w:rsidR="007D6954" w:rsidRPr="00FD5BFA">
        <w:rPr>
          <w:rFonts w:eastAsia="PMingLiU"/>
          <w:sz w:val="20"/>
          <w:lang w:eastAsia="zh-TW"/>
        </w:rPr>
        <w:t xml:space="preserve">highlight </w:t>
      </w:r>
      <w:r w:rsidR="00125F45" w:rsidRPr="00FD5BFA">
        <w:rPr>
          <w:rFonts w:eastAsia="PMingLiU"/>
          <w:sz w:val="20"/>
          <w:lang w:eastAsia="zh-TW"/>
        </w:rPr>
        <w:t>the</w:t>
      </w:r>
      <w:r w:rsidR="007D6954" w:rsidRPr="00FD5BFA">
        <w:rPr>
          <w:rFonts w:eastAsia="PMingLiU"/>
          <w:sz w:val="20"/>
          <w:lang w:eastAsia="zh-TW"/>
        </w:rPr>
        <w:t xml:space="preserve"> </w:t>
      </w:r>
      <w:r w:rsidR="00D5213F" w:rsidRPr="00FD5BFA">
        <w:rPr>
          <w:rFonts w:eastAsia="PMingLiU"/>
          <w:sz w:val="20"/>
          <w:lang w:eastAsia="zh-TW"/>
        </w:rPr>
        <w:t xml:space="preserve">relatively </w:t>
      </w:r>
      <w:r w:rsidR="007D6954" w:rsidRPr="00FD5BFA">
        <w:rPr>
          <w:rFonts w:eastAsia="PMingLiU"/>
          <w:sz w:val="20"/>
          <w:lang w:eastAsia="zh-TW"/>
        </w:rPr>
        <w:t xml:space="preserve">broadband conversion efficiency </w:t>
      </w:r>
      <w:r w:rsidR="00125F45" w:rsidRPr="00FD5BFA">
        <w:rPr>
          <w:rFonts w:eastAsia="PMingLiU"/>
          <w:sz w:val="20"/>
          <w:lang w:eastAsia="zh-TW"/>
        </w:rPr>
        <w:t>of the process</w:t>
      </w:r>
      <w:r w:rsidR="00D5213F" w:rsidRPr="00FD5BFA">
        <w:t xml:space="preserve"> </w:t>
      </w:r>
      <w:r w:rsidR="00D5213F" w:rsidRPr="00FD5BFA">
        <w:rPr>
          <w:rFonts w:eastAsia="PMingLiU"/>
          <w:sz w:val="20"/>
          <w:lang w:eastAsia="zh-TW"/>
        </w:rPr>
        <w:t>which can however only be achieved for a very narrow range of wavelengths</w:t>
      </w:r>
      <w:r w:rsidR="007D6954" w:rsidRPr="00FD5BFA">
        <w:rPr>
          <w:rFonts w:eastAsia="PMingLiU"/>
          <w:sz w:val="20"/>
          <w:lang w:eastAsia="zh-TW"/>
        </w:rPr>
        <w:t xml:space="preserve"> </w:t>
      </w:r>
      <w:r w:rsidR="007D6954" w:rsidRPr="00FD5BFA">
        <w:rPr>
          <w:rFonts w:ascii="Symbol" w:hAnsi="Symbol"/>
          <w:sz w:val="20"/>
        </w:rPr>
        <w:t></w:t>
      </w:r>
      <w:r w:rsidR="007D6954" w:rsidRPr="00FD5BFA">
        <w:rPr>
          <w:sz w:val="20"/>
          <w:vertAlign w:val="subscript"/>
        </w:rPr>
        <w:t xml:space="preserve">P2 </w:t>
      </w:r>
      <w:r w:rsidR="005E5D89" w:rsidRPr="00FD5BFA">
        <w:rPr>
          <w:sz w:val="20"/>
        </w:rPr>
        <w:t xml:space="preserve">. </w:t>
      </w:r>
      <w:r w:rsidR="00E21B8A" w:rsidRPr="00FD5BFA">
        <w:rPr>
          <w:rFonts w:eastAsia="PMingLiU" w:hint="eastAsia"/>
          <w:sz w:val="20"/>
          <w:lang w:eastAsia="zh-TW"/>
        </w:rPr>
        <w:t>Indeed, a</w:t>
      </w:r>
      <w:r w:rsidR="005E5D89" w:rsidRPr="00FD5BFA">
        <w:rPr>
          <w:sz w:val="20"/>
        </w:rPr>
        <w:t>t phase matching a maximum bandwidth of 4.3 nm</w:t>
      </w:r>
      <w:r w:rsidR="0004774C" w:rsidRPr="00FD5BFA">
        <w:rPr>
          <w:sz w:val="20"/>
        </w:rPr>
        <w:t xml:space="preserve"> </w:t>
      </w:r>
      <w:r w:rsidR="009C5DA7" w:rsidRPr="00FD5BFA">
        <w:rPr>
          <w:sz w:val="20"/>
        </w:rPr>
        <w:t xml:space="preserve">at -6 dB is predicted, however any detuning of </w:t>
      </w:r>
      <w:r w:rsidR="009C5DA7" w:rsidRPr="00FD5BFA">
        <w:rPr>
          <w:rFonts w:ascii="Symbol" w:hAnsi="Symbol"/>
          <w:sz w:val="20"/>
        </w:rPr>
        <w:t></w:t>
      </w:r>
      <w:r w:rsidR="009C5DA7" w:rsidRPr="00FD5BFA">
        <w:rPr>
          <w:sz w:val="20"/>
          <w:vertAlign w:val="subscript"/>
        </w:rPr>
        <w:t>P2</w:t>
      </w:r>
      <w:r w:rsidR="009C5DA7" w:rsidRPr="00FD5BFA">
        <w:rPr>
          <w:sz w:val="20"/>
        </w:rPr>
        <w:t xml:space="preserve"> causes a drastic reduction of the BS bandwidth to less than 0.5 nm. We believe the discrepancy between the measured and simulated curves </w:t>
      </w:r>
      <w:r w:rsidR="00803518" w:rsidRPr="00FD5BFA">
        <w:rPr>
          <w:sz w:val="20"/>
        </w:rPr>
        <w:t>to be</w:t>
      </w:r>
      <w:r w:rsidR="009C5DA7" w:rsidRPr="00FD5BFA">
        <w:rPr>
          <w:sz w:val="20"/>
        </w:rPr>
        <w:t xml:space="preserve"> due to fiber </w:t>
      </w:r>
      <w:r w:rsidR="007D6954" w:rsidRPr="00FD5BFA">
        <w:rPr>
          <w:sz w:val="20"/>
        </w:rPr>
        <w:t>inhomogeneity</w:t>
      </w:r>
      <w:r w:rsidR="009C5DA7" w:rsidRPr="00FD5BFA">
        <w:rPr>
          <w:sz w:val="20"/>
        </w:rPr>
        <w:t xml:space="preserve"> along its length</w:t>
      </w:r>
      <w:r w:rsidR="007D6954" w:rsidRPr="00FD5BFA">
        <w:rPr>
          <w:sz w:val="20"/>
        </w:rPr>
        <w:t xml:space="preserve"> </w:t>
      </w:r>
      <w:r w:rsidR="00803518" w:rsidRPr="00FD5BFA">
        <w:rPr>
          <w:sz w:val="20"/>
        </w:rPr>
        <w:t>caused by the fabrication process</w:t>
      </w:r>
      <w:r w:rsidR="007D6954" w:rsidRPr="00FD5BFA">
        <w:rPr>
          <w:sz w:val="20"/>
        </w:rPr>
        <w:t>, an effect that was not included in the simulations. The impact of stochastic variations of the f</w:t>
      </w:r>
      <w:r w:rsidR="00803518" w:rsidRPr="00FD5BFA">
        <w:rPr>
          <w:sz w:val="20"/>
        </w:rPr>
        <w:t xml:space="preserve">iber parameters, for example </w:t>
      </w:r>
      <w:r w:rsidR="007D6954" w:rsidRPr="00FD5BFA">
        <w:rPr>
          <w:sz w:val="20"/>
        </w:rPr>
        <w:t xml:space="preserve">random core-radius fluctuations will cause </w:t>
      </w:r>
      <w:r w:rsidR="009C5DA7" w:rsidRPr="00FD5BFA">
        <w:rPr>
          <w:sz w:val="20"/>
        </w:rPr>
        <w:t>the RIGVs of the modes to vary along the length, which leads to a “blurring” of the phase matched wavelengths [</w:t>
      </w:r>
      <w:r w:rsidR="007D6954" w:rsidRPr="00FD5BFA">
        <w:rPr>
          <w:sz w:val="20"/>
        </w:rPr>
        <w:t>13, 20-21</w:t>
      </w:r>
      <w:r w:rsidR="009C5DA7" w:rsidRPr="00FD5BFA">
        <w:rPr>
          <w:sz w:val="20"/>
        </w:rPr>
        <w:t xml:space="preserve">]. As a consequence, </w:t>
      </w:r>
      <w:r w:rsidR="00643CF3" w:rsidRPr="00FD5BFA">
        <w:rPr>
          <w:sz w:val="20"/>
        </w:rPr>
        <w:t xml:space="preserve">broad </w:t>
      </w:r>
      <w:r w:rsidR="009C5DA7" w:rsidRPr="00FD5BFA">
        <w:rPr>
          <w:sz w:val="20"/>
        </w:rPr>
        <w:t xml:space="preserve">wavelength conversion is observed for a wider range of </w:t>
      </w:r>
      <w:r w:rsidR="00643CF3" w:rsidRPr="00FD5BFA">
        <w:rPr>
          <w:rFonts w:ascii="Symbol" w:hAnsi="Symbol"/>
          <w:sz w:val="20"/>
        </w:rPr>
        <w:t></w:t>
      </w:r>
      <w:r w:rsidR="00643CF3" w:rsidRPr="00FD5BFA">
        <w:rPr>
          <w:sz w:val="20"/>
          <w:vertAlign w:val="subscript"/>
        </w:rPr>
        <w:t>P2</w:t>
      </w:r>
      <w:r w:rsidR="009C5DA7" w:rsidRPr="00FD5BFA">
        <w:rPr>
          <w:sz w:val="20"/>
        </w:rPr>
        <w:t>, albeit at the cost of</w:t>
      </w:r>
      <w:r w:rsidR="005F3818" w:rsidRPr="00FD5BFA">
        <w:rPr>
          <w:sz w:val="20"/>
        </w:rPr>
        <w:t xml:space="preserve"> a</w:t>
      </w:r>
      <w:r w:rsidR="009C5DA7" w:rsidRPr="00FD5BFA">
        <w:rPr>
          <w:sz w:val="20"/>
        </w:rPr>
        <w:t xml:space="preserve"> narrower CE bandwidth. </w:t>
      </w:r>
      <w:r w:rsidR="00803518" w:rsidRPr="00FD5BFA">
        <w:rPr>
          <w:sz w:val="20"/>
        </w:rPr>
        <w:t>This is</w:t>
      </w:r>
      <w:r w:rsidR="00803518" w:rsidRPr="00803518">
        <w:rPr>
          <w:sz w:val="20"/>
          <w:u w:val="single"/>
        </w:rPr>
        <w:t xml:space="preserve"> </w:t>
      </w:r>
    </w:p>
    <w:p w:rsidR="00FD5BFA" w:rsidRPr="00FD5BFA" w:rsidRDefault="00FD5BFA" w:rsidP="00FD5BFA">
      <w:pPr>
        <w:jc w:val="both"/>
        <w:rPr>
          <w:rFonts w:ascii="Times New Roman" w:hAnsi="Times New Roman"/>
          <w:color w:val="000000" w:themeColor="text1"/>
          <w:sz w:val="20"/>
        </w:rPr>
      </w:pPr>
      <w:r>
        <w:rPr>
          <w:noProof/>
          <w:lang w:val="en-GB" w:eastAsia="en-GB"/>
        </w:rPr>
        <w:drawing>
          <wp:inline distT="0" distB="0" distL="0" distR="0" wp14:anchorId="39BF183E" wp14:editId="7311C355">
            <wp:extent cx="4467225" cy="31654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rotWithShape="1">
                    <a:blip r:embed="rId11" cstate="print">
                      <a:extLst>
                        <a:ext uri="{28A0092B-C50C-407E-A947-70E740481C1C}">
                          <a14:useLocalDpi xmlns:a14="http://schemas.microsoft.com/office/drawing/2010/main" val="0"/>
                        </a:ext>
                      </a:extLst>
                    </a:blip>
                    <a:srcRect r="20611"/>
                    <a:stretch/>
                  </pic:blipFill>
                  <pic:spPr bwMode="auto">
                    <a:xfrm>
                      <a:off x="0" y="0"/>
                      <a:ext cx="4477104" cy="3172459"/>
                    </a:xfrm>
                    <a:prstGeom prst="rect">
                      <a:avLst/>
                    </a:prstGeom>
                    <a:ln>
                      <a:noFill/>
                    </a:ln>
                    <a:extLst>
                      <a:ext uri="{53640926-AAD7-44D8-BBD7-CCE9431645EC}">
                        <a14:shadowObscured xmlns:a14="http://schemas.microsoft.com/office/drawing/2010/main"/>
                      </a:ext>
                    </a:extLst>
                  </pic:spPr>
                </pic:pic>
              </a:graphicData>
            </a:graphic>
          </wp:inline>
        </w:drawing>
      </w:r>
    </w:p>
    <w:p w:rsidR="00FD5BFA" w:rsidRPr="00103E2A" w:rsidRDefault="00FD5BFA" w:rsidP="00FD5BFA">
      <w:pPr>
        <w:pStyle w:val="ExpressFigureCaptionShort"/>
        <w:ind w:left="726" w:right="726"/>
        <w:jc w:val="both"/>
      </w:pPr>
      <w:r w:rsidRPr="00103E2A">
        <w:t>Fig.</w:t>
      </w:r>
      <w:r>
        <w:rPr>
          <w:rFonts w:eastAsia="PMingLiU" w:hint="eastAsia"/>
          <w:lang w:eastAsia="zh-TW"/>
        </w:rPr>
        <w:t xml:space="preserve"> </w:t>
      </w:r>
      <w:r w:rsidRPr="00103E2A">
        <w:t>5</w:t>
      </w:r>
      <w:r>
        <w:t>.</w:t>
      </w:r>
      <w:r w:rsidRPr="00103E2A">
        <w:t xml:space="preserve"> Measured and simulated conversion efficiencies of the BS and PC processes versus signal to P1 wavelength detuning, when the other pump excites the second mode (LP</w:t>
      </w:r>
      <w:r w:rsidRPr="00103E2A">
        <w:rPr>
          <w:vertAlign w:val="subscript"/>
        </w:rPr>
        <w:t>11a</w:t>
      </w:r>
      <w:r w:rsidRPr="00103E2A">
        <w:t xml:space="preserve">) of the fiber detuned of about -3 nm (top row) and +3 nm (bottom row) from the phase matching condition (i. e. </w:t>
      </w:r>
      <w:r w:rsidRPr="00103E2A">
        <w:rPr>
          <w:rFonts w:ascii="Symbol" w:hAnsi="Symbol"/>
        </w:rPr>
        <w:t></w:t>
      </w:r>
      <w:r w:rsidRPr="00103E2A">
        <w:rPr>
          <w:vertAlign w:val="subscript"/>
        </w:rPr>
        <w:t>P2</w:t>
      </w:r>
      <w:r w:rsidRPr="00103E2A">
        <w:t>=1562.4</w:t>
      </w:r>
      <w:r>
        <w:t xml:space="preserve"> </w:t>
      </w:r>
      <w:r w:rsidRPr="00103E2A">
        <w:t>nm).</w:t>
      </w:r>
    </w:p>
    <w:p w:rsidR="0020074D" w:rsidRDefault="00B15E6B" w:rsidP="0020074D">
      <w:pPr>
        <w:pStyle w:val="ExpressFigure"/>
      </w:pPr>
      <w:r>
        <w:rPr>
          <w:noProof/>
          <w:lang w:val="en-GB" w:eastAsia="en-GB"/>
        </w:rPr>
        <w:drawing>
          <wp:inline distT="0" distB="0" distL="0" distR="0">
            <wp:extent cx="4063902" cy="2409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6.png"/>
                    <pic:cNvPicPr/>
                  </pic:nvPicPr>
                  <pic:blipFill rotWithShape="1">
                    <a:blip r:embed="rId12" cstate="print">
                      <a:extLst>
                        <a:ext uri="{28A0092B-C50C-407E-A947-70E740481C1C}">
                          <a14:useLocalDpi xmlns:a14="http://schemas.microsoft.com/office/drawing/2010/main" val="0"/>
                        </a:ext>
                      </a:extLst>
                    </a:blip>
                    <a:srcRect r="19538" b="15185"/>
                    <a:stretch/>
                  </pic:blipFill>
                  <pic:spPr bwMode="auto">
                    <a:xfrm>
                      <a:off x="0" y="0"/>
                      <a:ext cx="4079491" cy="2419069"/>
                    </a:xfrm>
                    <a:prstGeom prst="rect">
                      <a:avLst/>
                    </a:prstGeom>
                    <a:ln>
                      <a:noFill/>
                    </a:ln>
                    <a:extLst>
                      <a:ext uri="{53640926-AAD7-44D8-BBD7-CCE9431645EC}">
                        <a14:shadowObscured xmlns:a14="http://schemas.microsoft.com/office/drawing/2010/main"/>
                      </a:ext>
                    </a:extLst>
                  </pic:spPr>
                </pic:pic>
              </a:graphicData>
            </a:graphic>
          </wp:inline>
        </w:drawing>
      </w:r>
    </w:p>
    <w:p w:rsidR="0020074D" w:rsidRPr="00B05D41" w:rsidRDefault="0020074D" w:rsidP="0020074D">
      <w:pPr>
        <w:pStyle w:val="ExpressFigureCaptionShort"/>
        <w:tabs>
          <w:tab w:val="decimal" w:pos="7513"/>
        </w:tabs>
        <w:ind w:left="726" w:right="726"/>
        <w:jc w:val="both"/>
      </w:pPr>
      <w:r w:rsidRPr="00B05D41">
        <w:t>Fig.</w:t>
      </w:r>
      <w:r>
        <w:rPr>
          <w:rFonts w:eastAsia="PMingLiU" w:hint="eastAsia"/>
          <w:lang w:eastAsia="zh-TW"/>
        </w:rPr>
        <w:t xml:space="preserve"> </w:t>
      </w:r>
      <w:r w:rsidRPr="00B05D41">
        <w:t>6</w:t>
      </w:r>
      <w:r>
        <w:t>.</w:t>
      </w:r>
      <w:r w:rsidRPr="00B05D41">
        <w:t xml:space="preserve"> MDMUX spectra of LP</w:t>
      </w:r>
      <w:r w:rsidRPr="00B05D41">
        <w:rPr>
          <w:vertAlign w:val="subscript"/>
        </w:rPr>
        <w:t>01</w:t>
      </w:r>
      <w:r w:rsidRPr="00B05D41">
        <w:t xml:space="preserve"> port (a) and LP</w:t>
      </w:r>
      <w:r w:rsidRPr="00B05D41">
        <w:rPr>
          <w:vertAlign w:val="subscript"/>
        </w:rPr>
        <w:t>11b</w:t>
      </w:r>
      <w:r w:rsidRPr="00B05D41">
        <w:t xml:space="preserve"> port (b) for </w:t>
      </w:r>
      <w:r w:rsidRPr="00B05D41">
        <w:rPr>
          <w:rFonts w:ascii="Symbol" w:hAnsi="Symbol"/>
        </w:rPr>
        <w:t></w:t>
      </w:r>
      <w:r w:rsidRPr="00B05D41">
        <w:rPr>
          <w:vertAlign w:val="subscript"/>
        </w:rPr>
        <w:t>P1</w:t>
      </w:r>
      <w:r w:rsidRPr="00B05D41">
        <w:t xml:space="preserve"> and </w:t>
      </w:r>
      <w:r w:rsidRPr="00B05D41">
        <w:rPr>
          <w:rFonts w:ascii="Symbol" w:hAnsi="Symbol"/>
        </w:rPr>
        <w:t></w:t>
      </w:r>
      <w:r w:rsidRPr="00B05D41">
        <w:rPr>
          <w:vertAlign w:val="subscript"/>
        </w:rPr>
        <w:t>S</w:t>
      </w:r>
      <w:r w:rsidRPr="00B05D41">
        <w:t xml:space="preserve"> equal to 1537.4 nm and 1537.9 nm, respectively, and </w:t>
      </w:r>
      <w:r w:rsidRPr="00B05D41">
        <w:rPr>
          <w:rFonts w:ascii="Symbol" w:hAnsi="Symbol"/>
        </w:rPr>
        <w:t></w:t>
      </w:r>
      <w:r w:rsidRPr="00B05D41">
        <w:rPr>
          <w:vertAlign w:val="subscript"/>
        </w:rPr>
        <w:t>P2</w:t>
      </w:r>
      <w:r w:rsidRPr="00B05D41">
        <w:t xml:space="preserve"> equal to 1562.4 nm, 1573 nm, 1578 nm or 1583 nm, respectively, when P1 and S excite the LP</w:t>
      </w:r>
      <w:r w:rsidRPr="00B05D41">
        <w:rPr>
          <w:vertAlign w:val="subscript"/>
        </w:rPr>
        <w:t>01</w:t>
      </w:r>
      <w:r w:rsidRPr="00B05D41">
        <w:t xml:space="preserve"> mode of the fiber and P2 excites the LP</w:t>
      </w:r>
      <w:r w:rsidRPr="00B05D41">
        <w:rPr>
          <w:vertAlign w:val="subscript"/>
        </w:rPr>
        <w:t>11b</w:t>
      </w:r>
      <w:r w:rsidRPr="00B05D41">
        <w:t xml:space="preserve"> mode. c) Conversion efficiency of the BS and PC processes at the phase matched wavelengths versus the signa</w:t>
      </w:r>
      <w:r>
        <w:t>l to Pump1 wavelength detuning</w:t>
      </w:r>
      <w:r w:rsidRPr="00103E2A">
        <w:t>.</w:t>
      </w:r>
    </w:p>
    <w:p w:rsidR="00E03ADC" w:rsidRDefault="00FD5BFA" w:rsidP="00753DFB">
      <w:pPr>
        <w:jc w:val="both"/>
        <w:rPr>
          <w:rFonts w:ascii="Times New Roman" w:hAnsi="Times New Roman"/>
          <w:color w:val="000000" w:themeColor="text1"/>
          <w:sz w:val="20"/>
        </w:rPr>
      </w:pPr>
      <w:r w:rsidRPr="00FD5BFA">
        <w:rPr>
          <w:sz w:val="20"/>
        </w:rPr>
        <w:t>directly analogous to the randomly varying zero dispersion wavelength in single mode fibers that strongly affects the overall bandwidth of parametric processes when the pump wavelength is close to it [22]. It is also worth noting that the wavelength conversion range of</w:t>
      </w:r>
      <w:r w:rsidRPr="00803518">
        <w:rPr>
          <w:sz w:val="20"/>
          <w:u w:val="single"/>
        </w:rPr>
        <w:t xml:space="preserve"> </w:t>
      </w:r>
      <w:r w:rsidRPr="00FD5BFA">
        <w:rPr>
          <w:rFonts w:ascii="Times New Roman" w:hAnsi="Times New Roman"/>
          <w:color w:val="000000" w:themeColor="text1"/>
          <w:sz w:val="20"/>
        </w:rPr>
        <w:t xml:space="preserve">4.9 nm (in the simulation) is mainly due to the relatively small range over which the two corresponding RIGV curves have the same slope. However, much broader bandwidths are to be expected for dispersion engineered fibers designed and fabricated with the RIGVs of the different modes having the same slope across much wider wavelength ranges. </w:t>
      </w:r>
      <w:r w:rsidR="00753DFB" w:rsidRPr="00FD5BFA">
        <w:rPr>
          <w:rFonts w:ascii="Times New Roman" w:hAnsi="Times New Roman"/>
          <w:color w:val="000000" w:themeColor="text1"/>
          <w:sz w:val="20"/>
        </w:rPr>
        <w:t>Furthermore, CE plots of the PC and BS at detuning wavelengths further away from phase matching (±3 nm) are also shown in Fig. 5, where good agreement between measurements and simulations can be observed. At these PM detunings, both bandwidths and CEs have been drastically reduced. Further experiments were carried out with one pump and the signal exciting again the LP</w:t>
      </w:r>
      <w:r w:rsidR="00753DFB" w:rsidRPr="00FD5BFA">
        <w:rPr>
          <w:rFonts w:ascii="Times New Roman" w:hAnsi="Times New Roman"/>
          <w:color w:val="000000" w:themeColor="text1"/>
          <w:sz w:val="20"/>
          <w:vertAlign w:val="subscript"/>
        </w:rPr>
        <w:t>01</w:t>
      </w:r>
      <w:r w:rsidR="00753DFB" w:rsidRPr="00FD5BFA">
        <w:rPr>
          <w:rFonts w:ascii="Times New Roman" w:hAnsi="Times New Roman"/>
          <w:color w:val="000000" w:themeColor="text1"/>
          <w:sz w:val="20"/>
        </w:rPr>
        <w:t xml:space="preserve"> mode, with the second pump exciting the third mode of the fiber, LP</w:t>
      </w:r>
      <w:r w:rsidR="00753DFB" w:rsidRPr="00FD5BFA">
        <w:rPr>
          <w:rFonts w:ascii="Times New Roman" w:hAnsi="Times New Roman"/>
          <w:color w:val="000000" w:themeColor="text1"/>
          <w:sz w:val="20"/>
          <w:vertAlign w:val="subscript"/>
        </w:rPr>
        <w:t>11b</w:t>
      </w:r>
      <w:r w:rsidR="00753DFB" w:rsidRPr="00FD5BFA">
        <w:rPr>
          <w:rFonts w:ascii="Times New Roman" w:hAnsi="Times New Roman"/>
          <w:color w:val="000000" w:themeColor="text1"/>
          <w:sz w:val="20"/>
        </w:rPr>
        <w:t>. Figures 6(a) and (b) show typical normalized spectral traces of the LP</w:t>
      </w:r>
      <w:r w:rsidR="00753DFB" w:rsidRPr="00FD5BFA">
        <w:rPr>
          <w:rFonts w:ascii="Times New Roman" w:hAnsi="Times New Roman"/>
          <w:color w:val="000000" w:themeColor="text1"/>
          <w:sz w:val="20"/>
          <w:vertAlign w:val="subscript"/>
        </w:rPr>
        <w:t>01</w:t>
      </w:r>
      <w:r w:rsidR="00753DFB" w:rsidRPr="00FD5BFA">
        <w:rPr>
          <w:rFonts w:ascii="Times New Roman" w:hAnsi="Times New Roman"/>
          <w:color w:val="000000" w:themeColor="text1"/>
          <w:sz w:val="20"/>
        </w:rPr>
        <w:t xml:space="preserve"> and LP</w:t>
      </w:r>
      <w:r w:rsidR="00753DFB" w:rsidRPr="00FD5BFA">
        <w:rPr>
          <w:rFonts w:ascii="Times New Roman" w:hAnsi="Times New Roman"/>
          <w:color w:val="000000" w:themeColor="text1"/>
          <w:sz w:val="20"/>
          <w:vertAlign w:val="subscript"/>
        </w:rPr>
        <w:t>11b</w:t>
      </w:r>
      <w:r w:rsidR="00753DFB" w:rsidRPr="00FD5BFA">
        <w:rPr>
          <w:rFonts w:ascii="Times New Roman" w:hAnsi="Times New Roman"/>
          <w:color w:val="000000" w:themeColor="text1"/>
          <w:sz w:val="20"/>
        </w:rPr>
        <w:t xml:space="preserve"> output ports of the MDMUX; </w:t>
      </w:r>
      <w:r w:rsidR="00753DFB" w:rsidRPr="00FD5BFA">
        <w:rPr>
          <w:rFonts w:ascii="Symbol" w:hAnsi="Symbol"/>
          <w:color w:val="000000" w:themeColor="text1"/>
          <w:sz w:val="20"/>
        </w:rPr>
        <w:t></w:t>
      </w:r>
      <w:r w:rsidR="00753DFB" w:rsidRPr="00FD5BFA">
        <w:rPr>
          <w:rFonts w:ascii="Times New Roman" w:hAnsi="Times New Roman"/>
          <w:color w:val="000000" w:themeColor="text1"/>
          <w:sz w:val="20"/>
          <w:vertAlign w:val="subscript"/>
        </w:rPr>
        <w:t>P1</w:t>
      </w:r>
      <w:r w:rsidR="00753DFB" w:rsidRPr="00FD5BFA">
        <w:rPr>
          <w:rFonts w:ascii="Times New Roman" w:hAnsi="Times New Roman"/>
          <w:color w:val="000000" w:themeColor="text1"/>
          <w:sz w:val="20"/>
        </w:rPr>
        <w:t xml:space="preserve"> and </w:t>
      </w:r>
      <w:r w:rsidR="00753DFB" w:rsidRPr="00FD5BFA">
        <w:rPr>
          <w:rFonts w:ascii="Symbol" w:hAnsi="Symbol"/>
          <w:color w:val="000000" w:themeColor="text1"/>
          <w:sz w:val="20"/>
        </w:rPr>
        <w:t></w:t>
      </w:r>
      <w:r w:rsidR="00753DFB" w:rsidRPr="00FD5BFA">
        <w:rPr>
          <w:rFonts w:ascii="Times New Roman" w:hAnsi="Times New Roman"/>
          <w:color w:val="000000" w:themeColor="text1"/>
          <w:sz w:val="20"/>
          <w:vertAlign w:val="subscript"/>
        </w:rPr>
        <w:t>S</w:t>
      </w:r>
      <w:r w:rsidR="00753DFB" w:rsidRPr="00FD5BFA">
        <w:rPr>
          <w:rFonts w:ascii="Times New Roman" w:hAnsi="Times New Roman"/>
          <w:color w:val="000000" w:themeColor="text1"/>
          <w:sz w:val="20"/>
        </w:rPr>
        <w:t xml:space="preserve"> are set still to 1537.4 nm and 1537.9 nm, respectively, while </w:t>
      </w:r>
      <w:r w:rsidR="00753DFB" w:rsidRPr="00FD5BFA">
        <w:rPr>
          <w:rFonts w:ascii="Symbol" w:hAnsi="Symbol"/>
          <w:color w:val="000000" w:themeColor="text1"/>
          <w:sz w:val="20"/>
        </w:rPr>
        <w:t></w:t>
      </w:r>
      <w:r w:rsidR="00753DFB" w:rsidRPr="00FD5BFA">
        <w:rPr>
          <w:rFonts w:ascii="Times New Roman" w:hAnsi="Times New Roman"/>
          <w:color w:val="000000" w:themeColor="text1"/>
          <w:sz w:val="20"/>
          <w:vertAlign w:val="subscript"/>
        </w:rPr>
        <w:t>P2</w:t>
      </w:r>
      <w:r w:rsidR="00753DFB" w:rsidRPr="00FD5BFA">
        <w:rPr>
          <w:rFonts w:ascii="Times New Roman" w:hAnsi="Times New Roman"/>
          <w:color w:val="000000" w:themeColor="text1"/>
          <w:sz w:val="20"/>
        </w:rPr>
        <w:t xml:space="preserve"> is varied between </w:t>
      </w:r>
      <w:r w:rsidR="009C5DA7" w:rsidRPr="00FD5BFA">
        <w:rPr>
          <w:rFonts w:ascii="Times New Roman" w:hAnsi="Times New Roman"/>
          <w:color w:val="000000" w:themeColor="text1"/>
          <w:sz w:val="20"/>
        </w:rPr>
        <w:t>1562.4 nm, 1573 nm, 1578 nm or 1583 nm, respectively. Similar</w:t>
      </w:r>
      <w:r w:rsidR="009C5DA7" w:rsidRPr="009C5DA7">
        <w:rPr>
          <w:rFonts w:ascii="Times New Roman" w:hAnsi="Times New Roman"/>
          <w:color w:val="000000" w:themeColor="text1"/>
          <w:sz w:val="20"/>
        </w:rPr>
        <w:t xml:space="preserve"> values of intra- and inter-modal FWM idlers are observed as compared to Fig. 3, with highest conversion efficiency when </w:t>
      </w:r>
      <w:r w:rsidR="009C5DA7" w:rsidRPr="009C5DA7">
        <w:rPr>
          <w:rFonts w:ascii="Symbol" w:hAnsi="Symbol"/>
          <w:color w:val="000000" w:themeColor="text1"/>
          <w:sz w:val="20"/>
        </w:rPr>
        <w:t></w:t>
      </w:r>
      <w:r w:rsidR="009C5DA7" w:rsidRPr="009C5DA7">
        <w:rPr>
          <w:rFonts w:ascii="Times New Roman" w:hAnsi="Times New Roman"/>
          <w:color w:val="000000" w:themeColor="text1"/>
          <w:sz w:val="20"/>
          <w:vertAlign w:val="subscript"/>
        </w:rPr>
        <w:t>P3</w:t>
      </w:r>
      <w:r w:rsidR="009C5DA7" w:rsidRPr="009C5DA7">
        <w:rPr>
          <w:rFonts w:ascii="Times New Roman" w:hAnsi="Times New Roman"/>
          <w:color w:val="000000" w:themeColor="text1"/>
          <w:sz w:val="20"/>
        </w:rPr>
        <w:t xml:space="preserve">=1578 nm, i.e. at </w:t>
      </w:r>
      <w:r w:rsidR="009C5DA7" w:rsidRPr="009C5DA7">
        <w:rPr>
          <w:rFonts w:ascii="Symbol" w:hAnsi="Symbol"/>
          <w:color w:val="000000" w:themeColor="text1"/>
          <w:sz w:val="20"/>
        </w:rPr>
        <w:t></w:t>
      </w:r>
      <w:r w:rsidR="009C5DA7" w:rsidRPr="009C5DA7">
        <w:rPr>
          <w:rFonts w:ascii="Symbol" w:hAnsi="Symbol"/>
          <w:color w:val="000000" w:themeColor="text1"/>
          <w:sz w:val="20"/>
        </w:rPr>
        <w:t></w:t>
      </w:r>
      <w:r w:rsidR="009C5DA7" w:rsidRPr="009C5DA7">
        <w:rPr>
          <w:rFonts w:ascii="Symbol" w:hAnsi="Symbol"/>
          <w:color w:val="000000" w:themeColor="text1"/>
          <w:sz w:val="20"/>
        </w:rPr>
        <w:t></w:t>
      </w:r>
      <w:r w:rsidR="009C5DA7" w:rsidRPr="009C5DA7">
        <w:rPr>
          <w:rFonts w:ascii="Symbol" w:hAnsi="Symbol"/>
          <w:color w:val="000000" w:themeColor="text1"/>
          <w:sz w:val="20"/>
        </w:rPr>
        <w:t></w:t>
      </w:r>
      <w:r w:rsidR="009C5DA7" w:rsidRPr="009C5DA7">
        <w:rPr>
          <w:rFonts w:ascii="Symbol" w:hAnsi="Symbol"/>
          <w:color w:val="000000" w:themeColor="text1"/>
          <w:sz w:val="20"/>
        </w:rPr>
        <w:t></w:t>
      </w:r>
      <w:r w:rsidR="009C5DA7" w:rsidRPr="009C5DA7">
        <w:rPr>
          <w:rFonts w:ascii="Symbol" w:hAnsi="Symbol"/>
          <w:color w:val="000000" w:themeColor="text1"/>
          <w:sz w:val="20"/>
        </w:rPr>
        <w:t></w:t>
      </w:r>
      <w:r w:rsidR="009C5DA7" w:rsidRPr="009C5DA7">
        <w:rPr>
          <w:rFonts w:ascii="Symbol" w:hAnsi="Symbol"/>
          <w:color w:val="000000" w:themeColor="text1"/>
          <w:sz w:val="20"/>
        </w:rPr>
        <w:t></w:t>
      </w:r>
      <w:r w:rsidR="009C5DA7" w:rsidRPr="009C5DA7">
        <w:rPr>
          <w:rFonts w:ascii="Symbol" w:hAnsi="Symbol"/>
          <w:color w:val="000000" w:themeColor="text1"/>
          <w:sz w:val="20"/>
        </w:rPr>
        <w:t></w:t>
      </w:r>
      <w:r w:rsidR="009C5DA7" w:rsidRPr="009C5DA7">
        <w:rPr>
          <w:rFonts w:ascii="Times New Roman" w:hAnsi="Times New Roman"/>
          <w:color w:val="000000" w:themeColor="text1"/>
          <w:sz w:val="20"/>
        </w:rPr>
        <w:t>nm</w:t>
      </w:r>
      <w:r w:rsidR="00E36AC5">
        <w:rPr>
          <w:rFonts w:ascii="Times New Roman" w:hAnsi="Times New Roman"/>
          <w:color w:val="000000" w:themeColor="text1"/>
          <w:sz w:val="20"/>
        </w:rPr>
        <w:t>, corresponding to the phase matching case between mode 1 and mode 3</w:t>
      </w:r>
      <w:r w:rsidR="00753DFB">
        <w:rPr>
          <w:rFonts w:ascii="Times New Roman" w:hAnsi="Times New Roman"/>
          <w:color w:val="000000" w:themeColor="text1"/>
          <w:sz w:val="20"/>
        </w:rPr>
        <w:t>, see Fig.</w:t>
      </w:r>
      <w:r w:rsidR="00FA625B">
        <w:rPr>
          <w:rFonts w:ascii="Times New Roman" w:hAnsi="Times New Roman"/>
          <w:color w:val="000000" w:themeColor="text1"/>
          <w:sz w:val="20"/>
        </w:rPr>
        <w:t xml:space="preserve"> 2</w:t>
      </w:r>
      <w:r w:rsidR="00753DFB">
        <w:rPr>
          <w:rFonts w:ascii="Times New Roman" w:hAnsi="Times New Roman"/>
          <w:color w:val="000000" w:themeColor="text1"/>
          <w:sz w:val="20"/>
        </w:rPr>
        <w:t>(b)</w:t>
      </w:r>
      <w:r w:rsidR="009C5DA7" w:rsidRPr="009C5DA7">
        <w:rPr>
          <w:rFonts w:ascii="Times New Roman" w:hAnsi="Times New Roman"/>
          <w:color w:val="000000" w:themeColor="text1"/>
          <w:sz w:val="20"/>
        </w:rPr>
        <w:t xml:space="preserve">. Measured and simulated CEs of the BS and PC processes are reported in Fig. 6(c), showing comparable results to those reported in Fig. 4. Here, a -6 dB bandwidth of 1 nm (1 nm) is measured for the BS (PC) case, while simulations predict about 4.9 nm (1.1 nm). </w:t>
      </w:r>
    </w:p>
    <w:p w:rsidR="00E03ADC" w:rsidRDefault="00E03ADC" w:rsidP="00E03ADC">
      <w:pPr>
        <w:pStyle w:val="ExpressSectionHeader1"/>
      </w:pPr>
      <w:r>
        <w:t>Conclusion</w:t>
      </w:r>
    </w:p>
    <w:p w:rsidR="001A6CF9" w:rsidRPr="00E36AC5" w:rsidRDefault="00E03ADC" w:rsidP="00753DFB">
      <w:pPr>
        <w:pStyle w:val="ExpressSectionHeader1"/>
        <w:numPr>
          <w:ilvl w:val="0"/>
          <w:numId w:val="0"/>
        </w:numPr>
        <w:spacing w:line="276" w:lineRule="auto"/>
        <w:jc w:val="both"/>
        <w:rPr>
          <w:rFonts w:ascii="Times New Roman" w:hAnsi="Times New Roman"/>
          <w:b w:val="0"/>
          <w:color w:val="000000" w:themeColor="text1"/>
        </w:rPr>
      </w:pPr>
      <w:r w:rsidRPr="00E03ADC">
        <w:rPr>
          <w:rFonts w:ascii="Times New Roman" w:hAnsi="Times New Roman"/>
          <w:b w:val="0"/>
          <w:color w:val="000000" w:themeColor="text1"/>
        </w:rPr>
        <w:t xml:space="preserve">We have experimentally demonstrated the feasibility of converting C-band signals to wavelengths in either the C- or L- bands, by exciting different phase matched modes within the same few-mode fiber. Simulations predict that conversion bandwidths up to about 4.9 nm should be possible with the current fiber, provided its geometry is maintained along its entire 1-km length. Much broader bandwidths are expected in optimized fibers where different modes exhibit inverse group velocity curves with the same slope across a very broad wavelength range. Conversion bands that are even further away could also be targeted by increasing the number of modes supported by the fiber. </w:t>
      </w:r>
    </w:p>
    <w:p w:rsidR="00E03ADC" w:rsidRPr="00E03ADC" w:rsidRDefault="00243382" w:rsidP="00E03ADC">
      <w:pPr>
        <w:pStyle w:val="ExpressSectionHeader1"/>
        <w:numPr>
          <w:ilvl w:val="0"/>
          <w:numId w:val="0"/>
        </w:numPr>
        <w:ind w:left="360" w:hanging="360"/>
        <w:rPr>
          <w:rFonts w:asciiTheme="minorHAnsi" w:hAnsiTheme="minorHAnsi"/>
          <w:b w:val="0"/>
          <w:sz w:val="22"/>
        </w:rPr>
      </w:pPr>
      <w:r w:rsidRPr="00E03ADC">
        <w:rPr>
          <w:rFonts w:asciiTheme="minorHAnsi" w:hAnsiTheme="minorHAnsi"/>
          <w:b w:val="0"/>
          <w:sz w:val="22"/>
        </w:rPr>
        <w:t>Funding</w:t>
      </w:r>
    </w:p>
    <w:p w:rsidR="00E03ADC" w:rsidRDefault="00E03ADC" w:rsidP="00E36AC5">
      <w:pPr>
        <w:pStyle w:val="ExpressBodyFirstParagraph"/>
        <w:spacing w:line="276" w:lineRule="auto"/>
      </w:pPr>
      <w:r w:rsidRPr="00E03ADC">
        <w:t>This research is sponsored by EPSRC grant EP/P026575/1.</w:t>
      </w:r>
    </w:p>
    <w:p w:rsidR="00E36AC5" w:rsidRPr="00E03ADC" w:rsidRDefault="00E36AC5" w:rsidP="00E36AC5">
      <w:pPr>
        <w:pStyle w:val="ExpressSectionHeader1"/>
        <w:numPr>
          <w:ilvl w:val="0"/>
          <w:numId w:val="0"/>
        </w:numPr>
        <w:spacing w:line="276" w:lineRule="auto"/>
        <w:ind w:left="360" w:hanging="360"/>
        <w:rPr>
          <w:rFonts w:asciiTheme="minorHAnsi" w:hAnsiTheme="minorHAnsi"/>
          <w:b w:val="0"/>
          <w:sz w:val="22"/>
        </w:rPr>
      </w:pPr>
      <w:r>
        <w:rPr>
          <w:rFonts w:asciiTheme="minorHAnsi" w:hAnsiTheme="minorHAnsi"/>
          <w:b w:val="0"/>
          <w:sz w:val="22"/>
        </w:rPr>
        <w:t>Acknowledgments</w:t>
      </w:r>
    </w:p>
    <w:p w:rsidR="001A6CF9" w:rsidRPr="00E03ADC" w:rsidRDefault="00E03ADC" w:rsidP="00E36AC5">
      <w:pPr>
        <w:pStyle w:val="ExpressBodyFirstParagraph"/>
        <w:spacing w:line="276" w:lineRule="auto"/>
      </w:pPr>
      <w:r w:rsidRPr="00E03ADC">
        <w:t>The data for this work is accessible through the University of Southampton Institutional Research Repository (DOI http://doi.org/xxx).</w:t>
      </w:r>
    </w:p>
    <w:sectPr w:rsidR="001A6CF9" w:rsidRPr="00E03ADC" w:rsidSect="00A067EA">
      <w:pgSz w:w="12240" w:h="15840"/>
      <w:pgMar w:top="1872" w:right="2347" w:bottom="1872" w:left="23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56C67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A0469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EAC41E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4324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3FCE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DA686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B600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84915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77C0D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844B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A33AD"/>
    <w:multiLevelType w:val="hybridMultilevel"/>
    <w:tmpl w:val="831E8016"/>
    <w:lvl w:ilvl="0" w:tplc="2AE4E9C6">
      <w:start w:val="1"/>
      <w:numFmt w:val="bullet"/>
      <w:pStyle w:val="ExpressList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010ED4"/>
    <w:multiLevelType w:val="multilevel"/>
    <w:tmpl w:val="72E88FE4"/>
    <w:lvl w:ilvl="0">
      <w:start w:val="1"/>
      <w:numFmt w:val="decimal"/>
      <w:pStyle w:val="Express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18C57920"/>
    <w:multiLevelType w:val="hybridMultilevel"/>
    <w:tmpl w:val="4F4CA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772220"/>
    <w:multiLevelType w:val="hybridMultilevel"/>
    <w:tmpl w:val="4C54C734"/>
    <w:lvl w:ilvl="0" w:tplc="D04ED72E">
      <w:start w:val="1"/>
      <w:numFmt w:val="decimal"/>
      <w:pStyle w:val="Express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B557C90"/>
    <w:multiLevelType w:val="hybridMultilevel"/>
    <w:tmpl w:val="DEB6A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6113941"/>
    <w:multiLevelType w:val="hybridMultilevel"/>
    <w:tmpl w:val="781A2090"/>
    <w:lvl w:ilvl="0" w:tplc="9938A9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49929DE"/>
    <w:multiLevelType w:val="hybridMultilevel"/>
    <w:tmpl w:val="D6FE65AC"/>
    <w:lvl w:ilvl="0" w:tplc="FB5EEEB8">
      <w:start w:val="1"/>
      <w:numFmt w:val="decimal"/>
      <w:pStyle w:val="Express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7BB6430"/>
    <w:multiLevelType w:val="hybridMultilevel"/>
    <w:tmpl w:val="2138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602A0A"/>
    <w:multiLevelType w:val="hybridMultilevel"/>
    <w:tmpl w:val="5B621E72"/>
    <w:lvl w:ilvl="0" w:tplc="805A9A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B3B1349"/>
    <w:multiLevelType w:val="hybridMultilevel"/>
    <w:tmpl w:val="F906F310"/>
    <w:lvl w:ilvl="0" w:tplc="26A61E8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EC84BF4"/>
    <w:multiLevelType w:val="hybridMultilevel"/>
    <w:tmpl w:val="D6761426"/>
    <w:lvl w:ilvl="0" w:tplc="C3BE05EE">
      <w:start w:val="1"/>
      <w:numFmt w:val="lowerLetter"/>
      <w:pStyle w:val="ExpressListNumber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18"/>
  </w:num>
  <w:num w:numId="3">
    <w:abstractNumId w:val="12"/>
  </w:num>
  <w:num w:numId="4">
    <w:abstractNumId w:val="14"/>
  </w:num>
  <w:num w:numId="5">
    <w:abstractNumId w:val="11"/>
  </w:num>
  <w:num w:numId="6">
    <w:abstractNumId w:val="17"/>
  </w:num>
  <w:num w:numId="7">
    <w:abstractNumId w:val="16"/>
  </w:num>
  <w:num w:numId="8">
    <w:abstractNumId w:val="20"/>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9"/>
  </w:num>
  <w:num w:numId="21">
    <w:abstractNumId w:val="13"/>
    <w:lvlOverride w:ilvl="0">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linkStyles/>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67D"/>
    <w:rsid w:val="00002A9B"/>
    <w:rsid w:val="0001639E"/>
    <w:rsid w:val="00022A47"/>
    <w:rsid w:val="00023472"/>
    <w:rsid w:val="000327A5"/>
    <w:rsid w:val="00036639"/>
    <w:rsid w:val="0004774C"/>
    <w:rsid w:val="00047ED2"/>
    <w:rsid w:val="000615EE"/>
    <w:rsid w:val="00062D82"/>
    <w:rsid w:val="0007090A"/>
    <w:rsid w:val="00072561"/>
    <w:rsid w:val="00086BC8"/>
    <w:rsid w:val="000B66D2"/>
    <w:rsid w:val="000D4342"/>
    <w:rsid w:val="000F4DBC"/>
    <w:rsid w:val="00103E2A"/>
    <w:rsid w:val="001066F0"/>
    <w:rsid w:val="00116E68"/>
    <w:rsid w:val="00125F45"/>
    <w:rsid w:val="00132D89"/>
    <w:rsid w:val="001512DF"/>
    <w:rsid w:val="001514A1"/>
    <w:rsid w:val="00155A45"/>
    <w:rsid w:val="00156536"/>
    <w:rsid w:val="00176184"/>
    <w:rsid w:val="001920EE"/>
    <w:rsid w:val="001A28CD"/>
    <w:rsid w:val="001A6CF9"/>
    <w:rsid w:val="001B2DEA"/>
    <w:rsid w:val="0020074D"/>
    <w:rsid w:val="0020447C"/>
    <w:rsid w:val="00213F87"/>
    <w:rsid w:val="00225824"/>
    <w:rsid w:val="002401A8"/>
    <w:rsid w:val="00243382"/>
    <w:rsid w:val="002816F2"/>
    <w:rsid w:val="002D058C"/>
    <w:rsid w:val="002D21A3"/>
    <w:rsid w:val="002E076A"/>
    <w:rsid w:val="00306CA6"/>
    <w:rsid w:val="00331AB2"/>
    <w:rsid w:val="00333C67"/>
    <w:rsid w:val="00343558"/>
    <w:rsid w:val="003639CB"/>
    <w:rsid w:val="003943F8"/>
    <w:rsid w:val="00394FAA"/>
    <w:rsid w:val="003B4E02"/>
    <w:rsid w:val="003E6E64"/>
    <w:rsid w:val="003F2F9F"/>
    <w:rsid w:val="00413EB4"/>
    <w:rsid w:val="00416CDD"/>
    <w:rsid w:val="00422D26"/>
    <w:rsid w:val="004703FE"/>
    <w:rsid w:val="0048331C"/>
    <w:rsid w:val="00487F2D"/>
    <w:rsid w:val="004931D2"/>
    <w:rsid w:val="004A0FDA"/>
    <w:rsid w:val="004B50F4"/>
    <w:rsid w:val="00530CAF"/>
    <w:rsid w:val="00535347"/>
    <w:rsid w:val="00582322"/>
    <w:rsid w:val="00583BB3"/>
    <w:rsid w:val="005A33E2"/>
    <w:rsid w:val="005C3A77"/>
    <w:rsid w:val="005C5922"/>
    <w:rsid w:val="005E5D89"/>
    <w:rsid w:val="005F3818"/>
    <w:rsid w:val="005F5586"/>
    <w:rsid w:val="005F6FF7"/>
    <w:rsid w:val="006005DA"/>
    <w:rsid w:val="00600BC1"/>
    <w:rsid w:val="00610297"/>
    <w:rsid w:val="006431DA"/>
    <w:rsid w:val="00643829"/>
    <w:rsid w:val="00643CF3"/>
    <w:rsid w:val="00674706"/>
    <w:rsid w:val="00680550"/>
    <w:rsid w:val="00680A13"/>
    <w:rsid w:val="006943E6"/>
    <w:rsid w:val="006E27FB"/>
    <w:rsid w:val="007034F6"/>
    <w:rsid w:val="00714526"/>
    <w:rsid w:val="007225EE"/>
    <w:rsid w:val="00722822"/>
    <w:rsid w:val="00725418"/>
    <w:rsid w:val="00732FFA"/>
    <w:rsid w:val="00741331"/>
    <w:rsid w:val="00747188"/>
    <w:rsid w:val="00753DFB"/>
    <w:rsid w:val="00774AB8"/>
    <w:rsid w:val="007B2071"/>
    <w:rsid w:val="007C36E9"/>
    <w:rsid w:val="007C52D5"/>
    <w:rsid w:val="007D5D53"/>
    <w:rsid w:val="007D6954"/>
    <w:rsid w:val="007D7494"/>
    <w:rsid w:val="00803518"/>
    <w:rsid w:val="00804992"/>
    <w:rsid w:val="00804C9B"/>
    <w:rsid w:val="008128CE"/>
    <w:rsid w:val="0081577A"/>
    <w:rsid w:val="00827636"/>
    <w:rsid w:val="0086667D"/>
    <w:rsid w:val="00875149"/>
    <w:rsid w:val="008778E5"/>
    <w:rsid w:val="008905FB"/>
    <w:rsid w:val="008C46F3"/>
    <w:rsid w:val="008E1231"/>
    <w:rsid w:val="008E4EE1"/>
    <w:rsid w:val="008F15DD"/>
    <w:rsid w:val="008F22B4"/>
    <w:rsid w:val="00907C09"/>
    <w:rsid w:val="009502FD"/>
    <w:rsid w:val="00966C0B"/>
    <w:rsid w:val="00983CF9"/>
    <w:rsid w:val="009909E8"/>
    <w:rsid w:val="009A7A02"/>
    <w:rsid w:val="009B6617"/>
    <w:rsid w:val="009C5DA7"/>
    <w:rsid w:val="009D703D"/>
    <w:rsid w:val="009E2FFA"/>
    <w:rsid w:val="009E78BA"/>
    <w:rsid w:val="00A02987"/>
    <w:rsid w:val="00A035D7"/>
    <w:rsid w:val="00A067EA"/>
    <w:rsid w:val="00A07C28"/>
    <w:rsid w:val="00A100C3"/>
    <w:rsid w:val="00A275B2"/>
    <w:rsid w:val="00A40EFB"/>
    <w:rsid w:val="00A52528"/>
    <w:rsid w:val="00A53666"/>
    <w:rsid w:val="00A5404B"/>
    <w:rsid w:val="00A55B30"/>
    <w:rsid w:val="00A568B6"/>
    <w:rsid w:val="00A60119"/>
    <w:rsid w:val="00A62764"/>
    <w:rsid w:val="00A64E60"/>
    <w:rsid w:val="00A77CEB"/>
    <w:rsid w:val="00A949A5"/>
    <w:rsid w:val="00AA6A02"/>
    <w:rsid w:val="00AB6433"/>
    <w:rsid w:val="00AC7B66"/>
    <w:rsid w:val="00AF719D"/>
    <w:rsid w:val="00B05D41"/>
    <w:rsid w:val="00B15E6B"/>
    <w:rsid w:val="00B21AA2"/>
    <w:rsid w:val="00B471A5"/>
    <w:rsid w:val="00B66093"/>
    <w:rsid w:val="00B9515D"/>
    <w:rsid w:val="00B971C8"/>
    <w:rsid w:val="00BC55D1"/>
    <w:rsid w:val="00BD3A35"/>
    <w:rsid w:val="00BF64A9"/>
    <w:rsid w:val="00BF7EAC"/>
    <w:rsid w:val="00C202EA"/>
    <w:rsid w:val="00C2266C"/>
    <w:rsid w:val="00C413BF"/>
    <w:rsid w:val="00C41A9E"/>
    <w:rsid w:val="00C66797"/>
    <w:rsid w:val="00C713DC"/>
    <w:rsid w:val="00C90584"/>
    <w:rsid w:val="00C97A09"/>
    <w:rsid w:val="00CA1E1E"/>
    <w:rsid w:val="00CA2A40"/>
    <w:rsid w:val="00CA2C9C"/>
    <w:rsid w:val="00CA3C99"/>
    <w:rsid w:val="00CB0396"/>
    <w:rsid w:val="00CB25DA"/>
    <w:rsid w:val="00CB6ADE"/>
    <w:rsid w:val="00CD2AB0"/>
    <w:rsid w:val="00CD7865"/>
    <w:rsid w:val="00CE587E"/>
    <w:rsid w:val="00D2683C"/>
    <w:rsid w:val="00D3229F"/>
    <w:rsid w:val="00D5213F"/>
    <w:rsid w:val="00D9445F"/>
    <w:rsid w:val="00DD3F7D"/>
    <w:rsid w:val="00DF6C7C"/>
    <w:rsid w:val="00E03ADC"/>
    <w:rsid w:val="00E21B8A"/>
    <w:rsid w:val="00E33E35"/>
    <w:rsid w:val="00E36AC5"/>
    <w:rsid w:val="00E4318E"/>
    <w:rsid w:val="00E5005A"/>
    <w:rsid w:val="00E84C4A"/>
    <w:rsid w:val="00EA4FC3"/>
    <w:rsid w:val="00EC0262"/>
    <w:rsid w:val="00ED6D1A"/>
    <w:rsid w:val="00EF6ED7"/>
    <w:rsid w:val="00F33E52"/>
    <w:rsid w:val="00F840D9"/>
    <w:rsid w:val="00F92333"/>
    <w:rsid w:val="00FA625B"/>
    <w:rsid w:val="00FC10AC"/>
    <w:rsid w:val="00FC5DCC"/>
    <w:rsid w:val="00FD0B74"/>
    <w:rsid w:val="00FD4B3E"/>
    <w:rsid w:val="00FD5BFA"/>
    <w:rsid w:val="00FD5E0D"/>
    <w:rsid w:val="00FF6A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D70C6E-55C6-48B1-AF76-9E1AC35CF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rsid w:val="00966C0B"/>
  </w:style>
  <w:style w:type="paragraph" w:styleId="Heading1">
    <w:name w:val="heading 1"/>
    <w:basedOn w:val="Normal"/>
    <w:link w:val="Heading1Char"/>
    <w:uiPriority w:val="9"/>
    <w:qFormat/>
    <w:rsid w:val="00CD2AB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xpressTitle">
    <w:name w:val="Express Title"/>
    <w:basedOn w:val="Normal"/>
    <w:next w:val="Author-BOE"/>
    <w:qFormat/>
    <w:rsid w:val="00966C0B"/>
    <w:pPr>
      <w:spacing w:after="0" w:line="240" w:lineRule="auto"/>
    </w:pPr>
    <w:rPr>
      <w:rFonts w:ascii="Arial" w:hAnsi="Arial"/>
      <w:b/>
      <w:spacing w:val="10"/>
      <w:kern w:val="32"/>
      <w:sz w:val="32"/>
    </w:rPr>
  </w:style>
  <w:style w:type="paragraph" w:customStyle="1" w:styleId="Author-BOE">
    <w:name w:val="Author - BOE"/>
    <w:basedOn w:val="ExpressTitle"/>
    <w:next w:val="ExpressAuthorAffiliation"/>
    <w:qFormat/>
    <w:rsid w:val="00966C0B"/>
    <w:pPr>
      <w:spacing w:before="240" w:after="80"/>
    </w:pPr>
    <w:rPr>
      <w:smallCaps/>
      <w:color w:val="7C130E"/>
      <w:spacing w:val="0"/>
      <w:kern w:val="0"/>
      <w:sz w:val="24"/>
    </w:rPr>
  </w:style>
  <w:style w:type="paragraph" w:customStyle="1" w:styleId="ExpressBodySubsequentParagraph">
    <w:name w:val="Express Body Subsequent Paragraph"/>
    <w:basedOn w:val="ExpressBodyFirstParagraph"/>
    <w:qFormat/>
    <w:rsid w:val="00966C0B"/>
    <w:pPr>
      <w:spacing w:before="0"/>
      <w:ind w:firstLine="288"/>
    </w:pPr>
  </w:style>
  <w:style w:type="paragraph" w:customStyle="1" w:styleId="ExpressAuthorAffiliation">
    <w:name w:val="Express Author Affiliation"/>
    <w:basedOn w:val="NoSpacing"/>
    <w:next w:val="ExpressEmail"/>
    <w:qFormat/>
    <w:rsid w:val="00966C0B"/>
    <w:rPr>
      <w:rFonts w:ascii="Times New Roman" w:hAnsi="Times New Roman"/>
      <w:i/>
      <w:sz w:val="18"/>
    </w:rPr>
  </w:style>
  <w:style w:type="paragraph" w:customStyle="1" w:styleId="Author-OE">
    <w:name w:val="Author - OE"/>
    <w:basedOn w:val="Author-BOE"/>
    <w:next w:val="ExpressAuthorAffiliation"/>
    <w:qFormat/>
    <w:rsid w:val="00966C0B"/>
    <w:rPr>
      <w:color w:val="943634"/>
    </w:rPr>
  </w:style>
  <w:style w:type="paragraph" w:styleId="NoSpacing">
    <w:name w:val="No Spacing"/>
    <w:uiPriority w:val="1"/>
    <w:rsid w:val="00966C0B"/>
    <w:pPr>
      <w:spacing w:after="0" w:line="240" w:lineRule="auto"/>
    </w:pPr>
  </w:style>
  <w:style w:type="paragraph" w:customStyle="1" w:styleId="Author-OME">
    <w:name w:val="Author - OME"/>
    <w:basedOn w:val="Author-BOE"/>
    <w:next w:val="ExpressAuthorAffiliation"/>
    <w:qFormat/>
    <w:rsid w:val="00966C0B"/>
    <w:rPr>
      <w:color w:val="1478B6"/>
    </w:rPr>
  </w:style>
  <w:style w:type="paragraph" w:customStyle="1" w:styleId="ExpressEmail">
    <w:name w:val="Express Email"/>
    <w:basedOn w:val="ExpressAuthorAffiliation"/>
    <w:next w:val="ExpressAbstractBody"/>
    <w:qFormat/>
    <w:rsid w:val="00966C0B"/>
    <w:rPr>
      <w:color w:val="2E2EB1"/>
    </w:rPr>
  </w:style>
  <w:style w:type="paragraph" w:customStyle="1" w:styleId="ExpressReferenceTitle">
    <w:name w:val="Express Reference Title"/>
    <w:next w:val="ExpressReferences"/>
    <w:qFormat/>
    <w:rsid w:val="00966C0B"/>
    <w:pPr>
      <w:pBdr>
        <w:top w:val="single" w:sz="4" w:space="1" w:color="auto"/>
      </w:pBdr>
      <w:spacing w:before="120" w:after="120" w:line="240" w:lineRule="auto"/>
    </w:pPr>
    <w:rPr>
      <w:rFonts w:ascii="Arial" w:hAnsi="Arial"/>
      <w:b/>
      <w:sz w:val="20"/>
    </w:rPr>
  </w:style>
  <w:style w:type="paragraph" w:customStyle="1" w:styleId="ExpressAbstractBody">
    <w:name w:val="Express Abstract Body"/>
    <w:next w:val="ExpressCopyright"/>
    <w:qFormat/>
    <w:rsid w:val="00966C0B"/>
    <w:pPr>
      <w:spacing w:before="240" w:after="0" w:line="240" w:lineRule="auto"/>
      <w:jc w:val="both"/>
    </w:pPr>
    <w:rPr>
      <w:rFonts w:ascii="Times New Roman" w:hAnsi="Times New Roman"/>
      <w:color w:val="000000" w:themeColor="text1"/>
      <w:sz w:val="20"/>
    </w:rPr>
  </w:style>
  <w:style w:type="paragraph" w:customStyle="1" w:styleId="ExpressCopyright">
    <w:name w:val="Express Copyright"/>
    <w:basedOn w:val="ExpressAbstractBody"/>
    <w:next w:val="ExpressOCISCodesBody"/>
    <w:qFormat/>
    <w:rsid w:val="00966C0B"/>
    <w:pPr>
      <w:spacing w:before="80"/>
    </w:pPr>
    <w:rPr>
      <w:sz w:val="16"/>
    </w:rPr>
  </w:style>
  <w:style w:type="paragraph" w:customStyle="1" w:styleId="ExpressOCISCodesBody">
    <w:name w:val="Express OCIS Codes Body"/>
    <w:basedOn w:val="ExpressCopyright"/>
    <w:next w:val="ExpressReferenceTitle"/>
    <w:qFormat/>
    <w:rsid w:val="00966C0B"/>
  </w:style>
  <w:style w:type="paragraph" w:customStyle="1" w:styleId="ExpressReferences">
    <w:name w:val="Express References"/>
    <w:qFormat/>
    <w:rsid w:val="00966C0B"/>
    <w:pPr>
      <w:numPr>
        <w:numId w:val="1"/>
      </w:numPr>
      <w:spacing w:after="0" w:line="240" w:lineRule="auto"/>
    </w:pPr>
    <w:rPr>
      <w:rFonts w:ascii="Times New Roman" w:hAnsi="Times New Roman"/>
      <w:sz w:val="16"/>
    </w:rPr>
  </w:style>
  <w:style w:type="paragraph" w:customStyle="1" w:styleId="ExpressSectionHeader1">
    <w:name w:val="Express Section Header 1"/>
    <w:next w:val="ExpressBodyFirstParagraph"/>
    <w:qFormat/>
    <w:rsid w:val="00966C0B"/>
    <w:pPr>
      <w:numPr>
        <w:numId w:val="5"/>
      </w:numPr>
      <w:spacing w:before="120" w:after="0" w:line="240" w:lineRule="auto"/>
    </w:pPr>
    <w:rPr>
      <w:rFonts w:ascii="Arial" w:hAnsi="Arial"/>
      <w:b/>
      <w:sz w:val="20"/>
    </w:rPr>
  </w:style>
  <w:style w:type="paragraph" w:customStyle="1" w:styleId="ExpressBodyFirstParagraph">
    <w:name w:val="Express Body First Paragraph"/>
    <w:basedOn w:val="ExpressAbstractBody"/>
    <w:qFormat/>
    <w:rsid w:val="00966C0B"/>
    <w:pPr>
      <w:spacing w:before="120"/>
    </w:pPr>
  </w:style>
  <w:style w:type="paragraph" w:customStyle="1" w:styleId="ExpressSectionHeader2">
    <w:name w:val="Express Section Header 2"/>
    <w:basedOn w:val="ExpressSectionHeader1"/>
    <w:next w:val="ExpressBodyFirstParagraph"/>
    <w:qFormat/>
    <w:rsid w:val="00966C0B"/>
    <w:pPr>
      <w:numPr>
        <w:numId w:val="0"/>
      </w:numPr>
    </w:pPr>
    <w:rPr>
      <w:b w:val="0"/>
      <w:i/>
    </w:rPr>
  </w:style>
  <w:style w:type="character" w:styleId="CommentReference">
    <w:name w:val="annotation reference"/>
    <w:basedOn w:val="DefaultParagraphFont"/>
    <w:uiPriority w:val="99"/>
    <w:semiHidden/>
    <w:unhideWhenUsed/>
    <w:rsid w:val="00966C0B"/>
    <w:rPr>
      <w:sz w:val="16"/>
      <w:szCs w:val="16"/>
    </w:rPr>
  </w:style>
  <w:style w:type="paragraph" w:styleId="CommentText">
    <w:name w:val="annotation text"/>
    <w:basedOn w:val="Normal"/>
    <w:link w:val="CommentTextChar"/>
    <w:uiPriority w:val="99"/>
    <w:semiHidden/>
    <w:unhideWhenUsed/>
    <w:rsid w:val="00966C0B"/>
    <w:pPr>
      <w:spacing w:line="240" w:lineRule="auto"/>
    </w:pPr>
    <w:rPr>
      <w:sz w:val="20"/>
      <w:szCs w:val="20"/>
    </w:rPr>
  </w:style>
  <w:style w:type="character" w:customStyle="1" w:styleId="CommentTextChar">
    <w:name w:val="Comment Text Char"/>
    <w:basedOn w:val="DefaultParagraphFont"/>
    <w:link w:val="CommentText"/>
    <w:uiPriority w:val="99"/>
    <w:semiHidden/>
    <w:rsid w:val="00966C0B"/>
    <w:rPr>
      <w:sz w:val="20"/>
      <w:szCs w:val="20"/>
    </w:rPr>
  </w:style>
  <w:style w:type="paragraph" w:styleId="CommentSubject">
    <w:name w:val="annotation subject"/>
    <w:basedOn w:val="CommentText"/>
    <w:next w:val="CommentText"/>
    <w:link w:val="CommentSubjectChar"/>
    <w:uiPriority w:val="99"/>
    <w:semiHidden/>
    <w:unhideWhenUsed/>
    <w:rsid w:val="00966C0B"/>
    <w:rPr>
      <w:b/>
      <w:bCs/>
    </w:rPr>
  </w:style>
  <w:style w:type="character" w:customStyle="1" w:styleId="CommentSubjectChar">
    <w:name w:val="Comment Subject Char"/>
    <w:basedOn w:val="CommentTextChar"/>
    <w:link w:val="CommentSubject"/>
    <w:uiPriority w:val="99"/>
    <w:semiHidden/>
    <w:rsid w:val="00966C0B"/>
    <w:rPr>
      <w:b/>
      <w:bCs/>
      <w:sz w:val="20"/>
      <w:szCs w:val="20"/>
    </w:rPr>
  </w:style>
  <w:style w:type="paragraph" w:styleId="BalloonText">
    <w:name w:val="Balloon Text"/>
    <w:basedOn w:val="Normal"/>
    <w:link w:val="BalloonTextChar"/>
    <w:uiPriority w:val="99"/>
    <w:semiHidden/>
    <w:unhideWhenUsed/>
    <w:rsid w:val="00966C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C0B"/>
    <w:rPr>
      <w:rFonts w:ascii="Tahoma" w:hAnsi="Tahoma" w:cs="Tahoma"/>
      <w:sz w:val="16"/>
      <w:szCs w:val="16"/>
    </w:rPr>
  </w:style>
  <w:style w:type="paragraph" w:customStyle="1" w:styleId="ExpressSectionHeader3">
    <w:name w:val="Express Section Header 3"/>
    <w:basedOn w:val="ExpressSectionHeader2"/>
    <w:next w:val="ExpressBodyFirstParagraph"/>
    <w:qFormat/>
    <w:rsid w:val="00966C0B"/>
    <w:rPr>
      <w:i w:val="0"/>
    </w:rPr>
  </w:style>
  <w:style w:type="paragraph" w:customStyle="1" w:styleId="ExpressFundingSectionHeader">
    <w:name w:val="Express Funding Section Header"/>
    <w:basedOn w:val="ExpressSectionHeader1"/>
    <w:next w:val="ExpressBodyFirstParagraph"/>
    <w:qFormat/>
    <w:rsid w:val="00966C0B"/>
    <w:pPr>
      <w:numPr>
        <w:numId w:val="0"/>
      </w:numPr>
      <w:spacing w:after="120"/>
      <w:ind w:left="360" w:hanging="360"/>
    </w:pPr>
  </w:style>
  <w:style w:type="paragraph" w:customStyle="1" w:styleId="ExpressAcknowledgmentsSectionHeader">
    <w:name w:val="Express Acknowledgments Section Header"/>
    <w:basedOn w:val="ExpressFundingSectionHeader"/>
    <w:next w:val="ExpressBodyFirstParagraph"/>
    <w:qFormat/>
    <w:rsid w:val="00966C0B"/>
  </w:style>
  <w:style w:type="paragraph" w:customStyle="1" w:styleId="ExpressFigureCaptionShort">
    <w:name w:val="Express Figure Caption Short"/>
    <w:basedOn w:val="ExpressBodyFirstParagraph"/>
    <w:next w:val="ExpressBodySubsequentParagraph"/>
    <w:qFormat/>
    <w:rsid w:val="00966C0B"/>
    <w:pPr>
      <w:spacing w:after="120"/>
      <w:ind w:left="720" w:right="720"/>
      <w:jc w:val="center"/>
    </w:pPr>
    <w:rPr>
      <w:sz w:val="16"/>
    </w:rPr>
  </w:style>
  <w:style w:type="paragraph" w:customStyle="1" w:styleId="ExpressFigureCaptionLong">
    <w:name w:val="Express Figure Caption Long"/>
    <w:basedOn w:val="ExpressFigureCaptionShort"/>
    <w:next w:val="ExpressBodySubsequentParagraph"/>
    <w:qFormat/>
    <w:rsid w:val="00966C0B"/>
    <w:pPr>
      <w:jc w:val="both"/>
    </w:pPr>
  </w:style>
  <w:style w:type="paragraph" w:customStyle="1" w:styleId="ExpressTableCaption">
    <w:name w:val="Express Table Caption"/>
    <w:basedOn w:val="ExpressBodyFirstParagraph"/>
    <w:next w:val="ExpressBodySubsequentParagraph"/>
    <w:qFormat/>
    <w:rsid w:val="00966C0B"/>
    <w:pPr>
      <w:spacing w:before="240" w:after="160"/>
      <w:jc w:val="center"/>
    </w:pPr>
    <w:rPr>
      <w:b/>
      <w:sz w:val="16"/>
    </w:rPr>
  </w:style>
  <w:style w:type="paragraph" w:customStyle="1" w:styleId="ExpressEquation">
    <w:name w:val="Express Equation"/>
    <w:basedOn w:val="ExpressBodySubsequentParagraph"/>
    <w:next w:val="ExpressBodySubsequentParagraph"/>
    <w:qFormat/>
    <w:rsid w:val="00966C0B"/>
    <w:pPr>
      <w:tabs>
        <w:tab w:val="center" w:pos="4320"/>
        <w:tab w:val="right" w:pos="7560"/>
      </w:tabs>
      <w:spacing w:before="120"/>
      <w:ind w:firstLine="0"/>
      <w:jc w:val="left"/>
    </w:pPr>
  </w:style>
  <w:style w:type="paragraph" w:customStyle="1" w:styleId="ExpressTableFootnote">
    <w:name w:val="Express Table Footnote"/>
    <w:basedOn w:val="ExpressBodyFirstParagraph"/>
    <w:next w:val="ExpressBodySubsequentParagraph"/>
    <w:rsid w:val="00966C0B"/>
    <w:pPr>
      <w:spacing w:after="120"/>
    </w:pPr>
    <w:rPr>
      <w:sz w:val="16"/>
    </w:rPr>
  </w:style>
  <w:style w:type="paragraph" w:customStyle="1" w:styleId="ExpressTableBody">
    <w:name w:val="Express Table Body"/>
    <w:basedOn w:val="ExpressBodyFirstParagraph"/>
    <w:next w:val="ExpressBodySubsequentParagraph"/>
    <w:qFormat/>
    <w:rsid w:val="00966C0B"/>
    <w:pPr>
      <w:spacing w:before="0" w:after="80"/>
    </w:pPr>
    <w:rPr>
      <w:sz w:val="16"/>
    </w:rPr>
  </w:style>
  <w:style w:type="paragraph" w:customStyle="1" w:styleId="ExpressNumberList1">
    <w:name w:val="Express Number List 1"/>
    <w:basedOn w:val="ExpressBodySubsequentParagraph"/>
    <w:rsid w:val="00FC5DCC"/>
    <w:pPr>
      <w:spacing w:before="120"/>
      <w:ind w:left="1080" w:hanging="360"/>
    </w:pPr>
  </w:style>
  <w:style w:type="paragraph" w:customStyle="1" w:styleId="ExpressWebAddress">
    <w:name w:val="Express Web Address"/>
    <w:basedOn w:val="ExpressEmail"/>
    <w:next w:val="ExpressAbstractBody"/>
    <w:rsid w:val="00966C0B"/>
  </w:style>
  <w:style w:type="paragraph" w:customStyle="1" w:styleId="ExpressFigure">
    <w:name w:val="Express Figure"/>
    <w:basedOn w:val="ExpressBodyFirstParagraph"/>
    <w:next w:val="ExpressFigureCaptionLong"/>
    <w:rsid w:val="00966C0B"/>
    <w:pPr>
      <w:jc w:val="center"/>
    </w:pPr>
    <w:rPr>
      <w:sz w:val="16"/>
    </w:rPr>
  </w:style>
  <w:style w:type="paragraph" w:customStyle="1" w:styleId="ExpressNumberList2">
    <w:name w:val="Express Number List 2"/>
    <w:basedOn w:val="ExpressNumberList1"/>
    <w:rsid w:val="00EC0262"/>
    <w:pPr>
      <w:ind w:left="1440"/>
    </w:pPr>
  </w:style>
  <w:style w:type="paragraph" w:customStyle="1" w:styleId="ExpressUnnumberedList">
    <w:name w:val="Express Unnumbered List"/>
    <w:basedOn w:val="ExpressListNumber1"/>
    <w:rsid w:val="00EF6ED7"/>
    <w:pPr>
      <w:numPr>
        <w:numId w:val="0"/>
      </w:numPr>
      <w:ind w:left="360"/>
    </w:pPr>
  </w:style>
  <w:style w:type="paragraph" w:customStyle="1" w:styleId="ExpressBulletedList">
    <w:name w:val="Express Bulleted List"/>
    <w:basedOn w:val="ExpressUnnumberedList"/>
    <w:rsid w:val="00A035D7"/>
    <w:pPr>
      <w:ind w:left="1080" w:hanging="360"/>
    </w:pPr>
  </w:style>
  <w:style w:type="character" w:styleId="Hyperlink">
    <w:name w:val="Hyperlink"/>
    <w:uiPriority w:val="99"/>
    <w:rsid w:val="0086667D"/>
    <w:rPr>
      <w:color w:val="0000FF"/>
      <w:u w:val="single"/>
    </w:rPr>
  </w:style>
  <w:style w:type="paragraph" w:customStyle="1" w:styleId="OEBody">
    <w:name w:val="OE Body"/>
    <w:next w:val="Normal"/>
    <w:rsid w:val="0086667D"/>
    <w:pPr>
      <w:spacing w:before="120" w:after="0" w:line="240" w:lineRule="auto"/>
      <w:jc w:val="both"/>
    </w:pPr>
    <w:rPr>
      <w:rFonts w:ascii="Times New Roman" w:eastAsia="Times New Roman" w:hAnsi="Times New Roman" w:cs="Times New Roman"/>
      <w:sz w:val="20"/>
      <w:szCs w:val="20"/>
    </w:rPr>
  </w:style>
  <w:style w:type="table" w:styleId="TableGrid">
    <w:name w:val="Table Grid"/>
    <w:basedOn w:val="TableNormal"/>
    <w:uiPriority w:val="59"/>
    <w:rsid w:val="00866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ressListNumber1">
    <w:name w:val="Express List Number 1"/>
    <w:basedOn w:val="ExpressBodySubsequentParagraph"/>
    <w:rsid w:val="00966C0B"/>
    <w:pPr>
      <w:numPr>
        <w:numId w:val="7"/>
      </w:numPr>
      <w:spacing w:before="120"/>
    </w:pPr>
  </w:style>
  <w:style w:type="paragraph" w:customStyle="1" w:styleId="ExpressListNumber2">
    <w:name w:val="Express List Number 2"/>
    <w:basedOn w:val="ExpressListNumber1"/>
    <w:rsid w:val="00966C0B"/>
    <w:pPr>
      <w:numPr>
        <w:numId w:val="8"/>
      </w:numPr>
    </w:pPr>
  </w:style>
  <w:style w:type="paragraph" w:customStyle="1" w:styleId="ExpressListBulleted">
    <w:name w:val="Express List Bulleted"/>
    <w:basedOn w:val="ExpressListUnnumbered"/>
    <w:rsid w:val="00966C0B"/>
    <w:pPr>
      <w:numPr>
        <w:numId w:val="9"/>
      </w:numPr>
    </w:pPr>
  </w:style>
  <w:style w:type="paragraph" w:customStyle="1" w:styleId="ExpressListUnnumbered">
    <w:name w:val="Express List Unnumbered"/>
    <w:basedOn w:val="ExpressListNumber1"/>
    <w:rsid w:val="00966C0B"/>
    <w:pPr>
      <w:numPr>
        <w:numId w:val="0"/>
      </w:numPr>
      <w:ind w:left="360"/>
    </w:pPr>
  </w:style>
  <w:style w:type="character" w:styleId="FollowedHyperlink">
    <w:name w:val="FollowedHyperlink"/>
    <w:basedOn w:val="DefaultParagraphFont"/>
    <w:uiPriority w:val="99"/>
    <w:semiHidden/>
    <w:unhideWhenUsed/>
    <w:rsid w:val="009D703D"/>
    <w:rPr>
      <w:color w:val="800080" w:themeColor="followedHyperlink"/>
      <w:u w:val="single"/>
    </w:rPr>
  </w:style>
  <w:style w:type="character" w:styleId="Strong">
    <w:name w:val="Strong"/>
    <w:basedOn w:val="DefaultParagraphFont"/>
    <w:uiPriority w:val="22"/>
    <w:qFormat/>
    <w:rsid w:val="006431DA"/>
    <w:rPr>
      <w:b/>
      <w:bCs/>
    </w:rPr>
  </w:style>
  <w:style w:type="paragraph" w:styleId="NormalWeb">
    <w:name w:val="Normal (Web)"/>
    <w:basedOn w:val="Normal"/>
    <w:uiPriority w:val="99"/>
    <w:semiHidden/>
    <w:unhideWhenUsed/>
    <w:rsid w:val="006431DA"/>
    <w:pPr>
      <w:spacing w:after="180" w:line="347" w:lineRule="atLeast"/>
    </w:pPr>
    <w:rPr>
      <w:rFonts w:ascii="Helvetica" w:eastAsia="Times New Roman" w:hAnsi="Helvetica" w:cs="Helvetica"/>
      <w:sz w:val="21"/>
      <w:szCs w:val="21"/>
    </w:rPr>
  </w:style>
  <w:style w:type="character" w:customStyle="1" w:styleId="term">
    <w:name w:val="term"/>
    <w:basedOn w:val="DefaultParagraphFont"/>
    <w:rsid w:val="00047ED2"/>
  </w:style>
  <w:style w:type="paragraph" w:styleId="ListParagraph">
    <w:name w:val="List Paragraph"/>
    <w:basedOn w:val="Normal"/>
    <w:uiPriority w:val="34"/>
    <w:qFormat/>
    <w:rsid w:val="008F22B4"/>
    <w:pPr>
      <w:spacing w:after="0" w:line="240" w:lineRule="auto"/>
      <w:ind w:left="720"/>
      <w:contextualSpacing/>
    </w:pPr>
    <w:rPr>
      <w:rFonts w:ascii="Times New Roman" w:eastAsia="Times New Roman" w:hAnsi="Times New Roman" w:cs="Times New Roman"/>
      <w:sz w:val="20"/>
      <w:szCs w:val="20"/>
      <w:lang w:val="da-DK" w:eastAsia="da-DK"/>
    </w:rPr>
  </w:style>
  <w:style w:type="character" w:customStyle="1" w:styleId="Heading1Char">
    <w:name w:val="Heading 1 Char"/>
    <w:basedOn w:val="DefaultParagraphFont"/>
    <w:link w:val="Heading1"/>
    <w:uiPriority w:val="9"/>
    <w:rsid w:val="00CD2AB0"/>
    <w:rPr>
      <w:rFonts w:ascii="Times New Roman" w:eastAsia="Times New Roman" w:hAnsi="Times New Roman" w:cs="Times New Roman"/>
      <w:b/>
      <w:bCs/>
      <w:kern w:val="36"/>
      <w:sz w:val="48"/>
      <w:szCs w:val="48"/>
      <w:lang w:val="en-GB" w:eastAsia="zh-CN"/>
    </w:rPr>
  </w:style>
  <w:style w:type="character" w:customStyle="1" w:styleId="ng-binding">
    <w:name w:val="ng-binding"/>
    <w:basedOn w:val="DefaultParagraphFont"/>
    <w:rsid w:val="00CD2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303321">
      <w:bodyDiv w:val="1"/>
      <w:marLeft w:val="0"/>
      <w:marRight w:val="0"/>
      <w:marTop w:val="0"/>
      <w:marBottom w:val="0"/>
      <w:divBdr>
        <w:top w:val="none" w:sz="0" w:space="0" w:color="auto"/>
        <w:left w:val="none" w:sz="0" w:space="0" w:color="auto"/>
        <w:bottom w:val="none" w:sz="0" w:space="0" w:color="auto"/>
        <w:right w:val="none" w:sz="0" w:space="0" w:color="auto"/>
      </w:divBdr>
      <w:divsChild>
        <w:div w:id="2032878592">
          <w:marLeft w:val="0"/>
          <w:marRight w:val="0"/>
          <w:marTop w:val="0"/>
          <w:marBottom w:val="0"/>
          <w:divBdr>
            <w:top w:val="none" w:sz="0" w:space="0" w:color="auto"/>
            <w:left w:val="none" w:sz="0" w:space="0" w:color="auto"/>
            <w:bottom w:val="none" w:sz="0" w:space="0" w:color="auto"/>
            <w:right w:val="none" w:sz="0" w:space="0" w:color="auto"/>
          </w:divBdr>
        </w:div>
        <w:div w:id="1329939676">
          <w:marLeft w:val="0"/>
          <w:marRight w:val="0"/>
          <w:marTop w:val="0"/>
          <w:marBottom w:val="0"/>
          <w:divBdr>
            <w:top w:val="none" w:sz="0" w:space="0" w:color="auto"/>
            <w:left w:val="none" w:sz="0" w:space="0" w:color="auto"/>
            <w:bottom w:val="none" w:sz="0" w:space="0" w:color="auto"/>
            <w:right w:val="none" w:sz="0" w:space="0" w:color="auto"/>
          </w:divBdr>
        </w:div>
        <w:div w:id="1370257285">
          <w:marLeft w:val="0"/>
          <w:marRight w:val="0"/>
          <w:marTop w:val="0"/>
          <w:marBottom w:val="0"/>
          <w:divBdr>
            <w:top w:val="none" w:sz="0" w:space="0" w:color="auto"/>
            <w:left w:val="none" w:sz="0" w:space="0" w:color="auto"/>
            <w:bottom w:val="none" w:sz="0" w:space="0" w:color="auto"/>
            <w:right w:val="none" w:sz="0" w:space="0" w:color="auto"/>
          </w:divBdr>
        </w:div>
        <w:div w:id="1641034838">
          <w:marLeft w:val="0"/>
          <w:marRight w:val="0"/>
          <w:marTop w:val="0"/>
          <w:marBottom w:val="0"/>
          <w:divBdr>
            <w:top w:val="none" w:sz="0" w:space="0" w:color="auto"/>
            <w:left w:val="none" w:sz="0" w:space="0" w:color="auto"/>
            <w:bottom w:val="none" w:sz="0" w:space="0" w:color="auto"/>
            <w:right w:val="none" w:sz="0" w:space="0" w:color="auto"/>
          </w:divBdr>
        </w:div>
        <w:div w:id="1725248473">
          <w:marLeft w:val="0"/>
          <w:marRight w:val="0"/>
          <w:marTop w:val="0"/>
          <w:marBottom w:val="0"/>
          <w:divBdr>
            <w:top w:val="none" w:sz="0" w:space="0" w:color="auto"/>
            <w:left w:val="none" w:sz="0" w:space="0" w:color="auto"/>
            <w:bottom w:val="none" w:sz="0" w:space="0" w:color="auto"/>
            <w:right w:val="none" w:sz="0" w:space="0" w:color="auto"/>
          </w:divBdr>
        </w:div>
        <w:div w:id="631598054">
          <w:marLeft w:val="0"/>
          <w:marRight w:val="0"/>
          <w:marTop w:val="0"/>
          <w:marBottom w:val="0"/>
          <w:divBdr>
            <w:top w:val="none" w:sz="0" w:space="0" w:color="auto"/>
            <w:left w:val="none" w:sz="0" w:space="0" w:color="auto"/>
            <w:bottom w:val="none" w:sz="0" w:space="0" w:color="auto"/>
            <w:right w:val="none" w:sz="0" w:space="0" w:color="auto"/>
          </w:divBdr>
        </w:div>
        <w:div w:id="2017225374">
          <w:marLeft w:val="0"/>
          <w:marRight w:val="0"/>
          <w:marTop w:val="0"/>
          <w:marBottom w:val="0"/>
          <w:divBdr>
            <w:top w:val="none" w:sz="0" w:space="0" w:color="auto"/>
            <w:left w:val="none" w:sz="0" w:space="0" w:color="auto"/>
            <w:bottom w:val="none" w:sz="0" w:space="0" w:color="auto"/>
            <w:right w:val="none" w:sz="0" w:space="0" w:color="auto"/>
          </w:divBdr>
        </w:div>
        <w:div w:id="1168402749">
          <w:marLeft w:val="0"/>
          <w:marRight w:val="0"/>
          <w:marTop w:val="0"/>
          <w:marBottom w:val="0"/>
          <w:divBdr>
            <w:top w:val="none" w:sz="0" w:space="0" w:color="auto"/>
            <w:left w:val="none" w:sz="0" w:space="0" w:color="auto"/>
            <w:bottom w:val="none" w:sz="0" w:space="0" w:color="auto"/>
            <w:right w:val="none" w:sz="0" w:space="0" w:color="auto"/>
          </w:divBdr>
        </w:div>
        <w:div w:id="1643271922">
          <w:marLeft w:val="0"/>
          <w:marRight w:val="0"/>
          <w:marTop w:val="0"/>
          <w:marBottom w:val="0"/>
          <w:divBdr>
            <w:top w:val="none" w:sz="0" w:space="0" w:color="auto"/>
            <w:left w:val="none" w:sz="0" w:space="0" w:color="auto"/>
            <w:bottom w:val="none" w:sz="0" w:space="0" w:color="auto"/>
            <w:right w:val="none" w:sz="0" w:space="0" w:color="auto"/>
          </w:divBdr>
        </w:div>
      </w:divsChild>
    </w:div>
    <w:div w:id="688264290">
      <w:bodyDiv w:val="1"/>
      <w:marLeft w:val="0"/>
      <w:marRight w:val="0"/>
      <w:marTop w:val="0"/>
      <w:marBottom w:val="0"/>
      <w:divBdr>
        <w:top w:val="none" w:sz="0" w:space="0" w:color="auto"/>
        <w:left w:val="none" w:sz="0" w:space="0" w:color="auto"/>
        <w:bottom w:val="none" w:sz="0" w:space="0" w:color="auto"/>
        <w:right w:val="none" w:sz="0" w:space="0" w:color="auto"/>
      </w:divBdr>
    </w:div>
    <w:div w:id="826675387">
      <w:bodyDiv w:val="1"/>
      <w:marLeft w:val="0"/>
      <w:marRight w:val="0"/>
      <w:marTop w:val="0"/>
      <w:marBottom w:val="0"/>
      <w:divBdr>
        <w:top w:val="none" w:sz="0" w:space="0" w:color="auto"/>
        <w:left w:val="none" w:sz="0" w:space="0" w:color="auto"/>
        <w:bottom w:val="none" w:sz="0" w:space="0" w:color="auto"/>
        <w:right w:val="none" w:sz="0" w:space="0" w:color="auto"/>
      </w:divBdr>
      <w:divsChild>
        <w:div w:id="1260528876">
          <w:marLeft w:val="0"/>
          <w:marRight w:val="0"/>
          <w:marTop w:val="0"/>
          <w:marBottom w:val="0"/>
          <w:divBdr>
            <w:top w:val="none" w:sz="0" w:space="0" w:color="auto"/>
            <w:left w:val="none" w:sz="0" w:space="0" w:color="auto"/>
            <w:bottom w:val="none" w:sz="0" w:space="0" w:color="auto"/>
            <w:right w:val="none" w:sz="0" w:space="0" w:color="auto"/>
          </w:divBdr>
        </w:div>
        <w:div w:id="244146207">
          <w:marLeft w:val="0"/>
          <w:marRight w:val="0"/>
          <w:marTop w:val="0"/>
          <w:marBottom w:val="0"/>
          <w:divBdr>
            <w:top w:val="none" w:sz="0" w:space="0" w:color="auto"/>
            <w:left w:val="none" w:sz="0" w:space="0" w:color="auto"/>
            <w:bottom w:val="none" w:sz="0" w:space="0" w:color="auto"/>
            <w:right w:val="none" w:sz="0" w:space="0" w:color="auto"/>
          </w:divBdr>
        </w:div>
        <w:div w:id="599991539">
          <w:marLeft w:val="0"/>
          <w:marRight w:val="0"/>
          <w:marTop w:val="0"/>
          <w:marBottom w:val="0"/>
          <w:divBdr>
            <w:top w:val="none" w:sz="0" w:space="0" w:color="auto"/>
            <w:left w:val="none" w:sz="0" w:space="0" w:color="auto"/>
            <w:bottom w:val="none" w:sz="0" w:space="0" w:color="auto"/>
            <w:right w:val="none" w:sz="0" w:space="0" w:color="auto"/>
          </w:divBdr>
        </w:div>
        <w:div w:id="30226302">
          <w:marLeft w:val="0"/>
          <w:marRight w:val="0"/>
          <w:marTop w:val="0"/>
          <w:marBottom w:val="0"/>
          <w:divBdr>
            <w:top w:val="none" w:sz="0" w:space="0" w:color="auto"/>
            <w:left w:val="none" w:sz="0" w:space="0" w:color="auto"/>
            <w:bottom w:val="none" w:sz="0" w:space="0" w:color="auto"/>
            <w:right w:val="none" w:sz="0" w:space="0" w:color="auto"/>
          </w:divBdr>
        </w:div>
        <w:div w:id="1829515818">
          <w:marLeft w:val="0"/>
          <w:marRight w:val="0"/>
          <w:marTop w:val="0"/>
          <w:marBottom w:val="0"/>
          <w:divBdr>
            <w:top w:val="none" w:sz="0" w:space="0" w:color="auto"/>
            <w:left w:val="none" w:sz="0" w:space="0" w:color="auto"/>
            <w:bottom w:val="none" w:sz="0" w:space="0" w:color="auto"/>
            <w:right w:val="none" w:sz="0" w:space="0" w:color="auto"/>
          </w:divBdr>
        </w:div>
        <w:div w:id="264191040">
          <w:marLeft w:val="0"/>
          <w:marRight w:val="0"/>
          <w:marTop w:val="0"/>
          <w:marBottom w:val="0"/>
          <w:divBdr>
            <w:top w:val="none" w:sz="0" w:space="0" w:color="auto"/>
            <w:left w:val="none" w:sz="0" w:space="0" w:color="auto"/>
            <w:bottom w:val="none" w:sz="0" w:space="0" w:color="auto"/>
            <w:right w:val="none" w:sz="0" w:space="0" w:color="auto"/>
          </w:divBdr>
        </w:div>
        <w:div w:id="1951467369">
          <w:marLeft w:val="0"/>
          <w:marRight w:val="0"/>
          <w:marTop w:val="0"/>
          <w:marBottom w:val="0"/>
          <w:divBdr>
            <w:top w:val="none" w:sz="0" w:space="0" w:color="auto"/>
            <w:left w:val="none" w:sz="0" w:space="0" w:color="auto"/>
            <w:bottom w:val="none" w:sz="0" w:space="0" w:color="auto"/>
            <w:right w:val="none" w:sz="0" w:space="0" w:color="auto"/>
          </w:divBdr>
        </w:div>
        <w:div w:id="1386946082">
          <w:marLeft w:val="0"/>
          <w:marRight w:val="0"/>
          <w:marTop w:val="0"/>
          <w:marBottom w:val="0"/>
          <w:divBdr>
            <w:top w:val="none" w:sz="0" w:space="0" w:color="auto"/>
            <w:left w:val="none" w:sz="0" w:space="0" w:color="auto"/>
            <w:bottom w:val="none" w:sz="0" w:space="0" w:color="auto"/>
            <w:right w:val="none" w:sz="0" w:space="0" w:color="auto"/>
          </w:divBdr>
        </w:div>
        <w:div w:id="472022108">
          <w:marLeft w:val="0"/>
          <w:marRight w:val="0"/>
          <w:marTop w:val="0"/>
          <w:marBottom w:val="0"/>
          <w:divBdr>
            <w:top w:val="none" w:sz="0" w:space="0" w:color="auto"/>
            <w:left w:val="none" w:sz="0" w:space="0" w:color="auto"/>
            <w:bottom w:val="none" w:sz="0" w:space="0" w:color="auto"/>
            <w:right w:val="none" w:sz="0" w:space="0" w:color="auto"/>
          </w:divBdr>
        </w:div>
        <w:div w:id="2105298137">
          <w:marLeft w:val="0"/>
          <w:marRight w:val="0"/>
          <w:marTop w:val="0"/>
          <w:marBottom w:val="0"/>
          <w:divBdr>
            <w:top w:val="none" w:sz="0" w:space="0" w:color="auto"/>
            <w:left w:val="none" w:sz="0" w:space="0" w:color="auto"/>
            <w:bottom w:val="none" w:sz="0" w:space="0" w:color="auto"/>
            <w:right w:val="none" w:sz="0" w:space="0" w:color="auto"/>
          </w:divBdr>
        </w:div>
        <w:div w:id="1161966765">
          <w:marLeft w:val="0"/>
          <w:marRight w:val="0"/>
          <w:marTop w:val="0"/>
          <w:marBottom w:val="0"/>
          <w:divBdr>
            <w:top w:val="none" w:sz="0" w:space="0" w:color="auto"/>
            <w:left w:val="none" w:sz="0" w:space="0" w:color="auto"/>
            <w:bottom w:val="none" w:sz="0" w:space="0" w:color="auto"/>
            <w:right w:val="none" w:sz="0" w:space="0" w:color="auto"/>
          </w:divBdr>
        </w:div>
        <w:div w:id="1697734002">
          <w:marLeft w:val="0"/>
          <w:marRight w:val="0"/>
          <w:marTop w:val="0"/>
          <w:marBottom w:val="0"/>
          <w:divBdr>
            <w:top w:val="none" w:sz="0" w:space="0" w:color="auto"/>
            <w:left w:val="none" w:sz="0" w:space="0" w:color="auto"/>
            <w:bottom w:val="none" w:sz="0" w:space="0" w:color="auto"/>
            <w:right w:val="none" w:sz="0" w:space="0" w:color="auto"/>
          </w:divBdr>
        </w:div>
        <w:div w:id="247925548">
          <w:marLeft w:val="0"/>
          <w:marRight w:val="0"/>
          <w:marTop w:val="0"/>
          <w:marBottom w:val="0"/>
          <w:divBdr>
            <w:top w:val="none" w:sz="0" w:space="0" w:color="auto"/>
            <w:left w:val="none" w:sz="0" w:space="0" w:color="auto"/>
            <w:bottom w:val="none" w:sz="0" w:space="0" w:color="auto"/>
            <w:right w:val="none" w:sz="0" w:space="0" w:color="auto"/>
          </w:divBdr>
        </w:div>
      </w:divsChild>
    </w:div>
    <w:div w:id="1052734567">
      <w:bodyDiv w:val="1"/>
      <w:marLeft w:val="0"/>
      <w:marRight w:val="0"/>
      <w:marTop w:val="0"/>
      <w:marBottom w:val="0"/>
      <w:divBdr>
        <w:top w:val="none" w:sz="0" w:space="0" w:color="auto"/>
        <w:left w:val="none" w:sz="0" w:space="0" w:color="auto"/>
        <w:bottom w:val="none" w:sz="0" w:space="0" w:color="auto"/>
        <w:right w:val="none" w:sz="0" w:space="0" w:color="auto"/>
      </w:divBdr>
      <w:divsChild>
        <w:div w:id="2062165130">
          <w:marLeft w:val="0"/>
          <w:marRight w:val="0"/>
          <w:marTop w:val="0"/>
          <w:marBottom w:val="0"/>
          <w:divBdr>
            <w:top w:val="none" w:sz="0" w:space="0" w:color="auto"/>
            <w:left w:val="none" w:sz="0" w:space="0" w:color="auto"/>
            <w:bottom w:val="none" w:sz="0" w:space="0" w:color="auto"/>
            <w:right w:val="none" w:sz="0" w:space="0" w:color="auto"/>
          </w:divBdr>
        </w:div>
        <w:div w:id="1172112422">
          <w:marLeft w:val="0"/>
          <w:marRight w:val="0"/>
          <w:marTop w:val="0"/>
          <w:marBottom w:val="0"/>
          <w:divBdr>
            <w:top w:val="none" w:sz="0" w:space="0" w:color="auto"/>
            <w:left w:val="none" w:sz="0" w:space="0" w:color="auto"/>
            <w:bottom w:val="none" w:sz="0" w:space="0" w:color="auto"/>
            <w:right w:val="none" w:sz="0" w:space="0" w:color="auto"/>
          </w:divBdr>
        </w:div>
        <w:div w:id="1058363126">
          <w:marLeft w:val="0"/>
          <w:marRight w:val="0"/>
          <w:marTop w:val="0"/>
          <w:marBottom w:val="0"/>
          <w:divBdr>
            <w:top w:val="none" w:sz="0" w:space="0" w:color="auto"/>
            <w:left w:val="none" w:sz="0" w:space="0" w:color="auto"/>
            <w:bottom w:val="none" w:sz="0" w:space="0" w:color="auto"/>
            <w:right w:val="none" w:sz="0" w:space="0" w:color="auto"/>
          </w:divBdr>
        </w:div>
        <w:div w:id="1175192121">
          <w:marLeft w:val="0"/>
          <w:marRight w:val="0"/>
          <w:marTop w:val="0"/>
          <w:marBottom w:val="0"/>
          <w:divBdr>
            <w:top w:val="none" w:sz="0" w:space="0" w:color="auto"/>
            <w:left w:val="none" w:sz="0" w:space="0" w:color="auto"/>
            <w:bottom w:val="none" w:sz="0" w:space="0" w:color="auto"/>
            <w:right w:val="none" w:sz="0" w:space="0" w:color="auto"/>
          </w:divBdr>
        </w:div>
      </w:divsChild>
    </w:div>
    <w:div w:id="1152284422">
      <w:bodyDiv w:val="1"/>
      <w:marLeft w:val="0"/>
      <w:marRight w:val="0"/>
      <w:marTop w:val="0"/>
      <w:marBottom w:val="0"/>
      <w:divBdr>
        <w:top w:val="none" w:sz="0" w:space="0" w:color="auto"/>
        <w:left w:val="none" w:sz="0" w:space="0" w:color="auto"/>
        <w:bottom w:val="none" w:sz="0" w:space="0" w:color="auto"/>
        <w:right w:val="none" w:sz="0" w:space="0" w:color="auto"/>
      </w:divBdr>
    </w:div>
    <w:div w:id="1170020634">
      <w:bodyDiv w:val="1"/>
      <w:marLeft w:val="0"/>
      <w:marRight w:val="0"/>
      <w:marTop w:val="0"/>
      <w:marBottom w:val="0"/>
      <w:divBdr>
        <w:top w:val="none" w:sz="0" w:space="0" w:color="auto"/>
        <w:left w:val="none" w:sz="0" w:space="0" w:color="auto"/>
        <w:bottom w:val="none" w:sz="0" w:space="0" w:color="auto"/>
        <w:right w:val="none" w:sz="0" w:space="0" w:color="auto"/>
      </w:divBdr>
      <w:divsChild>
        <w:div w:id="469130085">
          <w:marLeft w:val="0"/>
          <w:marRight w:val="0"/>
          <w:marTop w:val="0"/>
          <w:marBottom w:val="0"/>
          <w:divBdr>
            <w:top w:val="none" w:sz="0" w:space="0" w:color="auto"/>
            <w:left w:val="none" w:sz="0" w:space="0" w:color="auto"/>
            <w:bottom w:val="none" w:sz="0" w:space="0" w:color="auto"/>
            <w:right w:val="none" w:sz="0" w:space="0" w:color="auto"/>
          </w:divBdr>
          <w:divsChild>
            <w:div w:id="879391269">
              <w:marLeft w:val="0"/>
              <w:marRight w:val="0"/>
              <w:marTop w:val="0"/>
              <w:marBottom w:val="0"/>
              <w:divBdr>
                <w:top w:val="none" w:sz="0" w:space="0" w:color="auto"/>
                <w:left w:val="none" w:sz="0" w:space="0" w:color="auto"/>
                <w:bottom w:val="none" w:sz="0" w:space="0" w:color="auto"/>
                <w:right w:val="none" w:sz="0" w:space="0" w:color="auto"/>
              </w:divBdr>
              <w:divsChild>
                <w:div w:id="1505588620">
                  <w:marLeft w:val="-300"/>
                  <w:marRight w:val="-300"/>
                  <w:marTop w:val="0"/>
                  <w:marBottom w:val="0"/>
                  <w:divBdr>
                    <w:top w:val="none" w:sz="0" w:space="0" w:color="auto"/>
                    <w:left w:val="none" w:sz="0" w:space="0" w:color="auto"/>
                    <w:bottom w:val="none" w:sz="0" w:space="0" w:color="auto"/>
                    <w:right w:val="none" w:sz="0" w:space="0" w:color="auto"/>
                  </w:divBdr>
                  <w:divsChild>
                    <w:div w:id="11837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672991">
      <w:bodyDiv w:val="1"/>
      <w:marLeft w:val="0"/>
      <w:marRight w:val="0"/>
      <w:marTop w:val="0"/>
      <w:marBottom w:val="0"/>
      <w:divBdr>
        <w:top w:val="none" w:sz="0" w:space="0" w:color="auto"/>
        <w:left w:val="none" w:sz="0" w:space="0" w:color="auto"/>
        <w:bottom w:val="none" w:sz="0" w:space="0" w:color="auto"/>
        <w:right w:val="none" w:sz="0" w:space="0" w:color="auto"/>
      </w:divBdr>
      <w:divsChild>
        <w:div w:id="1771580419">
          <w:marLeft w:val="0"/>
          <w:marRight w:val="0"/>
          <w:marTop w:val="0"/>
          <w:marBottom w:val="0"/>
          <w:divBdr>
            <w:top w:val="none" w:sz="0" w:space="0" w:color="auto"/>
            <w:left w:val="none" w:sz="0" w:space="0" w:color="auto"/>
            <w:bottom w:val="none" w:sz="0" w:space="0" w:color="auto"/>
            <w:right w:val="none" w:sz="0" w:space="0" w:color="auto"/>
          </w:divBdr>
        </w:div>
        <w:div w:id="57438891">
          <w:marLeft w:val="0"/>
          <w:marRight w:val="0"/>
          <w:marTop w:val="0"/>
          <w:marBottom w:val="0"/>
          <w:divBdr>
            <w:top w:val="none" w:sz="0" w:space="0" w:color="auto"/>
            <w:left w:val="none" w:sz="0" w:space="0" w:color="auto"/>
            <w:bottom w:val="none" w:sz="0" w:space="0" w:color="auto"/>
            <w:right w:val="none" w:sz="0" w:space="0" w:color="auto"/>
          </w:divBdr>
        </w:div>
        <w:div w:id="892428897">
          <w:marLeft w:val="0"/>
          <w:marRight w:val="0"/>
          <w:marTop w:val="0"/>
          <w:marBottom w:val="0"/>
          <w:divBdr>
            <w:top w:val="none" w:sz="0" w:space="0" w:color="auto"/>
            <w:left w:val="none" w:sz="0" w:space="0" w:color="auto"/>
            <w:bottom w:val="none" w:sz="0" w:space="0" w:color="auto"/>
            <w:right w:val="none" w:sz="0" w:space="0" w:color="auto"/>
          </w:divBdr>
        </w:div>
        <w:div w:id="940575544">
          <w:marLeft w:val="0"/>
          <w:marRight w:val="0"/>
          <w:marTop w:val="0"/>
          <w:marBottom w:val="0"/>
          <w:divBdr>
            <w:top w:val="none" w:sz="0" w:space="0" w:color="auto"/>
            <w:left w:val="none" w:sz="0" w:space="0" w:color="auto"/>
            <w:bottom w:val="none" w:sz="0" w:space="0" w:color="auto"/>
            <w:right w:val="none" w:sz="0" w:space="0" w:color="auto"/>
          </w:divBdr>
        </w:div>
        <w:div w:id="2094008189">
          <w:marLeft w:val="0"/>
          <w:marRight w:val="0"/>
          <w:marTop w:val="0"/>
          <w:marBottom w:val="0"/>
          <w:divBdr>
            <w:top w:val="none" w:sz="0" w:space="0" w:color="auto"/>
            <w:left w:val="none" w:sz="0" w:space="0" w:color="auto"/>
            <w:bottom w:val="none" w:sz="0" w:space="0" w:color="auto"/>
            <w:right w:val="none" w:sz="0" w:space="0" w:color="auto"/>
          </w:divBdr>
        </w:div>
      </w:divsChild>
    </w:div>
    <w:div w:id="1843088336">
      <w:bodyDiv w:val="1"/>
      <w:marLeft w:val="0"/>
      <w:marRight w:val="0"/>
      <w:marTop w:val="0"/>
      <w:marBottom w:val="0"/>
      <w:divBdr>
        <w:top w:val="none" w:sz="0" w:space="0" w:color="auto"/>
        <w:left w:val="none" w:sz="0" w:space="0" w:color="auto"/>
        <w:bottom w:val="none" w:sz="0" w:space="0" w:color="auto"/>
        <w:right w:val="none" w:sz="0" w:space="0" w:color="auto"/>
      </w:divBdr>
      <w:divsChild>
        <w:div w:id="2086221013">
          <w:marLeft w:val="0"/>
          <w:marRight w:val="0"/>
          <w:marTop w:val="0"/>
          <w:marBottom w:val="0"/>
          <w:divBdr>
            <w:top w:val="none" w:sz="0" w:space="0" w:color="auto"/>
            <w:left w:val="none" w:sz="0" w:space="0" w:color="auto"/>
            <w:bottom w:val="none" w:sz="0" w:space="0" w:color="auto"/>
            <w:right w:val="none" w:sz="0" w:space="0" w:color="auto"/>
          </w:divBdr>
        </w:div>
      </w:divsChild>
    </w:div>
    <w:div w:id="1876775624">
      <w:bodyDiv w:val="1"/>
      <w:marLeft w:val="0"/>
      <w:marRight w:val="0"/>
      <w:marTop w:val="0"/>
      <w:marBottom w:val="0"/>
      <w:divBdr>
        <w:top w:val="none" w:sz="0" w:space="0" w:color="auto"/>
        <w:left w:val="none" w:sz="0" w:space="0" w:color="auto"/>
        <w:bottom w:val="none" w:sz="0" w:space="0" w:color="auto"/>
        <w:right w:val="none" w:sz="0" w:space="0" w:color="auto"/>
      </w:divBdr>
      <w:divsChild>
        <w:div w:id="2105566630">
          <w:marLeft w:val="0"/>
          <w:marRight w:val="0"/>
          <w:marTop w:val="0"/>
          <w:marBottom w:val="0"/>
          <w:divBdr>
            <w:top w:val="none" w:sz="0" w:space="0" w:color="auto"/>
            <w:left w:val="none" w:sz="0" w:space="0" w:color="auto"/>
            <w:bottom w:val="none" w:sz="0" w:space="0" w:color="auto"/>
            <w:right w:val="none" w:sz="0" w:space="0" w:color="auto"/>
          </w:divBdr>
        </w:div>
        <w:div w:id="1071778742">
          <w:marLeft w:val="0"/>
          <w:marRight w:val="0"/>
          <w:marTop w:val="0"/>
          <w:marBottom w:val="0"/>
          <w:divBdr>
            <w:top w:val="none" w:sz="0" w:space="0" w:color="auto"/>
            <w:left w:val="none" w:sz="0" w:space="0" w:color="auto"/>
            <w:bottom w:val="none" w:sz="0" w:space="0" w:color="auto"/>
            <w:right w:val="none" w:sz="0" w:space="0" w:color="auto"/>
          </w:divBdr>
        </w:div>
        <w:div w:id="1595743890">
          <w:marLeft w:val="0"/>
          <w:marRight w:val="0"/>
          <w:marTop w:val="0"/>
          <w:marBottom w:val="0"/>
          <w:divBdr>
            <w:top w:val="none" w:sz="0" w:space="0" w:color="auto"/>
            <w:left w:val="none" w:sz="0" w:space="0" w:color="auto"/>
            <w:bottom w:val="none" w:sz="0" w:space="0" w:color="auto"/>
            <w:right w:val="none" w:sz="0" w:space="0" w:color="auto"/>
          </w:divBdr>
        </w:div>
        <w:div w:id="1216232421">
          <w:marLeft w:val="0"/>
          <w:marRight w:val="0"/>
          <w:marTop w:val="0"/>
          <w:marBottom w:val="0"/>
          <w:divBdr>
            <w:top w:val="none" w:sz="0" w:space="0" w:color="auto"/>
            <w:left w:val="none" w:sz="0" w:space="0" w:color="auto"/>
            <w:bottom w:val="none" w:sz="0" w:space="0" w:color="auto"/>
            <w:right w:val="none" w:sz="0" w:space="0" w:color="auto"/>
          </w:divBdr>
        </w:div>
        <w:div w:id="1705906366">
          <w:marLeft w:val="0"/>
          <w:marRight w:val="0"/>
          <w:marTop w:val="0"/>
          <w:marBottom w:val="0"/>
          <w:divBdr>
            <w:top w:val="none" w:sz="0" w:space="0" w:color="auto"/>
            <w:left w:val="none" w:sz="0" w:space="0" w:color="auto"/>
            <w:bottom w:val="none" w:sz="0" w:space="0" w:color="auto"/>
            <w:right w:val="none" w:sz="0" w:space="0" w:color="auto"/>
          </w:divBdr>
        </w:div>
        <w:div w:id="1374691496">
          <w:marLeft w:val="0"/>
          <w:marRight w:val="0"/>
          <w:marTop w:val="0"/>
          <w:marBottom w:val="0"/>
          <w:divBdr>
            <w:top w:val="none" w:sz="0" w:space="0" w:color="auto"/>
            <w:left w:val="none" w:sz="0" w:space="0" w:color="auto"/>
            <w:bottom w:val="none" w:sz="0" w:space="0" w:color="auto"/>
            <w:right w:val="none" w:sz="0" w:space="0" w:color="auto"/>
          </w:divBdr>
        </w:div>
        <w:div w:id="1524519582">
          <w:marLeft w:val="0"/>
          <w:marRight w:val="0"/>
          <w:marTop w:val="0"/>
          <w:marBottom w:val="0"/>
          <w:divBdr>
            <w:top w:val="none" w:sz="0" w:space="0" w:color="auto"/>
            <w:left w:val="none" w:sz="0" w:space="0" w:color="auto"/>
            <w:bottom w:val="none" w:sz="0" w:space="0" w:color="auto"/>
            <w:right w:val="none" w:sz="0" w:space="0" w:color="auto"/>
          </w:divBdr>
        </w:div>
        <w:div w:id="460272487">
          <w:marLeft w:val="0"/>
          <w:marRight w:val="0"/>
          <w:marTop w:val="0"/>
          <w:marBottom w:val="0"/>
          <w:divBdr>
            <w:top w:val="none" w:sz="0" w:space="0" w:color="auto"/>
            <w:left w:val="none" w:sz="0" w:space="0" w:color="auto"/>
            <w:bottom w:val="none" w:sz="0" w:space="0" w:color="auto"/>
            <w:right w:val="none" w:sz="0" w:space="0" w:color="auto"/>
          </w:divBdr>
        </w:div>
        <w:div w:id="497575178">
          <w:marLeft w:val="0"/>
          <w:marRight w:val="0"/>
          <w:marTop w:val="0"/>
          <w:marBottom w:val="0"/>
          <w:divBdr>
            <w:top w:val="none" w:sz="0" w:space="0" w:color="auto"/>
            <w:left w:val="none" w:sz="0" w:space="0" w:color="auto"/>
            <w:bottom w:val="none" w:sz="0" w:space="0" w:color="auto"/>
            <w:right w:val="none" w:sz="0" w:space="0" w:color="auto"/>
          </w:divBdr>
        </w:div>
        <w:div w:id="1662001443">
          <w:marLeft w:val="0"/>
          <w:marRight w:val="0"/>
          <w:marTop w:val="0"/>
          <w:marBottom w:val="0"/>
          <w:divBdr>
            <w:top w:val="none" w:sz="0" w:space="0" w:color="auto"/>
            <w:left w:val="none" w:sz="0" w:space="0" w:color="auto"/>
            <w:bottom w:val="none" w:sz="0" w:space="0" w:color="auto"/>
            <w:right w:val="none" w:sz="0" w:space="0" w:color="auto"/>
          </w:divBdr>
        </w:div>
        <w:div w:id="1084958198">
          <w:marLeft w:val="0"/>
          <w:marRight w:val="0"/>
          <w:marTop w:val="0"/>
          <w:marBottom w:val="0"/>
          <w:divBdr>
            <w:top w:val="none" w:sz="0" w:space="0" w:color="auto"/>
            <w:left w:val="none" w:sz="0" w:space="0" w:color="auto"/>
            <w:bottom w:val="none" w:sz="0" w:space="0" w:color="auto"/>
            <w:right w:val="none" w:sz="0" w:space="0" w:color="auto"/>
          </w:divBdr>
        </w:div>
        <w:div w:id="1860771758">
          <w:marLeft w:val="0"/>
          <w:marRight w:val="0"/>
          <w:marTop w:val="0"/>
          <w:marBottom w:val="0"/>
          <w:divBdr>
            <w:top w:val="none" w:sz="0" w:space="0" w:color="auto"/>
            <w:left w:val="none" w:sz="0" w:space="0" w:color="auto"/>
            <w:bottom w:val="none" w:sz="0" w:space="0" w:color="auto"/>
            <w:right w:val="none" w:sz="0" w:space="0" w:color="auto"/>
          </w:divBdr>
        </w:div>
        <w:div w:id="1574855145">
          <w:marLeft w:val="0"/>
          <w:marRight w:val="0"/>
          <w:marTop w:val="0"/>
          <w:marBottom w:val="0"/>
          <w:divBdr>
            <w:top w:val="none" w:sz="0" w:space="0" w:color="auto"/>
            <w:left w:val="none" w:sz="0" w:space="0" w:color="auto"/>
            <w:bottom w:val="none" w:sz="0" w:space="0" w:color="auto"/>
            <w:right w:val="none" w:sz="0" w:space="0" w:color="auto"/>
          </w:divBdr>
        </w:div>
        <w:div w:id="1508671059">
          <w:marLeft w:val="0"/>
          <w:marRight w:val="0"/>
          <w:marTop w:val="0"/>
          <w:marBottom w:val="0"/>
          <w:divBdr>
            <w:top w:val="none" w:sz="0" w:space="0" w:color="auto"/>
            <w:left w:val="none" w:sz="0" w:space="0" w:color="auto"/>
            <w:bottom w:val="none" w:sz="0" w:space="0" w:color="auto"/>
            <w:right w:val="none" w:sz="0" w:space="0" w:color="auto"/>
          </w:divBdr>
        </w:div>
        <w:div w:id="1626734879">
          <w:marLeft w:val="0"/>
          <w:marRight w:val="0"/>
          <w:marTop w:val="0"/>
          <w:marBottom w:val="0"/>
          <w:divBdr>
            <w:top w:val="none" w:sz="0" w:space="0" w:color="auto"/>
            <w:left w:val="none" w:sz="0" w:space="0" w:color="auto"/>
            <w:bottom w:val="none" w:sz="0" w:space="0" w:color="auto"/>
            <w:right w:val="none" w:sz="0" w:space="0" w:color="auto"/>
          </w:divBdr>
        </w:div>
        <w:div w:id="245188491">
          <w:marLeft w:val="0"/>
          <w:marRight w:val="0"/>
          <w:marTop w:val="0"/>
          <w:marBottom w:val="0"/>
          <w:divBdr>
            <w:top w:val="none" w:sz="0" w:space="0" w:color="auto"/>
            <w:left w:val="none" w:sz="0" w:space="0" w:color="auto"/>
            <w:bottom w:val="none" w:sz="0" w:space="0" w:color="auto"/>
            <w:right w:val="none" w:sz="0" w:space="0" w:color="auto"/>
          </w:divBdr>
        </w:div>
        <w:div w:id="1280064282">
          <w:marLeft w:val="0"/>
          <w:marRight w:val="0"/>
          <w:marTop w:val="0"/>
          <w:marBottom w:val="0"/>
          <w:divBdr>
            <w:top w:val="none" w:sz="0" w:space="0" w:color="auto"/>
            <w:left w:val="none" w:sz="0" w:space="0" w:color="auto"/>
            <w:bottom w:val="none" w:sz="0" w:space="0" w:color="auto"/>
            <w:right w:val="none" w:sz="0" w:space="0" w:color="auto"/>
          </w:divBdr>
        </w:div>
        <w:div w:id="1817914981">
          <w:marLeft w:val="0"/>
          <w:marRight w:val="0"/>
          <w:marTop w:val="0"/>
          <w:marBottom w:val="0"/>
          <w:divBdr>
            <w:top w:val="none" w:sz="0" w:space="0" w:color="auto"/>
            <w:left w:val="none" w:sz="0" w:space="0" w:color="auto"/>
            <w:bottom w:val="none" w:sz="0" w:space="0" w:color="auto"/>
            <w:right w:val="none" w:sz="0" w:space="0" w:color="auto"/>
          </w:divBdr>
        </w:div>
        <w:div w:id="1675187569">
          <w:marLeft w:val="0"/>
          <w:marRight w:val="0"/>
          <w:marTop w:val="0"/>
          <w:marBottom w:val="0"/>
          <w:divBdr>
            <w:top w:val="none" w:sz="0" w:space="0" w:color="auto"/>
            <w:left w:val="none" w:sz="0" w:space="0" w:color="auto"/>
            <w:bottom w:val="none" w:sz="0" w:space="0" w:color="auto"/>
            <w:right w:val="none" w:sz="0" w:space="0" w:color="auto"/>
          </w:divBdr>
        </w:div>
        <w:div w:id="1876116664">
          <w:marLeft w:val="0"/>
          <w:marRight w:val="0"/>
          <w:marTop w:val="0"/>
          <w:marBottom w:val="0"/>
          <w:divBdr>
            <w:top w:val="none" w:sz="0" w:space="0" w:color="auto"/>
            <w:left w:val="none" w:sz="0" w:space="0" w:color="auto"/>
            <w:bottom w:val="none" w:sz="0" w:space="0" w:color="auto"/>
            <w:right w:val="none" w:sz="0" w:space="0" w:color="auto"/>
          </w:divBdr>
        </w:div>
      </w:divsChild>
    </w:div>
    <w:div w:id="208575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1364/OA_License_v1" TargetMode="External"/><Relationship Id="rId11" Type="http://schemas.openxmlformats.org/officeDocument/2006/relationships/image" Target="media/image5.png"/><Relationship Id="rId5" Type="http://schemas.openxmlformats.org/officeDocument/2006/relationships/hyperlink" Target="mailto:*frp@orc.soton.ac.uk"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ayfi\AppData\Roaming\Microsoft\Templates\Expres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Express-Template.dotx</Template>
  <TotalTime>0</TotalTime>
  <Pages>8</Pages>
  <Words>3661</Words>
  <Characters>20871</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OSA</Company>
  <LinksUpToDate>false</LinksUpToDate>
  <CharactersWithSpaces>24484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Mayfield, Jennifer</dc:creator>
  <cp:lastModifiedBy>de Montfalcon S.P.</cp:lastModifiedBy>
  <cp:revision>2</cp:revision>
  <cp:lastPrinted>2017-11-22T08:53:00Z</cp:lastPrinted>
  <dcterms:created xsi:type="dcterms:W3CDTF">2017-12-08T09:56:00Z</dcterms:created>
  <dcterms:modified xsi:type="dcterms:W3CDTF">2017-12-08T09:56:00Z</dcterms:modified>
</cp:coreProperties>
</file>