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56003" w14:textId="77777777" w:rsidR="002C1706" w:rsidRPr="00966346" w:rsidRDefault="00FF3579" w:rsidP="00476D6D">
      <w:pPr>
        <w:spacing w:after="120" w:line="240" w:lineRule="auto"/>
        <w:jc w:val="both"/>
        <w:rPr>
          <w:rFonts w:ascii="Arial" w:hAnsi="Arial" w:cs="Arial"/>
          <w:sz w:val="24"/>
          <w:szCs w:val="24"/>
        </w:rPr>
      </w:pPr>
      <w:r w:rsidRPr="00966346">
        <w:rPr>
          <w:rFonts w:ascii="Arial" w:hAnsi="Arial" w:cs="Arial"/>
          <w:sz w:val="24"/>
          <w:szCs w:val="24"/>
        </w:rPr>
        <w:t>ORIGINAL RESEARCH</w:t>
      </w:r>
    </w:p>
    <w:p w14:paraId="7701370B" w14:textId="77777777" w:rsidR="005C25E6" w:rsidRPr="00966346" w:rsidRDefault="00081C60" w:rsidP="00081C60">
      <w:pPr>
        <w:spacing w:after="0" w:line="360" w:lineRule="auto"/>
        <w:jc w:val="both"/>
        <w:rPr>
          <w:rFonts w:ascii="Arial" w:hAnsi="Arial" w:cs="Arial"/>
          <w:b/>
          <w:bCs/>
          <w:sz w:val="24"/>
          <w:szCs w:val="24"/>
          <w:lang w:val="en-GB"/>
        </w:rPr>
      </w:pPr>
      <w:r w:rsidRPr="00966346">
        <w:rPr>
          <w:rFonts w:ascii="Arial" w:hAnsi="Arial" w:cs="Arial"/>
          <w:b/>
          <w:bCs/>
          <w:sz w:val="24"/>
          <w:szCs w:val="24"/>
          <w:lang w:val="en-GB"/>
        </w:rPr>
        <w:t>WHOLE-BRAIN RADIOTHERAPY OR AUTOLOGOUS STEM CELL TRANSPLANTATION AS CONSOLIDATION STRATEGIES AFTER HIGH-DOSE METHOTREXATE-BASED CHEMOIMMUNOTHERAPY IN PATIENTS WITH PRIMARY CNS LYMPHOMA: RESULTS OF THE SECOND RANDOMIZATION OF THE INTERNATIONAL EXTRANODAL LYMPHOMA STUDY GROUP</w:t>
      </w:r>
      <w:r w:rsidRPr="00966346">
        <w:rPr>
          <w:rFonts w:ascii="Arial" w:hAnsi="Arial" w:cs="Arial"/>
          <w:b/>
          <w:bCs/>
          <w:sz w:val="24"/>
          <w:szCs w:val="24"/>
        </w:rPr>
        <w:t xml:space="preserve">-32 </w:t>
      </w:r>
      <w:r w:rsidRPr="00966346">
        <w:rPr>
          <w:rFonts w:ascii="Arial" w:hAnsi="Arial" w:cs="Arial"/>
          <w:b/>
          <w:bCs/>
          <w:sz w:val="24"/>
          <w:szCs w:val="24"/>
          <w:lang w:val="en-GB"/>
        </w:rPr>
        <w:t xml:space="preserve">TRIAL </w:t>
      </w:r>
    </w:p>
    <w:p w14:paraId="04A986AE" w14:textId="77777777" w:rsidR="00431FE7" w:rsidRPr="00966346" w:rsidRDefault="00431FE7" w:rsidP="00476D6D">
      <w:pPr>
        <w:spacing w:after="0" w:line="240" w:lineRule="auto"/>
        <w:jc w:val="both"/>
        <w:rPr>
          <w:rFonts w:ascii="Arial" w:hAnsi="Arial" w:cs="Arial"/>
          <w:szCs w:val="24"/>
        </w:rPr>
      </w:pPr>
    </w:p>
    <w:p w14:paraId="76A0610D" w14:textId="77777777" w:rsidR="00431FE7" w:rsidRPr="00966346" w:rsidRDefault="00D45827" w:rsidP="00476D6D">
      <w:pPr>
        <w:spacing w:after="0" w:line="240" w:lineRule="auto"/>
        <w:jc w:val="both"/>
        <w:rPr>
          <w:rFonts w:ascii="Arial" w:hAnsi="Arial" w:cs="Arial"/>
          <w:sz w:val="20"/>
          <w:szCs w:val="24"/>
        </w:rPr>
      </w:pPr>
      <w:r w:rsidRPr="00966346">
        <w:rPr>
          <w:rFonts w:ascii="Arial" w:hAnsi="Arial" w:cs="Arial"/>
          <w:sz w:val="20"/>
          <w:szCs w:val="24"/>
        </w:rPr>
        <w:t>Andrés J. M. Ferreri</w:t>
      </w:r>
      <w:r w:rsidR="00AF120F" w:rsidRPr="00966346">
        <w:rPr>
          <w:rFonts w:ascii="Arial" w:hAnsi="Arial" w:cs="Arial"/>
          <w:sz w:val="20"/>
          <w:szCs w:val="24"/>
        </w:rPr>
        <w:t>, MD</w:t>
      </w:r>
      <w:r w:rsidR="001D611B" w:rsidRPr="00966346">
        <w:rPr>
          <w:rFonts w:ascii="Arial" w:hAnsi="Arial" w:cs="Arial"/>
          <w:sz w:val="20"/>
          <w:szCs w:val="24"/>
          <w:vertAlign w:val="superscript"/>
        </w:rPr>
        <w:t>1</w:t>
      </w:r>
      <w:r w:rsidRPr="00966346">
        <w:rPr>
          <w:rFonts w:ascii="Arial" w:hAnsi="Arial" w:cs="Arial"/>
          <w:sz w:val="20"/>
          <w:szCs w:val="24"/>
        </w:rPr>
        <w:t>, Kate Cwynarski</w:t>
      </w:r>
      <w:r w:rsidR="00B1222B" w:rsidRPr="00966346">
        <w:rPr>
          <w:rFonts w:ascii="Arial" w:hAnsi="Arial" w:cs="Arial"/>
          <w:sz w:val="20"/>
          <w:szCs w:val="24"/>
        </w:rPr>
        <w:t>, MD</w:t>
      </w:r>
      <w:r w:rsidR="001D611B" w:rsidRPr="00966346">
        <w:rPr>
          <w:rFonts w:ascii="Arial" w:hAnsi="Arial" w:cs="Arial"/>
          <w:sz w:val="20"/>
          <w:szCs w:val="24"/>
          <w:vertAlign w:val="superscript"/>
        </w:rPr>
        <w:t>2</w:t>
      </w:r>
      <w:r w:rsidRPr="00966346">
        <w:rPr>
          <w:rFonts w:ascii="Arial" w:hAnsi="Arial" w:cs="Arial"/>
          <w:sz w:val="20"/>
          <w:szCs w:val="24"/>
        </w:rPr>
        <w:t>, Elisa Pulczynski</w:t>
      </w:r>
      <w:r w:rsidR="00B1222B" w:rsidRPr="00966346">
        <w:rPr>
          <w:rFonts w:ascii="Arial" w:hAnsi="Arial" w:cs="Arial"/>
          <w:sz w:val="20"/>
          <w:szCs w:val="24"/>
        </w:rPr>
        <w:t>, MD</w:t>
      </w:r>
      <w:r w:rsidR="001D611B" w:rsidRPr="00966346">
        <w:rPr>
          <w:rFonts w:ascii="Arial" w:hAnsi="Arial" w:cs="Arial"/>
          <w:sz w:val="20"/>
          <w:szCs w:val="24"/>
          <w:vertAlign w:val="superscript"/>
        </w:rPr>
        <w:t>3</w:t>
      </w:r>
      <w:r w:rsidRPr="00966346">
        <w:rPr>
          <w:rFonts w:ascii="Arial" w:hAnsi="Arial" w:cs="Arial"/>
          <w:sz w:val="20"/>
          <w:szCs w:val="24"/>
        </w:rPr>
        <w:t xml:space="preserve">, </w:t>
      </w:r>
      <w:r w:rsidR="00431FE7" w:rsidRPr="00966346">
        <w:rPr>
          <w:rFonts w:ascii="Arial" w:hAnsi="Arial" w:cs="Arial"/>
          <w:sz w:val="20"/>
          <w:szCs w:val="24"/>
        </w:rPr>
        <w:t>Christopher P. Fox, MD</w:t>
      </w:r>
      <w:r w:rsidR="004B6D8C" w:rsidRPr="00966346">
        <w:rPr>
          <w:rFonts w:ascii="Arial" w:hAnsi="Arial" w:cs="Arial"/>
          <w:sz w:val="20"/>
          <w:szCs w:val="24"/>
          <w:vertAlign w:val="superscript"/>
        </w:rPr>
        <w:t>4</w:t>
      </w:r>
      <w:r w:rsidR="00431FE7" w:rsidRPr="00966346">
        <w:rPr>
          <w:rFonts w:ascii="Arial" w:hAnsi="Arial" w:cs="Arial"/>
          <w:sz w:val="20"/>
          <w:szCs w:val="24"/>
        </w:rPr>
        <w:t>, Elisabeth Schorb, MD</w:t>
      </w:r>
      <w:r w:rsidR="004B6D8C" w:rsidRPr="00966346">
        <w:rPr>
          <w:rFonts w:ascii="Arial" w:hAnsi="Arial" w:cs="Arial"/>
          <w:sz w:val="20"/>
          <w:szCs w:val="24"/>
          <w:vertAlign w:val="superscript"/>
        </w:rPr>
        <w:t>5</w:t>
      </w:r>
      <w:r w:rsidR="00431FE7" w:rsidRPr="00966346">
        <w:rPr>
          <w:rFonts w:ascii="Arial" w:hAnsi="Arial" w:cs="Arial"/>
          <w:sz w:val="20"/>
          <w:szCs w:val="24"/>
        </w:rPr>
        <w:t xml:space="preserve">, Paul La </w:t>
      </w:r>
      <w:proofErr w:type="spellStart"/>
      <w:r w:rsidR="00431FE7" w:rsidRPr="00966346">
        <w:rPr>
          <w:rFonts w:ascii="Arial" w:hAnsi="Arial" w:cs="Arial"/>
          <w:sz w:val="20"/>
          <w:szCs w:val="24"/>
        </w:rPr>
        <w:t>Rosée</w:t>
      </w:r>
      <w:proofErr w:type="spellEnd"/>
      <w:r w:rsidR="00431FE7" w:rsidRPr="00966346">
        <w:rPr>
          <w:rFonts w:ascii="Arial" w:hAnsi="Arial" w:cs="Arial"/>
          <w:sz w:val="20"/>
          <w:szCs w:val="24"/>
        </w:rPr>
        <w:t>, MD</w:t>
      </w:r>
      <w:r w:rsidR="004B6D8C" w:rsidRPr="00966346">
        <w:rPr>
          <w:rFonts w:ascii="Arial" w:hAnsi="Arial" w:cs="Arial"/>
          <w:sz w:val="20"/>
          <w:szCs w:val="24"/>
          <w:vertAlign w:val="superscript"/>
        </w:rPr>
        <w:t>6</w:t>
      </w:r>
      <w:r w:rsidR="00431FE7" w:rsidRPr="00966346">
        <w:rPr>
          <w:rFonts w:ascii="Arial" w:hAnsi="Arial" w:cs="Arial"/>
          <w:sz w:val="20"/>
          <w:szCs w:val="24"/>
          <w:vertAlign w:val="superscript"/>
        </w:rPr>
        <w:t>§</w:t>
      </w:r>
      <w:r w:rsidR="00431FE7" w:rsidRPr="00966346">
        <w:rPr>
          <w:rFonts w:ascii="Arial" w:hAnsi="Arial" w:cs="Arial"/>
          <w:sz w:val="20"/>
          <w:szCs w:val="24"/>
        </w:rPr>
        <w:t>, Mascha Binder, MD</w:t>
      </w:r>
      <w:r w:rsidR="00431FE7" w:rsidRPr="00966346">
        <w:rPr>
          <w:rFonts w:ascii="Arial" w:hAnsi="Arial" w:cs="Arial"/>
          <w:sz w:val="20"/>
          <w:szCs w:val="24"/>
          <w:vertAlign w:val="superscript"/>
        </w:rPr>
        <w:t>7§</w:t>
      </w:r>
      <w:r w:rsidR="00431FE7" w:rsidRPr="00966346">
        <w:rPr>
          <w:rFonts w:ascii="Arial" w:hAnsi="Arial" w:cs="Arial"/>
          <w:sz w:val="20"/>
          <w:szCs w:val="24"/>
        </w:rPr>
        <w:t>, Alberto Fabbri, MD</w:t>
      </w:r>
      <w:r w:rsidR="004B6D8C" w:rsidRPr="00966346">
        <w:rPr>
          <w:rFonts w:ascii="Arial" w:hAnsi="Arial" w:cs="Arial"/>
          <w:sz w:val="20"/>
          <w:szCs w:val="24"/>
          <w:vertAlign w:val="superscript"/>
        </w:rPr>
        <w:t>8</w:t>
      </w:r>
      <w:r w:rsidR="00431FE7" w:rsidRPr="00966346">
        <w:rPr>
          <w:rFonts w:ascii="Arial" w:hAnsi="Arial" w:cs="Arial"/>
          <w:sz w:val="20"/>
          <w:szCs w:val="24"/>
        </w:rPr>
        <w:t>, Valter Torri, MD</w:t>
      </w:r>
      <w:r w:rsidR="004B6D8C" w:rsidRPr="00966346">
        <w:rPr>
          <w:rFonts w:ascii="Arial" w:hAnsi="Arial" w:cs="Arial"/>
          <w:sz w:val="20"/>
          <w:szCs w:val="24"/>
          <w:vertAlign w:val="superscript"/>
        </w:rPr>
        <w:t>9</w:t>
      </w:r>
      <w:r w:rsidR="00431FE7" w:rsidRPr="00966346">
        <w:rPr>
          <w:rFonts w:ascii="Arial" w:hAnsi="Arial" w:cs="Arial"/>
          <w:sz w:val="20"/>
          <w:szCs w:val="24"/>
        </w:rPr>
        <w:t>, Eleonora Minacapelli, MD</w:t>
      </w:r>
      <w:r w:rsidR="004B6D8C" w:rsidRPr="00966346">
        <w:rPr>
          <w:rFonts w:ascii="Arial" w:hAnsi="Arial" w:cs="Arial"/>
          <w:sz w:val="20"/>
          <w:szCs w:val="24"/>
          <w:vertAlign w:val="superscript"/>
        </w:rPr>
        <w:t>10</w:t>
      </w:r>
      <w:r w:rsidR="00431FE7" w:rsidRPr="00966346">
        <w:rPr>
          <w:rFonts w:ascii="Arial" w:hAnsi="Arial" w:cs="Arial"/>
          <w:sz w:val="20"/>
          <w:szCs w:val="24"/>
        </w:rPr>
        <w:t>, Monica Falautano, MD</w:t>
      </w:r>
      <w:r w:rsidR="004B6D8C" w:rsidRPr="00966346">
        <w:rPr>
          <w:rFonts w:ascii="Arial" w:hAnsi="Arial" w:cs="Arial"/>
          <w:sz w:val="20"/>
          <w:szCs w:val="24"/>
          <w:vertAlign w:val="superscript"/>
        </w:rPr>
        <w:t>10</w:t>
      </w:r>
      <w:r w:rsidR="00431FE7" w:rsidRPr="00966346">
        <w:rPr>
          <w:rFonts w:ascii="Arial" w:hAnsi="Arial" w:cs="Arial"/>
          <w:sz w:val="20"/>
          <w:szCs w:val="24"/>
        </w:rPr>
        <w:t>, Fiorella Ilariucci, MD</w:t>
      </w:r>
      <w:r w:rsidR="004B6D8C" w:rsidRPr="00966346">
        <w:rPr>
          <w:rFonts w:ascii="Arial" w:hAnsi="Arial" w:cs="Arial"/>
          <w:sz w:val="20"/>
          <w:szCs w:val="24"/>
          <w:vertAlign w:val="superscript"/>
        </w:rPr>
        <w:t>11</w:t>
      </w:r>
      <w:r w:rsidR="00431FE7" w:rsidRPr="00966346">
        <w:rPr>
          <w:rFonts w:ascii="Arial" w:hAnsi="Arial" w:cs="Arial"/>
          <w:sz w:val="20"/>
          <w:szCs w:val="24"/>
        </w:rPr>
        <w:t>, Achille Ambrosetti, MD</w:t>
      </w:r>
      <w:r w:rsidR="00431FE7" w:rsidRPr="00966346">
        <w:rPr>
          <w:rFonts w:ascii="Arial" w:hAnsi="Arial" w:cs="Arial"/>
          <w:sz w:val="20"/>
          <w:szCs w:val="24"/>
          <w:vertAlign w:val="superscript"/>
        </w:rPr>
        <w:t>1</w:t>
      </w:r>
      <w:r w:rsidR="004B6D8C" w:rsidRPr="00966346">
        <w:rPr>
          <w:rFonts w:ascii="Arial" w:hAnsi="Arial" w:cs="Arial"/>
          <w:sz w:val="20"/>
          <w:szCs w:val="24"/>
          <w:vertAlign w:val="superscript"/>
        </w:rPr>
        <w:t>2</w:t>
      </w:r>
      <w:r w:rsidR="00431FE7" w:rsidRPr="00966346">
        <w:rPr>
          <w:rFonts w:ascii="Arial" w:hAnsi="Arial" w:cs="Arial"/>
          <w:sz w:val="20"/>
          <w:szCs w:val="24"/>
          <w:vertAlign w:val="superscript"/>
        </w:rPr>
        <w:t>§</w:t>
      </w:r>
      <w:r w:rsidR="00431FE7" w:rsidRPr="00966346">
        <w:rPr>
          <w:rFonts w:ascii="Arial" w:hAnsi="Arial" w:cs="Arial"/>
          <w:sz w:val="20"/>
          <w:szCs w:val="24"/>
        </w:rPr>
        <w:t>, Alexander Roth, MD</w:t>
      </w:r>
      <w:r w:rsidR="00431FE7" w:rsidRPr="00966346">
        <w:rPr>
          <w:rFonts w:ascii="Arial" w:hAnsi="Arial" w:cs="Arial"/>
          <w:sz w:val="20"/>
          <w:szCs w:val="24"/>
          <w:vertAlign w:val="superscript"/>
        </w:rPr>
        <w:t>1</w:t>
      </w:r>
      <w:r w:rsidR="004B6D8C" w:rsidRPr="00966346">
        <w:rPr>
          <w:rFonts w:ascii="Arial" w:hAnsi="Arial" w:cs="Arial"/>
          <w:sz w:val="20"/>
          <w:szCs w:val="24"/>
          <w:vertAlign w:val="superscript"/>
        </w:rPr>
        <w:t>3</w:t>
      </w:r>
      <w:r w:rsidR="00431FE7" w:rsidRPr="00966346">
        <w:rPr>
          <w:rFonts w:ascii="Arial" w:hAnsi="Arial" w:cs="Arial"/>
          <w:sz w:val="20"/>
          <w:szCs w:val="24"/>
        </w:rPr>
        <w:t xml:space="preserve">, Claire </w:t>
      </w:r>
      <w:proofErr w:type="spellStart"/>
      <w:r w:rsidR="00431FE7" w:rsidRPr="00966346">
        <w:rPr>
          <w:rFonts w:ascii="Arial" w:hAnsi="Arial" w:cs="Arial"/>
          <w:sz w:val="20"/>
          <w:szCs w:val="24"/>
        </w:rPr>
        <w:t>Hemmaway</w:t>
      </w:r>
      <w:proofErr w:type="spellEnd"/>
      <w:r w:rsidR="00431FE7" w:rsidRPr="00966346">
        <w:rPr>
          <w:rFonts w:ascii="Arial" w:hAnsi="Arial" w:cs="Arial"/>
          <w:sz w:val="20"/>
          <w:szCs w:val="24"/>
        </w:rPr>
        <w:t>, MD</w:t>
      </w:r>
      <w:r w:rsidR="00431FE7" w:rsidRPr="00966346">
        <w:rPr>
          <w:rFonts w:ascii="Arial" w:hAnsi="Arial" w:cs="Arial"/>
          <w:sz w:val="20"/>
          <w:szCs w:val="24"/>
          <w:vertAlign w:val="superscript"/>
        </w:rPr>
        <w:t>1</w:t>
      </w:r>
      <w:r w:rsidR="004B6D8C" w:rsidRPr="00966346">
        <w:rPr>
          <w:rFonts w:ascii="Arial" w:hAnsi="Arial" w:cs="Arial"/>
          <w:sz w:val="20"/>
          <w:szCs w:val="24"/>
          <w:vertAlign w:val="superscript"/>
        </w:rPr>
        <w:t>4</w:t>
      </w:r>
      <w:r w:rsidR="00431FE7" w:rsidRPr="00966346">
        <w:rPr>
          <w:rFonts w:ascii="Arial" w:hAnsi="Arial" w:cs="Arial"/>
          <w:sz w:val="20"/>
          <w:szCs w:val="24"/>
        </w:rPr>
        <w:t>, Peter Johnson, MD</w:t>
      </w:r>
      <w:r w:rsidR="004B6D8C" w:rsidRPr="00966346">
        <w:rPr>
          <w:rFonts w:ascii="Arial" w:hAnsi="Arial" w:cs="Arial"/>
          <w:sz w:val="20"/>
          <w:szCs w:val="24"/>
          <w:vertAlign w:val="superscript"/>
        </w:rPr>
        <w:t>15</w:t>
      </w:r>
      <w:r w:rsidR="00431FE7" w:rsidRPr="00966346">
        <w:rPr>
          <w:rFonts w:ascii="Arial" w:hAnsi="Arial" w:cs="Arial"/>
          <w:sz w:val="20"/>
          <w:szCs w:val="24"/>
          <w:vertAlign w:val="superscript"/>
        </w:rPr>
        <w:t>§</w:t>
      </w:r>
      <w:r w:rsidR="00431FE7" w:rsidRPr="00966346">
        <w:rPr>
          <w:rFonts w:ascii="Arial" w:hAnsi="Arial" w:cs="Arial"/>
          <w:sz w:val="20"/>
          <w:szCs w:val="24"/>
        </w:rPr>
        <w:t>, Kim M. Linton, PhD</w:t>
      </w:r>
      <w:r w:rsidR="00431FE7" w:rsidRPr="00966346">
        <w:rPr>
          <w:rFonts w:ascii="Arial" w:hAnsi="Arial" w:cs="Arial"/>
          <w:sz w:val="20"/>
          <w:szCs w:val="24"/>
          <w:vertAlign w:val="superscript"/>
        </w:rPr>
        <w:t>1</w:t>
      </w:r>
      <w:r w:rsidR="004B6D8C" w:rsidRPr="00966346">
        <w:rPr>
          <w:rFonts w:ascii="Arial" w:hAnsi="Arial" w:cs="Arial"/>
          <w:sz w:val="20"/>
          <w:szCs w:val="24"/>
          <w:vertAlign w:val="superscript"/>
        </w:rPr>
        <w:t>6</w:t>
      </w:r>
      <w:r w:rsidR="00431FE7" w:rsidRPr="00966346">
        <w:rPr>
          <w:rFonts w:ascii="Arial" w:hAnsi="Arial" w:cs="Arial"/>
          <w:sz w:val="20"/>
          <w:szCs w:val="24"/>
        </w:rPr>
        <w:t xml:space="preserve">, Tobias </w:t>
      </w:r>
      <w:proofErr w:type="spellStart"/>
      <w:r w:rsidR="00431FE7" w:rsidRPr="00966346">
        <w:rPr>
          <w:rFonts w:ascii="Arial" w:hAnsi="Arial" w:cs="Arial"/>
          <w:sz w:val="20"/>
          <w:szCs w:val="24"/>
        </w:rPr>
        <w:t>Pukrop</w:t>
      </w:r>
      <w:proofErr w:type="spellEnd"/>
      <w:r w:rsidR="00431FE7" w:rsidRPr="00966346">
        <w:rPr>
          <w:rFonts w:ascii="Arial" w:hAnsi="Arial" w:cs="Arial"/>
          <w:sz w:val="20"/>
          <w:szCs w:val="24"/>
        </w:rPr>
        <w:t>, MD</w:t>
      </w:r>
      <w:r w:rsidR="00431FE7" w:rsidRPr="00966346">
        <w:rPr>
          <w:rFonts w:ascii="Arial" w:hAnsi="Arial" w:cs="Arial"/>
          <w:sz w:val="20"/>
          <w:szCs w:val="24"/>
          <w:vertAlign w:val="superscript"/>
        </w:rPr>
        <w:t>1</w:t>
      </w:r>
      <w:r w:rsidR="004B6D8C" w:rsidRPr="00966346">
        <w:rPr>
          <w:rFonts w:ascii="Arial" w:hAnsi="Arial" w:cs="Arial"/>
          <w:sz w:val="20"/>
          <w:szCs w:val="24"/>
          <w:vertAlign w:val="superscript"/>
        </w:rPr>
        <w:t>7</w:t>
      </w:r>
      <w:r w:rsidR="00431FE7" w:rsidRPr="00966346">
        <w:rPr>
          <w:rFonts w:ascii="Arial" w:hAnsi="Arial" w:cs="Arial"/>
          <w:sz w:val="20"/>
          <w:szCs w:val="24"/>
          <w:vertAlign w:val="superscript"/>
        </w:rPr>
        <w:t>§</w:t>
      </w:r>
      <w:r w:rsidR="00431FE7" w:rsidRPr="00966346">
        <w:rPr>
          <w:rFonts w:ascii="Arial" w:hAnsi="Arial" w:cs="Arial"/>
          <w:sz w:val="20"/>
          <w:szCs w:val="24"/>
        </w:rPr>
        <w:t xml:space="preserve">, </w:t>
      </w:r>
      <w:proofErr w:type="spellStart"/>
      <w:r w:rsidR="00431FE7" w:rsidRPr="00966346">
        <w:rPr>
          <w:rFonts w:ascii="Arial" w:hAnsi="Arial" w:cs="Arial"/>
          <w:sz w:val="20"/>
          <w:szCs w:val="24"/>
        </w:rPr>
        <w:t>Jette</w:t>
      </w:r>
      <w:proofErr w:type="spellEnd"/>
      <w:r w:rsidR="00431FE7" w:rsidRPr="00966346">
        <w:rPr>
          <w:rFonts w:ascii="Arial" w:hAnsi="Arial" w:cs="Arial"/>
          <w:sz w:val="20"/>
          <w:szCs w:val="24"/>
        </w:rPr>
        <w:t xml:space="preserve"> </w:t>
      </w:r>
      <w:proofErr w:type="spellStart"/>
      <w:r w:rsidR="00431FE7" w:rsidRPr="00966346">
        <w:rPr>
          <w:rFonts w:ascii="Arial" w:hAnsi="Arial" w:cs="Arial"/>
          <w:sz w:val="20"/>
          <w:szCs w:val="24"/>
        </w:rPr>
        <w:t>Sønderskov</w:t>
      </w:r>
      <w:proofErr w:type="spellEnd"/>
      <w:r w:rsidR="00431FE7" w:rsidRPr="00966346">
        <w:rPr>
          <w:rFonts w:ascii="Arial" w:hAnsi="Arial" w:cs="Arial"/>
          <w:sz w:val="20"/>
          <w:szCs w:val="24"/>
        </w:rPr>
        <w:t xml:space="preserve"> </w:t>
      </w:r>
      <w:proofErr w:type="spellStart"/>
      <w:r w:rsidR="00431FE7" w:rsidRPr="00966346">
        <w:rPr>
          <w:rFonts w:ascii="Arial" w:hAnsi="Arial" w:cs="Arial"/>
          <w:sz w:val="20"/>
          <w:szCs w:val="24"/>
        </w:rPr>
        <w:t>Gørløv</w:t>
      </w:r>
      <w:proofErr w:type="spellEnd"/>
      <w:r w:rsidR="00431FE7" w:rsidRPr="00966346">
        <w:rPr>
          <w:rFonts w:ascii="Arial" w:hAnsi="Arial" w:cs="Arial"/>
          <w:sz w:val="20"/>
          <w:szCs w:val="24"/>
        </w:rPr>
        <w:t>, PhD</w:t>
      </w:r>
      <w:r w:rsidR="004B6D8C" w:rsidRPr="00966346">
        <w:rPr>
          <w:rFonts w:ascii="Arial" w:hAnsi="Arial" w:cs="Arial"/>
          <w:sz w:val="20"/>
          <w:szCs w:val="24"/>
          <w:vertAlign w:val="superscript"/>
        </w:rPr>
        <w:t>18</w:t>
      </w:r>
      <w:r w:rsidR="00431FE7" w:rsidRPr="00966346">
        <w:rPr>
          <w:rFonts w:ascii="Arial" w:hAnsi="Arial" w:cs="Arial"/>
          <w:sz w:val="20"/>
          <w:szCs w:val="24"/>
        </w:rPr>
        <w:t>, Monica Balzarotti, MD</w:t>
      </w:r>
      <w:r w:rsidR="00431FE7" w:rsidRPr="00966346">
        <w:rPr>
          <w:rFonts w:ascii="Arial" w:hAnsi="Arial" w:cs="Arial"/>
          <w:sz w:val="20"/>
          <w:szCs w:val="24"/>
          <w:vertAlign w:val="superscript"/>
        </w:rPr>
        <w:t>19</w:t>
      </w:r>
      <w:r w:rsidR="00431FE7" w:rsidRPr="00966346">
        <w:rPr>
          <w:rFonts w:ascii="Arial" w:hAnsi="Arial" w:cs="Arial"/>
          <w:sz w:val="20"/>
          <w:szCs w:val="24"/>
        </w:rPr>
        <w:t>, Georg Hess, MD</w:t>
      </w:r>
      <w:r w:rsidR="00431FE7" w:rsidRPr="00966346">
        <w:rPr>
          <w:rFonts w:ascii="Arial" w:hAnsi="Arial" w:cs="Arial"/>
          <w:sz w:val="20"/>
          <w:szCs w:val="24"/>
          <w:vertAlign w:val="superscript"/>
        </w:rPr>
        <w:t>2</w:t>
      </w:r>
      <w:r w:rsidR="004B6D8C" w:rsidRPr="00966346">
        <w:rPr>
          <w:rFonts w:ascii="Arial" w:hAnsi="Arial" w:cs="Arial"/>
          <w:sz w:val="20"/>
          <w:szCs w:val="24"/>
          <w:vertAlign w:val="superscript"/>
        </w:rPr>
        <w:t>0</w:t>
      </w:r>
      <w:r w:rsidR="00431FE7" w:rsidRPr="00966346">
        <w:rPr>
          <w:rFonts w:ascii="Arial" w:hAnsi="Arial" w:cs="Arial"/>
          <w:sz w:val="20"/>
          <w:szCs w:val="24"/>
        </w:rPr>
        <w:t>, Ulrich Keller, MD</w:t>
      </w:r>
      <w:r w:rsidR="00431FE7" w:rsidRPr="00966346">
        <w:rPr>
          <w:rFonts w:ascii="Arial" w:hAnsi="Arial" w:cs="Arial"/>
          <w:sz w:val="20"/>
          <w:szCs w:val="24"/>
          <w:vertAlign w:val="superscript"/>
        </w:rPr>
        <w:t>2</w:t>
      </w:r>
      <w:r w:rsidR="004B6D8C" w:rsidRPr="00966346">
        <w:rPr>
          <w:rFonts w:ascii="Arial" w:hAnsi="Arial" w:cs="Arial"/>
          <w:sz w:val="20"/>
          <w:szCs w:val="24"/>
          <w:vertAlign w:val="superscript"/>
        </w:rPr>
        <w:t>1</w:t>
      </w:r>
      <w:r w:rsidR="00431FE7" w:rsidRPr="00966346">
        <w:rPr>
          <w:rFonts w:ascii="Arial" w:hAnsi="Arial" w:cs="Arial"/>
          <w:sz w:val="20"/>
          <w:szCs w:val="24"/>
          <w:vertAlign w:val="superscript"/>
        </w:rPr>
        <w:t>§</w:t>
      </w:r>
      <w:r w:rsidR="00431FE7" w:rsidRPr="00966346">
        <w:rPr>
          <w:rFonts w:ascii="Arial" w:hAnsi="Arial" w:cs="Arial"/>
          <w:sz w:val="20"/>
          <w:szCs w:val="24"/>
        </w:rPr>
        <w:t xml:space="preserve">, Stephan </w:t>
      </w:r>
      <w:proofErr w:type="spellStart"/>
      <w:r w:rsidR="00431FE7" w:rsidRPr="00966346">
        <w:rPr>
          <w:rFonts w:ascii="Arial" w:hAnsi="Arial" w:cs="Arial"/>
          <w:sz w:val="20"/>
          <w:szCs w:val="24"/>
        </w:rPr>
        <w:t>Stilgenbauer</w:t>
      </w:r>
      <w:proofErr w:type="spellEnd"/>
      <w:r w:rsidR="00431FE7" w:rsidRPr="00966346">
        <w:rPr>
          <w:rFonts w:ascii="Arial" w:hAnsi="Arial" w:cs="Arial"/>
          <w:sz w:val="20"/>
          <w:szCs w:val="24"/>
        </w:rPr>
        <w:t>, MD</w:t>
      </w:r>
      <w:r w:rsidR="00431FE7" w:rsidRPr="00966346">
        <w:rPr>
          <w:rFonts w:ascii="Arial" w:hAnsi="Arial" w:cs="Arial"/>
          <w:sz w:val="20"/>
          <w:szCs w:val="24"/>
          <w:vertAlign w:val="superscript"/>
        </w:rPr>
        <w:t>2</w:t>
      </w:r>
      <w:r w:rsidR="004B6D8C" w:rsidRPr="00966346">
        <w:rPr>
          <w:rFonts w:ascii="Arial" w:hAnsi="Arial" w:cs="Arial"/>
          <w:sz w:val="20"/>
          <w:szCs w:val="24"/>
          <w:vertAlign w:val="superscript"/>
        </w:rPr>
        <w:t>2</w:t>
      </w:r>
      <w:r w:rsidR="00431FE7" w:rsidRPr="00966346">
        <w:rPr>
          <w:rFonts w:ascii="Arial" w:hAnsi="Arial" w:cs="Arial"/>
          <w:sz w:val="20"/>
          <w:szCs w:val="24"/>
          <w:vertAlign w:val="superscript"/>
        </w:rPr>
        <w:t>§</w:t>
      </w:r>
      <w:r w:rsidR="00431FE7" w:rsidRPr="00966346">
        <w:rPr>
          <w:rFonts w:ascii="Arial" w:hAnsi="Arial" w:cs="Arial"/>
          <w:sz w:val="20"/>
          <w:szCs w:val="24"/>
        </w:rPr>
        <w:t xml:space="preserve">, Jens </w:t>
      </w:r>
      <w:proofErr w:type="spellStart"/>
      <w:r w:rsidR="00431FE7" w:rsidRPr="00966346">
        <w:rPr>
          <w:rFonts w:ascii="Arial" w:hAnsi="Arial" w:cs="Arial"/>
          <w:sz w:val="20"/>
          <w:szCs w:val="24"/>
        </w:rPr>
        <w:t>Panse</w:t>
      </w:r>
      <w:proofErr w:type="spellEnd"/>
      <w:r w:rsidR="00431FE7" w:rsidRPr="00966346">
        <w:rPr>
          <w:rFonts w:ascii="Arial" w:hAnsi="Arial" w:cs="Arial"/>
          <w:sz w:val="20"/>
          <w:szCs w:val="24"/>
        </w:rPr>
        <w:t>, MD</w:t>
      </w:r>
      <w:r w:rsidR="00431FE7" w:rsidRPr="00966346">
        <w:rPr>
          <w:rFonts w:ascii="Arial" w:hAnsi="Arial" w:cs="Arial"/>
          <w:sz w:val="20"/>
          <w:szCs w:val="24"/>
          <w:vertAlign w:val="superscript"/>
        </w:rPr>
        <w:t>2</w:t>
      </w:r>
      <w:r w:rsidR="004B6D8C" w:rsidRPr="00966346">
        <w:rPr>
          <w:rFonts w:ascii="Arial" w:hAnsi="Arial" w:cs="Arial"/>
          <w:sz w:val="20"/>
          <w:szCs w:val="24"/>
          <w:vertAlign w:val="superscript"/>
        </w:rPr>
        <w:t>3</w:t>
      </w:r>
      <w:r w:rsidR="00431FE7" w:rsidRPr="00966346">
        <w:rPr>
          <w:rFonts w:ascii="Arial" w:hAnsi="Arial" w:cs="Arial"/>
          <w:sz w:val="20"/>
          <w:szCs w:val="24"/>
        </w:rPr>
        <w:t xml:space="preserve">, Alessandra </w:t>
      </w:r>
      <w:proofErr w:type="spellStart"/>
      <w:r w:rsidR="00431FE7" w:rsidRPr="00966346">
        <w:rPr>
          <w:rFonts w:ascii="Arial" w:hAnsi="Arial" w:cs="Arial"/>
          <w:sz w:val="20"/>
          <w:szCs w:val="24"/>
        </w:rPr>
        <w:t>Tucci</w:t>
      </w:r>
      <w:proofErr w:type="spellEnd"/>
      <w:r w:rsidR="00431FE7" w:rsidRPr="00966346">
        <w:rPr>
          <w:rFonts w:ascii="Arial" w:hAnsi="Arial" w:cs="Arial"/>
          <w:sz w:val="20"/>
          <w:szCs w:val="24"/>
        </w:rPr>
        <w:t>, MD</w:t>
      </w:r>
      <w:r w:rsidR="00431FE7" w:rsidRPr="00966346">
        <w:rPr>
          <w:rFonts w:ascii="Arial" w:hAnsi="Arial" w:cs="Arial"/>
          <w:sz w:val="20"/>
          <w:szCs w:val="24"/>
          <w:vertAlign w:val="superscript"/>
        </w:rPr>
        <w:t>2</w:t>
      </w:r>
      <w:r w:rsidR="004B6D8C" w:rsidRPr="00966346">
        <w:rPr>
          <w:rFonts w:ascii="Arial" w:hAnsi="Arial" w:cs="Arial"/>
          <w:sz w:val="20"/>
          <w:szCs w:val="24"/>
          <w:vertAlign w:val="superscript"/>
        </w:rPr>
        <w:t>4</w:t>
      </w:r>
      <w:r w:rsidR="00431FE7" w:rsidRPr="00966346">
        <w:rPr>
          <w:rFonts w:ascii="Arial" w:hAnsi="Arial" w:cs="Arial"/>
          <w:sz w:val="20"/>
          <w:szCs w:val="24"/>
        </w:rPr>
        <w:t>, Lorella Orsucci, MD</w:t>
      </w:r>
      <w:r w:rsidR="004B6D8C" w:rsidRPr="00966346">
        <w:rPr>
          <w:rFonts w:ascii="Arial" w:hAnsi="Arial" w:cs="Arial"/>
          <w:sz w:val="20"/>
          <w:szCs w:val="24"/>
          <w:vertAlign w:val="superscript"/>
        </w:rPr>
        <w:t>25</w:t>
      </w:r>
      <w:r w:rsidR="00431FE7" w:rsidRPr="00966346">
        <w:rPr>
          <w:rFonts w:ascii="Arial" w:hAnsi="Arial" w:cs="Arial"/>
          <w:sz w:val="20"/>
          <w:szCs w:val="24"/>
        </w:rPr>
        <w:t>, Francesco Pisani, MD</w:t>
      </w:r>
      <w:r w:rsidR="00431FE7" w:rsidRPr="00966346">
        <w:rPr>
          <w:rFonts w:ascii="Arial" w:hAnsi="Arial" w:cs="Arial"/>
          <w:sz w:val="20"/>
          <w:szCs w:val="24"/>
          <w:vertAlign w:val="superscript"/>
        </w:rPr>
        <w:t>2</w:t>
      </w:r>
      <w:r w:rsidR="004B6D8C" w:rsidRPr="00966346">
        <w:rPr>
          <w:rFonts w:ascii="Arial" w:hAnsi="Arial" w:cs="Arial"/>
          <w:sz w:val="20"/>
          <w:szCs w:val="24"/>
          <w:vertAlign w:val="superscript"/>
        </w:rPr>
        <w:t>6</w:t>
      </w:r>
      <w:r w:rsidR="00431FE7" w:rsidRPr="00966346">
        <w:rPr>
          <w:rFonts w:ascii="Arial" w:hAnsi="Arial" w:cs="Arial"/>
          <w:sz w:val="20"/>
          <w:szCs w:val="24"/>
        </w:rPr>
        <w:t>, Alessandro Levis, MD</w:t>
      </w:r>
      <w:r w:rsidR="004B6D8C" w:rsidRPr="00966346">
        <w:rPr>
          <w:rFonts w:ascii="Arial" w:hAnsi="Arial" w:cs="Arial"/>
          <w:sz w:val="20"/>
          <w:szCs w:val="24"/>
          <w:vertAlign w:val="superscript"/>
        </w:rPr>
        <w:t>27</w:t>
      </w:r>
      <w:r w:rsidR="00431FE7" w:rsidRPr="00966346">
        <w:rPr>
          <w:rFonts w:ascii="Arial" w:hAnsi="Arial" w:cs="Arial"/>
          <w:sz w:val="20"/>
          <w:szCs w:val="24"/>
        </w:rPr>
        <w:t>, Stefan W. Krause, MD</w:t>
      </w:r>
      <w:r w:rsidR="004B6D8C" w:rsidRPr="00966346">
        <w:rPr>
          <w:rFonts w:ascii="Arial" w:hAnsi="Arial" w:cs="Arial"/>
          <w:sz w:val="20"/>
          <w:szCs w:val="24"/>
          <w:vertAlign w:val="superscript"/>
        </w:rPr>
        <w:t>28</w:t>
      </w:r>
      <w:r w:rsidR="00431FE7" w:rsidRPr="00966346">
        <w:rPr>
          <w:rFonts w:ascii="Arial" w:hAnsi="Arial" w:cs="Arial"/>
          <w:sz w:val="20"/>
          <w:szCs w:val="24"/>
          <w:vertAlign w:val="superscript"/>
        </w:rPr>
        <w:t>§</w:t>
      </w:r>
      <w:r w:rsidR="00431FE7" w:rsidRPr="00966346">
        <w:rPr>
          <w:rFonts w:ascii="Arial" w:hAnsi="Arial" w:cs="Arial"/>
          <w:sz w:val="20"/>
          <w:szCs w:val="24"/>
        </w:rPr>
        <w:t>, Hans J. Schmoll, MD</w:t>
      </w:r>
      <w:r w:rsidR="004B6D8C" w:rsidRPr="00966346">
        <w:rPr>
          <w:rFonts w:ascii="Arial" w:hAnsi="Arial" w:cs="Arial"/>
          <w:sz w:val="20"/>
          <w:szCs w:val="24"/>
          <w:vertAlign w:val="superscript"/>
        </w:rPr>
        <w:t>29</w:t>
      </w:r>
      <w:r w:rsidR="00431FE7" w:rsidRPr="00966346">
        <w:rPr>
          <w:rFonts w:ascii="Arial" w:hAnsi="Arial" w:cs="Arial"/>
          <w:sz w:val="20"/>
          <w:szCs w:val="24"/>
        </w:rPr>
        <w:t xml:space="preserve">, Bernd </w:t>
      </w:r>
      <w:proofErr w:type="spellStart"/>
      <w:r w:rsidR="00431FE7" w:rsidRPr="00966346">
        <w:rPr>
          <w:rFonts w:ascii="Arial" w:hAnsi="Arial" w:cs="Arial"/>
          <w:sz w:val="20"/>
          <w:szCs w:val="24"/>
        </w:rPr>
        <w:t>Hertenstein</w:t>
      </w:r>
      <w:proofErr w:type="spellEnd"/>
      <w:r w:rsidR="00431FE7" w:rsidRPr="00966346">
        <w:rPr>
          <w:rFonts w:ascii="Arial" w:hAnsi="Arial" w:cs="Arial"/>
          <w:sz w:val="20"/>
          <w:szCs w:val="24"/>
        </w:rPr>
        <w:t>, MD</w:t>
      </w:r>
      <w:r w:rsidR="004B6D8C" w:rsidRPr="00966346">
        <w:rPr>
          <w:rFonts w:ascii="Arial" w:hAnsi="Arial" w:cs="Arial"/>
          <w:sz w:val="20"/>
          <w:szCs w:val="24"/>
          <w:vertAlign w:val="superscript"/>
        </w:rPr>
        <w:t>30</w:t>
      </w:r>
      <w:r w:rsidR="00431FE7" w:rsidRPr="00966346">
        <w:rPr>
          <w:rFonts w:ascii="Arial" w:hAnsi="Arial" w:cs="Arial"/>
          <w:sz w:val="20"/>
          <w:szCs w:val="24"/>
        </w:rPr>
        <w:t xml:space="preserve">, Mathias </w:t>
      </w:r>
      <w:proofErr w:type="spellStart"/>
      <w:r w:rsidR="00431FE7" w:rsidRPr="00966346">
        <w:rPr>
          <w:rFonts w:ascii="Arial" w:hAnsi="Arial" w:cs="Arial"/>
          <w:sz w:val="20"/>
          <w:szCs w:val="24"/>
        </w:rPr>
        <w:t>Rummel</w:t>
      </w:r>
      <w:proofErr w:type="spellEnd"/>
      <w:r w:rsidR="00431FE7" w:rsidRPr="00966346">
        <w:rPr>
          <w:rFonts w:ascii="Arial" w:hAnsi="Arial" w:cs="Arial"/>
          <w:sz w:val="20"/>
          <w:szCs w:val="24"/>
        </w:rPr>
        <w:t>, MD</w:t>
      </w:r>
      <w:r w:rsidR="006D6102" w:rsidRPr="00966346">
        <w:rPr>
          <w:rFonts w:ascii="Arial" w:hAnsi="Arial" w:cs="Arial"/>
          <w:sz w:val="20"/>
          <w:szCs w:val="24"/>
          <w:vertAlign w:val="superscript"/>
        </w:rPr>
        <w:t>3</w:t>
      </w:r>
      <w:r w:rsidR="004B6D8C" w:rsidRPr="00966346">
        <w:rPr>
          <w:rFonts w:ascii="Arial" w:hAnsi="Arial" w:cs="Arial"/>
          <w:sz w:val="20"/>
          <w:szCs w:val="24"/>
          <w:vertAlign w:val="superscript"/>
        </w:rPr>
        <w:t>1</w:t>
      </w:r>
      <w:r w:rsidR="00431FE7" w:rsidRPr="00966346">
        <w:rPr>
          <w:rFonts w:ascii="Arial" w:hAnsi="Arial" w:cs="Arial"/>
          <w:sz w:val="20"/>
          <w:szCs w:val="24"/>
        </w:rPr>
        <w:t>, Jeffery Smith, MD</w:t>
      </w:r>
      <w:r w:rsidR="006D6102" w:rsidRPr="00966346">
        <w:rPr>
          <w:rFonts w:ascii="Arial" w:hAnsi="Arial" w:cs="Arial"/>
          <w:sz w:val="20"/>
          <w:szCs w:val="24"/>
          <w:vertAlign w:val="superscript"/>
        </w:rPr>
        <w:t>3</w:t>
      </w:r>
      <w:r w:rsidR="004B6D8C" w:rsidRPr="00966346">
        <w:rPr>
          <w:rFonts w:ascii="Arial" w:hAnsi="Arial" w:cs="Arial"/>
          <w:sz w:val="20"/>
          <w:szCs w:val="24"/>
          <w:vertAlign w:val="superscript"/>
        </w:rPr>
        <w:t>2</w:t>
      </w:r>
      <w:r w:rsidR="00431FE7" w:rsidRPr="00966346">
        <w:rPr>
          <w:rFonts w:ascii="Arial" w:hAnsi="Arial" w:cs="Arial"/>
          <w:sz w:val="20"/>
          <w:szCs w:val="24"/>
        </w:rPr>
        <w:t xml:space="preserve">, Michael </w:t>
      </w:r>
      <w:proofErr w:type="spellStart"/>
      <w:r w:rsidR="00431FE7" w:rsidRPr="00966346">
        <w:rPr>
          <w:rFonts w:ascii="Arial" w:hAnsi="Arial" w:cs="Arial"/>
          <w:sz w:val="20"/>
          <w:szCs w:val="24"/>
        </w:rPr>
        <w:t>Pfreundschuh</w:t>
      </w:r>
      <w:proofErr w:type="spellEnd"/>
      <w:r w:rsidR="00431FE7" w:rsidRPr="00966346">
        <w:rPr>
          <w:rFonts w:ascii="Arial" w:hAnsi="Arial" w:cs="Arial"/>
          <w:sz w:val="20"/>
          <w:szCs w:val="24"/>
        </w:rPr>
        <w:t>, MD</w:t>
      </w:r>
      <w:r w:rsidR="006D6102" w:rsidRPr="00966346">
        <w:rPr>
          <w:rFonts w:ascii="Arial" w:hAnsi="Arial" w:cs="Arial"/>
          <w:sz w:val="20"/>
          <w:szCs w:val="24"/>
          <w:vertAlign w:val="superscript"/>
        </w:rPr>
        <w:t>3</w:t>
      </w:r>
      <w:r w:rsidR="004B6D8C" w:rsidRPr="00966346">
        <w:rPr>
          <w:rFonts w:ascii="Arial" w:hAnsi="Arial" w:cs="Arial"/>
          <w:sz w:val="20"/>
          <w:szCs w:val="24"/>
          <w:vertAlign w:val="superscript"/>
        </w:rPr>
        <w:t>3</w:t>
      </w:r>
      <w:r w:rsidR="00431FE7" w:rsidRPr="00966346">
        <w:rPr>
          <w:rFonts w:ascii="Arial" w:hAnsi="Arial" w:cs="Arial"/>
          <w:sz w:val="20"/>
          <w:szCs w:val="24"/>
        </w:rPr>
        <w:t>, Giuseppina Cabras, MD</w:t>
      </w:r>
      <w:r w:rsidR="006D6102" w:rsidRPr="00966346">
        <w:rPr>
          <w:rFonts w:ascii="Arial" w:hAnsi="Arial" w:cs="Arial"/>
          <w:sz w:val="20"/>
          <w:szCs w:val="24"/>
          <w:vertAlign w:val="superscript"/>
        </w:rPr>
        <w:t>3</w:t>
      </w:r>
      <w:r w:rsidR="004B6D8C" w:rsidRPr="00966346">
        <w:rPr>
          <w:rFonts w:ascii="Arial" w:hAnsi="Arial" w:cs="Arial"/>
          <w:sz w:val="20"/>
          <w:szCs w:val="24"/>
          <w:vertAlign w:val="superscript"/>
        </w:rPr>
        <w:t>4</w:t>
      </w:r>
      <w:r w:rsidR="00431FE7" w:rsidRPr="00966346">
        <w:rPr>
          <w:rFonts w:ascii="Arial" w:hAnsi="Arial" w:cs="Arial"/>
          <w:sz w:val="20"/>
          <w:szCs w:val="24"/>
        </w:rPr>
        <w:t xml:space="preserve">, Francesco </w:t>
      </w:r>
      <w:proofErr w:type="spellStart"/>
      <w:r w:rsidR="00431FE7" w:rsidRPr="00966346">
        <w:rPr>
          <w:rFonts w:ascii="Arial" w:hAnsi="Arial" w:cs="Arial"/>
          <w:sz w:val="20"/>
          <w:szCs w:val="24"/>
        </w:rPr>
        <w:t>Angrilli</w:t>
      </w:r>
      <w:proofErr w:type="spellEnd"/>
      <w:r w:rsidR="00431FE7" w:rsidRPr="00966346">
        <w:rPr>
          <w:rFonts w:ascii="Arial" w:hAnsi="Arial" w:cs="Arial"/>
          <w:sz w:val="20"/>
          <w:szCs w:val="24"/>
        </w:rPr>
        <w:t>, MD</w:t>
      </w:r>
      <w:r w:rsidR="006D6102" w:rsidRPr="00966346">
        <w:rPr>
          <w:rFonts w:ascii="Arial" w:hAnsi="Arial" w:cs="Arial"/>
          <w:sz w:val="20"/>
          <w:szCs w:val="24"/>
          <w:vertAlign w:val="superscript"/>
        </w:rPr>
        <w:t>3</w:t>
      </w:r>
      <w:r w:rsidR="004B6D8C" w:rsidRPr="00966346">
        <w:rPr>
          <w:rFonts w:ascii="Arial" w:hAnsi="Arial" w:cs="Arial"/>
          <w:sz w:val="20"/>
          <w:szCs w:val="24"/>
          <w:vertAlign w:val="superscript"/>
        </w:rPr>
        <w:t>5</w:t>
      </w:r>
      <w:r w:rsidR="00431FE7" w:rsidRPr="00966346">
        <w:rPr>
          <w:rFonts w:ascii="Arial" w:hAnsi="Arial" w:cs="Arial"/>
          <w:sz w:val="20"/>
          <w:szCs w:val="24"/>
        </w:rPr>
        <w:t>, Maurilio Ponzoni, MD</w:t>
      </w:r>
      <w:r w:rsidR="004B6D8C" w:rsidRPr="00966346">
        <w:rPr>
          <w:rFonts w:ascii="Arial" w:hAnsi="Arial" w:cs="Arial"/>
          <w:sz w:val="20"/>
          <w:szCs w:val="24"/>
          <w:vertAlign w:val="superscript"/>
        </w:rPr>
        <w:t>36</w:t>
      </w:r>
      <w:r w:rsidR="00431FE7" w:rsidRPr="00966346">
        <w:rPr>
          <w:rFonts w:ascii="Arial" w:hAnsi="Arial" w:cs="Arial"/>
          <w:sz w:val="20"/>
          <w:szCs w:val="24"/>
          <w:vertAlign w:val="superscript"/>
        </w:rPr>
        <w:t>§</w:t>
      </w:r>
      <w:r w:rsidR="00431FE7" w:rsidRPr="00966346">
        <w:rPr>
          <w:rFonts w:ascii="Arial" w:hAnsi="Arial" w:cs="Arial"/>
          <w:sz w:val="20"/>
          <w:szCs w:val="24"/>
        </w:rPr>
        <w:t>, Martina Deckert, MD</w:t>
      </w:r>
      <w:r w:rsidR="004B6D8C" w:rsidRPr="00966346">
        <w:rPr>
          <w:rFonts w:ascii="Arial" w:hAnsi="Arial" w:cs="Arial"/>
          <w:sz w:val="20"/>
          <w:szCs w:val="24"/>
          <w:vertAlign w:val="superscript"/>
        </w:rPr>
        <w:t>37</w:t>
      </w:r>
      <w:r w:rsidR="00431FE7" w:rsidRPr="00966346">
        <w:rPr>
          <w:rFonts w:ascii="Arial" w:hAnsi="Arial" w:cs="Arial"/>
          <w:sz w:val="20"/>
          <w:szCs w:val="24"/>
          <w:vertAlign w:val="superscript"/>
        </w:rPr>
        <w:t>§</w:t>
      </w:r>
      <w:r w:rsidR="00431FE7" w:rsidRPr="00966346">
        <w:rPr>
          <w:rFonts w:ascii="Arial" w:hAnsi="Arial" w:cs="Arial"/>
          <w:sz w:val="20"/>
          <w:szCs w:val="24"/>
        </w:rPr>
        <w:t>, Letterio S. Politi, MD</w:t>
      </w:r>
      <w:r w:rsidR="004B6D8C" w:rsidRPr="00966346">
        <w:rPr>
          <w:rFonts w:ascii="Arial" w:hAnsi="Arial" w:cs="Arial"/>
          <w:sz w:val="20"/>
          <w:szCs w:val="24"/>
          <w:vertAlign w:val="superscript"/>
        </w:rPr>
        <w:t>38</w:t>
      </w:r>
      <w:r w:rsidR="00431FE7" w:rsidRPr="00966346">
        <w:rPr>
          <w:rFonts w:ascii="Arial" w:hAnsi="Arial" w:cs="Arial"/>
          <w:sz w:val="20"/>
          <w:szCs w:val="24"/>
        </w:rPr>
        <w:t>, Jürgen Finke, MD</w:t>
      </w:r>
      <w:r w:rsidR="004B6D8C" w:rsidRPr="00966346">
        <w:rPr>
          <w:rFonts w:ascii="Arial" w:hAnsi="Arial" w:cs="Arial"/>
          <w:sz w:val="20"/>
          <w:szCs w:val="24"/>
          <w:vertAlign w:val="superscript"/>
        </w:rPr>
        <w:t>5</w:t>
      </w:r>
      <w:r w:rsidR="00431FE7" w:rsidRPr="00966346">
        <w:rPr>
          <w:rFonts w:ascii="Arial" w:hAnsi="Arial" w:cs="Arial"/>
          <w:sz w:val="20"/>
          <w:szCs w:val="24"/>
        </w:rPr>
        <w:t>, Michele Reni, MD</w:t>
      </w:r>
      <w:r w:rsidR="00431FE7" w:rsidRPr="00966346">
        <w:rPr>
          <w:rFonts w:ascii="Arial" w:hAnsi="Arial" w:cs="Arial"/>
          <w:sz w:val="20"/>
          <w:szCs w:val="24"/>
          <w:vertAlign w:val="superscript"/>
        </w:rPr>
        <w:t>3</w:t>
      </w:r>
      <w:r w:rsidR="004B6D8C" w:rsidRPr="00966346">
        <w:rPr>
          <w:rFonts w:ascii="Arial" w:hAnsi="Arial" w:cs="Arial"/>
          <w:sz w:val="20"/>
          <w:szCs w:val="24"/>
          <w:vertAlign w:val="superscript"/>
        </w:rPr>
        <w:t>9</w:t>
      </w:r>
      <w:r w:rsidR="00431FE7" w:rsidRPr="00966346">
        <w:rPr>
          <w:rFonts w:ascii="Arial" w:hAnsi="Arial" w:cs="Arial"/>
          <w:sz w:val="20"/>
          <w:szCs w:val="24"/>
        </w:rPr>
        <w:t>, Franco Cavalli, MD</w:t>
      </w:r>
      <w:r w:rsidR="004B6D8C" w:rsidRPr="00966346">
        <w:rPr>
          <w:rFonts w:ascii="Arial" w:hAnsi="Arial" w:cs="Arial"/>
          <w:sz w:val="20"/>
          <w:szCs w:val="24"/>
          <w:vertAlign w:val="superscript"/>
        </w:rPr>
        <w:t>40</w:t>
      </w:r>
      <w:r w:rsidR="00431FE7" w:rsidRPr="00966346">
        <w:rPr>
          <w:rFonts w:ascii="Arial" w:hAnsi="Arial" w:cs="Arial"/>
          <w:sz w:val="20"/>
          <w:szCs w:val="24"/>
          <w:vertAlign w:val="superscript"/>
        </w:rPr>
        <w:t>§</w:t>
      </w:r>
      <w:r w:rsidR="00431FE7" w:rsidRPr="00966346">
        <w:rPr>
          <w:rFonts w:ascii="Arial" w:hAnsi="Arial" w:cs="Arial"/>
          <w:sz w:val="20"/>
          <w:szCs w:val="24"/>
        </w:rPr>
        <w:t>, Emanuele Zucca, MD</w:t>
      </w:r>
      <w:r w:rsidR="004B6D8C" w:rsidRPr="00966346">
        <w:rPr>
          <w:rFonts w:ascii="Arial" w:hAnsi="Arial" w:cs="Arial"/>
          <w:sz w:val="20"/>
          <w:szCs w:val="24"/>
          <w:vertAlign w:val="superscript"/>
        </w:rPr>
        <w:t>40</w:t>
      </w:r>
      <w:r w:rsidR="00431FE7" w:rsidRPr="00966346">
        <w:rPr>
          <w:rFonts w:ascii="Arial" w:hAnsi="Arial" w:cs="Arial"/>
          <w:sz w:val="20"/>
          <w:szCs w:val="24"/>
        </w:rPr>
        <w:t>, Gerald Illerhaus, MD</w:t>
      </w:r>
      <w:r w:rsidR="00C26632" w:rsidRPr="00966346">
        <w:rPr>
          <w:rFonts w:ascii="Arial" w:hAnsi="Arial" w:cs="Arial"/>
          <w:sz w:val="20"/>
          <w:szCs w:val="24"/>
          <w:vertAlign w:val="superscript"/>
        </w:rPr>
        <w:t>41</w:t>
      </w:r>
      <w:r w:rsidR="00431FE7" w:rsidRPr="00966346">
        <w:rPr>
          <w:rFonts w:ascii="Arial" w:hAnsi="Arial" w:cs="Arial"/>
          <w:sz w:val="20"/>
          <w:szCs w:val="24"/>
        </w:rPr>
        <w:t xml:space="preserve"> for the International Extranodal Study Group (IELSG)* </w:t>
      </w:r>
    </w:p>
    <w:p w14:paraId="01B8377F" w14:textId="77777777" w:rsidR="00431FE7" w:rsidRPr="00966346" w:rsidRDefault="00431FE7" w:rsidP="00476D6D">
      <w:pPr>
        <w:spacing w:after="0" w:line="240" w:lineRule="auto"/>
        <w:jc w:val="both"/>
        <w:rPr>
          <w:rFonts w:ascii="Arial" w:hAnsi="Arial" w:cs="Arial"/>
          <w:szCs w:val="24"/>
        </w:rPr>
      </w:pPr>
    </w:p>
    <w:p w14:paraId="1335BBB6" w14:textId="77777777" w:rsidR="00177B5F" w:rsidRPr="00966346" w:rsidRDefault="001D611B" w:rsidP="00476D6D">
      <w:pPr>
        <w:spacing w:after="0" w:line="240" w:lineRule="auto"/>
        <w:jc w:val="both"/>
        <w:rPr>
          <w:rFonts w:ascii="Arial" w:hAnsi="Arial" w:cs="Arial"/>
          <w:sz w:val="18"/>
          <w:szCs w:val="20"/>
        </w:rPr>
      </w:pPr>
      <w:r w:rsidRPr="00966346">
        <w:rPr>
          <w:rFonts w:ascii="Arial" w:hAnsi="Arial" w:cs="Arial"/>
          <w:sz w:val="18"/>
          <w:szCs w:val="24"/>
          <w:vertAlign w:val="superscript"/>
        </w:rPr>
        <w:t>1</w:t>
      </w:r>
      <w:r w:rsidRPr="00966346">
        <w:rPr>
          <w:rFonts w:ascii="Arial" w:hAnsi="Arial" w:cs="Arial"/>
          <w:sz w:val="18"/>
          <w:szCs w:val="24"/>
        </w:rPr>
        <w:t xml:space="preserve">Unit of Lymphoid Malignancies, Dept. of </w:t>
      </w:r>
      <w:proofErr w:type="spellStart"/>
      <w:r w:rsidRPr="00966346">
        <w:rPr>
          <w:rFonts w:ascii="Arial" w:hAnsi="Arial" w:cs="Arial"/>
          <w:sz w:val="18"/>
          <w:szCs w:val="24"/>
        </w:rPr>
        <w:t>Onco</w:t>
      </w:r>
      <w:proofErr w:type="spellEnd"/>
      <w:r w:rsidR="00606779" w:rsidRPr="00966346">
        <w:rPr>
          <w:rFonts w:ascii="Arial" w:hAnsi="Arial" w:cs="Arial"/>
          <w:sz w:val="18"/>
          <w:szCs w:val="24"/>
        </w:rPr>
        <w:t>-</w:t>
      </w:r>
      <w:r w:rsidRPr="00966346">
        <w:rPr>
          <w:rFonts w:ascii="Arial" w:hAnsi="Arial" w:cs="Arial"/>
          <w:sz w:val="18"/>
          <w:szCs w:val="24"/>
        </w:rPr>
        <w:t>Hematology</w:t>
      </w:r>
      <w:r w:rsidR="004B6D8C" w:rsidRPr="00966346">
        <w:rPr>
          <w:rFonts w:ascii="Arial" w:hAnsi="Arial" w:cs="Arial"/>
          <w:sz w:val="18"/>
          <w:szCs w:val="24"/>
        </w:rPr>
        <w:t>,</w:t>
      </w:r>
      <w:r w:rsidRPr="00966346">
        <w:rPr>
          <w:rFonts w:ascii="Arial" w:hAnsi="Arial" w:cs="Arial"/>
          <w:sz w:val="18"/>
          <w:szCs w:val="24"/>
        </w:rPr>
        <w:t xml:space="preserve"> </w:t>
      </w:r>
      <w:r w:rsidR="004B6D8C" w:rsidRPr="00966346">
        <w:rPr>
          <w:rFonts w:ascii="Arial" w:hAnsi="Arial" w:cs="Arial"/>
          <w:sz w:val="18"/>
          <w:szCs w:val="24"/>
          <w:vertAlign w:val="superscript"/>
        </w:rPr>
        <w:t>10</w:t>
      </w:r>
      <w:r w:rsidR="004B6D8C" w:rsidRPr="00966346">
        <w:rPr>
          <w:rFonts w:ascii="Arial" w:hAnsi="Arial" w:cs="Arial"/>
          <w:sz w:val="18"/>
          <w:szCs w:val="24"/>
        </w:rPr>
        <w:t xml:space="preserve">Dept. of Neurology, </w:t>
      </w:r>
      <w:r w:rsidR="004B6D8C" w:rsidRPr="00966346">
        <w:rPr>
          <w:rFonts w:ascii="Arial" w:hAnsi="Arial" w:cs="Arial"/>
          <w:sz w:val="18"/>
          <w:szCs w:val="20"/>
          <w:vertAlign w:val="superscript"/>
        </w:rPr>
        <w:t>36</w:t>
      </w:r>
      <w:r w:rsidR="004B6D8C" w:rsidRPr="00966346">
        <w:rPr>
          <w:rFonts w:ascii="Arial" w:hAnsi="Arial" w:cs="Arial"/>
          <w:sz w:val="18"/>
          <w:szCs w:val="20"/>
        </w:rPr>
        <w:t xml:space="preserve">Ateneo Vita-Salute San Raffaele University, Pathology Unit, </w:t>
      </w:r>
      <w:r w:rsidR="004B6D8C" w:rsidRPr="00966346">
        <w:rPr>
          <w:rFonts w:ascii="Arial" w:hAnsi="Arial" w:cs="Arial"/>
          <w:sz w:val="18"/>
          <w:szCs w:val="20"/>
          <w:vertAlign w:val="superscript"/>
        </w:rPr>
        <w:t>38</w:t>
      </w:r>
      <w:r w:rsidR="004B6D8C" w:rsidRPr="00966346">
        <w:rPr>
          <w:rFonts w:ascii="Arial" w:hAnsi="Arial" w:cs="Arial"/>
          <w:sz w:val="18"/>
          <w:szCs w:val="20"/>
        </w:rPr>
        <w:t xml:space="preserve">Unit of Neuroradiology, and </w:t>
      </w:r>
      <w:r w:rsidR="004B6D8C" w:rsidRPr="00966346">
        <w:rPr>
          <w:rFonts w:ascii="Arial" w:hAnsi="Arial" w:cs="Arial"/>
          <w:sz w:val="18"/>
          <w:szCs w:val="20"/>
          <w:vertAlign w:val="superscript"/>
        </w:rPr>
        <w:t>39</w:t>
      </w:r>
      <w:r w:rsidR="004B6D8C" w:rsidRPr="00966346">
        <w:rPr>
          <w:rFonts w:ascii="Arial" w:hAnsi="Arial" w:cs="Arial"/>
          <w:sz w:val="18"/>
          <w:szCs w:val="20"/>
        </w:rPr>
        <w:t xml:space="preserve">Dept. of Oncology; </w:t>
      </w:r>
      <w:r w:rsidR="006D6102" w:rsidRPr="00966346">
        <w:rPr>
          <w:rFonts w:ascii="Arial" w:hAnsi="Arial" w:cs="Arial"/>
          <w:sz w:val="18"/>
          <w:szCs w:val="24"/>
        </w:rPr>
        <w:t xml:space="preserve">IRCCS San Raffaele Scientific Institute, Milano, Italy; </w:t>
      </w:r>
      <w:r w:rsidR="00431FE7" w:rsidRPr="00966346">
        <w:rPr>
          <w:rFonts w:ascii="Arial" w:hAnsi="Arial" w:cs="Arial"/>
          <w:sz w:val="18"/>
          <w:szCs w:val="24"/>
          <w:vertAlign w:val="superscript"/>
        </w:rPr>
        <w:t>2</w:t>
      </w:r>
      <w:r w:rsidR="00431FE7" w:rsidRPr="00966346">
        <w:rPr>
          <w:rFonts w:ascii="Arial" w:hAnsi="Arial" w:cs="Arial"/>
          <w:sz w:val="18"/>
          <w:szCs w:val="24"/>
        </w:rPr>
        <w:t>RFH/UCLH, London, UK;</w:t>
      </w:r>
      <w:r w:rsidR="00431FE7" w:rsidRPr="00966346">
        <w:rPr>
          <w:rFonts w:ascii="Arial" w:hAnsi="Arial" w:cs="Arial"/>
          <w:sz w:val="18"/>
          <w:szCs w:val="24"/>
          <w:vertAlign w:val="superscript"/>
        </w:rPr>
        <w:t xml:space="preserve"> 3</w:t>
      </w:r>
      <w:r w:rsidR="00431FE7" w:rsidRPr="00966346">
        <w:rPr>
          <w:rFonts w:ascii="Arial" w:hAnsi="Arial" w:cs="Arial"/>
          <w:sz w:val="18"/>
          <w:szCs w:val="24"/>
        </w:rPr>
        <w:t>Aarhus University Hospital, Aarhus, Denmark;</w:t>
      </w:r>
      <w:r w:rsidR="00431FE7" w:rsidRPr="00966346">
        <w:rPr>
          <w:rFonts w:ascii="Arial" w:hAnsi="Arial" w:cs="Arial"/>
          <w:sz w:val="18"/>
          <w:szCs w:val="24"/>
          <w:vertAlign w:val="superscript"/>
        </w:rPr>
        <w:t xml:space="preserve"> </w:t>
      </w:r>
      <w:r w:rsidR="004B6D8C" w:rsidRPr="00966346">
        <w:rPr>
          <w:rFonts w:ascii="Arial" w:hAnsi="Arial" w:cs="Arial"/>
          <w:sz w:val="18"/>
          <w:szCs w:val="24"/>
          <w:vertAlign w:val="superscript"/>
        </w:rPr>
        <w:t>4</w:t>
      </w:r>
      <w:r w:rsidR="00551C7C" w:rsidRPr="00966346">
        <w:rPr>
          <w:rFonts w:ascii="Arial" w:hAnsi="Arial" w:cs="Arial"/>
          <w:sz w:val="18"/>
          <w:szCs w:val="24"/>
        </w:rPr>
        <w:t xml:space="preserve">Nottingham </w:t>
      </w:r>
      <w:r w:rsidR="00431FE7" w:rsidRPr="00966346">
        <w:rPr>
          <w:rFonts w:ascii="Arial" w:hAnsi="Arial" w:cs="Arial"/>
          <w:sz w:val="18"/>
          <w:szCs w:val="24"/>
        </w:rPr>
        <w:t>University Hospitals NHS Trust, Nottingham, UK;</w:t>
      </w:r>
      <w:r w:rsidR="00431FE7" w:rsidRPr="00966346">
        <w:rPr>
          <w:rFonts w:ascii="Arial" w:hAnsi="Arial" w:cs="Arial"/>
          <w:sz w:val="18"/>
          <w:szCs w:val="24"/>
          <w:vertAlign w:val="superscript"/>
        </w:rPr>
        <w:t xml:space="preserve"> </w:t>
      </w:r>
      <w:r w:rsidR="004B6D8C" w:rsidRPr="00966346">
        <w:rPr>
          <w:rFonts w:ascii="Arial" w:hAnsi="Arial" w:cs="Arial"/>
          <w:sz w:val="18"/>
          <w:szCs w:val="24"/>
          <w:vertAlign w:val="superscript"/>
        </w:rPr>
        <w:t>5</w:t>
      </w:r>
      <w:r w:rsidR="00431FE7" w:rsidRPr="00966346">
        <w:rPr>
          <w:rFonts w:ascii="Arial" w:hAnsi="Arial" w:cs="Arial"/>
          <w:sz w:val="18"/>
          <w:szCs w:val="24"/>
        </w:rPr>
        <w:t>Uniklinik Freiburg, Freiburg, Germany;</w:t>
      </w:r>
      <w:r w:rsidR="00431FE7" w:rsidRPr="00966346">
        <w:rPr>
          <w:rFonts w:ascii="Arial" w:hAnsi="Arial" w:cs="Arial"/>
          <w:sz w:val="18"/>
          <w:szCs w:val="24"/>
          <w:vertAlign w:val="superscript"/>
        </w:rPr>
        <w:t xml:space="preserve"> </w:t>
      </w:r>
      <w:r w:rsidR="004B6D8C" w:rsidRPr="00966346">
        <w:rPr>
          <w:rFonts w:ascii="Arial" w:hAnsi="Arial" w:cs="Arial"/>
          <w:sz w:val="18"/>
          <w:szCs w:val="24"/>
          <w:vertAlign w:val="superscript"/>
        </w:rPr>
        <w:t>6</w:t>
      </w:r>
      <w:r w:rsidR="00205BFC" w:rsidRPr="00966346">
        <w:rPr>
          <w:rFonts w:ascii="Arial" w:hAnsi="Arial" w:cs="Arial"/>
          <w:sz w:val="18"/>
          <w:szCs w:val="24"/>
        </w:rPr>
        <w:t>Schwarzwald-Baar-Klinikum, Villingen-Schwenningen</w:t>
      </w:r>
      <w:r w:rsidR="00431FE7" w:rsidRPr="00966346">
        <w:rPr>
          <w:rFonts w:ascii="Arial" w:hAnsi="Arial" w:cs="Arial"/>
          <w:sz w:val="18"/>
          <w:szCs w:val="24"/>
        </w:rPr>
        <w:t>, Germany;</w:t>
      </w:r>
      <w:r w:rsidR="00431FE7" w:rsidRPr="00966346">
        <w:rPr>
          <w:rFonts w:ascii="Arial" w:hAnsi="Arial" w:cs="Arial"/>
          <w:sz w:val="18"/>
          <w:szCs w:val="24"/>
          <w:vertAlign w:val="superscript"/>
        </w:rPr>
        <w:t xml:space="preserve"> 7</w:t>
      </w:r>
      <w:r w:rsidR="00431FE7" w:rsidRPr="00966346">
        <w:rPr>
          <w:rFonts w:ascii="Arial" w:hAnsi="Arial" w:cs="Arial"/>
          <w:sz w:val="18"/>
          <w:szCs w:val="24"/>
        </w:rPr>
        <w:t xml:space="preserve">Uke </w:t>
      </w:r>
      <w:proofErr w:type="spellStart"/>
      <w:r w:rsidR="00431FE7" w:rsidRPr="00966346">
        <w:rPr>
          <w:rFonts w:ascii="Arial" w:hAnsi="Arial" w:cs="Arial"/>
          <w:sz w:val="18"/>
          <w:szCs w:val="24"/>
        </w:rPr>
        <w:t>Universitätsklinikum</w:t>
      </w:r>
      <w:proofErr w:type="spellEnd"/>
      <w:r w:rsidR="00431FE7" w:rsidRPr="00966346">
        <w:rPr>
          <w:rFonts w:ascii="Arial" w:hAnsi="Arial" w:cs="Arial"/>
          <w:sz w:val="18"/>
          <w:szCs w:val="24"/>
        </w:rPr>
        <w:t xml:space="preserve"> Hamburg- Eppendorf, Hamburg, Germany;</w:t>
      </w:r>
      <w:r w:rsidR="00431FE7" w:rsidRPr="00966346">
        <w:rPr>
          <w:rFonts w:ascii="Arial" w:hAnsi="Arial" w:cs="Arial"/>
          <w:sz w:val="18"/>
          <w:szCs w:val="24"/>
          <w:vertAlign w:val="superscript"/>
        </w:rPr>
        <w:t xml:space="preserve"> </w:t>
      </w:r>
      <w:r w:rsidR="004B6D8C" w:rsidRPr="00966346">
        <w:rPr>
          <w:rFonts w:ascii="Arial" w:hAnsi="Arial" w:cs="Arial"/>
          <w:sz w:val="18"/>
          <w:szCs w:val="24"/>
          <w:vertAlign w:val="superscript"/>
        </w:rPr>
        <w:t>8</w:t>
      </w:r>
      <w:r w:rsidR="00431FE7" w:rsidRPr="00966346">
        <w:rPr>
          <w:rFonts w:ascii="Arial" w:hAnsi="Arial" w:cs="Arial"/>
          <w:sz w:val="18"/>
          <w:szCs w:val="24"/>
        </w:rPr>
        <w:t xml:space="preserve">Azienda </w:t>
      </w:r>
      <w:proofErr w:type="spellStart"/>
      <w:r w:rsidR="00431FE7" w:rsidRPr="00966346">
        <w:rPr>
          <w:rFonts w:ascii="Arial" w:hAnsi="Arial" w:cs="Arial"/>
          <w:sz w:val="18"/>
          <w:szCs w:val="24"/>
        </w:rPr>
        <w:t>Ospedaliera</w:t>
      </w:r>
      <w:proofErr w:type="spellEnd"/>
      <w:r w:rsidR="00431FE7" w:rsidRPr="00966346">
        <w:rPr>
          <w:rFonts w:ascii="Arial" w:hAnsi="Arial" w:cs="Arial"/>
          <w:sz w:val="18"/>
          <w:szCs w:val="24"/>
        </w:rPr>
        <w:t xml:space="preserve"> </w:t>
      </w:r>
      <w:proofErr w:type="spellStart"/>
      <w:r w:rsidR="00431FE7" w:rsidRPr="00966346">
        <w:rPr>
          <w:rFonts w:ascii="Arial" w:hAnsi="Arial" w:cs="Arial"/>
          <w:sz w:val="18"/>
          <w:szCs w:val="24"/>
        </w:rPr>
        <w:t>Università</w:t>
      </w:r>
      <w:proofErr w:type="spellEnd"/>
      <w:r w:rsidR="00431FE7" w:rsidRPr="00966346">
        <w:rPr>
          <w:rFonts w:ascii="Arial" w:hAnsi="Arial" w:cs="Arial"/>
          <w:sz w:val="18"/>
          <w:szCs w:val="24"/>
        </w:rPr>
        <w:t xml:space="preserve"> </w:t>
      </w:r>
      <w:proofErr w:type="spellStart"/>
      <w:r w:rsidR="00431FE7" w:rsidRPr="00966346">
        <w:rPr>
          <w:rFonts w:ascii="Arial" w:hAnsi="Arial" w:cs="Arial"/>
          <w:sz w:val="18"/>
          <w:szCs w:val="24"/>
        </w:rPr>
        <w:t>Senese</w:t>
      </w:r>
      <w:proofErr w:type="spellEnd"/>
      <w:r w:rsidR="00431FE7" w:rsidRPr="00966346">
        <w:rPr>
          <w:rFonts w:ascii="Arial" w:hAnsi="Arial" w:cs="Arial"/>
          <w:sz w:val="18"/>
          <w:szCs w:val="24"/>
        </w:rPr>
        <w:t>, Siena, Italy;</w:t>
      </w:r>
      <w:r w:rsidR="006D6102" w:rsidRPr="00966346">
        <w:rPr>
          <w:rFonts w:ascii="Arial" w:hAnsi="Arial" w:cs="Arial"/>
          <w:sz w:val="18"/>
          <w:szCs w:val="24"/>
          <w:vertAlign w:val="superscript"/>
        </w:rPr>
        <w:t xml:space="preserve"> </w:t>
      </w:r>
      <w:r w:rsidR="004B6D8C" w:rsidRPr="00966346">
        <w:rPr>
          <w:rFonts w:ascii="Arial" w:hAnsi="Arial" w:cs="Arial"/>
          <w:sz w:val="18"/>
          <w:szCs w:val="24"/>
          <w:vertAlign w:val="superscript"/>
        </w:rPr>
        <w:t>9</w:t>
      </w:r>
      <w:r w:rsidR="006D6102" w:rsidRPr="00966346">
        <w:rPr>
          <w:rFonts w:ascii="Arial" w:hAnsi="Arial" w:cs="Arial"/>
          <w:sz w:val="18"/>
          <w:szCs w:val="24"/>
        </w:rPr>
        <w:t xml:space="preserve">IRCCS </w:t>
      </w:r>
      <w:proofErr w:type="spellStart"/>
      <w:r w:rsidR="006D6102" w:rsidRPr="00966346">
        <w:rPr>
          <w:rFonts w:ascii="Arial" w:hAnsi="Arial" w:cs="Arial"/>
          <w:sz w:val="18"/>
          <w:szCs w:val="24"/>
        </w:rPr>
        <w:t>Istituto</w:t>
      </w:r>
      <w:proofErr w:type="spellEnd"/>
      <w:r w:rsidR="006D6102" w:rsidRPr="00966346">
        <w:rPr>
          <w:rFonts w:ascii="Arial" w:hAnsi="Arial" w:cs="Arial"/>
          <w:sz w:val="18"/>
          <w:szCs w:val="24"/>
        </w:rPr>
        <w:t xml:space="preserve"> di </w:t>
      </w:r>
      <w:proofErr w:type="spellStart"/>
      <w:r w:rsidR="006D6102" w:rsidRPr="00966346">
        <w:rPr>
          <w:rFonts w:ascii="Arial" w:hAnsi="Arial" w:cs="Arial"/>
          <w:sz w:val="18"/>
          <w:szCs w:val="24"/>
        </w:rPr>
        <w:t>Ricerche</w:t>
      </w:r>
      <w:proofErr w:type="spellEnd"/>
      <w:r w:rsidR="006D6102" w:rsidRPr="00966346">
        <w:rPr>
          <w:rFonts w:ascii="Arial" w:hAnsi="Arial" w:cs="Arial"/>
          <w:sz w:val="18"/>
          <w:szCs w:val="24"/>
        </w:rPr>
        <w:t xml:space="preserve"> </w:t>
      </w:r>
      <w:proofErr w:type="spellStart"/>
      <w:r w:rsidR="006D6102" w:rsidRPr="00966346">
        <w:rPr>
          <w:rFonts w:ascii="Arial" w:hAnsi="Arial" w:cs="Arial"/>
          <w:sz w:val="18"/>
          <w:szCs w:val="24"/>
        </w:rPr>
        <w:t>Farmacologiche</w:t>
      </w:r>
      <w:proofErr w:type="spellEnd"/>
      <w:r w:rsidR="006D6102" w:rsidRPr="00966346">
        <w:rPr>
          <w:rFonts w:ascii="Arial" w:hAnsi="Arial" w:cs="Arial"/>
          <w:sz w:val="18"/>
          <w:szCs w:val="24"/>
        </w:rPr>
        <w:t xml:space="preserve"> Mario </w:t>
      </w:r>
      <w:proofErr w:type="spellStart"/>
      <w:r w:rsidR="006D6102" w:rsidRPr="00966346">
        <w:rPr>
          <w:rFonts w:ascii="Arial" w:hAnsi="Arial" w:cs="Arial"/>
          <w:sz w:val="18"/>
          <w:szCs w:val="24"/>
        </w:rPr>
        <w:t>Negri</w:t>
      </w:r>
      <w:proofErr w:type="spellEnd"/>
      <w:r w:rsidR="006D6102" w:rsidRPr="00966346">
        <w:rPr>
          <w:rFonts w:ascii="Arial" w:hAnsi="Arial" w:cs="Arial"/>
          <w:sz w:val="18"/>
          <w:szCs w:val="24"/>
        </w:rPr>
        <w:t>, Milano, Italy;</w:t>
      </w:r>
      <w:r w:rsidR="006D6102" w:rsidRPr="00966346">
        <w:rPr>
          <w:rFonts w:ascii="Arial" w:hAnsi="Arial" w:cs="Arial"/>
          <w:sz w:val="18"/>
          <w:szCs w:val="24"/>
          <w:vertAlign w:val="superscript"/>
        </w:rPr>
        <w:t xml:space="preserve"> </w:t>
      </w:r>
      <w:r w:rsidR="004B6D8C" w:rsidRPr="00966346">
        <w:rPr>
          <w:rFonts w:ascii="Arial" w:hAnsi="Arial" w:cs="Arial"/>
          <w:sz w:val="18"/>
          <w:szCs w:val="24"/>
          <w:vertAlign w:val="superscript"/>
        </w:rPr>
        <w:t>11</w:t>
      </w:r>
      <w:r w:rsidR="006D6102" w:rsidRPr="00966346">
        <w:rPr>
          <w:rFonts w:ascii="Arial" w:hAnsi="Arial" w:cs="Arial"/>
          <w:sz w:val="18"/>
          <w:szCs w:val="24"/>
        </w:rPr>
        <w:t xml:space="preserve">Azienda </w:t>
      </w:r>
      <w:proofErr w:type="spellStart"/>
      <w:r w:rsidR="006D6102" w:rsidRPr="00966346">
        <w:rPr>
          <w:rFonts w:ascii="Arial" w:hAnsi="Arial" w:cs="Arial"/>
          <w:sz w:val="18"/>
          <w:szCs w:val="24"/>
        </w:rPr>
        <w:t>Ospedaliera</w:t>
      </w:r>
      <w:proofErr w:type="spellEnd"/>
      <w:r w:rsidR="006D6102" w:rsidRPr="00966346">
        <w:rPr>
          <w:rFonts w:ascii="Arial" w:hAnsi="Arial" w:cs="Arial"/>
          <w:sz w:val="18"/>
          <w:szCs w:val="24"/>
        </w:rPr>
        <w:t xml:space="preserve"> </w:t>
      </w:r>
      <w:proofErr w:type="spellStart"/>
      <w:r w:rsidR="006D6102" w:rsidRPr="00966346">
        <w:rPr>
          <w:rFonts w:ascii="Arial" w:hAnsi="Arial" w:cs="Arial"/>
          <w:sz w:val="18"/>
          <w:szCs w:val="24"/>
        </w:rPr>
        <w:t>Arcispedale</w:t>
      </w:r>
      <w:proofErr w:type="spellEnd"/>
      <w:r w:rsidR="006D6102" w:rsidRPr="00966346">
        <w:rPr>
          <w:rFonts w:ascii="Arial" w:hAnsi="Arial" w:cs="Arial"/>
          <w:sz w:val="18"/>
          <w:szCs w:val="24"/>
        </w:rPr>
        <w:t xml:space="preserve"> Santa Maria Nuova IRCCS, Reggio Emilia, Italy;</w:t>
      </w:r>
      <w:r w:rsidR="006D6102" w:rsidRPr="00966346">
        <w:rPr>
          <w:rFonts w:ascii="Arial" w:hAnsi="Arial" w:cs="Arial"/>
          <w:sz w:val="18"/>
          <w:szCs w:val="24"/>
          <w:vertAlign w:val="superscript"/>
        </w:rPr>
        <w:t xml:space="preserve"> 1</w:t>
      </w:r>
      <w:r w:rsidR="004B6D8C" w:rsidRPr="00966346">
        <w:rPr>
          <w:rFonts w:ascii="Arial" w:hAnsi="Arial" w:cs="Arial"/>
          <w:sz w:val="18"/>
          <w:szCs w:val="24"/>
          <w:vertAlign w:val="superscript"/>
        </w:rPr>
        <w:t>2</w:t>
      </w:r>
      <w:r w:rsidR="006D6102" w:rsidRPr="00966346">
        <w:rPr>
          <w:rFonts w:ascii="Arial" w:hAnsi="Arial" w:cs="Arial"/>
          <w:sz w:val="18"/>
          <w:szCs w:val="24"/>
        </w:rPr>
        <w:t xml:space="preserve">Dipartimento di Medicina, </w:t>
      </w:r>
      <w:proofErr w:type="spellStart"/>
      <w:r w:rsidR="006D6102" w:rsidRPr="00966346">
        <w:rPr>
          <w:rFonts w:ascii="Arial" w:hAnsi="Arial" w:cs="Arial"/>
          <w:sz w:val="18"/>
          <w:szCs w:val="24"/>
        </w:rPr>
        <w:t>Sezione</w:t>
      </w:r>
      <w:proofErr w:type="spellEnd"/>
      <w:r w:rsidR="006D6102" w:rsidRPr="00966346">
        <w:rPr>
          <w:rFonts w:ascii="Arial" w:hAnsi="Arial" w:cs="Arial"/>
          <w:sz w:val="18"/>
          <w:szCs w:val="24"/>
        </w:rPr>
        <w:t xml:space="preserve"> di Ematologia, </w:t>
      </w:r>
      <w:proofErr w:type="spellStart"/>
      <w:r w:rsidR="006D6102" w:rsidRPr="00966346">
        <w:rPr>
          <w:rFonts w:ascii="Arial" w:hAnsi="Arial" w:cs="Arial"/>
          <w:sz w:val="18"/>
          <w:szCs w:val="24"/>
        </w:rPr>
        <w:t>Università</w:t>
      </w:r>
      <w:proofErr w:type="spellEnd"/>
      <w:r w:rsidR="006D6102" w:rsidRPr="00966346">
        <w:rPr>
          <w:rFonts w:ascii="Arial" w:hAnsi="Arial" w:cs="Arial"/>
          <w:sz w:val="18"/>
          <w:szCs w:val="24"/>
        </w:rPr>
        <w:t xml:space="preserve"> di Verona, Verona Italy;</w:t>
      </w:r>
      <w:r w:rsidR="006D6102" w:rsidRPr="00966346">
        <w:rPr>
          <w:rFonts w:ascii="Arial" w:hAnsi="Arial" w:cs="Arial"/>
          <w:sz w:val="18"/>
          <w:szCs w:val="24"/>
          <w:vertAlign w:val="superscript"/>
        </w:rPr>
        <w:t xml:space="preserve"> 1</w:t>
      </w:r>
      <w:r w:rsidR="004B6D8C" w:rsidRPr="00966346">
        <w:rPr>
          <w:rFonts w:ascii="Arial" w:hAnsi="Arial" w:cs="Arial"/>
          <w:sz w:val="18"/>
          <w:szCs w:val="24"/>
          <w:vertAlign w:val="superscript"/>
        </w:rPr>
        <w:t>3</w:t>
      </w:r>
      <w:r w:rsidR="006D6102" w:rsidRPr="00966346">
        <w:rPr>
          <w:rFonts w:ascii="Arial" w:hAnsi="Arial" w:cs="Arial"/>
          <w:sz w:val="18"/>
          <w:szCs w:val="24"/>
        </w:rPr>
        <w:t xml:space="preserve">Universitatsklinikum Essen, Essen, Germany; </w:t>
      </w:r>
      <w:r w:rsidR="006D6102" w:rsidRPr="00966346">
        <w:rPr>
          <w:rFonts w:ascii="Arial" w:hAnsi="Arial" w:cs="Arial"/>
          <w:sz w:val="18"/>
          <w:szCs w:val="24"/>
          <w:vertAlign w:val="superscript"/>
        </w:rPr>
        <w:t>1</w:t>
      </w:r>
      <w:r w:rsidR="004B6D8C" w:rsidRPr="00966346">
        <w:rPr>
          <w:rFonts w:ascii="Arial" w:hAnsi="Arial" w:cs="Arial"/>
          <w:sz w:val="18"/>
          <w:szCs w:val="24"/>
          <w:vertAlign w:val="superscript"/>
        </w:rPr>
        <w:t>4</w:t>
      </w:r>
      <w:r w:rsidR="006D6102" w:rsidRPr="00966346">
        <w:rPr>
          <w:rFonts w:ascii="Arial" w:hAnsi="Arial" w:cs="Arial"/>
          <w:sz w:val="18"/>
          <w:szCs w:val="24"/>
        </w:rPr>
        <w:t xml:space="preserve">Queen’s Hospital, </w:t>
      </w:r>
      <w:proofErr w:type="spellStart"/>
      <w:r w:rsidR="006D6102" w:rsidRPr="00966346">
        <w:rPr>
          <w:rFonts w:ascii="Arial" w:hAnsi="Arial" w:cs="Arial"/>
          <w:sz w:val="18"/>
          <w:szCs w:val="24"/>
        </w:rPr>
        <w:t>Romford</w:t>
      </w:r>
      <w:proofErr w:type="spellEnd"/>
      <w:r w:rsidR="006D6102" w:rsidRPr="00966346">
        <w:rPr>
          <w:rFonts w:ascii="Arial" w:hAnsi="Arial" w:cs="Arial"/>
          <w:sz w:val="18"/>
          <w:szCs w:val="24"/>
        </w:rPr>
        <w:t>, UK;</w:t>
      </w:r>
      <w:r w:rsidR="006D6102" w:rsidRPr="00966346">
        <w:rPr>
          <w:rFonts w:ascii="Arial" w:hAnsi="Arial" w:cs="Arial"/>
          <w:sz w:val="18"/>
          <w:szCs w:val="24"/>
          <w:vertAlign w:val="superscript"/>
        </w:rPr>
        <w:t xml:space="preserve"> </w:t>
      </w:r>
      <w:r w:rsidR="004B6D8C" w:rsidRPr="00966346">
        <w:rPr>
          <w:rFonts w:ascii="Arial" w:hAnsi="Arial" w:cs="Arial"/>
          <w:sz w:val="18"/>
          <w:szCs w:val="24"/>
          <w:vertAlign w:val="superscript"/>
        </w:rPr>
        <w:t>15</w:t>
      </w:r>
      <w:r w:rsidR="006D6102" w:rsidRPr="00966346">
        <w:rPr>
          <w:rFonts w:ascii="Arial" w:hAnsi="Arial" w:cs="Arial"/>
          <w:sz w:val="18"/>
          <w:szCs w:val="24"/>
        </w:rPr>
        <w:t>Medical Oncology Unit, Southampton General Hospital, Southampton, UK;</w:t>
      </w:r>
      <w:r w:rsidR="006D6102" w:rsidRPr="00966346">
        <w:rPr>
          <w:rFonts w:ascii="Arial" w:hAnsi="Arial" w:cs="Arial"/>
          <w:sz w:val="18"/>
          <w:szCs w:val="24"/>
          <w:vertAlign w:val="superscript"/>
        </w:rPr>
        <w:t xml:space="preserve"> 1</w:t>
      </w:r>
      <w:r w:rsidR="004B6D8C" w:rsidRPr="00966346">
        <w:rPr>
          <w:rFonts w:ascii="Arial" w:hAnsi="Arial" w:cs="Arial"/>
          <w:sz w:val="18"/>
          <w:szCs w:val="24"/>
          <w:vertAlign w:val="superscript"/>
        </w:rPr>
        <w:t>6</w:t>
      </w:r>
      <w:r w:rsidR="006D6102" w:rsidRPr="00966346">
        <w:rPr>
          <w:rFonts w:ascii="Arial" w:hAnsi="Arial" w:cs="Arial"/>
          <w:sz w:val="18"/>
          <w:szCs w:val="24"/>
        </w:rPr>
        <w:t>The Christie Hospital NHS Foundation Trust, Manchester, UK;</w:t>
      </w:r>
      <w:r w:rsidR="006D6102" w:rsidRPr="00966346">
        <w:rPr>
          <w:rFonts w:ascii="Arial" w:hAnsi="Arial" w:cs="Arial"/>
          <w:sz w:val="18"/>
          <w:szCs w:val="24"/>
          <w:vertAlign w:val="superscript"/>
        </w:rPr>
        <w:t xml:space="preserve"> 1</w:t>
      </w:r>
      <w:r w:rsidR="004B6D8C" w:rsidRPr="00966346">
        <w:rPr>
          <w:rFonts w:ascii="Arial" w:hAnsi="Arial" w:cs="Arial"/>
          <w:sz w:val="18"/>
          <w:szCs w:val="24"/>
          <w:vertAlign w:val="superscript"/>
        </w:rPr>
        <w:t>7</w:t>
      </w:r>
      <w:r w:rsidR="006D6102" w:rsidRPr="00966346">
        <w:rPr>
          <w:rFonts w:ascii="Arial" w:hAnsi="Arial" w:cs="Arial"/>
          <w:sz w:val="18"/>
          <w:szCs w:val="24"/>
        </w:rPr>
        <w:t xml:space="preserve">Georg-August-Universität, </w:t>
      </w:r>
      <w:proofErr w:type="spellStart"/>
      <w:r w:rsidR="006D6102" w:rsidRPr="00966346">
        <w:rPr>
          <w:rFonts w:ascii="Arial" w:hAnsi="Arial" w:cs="Arial"/>
          <w:sz w:val="18"/>
          <w:szCs w:val="24"/>
        </w:rPr>
        <w:t>Göttingen</w:t>
      </w:r>
      <w:proofErr w:type="spellEnd"/>
      <w:r w:rsidR="006D6102" w:rsidRPr="00966346">
        <w:rPr>
          <w:rFonts w:ascii="Arial" w:hAnsi="Arial" w:cs="Arial"/>
          <w:sz w:val="18"/>
          <w:szCs w:val="24"/>
        </w:rPr>
        <w:t>, Germany;</w:t>
      </w:r>
      <w:r w:rsidR="006D6102" w:rsidRPr="00966346">
        <w:rPr>
          <w:rFonts w:ascii="Arial" w:hAnsi="Arial" w:cs="Arial"/>
          <w:sz w:val="18"/>
          <w:szCs w:val="24"/>
          <w:vertAlign w:val="superscript"/>
        </w:rPr>
        <w:t xml:space="preserve"> </w:t>
      </w:r>
      <w:r w:rsidR="004B6D8C" w:rsidRPr="00966346">
        <w:rPr>
          <w:rFonts w:ascii="Arial" w:hAnsi="Arial" w:cs="Arial"/>
          <w:sz w:val="18"/>
          <w:szCs w:val="24"/>
          <w:vertAlign w:val="superscript"/>
        </w:rPr>
        <w:t>18</w:t>
      </w:r>
      <w:r w:rsidR="006D6102" w:rsidRPr="00966346">
        <w:rPr>
          <w:rFonts w:ascii="Arial" w:hAnsi="Arial" w:cs="Arial"/>
          <w:sz w:val="18"/>
          <w:szCs w:val="24"/>
        </w:rPr>
        <w:t>Rigshospitalet, Copenhagen, Denmark;</w:t>
      </w:r>
      <w:r w:rsidR="006D6102" w:rsidRPr="00966346">
        <w:rPr>
          <w:rFonts w:ascii="Arial" w:hAnsi="Arial" w:cs="Arial"/>
          <w:sz w:val="18"/>
          <w:szCs w:val="24"/>
          <w:vertAlign w:val="superscript"/>
        </w:rPr>
        <w:t xml:space="preserve"> 19</w:t>
      </w:r>
      <w:r w:rsidR="006D6102" w:rsidRPr="00966346">
        <w:rPr>
          <w:rFonts w:ascii="Arial" w:hAnsi="Arial" w:cs="Arial"/>
          <w:sz w:val="18"/>
          <w:szCs w:val="24"/>
        </w:rPr>
        <w:t xml:space="preserve">Istituto </w:t>
      </w:r>
      <w:proofErr w:type="spellStart"/>
      <w:r w:rsidR="006D6102" w:rsidRPr="00966346">
        <w:rPr>
          <w:rFonts w:ascii="Arial" w:hAnsi="Arial" w:cs="Arial"/>
          <w:sz w:val="18"/>
          <w:szCs w:val="24"/>
        </w:rPr>
        <w:t>Clinico</w:t>
      </w:r>
      <w:proofErr w:type="spellEnd"/>
      <w:r w:rsidR="006D6102" w:rsidRPr="00966346">
        <w:rPr>
          <w:rFonts w:ascii="Arial" w:hAnsi="Arial" w:cs="Arial"/>
          <w:sz w:val="18"/>
          <w:szCs w:val="24"/>
        </w:rPr>
        <w:t xml:space="preserve"> </w:t>
      </w:r>
      <w:proofErr w:type="spellStart"/>
      <w:r w:rsidR="006D6102" w:rsidRPr="00966346">
        <w:rPr>
          <w:rFonts w:ascii="Arial" w:hAnsi="Arial" w:cs="Arial"/>
          <w:sz w:val="18"/>
          <w:szCs w:val="24"/>
        </w:rPr>
        <w:t>Humanitas</w:t>
      </w:r>
      <w:proofErr w:type="spellEnd"/>
      <w:r w:rsidR="006D6102" w:rsidRPr="00966346">
        <w:rPr>
          <w:rFonts w:ascii="Arial" w:hAnsi="Arial" w:cs="Arial"/>
          <w:sz w:val="18"/>
          <w:szCs w:val="24"/>
        </w:rPr>
        <w:t>, Milano Rozzano, Italy;</w:t>
      </w:r>
      <w:r w:rsidR="006D6102" w:rsidRPr="00966346">
        <w:rPr>
          <w:rFonts w:ascii="Arial" w:hAnsi="Arial" w:cs="Arial"/>
          <w:sz w:val="18"/>
          <w:szCs w:val="24"/>
          <w:vertAlign w:val="superscript"/>
        </w:rPr>
        <w:t xml:space="preserve"> 2</w:t>
      </w:r>
      <w:r w:rsidR="004B6D8C" w:rsidRPr="00966346">
        <w:rPr>
          <w:rFonts w:ascii="Arial" w:hAnsi="Arial" w:cs="Arial"/>
          <w:sz w:val="18"/>
          <w:szCs w:val="24"/>
          <w:vertAlign w:val="superscript"/>
        </w:rPr>
        <w:t>0</w:t>
      </w:r>
      <w:r w:rsidR="006D6102" w:rsidRPr="00966346">
        <w:rPr>
          <w:rFonts w:ascii="Arial" w:hAnsi="Arial" w:cs="Arial"/>
          <w:sz w:val="18"/>
          <w:szCs w:val="24"/>
        </w:rPr>
        <w:t xml:space="preserve">J. Gutenberg </w:t>
      </w:r>
      <w:proofErr w:type="spellStart"/>
      <w:r w:rsidR="006D6102" w:rsidRPr="00966346">
        <w:rPr>
          <w:rFonts w:ascii="Arial" w:hAnsi="Arial" w:cs="Arial"/>
          <w:sz w:val="18"/>
          <w:szCs w:val="24"/>
        </w:rPr>
        <w:t>Universität</w:t>
      </w:r>
      <w:proofErr w:type="spellEnd"/>
      <w:r w:rsidR="006D6102" w:rsidRPr="00966346">
        <w:rPr>
          <w:rFonts w:ascii="Arial" w:hAnsi="Arial" w:cs="Arial"/>
          <w:sz w:val="18"/>
          <w:szCs w:val="24"/>
        </w:rPr>
        <w:t>, Mainz, Germany;</w:t>
      </w:r>
      <w:r w:rsidR="006D6102" w:rsidRPr="00966346">
        <w:rPr>
          <w:rFonts w:ascii="Arial" w:hAnsi="Arial" w:cs="Arial"/>
          <w:sz w:val="18"/>
          <w:szCs w:val="24"/>
          <w:vertAlign w:val="superscript"/>
        </w:rPr>
        <w:t xml:space="preserve"> 2</w:t>
      </w:r>
      <w:r w:rsidR="004B6D8C" w:rsidRPr="00966346">
        <w:rPr>
          <w:rFonts w:ascii="Arial" w:hAnsi="Arial" w:cs="Arial"/>
          <w:sz w:val="18"/>
          <w:szCs w:val="24"/>
          <w:vertAlign w:val="superscript"/>
        </w:rPr>
        <w:t>1</w:t>
      </w:r>
      <w:r w:rsidR="006D6102" w:rsidRPr="00966346">
        <w:rPr>
          <w:rFonts w:ascii="Arial" w:hAnsi="Arial" w:cs="Arial"/>
          <w:sz w:val="18"/>
          <w:szCs w:val="24"/>
        </w:rPr>
        <w:t xml:space="preserve">Technische </w:t>
      </w:r>
      <w:proofErr w:type="spellStart"/>
      <w:r w:rsidR="006D6102" w:rsidRPr="00966346">
        <w:rPr>
          <w:rFonts w:ascii="Arial" w:hAnsi="Arial" w:cs="Arial"/>
          <w:sz w:val="18"/>
          <w:szCs w:val="24"/>
        </w:rPr>
        <w:t>Universität</w:t>
      </w:r>
      <w:proofErr w:type="spellEnd"/>
      <w:r w:rsidR="006D6102" w:rsidRPr="00966346">
        <w:rPr>
          <w:rFonts w:ascii="Arial" w:hAnsi="Arial" w:cs="Arial"/>
          <w:sz w:val="18"/>
          <w:szCs w:val="24"/>
        </w:rPr>
        <w:t xml:space="preserve"> </w:t>
      </w:r>
      <w:proofErr w:type="spellStart"/>
      <w:r w:rsidR="006D6102" w:rsidRPr="00966346">
        <w:rPr>
          <w:rFonts w:ascii="Arial" w:hAnsi="Arial" w:cs="Arial"/>
          <w:sz w:val="18"/>
          <w:szCs w:val="24"/>
        </w:rPr>
        <w:t>München</w:t>
      </w:r>
      <w:proofErr w:type="spellEnd"/>
      <w:r w:rsidR="006D6102" w:rsidRPr="00966346">
        <w:rPr>
          <w:rFonts w:ascii="Arial" w:hAnsi="Arial" w:cs="Arial"/>
          <w:sz w:val="18"/>
          <w:szCs w:val="24"/>
        </w:rPr>
        <w:t xml:space="preserve">, </w:t>
      </w:r>
      <w:proofErr w:type="spellStart"/>
      <w:r w:rsidR="006D6102" w:rsidRPr="00966346">
        <w:rPr>
          <w:rFonts w:ascii="Arial" w:hAnsi="Arial" w:cs="Arial"/>
          <w:sz w:val="18"/>
          <w:szCs w:val="24"/>
        </w:rPr>
        <w:t>München</w:t>
      </w:r>
      <w:proofErr w:type="spellEnd"/>
      <w:r w:rsidR="006D6102" w:rsidRPr="00966346">
        <w:rPr>
          <w:rFonts w:ascii="Arial" w:hAnsi="Arial" w:cs="Arial"/>
          <w:sz w:val="18"/>
          <w:szCs w:val="24"/>
        </w:rPr>
        <w:t>, Germany;</w:t>
      </w:r>
      <w:r w:rsidR="006D6102" w:rsidRPr="00966346">
        <w:rPr>
          <w:rFonts w:ascii="Arial" w:hAnsi="Arial" w:cs="Arial"/>
          <w:sz w:val="18"/>
          <w:szCs w:val="24"/>
          <w:vertAlign w:val="superscript"/>
        </w:rPr>
        <w:t xml:space="preserve"> 2</w:t>
      </w:r>
      <w:r w:rsidR="004B6D8C" w:rsidRPr="00966346">
        <w:rPr>
          <w:rFonts w:ascii="Arial" w:hAnsi="Arial" w:cs="Arial"/>
          <w:sz w:val="18"/>
          <w:szCs w:val="24"/>
          <w:vertAlign w:val="superscript"/>
        </w:rPr>
        <w:t>2</w:t>
      </w:r>
      <w:r w:rsidR="006D6102" w:rsidRPr="00966346">
        <w:rPr>
          <w:rFonts w:ascii="Arial" w:hAnsi="Arial" w:cs="Arial"/>
          <w:sz w:val="18"/>
          <w:szCs w:val="24"/>
        </w:rPr>
        <w:t>Dept. of Internal Medicine III, Ulm University, Ulm, Germany;</w:t>
      </w:r>
      <w:r w:rsidR="006D6102" w:rsidRPr="00966346">
        <w:rPr>
          <w:rFonts w:ascii="Arial" w:hAnsi="Arial" w:cs="Arial"/>
          <w:sz w:val="18"/>
          <w:szCs w:val="24"/>
          <w:vertAlign w:val="superscript"/>
        </w:rPr>
        <w:t xml:space="preserve"> 2</w:t>
      </w:r>
      <w:r w:rsidR="004B6D8C" w:rsidRPr="00966346">
        <w:rPr>
          <w:rFonts w:ascii="Arial" w:hAnsi="Arial" w:cs="Arial"/>
          <w:sz w:val="18"/>
          <w:szCs w:val="24"/>
          <w:vertAlign w:val="superscript"/>
        </w:rPr>
        <w:t>3</w:t>
      </w:r>
      <w:r w:rsidR="006D6102" w:rsidRPr="00966346">
        <w:rPr>
          <w:rFonts w:ascii="Arial" w:hAnsi="Arial" w:cs="Arial"/>
          <w:sz w:val="18"/>
          <w:szCs w:val="24"/>
        </w:rPr>
        <w:t>Dep</w:t>
      </w:r>
      <w:r w:rsidR="00CE0FFC" w:rsidRPr="00966346">
        <w:rPr>
          <w:rFonts w:ascii="Arial" w:hAnsi="Arial" w:cs="Arial"/>
          <w:sz w:val="18"/>
          <w:szCs w:val="24"/>
        </w:rPr>
        <w:t>artment</w:t>
      </w:r>
      <w:r w:rsidR="006D6102" w:rsidRPr="00966346">
        <w:rPr>
          <w:rFonts w:ascii="Arial" w:hAnsi="Arial" w:cs="Arial"/>
          <w:sz w:val="18"/>
          <w:szCs w:val="24"/>
        </w:rPr>
        <w:t xml:space="preserve"> </w:t>
      </w:r>
      <w:r w:rsidR="00CE0FFC" w:rsidRPr="00966346">
        <w:rPr>
          <w:rFonts w:ascii="Arial" w:hAnsi="Arial" w:cs="Arial"/>
          <w:sz w:val="18"/>
          <w:szCs w:val="24"/>
        </w:rPr>
        <w:t>o</w:t>
      </w:r>
      <w:r w:rsidR="006D6102" w:rsidRPr="00966346">
        <w:rPr>
          <w:rFonts w:ascii="Arial" w:hAnsi="Arial" w:cs="Arial"/>
          <w:sz w:val="18"/>
          <w:szCs w:val="24"/>
        </w:rPr>
        <w:t xml:space="preserve">f Oncology, Hematology, </w:t>
      </w:r>
      <w:proofErr w:type="spellStart"/>
      <w:r w:rsidR="006D6102" w:rsidRPr="00966346">
        <w:rPr>
          <w:rFonts w:ascii="Arial" w:hAnsi="Arial" w:cs="Arial"/>
          <w:sz w:val="18"/>
          <w:szCs w:val="24"/>
        </w:rPr>
        <w:t>Hemostaseology</w:t>
      </w:r>
      <w:proofErr w:type="spellEnd"/>
      <w:r w:rsidR="006D6102" w:rsidRPr="00966346">
        <w:rPr>
          <w:rFonts w:ascii="Arial" w:hAnsi="Arial" w:cs="Arial"/>
          <w:sz w:val="18"/>
          <w:szCs w:val="24"/>
        </w:rPr>
        <w:t xml:space="preserve"> and Stem Cell Transplantation, University Hospital Aachen, Aachen, Germany;</w:t>
      </w:r>
      <w:r w:rsidR="006D6102" w:rsidRPr="00966346">
        <w:rPr>
          <w:rFonts w:ascii="Arial" w:hAnsi="Arial" w:cs="Arial"/>
          <w:sz w:val="18"/>
          <w:szCs w:val="24"/>
          <w:vertAlign w:val="superscript"/>
        </w:rPr>
        <w:t xml:space="preserve"> 2</w:t>
      </w:r>
      <w:r w:rsidR="004B6D8C" w:rsidRPr="00966346">
        <w:rPr>
          <w:rFonts w:ascii="Arial" w:hAnsi="Arial" w:cs="Arial"/>
          <w:sz w:val="18"/>
          <w:szCs w:val="24"/>
          <w:vertAlign w:val="superscript"/>
        </w:rPr>
        <w:t>4</w:t>
      </w:r>
      <w:r w:rsidR="006D6102" w:rsidRPr="00966346">
        <w:rPr>
          <w:rFonts w:ascii="Arial" w:hAnsi="Arial" w:cs="Arial"/>
          <w:sz w:val="18"/>
          <w:szCs w:val="24"/>
        </w:rPr>
        <w:t xml:space="preserve">Spedali </w:t>
      </w:r>
      <w:proofErr w:type="spellStart"/>
      <w:r w:rsidR="006D6102" w:rsidRPr="00966346">
        <w:rPr>
          <w:rFonts w:ascii="Arial" w:hAnsi="Arial" w:cs="Arial"/>
          <w:sz w:val="18"/>
          <w:szCs w:val="24"/>
        </w:rPr>
        <w:t>Civili</w:t>
      </w:r>
      <w:proofErr w:type="spellEnd"/>
      <w:r w:rsidR="006D6102" w:rsidRPr="00966346">
        <w:rPr>
          <w:rFonts w:ascii="Arial" w:hAnsi="Arial" w:cs="Arial"/>
          <w:sz w:val="18"/>
          <w:szCs w:val="24"/>
        </w:rPr>
        <w:t>, Brescia, Italy;</w:t>
      </w:r>
      <w:r w:rsidR="006D6102" w:rsidRPr="00966346">
        <w:rPr>
          <w:rFonts w:ascii="Arial" w:hAnsi="Arial" w:cs="Arial"/>
          <w:sz w:val="18"/>
          <w:szCs w:val="24"/>
          <w:vertAlign w:val="superscript"/>
        </w:rPr>
        <w:t xml:space="preserve"> </w:t>
      </w:r>
      <w:r w:rsidR="004B6D8C" w:rsidRPr="00966346">
        <w:rPr>
          <w:rFonts w:ascii="Arial" w:hAnsi="Arial" w:cs="Arial"/>
          <w:sz w:val="18"/>
          <w:szCs w:val="24"/>
          <w:vertAlign w:val="superscript"/>
        </w:rPr>
        <w:t>25</w:t>
      </w:r>
      <w:r w:rsidR="006D6102" w:rsidRPr="00966346">
        <w:rPr>
          <w:rFonts w:ascii="Arial" w:hAnsi="Arial" w:cs="Arial"/>
          <w:sz w:val="18"/>
          <w:szCs w:val="24"/>
        </w:rPr>
        <w:t xml:space="preserve">AOU </w:t>
      </w:r>
      <w:proofErr w:type="spellStart"/>
      <w:r w:rsidR="006D6102" w:rsidRPr="00966346">
        <w:rPr>
          <w:rFonts w:ascii="Arial" w:hAnsi="Arial" w:cs="Arial"/>
          <w:sz w:val="18"/>
          <w:szCs w:val="24"/>
        </w:rPr>
        <w:t>Città</w:t>
      </w:r>
      <w:proofErr w:type="spellEnd"/>
      <w:r w:rsidR="006D6102" w:rsidRPr="00966346">
        <w:rPr>
          <w:rFonts w:ascii="Arial" w:hAnsi="Arial" w:cs="Arial"/>
          <w:sz w:val="18"/>
          <w:szCs w:val="24"/>
        </w:rPr>
        <w:t xml:space="preserve"> Della Salute e Della </w:t>
      </w:r>
      <w:proofErr w:type="spellStart"/>
      <w:r w:rsidR="006D6102" w:rsidRPr="00966346">
        <w:rPr>
          <w:rFonts w:ascii="Arial" w:hAnsi="Arial" w:cs="Arial"/>
          <w:sz w:val="18"/>
          <w:szCs w:val="24"/>
        </w:rPr>
        <w:t>Scienza</w:t>
      </w:r>
      <w:proofErr w:type="spellEnd"/>
      <w:r w:rsidR="006D6102" w:rsidRPr="00966346">
        <w:rPr>
          <w:rFonts w:ascii="Arial" w:hAnsi="Arial" w:cs="Arial"/>
          <w:sz w:val="18"/>
          <w:szCs w:val="24"/>
        </w:rPr>
        <w:t xml:space="preserve"> di Torino, Turin, Italy;</w:t>
      </w:r>
      <w:r w:rsidR="006D6102" w:rsidRPr="00966346">
        <w:rPr>
          <w:rFonts w:ascii="Arial" w:hAnsi="Arial" w:cs="Arial"/>
          <w:sz w:val="18"/>
          <w:szCs w:val="24"/>
          <w:vertAlign w:val="superscript"/>
        </w:rPr>
        <w:t xml:space="preserve"> 2</w:t>
      </w:r>
      <w:r w:rsidR="004B6D8C" w:rsidRPr="00966346">
        <w:rPr>
          <w:rFonts w:ascii="Arial" w:hAnsi="Arial" w:cs="Arial"/>
          <w:sz w:val="18"/>
          <w:szCs w:val="24"/>
          <w:vertAlign w:val="superscript"/>
        </w:rPr>
        <w:t>6</w:t>
      </w:r>
      <w:r w:rsidR="006D6102" w:rsidRPr="00966346">
        <w:rPr>
          <w:rFonts w:ascii="Arial" w:hAnsi="Arial" w:cs="Arial"/>
          <w:sz w:val="18"/>
          <w:szCs w:val="24"/>
        </w:rPr>
        <w:t xml:space="preserve">Hematology and Stem Cell Transplantation Unit, </w:t>
      </w:r>
      <w:proofErr w:type="spellStart"/>
      <w:r w:rsidR="006D6102" w:rsidRPr="00966346">
        <w:rPr>
          <w:rFonts w:ascii="Arial" w:hAnsi="Arial" w:cs="Arial"/>
          <w:sz w:val="18"/>
          <w:szCs w:val="24"/>
        </w:rPr>
        <w:t>Istituto</w:t>
      </w:r>
      <w:proofErr w:type="spellEnd"/>
      <w:r w:rsidR="006D6102" w:rsidRPr="00966346">
        <w:rPr>
          <w:rFonts w:ascii="Arial" w:hAnsi="Arial" w:cs="Arial"/>
          <w:sz w:val="18"/>
          <w:szCs w:val="24"/>
        </w:rPr>
        <w:t xml:space="preserve"> Nazionale </w:t>
      </w:r>
      <w:proofErr w:type="spellStart"/>
      <w:r w:rsidR="006D6102" w:rsidRPr="00966346">
        <w:rPr>
          <w:rFonts w:ascii="Arial" w:hAnsi="Arial" w:cs="Arial"/>
          <w:sz w:val="18"/>
          <w:szCs w:val="24"/>
        </w:rPr>
        <w:t>dei</w:t>
      </w:r>
      <w:proofErr w:type="spellEnd"/>
      <w:r w:rsidR="006D6102" w:rsidRPr="00966346">
        <w:rPr>
          <w:rFonts w:ascii="Arial" w:hAnsi="Arial" w:cs="Arial"/>
          <w:sz w:val="18"/>
          <w:szCs w:val="24"/>
        </w:rPr>
        <w:t xml:space="preserve"> </w:t>
      </w:r>
      <w:proofErr w:type="spellStart"/>
      <w:r w:rsidR="006D6102" w:rsidRPr="00966346">
        <w:rPr>
          <w:rFonts w:ascii="Arial" w:hAnsi="Arial" w:cs="Arial"/>
          <w:sz w:val="18"/>
          <w:szCs w:val="24"/>
        </w:rPr>
        <w:t>Tumori</w:t>
      </w:r>
      <w:proofErr w:type="spellEnd"/>
      <w:r w:rsidR="006D6102" w:rsidRPr="00966346">
        <w:rPr>
          <w:rFonts w:ascii="Arial" w:hAnsi="Arial" w:cs="Arial"/>
          <w:sz w:val="18"/>
          <w:szCs w:val="24"/>
        </w:rPr>
        <w:t xml:space="preserve"> Regina Elena, Roma, Italy;</w:t>
      </w:r>
      <w:r w:rsidR="006D6102" w:rsidRPr="00966346">
        <w:rPr>
          <w:rFonts w:ascii="Arial" w:hAnsi="Arial" w:cs="Arial"/>
          <w:sz w:val="18"/>
          <w:szCs w:val="24"/>
          <w:vertAlign w:val="superscript"/>
        </w:rPr>
        <w:t xml:space="preserve"> </w:t>
      </w:r>
      <w:r w:rsidR="004B6D8C" w:rsidRPr="00966346">
        <w:rPr>
          <w:rFonts w:ascii="Arial" w:hAnsi="Arial" w:cs="Arial"/>
          <w:sz w:val="18"/>
          <w:szCs w:val="24"/>
          <w:vertAlign w:val="superscript"/>
        </w:rPr>
        <w:t>27</w:t>
      </w:r>
      <w:r w:rsidR="006D6102" w:rsidRPr="00966346">
        <w:rPr>
          <w:rFonts w:ascii="Arial" w:hAnsi="Arial" w:cs="Arial"/>
          <w:sz w:val="18"/>
          <w:szCs w:val="24"/>
        </w:rPr>
        <w:t xml:space="preserve">A.O. Santi Antonio e </w:t>
      </w:r>
      <w:proofErr w:type="spellStart"/>
      <w:r w:rsidR="006D6102" w:rsidRPr="00966346">
        <w:rPr>
          <w:rFonts w:ascii="Arial" w:hAnsi="Arial" w:cs="Arial"/>
          <w:sz w:val="18"/>
          <w:szCs w:val="24"/>
        </w:rPr>
        <w:t>Biagio</w:t>
      </w:r>
      <w:proofErr w:type="spellEnd"/>
      <w:r w:rsidR="006D6102" w:rsidRPr="00966346">
        <w:rPr>
          <w:rFonts w:ascii="Arial" w:hAnsi="Arial" w:cs="Arial"/>
          <w:sz w:val="18"/>
          <w:szCs w:val="24"/>
        </w:rPr>
        <w:t xml:space="preserve"> e Cesare Arrigo</w:t>
      </w:r>
      <w:r w:rsidR="006D6102" w:rsidRPr="00966346">
        <w:rPr>
          <w:rFonts w:ascii="Arial" w:hAnsi="Arial" w:cs="Arial"/>
          <w:sz w:val="18"/>
          <w:szCs w:val="20"/>
        </w:rPr>
        <w:t>, Alessandria, Italy;</w:t>
      </w:r>
      <w:r w:rsidR="006D6102" w:rsidRPr="00966346">
        <w:rPr>
          <w:rFonts w:ascii="Arial" w:hAnsi="Arial" w:cs="Arial"/>
          <w:sz w:val="18"/>
          <w:szCs w:val="20"/>
          <w:vertAlign w:val="superscript"/>
        </w:rPr>
        <w:t xml:space="preserve"> </w:t>
      </w:r>
      <w:r w:rsidR="004B6D8C" w:rsidRPr="00966346">
        <w:rPr>
          <w:rFonts w:ascii="Arial" w:hAnsi="Arial" w:cs="Arial"/>
          <w:sz w:val="18"/>
          <w:szCs w:val="20"/>
          <w:vertAlign w:val="superscript"/>
        </w:rPr>
        <w:t>28</w:t>
      </w:r>
      <w:r w:rsidR="006D6102" w:rsidRPr="00966346">
        <w:rPr>
          <w:rFonts w:ascii="Arial" w:hAnsi="Arial" w:cs="Arial"/>
          <w:sz w:val="18"/>
          <w:szCs w:val="20"/>
        </w:rPr>
        <w:t>Universitätsklinikum Erlangen, Erlangen, Germany;</w:t>
      </w:r>
      <w:r w:rsidR="006D6102" w:rsidRPr="00966346">
        <w:rPr>
          <w:rFonts w:ascii="Arial" w:hAnsi="Arial" w:cs="Arial"/>
          <w:sz w:val="18"/>
          <w:szCs w:val="20"/>
          <w:vertAlign w:val="superscript"/>
        </w:rPr>
        <w:t xml:space="preserve"> </w:t>
      </w:r>
      <w:r w:rsidR="004B6D8C" w:rsidRPr="00966346">
        <w:rPr>
          <w:rFonts w:ascii="Arial" w:hAnsi="Arial" w:cs="Arial"/>
          <w:sz w:val="18"/>
          <w:szCs w:val="20"/>
          <w:vertAlign w:val="superscript"/>
        </w:rPr>
        <w:t>29</w:t>
      </w:r>
      <w:r w:rsidR="006D6102" w:rsidRPr="00966346">
        <w:rPr>
          <w:rFonts w:ascii="Arial" w:hAnsi="Arial" w:cs="Arial"/>
          <w:sz w:val="18"/>
          <w:szCs w:val="20"/>
        </w:rPr>
        <w:t xml:space="preserve">Martin-Luther </w:t>
      </w:r>
      <w:proofErr w:type="spellStart"/>
      <w:r w:rsidR="006D6102" w:rsidRPr="00966346">
        <w:rPr>
          <w:rFonts w:ascii="Arial" w:hAnsi="Arial" w:cs="Arial"/>
          <w:sz w:val="18"/>
          <w:szCs w:val="20"/>
        </w:rPr>
        <w:t>Universität</w:t>
      </w:r>
      <w:proofErr w:type="spellEnd"/>
      <w:r w:rsidR="006D6102" w:rsidRPr="00966346">
        <w:rPr>
          <w:rFonts w:ascii="Arial" w:hAnsi="Arial" w:cs="Arial"/>
          <w:sz w:val="18"/>
          <w:szCs w:val="20"/>
        </w:rPr>
        <w:t>, Halle / Saale, Germany;</w:t>
      </w:r>
      <w:r w:rsidR="006D6102" w:rsidRPr="00966346">
        <w:rPr>
          <w:rFonts w:ascii="Arial" w:hAnsi="Arial" w:cs="Arial"/>
          <w:sz w:val="18"/>
          <w:szCs w:val="20"/>
          <w:vertAlign w:val="superscript"/>
        </w:rPr>
        <w:t xml:space="preserve"> </w:t>
      </w:r>
      <w:r w:rsidR="004B6D8C" w:rsidRPr="00966346">
        <w:rPr>
          <w:rFonts w:ascii="Arial" w:hAnsi="Arial" w:cs="Arial"/>
          <w:sz w:val="18"/>
          <w:szCs w:val="20"/>
          <w:vertAlign w:val="superscript"/>
        </w:rPr>
        <w:t>30</w:t>
      </w:r>
      <w:r w:rsidR="006D6102" w:rsidRPr="00966346">
        <w:rPr>
          <w:rFonts w:ascii="Arial" w:hAnsi="Arial" w:cs="Arial"/>
          <w:sz w:val="18"/>
          <w:szCs w:val="20"/>
        </w:rPr>
        <w:t>Klinikum Bremen-</w:t>
      </w:r>
      <w:proofErr w:type="spellStart"/>
      <w:r w:rsidR="006D6102" w:rsidRPr="00966346">
        <w:rPr>
          <w:rFonts w:ascii="Arial" w:hAnsi="Arial" w:cs="Arial"/>
          <w:sz w:val="18"/>
          <w:szCs w:val="20"/>
        </w:rPr>
        <w:t>Mitte</w:t>
      </w:r>
      <w:proofErr w:type="spellEnd"/>
      <w:r w:rsidR="006D6102" w:rsidRPr="00966346">
        <w:rPr>
          <w:rFonts w:ascii="Arial" w:hAnsi="Arial" w:cs="Arial"/>
          <w:sz w:val="18"/>
          <w:szCs w:val="20"/>
        </w:rPr>
        <w:t xml:space="preserve">, Bremen, Germany; </w:t>
      </w:r>
      <w:r w:rsidR="006D6102" w:rsidRPr="00966346">
        <w:rPr>
          <w:rFonts w:ascii="Arial" w:hAnsi="Arial" w:cs="Arial"/>
          <w:sz w:val="18"/>
          <w:szCs w:val="20"/>
          <w:vertAlign w:val="superscript"/>
        </w:rPr>
        <w:t>3</w:t>
      </w:r>
      <w:r w:rsidR="004B6D8C" w:rsidRPr="00966346">
        <w:rPr>
          <w:rFonts w:ascii="Arial" w:hAnsi="Arial" w:cs="Arial"/>
          <w:sz w:val="18"/>
          <w:szCs w:val="20"/>
          <w:vertAlign w:val="superscript"/>
        </w:rPr>
        <w:t>1</w:t>
      </w:r>
      <w:r w:rsidR="006D6102" w:rsidRPr="00966346">
        <w:rPr>
          <w:rFonts w:ascii="Arial" w:hAnsi="Arial" w:cs="Arial"/>
          <w:sz w:val="18"/>
          <w:szCs w:val="20"/>
        </w:rPr>
        <w:t>Klinikum Der Justus-Liebig-</w:t>
      </w:r>
      <w:proofErr w:type="spellStart"/>
      <w:r w:rsidR="006D6102" w:rsidRPr="00966346">
        <w:rPr>
          <w:rFonts w:ascii="Arial" w:hAnsi="Arial" w:cs="Arial"/>
          <w:sz w:val="18"/>
          <w:szCs w:val="20"/>
        </w:rPr>
        <w:t>Universität</w:t>
      </w:r>
      <w:proofErr w:type="spellEnd"/>
      <w:r w:rsidR="006D6102" w:rsidRPr="00966346">
        <w:rPr>
          <w:rFonts w:ascii="Arial" w:hAnsi="Arial" w:cs="Arial"/>
          <w:sz w:val="18"/>
          <w:szCs w:val="20"/>
        </w:rPr>
        <w:t xml:space="preserve">, Giessen, Germany; </w:t>
      </w:r>
      <w:r w:rsidR="006D6102" w:rsidRPr="00966346">
        <w:rPr>
          <w:rFonts w:ascii="Arial" w:hAnsi="Arial" w:cs="Arial"/>
          <w:sz w:val="18"/>
          <w:szCs w:val="20"/>
          <w:vertAlign w:val="superscript"/>
        </w:rPr>
        <w:t>3</w:t>
      </w:r>
      <w:r w:rsidR="004B6D8C" w:rsidRPr="00966346">
        <w:rPr>
          <w:rFonts w:ascii="Arial" w:hAnsi="Arial" w:cs="Arial"/>
          <w:sz w:val="18"/>
          <w:szCs w:val="20"/>
          <w:vertAlign w:val="superscript"/>
        </w:rPr>
        <w:t>2</w:t>
      </w:r>
      <w:r w:rsidR="006D6102" w:rsidRPr="00966346">
        <w:rPr>
          <w:rFonts w:ascii="Arial" w:hAnsi="Arial" w:cs="Arial"/>
          <w:sz w:val="18"/>
          <w:szCs w:val="20"/>
        </w:rPr>
        <w:t xml:space="preserve">University Hospital </w:t>
      </w:r>
      <w:proofErr w:type="spellStart"/>
      <w:r w:rsidR="006D6102" w:rsidRPr="00966346">
        <w:rPr>
          <w:rFonts w:ascii="Arial" w:hAnsi="Arial" w:cs="Arial"/>
          <w:sz w:val="18"/>
          <w:szCs w:val="20"/>
        </w:rPr>
        <w:t>Aintree</w:t>
      </w:r>
      <w:proofErr w:type="spellEnd"/>
      <w:r w:rsidR="00164B6A" w:rsidRPr="00966346">
        <w:rPr>
          <w:rFonts w:ascii="Arial" w:hAnsi="Arial" w:cs="Arial"/>
          <w:sz w:val="18"/>
          <w:szCs w:val="20"/>
        </w:rPr>
        <w:t xml:space="preserve">, Liverpool, UK; </w:t>
      </w:r>
      <w:r w:rsidR="00164B6A" w:rsidRPr="00966346">
        <w:rPr>
          <w:rFonts w:ascii="Arial" w:hAnsi="Arial" w:cs="Arial"/>
          <w:sz w:val="18"/>
          <w:szCs w:val="20"/>
          <w:vertAlign w:val="superscript"/>
        </w:rPr>
        <w:t>3</w:t>
      </w:r>
      <w:r w:rsidR="004B6D8C" w:rsidRPr="00966346">
        <w:rPr>
          <w:rFonts w:ascii="Arial" w:hAnsi="Arial" w:cs="Arial"/>
          <w:sz w:val="18"/>
          <w:szCs w:val="20"/>
          <w:vertAlign w:val="superscript"/>
        </w:rPr>
        <w:t>3</w:t>
      </w:r>
      <w:r w:rsidR="00164B6A" w:rsidRPr="00966346">
        <w:rPr>
          <w:rFonts w:ascii="Arial" w:hAnsi="Arial" w:cs="Arial"/>
          <w:sz w:val="18"/>
          <w:szCs w:val="20"/>
        </w:rPr>
        <w:t xml:space="preserve">Universitätsklinik Des </w:t>
      </w:r>
      <w:proofErr w:type="spellStart"/>
      <w:r w:rsidR="00164B6A" w:rsidRPr="00966346">
        <w:rPr>
          <w:rFonts w:ascii="Arial" w:hAnsi="Arial" w:cs="Arial"/>
          <w:sz w:val="18"/>
          <w:szCs w:val="20"/>
        </w:rPr>
        <w:t>Saarlandes</w:t>
      </w:r>
      <w:proofErr w:type="spellEnd"/>
      <w:r w:rsidR="00164B6A" w:rsidRPr="00966346">
        <w:rPr>
          <w:rFonts w:ascii="Arial" w:hAnsi="Arial" w:cs="Arial"/>
          <w:sz w:val="18"/>
          <w:szCs w:val="20"/>
        </w:rPr>
        <w:t xml:space="preserve">, Homburg, Germany; </w:t>
      </w:r>
      <w:r w:rsidR="00164B6A" w:rsidRPr="00966346">
        <w:rPr>
          <w:rFonts w:ascii="Arial" w:hAnsi="Arial" w:cs="Arial"/>
          <w:sz w:val="18"/>
          <w:szCs w:val="20"/>
          <w:vertAlign w:val="superscript"/>
        </w:rPr>
        <w:t>3</w:t>
      </w:r>
      <w:r w:rsidR="004B6D8C" w:rsidRPr="00966346">
        <w:rPr>
          <w:rFonts w:ascii="Arial" w:hAnsi="Arial" w:cs="Arial"/>
          <w:sz w:val="18"/>
          <w:szCs w:val="20"/>
          <w:vertAlign w:val="superscript"/>
        </w:rPr>
        <w:t>4</w:t>
      </w:r>
      <w:r w:rsidR="00164B6A" w:rsidRPr="00966346">
        <w:rPr>
          <w:rFonts w:ascii="Arial" w:hAnsi="Arial" w:cs="Arial"/>
          <w:sz w:val="18"/>
          <w:szCs w:val="20"/>
        </w:rPr>
        <w:t xml:space="preserve">Division of </w:t>
      </w:r>
      <w:proofErr w:type="spellStart"/>
      <w:r w:rsidR="00164B6A" w:rsidRPr="00966346">
        <w:rPr>
          <w:rFonts w:ascii="Arial" w:hAnsi="Arial" w:cs="Arial"/>
          <w:sz w:val="18"/>
          <w:szCs w:val="20"/>
        </w:rPr>
        <w:t>Hematologia</w:t>
      </w:r>
      <w:proofErr w:type="spellEnd"/>
      <w:r w:rsidR="00164B6A" w:rsidRPr="00966346">
        <w:rPr>
          <w:rFonts w:ascii="Arial" w:hAnsi="Arial" w:cs="Arial"/>
          <w:sz w:val="18"/>
          <w:szCs w:val="20"/>
        </w:rPr>
        <w:t xml:space="preserve">, </w:t>
      </w:r>
      <w:proofErr w:type="spellStart"/>
      <w:r w:rsidR="00164B6A" w:rsidRPr="00966346">
        <w:rPr>
          <w:rFonts w:ascii="Arial" w:hAnsi="Arial" w:cs="Arial"/>
          <w:sz w:val="18"/>
          <w:szCs w:val="20"/>
        </w:rPr>
        <w:t>Ospedale</w:t>
      </w:r>
      <w:proofErr w:type="spellEnd"/>
      <w:r w:rsidR="00164B6A" w:rsidRPr="00966346">
        <w:rPr>
          <w:rFonts w:ascii="Arial" w:hAnsi="Arial" w:cs="Arial"/>
          <w:sz w:val="18"/>
          <w:szCs w:val="20"/>
        </w:rPr>
        <w:t xml:space="preserve"> </w:t>
      </w:r>
      <w:proofErr w:type="spellStart"/>
      <w:r w:rsidR="00164B6A" w:rsidRPr="00966346">
        <w:rPr>
          <w:rFonts w:ascii="Arial" w:hAnsi="Arial" w:cs="Arial"/>
          <w:sz w:val="18"/>
          <w:szCs w:val="20"/>
        </w:rPr>
        <w:t>Oncologico</w:t>
      </w:r>
      <w:proofErr w:type="spellEnd"/>
      <w:r w:rsidR="00164B6A" w:rsidRPr="00966346">
        <w:rPr>
          <w:rFonts w:ascii="Arial" w:hAnsi="Arial" w:cs="Arial"/>
          <w:sz w:val="18"/>
          <w:szCs w:val="20"/>
        </w:rPr>
        <w:t xml:space="preserve">, Cagliari, Italy; </w:t>
      </w:r>
      <w:r w:rsidR="00164B6A" w:rsidRPr="00966346">
        <w:rPr>
          <w:rFonts w:ascii="Arial" w:hAnsi="Arial" w:cs="Arial"/>
          <w:sz w:val="18"/>
          <w:szCs w:val="20"/>
          <w:vertAlign w:val="superscript"/>
        </w:rPr>
        <w:t>3</w:t>
      </w:r>
      <w:r w:rsidR="004B6D8C" w:rsidRPr="00966346">
        <w:rPr>
          <w:rFonts w:ascii="Arial" w:hAnsi="Arial" w:cs="Arial"/>
          <w:sz w:val="18"/>
          <w:szCs w:val="20"/>
          <w:vertAlign w:val="superscript"/>
        </w:rPr>
        <w:t>5</w:t>
      </w:r>
      <w:r w:rsidR="00164B6A" w:rsidRPr="00966346">
        <w:rPr>
          <w:rFonts w:ascii="Arial" w:hAnsi="Arial" w:cs="Arial"/>
          <w:sz w:val="18"/>
          <w:szCs w:val="20"/>
        </w:rPr>
        <w:t xml:space="preserve">Ospedale </w:t>
      </w:r>
      <w:proofErr w:type="spellStart"/>
      <w:r w:rsidR="00164B6A" w:rsidRPr="00966346">
        <w:rPr>
          <w:rFonts w:ascii="Arial" w:hAnsi="Arial" w:cs="Arial"/>
          <w:sz w:val="18"/>
          <w:szCs w:val="20"/>
        </w:rPr>
        <w:t>Civile</w:t>
      </w:r>
      <w:proofErr w:type="spellEnd"/>
      <w:r w:rsidR="00164B6A" w:rsidRPr="00966346">
        <w:rPr>
          <w:rFonts w:ascii="Arial" w:hAnsi="Arial" w:cs="Arial"/>
          <w:sz w:val="18"/>
          <w:szCs w:val="20"/>
        </w:rPr>
        <w:t xml:space="preserve"> S. </w:t>
      </w:r>
      <w:proofErr w:type="spellStart"/>
      <w:r w:rsidR="00164B6A" w:rsidRPr="00966346">
        <w:rPr>
          <w:rFonts w:ascii="Arial" w:hAnsi="Arial" w:cs="Arial"/>
          <w:sz w:val="18"/>
          <w:szCs w:val="20"/>
        </w:rPr>
        <w:t>Spirito</w:t>
      </w:r>
      <w:proofErr w:type="spellEnd"/>
      <w:r w:rsidR="00164B6A" w:rsidRPr="00966346">
        <w:rPr>
          <w:rFonts w:ascii="Arial" w:hAnsi="Arial" w:cs="Arial"/>
          <w:sz w:val="18"/>
          <w:szCs w:val="20"/>
        </w:rPr>
        <w:t xml:space="preserve">, Pescara, Italy; </w:t>
      </w:r>
      <w:r w:rsidR="004B6D8C" w:rsidRPr="00966346">
        <w:rPr>
          <w:rFonts w:ascii="Arial" w:hAnsi="Arial" w:cs="Arial"/>
          <w:sz w:val="18"/>
          <w:szCs w:val="20"/>
          <w:vertAlign w:val="superscript"/>
        </w:rPr>
        <w:t>37</w:t>
      </w:r>
      <w:r w:rsidR="00D271EE" w:rsidRPr="00966346">
        <w:rPr>
          <w:rFonts w:ascii="Arial" w:hAnsi="Arial" w:cs="Arial"/>
          <w:sz w:val="18"/>
          <w:szCs w:val="20"/>
        </w:rPr>
        <w:t>Institute of Neuropathology, University of Cologne, Cologne, Germany;</w:t>
      </w:r>
      <w:r w:rsidR="00D271EE" w:rsidRPr="00966346">
        <w:rPr>
          <w:rFonts w:ascii="Arial" w:hAnsi="Arial" w:cs="Arial"/>
          <w:sz w:val="18"/>
          <w:szCs w:val="20"/>
          <w:vertAlign w:val="superscript"/>
        </w:rPr>
        <w:t xml:space="preserve"> </w:t>
      </w:r>
      <w:r w:rsidR="004B6D8C" w:rsidRPr="00966346">
        <w:rPr>
          <w:rFonts w:ascii="Arial" w:hAnsi="Arial" w:cs="Arial"/>
          <w:sz w:val="18"/>
          <w:szCs w:val="20"/>
          <w:vertAlign w:val="superscript"/>
        </w:rPr>
        <w:t>40</w:t>
      </w:r>
      <w:r w:rsidR="00177B5F" w:rsidRPr="00966346">
        <w:rPr>
          <w:rFonts w:ascii="Arial" w:hAnsi="Arial" w:cs="Arial"/>
          <w:sz w:val="18"/>
          <w:szCs w:val="20"/>
        </w:rPr>
        <w:t xml:space="preserve">Istituto </w:t>
      </w:r>
      <w:proofErr w:type="spellStart"/>
      <w:r w:rsidR="00177B5F" w:rsidRPr="00966346">
        <w:rPr>
          <w:rFonts w:ascii="Arial" w:hAnsi="Arial" w:cs="Arial"/>
          <w:sz w:val="18"/>
          <w:szCs w:val="20"/>
        </w:rPr>
        <w:t>Oncologico</w:t>
      </w:r>
      <w:proofErr w:type="spellEnd"/>
      <w:r w:rsidR="00177B5F" w:rsidRPr="00966346">
        <w:rPr>
          <w:rFonts w:ascii="Arial" w:hAnsi="Arial" w:cs="Arial"/>
          <w:sz w:val="18"/>
          <w:szCs w:val="20"/>
        </w:rPr>
        <w:t xml:space="preserve"> Della </w:t>
      </w:r>
      <w:proofErr w:type="spellStart"/>
      <w:r w:rsidR="00177B5F" w:rsidRPr="00966346">
        <w:rPr>
          <w:rFonts w:ascii="Arial" w:hAnsi="Arial" w:cs="Arial"/>
          <w:sz w:val="18"/>
          <w:szCs w:val="20"/>
        </w:rPr>
        <w:t>Svizzera</w:t>
      </w:r>
      <w:proofErr w:type="spellEnd"/>
      <w:r w:rsidR="00177B5F" w:rsidRPr="00966346">
        <w:rPr>
          <w:rFonts w:ascii="Arial" w:hAnsi="Arial" w:cs="Arial"/>
          <w:sz w:val="18"/>
          <w:szCs w:val="20"/>
        </w:rPr>
        <w:t xml:space="preserve"> </w:t>
      </w:r>
      <w:proofErr w:type="spellStart"/>
      <w:r w:rsidR="00177B5F" w:rsidRPr="00966346">
        <w:rPr>
          <w:rFonts w:ascii="Arial" w:hAnsi="Arial" w:cs="Arial"/>
          <w:sz w:val="18"/>
          <w:szCs w:val="20"/>
        </w:rPr>
        <w:t>Italiana</w:t>
      </w:r>
      <w:proofErr w:type="spellEnd"/>
      <w:r w:rsidR="00177B5F" w:rsidRPr="00966346">
        <w:rPr>
          <w:rFonts w:ascii="Arial" w:hAnsi="Arial" w:cs="Arial"/>
          <w:sz w:val="18"/>
          <w:szCs w:val="20"/>
        </w:rPr>
        <w:t xml:space="preserve">, </w:t>
      </w:r>
      <w:proofErr w:type="spellStart"/>
      <w:r w:rsidR="00177B5F" w:rsidRPr="00966346">
        <w:rPr>
          <w:rFonts w:ascii="Arial" w:hAnsi="Arial" w:cs="Arial"/>
          <w:sz w:val="18"/>
          <w:szCs w:val="20"/>
        </w:rPr>
        <w:t>Bellinzona</w:t>
      </w:r>
      <w:proofErr w:type="spellEnd"/>
      <w:r w:rsidR="00177B5F" w:rsidRPr="00966346">
        <w:rPr>
          <w:rFonts w:ascii="Arial" w:hAnsi="Arial" w:cs="Arial"/>
          <w:sz w:val="18"/>
          <w:szCs w:val="20"/>
        </w:rPr>
        <w:t>, Switzerland</w:t>
      </w:r>
      <w:r w:rsidR="00C26632" w:rsidRPr="00966346">
        <w:rPr>
          <w:rFonts w:ascii="Arial" w:hAnsi="Arial" w:cs="Arial"/>
          <w:sz w:val="18"/>
          <w:szCs w:val="20"/>
        </w:rPr>
        <w:t xml:space="preserve">; </w:t>
      </w:r>
      <w:r w:rsidR="00C26632" w:rsidRPr="00966346">
        <w:rPr>
          <w:rFonts w:ascii="Arial" w:hAnsi="Arial" w:cs="Arial"/>
          <w:sz w:val="18"/>
          <w:szCs w:val="20"/>
          <w:vertAlign w:val="superscript"/>
        </w:rPr>
        <w:t>41</w:t>
      </w:r>
      <w:r w:rsidR="00C26632" w:rsidRPr="00966346">
        <w:rPr>
          <w:rFonts w:ascii="Arial" w:hAnsi="Arial" w:cs="Arial"/>
          <w:sz w:val="18"/>
          <w:szCs w:val="20"/>
        </w:rPr>
        <w:t>Uniklinik Stuttgart, Stuttgart, Germany</w:t>
      </w:r>
      <w:r w:rsidR="00177B5F" w:rsidRPr="00966346">
        <w:rPr>
          <w:rFonts w:ascii="Arial" w:hAnsi="Arial" w:cs="Arial"/>
          <w:sz w:val="18"/>
          <w:szCs w:val="20"/>
        </w:rPr>
        <w:t xml:space="preserve">. </w:t>
      </w:r>
    </w:p>
    <w:p w14:paraId="0F6EEDEB" w14:textId="77777777" w:rsidR="00677E23" w:rsidRPr="00966346" w:rsidRDefault="00677E23" w:rsidP="00476D6D">
      <w:pPr>
        <w:spacing w:after="0" w:line="240" w:lineRule="auto"/>
        <w:jc w:val="both"/>
        <w:rPr>
          <w:rFonts w:ascii="Arial" w:hAnsi="Arial" w:cs="Arial"/>
          <w:sz w:val="18"/>
          <w:szCs w:val="24"/>
        </w:rPr>
      </w:pPr>
      <w:r w:rsidRPr="00966346">
        <w:rPr>
          <w:rFonts w:ascii="Arial" w:hAnsi="Arial" w:cs="Arial"/>
          <w:sz w:val="18"/>
          <w:szCs w:val="24"/>
          <w:vertAlign w:val="superscript"/>
        </w:rPr>
        <w:t>§</w:t>
      </w:r>
      <w:r w:rsidRPr="00966346">
        <w:rPr>
          <w:rFonts w:ascii="Arial" w:hAnsi="Arial" w:cs="Arial"/>
          <w:sz w:val="18"/>
          <w:szCs w:val="24"/>
        </w:rPr>
        <w:t xml:space="preserve">These coauthors are full professors. </w:t>
      </w:r>
    </w:p>
    <w:p w14:paraId="2DAA0EB6" w14:textId="77777777" w:rsidR="00D271EE" w:rsidRPr="00966346" w:rsidRDefault="00D271EE" w:rsidP="00476D6D">
      <w:pPr>
        <w:spacing w:after="0" w:line="240" w:lineRule="auto"/>
        <w:jc w:val="both"/>
        <w:rPr>
          <w:rFonts w:ascii="Arial" w:hAnsi="Arial" w:cs="Arial"/>
          <w:sz w:val="20"/>
          <w:szCs w:val="24"/>
        </w:rPr>
      </w:pPr>
    </w:p>
    <w:p w14:paraId="70033AC0" w14:textId="77777777" w:rsidR="00FF3579" w:rsidRPr="00966346" w:rsidRDefault="00177B5F" w:rsidP="00476D6D">
      <w:pPr>
        <w:spacing w:after="0" w:line="240" w:lineRule="auto"/>
        <w:jc w:val="both"/>
        <w:rPr>
          <w:rFonts w:ascii="Arial" w:hAnsi="Arial" w:cs="Arial"/>
          <w:sz w:val="20"/>
          <w:szCs w:val="24"/>
        </w:rPr>
      </w:pPr>
      <w:r w:rsidRPr="00966346">
        <w:rPr>
          <w:rFonts w:ascii="Arial" w:hAnsi="Arial" w:cs="Arial"/>
          <w:sz w:val="20"/>
          <w:szCs w:val="24"/>
        </w:rPr>
        <w:t>Running title</w:t>
      </w:r>
      <w:r w:rsidR="006933D2" w:rsidRPr="00966346">
        <w:rPr>
          <w:rFonts w:ascii="Arial" w:hAnsi="Arial" w:cs="Arial"/>
          <w:sz w:val="20"/>
          <w:szCs w:val="24"/>
        </w:rPr>
        <w:t>:</w:t>
      </w:r>
      <w:r w:rsidRPr="00966346">
        <w:rPr>
          <w:rFonts w:ascii="Arial" w:hAnsi="Arial" w:cs="Arial"/>
          <w:sz w:val="20"/>
          <w:szCs w:val="24"/>
        </w:rPr>
        <w:t xml:space="preserve"> </w:t>
      </w:r>
      <w:r w:rsidR="00431FE7" w:rsidRPr="00966346">
        <w:rPr>
          <w:rFonts w:ascii="Arial" w:hAnsi="Arial" w:cs="Arial"/>
          <w:sz w:val="20"/>
          <w:szCs w:val="24"/>
        </w:rPr>
        <w:t>Consolidation with WBRT or ASCT in</w:t>
      </w:r>
      <w:r w:rsidRPr="00966346">
        <w:rPr>
          <w:rFonts w:ascii="Arial" w:hAnsi="Arial" w:cs="Arial"/>
          <w:sz w:val="20"/>
          <w:szCs w:val="24"/>
        </w:rPr>
        <w:t xml:space="preserve"> PCNSL</w:t>
      </w:r>
    </w:p>
    <w:p w14:paraId="46F1C166" w14:textId="77777777" w:rsidR="00FF3579" w:rsidRPr="00966346" w:rsidRDefault="00FF3579" w:rsidP="00476D6D">
      <w:pPr>
        <w:spacing w:after="0" w:line="240" w:lineRule="auto"/>
        <w:jc w:val="both"/>
        <w:rPr>
          <w:rFonts w:ascii="Arial" w:hAnsi="Arial" w:cs="Arial"/>
          <w:sz w:val="20"/>
          <w:szCs w:val="24"/>
        </w:rPr>
      </w:pPr>
    </w:p>
    <w:p w14:paraId="43954464" w14:textId="77777777" w:rsidR="00177B5F" w:rsidRPr="00966346" w:rsidRDefault="00177B5F" w:rsidP="00476D6D">
      <w:pPr>
        <w:tabs>
          <w:tab w:val="left" w:pos="2836"/>
          <w:tab w:val="left" w:pos="3545"/>
          <w:tab w:val="left" w:pos="4254"/>
          <w:tab w:val="left" w:pos="4963"/>
          <w:tab w:val="left" w:pos="5672"/>
          <w:tab w:val="left" w:pos="6381"/>
          <w:tab w:val="left" w:pos="7090"/>
          <w:tab w:val="left" w:pos="7799"/>
          <w:tab w:val="left" w:pos="8508"/>
        </w:tabs>
        <w:spacing w:after="0" w:line="240" w:lineRule="auto"/>
        <w:rPr>
          <w:rFonts w:ascii="Arial" w:hAnsi="Arial" w:cs="Arial"/>
          <w:sz w:val="18"/>
          <w:szCs w:val="20"/>
        </w:rPr>
      </w:pPr>
      <w:r w:rsidRPr="00966346">
        <w:rPr>
          <w:rFonts w:ascii="Arial" w:hAnsi="Arial" w:cs="Arial"/>
          <w:sz w:val="18"/>
          <w:szCs w:val="20"/>
        </w:rPr>
        <w:t xml:space="preserve">Correspondence to: </w:t>
      </w:r>
      <w:r w:rsidRPr="00966346">
        <w:rPr>
          <w:rFonts w:ascii="Arial" w:hAnsi="Arial" w:cs="Arial"/>
          <w:sz w:val="18"/>
          <w:szCs w:val="20"/>
        </w:rPr>
        <w:tab/>
        <w:t>Andrés J. M. Ferreri, MD</w:t>
      </w:r>
    </w:p>
    <w:p w14:paraId="506D7E1A" w14:textId="77777777" w:rsidR="00177B5F" w:rsidRPr="00966346" w:rsidRDefault="00177B5F" w:rsidP="00476D6D">
      <w:pPr>
        <w:tabs>
          <w:tab w:val="left" w:pos="2836"/>
          <w:tab w:val="left" w:pos="3545"/>
          <w:tab w:val="left" w:pos="4254"/>
          <w:tab w:val="left" w:pos="4963"/>
          <w:tab w:val="left" w:pos="5672"/>
          <w:tab w:val="left" w:pos="6381"/>
          <w:tab w:val="left" w:pos="7090"/>
          <w:tab w:val="left" w:pos="7799"/>
          <w:tab w:val="left" w:pos="8508"/>
        </w:tabs>
        <w:spacing w:after="0" w:line="240" w:lineRule="auto"/>
        <w:rPr>
          <w:rFonts w:ascii="Arial" w:hAnsi="Arial" w:cs="Arial"/>
          <w:sz w:val="18"/>
          <w:szCs w:val="20"/>
        </w:rPr>
      </w:pPr>
      <w:r w:rsidRPr="00966346">
        <w:rPr>
          <w:rFonts w:ascii="Arial" w:hAnsi="Arial" w:cs="Arial"/>
          <w:sz w:val="18"/>
          <w:szCs w:val="20"/>
        </w:rPr>
        <w:tab/>
        <w:t>Unit of Lymphoid Malignancies</w:t>
      </w:r>
    </w:p>
    <w:p w14:paraId="138B9A1E" w14:textId="77777777" w:rsidR="00177B5F" w:rsidRPr="00966346" w:rsidRDefault="00177B5F" w:rsidP="00476D6D">
      <w:pPr>
        <w:tabs>
          <w:tab w:val="left" w:pos="2836"/>
          <w:tab w:val="left" w:pos="3545"/>
          <w:tab w:val="left" w:pos="4254"/>
          <w:tab w:val="left" w:pos="4963"/>
          <w:tab w:val="left" w:pos="5672"/>
          <w:tab w:val="left" w:pos="6381"/>
          <w:tab w:val="left" w:pos="7090"/>
          <w:tab w:val="left" w:pos="7799"/>
          <w:tab w:val="left" w:pos="8508"/>
        </w:tabs>
        <w:spacing w:after="0" w:line="240" w:lineRule="auto"/>
        <w:rPr>
          <w:rFonts w:ascii="Arial" w:hAnsi="Arial" w:cs="Arial"/>
          <w:sz w:val="18"/>
          <w:szCs w:val="20"/>
        </w:rPr>
      </w:pPr>
      <w:r w:rsidRPr="00966346">
        <w:rPr>
          <w:rFonts w:ascii="Arial" w:hAnsi="Arial" w:cs="Arial"/>
          <w:sz w:val="18"/>
          <w:szCs w:val="20"/>
        </w:rPr>
        <w:tab/>
        <w:t xml:space="preserve">Department of </w:t>
      </w:r>
      <w:proofErr w:type="spellStart"/>
      <w:r w:rsidRPr="00966346">
        <w:rPr>
          <w:rFonts w:ascii="Arial" w:hAnsi="Arial" w:cs="Arial"/>
          <w:sz w:val="18"/>
          <w:szCs w:val="20"/>
        </w:rPr>
        <w:t>Onco</w:t>
      </w:r>
      <w:proofErr w:type="spellEnd"/>
      <w:r w:rsidRPr="00966346">
        <w:rPr>
          <w:rFonts w:ascii="Arial" w:hAnsi="Arial" w:cs="Arial"/>
          <w:sz w:val="18"/>
          <w:szCs w:val="20"/>
        </w:rPr>
        <w:t>-Hematology</w:t>
      </w:r>
    </w:p>
    <w:p w14:paraId="6DA42F3C" w14:textId="77777777" w:rsidR="00177B5F" w:rsidRPr="00966346" w:rsidRDefault="00177B5F" w:rsidP="00476D6D">
      <w:pPr>
        <w:tabs>
          <w:tab w:val="left" w:pos="2836"/>
          <w:tab w:val="left" w:pos="3545"/>
          <w:tab w:val="left" w:pos="4254"/>
          <w:tab w:val="left" w:pos="4963"/>
          <w:tab w:val="left" w:pos="5672"/>
          <w:tab w:val="left" w:pos="6381"/>
          <w:tab w:val="left" w:pos="7090"/>
          <w:tab w:val="left" w:pos="7799"/>
          <w:tab w:val="left" w:pos="8508"/>
        </w:tabs>
        <w:spacing w:after="0" w:line="240" w:lineRule="auto"/>
        <w:rPr>
          <w:rFonts w:ascii="Arial" w:hAnsi="Arial" w:cs="Arial"/>
          <w:sz w:val="18"/>
          <w:szCs w:val="20"/>
        </w:rPr>
      </w:pPr>
      <w:r w:rsidRPr="00966346">
        <w:rPr>
          <w:rFonts w:ascii="Arial" w:hAnsi="Arial" w:cs="Arial"/>
          <w:sz w:val="18"/>
          <w:szCs w:val="20"/>
        </w:rPr>
        <w:tab/>
        <w:t>IRCCS San Raffaele Scientific Institute</w:t>
      </w:r>
    </w:p>
    <w:p w14:paraId="4EB515CB" w14:textId="77777777" w:rsidR="00177B5F" w:rsidRPr="00966346" w:rsidRDefault="00177B5F" w:rsidP="00476D6D">
      <w:pPr>
        <w:tabs>
          <w:tab w:val="left" w:pos="2836"/>
          <w:tab w:val="left" w:pos="3545"/>
          <w:tab w:val="left" w:pos="4254"/>
          <w:tab w:val="left" w:pos="4963"/>
          <w:tab w:val="left" w:pos="5672"/>
          <w:tab w:val="left" w:pos="6381"/>
          <w:tab w:val="left" w:pos="7090"/>
          <w:tab w:val="left" w:pos="7799"/>
          <w:tab w:val="left" w:pos="8508"/>
        </w:tabs>
        <w:spacing w:after="0" w:line="240" w:lineRule="auto"/>
        <w:rPr>
          <w:rFonts w:ascii="Arial" w:hAnsi="Arial" w:cs="Arial"/>
          <w:sz w:val="18"/>
          <w:szCs w:val="20"/>
          <w:lang w:val="it-IT"/>
        </w:rPr>
      </w:pPr>
      <w:r w:rsidRPr="00966346">
        <w:rPr>
          <w:rFonts w:ascii="Arial" w:hAnsi="Arial" w:cs="Arial"/>
          <w:sz w:val="18"/>
          <w:szCs w:val="20"/>
        </w:rPr>
        <w:tab/>
      </w:r>
      <w:r w:rsidRPr="00966346">
        <w:rPr>
          <w:rFonts w:ascii="Arial" w:hAnsi="Arial" w:cs="Arial"/>
          <w:sz w:val="18"/>
          <w:szCs w:val="20"/>
          <w:lang w:val="it-IT"/>
        </w:rPr>
        <w:t xml:space="preserve">Via </w:t>
      </w:r>
      <w:proofErr w:type="spellStart"/>
      <w:r w:rsidRPr="00966346">
        <w:rPr>
          <w:rFonts w:ascii="Arial" w:hAnsi="Arial" w:cs="Arial"/>
          <w:sz w:val="18"/>
          <w:szCs w:val="20"/>
          <w:lang w:val="it-IT"/>
        </w:rPr>
        <w:t>Olgettina</w:t>
      </w:r>
      <w:proofErr w:type="spellEnd"/>
      <w:r w:rsidRPr="00966346">
        <w:rPr>
          <w:rFonts w:ascii="Arial" w:hAnsi="Arial" w:cs="Arial"/>
          <w:sz w:val="18"/>
          <w:szCs w:val="20"/>
          <w:lang w:val="it-IT"/>
        </w:rPr>
        <w:t xml:space="preserve"> 60, 20132 - Milan, Italy</w:t>
      </w:r>
    </w:p>
    <w:p w14:paraId="1411F679" w14:textId="77777777" w:rsidR="00177B5F" w:rsidRPr="00966346" w:rsidRDefault="00177B5F" w:rsidP="00476D6D">
      <w:pPr>
        <w:tabs>
          <w:tab w:val="left" w:pos="2836"/>
          <w:tab w:val="left" w:pos="3686"/>
          <w:tab w:val="left" w:pos="4254"/>
          <w:tab w:val="left" w:pos="4963"/>
          <w:tab w:val="left" w:pos="5672"/>
          <w:tab w:val="left" w:pos="6381"/>
          <w:tab w:val="left" w:pos="7090"/>
          <w:tab w:val="left" w:pos="7799"/>
          <w:tab w:val="left" w:pos="8508"/>
        </w:tabs>
        <w:spacing w:after="0" w:line="240" w:lineRule="auto"/>
        <w:rPr>
          <w:rFonts w:ascii="Arial" w:hAnsi="Arial" w:cs="Arial"/>
          <w:sz w:val="18"/>
          <w:szCs w:val="20"/>
          <w:lang w:val="it-IT"/>
        </w:rPr>
      </w:pPr>
      <w:r w:rsidRPr="00966346">
        <w:rPr>
          <w:rFonts w:ascii="Arial" w:hAnsi="Arial" w:cs="Arial"/>
          <w:sz w:val="18"/>
          <w:szCs w:val="20"/>
          <w:lang w:val="it-IT"/>
        </w:rPr>
        <w:tab/>
        <w:t>Phone:</w:t>
      </w:r>
      <w:r w:rsidRPr="00966346">
        <w:rPr>
          <w:rFonts w:ascii="Arial" w:hAnsi="Arial" w:cs="Arial"/>
          <w:sz w:val="18"/>
          <w:szCs w:val="20"/>
          <w:lang w:val="it-IT"/>
        </w:rPr>
        <w:tab/>
        <w:t>0039-02-26437649</w:t>
      </w:r>
    </w:p>
    <w:p w14:paraId="10293EC0" w14:textId="77777777" w:rsidR="00177B5F" w:rsidRPr="00966346" w:rsidRDefault="00177B5F" w:rsidP="00476D6D">
      <w:pPr>
        <w:tabs>
          <w:tab w:val="left" w:pos="2836"/>
          <w:tab w:val="left" w:pos="3686"/>
          <w:tab w:val="left" w:pos="4254"/>
          <w:tab w:val="left" w:pos="4963"/>
          <w:tab w:val="left" w:pos="5672"/>
          <w:tab w:val="left" w:pos="6381"/>
          <w:tab w:val="left" w:pos="7090"/>
          <w:tab w:val="left" w:pos="7799"/>
          <w:tab w:val="left" w:pos="8508"/>
        </w:tabs>
        <w:spacing w:after="0" w:line="240" w:lineRule="auto"/>
        <w:rPr>
          <w:rFonts w:ascii="Arial" w:hAnsi="Arial" w:cs="Arial"/>
          <w:sz w:val="18"/>
          <w:szCs w:val="20"/>
          <w:lang w:val="it-IT"/>
        </w:rPr>
      </w:pPr>
      <w:r w:rsidRPr="00966346">
        <w:rPr>
          <w:rFonts w:ascii="Arial" w:hAnsi="Arial" w:cs="Arial"/>
          <w:sz w:val="18"/>
          <w:szCs w:val="20"/>
          <w:lang w:val="it-IT"/>
        </w:rPr>
        <w:tab/>
        <w:t>Fax:</w:t>
      </w:r>
      <w:r w:rsidRPr="00966346">
        <w:rPr>
          <w:rFonts w:ascii="Arial" w:hAnsi="Arial" w:cs="Arial"/>
          <w:sz w:val="18"/>
          <w:szCs w:val="20"/>
          <w:lang w:val="it-IT"/>
        </w:rPr>
        <w:tab/>
        <w:t>0039-02-26437625</w:t>
      </w:r>
    </w:p>
    <w:p w14:paraId="19590778" w14:textId="77777777" w:rsidR="00431FE7" w:rsidRPr="00966346" w:rsidRDefault="00177B5F" w:rsidP="00476D6D">
      <w:pPr>
        <w:tabs>
          <w:tab w:val="left" w:pos="2836"/>
          <w:tab w:val="left" w:pos="3686"/>
          <w:tab w:val="left" w:pos="4254"/>
          <w:tab w:val="left" w:pos="4963"/>
          <w:tab w:val="left" w:pos="5672"/>
          <w:tab w:val="left" w:pos="6381"/>
          <w:tab w:val="left" w:pos="7090"/>
          <w:tab w:val="left" w:pos="7799"/>
          <w:tab w:val="left" w:pos="8508"/>
        </w:tabs>
        <w:spacing w:after="0" w:line="240" w:lineRule="auto"/>
        <w:rPr>
          <w:rFonts w:ascii="Arial" w:hAnsi="Arial" w:cs="Arial"/>
          <w:sz w:val="18"/>
          <w:szCs w:val="20"/>
          <w:lang w:val="it-IT"/>
        </w:rPr>
      </w:pPr>
      <w:r w:rsidRPr="00966346">
        <w:rPr>
          <w:rFonts w:ascii="Arial" w:hAnsi="Arial" w:cs="Arial"/>
          <w:sz w:val="18"/>
          <w:szCs w:val="20"/>
          <w:lang w:val="it-IT"/>
        </w:rPr>
        <w:tab/>
        <w:t>E-mail:</w:t>
      </w:r>
      <w:r w:rsidRPr="00966346">
        <w:rPr>
          <w:rFonts w:ascii="Arial" w:hAnsi="Arial" w:cs="Arial"/>
          <w:sz w:val="18"/>
          <w:szCs w:val="20"/>
          <w:lang w:val="it-IT"/>
        </w:rPr>
        <w:tab/>
      </w:r>
      <w:r w:rsidR="00CE0FFC" w:rsidRPr="00966346">
        <w:rPr>
          <w:rFonts w:ascii="Arial" w:hAnsi="Arial" w:cs="Arial"/>
          <w:sz w:val="18"/>
          <w:szCs w:val="20"/>
          <w:lang w:val="it-IT"/>
        </w:rPr>
        <w:t>ferreri.andres@hsr.it</w:t>
      </w:r>
    </w:p>
    <w:p w14:paraId="07805785" w14:textId="77777777" w:rsidR="00CE0FFC" w:rsidRPr="00966346" w:rsidRDefault="00CE0FFC" w:rsidP="00476D6D">
      <w:pPr>
        <w:tabs>
          <w:tab w:val="left" w:pos="2836"/>
          <w:tab w:val="left" w:pos="3686"/>
          <w:tab w:val="left" w:pos="4254"/>
          <w:tab w:val="left" w:pos="4963"/>
          <w:tab w:val="left" w:pos="5672"/>
          <w:tab w:val="left" w:pos="6381"/>
          <w:tab w:val="left" w:pos="7090"/>
          <w:tab w:val="left" w:pos="7799"/>
          <w:tab w:val="left" w:pos="8508"/>
        </w:tabs>
        <w:spacing w:after="0" w:line="240" w:lineRule="auto"/>
        <w:rPr>
          <w:rFonts w:ascii="Arial" w:hAnsi="Arial" w:cs="Arial"/>
          <w:sz w:val="18"/>
          <w:szCs w:val="24"/>
          <w:lang w:val="it-IT"/>
        </w:rPr>
      </w:pPr>
    </w:p>
    <w:p w14:paraId="61AA4362" w14:textId="77777777" w:rsidR="00CE0FFC" w:rsidRPr="00966346" w:rsidRDefault="00CE0FFC" w:rsidP="00476D6D">
      <w:pPr>
        <w:tabs>
          <w:tab w:val="left" w:pos="2836"/>
          <w:tab w:val="left" w:pos="3686"/>
          <w:tab w:val="left" w:pos="4254"/>
          <w:tab w:val="left" w:pos="4963"/>
          <w:tab w:val="left" w:pos="5672"/>
          <w:tab w:val="left" w:pos="6381"/>
          <w:tab w:val="left" w:pos="7090"/>
          <w:tab w:val="left" w:pos="7799"/>
          <w:tab w:val="left" w:pos="8508"/>
        </w:tabs>
        <w:spacing w:after="0" w:line="240" w:lineRule="auto"/>
        <w:rPr>
          <w:rFonts w:ascii="Arial" w:hAnsi="Arial" w:cs="Arial"/>
          <w:sz w:val="18"/>
          <w:szCs w:val="24"/>
          <w:lang w:val="it-IT"/>
        </w:rPr>
      </w:pPr>
    </w:p>
    <w:p w14:paraId="6B635F4F" w14:textId="77777777" w:rsidR="00F86BE8" w:rsidRDefault="001A667F" w:rsidP="00476D6D">
      <w:pPr>
        <w:tabs>
          <w:tab w:val="left" w:pos="2836"/>
          <w:tab w:val="left" w:pos="3686"/>
          <w:tab w:val="left" w:pos="4254"/>
          <w:tab w:val="left" w:pos="4963"/>
          <w:tab w:val="left" w:pos="5672"/>
          <w:tab w:val="left" w:pos="6381"/>
          <w:tab w:val="left" w:pos="7090"/>
          <w:tab w:val="left" w:pos="7799"/>
          <w:tab w:val="left" w:pos="8508"/>
        </w:tabs>
        <w:spacing w:after="0" w:line="240" w:lineRule="auto"/>
        <w:rPr>
          <w:rFonts w:ascii="Arial" w:hAnsi="Arial" w:cs="Arial"/>
          <w:sz w:val="18"/>
          <w:szCs w:val="24"/>
        </w:rPr>
      </w:pPr>
      <w:r w:rsidRPr="00966346">
        <w:rPr>
          <w:rFonts w:ascii="Arial" w:hAnsi="Arial" w:cs="Arial"/>
          <w:sz w:val="18"/>
          <w:szCs w:val="24"/>
        </w:rPr>
        <w:t xml:space="preserve">*A complete list of the </w:t>
      </w:r>
      <w:r w:rsidR="009070BC" w:rsidRPr="00966346">
        <w:rPr>
          <w:rFonts w:ascii="Arial" w:hAnsi="Arial" w:cs="Arial"/>
          <w:sz w:val="18"/>
          <w:szCs w:val="24"/>
        </w:rPr>
        <w:t>IELSG3</w:t>
      </w:r>
      <w:r w:rsidRPr="00966346">
        <w:rPr>
          <w:rFonts w:ascii="Arial" w:hAnsi="Arial" w:cs="Arial"/>
          <w:sz w:val="18"/>
          <w:szCs w:val="24"/>
        </w:rPr>
        <w:t>2 study investigators is provided in the Supplementary Material</w:t>
      </w:r>
      <w:r w:rsidR="00952079" w:rsidRPr="00966346">
        <w:rPr>
          <w:rFonts w:ascii="Arial" w:hAnsi="Arial" w:cs="Arial"/>
          <w:sz w:val="18"/>
          <w:szCs w:val="24"/>
        </w:rPr>
        <w:t xml:space="preserve"> (Appendix p2)</w:t>
      </w:r>
      <w:r w:rsidRPr="00966346">
        <w:rPr>
          <w:rFonts w:ascii="Arial" w:hAnsi="Arial" w:cs="Arial"/>
          <w:sz w:val="18"/>
          <w:szCs w:val="24"/>
        </w:rPr>
        <w:t xml:space="preserve">. </w:t>
      </w:r>
    </w:p>
    <w:p w14:paraId="307857CE" w14:textId="3B88AA2A" w:rsidR="00F86BE8" w:rsidRPr="00817FD3" w:rsidRDefault="00F86BE8" w:rsidP="00817FD3">
      <w:pPr>
        <w:spacing w:after="0" w:line="360" w:lineRule="auto"/>
        <w:rPr>
          <w:rFonts w:ascii="Arial" w:hAnsi="Arial" w:cs="Arial"/>
          <w:sz w:val="20"/>
          <w:szCs w:val="20"/>
        </w:rPr>
      </w:pPr>
      <w:r w:rsidRPr="00817FD3">
        <w:rPr>
          <w:rFonts w:ascii="Arial" w:hAnsi="Arial" w:cs="Arial"/>
          <w:b/>
          <w:bCs/>
          <w:sz w:val="20"/>
          <w:szCs w:val="20"/>
        </w:rPr>
        <w:lastRenderedPageBreak/>
        <w:t>Unit of Lymphoid Malignancies,</w:t>
      </w:r>
      <w:r w:rsidR="008A2F20" w:rsidRPr="00817FD3">
        <w:rPr>
          <w:rFonts w:ascii="Arial" w:hAnsi="Arial" w:cs="Arial"/>
          <w:b/>
          <w:bCs/>
          <w:sz w:val="20"/>
          <w:szCs w:val="20"/>
        </w:rPr>
        <w:t xml:space="preserve"> </w:t>
      </w:r>
      <w:r w:rsidRPr="00817FD3">
        <w:rPr>
          <w:rFonts w:ascii="Arial" w:hAnsi="Arial" w:cs="Arial"/>
          <w:b/>
          <w:bCs/>
          <w:sz w:val="20"/>
          <w:szCs w:val="20"/>
        </w:rPr>
        <w:t>Department of</w:t>
      </w:r>
      <w:r w:rsidR="008A2F20" w:rsidRPr="00817FD3">
        <w:rPr>
          <w:rFonts w:ascii="Arial" w:hAnsi="Arial" w:cs="Arial"/>
          <w:b/>
          <w:bCs/>
          <w:sz w:val="20"/>
          <w:szCs w:val="20"/>
        </w:rPr>
        <w:t xml:space="preserve"> </w:t>
      </w:r>
      <w:proofErr w:type="spellStart"/>
      <w:r w:rsidRPr="00817FD3">
        <w:rPr>
          <w:rFonts w:ascii="Arial" w:hAnsi="Arial" w:cs="Arial"/>
          <w:b/>
          <w:bCs/>
          <w:sz w:val="20"/>
          <w:szCs w:val="20"/>
        </w:rPr>
        <w:t>Onco</w:t>
      </w:r>
      <w:proofErr w:type="spellEnd"/>
      <w:r w:rsidRPr="00817FD3">
        <w:rPr>
          <w:rFonts w:ascii="Arial" w:hAnsi="Arial" w:cs="Arial"/>
          <w:b/>
          <w:bCs/>
          <w:sz w:val="20"/>
          <w:szCs w:val="20"/>
        </w:rPr>
        <w:t>-Hematology</w:t>
      </w:r>
      <w:r w:rsidR="008A2F20" w:rsidRPr="00817FD3">
        <w:rPr>
          <w:rFonts w:ascii="Arial" w:hAnsi="Arial" w:cs="Arial"/>
          <w:b/>
          <w:bCs/>
          <w:sz w:val="20"/>
          <w:szCs w:val="20"/>
        </w:rPr>
        <w:t xml:space="preserve"> </w:t>
      </w:r>
      <w:r w:rsidRPr="00817FD3">
        <w:rPr>
          <w:rFonts w:ascii="Arial" w:hAnsi="Arial" w:cs="Arial"/>
          <w:sz w:val="20"/>
          <w:szCs w:val="20"/>
        </w:rPr>
        <w:t>(A J M Ferreri MD)</w:t>
      </w:r>
      <w:r w:rsidRPr="00817FD3">
        <w:rPr>
          <w:rFonts w:ascii="Arial" w:hAnsi="Arial" w:cs="Arial"/>
          <w:b/>
          <w:bCs/>
          <w:sz w:val="20"/>
          <w:szCs w:val="20"/>
        </w:rPr>
        <w:t xml:space="preserve">, </w:t>
      </w:r>
      <w:r w:rsidR="00642A6B" w:rsidRPr="00642A6B">
        <w:rPr>
          <w:rFonts w:ascii="Arial" w:hAnsi="Arial" w:cs="Arial"/>
          <w:b/>
          <w:bCs/>
          <w:sz w:val="20"/>
          <w:szCs w:val="20"/>
        </w:rPr>
        <w:t xml:space="preserve">Dept. of Neurology </w:t>
      </w:r>
      <w:r w:rsidR="00642A6B">
        <w:rPr>
          <w:rFonts w:ascii="Arial" w:hAnsi="Arial" w:cs="Arial"/>
          <w:b/>
          <w:bCs/>
          <w:sz w:val="20"/>
          <w:szCs w:val="20"/>
        </w:rPr>
        <w:t>(</w:t>
      </w:r>
      <w:r w:rsidR="00642A6B" w:rsidRPr="00817FD3">
        <w:rPr>
          <w:rFonts w:ascii="Arial" w:hAnsi="Arial" w:cs="Arial"/>
          <w:bCs/>
          <w:sz w:val="20"/>
          <w:szCs w:val="20"/>
        </w:rPr>
        <w:t>E Minacapelli MD, M Falautano MD</w:t>
      </w:r>
      <w:r w:rsidR="00642A6B">
        <w:rPr>
          <w:rFonts w:ascii="Arial" w:hAnsi="Arial" w:cs="Arial"/>
          <w:b/>
          <w:bCs/>
          <w:sz w:val="20"/>
          <w:szCs w:val="20"/>
        </w:rPr>
        <w:t xml:space="preserve">), </w:t>
      </w:r>
      <w:proofErr w:type="spellStart"/>
      <w:r w:rsidRPr="00817FD3">
        <w:rPr>
          <w:rFonts w:ascii="Arial" w:hAnsi="Arial" w:cs="Arial"/>
          <w:b/>
          <w:bCs/>
          <w:sz w:val="20"/>
          <w:szCs w:val="20"/>
        </w:rPr>
        <w:t>Ateneo</w:t>
      </w:r>
      <w:proofErr w:type="spellEnd"/>
      <w:r w:rsidR="008A2F20" w:rsidRPr="00817FD3">
        <w:rPr>
          <w:rFonts w:ascii="Arial" w:hAnsi="Arial" w:cs="Arial"/>
          <w:b/>
          <w:bCs/>
          <w:sz w:val="20"/>
          <w:szCs w:val="20"/>
        </w:rPr>
        <w:t xml:space="preserve"> </w:t>
      </w:r>
      <w:r w:rsidRPr="00817FD3">
        <w:rPr>
          <w:rFonts w:ascii="Arial" w:hAnsi="Arial" w:cs="Arial"/>
          <w:b/>
          <w:bCs/>
          <w:sz w:val="20"/>
          <w:szCs w:val="20"/>
        </w:rPr>
        <w:t>Vita-Salute San Raffaele</w:t>
      </w:r>
      <w:r w:rsidR="008A2F20" w:rsidRPr="00817FD3">
        <w:rPr>
          <w:rFonts w:ascii="Arial" w:hAnsi="Arial" w:cs="Arial"/>
          <w:b/>
          <w:bCs/>
          <w:sz w:val="20"/>
          <w:szCs w:val="20"/>
        </w:rPr>
        <w:t xml:space="preserve"> </w:t>
      </w:r>
      <w:r w:rsidRPr="00817FD3">
        <w:rPr>
          <w:rFonts w:ascii="Arial" w:hAnsi="Arial" w:cs="Arial"/>
          <w:b/>
          <w:bCs/>
          <w:sz w:val="20"/>
          <w:szCs w:val="20"/>
        </w:rPr>
        <w:t xml:space="preserve">University </w:t>
      </w:r>
      <w:r w:rsidRPr="00817FD3">
        <w:rPr>
          <w:rFonts w:ascii="Arial" w:hAnsi="Arial" w:cs="Arial"/>
          <w:sz w:val="20"/>
          <w:szCs w:val="20"/>
        </w:rPr>
        <w:t>(Prof M Ponzoni MD)</w:t>
      </w:r>
      <w:r w:rsidRPr="00817FD3">
        <w:rPr>
          <w:rFonts w:ascii="Arial" w:hAnsi="Arial" w:cs="Arial"/>
          <w:b/>
          <w:bCs/>
          <w:sz w:val="20"/>
          <w:szCs w:val="20"/>
        </w:rPr>
        <w:t>,</w:t>
      </w:r>
      <w:r w:rsidR="008A2F20" w:rsidRPr="00817FD3">
        <w:rPr>
          <w:rFonts w:ascii="Arial" w:hAnsi="Arial" w:cs="Arial"/>
          <w:b/>
          <w:bCs/>
          <w:sz w:val="20"/>
          <w:szCs w:val="20"/>
        </w:rPr>
        <w:t xml:space="preserve"> </w:t>
      </w:r>
      <w:r w:rsidRPr="00817FD3">
        <w:rPr>
          <w:rFonts w:ascii="Arial" w:hAnsi="Arial" w:cs="Arial"/>
          <w:b/>
          <w:bCs/>
          <w:sz w:val="20"/>
          <w:szCs w:val="20"/>
        </w:rPr>
        <w:t xml:space="preserve">Pathology Unit </w:t>
      </w:r>
      <w:r w:rsidRPr="00817FD3">
        <w:rPr>
          <w:rFonts w:ascii="Arial" w:hAnsi="Arial" w:cs="Arial"/>
          <w:sz w:val="20"/>
          <w:szCs w:val="20"/>
        </w:rPr>
        <w:t>(Prof M Ponzoni)</w:t>
      </w:r>
      <w:r w:rsidRPr="00817FD3">
        <w:rPr>
          <w:rFonts w:ascii="Arial" w:hAnsi="Arial" w:cs="Arial"/>
          <w:b/>
          <w:bCs/>
          <w:sz w:val="20"/>
          <w:szCs w:val="20"/>
        </w:rPr>
        <w:t>,</w:t>
      </w:r>
      <w:r w:rsidR="008A2F20" w:rsidRPr="00817FD3">
        <w:rPr>
          <w:rFonts w:ascii="Arial" w:hAnsi="Arial" w:cs="Arial"/>
          <w:b/>
          <w:bCs/>
          <w:sz w:val="20"/>
          <w:szCs w:val="20"/>
        </w:rPr>
        <w:t xml:space="preserve"> </w:t>
      </w:r>
      <w:r w:rsidRPr="00817FD3">
        <w:rPr>
          <w:rFonts w:ascii="Arial" w:hAnsi="Arial" w:cs="Arial"/>
          <w:b/>
          <w:bCs/>
          <w:sz w:val="20"/>
          <w:szCs w:val="20"/>
        </w:rPr>
        <w:t>Unit of Neuroradiology</w:t>
      </w:r>
      <w:r w:rsidR="008A2F20" w:rsidRPr="00817FD3">
        <w:rPr>
          <w:rFonts w:ascii="Arial" w:hAnsi="Arial" w:cs="Arial"/>
          <w:b/>
          <w:bCs/>
          <w:sz w:val="20"/>
          <w:szCs w:val="20"/>
        </w:rPr>
        <w:t xml:space="preserve"> </w:t>
      </w:r>
      <w:r w:rsidRPr="00817FD3">
        <w:rPr>
          <w:rFonts w:ascii="Arial" w:hAnsi="Arial" w:cs="Arial"/>
          <w:sz w:val="20"/>
          <w:szCs w:val="20"/>
        </w:rPr>
        <w:t>(L S Politi MD)</w:t>
      </w:r>
      <w:r w:rsidRPr="00817FD3">
        <w:rPr>
          <w:rFonts w:ascii="Arial" w:hAnsi="Arial" w:cs="Arial"/>
          <w:b/>
          <w:bCs/>
          <w:sz w:val="20"/>
          <w:szCs w:val="20"/>
        </w:rPr>
        <w:t>, and Department</w:t>
      </w:r>
      <w:r w:rsidR="008A2F20" w:rsidRPr="00817FD3">
        <w:rPr>
          <w:rFonts w:ascii="Arial" w:hAnsi="Arial" w:cs="Arial"/>
          <w:b/>
          <w:bCs/>
          <w:sz w:val="20"/>
          <w:szCs w:val="20"/>
        </w:rPr>
        <w:t xml:space="preserve"> </w:t>
      </w:r>
      <w:r w:rsidRPr="00817FD3">
        <w:rPr>
          <w:rFonts w:ascii="Arial" w:hAnsi="Arial" w:cs="Arial"/>
          <w:b/>
          <w:bCs/>
          <w:sz w:val="20"/>
          <w:szCs w:val="20"/>
        </w:rPr>
        <w:t>of Medical Oncology</w:t>
      </w:r>
      <w:r w:rsidR="008A2F20" w:rsidRPr="00817FD3">
        <w:rPr>
          <w:rFonts w:ascii="Arial" w:hAnsi="Arial" w:cs="Arial"/>
          <w:b/>
          <w:bCs/>
          <w:sz w:val="20"/>
          <w:szCs w:val="20"/>
        </w:rPr>
        <w:t xml:space="preserve"> </w:t>
      </w:r>
      <w:r w:rsidRPr="00817FD3">
        <w:rPr>
          <w:rFonts w:ascii="Arial" w:hAnsi="Arial" w:cs="Arial"/>
          <w:sz w:val="20"/>
          <w:szCs w:val="20"/>
        </w:rPr>
        <w:t>(M Reni MD)</w:t>
      </w:r>
      <w:r w:rsidRPr="00817FD3">
        <w:rPr>
          <w:rFonts w:ascii="Arial" w:hAnsi="Arial" w:cs="Arial"/>
          <w:b/>
          <w:bCs/>
          <w:sz w:val="20"/>
          <w:szCs w:val="20"/>
        </w:rPr>
        <w:t>, IRCCS San Raffaele</w:t>
      </w:r>
      <w:r w:rsidR="008A2F20" w:rsidRPr="00817FD3">
        <w:rPr>
          <w:rFonts w:ascii="Arial" w:hAnsi="Arial" w:cs="Arial"/>
          <w:b/>
          <w:bCs/>
          <w:sz w:val="20"/>
          <w:szCs w:val="20"/>
        </w:rPr>
        <w:t xml:space="preserve"> </w:t>
      </w:r>
      <w:r w:rsidRPr="00817FD3">
        <w:rPr>
          <w:rFonts w:ascii="Arial" w:hAnsi="Arial" w:cs="Arial"/>
          <w:b/>
          <w:bCs/>
          <w:sz w:val="20"/>
          <w:szCs w:val="20"/>
        </w:rPr>
        <w:t>Scientific Institute, Milan, Italy;</w:t>
      </w:r>
      <w:r w:rsidR="008A2F20" w:rsidRPr="00817FD3">
        <w:rPr>
          <w:rFonts w:ascii="Arial" w:hAnsi="Arial" w:cs="Arial"/>
          <w:b/>
          <w:bCs/>
          <w:sz w:val="20"/>
          <w:szCs w:val="20"/>
        </w:rPr>
        <w:t xml:space="preserve"> </w:t>
      </w:r>
      <w:r w:rsidRPr="00817FD3">
        <w:rPr>
          <w:rFonts w:ascii="Arial" w:hAnsi="Arial" w:cs="Arial"/>
          <w:b/>
          <w:bCs/>
          <w:sz w:val="20"/>
          <w:szCs w:val="20"/>
        </w:rPr>
        <w:t>Royal Free Hospital/University</w:t>
      </w:r>
      <w:r w:rsidR="008A2F20" w:rsidRPr="00817FD3">
        <w:rPr>
          <w:rFonts w:ascii="Arial" w:hAnsi="Arial" w:cs="Arial"/>
          <w:b/>
          <w:bCs/>
          <w:sz w:val="20"/>
          <w:szCs w:val="20"/>
        </w:rPr>
        <w:t xml:space="preserve"> </w:t>
      </w:r>
      <w:r w:rsidRPr="00817FD3">
        <w:rPr>
          <w:rFonts w:ascii="Arial" w:hAnsi="Arial" w:cs="Arial"/>
          <w:b/>
          <w:bCs/>
          <w:sz w:val="20"/>
          <w:szCs w:val="20"/>
        </w:rPr>
        <w:t>College London Hospital,</w:t>
      </w:r>
      <w:r w:rsidR="008A2F20" w:rsidRPr="00817FD3">
        <w:rPr>
          <w:rFonts w:ascii="Arial" w:hAnsi="Arial" w:cs="Arial"/>
          <w:b/>
          <w:bCs/>
          <w:sz w:val="20"/>
          <w:szCs w:val="20"/>
        </w:rPr>
        <w:t xml:space="preserve"> </w:t>
      </w:r>
      <w:r w:rsidRPr="00817FD3">
        <w:rPr>
          <w:rFonts w:ascii="Arial" w:hAnsi="Arial" w:cs="Arial"/>
          <w:b/>
          <w:bCs/>
          <w:sz w:val="20"/>
          <w:szCs w:val="20"/>
        </w:rPr>
        <w:t xml:space="preserve">London, UK </w:t>
      </w:r>
      <w:r w:rsidRPr="00817FD3">
        <w:rPr>
          <w:rFonts w:ascii="Arial" w:hAnsi="Arial" w:cs="Arial"/>
          <w:sz w:val="20"/>
          <w:szCs w:val="20"/>
        </w:rPr>
        <w:t>(K Cwynarski MD)</w:t>
      </w:r>
      <w:r w:rsidRPr="00817FD3">
        <w:rPr>
          <w:rFonts w:ascii="Arial" w:hAnsi="Arial" w:cs="Arial"/>
          <w:b/>
          <w:bCs/>
          <w:sz w:val="20"/>
          <w:szCs w:val="20"/>
        </w:rPr>
        <w:t>;</w:t>
      </w:r>
      <w:r w:rsidR="008A2F20" w:rsidRPr="00817FD3">
        <w:rPr>
          <w:rFonts w:ascii="Arial" w:hAnsi="Arial" w:cs="Arial"/>
          <w:b/>
          <w:bCs/>
          <w:sz w:val="20"/>
          <w:szCs w:val="20"/>
        </w:rPr>
        <w:t xml:space="preserve"> </w:t>
      </w:r>
      <w:r w:rsidRPr="00817FD3">
        <w:rPr>
          <w:rFonts w:ascii="Arial" w:hAnsi="Arial" w:cs="Arial"/>
          <w:b/>
          <w:bCs/>
          <w:sz w:val="20"/>
          <w:szCs w:val="20"/>
        </w:rPr>
        <w:t>Aarhus University Hospital,</w:t>
      </w:r>
      <w:r w:rsidR="008A2F20" w:rsidRPr="00817FD3">
        <w:rPr>
          <w:rFonts w:ascii="Arial" w:hAnsi="Arial" w:cs="Arial"/>
          <w:b/>
          <w:bCs/>
          <w:sz w:val="20"/>
          <w:szCs w:val="20"/>
        </w:rPr>
        <w:t xml:space="preserve"> </w:t>
      </w:r>
      <w:r w:rsidRPr="00817FD3">
        <w:rPr>
          <w:rFonts w:ascii="Arial" w:hAnsi="Arial" w:cs="Arial"/>
          <w:b/>
          <w:bCs/>
          <w:sz w:val="20"/>
          <w:szCs w:val="20"/>
        </w:rPr>
        <w:t>Aarhus, Denmark</w:t>
      </w:r>
      <w:r w:rsidR="008A2F20" w:rsidRPr="00817FD3">
        <w:rPr>
          <w:rFonts w:ascii="Arial" w:hAnsi="Arial" w:cs="Arial"/>
          <w:b/>
          <w:bCs/>
          <w:sz w:val="20"/>
          <w:szCs w:val="20"/>
        </w:rPr>
        <w:t xml:space="preserve"> </w:t>
      </w:r>
      <w:r w:rsidRPr="00817FD3">
        <w:rPr>
          <w:rFonts w:ascii="Arial" w:hAnsi="Arial" w:cs="Arial"/>
          <w:sz w:val="20"/>
          <w:szCs w:val="20"/>
        </w:rPr>
        <w:t>(E Pulczynski MD)</w:t>
      </w:r>
      <w:r w:rsidRPr="00817FD3">
        <w:rPr>
          <w:rFonts w:ascii="Arial" w:hAnsi="Arial" w:cs="Arial"/>
          <w:b/>
          <w:bCs/>
          <w:sz w:val="20"/>
          <w:szCs w:val="20"/>
        </w:rPr>
        <w:t xml:space="preserve">; </w:t>
      </w:r>
      <w:r w:rsidR="008A2F20" w:rsidRPr="006F351E">
        <w:rPr>
          <w:rFonts w:ascii="Arial" w:hAnsi="Arial" w:cs="Arial"/>
          <w:b/>
          <w:bCs/>
          <w:sz w:val="20"/>
          <w:szCs w:val="20"/>
        </w:rPr>
        <w:t xml:space="preserve">University Hospitals NHS Trust, Nottingham, UK </w:t>
      </w:r>
      <w:r w:rsidR="008A2F20" w:rsidRPr="006F351E">
        <w:rPr>
          <w:rFonts w:ascii="Arial" w:hAnsi="Arial" w:cs="Arial"/>
          <w:sz w:val="20"/>
          <w:szCs w:val="20"/>
        </w:rPr>
        <w:t>(C P Fox MD)</w:t>
      </w:r>
      <w:r w:rsidR="008A2F20" w:rsidRPr="006F351E">
        <w:rPr>
          <w:rFonts w:ascii="Arial" w:hAnsi="Arial" w:cs="Arial"/>
          <w:b/>
          <w:bCs/>
          <w:sz w:val="20"/>
          <w:szCs w:val="20"/>
        </w:rPr>
        <w:t>;</w:t>
      </w:r>
      <w:r w:rsidR="008A2F20" w:rsidRPr="008A2F20">
        <w:rPr>
          <w:rFonts w:ascii="Arial" w:hAnsi="Arial" w:cs="Arial"/>
          <w:b/>
          <w:bCs/>
          <w:sz w:val="20"/>
          <w:szCs w:val="20"/>
        </w:rPr>
        <w:t xml:space="preserve"> </w:t>
      </w:r>
      <w:proofErr w:type="spellStart"/>
      <w:r w:rsidR="008A2F20" w:rsidRPr="00821B5D">
        <w:rPr>
          <w:rFonts w:ascii="Arial" w:hAnsi="Arial" w:cs="Arial"/>
          <w:b/>
          <w:bCs/>
          <w:sz w:val="20"/>
          <w:szCs w:val="20"/>
        </w:rPr>
        <w:t>Uniklinik</w:t>
      </w:r>
      <w:proofErr w:type="spellEnd"/>
      <w:r w:rsidR="008A2F20" w:rsidRPr="00821B5D">
        <w:rPr>
          <w:rFonts w:ascii="Arial" w:hAnsi="Arial" w:cs="Arial"/>
          <w:b/>
          <w:bCs/>
          <w:sz w:val="20"/>
          <w:szCs w:val="20"/>
        </w:rPr>
        <w:t xml:space="preserve"> Freiburg, Freiburg, Germany </w:t>
      </w:r>
      <w:r w:rsidR="008A2F20" w:rsidRPr="00821B5D">
        <w:rPr>
          <w:rFonts w:ascii="Arial" w:hAnsi="Arial" w:cs="Arial"/>
          <w:sz w:val="20"/>
          <w:szCs w:val="20"/>
        </w:rPr>
        <w:t>(E Schorb MD, J Finke MD)</w:t>
      </w:r>
      <w:r w:rsidR="008A2F20" w:rsidRPr="00821B5D">
        <w:rPr>
          <w:rFonts w:ascii="Arial" w:hAnsi="Arial" w:cs="Arial"/>
          <w:b/>
          <w:bCs/>
          <w:sz w:val="20"/>
          <w:szCs w:val="20"/>
        </w:rPr>
        <w:t>;</w:t>
      </w:r>
      <w:r w:rsidR="008A2F20" w:rsidRPr="008A2F20">
        <w:rPr>
          <w:rFonts w:ascii="Arial" w:hAnsi="Arial" w:cs="Arial"/>
          <w:b/>
          <w:bCs/>
          <w:sz w:val="20"/>
          <w:szCs w:val="20"/>
        </w:rPr>
        <w:t xml:space="preserve"> </w:t>
      </w:r>
      <w:proofErr w:type="spellStart"/>
      <w:r w:rsidR="008A2F20" w:rsidRPr="003A51A6">
        <w:rPr>
          <w:rFonts w:ascii="Arial" w:hAnsi="Arial" w:cs="Arial"/>
          <w:b/>
          <w:bCs/>
          <w:sz w:val="20"/>
          <w:szCs w:val="20"/>
        </w:rPr>
        <w:t>Universitätsklinikum</w:t>
      </w:r>
      <w:proofErr w:type="spellEnd"/>
      <w:r w:rsidR="008A2F20" w:rsidRPr="003A51A6">
        <w:rPr>
          <w:rFonts w:ascii="Arial" w:hAnsi="Arial" w:cs="Arial"/>
          <w:b/>
          <w:bCs/>
          <w:sz w:val="20"/>
          <w:szCs w:val="20"/>
        </w:rPr>
        <w:t xml:space="preserve"> Jena, Jena, Germany </w:t>
      </w:r>
      <w:r w:rsidR="008A2F20" w:rsidRPr="003A51A6">
        <w:rPr>
          <w:rFonts w:ascii="Arial" w:hAnsi="Arial" w:cs="Arial"/>
          <w:sz w:val="20"/>
          <w:szCs w:val="20"/>
        </w:rPr>
        <w:t xml:space="preserve">(P La </w:t>
      </w:r>
      <w:proofErr w:type="spellStart"/>
      <w:r w:rsidR="008A2F20" w:rsidRPr="003A51A6">
        <w:rPr>
          <w:rFonts w:ascii="Arial" w:hAnsi="Arial" w:cs="Arial"/>
          <w:sz w:val="20"/>
          <w:szCs w:val="20"/>
        </w:rPr>
        <w:t>Rosée</w:t>
      </w:r>
      <w:proofErr w:type="spellEnd"/>
      <w:r w:rsidR="008A2F20" w:rsidRPr="003A51A6">
        <w:rPr>
          <w:rFonts w:ascii="Arial" w:hAnsi="Arial" w:cs="Arial"/>
          <w:sz w:val="20"/>
          <w:szCs w:val="20"/>
        </w:rPr>
        <w:t xml:space="preserve"> MD)</w:t>
      </w:r>
      <w:r w:rsidR="008A2F20" w:rsidRPr="003A51A6">
        <w:rPr>
          <w:rFonts w:ascii="Arial" w:hAnsi="Arial" w:cs="Arial"/>
          <w:b/>
          <w:bCs/>
          <w:sz w:val="20"/>
          <w:szCs w:val="20"/>
        </w:rPr>
        <w:t>;</w:t>
      </w:r>
      <w:r w:rsidR="008A2F20" w:rsidRPr="008A2F20">
        <w:rPr>
          <w:rFonts w:ascii="Arial" w:hAnsi="Arial" w:cs="Arial"/>
          <w:b/>
          <w:bCs/>
          <w:sz w:val="20"/>
          <w:szCs w:val="20"/>
        </w:rPr>
        <w:t xml:space="preserve"> </w:t>
      </w:r>
      <w:r w:rsidR="008A2F20" w:rsidRPr="007E5AEF">
        <w:rPr>
          <w:rFonts w:ascii="Arial" w:hAnsi="Arial" w:cs="Arial"/>
          <w:b/>
          <w:bCs/>
          <w:sz w:val="20"/>
          <w:szCs w:val="20"/>
        </w:rPr>
        <w:t xml:space="preserve">Uke </w:t>
      </w:r>
      <w:proofErr w:type="spellStart"/>
      <w:r w:rsidR="008A2F20" w:rsidRPr="007E5AEF">
        <w:rPr>
          <w:rFonts w:ascii="Arial" w:hAnsi="Arial" w:cs="Arial"/>
          <w:b/>
          <w:bCs/>
          <w:sz w:val="20"/>
          <w:szCs w:val="20"/>
        </w:rPr>
        <w:t>Universitätsklinikum</w:t>
      </w:r>
      <w:proofErr w:type="spellEnd"/>
      <w:r w:rsidR="008A2F20" w:rsidRPr="007E5AEF">
        <w:rPr>
          <w:rFonts w:ascii="Arial" w:hAnsi="Arial" w:cs="Arial"/>
          <w:b/>
          <w:bCs/>
          <w:sz w:val="20"/>
          <w:szCs w:val="20"/>
        </w:rPr>
        <w:t xml:space="preserve"> Hamburg-Eppendorf, Hamburg, Germany </w:t>
      </w:r>
      <w:r w:rsidR="008A2F20" w:rsidRPr="007E5AEF">
        <w:rPr>
          <w:rFonts w:ascii="Arial" w:hAnsi="Arial" w:cs="Arial"/>
          <w:sz w:val="20"/>
          <w:szCs w:val="20"/>
        </w:rPr>
        <w:t>(Prof M Binder MD)</w:t>
      </w:r>
      <w:r w:rsidR="008A2F20" w:rsidRPr="007E5AEF">
        <w:rPr>
          <w:rFonts w:ascii="Arial" w:hAnsi="Arial" w:cs="Arial"/>
          <w:b/>
          <w:bCs/>
          <w:sz w:val="20"/>
          <w:szCs w:val="20"/>
        </w:rPr>
        <w:t>;</w:t>
      </w:r>
      <w:r w:rsidR="00642A6B" w:rsidRPr="00642A6B">
        <w:rPr>
          <w:rFonts w:ascii="Arial" w:hAnsi="Arial" w:cs="Arial"/>
          <w:b/>
          <w:bCs/>
          <w:sz w:val="20"/>
          <w:szCs w:val="20"/>
        </w:rPr>
        <w:t xml:space="preserve"> </w:t>
      </w:r>
      <w:proofErr w:type="spellStart"/>
      <w:r w:rsidR="00642A6B" w:rsidRPr="00A91F2D">
        <w:rPr>
          <w:rFonts w:ascii="Arial" w:hAnsi="Arial" w:cs="Arial"/>
          <w:b/>
          <w:bCs/>
          <w:sz w:val="20"/>
          <w:szCs w:val="20"/>
        </w:rPr>
        <w:t>Azienda</w:t>
      </w:r>
      <w:proofErr w:type="spellEnd"/>
      <w:r w:rsidR="00642A6B" w:rsidRPr="00A91F2D">
        <w:rPr>
          <w:rFonts w:ascii="Arial" w:hAnsi="Arial" w:cs="Arial"/>
          <w:b/>
          <w:bCs/>
          <w:sz w:val="20"/>
          <w:szCs w:val="20"/>
        </w:rPr>
        <w:t xml:space="preserve"> </w:t>
      </w:r>
      <w:proofErr w:type="spellStart"/>
      <w:r w:rsidR="00642A6B" w:rsidRPr="00A91F2D">
        <w:rPr>
          <w:rFonts w:ascii="Arial" w:hAnsi="Arial" w:cs="Arial"/>
          <w:b/>
          <w:bCs/>
          <w:sz w:val="20"/>
          <w:szCs w:val="20"/>
        </w:rPr>
        <w:t>Ospedaliera</w:t>
      </w:r>
      <w:proofErr w:type="spellEnd"/>
      <w:r w:rsidR="00642A6B" w:rsidRPr="00A91F2D">
        <w:rPr>
          <w:rFonts w:ascii="Arial" w:hAnsi="Arial" w:cs="Arial"/>
          <w:b/>
          <w:bCs/>
          <w:sz w:val="20"/>
          <w:szCs w:val="20"/>
        </w:rPr>
        <w:t xml:space="preserve"> </w:t>
      </w:r>
      <w:proofErr w:type="spellStart"/>
      <w:r w:rsidR="00642A6B" w:rsidRPr="00A91F2D">
        <w:rPr>
          <w:rFonts w:ascii="Arial" w:hAnsi="Arial" w:cs="Arial"/>
          <w:b/>
          <w:bCs/>
          <w:sz w:val="20"/>
          <w:szCs w:val="20"/>
        </w:rPr>
        <w:t>Università</w:t>
      </w:r>
      <w:proofErr w:type="spellEnd"/>
      <w:r w:rsidR="00642A6B" w:rsidRPr="00A91F2D">
        <w:rPr>
          <w:rFonts w:ascii="Arial" w:hAnsi="Arial" w:cs="Arial"/>
          <w:b/>
          <w:bCs/>
          <w:sz w:val="20"/>
          <w:szCs w:val="20"/>
        </w:rPr>
        <w:t xml:space="preserve"> </w:t>
      </w:r>
      <w:proofErr w:type="spellStart"/>
      <w:r w:rsidR="00642A6B" w:rsidRPr="00A91F2D">
        <w:rPr>
          <w:rFonts w:ascii="Arial" w:hAnsi="Arial" w:cs="Arial"/>
          <w:b/>
          <w:bCs/>
          <w:sz w:val="20"/>
          <w:szCs w:val="20"/>
        </w:rPr>
        <w:t>Senese</w:t>
      </w:r>
      <w:proofErr w:type="spellEnd"/>
      <w:r w:rsidR="00642A6B" w:rsidRPr="00A91F2D">
        <w:rPr>
          <w:rFonts w:ascii="Arial" w:hAnsi="Arial" w:cs="Arial"/>
          <w:b/>
          <w:bCs/>
          <w:sz w:val="20"/>
          <w:szCs w:val="20"/>
        </w:rPr>
        <w:t xml:space="preserve">, Siena, Italy </w:t>
      </w:r>
      <w:r w:rsidR="00642A6B" w:rsidRPr="00A91F2D">
        <w:rPr>
          <w:rFonts w:ascii="Arial" w:hAnsi="Arial" w:cs="Arial"/>
          <w:sz w:val="20"/>
          <w:szCs w:val="20"/>
        </w:rPr>
        <w:t>(A Fabbri MD)</w:t>
      </w:r>
      <w:r w:rsidR="00642A6B" w:rsidRPr="00A91F2D">
        <w:rPr>
          <w:rFonts w:ascii="Arial" w:hAnsi="Arial" w:cs="Arial"/>
          <w:b/>
          <w:bCs/>
          <w:sz w:val="20"/>
          <w:szCs w:val="20"/>
        </w:rPr>
        <w:t>;</w:t>
      </w:r>
      <w:r w:rsidR="00642A6B" w:rsidRPr="00642A6B">
        <w:rPr>
          <w:rFonts w:ascii="Arial" w:hAnsi="Arial" w:cs="Arial"/>
          <w:b/>
          <w:bCs/>
          <w:sz w:val="20"/>
          <w:szCs w:val="20"/>
        </w:rPr>
        <w:t xml:space="preserve"> </w:t>
      </w:r>
      <w:r w:rsidR="00642A6B" w:rsidRPr="0038074A">
        <w:rPr>
          <w:rFonts w:ascii="Arial" w:hAnsi="Arial" w:cs="Arial"/>
          <w:b/>
          <w:bCs/>
          <w:sz w:val="20"/>
          <w:szCs w:val="20"/>
        </w:rPr>
        <w:t xml:space="preserve">IRCCS </w:t>
      </w:r>
      <w:proofErr w:type="spellStart"/>
      <w:r w:rsidR="00642A6B" w:rsidRPr="0038074A">
        <w:rPr>
          <w:rFonts w:ascii="Arial" w:hAnsi="Arial" w:cs="Arial"/>
          <w:b/>
          <w:bCs/>
          <w:sz w:val="20"/>
          <w:szCs w:val="20"/>
        </w:rPr>
        <w:t>Istituto</w:t>
      </w:r>
      <w:proofErr w:type="spellEnd"/>
      <w:r w:rsidR="00642A6B" w:rsidRPr="0038074A">
        <w:rPr>
          <w:rFonts w:ascii="Arial" w:hAnsi="Arial" w:cs="Arial"/>
          <w:b/>
          <w:bCs/>
          <w:sz w:val="20"/>
          <w:szCs w:val="20"/>
        </w:rPr>
        <w:t xml:space="preserve"> di </w:t>
      </w:r>
      <w:proofErr w:type="spellStart"/>
      <w:r w:rsidR="00642A6B" w:rsidRPr="0038074A">
        <w:rPr>
          <w:rFonts w:ascii="Arial" w:hAnsi="Arial" w:cs="Arial"/>
          <w:b/>
          <w:bCs/>
          <w:sz w:val="20"/>
          <w:szCs w:val="20"/>
        </w:rPr>
        <w:t>Ricerche</w:t>
      </w:r>
      <w:proofErr w:type="spellEnd"/>
      <w:r w:rsidR="00642A6B" w:rsidRPr="0038074A">
        <w:rPr>
          <w:rFonts w:ascii="Arial" w:hAnsi="Arial" w:cs="Arial"/>
          <w:b/>
          <w:bCs/>
          <w:sz w:val="20"/>
          <w:szCs w:val="20"/>
        </w:rPr>
        <w:t xml:space="preserve"> </w:t>
      </w:r>
      <w:proofErr w:type="spellStart"/>
      <w:r w:rsidR="00642A6B" w:rsidRPr="0038074A">
        <w:rPr>
          <w:rFonts w:ascii="Arial" w:hAnsi="Arial" w:cs="Arial"/>
          <w:b/>
          <w:bCs/>
          <w:sz w:val="20"/>
          <w:szCs w:val="20"/>
        </w:rPr>
        <w:t>Farmacologiche</w:t>
      </w:r>
      <w:proofErr w:type="spellEnd"/>
      <w:r w:rsidR="00642A6B" w:rsidRPr="0038074A">
        <w:rPr>
          <w:rFonts w:ascii="Arial" w:hAnsi="Arial" w:cs="Arial"/>
          <w:b/>
          <w:bCs/>
          <w:sz w:val="20"/>
          <w:szCs w:val="20"/>
        </w:rPr>
        <w:t xml:space="preserve"> Mario </w:t>
      </w:r>
      <w:proofErr w:type="spellStart"/>
      <w:r w:rsidR="00642A6B" w:rsidRPr="0038074A">
        <w:rPr>
          <w:rFonts w:ascii="Arial" w:hAnsi="Arial" w:cs="Arial"/>
          <w:b/>
          <w:bCs/>
          <w:sz w:val="20"/>
          <w:szCs w:val="20"/>
        </w:rPr>
        <w:t>Negri</w:t>
      </w:r>
      <w:proofErr w:type="spellEnd"/>
      <w:r w:rsidR="00642A6B" w:rsidRPr="0038074A">
        <w:rPr>
          <w:rFonts w:ascii="Arial" w:hAnsi="Arial" w:cs="Arial"/>
          <w:b/>
          <w:bCs/>
          <w:sz w:val="20"/>
          <w:szCs w:val="20"/>
        </w:rPr>
        <w:t xml:space="preserve">, Milan, Italy </w:t>
      </w:r>
      <w:r w:rsidR="00642A6B" w:rsidRPr="0038074A">
        <w:rPr>
          <w:rFonts w:ascii="Arial" w:hAnsi="Arial" w:cs="Arial"/>
          <w:sz w:val="20"/>
          <w:szCs w:val="20"/>
        </w:rPr>
        <w:t>(V Torri MD)</w:t>
      </w:r>
      <w:r w:rsidR="00642A6B" w:rsidRPr="0038074A">
        <w:rPr>
          <w:rFonts w:ascii="Arial" w:hAnsi="Arial" w:cs="Arial"/>
          <w:b/>
          <w:bCs/>
          <w:sz w:val="20"/>
          <w:szCs w:val="20"/>
        </w:rPr>
        <w:t>;</w:t>
      </w:r>
      <w:r w:rsidR="00642A6B" w:rsidRPr="00642A6B">
        <w:rPr>
          <w:rFonts w:ascii="Arial" w:hAnsi="Arial" w:cs="Arial"/>
          <w:b/>
          <w:bCs/>
          <w:sz w:val="20"/>
          <w:szCs w:val="20"/>
        </w:rPr>
        <w:t xml:space="preserve"> </w:t>
      </w:r>
      <w:proofErr w:type="spellStart"/>
      <w:r w:rsidR="00642A6B" w:rsidRPr="00770FA1">
        <w:rPr>
          <w:rFonts w:ascii="Arial" w:hAnsi="Arial" w:cs="Arial"/>
          <w:b/>
          <w:bCs/>
          <w:sz w:val="20"/>
          <w:szCs w:val="20"/>
        </w:rPr>
        <w:t>Azienda</w:t>
      </w:r>
      <w:proofErr w:type="spellEnd"/>
      <w:r w:rsidR="00642A6B" w:rsidRPr="00770FA1">
        <w:rPr>
          <w:rFonts w:ascii="Arial" w:hAnsi="Arial" w:cs="Arial"/>
          <w:b/>
          <w:bCs/>
          <w:sz w:val="20"/>
          <w:szCs w:val="20"/>
        </w:rPr>
        <w:t xml:space="preserve"> </w:t>
      </w:r>
      <w:proofErr w:type="spellStart"/>
      <w:r w:rsidR="00642A6B" w:rsidRPr="00770FA1">
        <w:rPr>
          <w:rFonts w:ascii="Arial" w:hAnsi="Arial" w:cs="Arial"/>
          <w:b/>
          <w:bCs/>
          <w:sz w:val="20"/>
          <w:szCs w:val="20"/>
        </w:rPr>
        <w:t>Ospedaliera</w:t>
      </w:r>
      <w:proofErr w:type="spellEnd"/>
      <w:r w:rsidR="00642A6B" w:rsidRPr="00770FA1">
        <w:rPr>
          <w:rFonts w:ascii="Arial" w:hAnsi="Arial" w:cs="Arial"/>
          <w:b/>
          <w:bCs/>
          <w:sz w:val="20"/>
          <w:szCs w:val="20"/>
        </w:rPr>
        <w:t xml:space="preserve"> </w:t>
      </w:r>
      <w:proofErr w:type="spellStart"/>
      <w:r w:rsidR="00642A6B" w:rsidRPr="00770FA1">
        <w:rPr>
          <w:rFonts w:ascii="Arial" w:hAnsi="Arial" w:cs="Arial"/>
          <w:b/>
          <w:bCs/>
          <w:sz w:val="20"/>
          <w:szCs w:val="20"/>
        </w:rPr>
        <w:t>Arcispedale</w:t>
      </w:r>
      <w:proofErr w:type="spellEnd"/>
      <w:r w:rsidR="00642A6B" w:rsidRPr="00770FA1">
        <w:rPr>
          <w:rFonts w:ascii="Arial" w:hAnsi="Arial" w:cs="Arial"/>
          <w:b/>
          <w:bCs/>
          <w:sz w:val="20"/>
          <w:szCs w:val="20"/>
        </w:rPr>
        <w:t xml:space="preserve"> Santa Maria Nuova IRCCS, Reggio Emilia, Italy </w:t>
      </w:r>
      <w:r w:rsidR="00642A6B" w:rsidRPr="00770FA1">
        <w:rPr>
          <w:rFonts w:ascii="Arial" w:hAnsi="Arial" w:cs="Arial"/>
          <w:sz w:val="20"/>
          <w:szCs w:val="20"/>
        </w:rPr>
        <w:t>(</w:t>
      </w:r>
      <w:r w:rsidR="00642A6B">
        <w:rPr>
          <w:rFonts w:ascii="Arial" w:hAnsi="Arial" w:cs="Arial"/>
          <w:sz w:val="20"/>
          <w:szCs w:val="20"/>
        </w:rPr>
        <w:t>F</w:t>
      </w:r>
      <w:r w:rsidR="00642A6B" w:rsidRPr="00770FA1">
        <w:rPr>
          <w:rFonts w:ascii="Arial" w:hAnsi="Arial" w:cs="Arial"/>
          <w:sz w:val="20"/>
          <w:szCs w:val="20"/>
        </w:rPr>
        <w:t xml:space="preserve"> </w:t>
      </w:r>
      <w:r w:rsidR="00642A6B">
        <w:rPr>
          <w:rFonts w:ascii="Arial" w:hAnsi="Arial" w:cs="Arial"/>
          <w:sz w:val="20"/>
          <w:szCs w:val="20"/>
        </w:rPr>
        <w:t>Ilariucci</w:t>
      </w:r>
      <w:r w:rsidR="00642A6B" w:rsidRPr="00770FA1">
        <w:rPr>
          <w:rFonts w:ascii="Arial" w:hAnsi="Arial" w:cs="Arial"/>
          <w:sz w:val="20"/>
          <w:szCs w:val="20"/>
        </w:rPr>
        <w:t xml:space="preserve"> MD)</w:t>
      </w:r>
      <w:r w:rsidR="00642A6B" w:rsidRPr="00770FA1">
        <w:rPr>
          <w:rFonts w:ascii="Arial" w:hAnsi="Arial" w:cs="Arial"/>
          <w:b/>
          <w:bCs/>
          <w:sz w:val="20"/>
          <w:szCs w:val="20"/>
        </w:rPr>
        <w:t>;</w:t>
      </w:r>
      <w:r w:rsidR="00642A6B" w:rsidRPr="00642A6B">
        <w:rPr>
          <w:rFonts w:ascii="Arial" w:hAnsi="Arial" w:cs="Arial"/>
          <w:b/>
          <w:bCs/>
          <w:sz w:val="20"/>
          <w:szCs w:val="20"/>
        </w:rPr>
        <w:t xml:space="preserve"> </w:t>
      </w:r>
      <w:proofErr w:type="spellStart"/>
      <w:r w:rsidR="00642A6B" w:rsidRPr="00C32BFC">
        <w:rPr>
          <w:rFonts w:ascii="Arial" w:hAnsi="Arial" w:cs="Arial"/>
          <w:b/>
          <w:bCs/>
          <w:sz w:val="20"/>
          <w:szCs w:val="20"/>
        </w:rPr>
        <w:t>Dipartimento</w:t>
      </w:r>
      <w:proofErr w:type="spellEnd"/>
      <w:r w:rsidR="00642A6B" w:rsidRPr="00C32BFC">
        <w:rPr>
          <w:rFonts w:ascii="Arial" w:hAnsi="Arial" w:cs="Arial"/>
          <w:b/>
          <w:bCs/>
          <w:sz w:val="20"/>
          <w:szCs w:val="20"/>
        </w:rPr>
        <w:t xml:space="preserve"> di Medicina, </w:t>
      </w:r>
      <w:proofErr w:type="spellStart"/>
      <w:r w:rsidR="00642A6B" w:rsidRPr="00C32BFC">
        <w:rPr>
          <w:rFonts w:ascii="Arial" w:hAnsi="Arial" w:cs="Arial"/>
          <w:b/>
          <w:bCs/>
          <w:sz w:val="20"/>
          <w:szCs w:val="20"/>
        </w:rPr>
        <w:t>Sezione</w:t>
      </w:r>
      <w:proofErr w:type="spellEnd"/>
      <w:r w:rsidR="00642A6B" w:rsidRPr="00C32BFC">
        <w:rPr>
          <w:rFonts w:ascii="Arial" w:hAnsi="Arial" w:cs="Arial"/>
          <w:b/>
          <w:bCs/>
          <w:sz w:val="20"/>
          <w:szCs w:val="20"/>
        </w:rPr>
        <w:t xml:space="preserve"> di Ematologia, </w:t>
      </w:r>
      <w:proofErr w:type="spellStart"/>
      <w:r w:rsidR="00642A6B" w:rsidRPr="00C32BFC">
        <w:rPr>
          <w:rFonts w:ascii="Arial" w:hAnsi="Arial" w:cs="Arial"/>
          <w:b/>
          <w:bCs/>
          <w:sz w:val="20"/>
          <w:szCs w:val="20"/>
        </w:rPr>
        <w:t>Università</w:t>
      </w:r>
      <w:proofErr w:type="spellEnd"/>
      <w:r w:rsidR="00642A6B" w:rsidRPr="00C32BFC">
        <w:rPr>
          <w:rFonts w:ascii="Arial" w:hAnsi="Arial" w:cs="Arial"/>
          <w:b/>
          <w:bCs/>
          <w:sz w:val="20"/>
          <w:szCs w:val="20"/>
        </w:rPr>
        <w:t xml:space="preserve"> di Verona, Verona, Italy </w:t>
      </w:r>
      <w:r w:rsidR="00642A6B" w:rsidRPr="00C32BFC">
        <w:rPr>
          <w:rFonts w:ascii="Arial" w:hAnsi="Arial" w:cs="Arial"/>
          <w:sz w:val="20"/>
          <w:szCs w:val="20"/>
        </w:rPr>
        <w:t>(Prof A Ambrosetti MD)</w:t>
      </w:r>
      <w:r w:rsidR="00642A6B" w:rsidRPr="00C32BFC">
        <w:rPr>
          <w:rFonts w:ascii="Arial" w:hAnsi="Arial" w:cs="Arial"/>
          <w:b/>
          <w:bCs/>
          <w:sz w:val="20"/>
          <w:szCs w:val="20"/>
        </w:rPr>
        <w:t>;</w:t>
      </w:r>
      <w:r w:rsidR="00642A6B" w:rsidRPr="00642A6B">
        <w:rPr>
          <w:rFonts w:ascii="Arial" w:hAnsi="Arial" w:cs="Arial"/>
          <w:b/>
          <w:bCs/>
          <w:sz w:val="20"/>
          <w:szCs w:val="20"/>
        </w:rPr>
        <w:t xml:space="preserve"> </w:t>
      </w:r>
      <w:proofErr w:type="spellStart"/>
      <w:r w:rsidR="00642A6B" w:rsidRPr="00F02DE1">
        <w:rPr>
          <w:rFonts w:ascii="Arial" w:hAnsi="Arial" w:cs="Arial"/>
          <w:b/>
          <w:bCs/>
          <w:sz w:val="20"/>
          <w:szCs w:val="20"/>
        </w:rPr>
        <w:t>Universitatsklinikum</w:t>
      </w:r>
      <w:proofErr w:type="spellEnd"/>
      <w:r w:rsidR="00642A6B" w:rsidRPr="00F02DE1">
        <w:rPr>
          <w:rFonts w:ascii="Arial" w:hAnsi="Arial" w:cs="Arial"/>
          <w:b/>
          <w:bCs/>
          <w:sz w:val="20"/>
          <w:szCs w:val="20"/>
        </w:rPr>
        <w:t xml:space="preserve"> Essen, Essen, Germany </w:t>
      </w:r>
      <w:r w:rsidR="00642A6B" w:rsidRPr="00F02DE1">
        <w:rPr>
          <w:rFonts w:ascii="Arial" w:hAnsi="Arial" w:cs="Arial"/>
          <w:sz w:val="20"/>
          <w:szCs w:val="20"/>
        </w:rPr>
        <w:t>(A Roth MD)</w:t>
      </w:r>
      <w:r w:rsidR="00642A6B" w:rsidRPr="00F02DE1">
        <w:rPr>
          <w:rFonts w:ascii="Arial" w:hAnsi="Arial" w:cs="Arial"/>
          <w:b/>
          <w:bCs/>
          <w:sz w:val="20"/>
          <w:szCs w:val="20"/>
        </w:rPr>
        <w:t>;</w:t>
      </w:r>
      <w:r w:rsidR="00642A6B" w:rsidRPr="00642A6B">
        <w:rPr>
          <w:rFonts w:ascii="Arial" w:hAnsi="Arial" w:cs="Arial"/>
          <w:b/>
          <w:bCs/>
          <w:sz w:val="20"/>
          <w:szCs w:val="20"/>
        </w:rPr>
        <w:t xml:space="preserve"> </w:t>
      </w:r>
      <w:r w:rsidR="00642A6B" w:rsidRPr="00497996">
        <w:rPr>
          <w:rFonts w:ascii="Arial" w:hAnsi="Arial" w:cs="Arial"/>
          <w:b/>
          <w:bCs/>
          <w:sz w:val="20"/>
          <w:szCs w:val="20"/>
        </w:rPr>
        <w:t xml:space="preserve">Queen’s Hospital, </w:t>
      </w:r>
      <w:proofErr w:type="spellStart"/>
      <w:r w:rsidR="00642A6B" w:rsidRPr="00497996">
        <w:rPr>
          <w:rFonts w:ascii="Arial" w:hAnsi="Arial" w:cs="Arial"/>
          <w:b/>
          <w:bCs/>
          <w:sz w:val="20"/>
          <w:szCs w:val="20"/>
        </w:rPr>
        <w:t>Romford</w:t>
      </w:r>
      <w:proofErr w:type="spellEnd"/>
      <w:r w:rsidR="00642A6B" w:rsidRPr="00497996">
        <w:rPr>
          <w:rFonts w:ascii="Arial" w:hAnsi="Arial" w:cs="Arial"/>
          <w:b/>
          <w:bCs/>
          <w:sz w:val="20"/>
          <w:szCs w:val="20"/>
        </w:rPr>
        <w:t>, UK</w:t>
      </w:r>
      <w:r w:rsidR="00642A6B" w:rsidRPr="00497996">
        <w:rPr>
          <w:rFonts w:ascii="Arial" w:hAnsi="Arial" w:cs="Arial"/>
          <w:sz w:val="20"/>
          <w:szCs w:val="20"/>
        </w:rPr>
        <w:t xml:space="preserve"> (C </w:t>
      </w:r>
      <w:proofErr w:type="spellStart"/>
      <w:r w:rsidR="00642A6B" w:rsidRPr="00497996">
        <w:rPr>
          <w:rFonts w:ascii="Arial" w:hAnsi="Arial" w:cs="Arial"/>
          <w:sz w:val="20"/>
          <w:szCs w:val="20"/>
        </w:rPr>
        <w:t>Hemmaway</w:t>
      </w:r>
      <w:proofErr w:type="spellEnd"/>
      <w:r w:rsidR="00642A6B" w:rsidRPr="00497996">
        <w:rPr>
          <w:rFonts w:ascii="Arial" w:hAnsi="Arial" w:cs="Arial"/>
          <w:sz w:val="20"/>
          <w:szCs w:val="20"/>
        </w:rPr>
        <w:t xml:space="preserve"> MD)</w:t>
      </w:r>
      <w:r w:rsidR="00642A6B" w:rsidRPr="00497996">
        <w:rPr>
          <w:rFonts w:ascii="Arial" w:hAnsi="Arial" w:cs="Arial"/>
          <w:b/>
          <w:bCs/>
          <w:sz w:val="20"/>
          <w:szCs w:val="20"/>
        </w:rPr>
        <w:t>;</w:t>
      </w:r>
      <w:r w:rsidR="00642A6B" w:rsidRPr="00642A6B">
        <w:rPr>
          <w:rFonts w:ascii="Arial" w:hAnsi="Arial" w:cs="Arial"/>
          <w:b/>
          <w:bCs/>
          <w:sz w:val="20"/>
          <w:szCs w:val="20"/>
        </w:rPr>
        <w:t xml:space="preserve"> </w:t>
      </w:r>
      <w:r w:rsidR="00642A6B" w:rsidRPr="00585AD3">
        <w:rPr>
          <w:rFonts w:ascii="Arial" w:hAnsi="Arial" w:cs="Arial"/>
          <w:b/>
          <w:bCs/>
          <w:sz w:val="20"/>
          <w:szCs w:val="20"/>
        </w:rPr>
        <w:t xml:space="preserve">Medical Oncology Unit, Southampton General Hospital, Southampton, UK </w:t>
      </w:r>
      <w:r w:rsidR="00642A6B" w:rsidRPr="00585AD3">
        <w:rPr>
          <w:rFonts w:ascii="Arial" w:hAnsi="Arial" w:cs="Arial"/>
          <w:sz w:val="20"/>
          <w:szCs w:val="20"/>
        </w:rPr>
        <w:t>(Prof P Johnson MD)</w:t>
      </w:r>
      <w:r w:rsidR="00642A6B" w:rsidRPr="00585AD3">
        <w:rPr>
          <w:rFonts w:ascii="Arial" w:hAnsi="Arial" w:cs="Arial"/>
          <w:b/>
          <w:bCs/>
          <w:sz w:val="20"/>
          <w:szCs w:val="20"/>
        </w:rPr>
        <w:t>;</w:t>
      </w:r>
      <w:r w:rsidR="00642A6B" w:rsidRPr="00642A6B">
        <w:rPr>
          <w:rFonts w:ascii="Arial" w:hAnsi="Arial" w:cs="Arial"/>
          <w:b/>
          <w:bCs/>
          <w:sz w:val="20"/>
          <w:szCs w:val="20"/>
        </w:rPr>
        <w:t xml:space="preserve"> </w:t>
      </w:r>
      <w:r w:rsidR="00642A6B" w:rsidRPr="0082558C">
        <w:rPr>
          <w:rFonts w:ascii="Arial" w:hAnsi="Arial" w:cs="Arial"/>
          <w:b/>
          <w:bCs/>
          <w:sz w:val="20"/>
          <w:szCs w:val="20"/>
        </w:rPr>
        <w:t xml:space="preserve">The Christie Hospital NHS Foundation Trust, Manchester, UK </w:t>
      </w:r>
      <w:r w:rsidR="00642A6B" w:rsidRPr="0082558C">
        <w:rPr>
          <w:rFonts w:ascii="Arial" w:hAnsi="Arial" w:cs="Arial"/>
          <w:sz w:val="20"/>
          <w:szCs w:val="20"/>
        </w:rPr>
        <w:t>(K M Linton PhD)</w:t>
      </w:r>
      <w:r w:rsidR="00642A6B" w:rsidRPr="0082558C">
        <w:rPr>
          <w:rFonts w:ascii="Arial" w:hAnsi="Arial" w:cs="Arial"/>
          <w:b/>
          <w:bCs/>
          <w:sz w:val="20"/>
          <w:szCs w:val="20"/>
        </w:rPr>
        <w:t>;</w:t>
      </w:r>
      <w:r w:rsidR="00642A6B" w:rsidRPr="00642A6B">
        <w:rPr>
          <w:rFonts w:ascii="Arial" w:hAnsi="Arial" w:cs="Arial"/>
          <w:b/>
          <w:bCs/>
          <w:sz w:val="20"/>
          <w:szCs w:val="20"/>
        </w:rPr>
        <w:t xml:space="preserve"> </w:t>
      </w:r>
      <w:r w:rsidR="00642A6B" w:rsidRPr="00903011">
        <w:rPr>
          <w:rFonts w:ascii="Arial" w:hAnsi="Arial" w:cs="Arial"/>
          <w:b/>
          <w:bCs/>
          <w:sz w:val="20"/>
          <w:szCs w:val="20"/>
        </w:rPr>
        <w:t>Georg-August-</w:t>
      </w:r>
      <w:proofErr w:type="spellStart"/>
      <w:r w:rsidR="00642A6B" w:rsidRPr="00903011">
        <w:rPr>
          <w:rFonts w:ascii="Arial" w:hAnsi="Arial" w:cs="Arial"/>
          <w:b/>
          <w:bCs/>
          <w:sz w:val="20"/>
          <w:szCs w:val="20"/>
        </w:rPr>
        <w:t>Universität</w:t>
      </w:r>
      <w:proofErr w:type="spellEnd"/>
      <w:r w:rsidR="00642A6B" w:rsidRPr="00903011">
        <w:rPr>
          <w:rFonts w:ascii="Arial" w:hAnsi="Arial" w:cs="Arial"/>
          <w:b/>
          <w:bCs/>
          <w:sz w:val="20"/>
          <w:szCs w:val="20"/>
        </w:rPr>
        <w:t xml:space="preserve">, </w:t>
      </w:r>
      <w:proofErr w:type="spellStart"/>
      <w:r w:rsidR="00642A6B" w:rsidRPr="00903011">
        <w:rPr>
          <w:rFonts w:ascii="Arial" w:hAnsi="Arial" w:cs="Arial"/>
          <w:b/>
          <w:bCs/>
          <w:sz w:val="20"/>
          <w:szCs w:val="20"/>
        </w:rPr>
        <w:t>Göttingen</w:t>
      </w:r>
      <w:proofErr w:type="spellEnd"/>
      <w:r w:rsidR="00642A6B" w:rsidRPr="00903011">
        <w:rPr>
          <w:rFonts w:ascii="Arial" w:hAnsi="Arial" w:cs="Arial"/>
          <w:b/>
          <w:bCs/>
          <w:sz w:val="20"/>
          <w:szCs w:val="20"/>
        </w:rPr>
        <w:t xml:space="preserve">, Germany </w:t>
      </w:r>
      <w:r w:rsidR="00642A6B" w:rsidRPr="00903011">
        <w:rPr>
          <w:rFonts w:ascii="Arial" w:hAnsi="Arial" w:cs="Arial"/>
          <w:sz w:val="20"/>
          <w:szCs w:val="20"/>
        </w:rPr>
        <w:t xml:space="preserve">(Prof T </w:t>
      </w:r>
      <w:proofErr w:type="spellStart"/>
      <w:r w:rsidR="00642A6B" w:rsidRPr="00903011">
        <w:rPr>
          <w:rFonts w:ascii="Arial" w:hAnsi="Arial" w:cs="Arial"/>
          <w:sz w:val="20"/>
          <w:szCs w:val="20"/>
        </w:rPr>
        <w:t>Pukrop</w:t>
      </w:r>
      <w:proofErr w:type="spellEnd"/>
      <w:r w:rsidR="00642A6B" w:rsidRPr="00903011">
        <w:rPr>
          <w:rFonts w:ascii="Arial" w:hAnsi="Arial" w:cs="Arial"/>
          <w:sz w:val="20"/>
          <w:szCs w:val="20"/>
        </w:rPr>
        <w:t xml:space="preserve"> MD)</w:t>
      </w:r>
      <w:r w:rsidR="00642A6B" w:rsidRPr="00903011">
        <w:rPr>
          <w:rFonts w:ascii="Arial" w:hAnsi="Arial" w:cs="Arial"/>
          <w:b/>
          <w:bCs/>
          <w:sz w:val="20"/>
          <w:szCs w:val="20"/>
        </w:rPr>
        <w:t>;</w:t>
      </w:r>
      <w:r w:rsidR="00642A6B" w:rsidRPr="00642A6B">
        <w:rPr>
          <w:rFonts w:ascii="Arial" w:hAnsi="Arial" w:cs="Arial"/>
          <w:b/>
          <w:bCs/>
          <w:sz w:val="20"/>
          <w:szCs w:val="20"/>
        </w:rPr>
        <w:t xml:space="preserve"> </w:t>
      </w:r>
      <w:proofErr w:type="spellStart"/>
      <w:r w:rsidR="00642A6B" w:rsidRPr="0015309A">
        <w:rPr>
          <w:rFonts w:ascii="Arial" w:hAnsi="Arial" w:cs="Arial"/>
          <w:b/>
          <w:bCs/>
          <w:sz w:val="20"/>
          <w:szCs w:val="20"/>
        </w:rPr>
        <w:t>Rigshospitalet</w:t>
      </w:r>
      <w:proofErr w:type="spellEnd"/>
      <w:r w:rsidR="00642A6B" w:rsidRPr="0015309A">
        <w:rPr>
          <w:rFonts w:ascii="Arial" w:hAnsi="Arial" w:cs="Arial"/>
          <w:b/>
          <w:bCs/>
          <w:sz w:val="20"/>
          <w:szCs w:val="20"/>
        </w:rPr>
        <w:t xml:space="preserve">, Copenhagen, Denmark </w:t>
      </w:r>
      <w:r w:rsidR="00642A6B" w:rsidRPr="0015309A">
        <w:rPr>
          <w:rFonts w:ascii="Arial" w:hAnsi="Arial" w:cs="Arial"/>
          <w:sz w:val="20"/>
          <w:szCs w:val="20"/>
        </w:rPr>
        <w:t xml:space="preserve">(J </w:t>
      </w:r>
      <w:proofErr w:type="spellStart"/>
      <w:r w:rsidR="00642A6B" w:rsidRPr="0015309A">
        <w:rPr>
          <w:rFonts w:ascii="Arial" w:hAnsi="Arial" w:cs="Arial"/>
          <w:sz w:val="20"/>
          <w:szCs w:val="20"/>
        </w:rPr>
        <w:t>Sønderskov</w:t>
      </w:r>
      <w:proofErr w:type="spellEnd"/>
      <w:r w:rsidR="00642A6B" w:rsidRPr="0015309A">
        <w:rPr>
          <w:rFonts w:ascii="Arial" w:hAnsi="Arial" w:cs="Arial"/>
          <w:sz w:val="20"/>
          <w:szCs w:val="20"/>
        </w:rPr>
        <w:t xml:space="preserve"> </w:t>
      </w:r>
      <w:proofErr w:type="spellStart"/>
      <w:r w:rsidR="00642A6B" w:rsidRPr="0015309A">
        <w:rPr>
          <w:rFonts w:ascii="Arial" w:hAnsi="Arial" w:cs="Arial"/>
          <w:sz w:val="20"/>
          <w:szCs w:val="20"/>
        </w:rPr>
        <w:t>Gørløv</w:t>
      </w:r>
      <w:proofErr w:type="spellEnd"/>
      <w:r w:rsidR="00642A6B" w:rsidRPr="0015309A">
        <w:rPr>
          <w:rFonts w:ascii="Arial" w:hAnsi="Arial" w:cs="Arial"/>
          <w:sz w:val="20"/>
          <w:szCs w:val="20"/>
        </w:rPr>
        <w:t xml:space="preserve"> PhD)</w:t>
      </w:r>
      <w:r w:rsidR="00642A6B" w:rsidRPr="0015309A">
        <w:rPr>
          <w:rFonts w:ascii="Arial" w:hAnsi="Arial" w:cs="Arial"/>
          <w:b/>
          <w:bCs/>
          <w:sz w:val="20"/>
          <w:szCs w:val="20"/>
        </w:rPr>
        <w:t>;</w:t>
      </w:r>
      <w:r w:rsidR="00642A6B" w:rsidRPr="00642A6B">
        <w:rPr>
          <w:rFonts w:ascii="Arial" w:hAnsi="Arial" w:cs="Arial"/>
          <w:b/>
          <w:bCs/>
          <w:sz w:val="20"/>
          <w:szCs w:val="20"/>
        </w:rPr>
        <w:t xml:space="preserve"> </w:t>
      </w:r>
      <w:proofErr w:type="spellStart"/>
      <w:r w:rsidR="00642A6B" w:rsidRPr="00F06412">
        <w:rPr>
          <w:rFonts w:ascii="Arial" w:hAnsi="Arial" w:cs="Arial"/>
          <w:b/>
          <w:bCs/>
          <w:sz w:val="20"/>
          <w:szCs w:val="20"/>
        </w:rPr>
        <w:t>Istituto</w:t>
      </w:r>
      <w:proofErr w:type="spellEnd"/>
      <w:r w:rsidR="00642A6B" w:rsidRPr="00F06412">
        <w:rPr>
          <w:rFonts w:ascii="Arial" w:hAnsi="Arial" w:cs="Arial"/>
          <w:b/>
          <w:bCs/>
          <w:sz w:val="20"/>
          <w:szCs w:val="20"/>
        </w:rPr>
        <w:t xml:space="preserve"> </w:t>
      </w:r>
      <w:proofErr w:type="spellStart"/>
      <w:r w:rsidR="00642A6B" w:rsidRPr="00F06412">
        <w:rPr>
          <w:rFonts w:ascii="Arial" w:hAnsi="Arial" w:cs="Arial"/>
          <w:b/>
          <w:bCs/>
          <w:sz w:val="20"/>
          <w:szCs w:val="20"/>
        </w:rPr>
        <w:t>Clinico</w:t>
      </w:r>
      <w:proofErr w:type="spellEnd"/>
      <w:r w:rsidR="00642A6B" w:rsidRPr="00F06412">
        <w:rPr>
          <w:rFonts w:ascii="Arial" w:hAnsi="Arial" w:cs="Arial"/>
          <w:b/>
          <w:bCs/>
          <w:sz w:val="20"/>
          <w:szCs w:val="20"/>
        </w:rPr>
        <w:t xml:space="preserve"> </w:t>
      </w:r>
      <w:proofErr w:type="spellStart"/>
      <w:r w:rsidR="00642A6B" w:rsidRPr="00F06412">
        <w:rPr>
          <w:rFonts w:ascii="Arial" w:hAnsi="Arial" w:cs="Arial"/>
          <w:b/>
          <w:bCs/>
          <w:sz w:val="20"/>
          <w:szCs w:val="20"/>
        </w:rPr>
        <w:t>Humanitas</w:t>
      </w:r>
      <w:proofErr w:type="spellEnd"/>
      <w:r w:rsidR="00642A6B" w:rsidRPr="00F06412">
        <w:rPr>
          <w:rFonts w:ascii="Arial" w:hAnsi="Arial" w:cs="Arial"/>
          <w:b/>
          <w:bCs/>
          <w:sz w:val="20"/>
          <w:szCs w:val="20"/>
        </w:rPr>
        <w:t xml:space="preserve">, Milano Rozzano, Italy </w:t>
      </w:r>
      <w:r w:rsidR="00642A6B" w:rsidRPr="00F06412">
        <w:rPr>
          <w:rFonts w:ascii="Arial" w:hAnsi="Arial" w:cs="Arial"/>
          <w:sz w:val="20"/>
          <w:szCs w:val="20"/>
        </w:rPr>
        <w:t>(M Balzarotti MD)</w:t>
      </w:r>
      <w:r w:rsidR="00642A6B" w:rsidRPr="00F06412">
        <w:rPr>
          <w:rFonts w:ascii="Arial" w:hAnsi="Arial" w:cs="Arial"/>
          <w:b/>
          <w:bCs/>
          <w:sz w:val="20"/>
          <w:szCs w:val="20"/>
        </w:rPr>
        <w:t>;</w:t>
      </w:r>
      <w:r w:rsidR="00642A6B" w:rsidRPr="00642A6B">
        <w:rPr>
          <w:rFonts w:ascii="Arial" w:hAnsi="Arial" w:cs="Arial"/>
          <w:b/>
          <w:bCs/>
          <w:sz w:val="20"/>
          <w:szCs w:val="20"/>
        </w:rPr>
        <w:t xml:space="preserve"> </w:t>
      </w:r>
      <w:r w:rsidR="00642A6B" w:rsidRPr="001238FD">
        <w:rPr>
          <w:rFonts w:ascii="Arial" w:hAnsi="Arial" w:cs="Arial"/>
          <w:b/>
          <w:bCs/>
          <w:sz w:val="20"/>
          <w:szCs w:val="20"/>
        </w:rPr>
        <w:t xml:space="preserve">J Gutenberg </w:t>
      </w:r>
      <w:proofErr w:type="spellStart"/>
      <w:r w:rsidR="00642A6B" w:rsidRPr="001238FD">
        <w:rPr>
          <w:rFonts w:ascii="Arial" w:hAnsi="Arial" w:cs="Arial"/>
          <w:b/>
          <w:bCs/>
          <w:sz w:val="20"/>
          <w:szCs w:val="20"/>
        </w:rPr>
        <w:t>Universität</w:t>
      </w:r>
      <w:proofErr w:type="spellEnd"/>
      <w:r w:rsidR="00642A6B" w:rsidRPr="001238FD">
        <w:rPr>
          <w:rFonts w:ascii="Arial" w:hAnsi="Arial" w:cs="Arial"/>
          <w:b/>
          <w:bCs/>
          <w:sz w:val="20"/>
          <w:szCs w:val="20"/>
        </w:rPr>
        <w:t xml:space="preserve">, Mainz, Germany </w:t>
      </w:r>
      <w:r w:rsidR="00642A6B" w:rsidRPr="001238FD">
        <w:rPr>
          <w:rFonts w:ascii="Arial" w:hAnsi="Arial" w:cs="Arial"/>
          <w:sz w:val="20"/>
          <w:szCs w:val="20"/>
        </w:rPr>
        <w:t>(G Hess MD)</w:t>
      </w:r>
      <w:r w:rsidR="00642A6B" w:rsidRPr="001238FD">
        <w:rPr>
          <w:rFonts w:ascii="Arial" w:hAnsi="Arial" w:cs="Arial"/>
          <w:b/>
          <w:bCs/>
          <w:sz w:val="20"/>
          <w:szCs w:val="20"/>
        </w:rPr>
        <w:t>;</w:t>
      </w:r>
      <w:r w:rsidR="00642A6B" w:rsidRPr="00642A6B">
        <w:rPr>
          <w:rFonts w:ascii="Arial" w:hAnsi="Arial" w:cs="Arial"/>
          <w:b/>
          <w:bCs/>
          <w:sz w:val="20"/>
          <w:szCs w:val="20"/>
        </w:rPr>
        <w:t xml:space="preserve"> </w:t>
      </w:r>
      <w:proofErr w:type="spellStart"/>
      <w:r w:rsidR="00642A6B" w:rsidRPr="00244598">
        <w:rPr>
          <w:rFonts w:ascii="Arial" w:hAnsi="Arial" w:cs="Arial"/>
          <w:b/>
          <w:bCs/>
          <w:sz w:val="20"/>
          <w:szCs w:val="20"/>
        </w:rPr>
        <w:t>Technische</w:t>
      </w:r>
      <w:proofErr w:type="spellEnd"/>
      <w:r w:rsidR="00642A6B" w:rsidRPr="00244598">
        <w:rPr>
          <w:rFonts w:ascii="Arial" w:hAnsi="Arial" w:cs="Arial"/>
          <w:b/>
          <w:bCs/>
          <w:sz w:val="20"/>
          <w:szCs w:val="20"/>
        </w:rPr>
        <w:t xml:space="preserve"> </w:t>
      </w:r>
      <w:proofErr w:type="spellStart"/>
      <w:r w:rsidR="00642A6B" w:rsidRPr="00244598">
        <w:rPr>
          <w:rFonts w:ascii="Arial" w:hAnsi="Arial" w:cs="Arial"/>
          <w:b/>
          <w:bCs/>
          <w:sz w:val="20"/>
          <w:szCs w:val="20"/>
        </w:rPr>
        <w:t>Universität</w:t>
      </w:r>
      <w:proofErr w:type="spellEnd"/>
      <w:r w:rsidR="00642A6B" w:rsidRPr="00244598">
        <w:rPr>
          <w:rFonts w:ascii="Arial" w:hAnsi="Arial" w:cs="Arial"/>
          <w:b/>
          <w:bCs/>
          <w:sz w:val="20"/>
          <w:szCs w:val="20"/>
        </w:rPr>
        <w:t xml:space="preserve"> </w:t>
      </w:r>
      <w:proofErr w:type="spellStart"/>
      <w:r w:rsidR="00642A6B" w:rsidRPr="00244598">
        <w:rPr>
          <w:rFonts w:ascii="Arial" w:hAnsi="Arial" w:cs="Arial"/>
          <w:b/>
          <w:bCs/>
          <w:sz w:val="20"/>
          <w:szCs w:val="20"/>
        </w:rPr>
        <w:t>München</w:t>
      </w:r>
      <w:proofErr w:type="spellEnd"/>
      <w:r w:rsidR="00642A6B" w:rsidRPr="00244598">
        <w:rPr>
          <w:rFonts w:ascii="Arial" w:hAnsi="Arial" w:cs="Arial"/>
          <w:b/>
          <w:bCs/>
          <w:sz w:val="20"/>
          <w:szCs w:val="20"/>
        </w:rPr>
        <w:t xml:space="preserve">, Munich, Germany </w:t>
      </w:r>
      <w:r w:rsidR="00642A6B" w:rsidRPr="00244598">
        <w:rPr>
          <w:rFonts w:ascii="Arial" w:hAnsi="Arial" w:cs="Arial"/>
          <w:sz w:val="20"/>
          <w:szCs w:val="20"/>
        </w:rPr>
        <w:t>(Prof U Keller MD)</w:t>
      </w:r>
      <w:r w:rsidR="00642A6B" w:rsidRPr="00244598">
        <w:rPr>
          <w:rFonts w:ascii="Arial" w:hAnsi="Arial" w:cs="Arial"/>
          <w:b/>
          <w:bCs/>
          <w:sz w:val="20"/>
          <w:szCs w:val="20"/>
        </w:rPr>
        <w:t>;</w:t>
      </w:r>
      <w:r w:rsidR="00642A6B" w:rsidRPr="00642A6B">
        <w:rPr>
          <w:rFonts w:ascii="Arial" w:hAnsi="Arial" w:cs="Arial"/>
          <w:b/>
          <w:bCs/>
          <w:sz w:val="20"/>
          <w:szCs w:val="20"/>
        </w:rPr>
        <w:t xml:space="preserve"> </w:t>
      </w:r>
      <w:r w:rsidR="00642A6B" w:rsidRPr="004F71F8">
        <w:rPr>
          <w:rFonts w:ascii="Arial" w:hAnsi="Arial" w:cs="Arial"/>
          <w:b/>
          <w:bCs/>
          <w:sz w:val="20"/>
          <w:szCs w:val="20"/>
        </w:rPr>
        <w:t xml:space="preserve">Department of Internal Medicine III, Ulm University, Ulm, Germany </w:t>
      </w:r>
      <w:r w:rsidR="00642A6B" w:rsidRPr="004F71F8">
        <w:rPr>
          <w:rFonts w:ascii="Arial" w:hAnsi="Arial" w:cs="Arial"/>
          <w:sz w:val="20"/>
          <w:szCs w:val="20"/>
        </w:rPr>
        <w:t xml:space="preserve">(Prof S </w:t>
      </w:r>
      <w:proofErr w:type="spellStart"/>
      <w:r w:rsidR="00642A6B" w:rsidRPr="004F71F8">
        <w:rPr>
          <w:rFonts w:ascii="Arial" w:hAnsi="Arial" w:cs="Arial"/>
          <w:sz w:val="20"/>
          <w:szCs w:val="20"/>
        </w:rPr>
        <w:t>Stilgenbauer</w:t>
      </w:r>
      <w:proofErr w:type="spellEnd"/>
      <w:r w:rsidR="00642A6B" w:rsidRPr="004F71F8">
        <w:rPr>
          <w:rFonts w:ascii="Arial" w:hAnsi="Arial" w:cs="Arial"/>
          <w:sz w:val="20"/>
          <w:szCs w:val="20"/>
        </w:rPr>
        <w:t xml:space="preserve"> MD)</w:t>
      </w:r>
      <w:r w:rsidR="00642A6B" w:rsidRPr="004F71F8">
        <w:rPr>
          <w:rFonts w:ascii="Arial" w:hAnsi="Arial" w:cs="Arial"/>
          <w:b/>
          <w:bCs/>
          <w:sz w:val="20"/>
          <w:szCs w:val="20"/>
        </w:rPr>
        <w:t>;</w:t>
      </w:r>
      <w:r w:rsidR="00642A6B" w:rsidRPr="00642A6B">
        <w:rPr>
          <w:rFonts w:ascii="Arial" w:hAnsi="Arial" w:cs="Arial"/>
          <w:b/>
          <w:bCs/>
          <w:sz w:val="20"/>
          <w:szCs w:val="20"/>
        </w:rPr>
        <w:t xml:space="preserve"> </w:t>
      </w:r>
      <w:r w:rsidR="00642A6B" w:rsidRPr="002950D4">
        <w:rPr>
          <w:rFonts w:ascii="Arial" w:hAnsi="Arial" w:cs="Arial"/>
          <w:b/>
          <w:bCs/>
          <w:sz w:val="20"/>
          <w:szCs w:val="20"/>
        </w:rPr>
        <w:t xml:space="preserve">University Hospital Aachen, Medical Faculty, RWTH Aachen University, Aachen, Germany </w:t>
      </w:r>
      <w:r w:rsidR="00642A6B" w:rsidRPr="002950D4">
        <w:rPr>
          <w:rFonts w:ascii="Arial" w:hAnsi="Arial" w:cs="Arial"/>
          <w:sz w:val="20"/>
          <w:szCs w:val="20"/>
        </w:rPr>
        <w:t xml:space="preserve">(J </w:t>
      </w:r>
      <w:proofErr w:type="spellStart"/>
      <w:r w:rsidR="00642A6B" w:rsidRPr="002950D4">
        <w:rPr>
          <w:rFonts w:ascii="Arial" w:hAnsi="Arial" w:cs="Arial"/>
          <w:sz w:val="20"/>
          <w:szCs w:val="20"/>
        </w:rPr>
        <w:t>Panse</w:t>
      </w:r>
      <w:proofErr w:type="spellEnd"/>
      <w:r w:rsidR="00642A6B" w:rsidRPr="002950D4">
        <w:rPr>
          <w:rFonts w:ascii="Arial" w:hAnsi="Arial" w:cs="Arial"/>
          <w:sz w:val="20"/>
          <w:szCs w:val="20"/>
        </w:rPr>
        <w:t xml:space="preserve"> MD)</w:t>
      </w:r>
      <w:r w:rsidR="00642A6B" w:rsidRPr="002950D4">
        <w:rPr>
          <w:rFonts w:ascii="Arial" w:hAnsi="Arial" w:cs="Arial"/>
          <w:b/>
          <w:bCs/>
          <w:sz w:val="20"/>
          <w:szCs w:val="20"/>
        </w:rPr>
        <w:t>;</w:t>
      </w:r>
      <w:r w:rsidR="00642A6B" w:rsidRPr="00642A6B">
        <w:rPr>
          <w:rFonts w:ascii="Arial" w:hAnsi="Arial" w:cs="Arial"/>
          <w:b/>
          <w:bCs/>
          <w:sz w:val="20"/>
          <w:szCs w:val="20"/>
        </w:rPr>
        <w:t xml:space="preserve"> </w:t>
      </w:r>
      <w:proofErr w:type="spellStart"/>
      <w:r w:rsidR="00642A6B" w:rsidRPr="00000B99">
        <w:rPr>
          <w:rFonts w:ascii="Arial" w:hAnsi="Arial" w:cs="Arial"/>
          <w:b/>
          <w:bCs/>
          <w:sz w:val="20"/>
          <w:szCs w:val="20"/>
        </w:rPr>
        <w:t>Spedali</w:t>
      </w:r>
      <w:proofErr w:type="spellEnd"/>
      <w:r w:rsidR="00642A6B" w:rsidRPr="00000B99">
        <w:rPr>
          <w:rFonts w:ascii="Arial" w:hAnsi="Arial" w:cs="Arial"/>
          <w:b/>
          <w:bCs/>
          <w:sz w:val="20"/>
          <w:szCs w:val="20"/>
        </w:rPr>
        <w:t xml:space="preserve"> </w:t>
      </w:r>
      <w:proofErr w:type="spellStart"/>
      <w:r w:rsidR="00642A6B" w:rsidRPr="00000B99">
        <w:rPr>
          <w:rFonts w:ascii="Arial" w:hAnsi="Arial" w:cs="Arial"/>
          <w:b/>
          <w:bCs/>
          <w:sz w:val="20"/>
          <w:szCs w:val="20"/>
        </w:rPr>
        <w:t>Civili</w:t>
      </w:r>
      <w:proofErr w:type="spellEnd"/>
      <w:r w:rsidR="00642A6B" w:rsidRPr="00000B99">
        <w:rPr>
          <w:rFonts w:ascii="Arial" w:hAnsi="Arial" w:cs="Arial"/>
          <w:b/>
          <w:bCs/>
          <w:sz w:val="20"/>
          <w:szCs w:val="20"/>
        </w:rPr>
        <w:t xml:space="preserve">, Brescia, Italy </w:t>
      </w:r>
      <w:r w:rsidR="00642A6B" w:rsidRPr="00000B99">
        <w:rPr>
          <w:rFonts w:ascii="Arial" w:hAnsi="Arial" w:cs="Arial"/>
          <w:sz w:val="20"/>
          <w:szCs w:val="20"/>
        </w:rPr>
        <w:t xml:space="preserve">(A </w:t>
      </w:r>
      <w:proofErr w:type="spellStart"/>
      <w:r w:rsidR="00642A6B" w:rsidRPr="00000B99">
        <w:rPr>
          <w:rFonts w:ascii="Arial" w:hAnsi="Arial" w:cs="Arial"/>
          <w:sz w:val="20"/>
          <w:szCs w:val="20"/>
        </w:rPr>
        <w:t>Tucci</w:t>
      </w:r>
      <w:proofErr w:type="spellEnd"/>
      <w:r w:rsidR="00642A6B" w:rsidRPr="00000B99">
        <w:rPr>
          <w:rFonts w:ascii="Arial" w:hAnsi="Arial" w:cs="Arial"/>
          <w:sz w:val="20"/>
          <w:szCs w:val="20"/>
        </w:rPr>
        <w:t xml:space="preserve"> MD)</w:t>
      </w:r>
      <w:r w:rsidR="00642A6B" w:rsidRPr="00000B99">
        <w:rPr>
          <w:rFonts w:ascii="Arial" w:hAnsi="Arial" w:cs="Arial"/>
          <w:b/>
          <w:bCs/>
          <w:sz w:val="20"/>
          <w:szCs w:val="20"/>
        </w:rPr>
        <w:t>;</w:t>
      </w:r>
      <w:r w:rsidR="00642A6B" w:rsidRPr="00642A6B">
        <w:rPr>
          <w:rFonts w:ascii="Arial" w:hAnsi="Arial" w:cs="Arial"/>
          <w:b/>
          <w:bCs/>
          <w:sz w:val="20"/>
          <w:szCs w:val="20"/>
        </w:rPr>
        <w:t xml:space="preserve"> </w:t>
      </w:r>
      <w:r w:rsidR="00642A6B" w:rsidRPr="004101A3">
        <w:rPr>
          <w:rFonts w:ascii="Arial" w:hAnsi="Arial" w:cs="Arial"/>
          <w:b/>
          <w:bCs/>
          <w:sz w:val="20"/>
          <w:szCs w:val="20"/>
        </w:rPr>
        <w:t xml:space="preserve">AOU </w:t>
      </w:r>
      <w:proofErr w:type="spellStart"/>
      <w:r w:rsidR="00642A6B" w:rsidRPr="004101A3">
        <w:rPr>
          <w:rFonts w:ascii="Arial" w:hAnsi="Arial" w:cs="Arial"/>
          <w:b/>
          <w:bCs/>
          <w:sz w:val="20"/>
          <w:szCs w:val="20"/>
        </w:rPr>
        <w:t>Città</w:t>
      </w:r>
      <w:proofErr w:type="spellEnd"/>
      <w:r w:rsidR="00642A6B" w:rsidRPr="004101A3">
        <w:rPr>
          <w:rFonts w:ascii="Arial" w:hAnsi="Arial" w:cs="Arial"/>
          <w:b/>
          <w:bCs/>
          <w:sz w:val="20"/>
          <w:szCs w:val="20"/>
        </w:rPr>
        <w:t xml:space="preserve"> Della Salute e Della </w:t>
      </w:r>
      <w:proofErr w:type="spellStart"/>
      <w:r w:rsidR="00642A6B" w:rsidRPr="004101A3">
        <w:rPr>
          <w:rFonts w:ascii="Arial" w:hAnsi="Arial" w:cs="Arial"/>
          <w:b/>
          <w:bCs/>
          <w:sz w:val="20"/>
          <w:szCs w:val="20"/>
        </w:rPr>
        <w:t>Scienza</w:t>
      </w:r>
      <w:proofErr w:type="spellEnd"/>
      <w:r w:rsidR="00642A6B" w:rsidRPr="004101A3">
        <w:rPr>
          <w:rFonts w:ascii="Arial" w:hAnsi="Arial" w:cs="Arial"/>
          <w:b/>
          <w:bCs/>
          <w:sz w:val="20"/>
          <w:szCs w:val="20"/>
        </w:rPr>
        <w:t xml:space="preserve"> di Torino, Turin, Italy </w:t>
      </w:r>
      <w:r w:rsidR="00642A6B" w:rsidRPr="004101A3">
        <w:rPr>
          <w:rFonts w:ascii="Arial" w:hAnsi="Arial" w:cs="Arial"/>
          <w:sz w:val="20"/>
          <w:szCs w:val="20"/>
        </w:rPr>
        <w:t>(</w:t>
      </w:r>
      <w:r w:rsidR="00642A6B">
        <w:rPr>
          <w:rFonts w:ascii="Arial" w:hAnsi="Arial" w:cs="Arial"/>
          <w:sz w:val="20"/>
          <w:szCs w:val="20"/>
        </w:rPr>
        <w:t>L</w:t>
      </w:r>
      <w:r w:rsidR="00642A6B" w:rsidRPr="004101A3">
        <w:rPr>
          <w:rFonts w:ascii="Arial" w:hAnsi="Arial" w:cs="Arial"/>
          <w:sz w:val="20"/>
          <w:szCs w:val="20"/>
        </w:rPr>
        <w:t xml:space="preserve"> </w:t>
      </w:r>
      <w:r w:rsidR="00642A6B">
        <w:rPr>
          <w:rFonts w:ascii="Arial" w:hAnsi="Arial" w:cs="Arial"/>
          <w:sz w:val="20"/>
          <w:szCs w:val="20"/>
        </w:rPr>
        <w:t>Orsucci</w:t>
      </w:r>
      <w:r w:rsidR="00642A6B" w:rsidRPr="004101A3">
        <w:rPr>
          <w:rFonts w:ascii="Arial" w:hAnsi="Arial" w:cs="Arial"/>
          <w:sz w:val="20"/>
          <w:szCs w:val="20"/>
        </w:rPr>
        <w:t xml:space="preserve"> MD)</w:t>
      </w:r>
      <w:r w:rsidR="00642A6B" w:rsidRPr="004101A3">
        <w:rPr>
          <w:rFonts w:ascii="Arial" w:hAnsi="Arial" w:cs="Arial"/>
          <w:b/>
          <w:bCs/>
          <w:sz w:val="20"/>
          <w:szCs w:val="20"/>
        </w:rPr>
        <w:t>;</w:t>
      </w:r>
      <w:r w:rsidR="00642A6B" w:rsidRPr="00642A6B">
        <w:rPr>
          <w:rFonts w:ascii="Arial" w:hAnsi="Arial" w:cs="Arial"/>
          <w:b/>
          <w:bCs/>
          <w:sz w:val="20"/>
          <w:szCs w:val="20"/>
        </w:rPr>
        <w:t xml:space="preserve"> </w:t>
      </w:r>
      <w:r w:rsidR="00642A6B" w:rsidRPr="00E63092">
        <w:rPr>
          <w:rFonts w:ascii="Arial" w:hAnsi="Arial" w:cs="Arial"/>
          <w:b/>
          <w:bCs/>
          <w:sz w:val="20"/>
          <w:szCs w:val="20"/>
        </w:rPr>
        <w:t xml:space="preserve">Hematology and Stem Cell Transplantation Unit, </w:t>
      </w:r>
      <w:proofErr w:type="spellStart"/>
      <w:r w:rsidR="00642A6B" w:rsidRPr="00E63092">
        <w:rPr>
          <w:rFonts w:ascii="Arial" w:hAnsi="Arial" w:cs="Arial"/>
          <w:b/>
          <w:bCs/>
          <w:sz w:val="20"/>
          <w:szCs w:val="20"/>
        </w:rPr>
        <w:t>Istituto</w:t>
      </w:r>
      <w:proofErr w:type="spellEnd"/>
      <w:r w:rsidR="00642A6B" w:rsidRPr="00E63092">
        <w:rPr>
          <w:rFonts w:ascii="Arial" w:hAnsi="Arial" w:cs="Arial"/>
          <w:b/>
          <w:bCs/>
          <w:sz w:val="20"/>
          <w:szCs w:val="20"/>
        </w:rPr>
        <w:t xml:space="preserve"> Nazionale </w:t>
      </w:r>
      <w:proofErr w:type="spellStart"/>
      <w:r w:rsidR="00642A6B" w:rsidRPr="00E63092">
        <w:rPr>
          <w:rFonts w:ascii="Arial" w:hAnsi="Arial" w:cs="Arial"/>
          <w:b/>
          <w:bCs/>
          <w:sz w:val="20"/>
          <w:szCs w:val="20"/>
        </w:rPr>
        <w:t>dei</w:t>
      </w:r>
      <w:proofErr w:type="spellEnd"/>
      <w:r w:rsidR="00642A6B" w:rsidRPr="00E63092">
        <w:rPr>
          <w:rFonts w:ascii="Arial" w:hAnsi="Arial" w:cs="Arial"/>
          <w:b/>
          <w:bCs/>
          <w:sz w:val="20"/>
          <w:szCs w:val="20"/>
        </w:rPr>
        <w:t xml:space="preserve"> </w:t>
      </w:r>
      <w:proofErr w:type="spellStart"/>
      <w:r w:rsidR="00642A6B" w:rsidRPr="00E63092">
        <w:rPr>
          <w:rFonts w:ascii="Arial" w:hAnsi="Arial" w:cs="Arial"/>
          <w:b/>
          <w:bCs/>
          <w:sz w:val="20"/>
          <w:szCs w:val="20"/>
        </w:rPr>
        <w:t>Tumori</w:t>
      </w:r>
      <w:proofErr w:type="spellEnd"/>
      <w:r w:rsidR="00642A6B" w:rsidRPr="00E63092">
        <w:rPr>
          <w:rFonts w:ascii="Arial" w:hAnsi="Arial" w:cs="Arial"/>
          <w:b/>
          <w:bCs/>
          <w:sz w:val="20"/>
          <w:szCs w:val="20"/>
        </w:rPr>
        <w:t xml:space="preserve"> Regina Elena, Rome, Italy </w:t>
      </w:r>
      <w:r w:rsidR="00642A6B" w:rsidRPr="00E63092">
        <w:rPr>
          <w:rFonts w:ascii="Arial" w:hAnsi="Arial" w:cs="Arial"/>
          <w:sz w:val="20"/>
          <w:szCs w:val="20"/>
        </w:rPr>
        <w:t>(F Pisani MD)</w:t>
      </w:r>
      <w:r w:rsidR="00642A6B" w:rsidRPr="00E63092">
        <w:rPr>
          <w:rFonts w:ascii="Arial" w:hAnsi="Arial" w:cs="Arial"/>
          <w:b/>
          <w:bCs/>
          <w:sz w:val="20"/>
          <w:szCs w:val="20"/>
        </w:rPr>
        <w:t>;</w:t>
      </w:r>
      <w:r w:rsidR="00642A6B" w:rsidRPr="00642A6B">
        <w:rPr>
          <w:rFonts w:ascii="Arial" w:hAnsi="Arial" w:cs="Arial"/>
          <w:b/>
          <w:bCs/>
          <w:sz w:val="20"/>
          <w:szCs w:val="20"/>
        </w:rPr>
        <w:t xml:space="preserve"> </w:t>
      </w:r>
      <w:r w:rsidR="00642A6B" w:rsidRPr="00D7137D">
        <w:rPr>
          <w:rFonts w:ascii="Arial" w:hAnsi="Arial" w:cs="Arial"/>
          <w:b/>
          <w:bCs/>
          <w:sz w:val="20"/>
          <w:szCs w:val="20"/>
        </w:rPr>
        <w:t xml:space="preserve">A.O. Santi Antonio e </w:t>
      </w:r>
      <w:proofErr w:type="spellStart"/>
      <w:r w:rsidR="00642A6B" w:rsidRPr="00D7137D">
        <w:rPr>
          <w:rFonts w:ascii="Arial" w:hAnsi="Arial" w:cs="Arial"/>
          <w:b/>
          <w:bCs/>
          <w:sz w:val="20"/>
          <w:szCs w:val="20"/>
        </w:rPr>
        <w:t>Biagio</w:t>
      </w:r>
      <w:proofErr w:type="spellEnd"/>
      <w:r w:rsidR="00642A6B" w:rsidRPr="00D7137D">
        <w:rPr>
          <w:rFonts w:ascii="Arial" w:hAnsi="Arial" w:cs="Arial"/>
          <w:b/>
          <w:bCs/>
          <w:sz w:val="20"/>
          <w:szCs w:val="20"/>
        </w:rPr>
        <w:t xml:space="preserve"> e Cesare Arrigo, Alessandria, Italy </w:t>
      </w:r>
      <w:r w:rsidR="00642A6B" w:rsidRPr="00D7137D">
        <w:rPr>
          <w:rFonts w:ascii="Arial" w:hAnsi="Arial" w:cs="Arial"/>
          <w:sz w:val="20"/>
          <w:szCs w:val="20"/>
        </w:rPr>
        <w:t>(A Levis MD)</w:t>
      </w:r>
      <w:r w:rsidR="00642A6B" w:rsidRPr="00D7137D">
        <w:rPr>
          <w:rFonts w:ascii="Arial" w:hAnsi="Arial" w:cs="Arial"/>
          <w:b/>
          <w:bCs/>
          <w:sz w:val="20"/>
          <w:szCs w:val="20"/>
        </w:rPr>
        <w:t>;</w:t>
      </w:r>
      <w:r w:rsidR="00642A6B" w:rsidRPr="00642A6B">
        <w:rPr>
          <w:rFonts w:ascii="Arial" w:hAnsi="Arial" w:cs="Arial"/>
          <w:b/>
          <w:bCs/>
          <w:sz w:val="20"/>
          <w:szCs w:val="20"/>
        </w:rPr>
        <w:t xml:space="preserve"> </w:t>
      </w:r>
      <w:proofErr w:type="spellStart"/>
      <w:r w:rsidR="00642A6B" w:rsidRPr="00BA2B1F">
        <w:rPr>
          <w:rFonts w:ascii="Arial" w:hAnsi="Arial" w:cs="Arial"/>
          <w:b/>
          <w:bCs/>
          <w:sz w:val="20"/>
          <w:szCs w:val="20"/>
        </w:rPr>
        <w:t>Universitätsklinikum</w:t>
      </w:r>
      <w:proofErr w:type="spellEnd"/>
      <w:r w:rsidR="00642A6B" w:rsidRPr="00BA2B1F">
        <w:rPr>
          <w:rFonts w:ascii="Arial" w:hAnsi="Arial" w:cs="Arial"/>
          <w:b/>
          <w:bCs/>
          <w:sz w:val="20"/>
          <w:szCs w:val="20"/>
        </w:rPr>
        <w:t xml:space="preserve"> Erlangen, Erlangen, Germany </w:t>
      </w:r>
      <w:r w:rsidR="00642A6B" w:rsidRPr="00BA2B1F">
        <w:rPr>
          <w:rFonts w:ascii="Arial" w:hAnsi="Arial" w:cs="Arial"/>
          <w:sz w:val="20"/>
          <w:szCs w:val="20"/>
        </w:rPr>
        <w:t>(Prof S W Krause MD)</w:t>
      </w:r>
      <w:r w:rsidR="00642A6B" w:rsidRPr="00BA2B1F">
        <w:rPr>
          <w:rFonts w:ascii="Arial" w:hAnsi="Arial" w:cs="Arial"/>
          <w:b/>
          <w:bCs/>
          <w:sz w:val="20"/>
          <w:szCs w:val="20"/>
        </w:rPr>
        <w:t xml:space="preserve">; Martin-Luther </w:t>
      </w:r>
      <w:proofErr w:type="spellStart"/>
      <w:r w:rsidR="00642A6B" w:rsidRPr="00BA2B1F">
        <w:rPr>
          <w:rFonts w:ascii="Arial" w:hAnsi="Arial" w:cs="Arial"/>
          <w:b/>
          <w:bCs/>
          <w:sz w:val="20"/>
          <w:szCs w:val="20"/>
        </w:rPr>
        <w:t>Universität</w:t>
      </w:r>
      <w:proofErr w:type="spellEnd"/>
      <w:r w:rsidR="00642A6B" w:rsidRPr="00BA2B1F">
        <w:rPr>
          <w:rFonts w:ascii="Arial" w:hAnsi="Arial" w:cs="Arial"/>
          <w:b/>
          <w:bCs/>
          <w:sz w:val="20"/>
          <w:szCs w:val="20"/>
        </w:rPr>
        <w:t xml:space="preserve">, Halle (Saale), Germany </w:t>
      </w:r>
      <w:r w:rsidR="00642A6B" w:rsidRPr="00BA2B1F">
        <w:rPr>
          <w:rFonts w:ascii="Arial" w:hAnsi="Arial" w:cs="Arial"/>
          <w:sz w:val="20"/>
          <w:szCs w:val="20"/>
        </w:rPr>
        <w:t>(H J Schmoll MD)</w:t>
      </w:r>
      <w:r w:rsidR="00642A6B" w:rsidRPr="00BA2B1F">
        <w:rPr>
          <w:rFonts w:ascii="Arial" w:hAnsi="Arial" w:cs="Arial"/>
          <w:b/>
          <w:bCs/>
          <w:sz w:val="20"/>
          <w:szCs w:val="20"/>
        </w:rPr>
        <w:t>;</w:t>
      </w:r>
      <w:r w:rsidR="00642A6B" w:rsidRPr="00642A6B">
        <w:rPr>
          <w:rFonts w:ascii="Arial" w:hAnsi="Arial" w:cs="Arial"/>
          <w:b/>
          <w:bCs/>
          <w:sz w:val="20"/>
          <w:szCs w:val="20"/>
        </w:rPr>
        <w:t xml:space="preserve"> </w:t>
      </w:r>
      <w:proofErr w:type="spellStart"/>
      <w:r w:rsidR="00642A6B" w:rsidRPr="006239A5">
        <w:rPr>
          <w:rFonts w:ascii="Arial" w:hAnsi="Arial" w:cs="Arial"/>
          <w:b/>
          <w:bCs/>
          <w:sz w:val="20"/>
          <w:szCs w:val="20"/>
        </w:rPr>
        <w:t>Klinikum</w:t>
      </w:r>
      <w:proofErr w:type="spellEnd"/>
      <w:r w:rsidR="00642A6B" w:rsidRPr="006239A5">
        <w:rPr>
          <w:rFonts w:ascii="Arial" w:hAnsi="Arial" w:cs="Arial"/>
          <w:b/>
          <w:bCs/>
          <w:sz w:val="20"/>
          <w:szCs w:val="20"/>
        </w:rPr>
        <w:t xml:space="preserve"> Bremen-</w:t>
      </w:r>
      <w:proofErr w:type="spellStart"/>
      <w:r w:rsidR="00642A6B" w:rsidRPr="006239A5">
        <w:rPr>
          <w:rFonts w:ascii="Arial" w:hAnsi="Arial" w:cs="Arial"/>
          <w:b/>
          <w:bCs/>
          <w:sz w:val="20"/>
          <w:szCs w:val="20"/>
        </w:rPr>
        <w:t>Mitte</w:t>
      </w:r>
      <w:proofErr w:type="spellEnd"/>
      <w:r w:rsidR="00642A6B" w:rsidRPr="006239A5">
        <w:rPr>
          <w:rFonts w:ascii="Arial" w:hAnsi="Arial" w:cs="Arial"/>
          <w:b/>
          <w:bCs/>
          <w:sz w:val="20"/>
          <w:szCs w:val="20"/>
        </w:rPr>
        <w:t xml:space="preserve">, Bremen, Germany </w:t>
      </w:r>
      <w:r w:rsidR="00642A6B" w:rsidRPr="006239A5">
        <w:rPr>
          <w:rFonts w:ascii="Arial" w:hAnsi="Arial" w:cs="Arial"/>
          <w:sz w:val="20"/>
          <w:szCs w:val="20"/>
        </w:rPr>
        <w:t xml:space="preserve">(B </w:t>
      </w:r>
      <w:proofErr w:type="spellStart"/>
      <w:r w:rsidR="00642A6B" w:rsidRPr="006239A5">
        <w:rPr>
          <w:rFonts w:ascii="Arial" w:hAnsi="Arial" w:cs="Arial"/>
          <w:sz w:val="20"/>
          <w:szCs w:val="20"/>
        </w:rPr>
        <w:t>Hertenstein</w:t>
      </w:r>
      <w:proofErr w:type="spellEnd"/>
      <w:r w:rsidR="00642A6B" w:rsidRPr="006239A5">
        <w:rPr>
          <w:rFonts w:ascii="Arial" w:hAnsi="Arial" w:cs="Arial"/>
          <w:sz w:val="20"/>
          <w:szCs w:val="20"/>
        </w:rPr>
        <w:t xml:space="preserve"> MD)</w:t>
      </w:r>
      <w:r w:rsidR="00642A6B" w:rsidRPr="006239A5">
        <w:rPr>
          <w:rFonts w:ascii="Arial" w:hAnsi="Arial" w:cs="Arial"/>
          <w:b/>
          <w:bCs/>
          <w:sz w:val="20"/>
          <w:szCs w:val="20"/>
        </w:rPr>
        <w:t>;</w:t>
      </w:r>
      <w:r w:rsidR="00642A6B" w:rsidRPr="00642A6B">
        <w:rPr>
          <w:rFonts w:ascii="Arial" w:hAnsi="Arial" w:cs="Arial"/>
          <w:b/>
          <w:bCs/>
          <w:sz w:val="20"/>
          <w:szCs w:val="20"/>
        </w:rPr>
        <w:t xml:space="preserve"> </w:t>
      </w:r>
      <w:proofErr w:type="spellStart"/>
      <w:r w:rsidR="00F149D3" w:rsidRPr="001A65C9">
        <w:rPr>
          <w:rFonts w:ascii="Arial" w:hAnsi="Arial" w:cs="Arial"/>
          <w:b/>
          <w:bCs/>
          <w:sz w:val="20"/>
          <w:szCs w:val="20"/>
        </w:rPr>
        <w:t>Klinikum</w:t>
      </w:r>
      <w:proofErr w:type="spellEnd"/>
      <w:r w:rsidR="00F149D3" w:rsidRPr="001A65C9">
        <w:rPr>
          <w:rFonts w:ascii="Arial" w:hAnsi="Arial" w:cs="Arial"/>
          <w:b/>
          <w:bCs/>
          <w:sz w:val="20"/>
          <w:szCs w:val="20"/>
        </w:rPr>
        <w:t xml:space="preserve"> Der Justus-Liebig-</w:t>
      </w:r>
      <w:proofErr w:type="spellStart"/>
      <w:r w:rsidR="00F149D3" w:rsidRPr="001A65C9">
        <w:rPr>
          <w:rFonts w:ascii="Arial" w:hAnsi="Arial" w:cs="Arial"/>
          <w:b/>
          <w:bCs/>
          <w:sz w:val="20"/>
          <w:szCs w:val="20"/>
        </w:rPr>
        <w:t>Universität</w:t>
      </w:r>
      <w:proofErr w:type="spellEnd"/>
      <w:r w:rsidR="00F149D3" w:rsidRPr="001A65C9">
        <w:rPr>
          <w:rFonts w:ascii="Arial" w:hAnsi="Arial" w:cs="Arial"/>
          <w:b/>
          <w:bCs/>
          <w:sz w:val="20"/>
          <w:szCs w:val="20"/>
        </w:rPr>
        <w:t>, Giessen, Germany</w:t>
      </w:r>
      <w:r w:rsidR="00F149D3" w:rsidRPr="00642A6B">
        <w:rPr>
          <w:rFonts w:ascii="Arial" w:hAnsi="Arial" w:cs="Arial"/>
          <w:sz w:val="20"/>
          <w:szCs w:val="20"/>
        </w:rPr>
        <w:t xml:space="preserve"> </w:t>
      </w:r>
      <w:r w:rsidR="00F149D3">
        <w:rPr>
          <w:rFonts w:ascii="Arial" w:hAnsi="Arial" w:cs="Arial"/>
          <w:sz w:val="20"/>
          <w:szCs w:val="20"/>
        </w:rPr>
        <w:t>(</w:t>
      </w:r>
      <w:r w:rsidR="00642A6B" w:rsidRPr="00F149D3">
        <w:rPr>
          <w:rFonts w:ascii="Arial" w:hAnsi="Arial" w:cs="Arial"/>
          <w:sz w:val="20"/>
          <w:szCs w:val="20"/>
        </w:rPr>
        <w:t xml:space="preserve">M </w:t>
      </w:r>
      <w:proofErr w:type="spellStart"/>
      <w:r w:rsidR="00642A6B" w:rsidRPr="00F149D3">
        <w:rPr>
          <w:rFonts w:ascii="Arial" w:hAnsi="Arial" w:cs="Arial"/>
          <w:sz w:val="20"/>
          <w:szCs w:val="20"/>
        </w:rPr>
        <w:t>Rummel</w:t>
      </w:r>
      <w:proofErr w:type="spellEnd"/>
      <w:r w:rsidR="00642A6B" w:rsidRPr="00F149D3">
        <w:rPr>
          <w:rFonts w:ascii="Arial" w:hAnsi="Arial" w:cs="Arial"/>
          <w:sz w:val="20"/>
          <w:szCs w:val="20"/>
        </w:rPr>
        <w:t xml:space="preserve"> MD</w:t>
      </w:r>
      <w:r w:rsidR="00F149D3">
        <w:rPr>
          <w:rFonts w:ascii="Arial" w:hAnsi="Arial" w:cs="Arial"/>
          <w:sz w:val="20"/>
          <w:szCs w:val="20"/>
        </w:rPr>
        <w:t>)</w:t>
      </w:r>
      <w:r w:rsidR="00F149D3" w:rsidRPr="00817FD3">
        <w:rPr>
          <w:rFonts w:ascii="Arial" w:hAnsi="Arial" w:cs="Arial"/>
          <w:b/>
          <w:bCs/>
          <w:sz w:val="20"/>
          <w:szCs w:val="20"/>
        </w:rPr>
        <w:t xml:space="preserve">; University Hospital </w:t>
      </w:r>
      <w:proofErr w:type="spellStart"/>
      <w:r w:rsidR="00F149D3" w:rsidRPr="00817FD3">
        <w:rPr>
          <w:rFonts w:ascii="Arial" w:hAnsi="Arial" w:cs="Arial"/>
          <w:b/>
          <w:bCs/>
          <w:sz w:val="20"/>
          <w:szCs w:val="20"/>
        </w:rPr>
        <w:t>Aintree</w:t>
      </w:r>
      <w:proofErr w:type="spellEnd"/>
      <w:r w:rsidR="00F149D3" w:rsidRPr="00817FD3">
        <w:rPr>
          <w:rFonts w:ascii="Arial" w:hAnsi="Arial" w:cs="Arial"/>
          <w:b/>
          <w:bCs/>
          <w:sz w:val="20"/>
          <w:szCs w:val="20"/>
        </w:rPr>
        <w:t>, Liverpool, UK</w:t>
      </w:r>
      <w:r w:rsidR="00F149D3" w:rsidRPr="00F149D3">
        <w:rPr>
          <w:rFonts w:ascii="Arial" w:hAnsi="Arial" w:cs="Arial"/>
          <w:sz w:val="20"/>
          <w:szCs w:val="20"/>
        </w:rPr>
        <w:t xml:space="preserve"> </w:t>
      </w:r>
      <w:r w:rsidR="00F149D3">
        <w:rPr>
          <w:rFonts w:ascii="Arial" w:hAnsi="Arial" w:cs="Arial"/>
          <w:sz w:val="20"/>
          <w:szCs w:val="20"/>
        </w:rPr>
        <w:t>(</w:t>
      </w:r>
      <w:r w:rsidR="00642A6B" w:rsidRPr="00F149D3">
        <w:rPr>
          <w:rFonts w:ascii="Arial" w:hAnsi="Arial" w:cs="Arial"/>
          <w:sz w:val="20"/>
          <w:szCs w:val="20"/>
        </w:rPr>
        <w:t>J Smith MD</w:t>
      </w:r>
      <w:r w:rsidR="00F149D3">
        <w:rPr>
          <w:rFonts w:ascii="Arial" w:hAnsi="Arial" w:cs="Arial"/>
          <w:sz w:val="20"/>
          <w:szCs w:val="20"/>
        </w:rPr>
        <w:t>)</w:t>
      </w:r>
      <w:r w:rsidR="00F149D3" w:rsidRPr="00817FD3">
        <w:rPr>
          <w:rFonts w:ascii="Arial" w:hAnsi="Arial" w:cs="Arial"/>
          <w:b/>
          <w:bCs/>
          <w:sz w:val="20"/>
          <w:szCs w:val="20"/>
        </w:rPr>
        <w:t xml:space="preserve">; </w:t>
      </w:r>
      <w:proofErr w:type="spellStart"/>
      <w:r w:rsidR="00F149D3" w:rsidRPr="00817FD3">
        <w:rPr>
          <w:rFonts w:ascii="Arial" w:hAnsi="Arial" w:cs="Arial"/>
          <w:b/>
          <w:bCs/>
          <w:sz w:val="20"/>
          <w:szCs w:val="20"/>
        </w:rPr>
        <w:t>Universitätsklinik</w:t>
      </w:r>
      <w:proofErr w:type="spellEnd"/>
      <w:r w:rsidR="00F149D3" w:rsidRPr="00817FD3">
        <w:rPr>
          <w:rFonts w:ascii="Arial" w:hAnsi="Arial" w:cs="Arial"/>
          <w:b/>
          <w:bCs/>
          <w:sz w:val="20"/>
          <w:szCs w:val="20"/>
        </w:rPr>
        <w:t xml:space="preserve"> Des </w:t>
      </w:r>
      <w:proofErr w:type="spellStart"/>
      <w:r w:rsidR="00F149D3" w:rsidRPr="00817FD3">
        <w:rPr>
          <w:rFonts w:ascii="Arial" w:hAnsi="Arial" w:cs="Arial"/>
          <w:b/>
          <w:bCs/>
          <w:sz w:val="20"/>
          <w:szCs w:val="20"/>
        </w:rPr>
        <w:t>Saarlandes</w:t>
      </w:r>
      <w:proofErr w:type="spellEnd"/>
      <w:r w:rsidR="00F149D3" w:rsidRPr="00817FD3">
        <w:rPr>
          <w:rFonts w:ascii="Arial" w:hAnsi="Arial" w:cs="Arial"/>
          <w:b/>
          <w:bCs/>
          <w:sz w:val="20"/>
          <w:szCs w:val="20"/>
        </w:rPr>
        <w:t>, Homburg, Germany</w:t>
      </w:r>
      <w:r w:rsidR="00642A6B" w:rsidRPr="00F149D3">
        <w:rPr>
          <w:rFonts w:ascii="Arial" w:hAnsi="Arial" w:cs="Arial"/>
          <w:sz w:val="20"/>
          <w:szCs w:val="20"/>
        </w:rPr>
        <w:t xml:space="preserve"> </w:t>
      </w:r>
      <w:r w:rsidR="00F149D3">
        <w:rPr>
          <w:rFonts w:ascii="Arial" w:hAnsi="Arial" w:cs="Arial"/>
          <w:sz w:val="20"/>
          <w:szCs w:val="20"/>
        </w:rPr>
        <w:t>(</w:t>
      </w:r>
      <w:r w:rsidR="00642A6B" w:rsidRPr="00F149D3">
        <w:rPr>
          <w:rFonts w:ascii="Arial" w:hAnsi="Arial" w:cs="Arial"/>
          <w:sz w:val="20"/>
          <w:szCs w:val="20"/>
        </w:rPr>
        <w:t xml:space="preserve">M </w:t>
      </w:r>
      <w:proofErr w:type="spellStart"/>
      <w:r w:rsidR="00642A6B" w:rsidRPr="00F149D3">
        <w:rPr>
          <w:rFonts w:ascii="Arial" w:hAnsi="Arial" w:cs="Arial"/>
          <w:sz w:val="20"/>
          <w:szCs w:val="20"/>
        </w:rPr>
        <w:t>Pfreundschuh</w:t>
      </w:r>
      <w:proofErr w:type="spellEnd"/>
      <w:r w:rsidR="00642A6B" w:rsidRPr="00F149D3">
        <w:rPr>
          <w:rFonts w:ascii="Arial" w:hAnsi="Arial" w:cs="Arial"/>
          <w:sz w:val="20"/>
          <w:szCs w:val="20"/>
        </w:rPr>
        <w:t xml:space="preserve"> MD</w:t>
      </w:r>
      <w:r w:rsidR="00F149D3">
        <w:rPr>
          <w:rFonts w:ascii="Arial" w:hAnsi="Arial" w:cs="Arial"/>
          <w:sz w:val="20"/>
          <w:szCs w:val="20"/>
        </w:rPr>
        <w:t>)</w:t>
      </w:r>
      <w:r w:rsidR="00F149D3" w:rsidRPr="00817FD3">
        <w:rPr>
          <w:rFonts w:ascii="Arial" w:hAnsi="Arial" w:cs="Arial"/>
          <w:b/>
          <w:bCs/>
          <w:sz w:val="20"/>
          <w:szCs w:val="20"/>
        </w:rPr>
        <w:t xml:space="preserve">; </w:t>
      </w:r>
      <w:proofErr w:type="spellStart"/>
      <w:r w:rsidR="00F149D3" w:rsidRPr="00817FD3">
        <w:rPr>
          <w:rFonts w:ascii="Arial" w:hAnsi="Arial" w:cs="Arial"/>
          <w:b/>
          <w:bCs/>
          <w:sz w:val="20"/>
          <w:szCs w:val="20"/>
        </w:rPr>
        <w:t>Ospedale</w:t>
      </w:r>
      <w:proofErr w:type="spellEnd"/>
      <w:r w:rsidR="00F149D3" w:rsidRPr="00817FD3">
        <w:rPr>
          <w:rFonts w:ascii="Arial" w:hAnsi="Arial" w:cs="Arial"/>
          <w:b/>
          <w:bCs/>
          <w:sz w:val="20"/>
          <w:szCs w:val="20"/>
        </w:rPr>
        <w:t xml:space="preserve"> </w:t>
      </w:r>
      <w:proofErr w:type="spellStart"/>
      <w:r w:rsidR="00F149D3" w:rsidRPr="00817FD3">
        <w:rPr>
          <w:rFonts w:ascii="Arial" w:hAnsi="Arial" w:cs="Arial"/>
          <w:b/>
          <w:bCs/>
          <w:sz w:val="20"/>
          <w:szCs w:val="20"/>
        </w:rPr>
        <w:t>Oncologico</w:t>
      </w:r>
      <w:proofErr w:type="spellEnd"/>
      <w:r w:rsidR="00F149D3" w:rsidRPr="00817FD3">
        <w:rPr>
          <w:rFonts w:ascii="Arial" w:hAnsi="Arial" w:cs="Arial"/>
          <w:b/>
          <w:bCs/>
          <w:sz w:val="20"/>
          <w:szCs w:val="20"/>
        </w:rPr>
        <w:t>, Cagliari, Italy</w:t>
      </w:r>
      <w:r w:rsidR="00642A6B" w:rsidRPr="00F149D3">
        <w:rPr>
          <w:rFonts w:ascii="Arial" w:hAnsi="Arial" w:cs="Arial"/>
          <w:sz w:val="20"/>
          <w:szCs w:val="20"/>
        </w:rPr>
        <w:t xml:space="preserve"> </w:t>
      </w:r>
      <w:r w:rsidR="00F149D3">
        <w:rPr>
          <w:rFonts w:ascii="Arial" w:hAnsi="Arial" w:cs="Arial"/>
          <w:sz w:val="20"/>
          <w:szCs w:val="20"/>
        </w:rPr>
        <w:t>(</w:t>
      </w:r>
      <w:r w:rsidR="00642A6B" w:rsidRPr="00F149D3">
        <w:rPr>
          <w:rFonts w:ascii="Arial" w:hAnsi="Arial" w:cs="Arial"/>
          <w:sz w:val="20"/>
          <w:szCs w:val="20"/>
        </w:rPr>
        <w:t>G Cabras MD</w:t>
      </w:r>
      <w:r w:rsidR="00F149D3">
        <w:rPr>
          <w:rFonts w:ascii="Arial" w:hAnsi="Arial" w:cs="Arial"/>
          <w:sz w:val="20"/>
          <w:szCs w:val="20"/>
        </w:rPr>
        <w:t>)</w:t>
      </w:r>
      <w:r w:rsidR="00F149D3" w:rsidRPr="00817FD3">
        <w:rPr>
          <w:rFonts w:ascii="Arial" w:hAnsi="Arial" w:cs="Arial"/>
          <w:b/>
          <w:bCs/>
          <w:sz w:val="20"/>
          <w:szCs w:val="20"/>
        </w:rPr>
        <w:t xml:space="preserve">; </w:t>
      </w:r>
      <w:proofErr w:type="spellStart"/>
      <w:r w:rsidR="00F149D3" w:rsidRPr="00817FD3">
        <w:rPr>
          <w:rFonts w:ascii="Arial" w:hAnsi="Arial" w:cs="Arial"/>
          <w:b/>
          <w:bCs/>
          <w:sz w:val="20"/>
          <w:szCs w:val="20"/>
        </w:rPr>
        <w:t>Ospedale</w:t>
      </w:r>
      <w:proofErr w:type="spellEnd"/>
      <w:r w:rsidR="00F149D3" w:rsidRPr="00817FD3">
        <w:rPr>
          <w:rFonts w:ascii="Arial" w:hAnsi="Arial" w:cs="Arial"/>
          <w:b/>
          <w:bCs/>
          <w:sz w:val="20"/>
          <w:szCs w:val="20"/>
        </w:rPr>
        <w:t xml:space="preserve"> </w:t>
      </w:r>
      <w:proofErr w:type="spellStart"/>
      <w:r w:rsidR="00F149D3" w:rsidRPr="00817FD3">
        <w:rPr>
          <w:rFonts w:ascii="Arial" w:hAnsi="Arial" w:cs="Arial"/>
          <w:b/>
          <w:bCs/>
          <w:sz w:val="20"/>
          <w:szCs w:val="20"/>
        </w:rPr>
        <w:t>Civile</w:t>
      </w:r>
      <w:proofErr w:type="spellEnd"/>
      <w:r w:rsidR="00F149D3" w:rsidRPr="00817FD3">
        <w:rPr>
          <w:rFonts w:ascii="Arial" w:hAnsi="Arial" w:cs="Arial"/>
          <w:b/>
          <w:bCs/>
          <w:sz w:val="20"/>
          <w:szCs w:val="20"/>
        </w:rPr>
        <w:t xml:space="preserve"> S. </w:t>
      </w:r>
      <w:proofErr w:type="spellStart"/>
      <w:r w:rsidR="00F149D3" w:rsidRPr="00817FD3">
        <w:rPr>
          <w:rFonts w:ascii="Arial" w:hAnsi="Arial" w:cs="Arial"/>
          <w:b/>
          <w:bCs/>
          <w:sz w:val="20"/>
          <w:szCs w:val="20"/>
        </w:rPr>
        <w:t>Spirito</w:t>
      </w:r>
      <w:proofErr w:type="spellEnd"/>
      <w:r w:rsidR="00F149D3" w:rsidRPr="00817FD3">
        <w:rPr>
          <w:rFonts w:ascii="Arial" w:hAnsi="Arial" w:cs="Arial"/>
          <w:b/>
          <w:bCs/>
          <w:sz w:val="20"/>
          <w:szCs w:val="20"/>
        </w:rPr>
        <w:t>, Pescara, Italy</w:t>
      </w:r>
      <w:r w:rsidR="00642A6B" w:rsidRPr="00F149D3">
        <w:rPr>
          <w:rFonts w:ascii="Arial" w:hAnsi="Arial" w:cs="Arial"/>
          <w:sz w:val="20"/>
          <w:szCs w:val="20"/>
        </w:rPr>
        <w:t xml:space="preserve"> </w:t>
      </w:r>
      <w:r w:rsidR="00F149D3">
        <w:rPr>
          <w:rFonts w:ascii="Arial" w:hAnsi="Arial" w:cs="Arial"/>
          <w:sz w:val="20"/>
          <w:szCs w:val="20"/>
        </w:rPr>
        <w:t>(</w:t>
      </w:r>
      <w:r w:rsidR="00642A6B" w:rsidRPr="00F149D3">
        <w:rPr>
          <w:rFonts w:ascii="Arial" w:hAnsi="Arial" w:cs="Arial"/>
          <w:sz w:val="20"/>
          <w:szCs w:val="20"/>
        </w:rPr>
        <w:t xml:space="preserve">F </w:t>
      </w:r>
      <w:proofErr w:type="spellStart"/>
      <w:r w:rsidR="00642A6B" w:rsidRPr="00F149D3">
        <w:rPr>
          <w:rFonts w:ascii="Arial" w:hAnsi="Arial" w:cs="Arial"/>
          <w:sz w:val="20"/>
          <w:szCs w:val="20"/>
        </w:rPr>
        <w:t>Angrilli</w:t>
      </w:r>
      <w:proofErr w:type="spellEnd"/>
      <w:r w:rsidR="00642A6B" w:rsidRPr="00F149D3">
        <w:rPr>
          <w:rFonts w:ascii="Arial" w:hAnsi="Arial" w:cs="Arial"/>
          <w:sz w:val="20"/>
          <w:szCs w:val="20"/>
        </w:rPr>
        <w:t xml:space="preserve"> MD</w:t>
      </w:r>
      <w:r w:rsidR="00F149D3">
        <w:rPr>
          <w:rFonts w:ascii="Arial" w:hAnsi="Arial" w:cs="Arial"/>
          <w:sz w:val="20"/>
          <w:szCs w:val="20"/>
        </w:rPr>
        <w:t>)</w:t>
      </w:r>
      <w:r w:rsidR="00F149D3" w:rsidRPr="00AD50A9">
        <w:rPr>
          <w:rFonts w:ascii="Arial" w:hAnsi="Arial" w:cs="Arial"/>
          <w:b/>
          <w:bCs/>
          <w:sz w:val="20"/>
          <w:szCs w:val="20"/>
        </w:rPr>
        <w:t xml:space="preserve">; </w:t>
      </w:r>
      <w:r w:rsidR="00642A6B" w:rsidRPr="00E21FA8">
        <w:rPr>
          <w:rFonts w:ascii="Arial" w:hAnsi="Arial" w:cs="Arial"/>
          <w:b/>
          <w:bCs/>
          <w:sz w:val="20"/>
          <w:szCs w:val="20"/>
        </w:rPr>
        <w:t xml:space="preserve">Institute of Neuropathology, University Hospital of Cologne, Cologne, Germany </w:t>
      </w:r>
      <w:r w:rsidR="00642A6B" w:rsidRPr="00E21FA8">
        <w:rPr>
          <w:rFonts w:ascii="Arial" w:hAnsi="Arial" w:cs="Arial"/>
          <w:sz w:val="20"/>
          <w:szCs w:val="20"/>
        </w:rPr>
        <w:t>(Prof M Deckert MD)</w:t>
      </w:r>
      <w:r w:rsidR="00642A6B" w:rsidRPr="00E21FA8">
        <w:rPr>
          <w:rFonts w:ascii="Arial" w:hAnsi="Arial" w:cs="Arial"/>
          <w:b/>
          <w:bCs/>
          <w:sz w:val="20"/>
          <w:szCs w:val="20"/>
        </w:rPr>
        <w:t xml:space="preserve">; </w:t>
      </w:r>
      <w:proofErr w:type="spellStart"/>
      <w:r w:rsidR="008A2F20" w:rsidRPr="00817FD3">
        <w:rPr>
          <w:rFonts w:ascii="Arial" w:hAnsi="Arial" w:cs="Arial"/>
          <w:b/>
          <w:bCs/>
          <w:sz w:val="20"/>
          <w:szCs w:val="20"/>
        </w:rPr>
        <w:t>Istituto</w:t>
      </w:r>
      <w:proofErr w:type="spellEnd"/>
      <w:r w:rsidR="008A2F20" w:rsidRPr="00817FD3">
        <w:rPr>
          <w:rFonts w:ascii="Arial" w:hAnsi="Arial" w:cs="Arial"/>
          <w:b/>
          <w:bCs/>
          <w:sz w:val="20"/>
          <w:szCs w:val="20"/>
        </w:rPr>
        <w:t xml:space="preserve"> </w:t>
      </w:r>
      <w:proofErr w:type="spellStart"/>
      <w:r w:rsidR="008A2F20" w:rsidRPr="00817FD3">
        <w:rPr>
          <w:rFonts w:ascii="Arial" w:hAnsi="Arial" w:cs="Arial"/>
          <w:b/>
          <w:bCs/>
          <w:sz w:val="20"/>
          <w:szCs w:val="20"/>
        </w:rPr>
        <w:t>Oncologico</w:t>
      </w:r>
      <w:proofErr w:type="spellEnd"/>
      <w:r w:rsidR="008A2F20" w:rsidRPr="00817FD3">
        <w:rPr>
          <w:rFonts w:ascii="Arial" w:hAnsi="Arial" w:cs="Arial"/>
          <w:b/>
          <w:bCs/>
          <w:sz w:val="20"/>
          <w:szCs w:val="20"/>
        </w:rPr>
        <w:t xml:space="preserve"> Della </w:t>
      </w:r>
      <w:proofErr w:type="spellStart"/>
      <w:r w:rsidR="008A2F20" w:rsidRPr="00817FD3">
        <w:rPr>
          <w:rFonts w:ascii="Arial" w:hAnsi="Arial" w:cs="Arial"/>
          <w:b/>
          <w:bCs/>
          <w:sz w:val="20"/>
          <w:szCs w:val="20"/>
        </w:rPr>
        <w:t>Svizzera</w:t>
      </w:r>
      <w:proofErr w:type="spellEnd"/>
      <w:r w:rsidR="008A2F20" w:rsidRPr="00817FD3">
        <w:rPr>
          <w:rFonts w:ascii="Arial" w:hAnsi="Arial" w:cs="Arial"/>
          <w:b/>
          <w:bCs/>
          <w:sz w:val="20"/>
          <w:szCs w:val="20"/>
        </w:rPr>
        <w:t xml:space="preserve"> </w:t>
      </w:r>
      <w:proofErr w:type="spellStart"/>
      <w:r w:rsidR="008A2F20" w:rsidRPr="00817FD3">
        <w:rPr>
          <w:rFonts w:ascii="Arial" w:hAnsi="Arial" w:cs="Arial"/>
          <w:b/>
          <w:bCs/>
          <w:sz w:val="20"/>
          <w:szCs w:val="20"/>
        </w:rPr>
        <w:t>Italiana</w:t>
      </w:r>
      <w:proofErr w:type="spellEnd"/>
      <w:r w:rsidR="008A2F20" w:rsidRPr="00817FD3">
        <w:rPr>
          <w:rFonts w:ascii="Arial" w:hAnsi="Arial" w:cs="Arial"/>
          <w:b/>
          <w:bCs/>
          <w:sz w:val="20"/>
          <w:szCs w:val="20"/>
        </w:rPr>
        <w:t xml:space="preserve">, </w:t>
      </w:r>
      <w:proofErr w:type="spellStart"/>
      <w:r w:rsidR="008A2F20" w:rsidRPr="00817FD3">
        <w:rPr>
          <w:rFonts w:ascii="Arial" w:hAnsi="Arial" w:cs="Arial"/>
          <w:b/>
          <w:bCs/>
          <w:sz w:val="20"/>
          <w:szCs w:val="20"/>
        </w:rPr>
        <w:t>Bellinzona</w:t>
      </w:r>
      <w:proofErr w:type="spellEnd"/>
      <w:r w:rsidR="008A2F20" w:rsidRPr="00817FD3">
        <w:rPr>
          <w:rFonts w:ascii="Arial" w:hAnsi="Arial" w:cs="Arial"/>
          <w:b/>
          <w:bCs/>
          <w:sz w:val="20"/>
          <w:szCs w:val="20"/>
        </w:rPr>
        <w:t xml:space="preserve">, Switzerland </w:t>
      </w:r>
      <w:r w:rsidR="008A2F20" w:rsidRPr="00817FD3">
        <w:rPr>
          <w:rFonts w:ascii="Arial" w:hAnsi="Arial" w:cs="Arial"/>
          <w:sz w:val="20"/>
          <w:szCs w:val="20"/>
        </w:rPr>
        <w:t>(Prof F Cavalli MD, E Zucca MD)</w:t>
      </w:r>
      <w:r w:rsidR="008A2F20" w:rsidRPr="00817FD3">
        <w:rPr>
          <w:rFonts w:ascii="Arial" w:hAnsi="Arial" w:cs="Arial"/>
          <w:b/>
          <w:sz w:val="20"/>
          <w:szCs w:val="20"/>
        </w:rPr>
        <w:t xml:space="preserve">; </w:t>
      </w:r>
      <w:r w:rsidR="00642A6B" w:rsidRPr="00817FD3">
        <w:rPr>
          <w:rFonts w:ascii="Arial" w:hAnsi="Arial" w:cs="Arial"/>
          <w:b/>
          <w:bCs/>
          <w:sz w:val="20"/>
          <w:szCs w:val="20"/>
        </w:rPr>
        <w:t xml:space="preserve">and </w:t>
      </w:r>
      <w:proofErr w:type="spellStart"/>
      <w:r w:rsidR="008A2F20" w:rsidRPr="00F149D3">
        <w:rPr>
          <w:rFonts w:ascii="Arial" w:hAnsi="Arial" w:cs="Arial"/>
          <w:b/>
          <w:bCs/>
          <w:sz w:val="20"/>
          <w:szCs w:val="20"/>
        </w:rPr>
        <w:t>Uniklinik</w:t>
      </w:r>
      <w:proofErr w:type="spellEnd"/>
      <w:r w:rsidR="008A2F20" w:rsidRPr="00F149D3">
        <w:rPr>
          <w:rFonts w:ascii="Arial" w:hAnsi="Arial" w:cs="Arial"/>
          <w:b/>
          <w:bCs/>
          <w:sz w:val="20"/>
          <w:szCs w:val="20"/>
        </w:rPr>
        <w:t xml:space="preserve"> Stuttgart, Stuttgart, Germany </w:t>
      </w:r>
      <w:r w:rsidR="008A2F20" w:rsidRPr="00F149D3">
        <w:rPr>
          <w:rFonts w:ascii="Arial" w:hAnsi="Arial" w:cs="Arial"/>
          <w:sz w:val="20"/>
          <w:szCs w:val="20"/>
        </w:rPr>
        <w:t>(G Illerhaus MD).</w:t>
      </w:r>
    </w:p>
    <w:p w14:paraId="5BE7FE09" w14:textId="5961721E" w:rsidR="008D3819" w:rsidRPr="00817FD3" w:rsidRDefault="008D3819" w:rsidP="00817FD3">
      <w:pPr>
        <w:tabs>
          <w:tab w:val="left" w:pos="2836"/>
          <w:tab w:val="left" w:pos="3686"/>
          <w:tab w:val="left" w:pos="4254"/>
          <w:tab w:val="left" w:pos="4963"/>
          <w:tab w:val="left" w:pos="5672"/>
          <w:tab w:val="left" w:pos="6381"/>
          <w:tab w:val="left" w:pos="7090"/>
          <w:tab w:val="left" w:pos="7799"/>
          <w:tab w:val="left" w:pos="8508"/>
        </w:tabs>
        <w:spacing w:after="0" w:line="360" w:lineRule="auto"/>
        <w:rPr>
          <w:rFonts w:ascii="Arial" w:hAnsi="Arial" w:cs="Arial"/>
          <w:b/>
          <w:bCs/>
          <w:sz w:val="20"/>
          <w:szCs w:val="20"/>
        </w:rPr>
      </w:pPr>
      <w:r w:rsidRPr="00817FD3">
        <w:rPr>
          <w:rFonts w:ascii="Arial" w:hAnsi="Arial" w:cs="Arial"/>
          <w:b/>
          <w:bCs/>
          <w:sz w:val="20"/>
          <w:szCs w:val="20"/>
        </w:rPr>
        <w:br w:type="page"/>
      </w:r>
    </w:p>
    <w:p w14:paraId="6E098DA3" w14:textId="77777777" w:rsidR="00667FB4" w:rsidRPr="00966346" w:rsidRDefault="00667FB4" w:rsidP="006740A1">
      <w:pPr>
        <w:spacing w:after="0" w:line="360" w:lineRule="auto"/>
        <w:jc w:val="both"/>
        <w:rPr>
          <w:rFonts w:ascii="Arial" w:hAnsi="Arial" w:cs="Arial"/>
          <w:b/>
        </w:rPr>
      </w:pPr>
      <w:r w:rsidRPr="00966346">
        <w:rPr>
          <w:rFonts w:ascii="Arial" w:hAnsi="Arial" w:cs="Arial"/>
          <w:b/>
        </w:rPr>
        <w:lastRenderedPageBreak/>
        <w:t>SUMMARY</w:t>
      </w:r>
    </w:p>
    <w:p w14:paraId="7F8B9568" w14:textId="77777777" w:rsidR="002513A6" w:rsidRPr="00966346" w:rsidRDefault="00667FB4" w:rsidP="006740A1">
      <w:pPr>
        <w:spacing w:after="0" w:line="360" w:lineRule="auto"/>
        <w:jc w:val="both"/>
        <w:rPr>
          <w:rFonts w:ascii="Arial" w:hAnsi="Arial" w:cs="Arial"/>
          <w:sz w:val="24"/>
          <w:szCs w:val="24"/>
        </w:rPr>
      </w:pPr>
      <w:r w:rsidRPr="00966346">
        <w:rPr>
          <w:rFonts w:ascii="Arial" w:hAnsi="Arial" w:cs="Arial"/>
          <w:b/>
          <w:sz w:val="24"/>
          <w:szCs w:val="24"/>
        </w:rPr>
        <w:t>Background</w:t>
      </w:r>
      <w:r w:rsidR="00E04DA7" w:rsidRPr="00966346">
        <w:rPr>
          <w:rFonts w:ascii="Arial" w:hAnsi="Arial" w:cs="Arial"/>
          <w:sz w:val="24"/>
          <w:szCs w:val="24"/>
        </w:rPr>
        <w:t>: IELSG</w:t>
      </w:r>
      <w:r w:rsidRPr="00966346">
        <w:rPr>
          <w:rFonts w:ascii="Arial" w:hAnsi="Arial" w:cs="Arial"/>
          <w:sz w:val="24"/>
          <w:szCs w:val="24"/>
        </w:rPr>
        <w:t xml:space="preserve">32 is an international randomized </w:t>
      </w:r>
      <w:r w:rsidR="00574748" w:rsidRPr="00966346">
        <w:rPr>
          <w:rFonts w:ascii="Arial" w:hAnsi="Arial" w:cs="Arial"/>
          <w:sz w:val="24"/>
          <w:szCs w:val="24"/>
        </w:rPr>
        <w:t xml:space="preserve">phase II </w:t>
      </w:r>
      <w:r w:rsidRPr="00966346">
        <w:rPr>
          <w:rFonts w:ascii="Arial" w:hAnsi="Arial" w:cs="Arial"/>
          <w:sz w:val="24"/>
          <w:szCs w:val="24"/>
        </w:rPr>
        <w:t xml:space="preserve">trial </w:t>
      </w:r>
      <w:r w:rsidR="002513A6" w:rsidRPr="00966346">
        <w:rPr>
          <w:rFonts w:ascii="Arial" w:hAnsi="Arial" w:cs="Arial"/>
          <w:sz w:val="24"/>
          <w:szCs w:val="24"/>
        </w:rPr>
        <w:t xml:space="preserve">with two key questions in patients with </w:t>
      </w:r>
      <w:r w:rsidR="00204220" w:rsidRPr="00966346">
        <w:rPr>
          <w:rFonts w:ascii="Arial" w:hAnsi="Arial" w:cs="Arial"/>
          <w:sz w:val="24"/>
          <w:szCs w:val="24"/>
        </w:rPr>
        <w:t xml:space="preserve">newly diagnosed </w:t>
      </w:r>
      <w:r w:rsidR="002513A6" w:rsidRPr="00966346">
        <w:rPr>
          <w:rFonts w:ascii="Arial" w:hAnsi="Arial" w:cs="Arial"/>
          <w:sz w:val="24"/>
          <w:szCs w:val="24"/>
        </w:rPr>
        <w:t xml:space="preserve">primary CNS lymphoma (PCNSL). </w:t>
      </w:r>
      <w:r w:rsidR="00C26632" w:rsidRPr="00966346">
        <w:rPr>
          <w:rFonts w:ascii="Arial" w:hAnsi="Arial" w:cs="Arial"/>
          <w:sz w:val="24"/>
          <w:szCs w:val="24"/>
        </w:rPr>
        <w:t>R</w:t>
      </w:r>
      <w:r w:rsidR="002513A6" w:rsidRPr="00966346">
        <w:rPr>
          <w:rFonts w:ascii="Arial" w:hAnsi="Arial" w:cs="Arial"/>
          <w:sz w:val="24"/>
          <w:szCs w:val="24"/>
        </w:rPr>
        <w:t xml:space="preserve">esults of the first randomization have demonstrated that MATRix (methotrexate, cytarabine, thiotepa, rituximab) is </w:t>
      </w:r>
      <w:r w:rsidR="00C26632" w:rsidRPr="00966346">
        <w:rPr>
          <w:rFonts w:ascii="Arial" w:hAnsi="Arial" w:cs="Arial"/>
          <w:sz w:val="24"/>
          <w:szCs w:val="24"/>
        </w:rPr>
        <w:t xml:space="preserve">the induction combination </w:t>
      </w:r>
      <w:r w:rsidR="002513A6" w:rsidRPr="00966346">
        <w:rPr>
          <w:rFonts w:ascii="Arial" w:hAnsi="Arial" w:cs="Arial"/>
          <w:sz w:val="24"/>
          <w:szCs w:val="24"/>
        </w:rPr>
        <w:t xml:space="preserve">associated with significantly better outcome. </w:t>
      </w:r>
      <w:r w:rsidR="00C26632" w:rsidRPr="00966346">
        <w:rPr>
          <w:rFonts w:ascii="Arial" w:hAnsi="Arial" w:cs="Arial"/>
          <w:sz w:val="24"/>
          <w:szCs w:val="24"/>
        </w:rPr>
        <w:t>Herein, we report the results of the second randomization that</w:t>
      </w:r>
      <w:r w:rsidR="002513A6" w:rsidRPr="00966346">
        <w:rPr>
          <w:rFonts w:ascii="Arial" w:hAnsi="Arial" w:cs="Arial"/>
          <w:sz w:val="24"/>
          <w:szCs w:val="24"/>
        </w:rPr>
        <w:t xml:space="preserve"> addresses the efficacy of myeloablative chemotherapy supported by autologous s</w:t>
      </w:r>
      <w:r w:rsidR="00FD2B9F" w:rsidRPr="00966346">
        <w:rPr>
          <w:rFonts w:ascii="Arial" w:hAnsi="Arial" w:cs="Arial"/>
          <w:sz w:val="24"/>
          <w:szCs w:val="24"/>
        </w:rPr>
        <w:t>tem cell transplantation (ASCT),</w:t>
      </w:r>
      <w:r w:rsidR="002513A6" w:rsidRPr="00966346">
        <w:rPr>
          <w:rFonts w:ascii="Arial" w:hAnsi="Arial" w:cs="Arial"/>
          <w:sz w:val="24"/>
          <w:szCs w:val="24"/>
        </w:rPr>
        <w:t xml:space="preserve"> as an alternative to whole-brain irradiation (WBRT)</w:t>
      </w:r>
      <w:r w:rsidR="00FD2B9F" w:rsidRPr="00966346">
        <w:rPr>
          <w:rFonts w:ascii="Arial" w:hAnsi="Arial" w:cs="Arial"/>
          <w:sz w:val="24"/>
          <w:szCs w:val="24"/>
        </w:rPr>
        <w:t>,</w:t>
      </w:r>
      <w:r w:rsidR="002513A6" w:rsidRPr="00966346">
        <w:rPr>
          <w:rFonts w:ascii="Arial" w:hAnsi="Arial" w:cs="Arial"/>
          <w:sz w:val="24"/>
          <w:szCs w:val="24"/>
        </w:rPr>
        <w:t xml:space="preserve"> as consolidation</w:t>
      </w:r>
      <w:r w:rsidR="002513A6" w:rsidRPr="00966346">
        <w:rPr>
          <w:rFonts w:ascii="Arial" w:hAnsi="Arial" w:cs="Arial"/>
          <w:b/>
          <w:sz w:val="24"/>
          <w:szCs w:val="24"/>
          <w:lang w:val="en-GB"/>
        </w:rPr>
        <w:t xml:space="preserve"> </w:t>
      </w:r>
      <w:r w:rsidR="002513A6" w:rsidRPr="00966346">
        <w:rPr>
          <w:rFonts w:ascii="Arial" w:hAnsi="Arial" w:cs="Arial"/>
          <w:sz w:val="24"/>
          <w:szCs w:val="24"/>
          <w:lang w:val="en-GB"/>
        </w:rPr>
        <w:t>after high-dose methotrexate-based chemoimmunotherapy</w:t>
      </w:r>
      <w:r w:rsidR="001C2954" w:rsidRPr="00966346">
        <w:rPr>
          <w:rFonts w:ascii="Arial" w:hAnsi="Arial" w:cs="Arial"/>
          <w:sz w:val="24"/>
          <w:szCs w:val="24"/>
        </w:rPr>
        <w:t>.</w:t>
      </w:r>
      <w:r w:rsidR="002513A6" w:rsidRPr="00966346">
        <w:rPr>
          <w:rFonts w:ascii="Arial" w:hAnsi="Arial" w:cs="Arial"/>
          <w:sz w:val="24"/>
          <w:szCs w:val="24"/>
        </w:rPr>
        <w:t xml:space="preserve"> </w:t>
      </w:r>
    </w:p>
    <w:p w14:paraId="28EFA5E7" w14:textId="77777777" w:rsidR="00667FB4" w:rsidRPr="00966346" w:rsidRDefault="00667FB4" w:rsidP="006740A1">
      <w:pPr>
        <w:autoSpaceDE w:val="0"/>
        <w:autoSpaceDN w:val="0"/>
        <w:adjustRightInd w:val="0"/>
        <w:spacing w:after="0" w:line="360" w:lineRule="auto"/>
        <w:jc w:val="both"/>
        <w:rPr>
          <w:rFonts w:ascii="Arial" w:hAnsi="Arial" w:cs="Arial"/>
          <w:sz w:val="24"/>
          <w:szCs w:val="24"/>
          <w:lang w:val="en-GB"/>
        </w:rPr>
      </w:pPr>
      <w:r w:rsidRPr="00966346">
        <w:rPr>
          <w:rFonts w:ascii="Arial" w:hAnsi="Arial" w:cs="Arial"/>
          <w:b/>
          <w:sz w:val="24"/>
          <w:szCs w:val="24"/>
        </w:rPr>
        <w:t>Methods</w:t>
      </w:r>
      <w:r w:rsidRPr="00966346">
        <w:rPr>
          <w:rFonts w:ascii="Arial" w:hAnsi="Arial" w:cs="Arial"/>
          <w:sz w:val="24"/>
          <w:szCs w:val="24"/>
        </w:rPr>
        <w:t xml:space="preserve">: </w:t>
      </w:r>
      <w:r w:rsidR="009B25FE" w:rsidRPr="00966346">
        <w:rPr>
          <w:rFonts w:ascii="Arial" w:hAnsi="Arial" w:cs="Arial"/>
          <w:sz w:val="24"/>
          <w:szCs w:val="24"/>
        </w:rPr>
        <w:t xml:space="preserve">HIV-negative patients (18-70 years) with </w:t>
      </w:r>
      <w:r w:rsidR="00C26632" w:rsidRPr="00966346">
        <w:rPr>
          <w:rFonts w:ascii="Arial" w:hAnsi="Arial" w:cs="Arial"/>
          <w:sz w:val="24"/>
          <w:szCs w:val="24"/>
        </w:rPr>
        <w:t xml:space="preserve">newly-diagnosed </w:t>
      </w:r>
      <w:r w:rsidRPr="00966346">
        <w:rPr>
          <w:rFonts w:ascii="Arial" w:hAnsi="Arial" w:cs="Arial"/>
          <w:sz w:val="24"/>
          <w:szCs w:val="24"/>
        </w:rPr>
        <w:t>PCNSL</w:t>
      </w:r>
      <w:r w:rsidR="001E38DA" w:rsidRPr="00966346">
        <w:rPr>
          <w:rFonts w:ascii="Arial" w:hAnsi="Arial" w:cs="Arial"/>
          <w:sz w:val="24"/>
          <w:szCs w:val="24"/>
        </w:rPr>
        <w:t xml:space="preserve"> </w:t>
      </w:r>
      <w:r w:rsidRPr="00966346">
        <w:rPr>
          <w:rFonts w:ascii="Arial" w:hAnsi="Arial" w:cs="Arial"/>
          <w:sz w:val="24"/>
          <w:szCs w:val="24"/>
        </w:rPr>
        <w:t xml:space="preserve">were randomly assigned to receive </w:t>
      </w:r>
      <w:r w:rsidR="00C73442" w:rsidRPr="00966346">
        <w:rPr>
          <w:rFonts w:ascii="Arial" w:hAnsi="Arial" w:cs="Arial"/>
          <w:sz w:val="24"/>
          <w:szCs w:val="24"/>
        </w:rPr>
        <w:t>four</w:t>
      </w:r>
      <w:r w:rsidRPr="00966346">
        <w:rPr>
          <w:rFonts w:ascii="Arial" w:hAnsi="Arial" w:cs="Arial"/>
          <w:sz w:val="24"/>
          <w:szCs w:val="24"/>
        </w:rPr>
        <w:t xml:space="preserve"> courses of </w:t>
      </w:r>
      <w:r w:rsidR="002513A6" w:rsidRPr="00966346">
        <w:rPr>
          <w:rFonts w:ascii="Arial" w:hAnsi="Arial" w:cs="Arial"/>
          <w:sz w:val="24"/>
          <w:szCs w:val="24"/>
          <w:lang w:val="de-DE"/>
        </w:rPr>
        <w:t>methotrexate-</w:t>
      </w:r>
      <w:r w:rsidR="00617016" w:rsidRPr="00966346">
        <w:rPr>
          <w:rFonts w:ascii="Arial" w:hAnsi="Arial" w:cs="Arial"/>
          <w:sz w:val="24"/>
          <w:szCs w:val="24"/>
          <w:lang w:val="de-DE"/>
        </w:rPr>
        <w:t>c</w:t>
      </w:r>
      <w:proofErr w:type="spellStart"/>
      <w:r w:rsidR="00617016" w:rsidRPr="00966346">
        <w:rPr>
          <w:rFonts w:ascii="Arial" w:hAnsi="Arial" w:cs="Arial"/>
          <w:sz w:val="24"/>
          <w:szCs w:val="24"/>
        </w:rPr>
        <w:t>ytarabine</w:t>
      </w:r>
      <w:proofErr w:type="spellEnd"/>
      <w:r w:rsidR="00617016" w:rsidRPr="00966346">
        <w:rPr>
          <w:rFonts w:ascii="Arial" w:hAnsi="Arial" w:cs="Arial"/>
          <w:sz w:val="24"/>
          <w:szCs w:val="24"/>
        </w:rPr>
        <w:t xml:space="preserve"> (arm A)</w:t>
      </w:r>
      <w:r w:rsidR="004677E2" w:rsidRPr="00966346">
        <w:rPr>
          <w:rFonts w:ascii="Arial" w:hAnsi="Arial" w:cs="Arial"/>
          <w:sz w:val="24"/>
          <w:szCs w:val="24"/>
        </w:rPr>
        <w:t>,</w:t>
      </w:r>
      <w:r w:rsidR="00501E26" w:rsidRPr="00966346">
        <w:rPr>
          <w:rFonts w:ascii="Arial" w:hAnsi="Arial" w:cs="Arial"/>
          <w:sz w:val="24"/>
          <w:szCs w:val="24"/>
        </w:rPr>
        <w:t xml:space="preserve"> plus rituximab (arm B)</w:t>
      </w:r>
      <w:r w:rsidR="00617016" w:rsidRPr="00966346">
        <w:rPr>
          <w:rFonts w:ascii="Arial" w:hAnsi="Arial" w:cs="Arial"/>
          <w:sz w:val="24"/>
          <w:szCs w:val="24"/>
        </w:rPr>
        <w:t xml:space="preserve"> </w:t>
      </w:r>
      <w:r w:rsidRPr="00966346">
        <w:rPr>
          <w:rFonts w:ascii="Arial" w:hAnsi="Arial" w:cs="Arial"/>
          <w:sz w:val="24"/>
          <w:szCs w:val="24"/>
        </w:rPr>
        <w:t xml:space="preserve">or </w:t>
      </w:r>
      <w:r w:rsidR="004677E2" w:rsidRPr="00966346">
        <w:rPr>
          <w:rFonts w:ascii="Arial" w:hAnsi="Arial" w:cs="Arial"/>
          <w:sz w:val="24"/>
          <w:szCs w:val="24"/>
        </w:rPr>
        <w:t xml:space="preserve">plus rituximab and thiotepa </w:t>
      </w:r>
      <w:r w:rsidR="002513A6" w:rsidRPr="00966346">
        <w:rPr>
          <w:rFonts w:ascii="Arial" w:hAnsi="Arial" w:cs="Arial"/>
          <w:sz w:val="24"/>
          <w:szCs w:val="24"/>
        </w:rPr>
        <w:t>(arm C)</w:t>
      </w:r>
      <w:r w:rsidR="00617016" w:rsidRPr="00966346">
        <w:rPr>
          <w:rFonts w:ascii="Arial" w:hAnsi="Arial" w:cs="Arial"/>
          <w:sz w:val="24"/>
          <w:szCs w:val="24"/>
        </w:rPr>
        <w:t xml:space="preserve">. </w:t>
      </w:r>
      <w:r w:rsidR="001D08F2" w:rsidRPr="00966346">
        <w:rPr>
          <w:rFonts w:ascii="Arial" w:hAnsi="Arial" w:cs="Arial"/>
          <w:sz w:val="24"/>
          <w:szCs w:val="24"/>
        </w:rPr>
        <w:t>Patien</w:t>
      </w:r>
      <w:r w:rsidRPr="00966346">
        <w:rPr>
          <w:rFonts w:ascii="Arial" w:hAnsi="Arial" w:cs="Arial"/>
          <w:sz w:val="24"/>
          <w:szCs w:val="24"/>
        </w:rPr>
        <w:t>ts with responsive</w:t>
      </w:r>
      <w:r w:rsidR="001D08F2" w:rsidRPr="00966346">
        <w:rPr>
          <w:rFonts w:ascii="Arial" w:hAnsi="Arial" w:cs="Arial"/>
          <w:sz w:val="24"/>
          <w:szCs w:val="24"/>
        </w:rPr>
        <w:t xml:space="preserve"> or stable</w:t>
      </w:r>
      <w:r w:rsidRPr="00966346">
        <w:rPr>
          <w:rFonts w:ascii="Arial" w:hAnsi="Arial" w:cs="Arial"/>
          <w:sz w:val="24"/>
          <w:szCs w:val="24"/>
        </w:rPr>
        <w:t xml:space="preserve"> disease </w:t>
      </w:r>
      <w:r w:rsidR="00432C10" w:rsidRPr="00966346">
        <w:rPr>
          <w:rFonts w:ascii="Arial" w:hAnsi="Arial" w:cs="Arial"/>
          <w:sz w:val="24"/>
          <w:szCs w:val="24"/>
        </w:rPr>
        <w:t xml:space="preserve">after induction treatment, with adequate autologous peripheral blood stem cell collection and without persistent iatrogenic side effects were eligible for the second randomization </w:t>
      </w:r>
      <w:r w:rsidRPr="00966346">
        <w:rPr>
          <w:rFonts w:ascii="Arial" w:hAnsi="Arial" w:cs="Arial"/>
          <w:sz w:val="24"/>
          <w:szCs w:val="24"/>
        </w:rPr>
        <w:t xml:space="preserve">between WBRT </w:t>
      </w:r>
      <w:r w:rsidR="002513A6" w:rsidRPr="00966346">
        <w:rPr>
          <w:rFonts w:ascii="Arial" w:hAnsi="Arial" w:cs="Arial"/>
          <w:sz w:val="24"/>
          <w:szCs w:val="24"/>
        </w:rPr>
        <w:t xml:space="preserve">(arm D) </w:t>
      </w:r>
      <w:r w:rsidRPr="00966346">
        <w:rPr>
          <w:rFonts w:ascii="Arial" w:hAnsi="Arial" w:cs="Arial"/>
          <w:sz w:val="24"/>
          <w:szCs w:val="24"/>
        </w:rPr>
        <w:t xml:space="preserve">and </w:t>
      </w:r>
      <w:r w:rsidR="002513A6" w:rsidRPr="00966346">
        <w:rPr>
          <w:rFonts w:ascii="Arial" w:hAnsi="Arial" w:cs="Arial"/>
          <w:sz w:val="24"/>
          <w:szCs w:val="24"/>
        </w:rPr>
        <w:t>BCNU-thiotepa conditioned/ASCT (arm E)</w:t>
      </w:r>
      <w:r w:rsidRPr="00966346">
        <w:rPr>
          <w:rFonts w:ascii="Arial" w:hAnsi="Arial" w:cs="Arial"/>
          <w:sz w:val="24"/>
          <w:szCs w:val="24"/>
        </w:rPr>
        <w:t xml:space="preserve">. </w:t>
      </w:r>
      <w:r w:rsidR="00617016" w:rsidRPr="00966346">
        <w:rPr>
          <w:rFonts w:ascii="Arial" w:hAnsi="Arial" w:cs="Arial"/>
          <w:sz w:val="24"/>
          <w:szCs w:val="24"/>
        </w:rPr>
        <w:t>A permuted blocks randomized design</w:t>
      </w:r>
      <w:r w:rsidR="00617016" w:rsidRPr="00966346">
        <w:rPr>
          <w:rFonts w:ascii="Arial" w:hAnsi="Arial" w:cs="Arial"/>
          <w:sz w:val="24"/>
          <w:szCs w:val="24"/>
          <w:lang w:val="en-GB"/>
        </w:rPr>
        <w:t xml:space="preserve"> </w:t>
      </w:r>
      <w:r w:rsidR="00617016" w:rsidRPr="00966346">
        <w:rPr>
          <w:rFonts w:ascii="Arial" w:hAnsi="Arial" w:cs="Arial"/>
          <w:sz w:val="24"/>
          <w:szCs w:val="24"/>
        </w:rPr>
        <w:t xml:space="preserve">was adopted for both </w:t>
      </w:r>
      <w:r w:rsidR="00646F70" w:rsidRPr="00966346">
        <w:rPr>
          <w:rFonts w:ascii="Arial" w:hAnsi="Arial" w:cs="Arial"/>
          <w:sz w:val="24"/>
          <w:szCs w:val="24"/>
        </w:rPr>
        <w:t>randomizations</w:t>
      </w:r>
      <w:r w:rsidR="00617016" w:rsidRPr="00966346">
        <w:rPr>
          <w:rFonts w:ascii="Arial" w:hAnsi="Arial" w:cs="Arial"/>
          <w:sz w:val="24"/>
          <w:szCs w:val="24"/>
        </w:rPr>
        <w:t xml:space="preserve">, and a computer-generated randomization list was within each </w:t>
      </w:r>
      <w:r w:rsidR="00664C69" w:rsidRPr="00966346">
        <w:rPr>
          <w:rFonts w:ascii="Arial" w:hAnsi="Arial" w:cs="Arial"/>
          <w:sz w:val="24"/>
          <w:szCs w:val="24"/>
        </w:rPr>
        <w:t>stratum</w:t>
      </w:r>
      <w:r w:rsidR="00617016" w:rsidRPr="00966346">
        <w:rPr>
          <w:rFonts w:ascii="Arial" w:hAnsi="Arial" w:cs="Arial"/>
          <w:sz w:val="24"/>
          <w:szCs w:val="24"/>
        </w:rPr>
        <w:t xml:space="preserve">. No blinding after assignment to intervention was adopted. </w:t>
      </w:r>
      <w:r w:rsidRPr="00966346">
        <w:rPr>
          <w:rFonts w:ascii="Arial" w:hAnsi="Arial" w:cs="Arial"/>
          <w:sz w:val="24"/>
          <w:szCs w:val="24"/>
        </w:rPr>
        <w:t>Primary endpoint</w:t>
      </w:r>
      <w:r w:rsidR="00DF7728" w:rsidRPr="00966346">
        <w:rPr>
          <w:rFonts w:ascii="Arial" w:hAnsi="Arial" w:cs="Arial"/>
          <w:sz w:val="24"/>
          <w:szCs w:val="24"/>
        </w:rPr>
        <w:t xml:space="preserve"> </w:t>
      </w:r>
      <w:r w:rsidR="002513A6" w:rsidRPr="00966346">
        <w:rPr>
          <w:rFonts w:ascii="Arial" w:hAnsi="Arial" w:cs="Arial"/>
          <w:sz w:val="24"/>
          <w:szCs w:val="24"/>
        </w:rPr>
        <w:t xml:space="preserve">was 2-year progression-free survival (PFS), with </w:t>
      </w:r>
      <w:r w:rsidR="002513A6" w:rsidRPr="00966346">
        <w:rPr>
          <w:rFonts w:ascii="Arial" w:hAnsi="Arial" w:cs="Arial"/>
          <w:sz w:val="24"/>
          <w:szCs w:val="24"/>
          <w:lang w:val="en-GB"/>
        </w:rPr>
        <w:t xml:space="preserve">induction arm and </w:t>
      </w:r>
      <w:r w:rsidR="00664C69" w:rsidRPr="00966346">
        <w:rPr>
          <w:rFonts w:ascii="Arial" w:hAnsi="Arial" w:cs="Arial"/>
          <w:sz w:val="24"/>
          <w:szCs w:val="24"/>
          <w:lang w:val="en-GB"/>
        </w:rPr>
        <w:t xml:space="preserve">induction-chemotherapy </w:t>
      </w:r>
      <w:r w:rsidR="002513A6" w:rsidRPr="00966346">
        <w:rPr>
          <w:rFonts w:ascii="Arial" w:hAnsi="Arial" w:cs="Arial"/>
          <w:sz w:val="24"/>
          <w:szCs w:val="24"/>
          <w:lang w:val="en-GB"/>
        </w:rPr>
        <w:t>response as stratification parameters</w:t>
      </w:r>
      <w:r w:rsidRPr="00966346">
        <w:rPr>
          <w:rFonts w:ascii="Arial" w:hAnsi="Arial" w:cs="Arial"/>
          <w:sz w:val="24"/>
          <w:szCs w:val="24"/>
        </w:rPr>
        <w:t xml:space="preserve">. </w:t>
      </w:r>
      <w:r w:rsidR="002513A6" w:rsidRPr="00966346">
        <w:rPr>
          <w:rFonts w:ascii="Arial" w:hAnsi="Arial" w:cs="Arial"/>
          <w:sz w:val="24"/>
          <w:szCs w:val="24"/>
          <w:lang w:val="en-GB"/>
        </w:rPr>
        <w:t>To demonstrate a 2-y</w:t>
      </w:r>
      <w:r w:rsidR="006740A1" w:rsidRPr="00966346">
        <w:rPr>
          <w:rFonts w:ascii="Arial" w:hAnsi="Arial" w:cs="Arial"/>
          <w:sz w:val="24"/>
          <w:szCs w:val="24"/>
          <w:lang w:val="en-GB"/>
        </w:rPr>
        <w:t>ea</w:t>
      </w:r>
      <w:r w:rsidR="002513A6" w:rsidRPr="00966346">
        <w:rPr>
          <w:rFonts w:ascii="Arial" w:hAnsi="Arial" w:cs="Arial"/>
          <w:sz w:val="24"/>
          <w:szCs w:val="24"/>
          <w:lang w:val="en-GB"/>
        </w:rPr>
        <w:t xml:space="preserve">r PFS improvement from 65% (P0) to 85% (P1), </w:t>
      </w:r>
      <w:r w:rsidR="002513A6" w:rsidRPr="00966346">
        <w:rPr>
          <w:rFonts w:ascii="Arial" w:hAnsi="Arial" w:cs="Arial"/>
          <w:sz w:val="24"/>
          <w:szCs w:val="24"/>
        </w:rPr>
        <w:t>52 p</w:t>
      </w:r>
      <w:r w:rsidR="006740A1" w:rsidRPr="00966346">
        <w:rPr>
          <w:rFonts w:ascii="Arial" w:hAnsi="Arial" w:cs="Arial"/>
          <w:sz w:val="24"/>
          <w:szCs w:val="24"/>
        </w:rPr>
        <w:t>atien</w:t>
      </w:r>
      <w:r w:rsidR="002513A6" w:rsidRPr="00966346">
        <w:rPr>
          <w:rFonts w:ascii="Arial" w:hAnsi="Arial" w:cs="Arial"/>
          <w:sz w:val="24"/>
          <w:szCs w:val="24"/>
        </w:rPr>
        <w:t xml:space="preserve">ts/arm </w:t>
      </w:r>
      <w:r w:rsidR="002513A6" w:rsidRPr="00966346">
        <w:rPr>
          <w:rFonts w:ascii="Arial" w:hAnsi="Arial" w:cs="Arial"/>
          <w:sz w:val="24"/>
          <w:szCs w:val="24"/>
          <w:lang w:val="en-GB"/>
        </w:rPr>
        <w:t xml:space="preserve">(one-sided; </w:t>
      </w:r>
      <w:r w:rsidR="002513A6" w:rsidRPr="00966346">
        <w:rPr>
          <w:rFonts w:ascii="Arial" w:hAnsi="Arial" w:cs="Arial"/>
          <w:sz w:val="24"/>
          <w:szCs w:val="24"/>
        </w:rPr>
        <w:t xml:space="preserve">α 5%; </w:t>
      </w:r>
      <w:r w:rsidR="00841D76" w:rsidRPr="00966346">
        <w:rPr>
          <w:rFonts w:ascii="Arial" w:hAnsi="Arial" w:cs="Arial"/>
          <w:sz w:val="24"/>
          <w:szCs w:val="24"/>
        </w:rPr>
        <w:t>power 95%</w:t>
      </w:r>
      <w:r w:rsidR="002513A6" w:rsidRPr="00966346">
        <w:rPr>
          <w:rFonts w:ascii="Arial" w:hAnsi="Arial" w:cs="Arial"/>
          <w:sz w:val="24"/>
          <w:szCs w:val="24"/>
          <w:lang w:val="en-GB"/>
        </w:rPr>
        <w:t xml:space="preserve">) were required. Consolidation treatment would be </w:t>
      </w:r>
      <w:r w:rsidR="002513A6" w:rsidRPr="00966346">
        <w:rPr>
          <w:rFonts w:ascii="Arial" w:hAnsi="Arial" w:cs="Arial"/>
          <w:sz w:val="24"/>
          <w:szCs w:val="24"/>
        </w:rPr>
        <w:t>considered effective</w:t>
      </w:r>
      <w:r w:rsidR="002513A6" w:rsidRPr="00966346">
        <w:rPr>
          <w:rFonts w:ascii="Arial" w:hAnsi="Arial" w:cs="Arial"/>
          <w:sz w:val="24"/>
          <w:szCs w:val="24"/>
          <w:lang w:val="en-GB"/>
        </w:rPr>
        <w:t xml:space="preserve"> if ≥40</w:t>
      </w:r>
      <w:r w:rsidR="00423E79" w:rsidRPr="00966346">
        <w:rPr>
          <w:rFonts w:ascii="Arial" w:hAnsi="Arial" w:cs="Arial"/>
          <w:sz w:val="24"/>
          <w:szCs w:val="24"/>
          <w:lang w:val="en-GB"/>
        </w:rPr>
        <w:t xml:space="preserve"> out of 52</w:t>
      </w:r>
      <w:r w:rsidR="002513A6" w:rsidRPr="00966346">
        <w:rPr>
          <w:rFonts w:ascii="Arial" w:hAnsi="Arial" w:cs="Arial"/>
          <w:sz w:val="24"/>
          <w:szCs w:val="24"/>
          <w:lang w:val="en-GB"/>
        </w:rPr>
        <w:t xml:space="preserve"> p</w:t>
      </w:r>
      <w:r w:rsidR="00712CE9" w:rsidRPr="00966346">
        <w:rPr>
          <w:rFonts w:ascii="Arial" w:hAnsi="Arial" w:cs="Arial"/>
          <w:sz w:val="24"/>
          <w:szCs w:val="24"/>
          <w:lang w:val="en-GB"/>
        </w:rPr>
        <w:t>atien</w:t>
      </w:r>
      <w:r w:rsidR="002513A6" w:rsidRPr="00966346">
        <w:rPr>
          <w:rFonts w:ascii="Arial" w:hAnsi="Arial" w:cs="Arial"/>
          <w:sz w:val="24"/>
          <w:szCs w:val="24"/>
          <w:lang w:val="en-GB"/>
        </w:rPr>
        <w:t xml:space="preserve">ts </w:t>
      </w:r>
      <w:r w:rsidR="007415BB" w:rsidRPr="00966346">
        <w:rPr>
          <w:rFonts w:ascii="Arial" w:hAnsi="Arial" w:cs="Arial"/>
          <w:sz w:val="24"/>
          <w:szCs w:val="24"/>
          <w:lang w:val="en-GB"/>
        </w:rPr>
        <w:t xml:space="preserve">in each arm </w:t>
      </w:r>
      <w:r w:rsidR="002513A6" w:rsidRPr="00966346">
        <w:rPr>
          <w:rFonts w:ascii="Arial" w:hAnsi="Arial" w:cs="Arial"/>
          <w:sz w:val="24"/>
          <w:szCs w:val="24"/>
        </w:rPr>
        <w:t xml:space="preserve">were </w:t>
      </w:r>
      <w:r w:rsidR="002513A6" w:rsidRPr="00966346">
        <w:rPr>
          <w:rFonts w:ascii="Arial" w:hAnsi="Arial" w:cs="Arial"/>
          <w:sz w:val="24"/>
          <w:szCs w:val="24"/>
          <w:lang w:val="en-GB"/>
        </w:rPr>
        <w:t xml:space="preserve">progression-free </w:t>
      </w:r>
      <w:r w:rsidR="002513A6" w:rsidRPr="00966346">
        <w:rPr>
          <w:rFonts w:ascii="Arial" w:hAnsi="Arial" w:cs="Arial"/>
          <w:sz w:val="24"/>
          <w:szCs w:val="24"/>
        </w:rPr>
        <w:t xml:space="preserve">survivors </w:t>
      </w:r>
      <w:r w:rsidR="002513A6" w:rsidRPr="00966346">
        <w:rPr>
          <w:rFonts w:ascii="Arial" w:hAnsi="Arial" w:cs="Arial"/>
          <w:sz w:val="24"/>
          <w:szCs w:val="24"/>
          <w:lang w:val="en-GB"/>
        </w:rPr>
        <w:t xml:space="preserve">at 2 years. </w:t>
      </w:r>
      <w:r w:rsidR="00617016" w:rsidRPr="00966346">
        <w:rPr>
          <w:rFonts w:ascii="Arial" w:hAnsi="Arial" w:cs="Arial"/>
          <w:sz w:val="24"/>
          <w:szCs w:val="24"/>
        </w:rPr>
        <w:t xml:space="preserve">Analyses were performed on modified intention-to-treat bases. </w:t>
      </w:r>
      <w:r w:rsidR="002513A6" w:rsidRPr="00966346">
        <w:rPr>
          <w:rFonts w:ascii="Arial" w:hAnsi="Arial" w:cs="Arial"/>
          <w:sz w:val="24"/>
          <w:szCs w:val="24"/>
          <w:lang w:val="en-GB"/>
        </w:rPr>
        <w:t xml:space="preserve">Effects of treatments on </w:t>
      </w:r>
      <w:r w:rsidR="00AD30E5" w:rsidRPr="00966346">
        <w:rPr>
          <w:rFonts w:ascii="Arial" w:hAnsi="Arial" w:cs="Arial"/>
          <w:sz w:val="24"/>
          <w:szCs w:val="24"/>
          <w:lang w:val="en-GB"/>
        </w:rPr>
        <w:t>cognitive</w:t>
      </w:r>
      <w:r w:rsidR="002513A6" w:rsidRPr="00966346">
        <w:rPr>
          <w:rFonts w:ascii="Arial" w:hAnsi="Arial" w:cs="Arial"/>
          <w:sz w:val="24"/>
          <w:szCs w:val="24"/>
          <w:lang w:val="en-GB"/>
        </w:rPr>
        <w:t xml:space="preserve"> functions and QoL were assessed with the IPCG tests panel and EORTC-QLQ. </w:t>
      </w:r>
      <w:r w:rsidR="00057A6C" w:rsidRPr="00966346">
        <w:rPr>
          <w:rFonts w:ascii="Arial" w:hAnsi="Arial" w:cs="Arial"/>
          <w:sz w:val="24"/>
          <w:szCs w:val="24"/>
          <w:lang w:val="en-GB"/>
        </w:rPr>
        <w:t xml:space="preserve">This study is registered </w:t>
      </w:r>
      <w:r w:rsidR="00057A6C" w:rsidRPr="00966346">
        <w:rPr>
          <w:rFonts w:ascii="Arial" w:hAnsi="Arial" w:cs="Arial"/>
          <w:sz w:val="24"/>
          <w:szCs w:val="24"/>
        </w:rPr>
        <w:t>in the clinicaltrials.gov registry</w:t>
      </w:r>
      <w:r w:rsidR="00057A6C" w:rsidRPr="00966346">
        <w:rPr>
          <w:rFonts w:ascii="Arial" w:hAnsi="Arial" w:cs="Arial"/>
          <w:sz w:val="24"/>
          <w:szCs w:val="24"/>
          <w:lang w:val="en-GB"/>
        </w:rPr>
        <w:t xml:space="preserve">, number </w:t>
      </w:r>
      <w:r w:rsidR="00057A6C" w:rsidRPr="00966346">
        <w:rPr>
          <w:rFonts w:ascii="Arial" w:hAnsi="Arial" w:cs="Arial"/>
          <w:sz w:val="24"/>
          <w:szCs w:val="24"/>
        </w:rPr>
        <w:t>NCT01011920</w:t>
      </w:r>
      <w:r w:rsidR="00057A6C" w:rsidRPr="00966346">
        <w:rPr>
          <w:rFonts w:ascii="Arial" w:hAnsi="Arial" w:cs="Arial"/>
          <w:sz w:val="24"/>
          <w:szCs w:val="24"/>
          <w:lang w:val="en-GB"/>
        </w:rPr>
        <w:t xml:space="preserve">. </w:t>
      </w:r>
    </w:p>
    <w:p w14:paraId="0CBC50C9" w14:textId="77777777" w:rsidR="002513A6" w:rsidRPr="00966346" w:rsidRDefault="00057A6C" w:rsidP="006740A1">
      <w:pPr>
        <w:spacing w:after="0" w:line="360" w:lineRule="auto"/>
        <w:jc w:val="both"/>
        <w:rPr>
          <w:rFonts w:ascii="Arial" w:hAnsi="Arial" w:cs="Arial"/>
          <w:sz w:val="24"/>
          <w:szCs w:val="24"/>
        </w:rPr>
      </w:pPr>
      <w:r w:rsidRPr="00966346">
        <w:rPr>
          <w:rFonts w:ascii="Arial" w:hAnsi="Arial" w:cs="Arial"/>
          <w:b/>
          <w:sz w:val="24"/>
          <w:szCs w:val="24"/>
        </w:rPr>
        <w:t>Findings</w:t>
      </w:r>
      <w:r w:rsidR="00667FB4" w:rsidRPr="00966346">
        <w:rPr>
          <w:rFonts w:ascii="Arial" w:hAnsi="Arial" w:cs="Arial"/>
          <w:sz w:val="24"/>
          <w:szCs w:val="24"/>
        </w:rPr>
        <w:t xml:space="preserve">: </w:t>
      </w:r>
      <w:r w:rsidR="00902016" w:rsidRPr="00966346">
        <w:rPr>
          <w:rFonts w:ascii="Arial" w:hAnsi="Arial" w:cs="Arial"/>
          <w:bCs/>
          <w:iCs/>
          <w:sz w:val="24"/>
          <w:szCs w:val="24"/>
          <w:lang w:val="en-GB"/>
        </w:rPr>
        <w:t>Accrual</w:t>
      </w:r>
      <w:r w:rsidRPr="00966346">
        <w:rPr>
          <w:rFonts w:ascii="Arial" w:hAnsi="Arial" w:cs="Arial"/>
          <w:bCs/>
          <w:iCs/>
          <w:sz w:val="24"/>
          <w:szCs w:val="24"/>
          <w:lang w:val="en-GB"/>
        </w:rPr>
        <w:t xml:space="preserve"> was completed in August 2014: </w:t>
      </w:r>
      <w:r w:rsidR="008A7D01" w:rsidRPr="00966346">
        <w:rPr>
          <w:rFonts w:ascii="Arial" w:hAnsi="Arial" w:cs="Arial"/>
          <w:sz w:val="24"/>
          <w:szCs w:val="24"/>
        </w:rPr>
        <w:t xml:space="preserve">219 of </w:t>
      </w:r>
      <w:r w:rsidR="00667FB4" w:rsidRPr="00966346">
        <w:rPr>
          <w:rFonts w:ascii="Arial" w:hAnsi="Arial" w:cs="Arial"/>
          <w:sz w:val="24"/>
          <w:szCs w:val="24"/>
        </w:rPr>
        <w:t xml:space="preserve">227 </w:t>
      </w:r>
      <w:r w:rsidR="008A7D01" w:rsidRPr="00966346">
        <w:rPr>
          <w:rFonts w:ascii="Arial" w:hAnsi="Arial" w:cs="Arial"/>
          <w:sz w:val="24"/>
          <w:szCs w:val="24"/>
        </w:rPr>
        <w:t xml:space="preserve">enrolled </w:t>
      </w:r>
      <w:r w:rsidR="00667FB4" w:rsidRPr="00966346">
        <w:rPr>
          <w:rFonts w:ascii="Arial" w:hAnsi="Arial" w:cs="Arial"/>
          <w:sz w:val="24"/>
          <w:szCs w:val="24"/>
        </w:rPr>
        <w:t>p</w:t>
      </w:r>
      <w:r w:rsidR="001D08F2" w:rsidRPr="00966346">
        <w:rPr>
          <w:rFonts w:ascii="Arial" w:hAnsi="Arial" w:cs="Arial"/>
          <w:sz w:val="24"/>
          <w:szCs w:val="24"/>
        </w:rPr>
        <w:t>atien</w:t>
      </w:r>
      <w:r w:rsidR="00667FB4" w:rsidRPr="00966346">
        <w:rPr>
          <w:rFonts w:ascii="Arial" w:hAnsi="Arial" w:cs="Arial"/>
          <w:sz w:val="24"/>
          <w:szCs w:val="24"/>
        </w:rPr>
        <w:t xml:space="preserve">ts </w:t>
      </w:r>
      <w:r w:rsidR="008A7D01" w:rsidRPr="00966346">
        <w:rPr>
          <w:rFonts w:ascii="Arial" w:hAnsi="Arial" w:cs="Arial"/>
          <w:sz w:val="24"/>
          <w:szCs w:val="24"/>
        </w:rPr>
        <w:t>(</w:t>
      </w:r>
      <w:r w:rsidR="00667FB4" w:rsidRPr="00966346">
        <w:rPr>
          <w:rFonts w:ascii="Arial" w:hAnsi="Arial" w:cs="Arial"/>
          <w:sz w:val="24"/>
          <w:szCs w:val="24"/>
        </w:rPr>
        <w:t>5</w:t>
      </w:r>
      <w:r w:rsidR="00381514" w:rsidRPr="00966346">
        <w:rPr>
          <w:rFonts w:ascii="Arial" w:hAnsi="Arial" w:cs="Arial"/>
          <w:sz w:val="24"/>
          <w:szCs w:val="24"/>
        </w:rPr>
        <w:t>3</w:t>
      </w:r>
      <w:r w:rsidR="00667FB4" w:rsidRPr="00966346">
        <w:rPr>
          <w:rFonts w:ascii="Arial" w:hAnsi="Arial" w:cs="Arial"/>
          <w:sz w:val="24"/>
          <w:szCs w:val="24"/>
        </w:rPr>
        <w:t xml:space="preserve"> centers</w:t>
      </w:r>
      <w:r w:rsidR="008A7D01" w:rsidRPr="00966346">
        <w:rPr>
          <w:rFonts w:ascii="Arial" w:hAnsi="Arial" w:cs="Arial"/>
          <w:sz w:val="24"/>
          <w:szCs w:val="24"/>
        </w:rPr>
        <w:t>;</w:t>
      </w:r>
      <w:r w:rsidR="00667FB4" w:rsidRPr="00966346">
        <w:rPr>
          <w:rFonts w:ascii="Arial" w:hAnsi="Arial" w:cs="Arial"/>
          <w:sz w:val="24"/>
          <w:szCs w:val="24"/>
        </w:rPr>
        <w:t xml:space="preserve"> </w:t>
      </w:r>
      <w:r w:rsidR="00875881" w:rsidRPr="00966346">
        <w:rPr>
          <w:rFonts w:ascii="Arial" w:hAnsi="Arial" w:cs="Arial"/>
          <w:sz w:val="24"/>
          <w:szCs w:val="24"/>
        </w:rPr>
        <w:t>five</w:t>
      </w:r>
      <w:r w:rsidR="00667FB4" w:rsidRPr="00966346">
        <w:rPr>
          <w:rFonts w:ascii="Arial" w:hAnsi="Arial" w:cs="Arial"/>
          <w:sz w:val="24"/>
          <w:szCs w:val="24"/>
        </w:rPr>
        <w:t xml:space="preserve"> countries</w:t>
      </w:r>
      <w:r w:rsidR="008A7D01" w:rsidRPr="00966346">
        <w:rPr>
          <w:rFonts w:ascii="Arial" w:hAnsi="Arial" w:cs="Arial"/>
          <w:sz w:val="24"/>
          <w:szCs w:val="24"/>
        </w:rPr>
        <w:t>) were assessable</w:t>
      </w:r>
      <w:r w:rsidR="002513A6" w:rsidRPr="00966346">
        <w:rPr>
          <w:rFonts w:ascii="Arial" w:hAnsi="Arial" w:cs="Arial"/>
          <w:sz w:val="24"/>
          <w:szCs w:val="24"/>
        </w:rPr>
        <w:t xml:space="preserve">; </w:t>
      </w:r>
      <w:r w:rsidR="00432C10" w:rsidRPr="00966346">
        <w:rPr>
          <w:rFonts w:ascii="Arial" w:eastAsia="Times New Roman" w:hAnsi="Arial" w:cs="Arial"/>
          <w:sz w:val="24"/>
          <w:szCs w:val="24"/>
          <w:lang w:eastAsia="it-IT"/>
        </w:rPr>
        <w:t>12</w:t>
      </w:r>
      <w:r w:rsidR="001E22F7" w:rsidRPr="00966346">
        <w:rPr>
          <w:rFonts w:ascii="Arial" w:eastAsia="Times New Roman" w:hAnsi="Arial" w:cs="Arial"/>
          <w:sz w:val="24"/>
          <w:szCs w:val="24"/>
          <w:lang w:eastAsia="it-IT"/>
        </w:rPr>
        <w:t>2</w:t>
      </w:r>
      <w:r w:rsidR="00432C10" w:rsidRPr="00966346">
        <w:rPr>
          <w:rFonts w:ascii="Arial" w:eastAsia="Times New Roman" w:hAnsi="Arial" w:cs="Arial"/>
          <w:sz w:val="24"/>
          <w:szCs w:val="24"/>
          <w:lang w:eastAsia="it-IT"/>
        </w:rPr>
        <w:t xml:space="preserve"> patients (</w:t>
      </w:r>
      <w:r w:rsidR="00432C10" w:rsidRPr="00966346">
        <w:rPr>
          <w:rFonts w:ascii="Arial" w:eastAsia="Times New Roman" w:hAnsi="Arial" w:cs="Arial"/>
          <w:sz w:val="24"/>
          <w:szCs w:val="24"/>
          <w:lang w:val="en-GB" w:eastAsia="it-IT"/>
        </w:rPr>
        <w:t>3</w:t>
      </w:r>
      <w:r w:rsidR="001E22F7" w:rsidRPr="00966346">
        <w:rPr>
          <w:rFonts w:ascii="Arial" w:eastAsia="Times New Roman" w:hAnsi="Arial" w:cs="Arial"/>
          <w:sz w:val="24"/>
          <w:szCs w:val="24"/>
          <w:lang w:val="en-GB" w:eastAsia="it-IT"/>
        </w:rPr>
        <w:t>6</w:t>
      </w:r>
      <w:r w:rsidR="00432C10" w:rsidRPr="00966346">
        <w:rPr>
          <w:rFonts w:ascii="Arial" w:eastAsia="Times New Roman" w:hAnsi="Arial" w:cs="Arial"/>
          <w:sz w:val="24"/>
          <w:szCs w:val="24"/>
          <w:lang w:val="en-GB" w:eastAsia="it-IT"/>
        </w:rPr>
        <w:t xml:space="preserve"> patients in arm A, 3</w:t>
      </w:r>
      <w:r w:rsidR="001E22F7" w:rsidRPr="00966346">
        <w:rPr>
          <w:rFonts w:ascii="Arial" w:eastAsia="Times New Roman" w:hAnsi="Arial" w:cs="Arial"/>
          <w:sz w:val="24"/>
          <w:szCs w:val="24"/>
          <w:lang w:val="en-GB" w:eastAsia="it-IT"/>
        </w:rPr>
        <w:t>5</w:t>
      </w:r>
      <w:r w:rsidR="00432C10" w:rsidRPr="00966346">
        <w:rPr>
          <w:rFonts w:ascii="Arial" w:eastAsia="Times New Roman" w:hAnsi="Arial" w:cs="Arial"/>
          <w:sz w:val="24"/>
          <w:szCs w:val="24"/>
          <w:lang w:val="en-GB" w:eastAsia="it-IT"/>
        </w:rPr>
        <w:t xml:space="preserve"> in arm B and 51 in arm C) were eligible for the second randomization; </w:t>
      </w:r>
      <w:r w:rsidR="001E22F7" w:rsidRPr="00966346">
        <w:rPr>
          <w:rFonts w:ascii="Arial" w:eastAsia="Times New Roman" w:hAnsi="Arial" w:cs="Arial"/>
          <w:sz w:val="24"/>
          <w:szCs w:val="24"/>
          <w:lang w:val="en-GB" w:eastAsia="it-IT"/>
        </w:rPr>
        <w:t>four</w:t>
      </w:r>
      <w:r w:rsidR="00432C10" w:rsidRPr="00966346">
        <w:rPr>
          <w:rFonts w:ascii="Arial" w:eastAsia="Times New Roman" w:hAnsi="Arial" w:cs="Arial"/>
          <w:sz w:val="24"/>
          <w:szCs w:val="24"/>
          <w:lang w:val="en-GB" w:eastAsia="it-IT"/>
        </w:rPr>
        <w:t xml:space="preserve"> patients refused the randomization</w:t>
      </w:r>
      <w:r w:rsidR="002513A6" w:rsidRPr="00966346">
        <w:rPr>
          <w:rFonts w:ascii="Arial" w:hAnsi="Arial" w:cs="Arial"/>
          <w:sz w:val="24"/>
          <w:szCs w:val="24"/>
        </w:rPr>
        <w:t>; 118 patients were thus randomized (59 p</w:t>
      </w:r>
      <w:r w:rsidR="006740A1" w:rsidRPr="00966346">
        <w:rPr>
          <w:rFonts w:ascii="Arial" w:hAnsi="Arial" w:cs="Arial"/>
          <w:sz w:val="24"/>
          <w:szCs w:val="24"/>
        </w:rPr>
        <w:t>atien</w:t>
      </w:r>
      <w:r w:rsidR="002513A6" w:rsidRPr="00966346">
        <w:rPr>
          <w:rFonts w:ascii="Arial" w:hAnsi="Arial" w:cs="Arial"/>
          <w:sz w:val="24"/>
          <w:szCs w:val="24"/>
        </w:rPr>
        <w:t>ts/arm) and constitute the study population (</w:t>
      </w:r>
      <w:r w:rsidR="00902016" w:rsidRPr="00966346">
        <w:rPr>
          <w:rFonts w:ascii="Arial" w:hAnsi="Arial" w:cs="Arial"/>
          <w:sz w:val="24"/>
          <w:szCs w:val="24"/>
        </w:rPr>
        <w:t>median age 57 years; range 18-70; IQR 51-63)</w:t>
      </w:r>
      <w:r w:rsidR="002513A6" w:rsidRPr="00966346">
        <w:rPr>
          <w:rFonts w:ascii="Arial" w:hAnsi="Arial" w:cs="Arial"/>
          <w:sz w:val="24"/>
          <w:szCs w:val="24"/>
        </w:rPr>
        <w:t xml:space="preserve">. </w:t>
      </w:r>
    </w:p>
    <w:p w14:paraId="2F73D589" w14:textId="7323BA84" w:rsidR="00C26632" w:rsidRPr="00966346" w:rsidRDefault="00C26632" w:rsidP="00C26632">
      <w:pPr>
        <w:spacing w:after="0" w:line="360" w:lineRule="auto"/>
        <w:jc w:val="both"/>
        <w:rPr>
          <w:rFonts w:ascii="Arial" w:hAnsi="Arial" w:cs="Arial"/>
          <w:sz w:val="24"/>
          <w:szCs w:val="24"/>
        </w:rPr>
      </w:pPr>
      <w:r w:rsidRPr="00966346">
        <w:rPr>
          <w:rFonts w:ascii="Arial" w:hAnsi="Arial" w:cs="Arial"/>
          <w:sz w:val="24"/>
          <w:szCs w:val="24"/>
        </w:rPr>
        <w:lastRenderedPageBreak/>
        <w:t>Both WBRT and ASCT were active and resulted in significant improvement in complete remission rate: from 54% after induction to 95% (95%CI: 90-100) after consolidation in arm D</w:t>
      </w:r>
      <w:r w:rsidR="0065670A" w:rsidRPr="00966346">
        <w:rPr>
          <w:rFonts w:ascii="Arial" w:hAnsi="Arial" w:cs="Arial"/>
          <w:sz w:val="24"/>
          <w:szCs w:val="24"/>
        </w:rPr>
        <w:t>(WBRT)</w:t>
      </w:r>
      <w:r w:rsidRPr="00966346">
        <w:rPr>
          <w:rFonts w:ascii="Arial" w:hAnsi="Arial" w:cs="Arial"/>
          <w:sz w:val="24"/>
          <w:szCs w:val="24"/>
        </w:rPr>
        <w:t>, and from 53% to 93% (95%CI: 87-99) in arm E</w:t>
      </w:r>
      <w:r w:rsidR="0065670A" w:rsidRPr="00966346">
        <w:rPr>
          <w:rFonts w:ascii="Arial" w:hAnsi="Arial" w:cs="Arial"/>
          <w:sz w:val="24"/>
          <w:szCs w:val="24"/>
        </w:rPr>
        <w:t>(ASCT)</w:t>
      </w:r>
      <w:r w:rsidRPr="00966346">
        <w:rPr>
          <w:rFonts w:ascii="Arial" w:hAnsi="Arial" w:cs="Arial"/>
          <w:sz w:val="24"/>
          <w:szCs w:val="24"/>
        </w:rPr>
        <w:t>. After a median follow-up of 40 months (range 24-76; IQR 32-49), there were 20 events in arm D</w:t>
      </w:r>
      <w:r w:rsidR="0065670A" w:rsidRPr="00966346">
        <w:rPr>
          <w:rFonts w:ascii="Arial" w:hAnsi="Arial" w:cs="Arial"/>
          <w:sz w:val="24"/>
          <w:szCs w:val="24"/>
        </w:rPr>
        <w:t>(WBRT)</w:t>
      </w:r>
      <w:r w:rsidRPr="00966346">
        <w:rPr>
          <w:rFonts w:ascii="Arial" w:hAnsi="Arial" w:cs="Arial"/>
          <w:sz w:val="24"/>
          <w:szCs w:val="24"/>
        </w:rPr>
        <w:t>, and 25 in arm E</w:t>
      </w:r>
      <w:r w:rsidR="0065670A" w:rsidRPr="00966346">
        <w:rPr>
          <w:rFonts w:ascii="Arial" w:hAnsi="Arial" w:cs="Arial"/>
          <w:sz w:val="24"/>
          <w:szCs w:val="24"/>
        </w:rPr>
        <w:t>(ASCT)</w:t>
      </w:r>
      <w:r w:rsidRPr="00966346">
        <w:rPr>
          <w:rFonts w:ascii="Arial" w:hAnsi="Arial" w:cs="Arial"/>
          <w:sz w:val="24"/>
          <w:szCs w:val="24"/>
        </w:rPr>
        <w:t xml:space="preserve">. WBRT and ASCT were both effective, and achieved the </w:t>
      </w:r>
      <w:r w:rsidRPr="00966346">
        <w:rPr>
          <w:rFonts w:ascii="Arial" w:hAnsi="Arial" w:cs="Arial"/>
          <w:sz w:val="24"/>
          <w:szCs w:val="24"/>
          <w:lang w:val="en-GB"/>
        </w:rPr>
        <w:t xml:space="preserve">pre-determined </w:t>
      </w:r>
      <w:r w:rsidRPr="00966346">
        <w:rPr>
          <w:rFonts w:ascii="Arial" w:hAnsi="Arial" w:cs="Arial"/>
          <w:sz w:val="24"/>
          <w:szCs w:val="24"/>
        </w:rPr>
        <w:t>efficacy threshold</w:t>
      </w:r>
      <w:r w:rsidR="00423E79" w:rsidRPr="00966346">
        <w:rPr>
          <w:rFonts w:ascii="Arial" w:hAnsi="Arial" w:cs="Arial"/>
          <w:sz w:val="24"/>
          <w:szCs w:val="24"/>
        </w:rPr>
        <w:t xml:space="preserve"> of at least</w:t>
      </w:r>
      <w:r w:rsidRPr="00966346">
        <w:rPr>
          <w:rFonts w:ascii="Arial" w:hAnsi="Arial" w:cs="Arial"/>
          <w:sz w:val="24"/>
          <w:szCs w:val="24"/>
        </w:rPr>
        <w:t xml:space="preserve"> 40 progression-free survivors at 2 years among both the first 52 arm-D and 52 arm-E patients. There were no significant differences in PFS between WBRT and ASCT, with a 2-year PFS of </w:t>
      </w:r>
      <w:r w:rsidR="00C35D8E" w:rsidRPr="00966346">
        <w:rPr>
          <w:rFonts w:ascii="Arial" w:eastAsia="Times New Roman" w:hAnsi="Arial" w:cs="Arial"/>
          <w:sz w:val="24"/>
          <w:szCs w:val="24"/>
          <w:lang w:eastAsia="it-IT"/>
        </w:rPr>
        <w:t xml:space="preserve">80% (95%CI=70-90%) </w:t>
      </w:r>
      <w:r w:rsidRPr="00966346">
        <w:rPr>
          <w:rFonts w:ascii="Arial" w:hAnsi="Arial" w:cs="Arial"/>
          <w:sz w:val="24"/>
          <w:szCs w:val="24"/>
        </w:rPr>
        <w:t xml:space="preserve">and </w:t>
      </w:r>
      <w:r w:rsidR="00C35D8E" w:rsidRPr="00966346">
        <w:rPr>
          <w:rFonts w:ascii="Arial" w:eastAsia="Times New Roman" w:hAnsi="Arial" w:cs="Arial"/>
          <w:sz w:val="24"/>
          <w:szCs w:val="24"/>
          <w:lang w:eastAsia="it-IT"/>
        </w:rPr>
        <w:t>69% (95%CI= 59-79%)</w:t>
      </w:r>
      <w:r w:rsidR="00C35D8E" w:rsidRPr="00966346">
        <w:rPr>
          <w:rFonts w:ascii="Arial" w:hAnsi="Arial" w:cs="Arial"/>
          <w:sz w:val="24"/>
          <w:szCs w:val="24"/>
        </w:rPr>
        <w:t xml:space="preserve"> </w:t>
      </w:r>
      <w:r w:rsidRPr="00966346">
        <w:rPr>
          <w:rFonts w:ascii="Arial" w:hAnsi="Arial" w:cs="Arial"/>
          <w:sz w:val="24"/>
          <w:szCs w:val="24"/>
        </w:rPr>
        <w:t>(</w:t>
      </w:r>
      <w:r w:rsidR="00C35D8E" w:rsidRPr="00966346">
        <w:rPr>
          <w:rFonts w:ascii="Arial" w:eastAsia="Times New Roman" w:hAnsi="Arial" w:cs="Arial"/>
          <w:sz w:val="24"/>
          <w:szCs w:val="24"/>
          <w:lang w:eastAsia="it-IT"/>
        </w:rPr>
        <w:t>p= 0·17; HR=1·50, 95%CI=0·83-2·71</w:t>
      </w:r>
      <w:r w:rsidRPr="00966346">
        <w:rPr>
          <w:rFonts w:ascii="Arial" w:hAnsi="Arial" w:cs="Arial"/>
          <w:sz w:val="24"/>
          <w:szCs w:val="24"/>
        </w:rPr>
        <w:t>), respectively. Forty-two patients randomized to arm D</w:t>
      </w:r>
      <w:r w:rsidR="0065670A" w:rsidRPr="00966346">
        <w:rPr>
          <w:rFonts w:ascii="Arial" w:hAnsi="Arial" w:cs="Arial"/>
          <w:sz w:val="24"/>
          <w:szCs w:val="24"/>
        </w:rPr>
        <w:t>(WBRT)</w:t>
      </w:r>
      <w:r w:rsidRPr="00966346">
        <w:rPr>
          <w:rFonts w:ascii="Arial" w:hAnsi="Arial" w:cs="Arial"/>
          <w:sz w:val="24"/>
          <w:szCs w:val="24"/>
        </w:rPr>
        <w:t xml:space="preserve"> and 37 randomized to arm E</w:t>
      </w:r>
      <w:r w:rsidR="0065670A" w:rsidRPr="00966346">
        <w:rPr>
          <w:rFonts w:ascii="Arial" w:hAnsi="Arial" w:cs="Arial"/>
          <w:sz w:val="24"/>
          <w:szCs w:val="24"/>
        </w:rPr>
        <w:t>(ASCT)</w:t>
      </w:r>
      <w:r w:rsidRPr="00966346">
        <w:rPr>
          <w:rFonts w:ascii="Arial" w:hAnsi="Arial" w:cs="Arial"/>
          <w:sz w:val="24"/>
          <w:szCs w:val="24"/>
        </w:rPr>
        <w:t xml:space="preserve"> are alive, with 2-year OS of 85% (95%CI:75-95%) and 71% (95%CI:60-82%) (p=0·12), respectively. </w:t>
      </w:r>
    </w:p>
    <w:p w14:paraId="09D3AA30" w14:textId="6E2C800F" w:rsidR="002513A6" w:rsidRPr="00966346" w:rsidRDefault="002513A6" w:rsidP="007F3E1C">
      <w:pPr>
        <w:spacing w:after="0" w:line="360" w:lineRule="auto"/>
        <w:jc w:val="both"/>
        <w:rPr>
          <w:rFonts w:ascii="Arial" w:hAnsi="Arial" w:cs="Arial"/>
          <w:sz w:val="24"/>
          <w:szCs w:val="24"/>
        </w:rPr>
      </w:pPr>
      <w:r w:rsidRPr="00966346">
        <w:rPr>
          <w:rFonts w:ascii="Arial" w:hAnsi="Arial" w:cs="Arial"/>
          <w:sz w:val="24"/>
          <w:szCs w:val="24"/>
        </w:rPr>
        <w:t>Both consolidation therapies were well tolerated. Grade</w:t>
      </w:r>
      <w:r w:rsidR="00DA70CD" w:rsidRPr="00966346">
        <w:rPr>
          <w:rFonts w:ascii="Arial" w:hAnsi="Arial" w:cs="Arial"/>
          <w:sz w:val="24"/>
          <w:szCs w:val="24"/>
        </w:rPr>
        <w:t>-</w:t>
      </w:r>
      <w:r w:rsidRPr="00966346">
        <w:rPr>
          <w:rFonts w:ascii="Arial" w:hAnsi="Arial" w:cs="Arial"/>
          <w:sz w:val="24"/>
          <w:szCs w:val="24"/>
        </w:rPr>
        <w:t xml:space="preserve">4 </w:t>
      </w:r>
      <w:r w:rsidR="00DA70CD" w:rsidRPr="00966346">
        <w:rPr>
          <w:rFonts w:ascii="Arial" w:hAnsi="Arial" w:cs="Arial"/>
          <w:sz w:val="24"/>
          <w:szCs w:val="24"/>
        </w:rPr>
        <w:t xml:space="preserve">non-hematological </w:t>
      </w:r>
      <w:r w:rsidRPr="00966346">
        <w:rPr>
          <w:rFonts w:ascii="Arial" w:hAnsi="Arial" w:cs="Arial"/>
          <w:sz w:val="24"/>
          <w:szCs w:val="24"/>
        </w:rPr>
        <w:t xml:space="preserve">toxicity was uncommon; as expected, hematological toxicity was more common in </w:t>
      </w:r>
      <w:r w:rsidR="0072423D" w:rsidRPr="00966346">
        <w:rPr>
          <w:rFonts w:ascii="Arial" w:hAnsi="Arial" w:cs="Arial"/>
          <w:sz w:val="24"/>
          <w:szCs w:val="24"/>
        </w:rPr>
        <w:t>arm E(ASCT)</w:t>
      </w:r>
      <w:r w:rsidRPr="00966346">
        <w:rPr>
          <w:rFonts w:ascii="Arial" w:hAnsi="Arial" w:cs="Arial"/>
          <w:sz w:val="24"/>
          <w:szCs w:val="24"/>
        </w:rPr>
        <w:t xml:space="preserve">. There were </w:t>
      </w:r>
      <w:r w:rsidR="00875881" w:rsidRPr="00966346">
        <w:rPr>
          <w:rFonts w:ascii="Arial" w:hAnsi="Arial" w:cs="Arial"/>
          <w:sz w:val="24"/>
          <w:szCs w:val="24"/>
        </w:rPr>
        <w:t>two</w:t>
      </w:r>
      <w:r w:rsidRPr="00966346">
        <w:rPr>
          <w:rFonts w:ascii="Arial" w:hAnsi="Arial" w:cs="Arial"/>
          <w:sz w:val="24"/>
          <w:szCs w:val="24"/>
        </w:rPr>
        <w:t xml:space="preserve"> toxic deaths (infections), both in </w:t>
      </w:r>
      <w:r w:rsidR="0072423D" w:rsidRPr="00966346">
        <w:rPr>
          <w:rFonts w:ascii="Arial" w:hAnsi="Arial" w:cs="Arial"/>
          <w:sz w:val="24"/>
          <w:szCs w:val="24"/>
        </w:rPr>
        <w:t>arm E(ASCT)</w:t>
      </w:r>
      <w:r w:rsidRPr="00966346">
        <w:rPr>
          <w:rFonts w:ascii="Arial" w:hAnsi="Arial" w:cs="Arial"/>
          <w:sz w:val="24"/>
          <w:szCs w:val="24"/>
        </w:rPr>
        <w:t xml:space="preserve">. Neuropsychological tests showed a significant impairment of attention/executive functions </w:t>
      </w:r>
      <w:r w:rsidR="001814A0" w:rsidRPr="00966346">
        <w:rPr>
          <w:rFonts w:ascii="Arial" w:hAnsi="Arial" w:cs="Arial"/>
          <w:sz w:val="24"/>
          <w:szCs w:val="24"/>
        </w:rPr>
        <w:t>after</w:t>
      </w:r>
      <w:r w:rsidRPr="00966346">
        <w:rPr>
          <w:rFonts w:ascii="Arial" w:hAnsi="Arial" w:cs="Arial"/>
          <w:sz w:val="24"/>
          <w:szCs w:val="24"/>
        </w:rPr>
        <w:t xml:space="preserve"> WBRT, whereas patients treated with ASCT exhibited improve</w:t>
      </w:r>
      <w:r w:rsidR="006740A1" w:rsidRPr="00966346">
        <w:rPr>
          <w:rFonts w:ascii="Arial" w:hAnsi="Arial" w:cs="Arial"/>
          <w:sz w:val="24"/>
          <w:szCs w:val="24"/>
        </w:rPr>
        <w:t>ment in most</w:t>
      </w:r>
      <w:r w:rsidRPr="00966346">
        <w:rPr>
          <w:rFonts w:ascii="Arial" w:hAnsi="Arial" w:cs="Arial"/>
          <w:sz w:val="24"/>
          <w:szCs w:val="24"/>
        </w:rPr>
        <w:t xml:space="preserve"> </w:t>
      </w:r>
      <w:r w:rsidR="006740A1" w:rsidRPr="00966346">
        <w:rPr>
          <w:rFonts w:ascii="Arial" w:hAnsi="Arial" w:cs="Arial"/>
          <w:sz w:val="24"/>
          <w:szCs w:val="24"/>
        </w:rPr>
        <w:t xml:space="preserve">cognitive </w:t>
      </w:r>
      <w:r w:rsidRPr="00966346">
        <w:rPr>
          <w:rFonts w:ascii="Arial" w:hAnsi="Arial" w:cs="Arial"/>
          <w:sz w:val="24"/>
          <w:szCs w:val="24"/>
        </w:rPr>
        <w:t xml:space="preserve">functions and QoL. </w:t>
      </w:r>
    </w:p>
    <w:p w14:paraId="18349682" w14:textId="77777777" w:rsidR="00057A6C" w:rsidRPr="00966346" w:rsidRDefault="00057A6C" w:rsidP="007F3E1C">
      <w:pPr>
        <w:spacing w:after="0" w:line="360" w:lineRule="auto"/>
        <w:jc w:val="both"/>
        <w:rPr>
          <w:rFonts w:ascii="Arial" w:hAnsi="Arial" w:cs="Arial"/>
          <w:sz w:val="24"/>
          <w:szCs w:val="24"/>
          <w:lang w:val="en-GB"/>
        </w:rPr>
      </w:pPr>
      <w:r w:rsidRPr="00966346">
        <w:rPr>
          <w:rFonts w:ascii="Arial" w:hAnsi="Arial" w:cs="Arial"/>
          <w:b/>
          <w:sz w:val="24"/>
          <w:szCs w:val="24"/>
        </w:rPr>
        <w:t>Interpretation</w:t>
      </w:r>
      <w:r w:rsidR="00667FB4" w:rsidRPr="00966346">
        <w:rPr>
          <w:rFonts w:ascii="Arial" w:hAnsi="Arial" w:cs="Arial"/>
          <w:sz w:val="24"/>
          <w:szCs w:val="24"/>
        </w:rPr>
        <w:t xml:space="preserve">: </w:t>
      </w:r>
      <w:r w:rsidR="002513A6" w:rsidRPr="00966346">
        <w:rPr>
          <w:rFonts w:ascii="Arial" w:hAnsi="Arial" w:cs="Arial"/>
          <w:sz w:val="24"/>
          <w:szCs w:val="24"/>
        </w:rPr>
        <w:t>WBRT and ASCT are both feasible and effective as consolidation therapies after high-dose-</w:t>
      </w:r>
      <w:r w:rsidR="00B20BC6" w:rsidRPr="00966346">
        <w:rPr>
          <w:rFonts w:ascii="Arial" w:hAnsi="Arial" w:cs="Arial"/>
          <w:sz w:val="24"/>
          <w:szCs w:val="24"/>
        </w:rPr>
        <w:t>methotrexate</w:t>
      </w:r>
      <w:r w:rsidR="002513A6" w:rsidRPr="00966346">
        <w:rPr>
          <w:rFonts w:ascii="Arial" w:hAnsi="Arial" w:cs="Arial"/>
          <w:sz w:val="24"/>
          <w:szCs w:val="24"/>
        </w:rPr>
        <w:t>-based chemoimmunotherapy in p</w:t>
      </w:r>
      <w:r w:rsidR="00B20BC6" w:rsidRPr="00966346">
        <w:rPr>
          <w:rFonts w:ascii="Arial" w:hAnsi="Arial" w:cs="Arial"/>
          <w:sz w:val="24"/>
          <w:szCs w:val="24"/>
        </w:rPr>
        <w:t>atien</w:t>
      </w:r>
      <w:r w:rsidR="002513A6" w:rsidRPr="00966346">
        <w:rPr>
          <w:rFonts w:ascii="Arial" w:hAnsi="Arial" w:cs="Arial"/>
          <w:sz w:val="24"/>
          <w:szCs w:val="24"/>
        </w:rPr>
        <w:t>ts ≤70 y</w:t>
      </w:r>
      <w:r w:rsidR="00DA70CD" w:rsidRPr="00966346">
        <w:rPr>
          <w:rFonts w:ascii="Arial" w:hAnsi="Arial" w:cs="Arial"/>
          <w:sz w:val="24"/>
          <w:szCs w:val="24"/>
        </w:rPr>
        <w:t>ear</w:t>
      </w:r>
      <w:r w:rsidR="002513A6" w:rsidRPr="00966346">
        <w:rPr>
          <w:rFonts w:ascii="Arial" w:hAnsi="Arial" w:cs="Arial"/>
          <w:sz w:val="24"/>
          <w:szCs w:val="24"/>
        </w:rPr>
        <w:t xml:space="preserve">s with PCNSL. </w:t>
      </w:r>
      <w:r w:rsidR="007415BB" w:rsidRPr="00966346">
        <w:rPr>
          <w:rFonts w:ascii="Arial" w:hAnsi="Arial" w:cs="Arial"/>
          <w:sz w:val="24"/>
          <w:szCs w:val="24"/>
        </w:rPr>
        <w:t>The risks and implications of cognitive</w:t>
      </w:r>
      <w:r w:rsidR="002513A6" w:rsidRPr="00966346">
        <w:rPr>
          <w:rFonts w:ascii="Arial" w:hAnsi="Arial" w:cs="Arial"/>
          <w:sz w:val="24"/>
          <w:szCs w:val="24"/>
        </w:rPr>
        <w:t xml:space="preserve"> impairment after WBRT should be considered at the time of therapeutic decision.</w:t>
      </w:r>
      <w:r w:rsidR="00840119" w:rsidRPr="00966346">
        <w:rPr>
          <w:rFonts w:ascii="Arial" w:hAnsi="Arial" w:cs="Arial"/>
          <w:sz w:val="24"/>
          <w:szCs w:val="24"/>
        </w:rPr>
        <w:t xml:space="preserve"> </w:t>
      </w:r>
    </w:p>
    <w:p w14:paraId="347EAD01" w14:textId="463A738C" w:rsidR="00CB7064" w:rsidRPr="00966346" w:rsidRDefault="00057A6C" w:rsidP="007F3E1C">
      <w:pPr>
        <w:spacing w:after="0" w:line="360" w:lineRule="auto"/>
        <w:jc w:val="both"/>
        <w:rPr>
          <w:rFonts w:ascii="Arial" w:hAnsi="Arial" w:cs="Arial"/>
          <w:sz w:val="24"/>
          <w:szCs w:val="24"/>
        </w:rPr>
      </w:pPr>
      <w:r w:rsidRPr="00966346">
        <w:rPr>
          <w:rFonts w:ascii="Arial" w:hAnsi="Arial" w:cs="Arial"/>
          <w:b/>
          <w:sz w:val="24"/>
          <w:szCs w:val="24"/>
          <w:lang w:val="en-GB"/>
        </w:rPr>
        <w:t>Funding</w:t>
      </w:r>
      <w:r w:rsidRPr="00966346">
        <w:rPr>
          <w:rFonts w:ascii="Arial" w:hAnsi="Arial" w:cs="Arial"/>
          <w:sz w:val="24"/>
          <w:szCs w:val="24"/>
          <w:lang w:val="en-GB"/>
        </w:rPr>
        <w:t>:</w:t>
      </w:r>
      <w:r w:rsidR="00D5357A" w:rsidRPr="00966346">
        <w:rPr>
          <w:rFonts w:ascii="Arial" w:hAnsi="Arial" w:cs="Arial"/>
          <w:sz w:val="24"/>
          <w:szCs w:val="24"/>
        </w:rPr>
        <w:t xml:space="preserve"> </w:t>
      </w:r>
      <w:proofErr w:type="spellStart"/>
      <w:r w:rsidR="00D5357A" w:rsidRPr="00966346">
        <w:rPr>
          <w:rFonts w:ascii="Arial" w:hAnsi="Arial" w:cs="Arial"/>
          <w:sz w:val="24"/>
          <w:szCs w:val="24"/>
        </w:rPr>
        <w:t>A</w:t>
      </w:r>
      <w:r w:rsidR="002B01D9" w:rsidRPr="00966346">
        <w:rPr>
          <w:rFonts w:ascii="Arial" w:hAnsi="Arial" w:cs="Arial"/>
          <w:sz w:val="24"/>
          <w:szCs w:val="24"/>
        </w:rPr>
        <w:t>genzia</w:t>
      </w:r>
      <w:proofErr w:type="spellEnd"/>
      <w:r w:rsidR="00D5357A" w:rsidRPr="00966346">
        <w:rPr>
          <w:rFonts w:ascii="Arial" w:hAnsi="Arial" w:cs="Arial"/>
          <w:sz w:val="24"/>
          <w:szCs w:val="24"/>
        </w:rPr>
        <w:t xml:space="preserve"> </w:t>
      </w:r>
      <w:proofErr w:type="spellStart"/>
      <w:r w:rsidR="00D5357A" w:rsidRPr="00966346">
        <w:rPr>
          <w:rFonts w:ascii="Arial" w:hAnsi="Arial" w:cs="Arial"/>
          <w:sz w:val="24"/>
          <w:szCs w:val="24"/>
        </w:rPr>
        <w:t>Italiana</w:t>
      </w:r>
      <w:proofErr w:type="spellEnd"/>
      <w:r w:rsidR="00D5357A" w:rsidRPr="00966346">
        <w:rPr>
          <w:rFonts w:ascii="Arial" w:hAnsi="Arial" w:cs="Arial"/>
          <w:sz w:val="24"/>
          <w:szCs w:val="24"/>
        </w:rPr>
        <w:t xml:space="preserve"> del </w:t>
      </w:r>
      <w:proofErr w:type="spellStart"/>
      <w:r w:rsidR="00D5357A" w:rsidRPr="00966346">
        <w:rPr>
          <w:rFonts w:ascii="Arial" w:hAnsi="Arial" w:cs="Arial"/>
          <w:sz w:val="24"/>
          <w:szCs w:val="24"/>
        </w:rPr>
        <w:t>Farmaco</w:t>
      </w:r>
      <w:proofErr w:type="spellEnd"/>
      <w:r w:rsidR="00D5357A" w:rsidRPr="00966346">
        <w:rPr>
          <w:rFonts w:ascii="Arial" w:hAnsi="Arial" w:cs="Arial"/>
          <w:sz w:val="24"/>
          <w:szCs w:val="24"/>
        </w:rPr>
        <w:t xml:space="preserve">, Cancer Research UK, </w:t>
      </w:r>
      <w:proofErr w:type="spellStart"/>
      <w:r w:rsidR="00D5357A" w:rsidRPr="00966346">
        <w:rPr>
          <w:rFonts w:ascii="Arial" w:hAnsi="Arial" w:cs="Arial"/>
          <w:sz w:val="24"/>
          <w:szCs w:val="24"/>
        </w:rPr>
        <w:t>Oncosuisse</w:t>
      </w:r>
      <w:proofErr w:type="spellEnd"/>
      <w:r w:rsidR="00D5357A" w:rsidRPr="00966346">
        <w:rPr>
          <w:rFonts w:ascii="Arial" w:hAnsi="Arial" w:cs="Arial"/>
          <w:sz w:val="24"/>
          <w:szCs w:val="24"/>
        </w:rPr>
        <w:t xml:space="preserve">, Swiss National </w:t>
      </w:r>
      <w:r w:rsidR="00164882" w:rsidRPr="00966346">
        <w:rPr>
          <w:rFonts w:ascii="Arial" w:hAnsi="Arial" w:cs="Arial"/>
          <w:sz w:val="24"/>
          <w:szCs w:val="24"/>
        </w:rPr>
        <w:t xml:space="preserve">Science </w:t>
      </w:r>
      <w:r w:rsidR="00D5357A" w:rsidRPr="00966346">
        <w:rPr>
          <w:rFonts w:ascii="Arial" w:hAnsi="Arial" w:cs="Arial"/>
          <w:sz w:val="24"/>
          <w:szCs w:val="24"/>
        </w:rPr>
        <w:t>Foundation.</w:t>
      </w:r>
      <w:r w:rsidR="00CB57CB" w:rsidRPr="00966346">
        <w:rPr>
          <w:rFonts w:ascii="Arial" w:hAnsi="Arial" w:cs="Arial"/>
          <w:sz w:val="24"/>
          <w:szCs w:val="24"/>
        </w:rPr>
        <w:t xml:space="preserve"> </w:t>
      </w:r>
    </w:p>
    <w:p w14:paraId="7ABFC68B" w14:textId="77777777" w:rsidR="00667FB4" w:rsidRPr="00966346" w:rsidRDefault="00667FB4" w:rsidP="007F3E1C">
      <w:pPr>
        <w:spacing w:after="0" w:line="360" w:lineRule="auto"/>
        <w:jc w:val="both"/>
        <w:rPr>
          <w:rFonts w:ascii="Arial" w:hAnsi="Arial" w:cs="Arial"/>
          <w:sz w:val="24"/>
          <w:szCs w:val="24"/>
        </w:rPr>
      </w:pPr>
    </w:p>
    <w:p w14:paraId="2A30B1C4" w14:textId="77777777" w:rsidR="00C26632" w:rsidRPr="00966346" w:rsidRDefault="00CB57CB" w:rsidP="007F3E1C">
      <w:pPr>
        <w:spacing w:after="0" w:line="360" w:lineRule="auto"/>
        <w:jc w:val="both"/>
        <w:rPr>
          <w:rFonts w:ascii="Arial" w:hAnsi="Arial" w:cs="Arial"/>
          <w:sz w:val="24"/>
          <w:szCs w:val="24"/>
        </w:rPr>
      </w:pPr>
      <w:r w:rsidRPr="00966346">
        <w:rPr>
          <w:rFonts w:ascii="Arial" w:hAnsi="Arial" w:cs="Arial"/>
          <w:sz w:val="24"/>
          <w:szCs w:val="24"/>
          <w:u w:val="single"/>
        </w:rPr>
        <w:t>Key words</w:t>
      </w:r>
      <w:r w:rsidRPr="00966346">
        <w:rPr>
          <w:rFonts w:ascii="Arial" w:hAnsi="Arial" w:cs="Arial"/>
          <w:sz w:val="24"/>
          <w:szCs w:val="24"/>
        </w:rPr>
        <w:t xml:space="preserve">: </w:t>
      </w:r>
      <w:r w:rsidR="006222CE" w:rsidRPr="00966346">
        <w:rPr>
          <w:rFonts w:ascii="Arial" w:hAnsi="Arial" w:cs="Arial"/>
          <w:sz w:val="24"/>
          <w:szCs w:val="24"/>
        </w:rPr>
        <w:t xml:space="preserve">brain lymphoma, </w:t>
      </w:r>
      <w:r w:rsidR="000932CC" w:rsidRPr="00966346">
        <w:rPr>
          <w:rFonts w:ascii="Arial" w:hAnsi="Arial" w:cs="Arial"/>
          <w:sz w:val="24"/>
          <w:szCs w:val="24"/>
        </w:rPr>
        <w:t xml:space="preserve">primary </w:t>
      </w:r>
      <w:r w:rsidR="006222CE" w:rsidRPr="00966346">
        <w:rPr>
          <w:rFonts w:ascii="Arial" w:hAnsi="Arial" w:cs="Arial"/>
          <w:sz w:val="24"/>
          <w:szCs w:val="24"/>
        </w:rPr>
        <w:t xml:space="preserve">CNS lymphoma, </w:t>
      </w:r>
      <w:r w:rsidR="002513A6" w:rsidRPr="00966346">
        <w:rPr>
          <w:rFonts w:ascii="Arial" w:hAnsi="Arial" w:cs="Arial"/>
          <w:sz w:val="24"/>
          <w:szCs w:val="24"/>
        </w:rPr>
        <w:t>radiotherapy, autologous stem cell transplantation</w:t>
      </w:r>
      <w:r w:rsidR="00260A2E" w:rsidRPr="00966346">
        <w:rPr>
          <w:rFonts w:ascii="Arial" w:hAnsi="Arial" w:cs="Arial"/>
          <w:sz w:val="24"/>
          <w:szCs w:val="24"/>
        </w:rPr>
        <w:t>, cognitive functions</w:t>
      </w:r>
      <w:r w:rsidR="006222CE" w:rsidRPr="00966346">
        <w:rPr>
          <w:rFonts w:ascii="Arial" w:hAnsi="Arial" w:cs="Arial"/>
          <w:sz w:val="24"/>
          <w:szCs w:val="24"/>
        </w:rPr>
        <w:t>.</w:t>
      </w:r>
    </w:p>
    <w:p w14:paraId="29207C01" w14:textId="77777777" w:rsidR="00DA70CD" w:rsidRPr="00966346" w:rsidRDefault="00DA70CD" w:rsidP="007F3E1C">
      <w:pPr>
        <w:spacing w:after="0" w:line="360" w:lineRule="auto"/>
        <w:jc w:val="both"/>
        <w:rPr>
          <w:rFonts w:ascii="Arial" w:hAnsi="Arial" w:cs="Arial"/>
          <w:b/>
          <w:sz w:val="24"/>
          <w:szCs w:val="24"/>
        </w:rPr>
      </w:pPr>
    </w:p>
    <w:p w14:paraId="5E41F6FF" w14:textId="77777777" w:rsidR="00DA70CD" w:rsidRPr="00966346" w:rsidRDefault="00DA70CD">
      <w:pPr>
        <w:rPr>
          <w:rFonts w:ascii="Arial" w:hAnsi="Arial" w:cs="Arial"/>
          <w:b/>
          <w:sz w:val="24"/>
          <w:szCs w:val="24"/>
        </w:rPr>
      </w:pPr>
      <w:r w:rsidRPr="00966346">
        <w:rPr>
          <w:rFonts w:ascii="Arial" w:hAnsi="Arial" w:cs="Arial"/>
          <w:b/>
          <w:sz w:val="24"/>
          <w:szCs w:val="24"/>
        </w:rPr>
        <w:br w:type="page"/>
      </w:r>
    </w:p>
    <w:p w14:paraId="23AD7D2A" w14:textId="77777777" w:rsidR="00FF3579" w:rsidRPr="00966346" w:rsidRDefault="006222CE" w:rsidP="007F3E1C">
      <w:pPr>
        <w:spacing w:after="0" w:line="360" w:lineRule="auto"/>
        <w:jc w:val="both"/>
        <w:rPr>
          <w:rFonts w:ascii="Arial" w:hAnsi="Arial" w:cs="Arial"/>
          <w:sz w:val="24"/>
          <w:szCs w:val="24"/>
        </w:rPr>
      </w:pPr>
      <w:r w:rsidRPr="00966346">
        <w:rPr>
          <w:rFonts w:ascii="Arial" w:hAnsi="Arial" w:cs="Arial"/>
          <w:b/>
          <w:sz w:val="24"/>
          <w:szCs w:val="24"/>
        </w:rPr>
        <w:lastRenderedPageBreak/>
        <w:t>INTRODUCTION</w:t>
      </w:r>
    </w:p>
    <w:p w14:paraId="51A776A5" w14:textId="14C6979C" w:rsidR="00C0187C" w:rsidRPr="00966346" w:rsidRDefault="002B01D9" w:rsidP="007B27AF">
      <w:pPr>
        <w:spacing w:after="0" w:line="360" w:lineRule="auto"/>
        <w:jc w:val="both"/>
        <w:rPr>
          <w:rFonts w:ascii="Arial" w:hAnsi="Arial" w:cs="Arial"/>
          <w:sz w:val="24"/>
          <w:szCs w:val="24"/>
        </w:rPr>
      </w:pPr>
      <w:r w:rsidRPr="00966346">
        <w:rPr>
          <w:rFonts w:ascii="Arial" w:hAnsi="Arial" w:cs="Arial"/>
          <w:sz w:val="24"/>
          <w:szCs w:val="24"/>
        </w:rPr>
        <w:t>P</w:t>
      </w:r>
      <w:r w:rsidR="002E7477" w:rsidRPr="00966346">
        <w:rPr>
          <w:rFonts w:ascii="Arial" w:hAnsi="Arial" w:cs="Arial"/>
          <w:sz w:val="24"/>
          <w:szCs w:val="24"/>
        </w:rPr>
        <w:t xml:space="preserve">rimary central nervous system lymphoma (PCNSL) </w:t>
      </w:r>
      <w:r w:rsidRPr="00966346">
        <w:rPr>
          <w:rFonts w:ascii="Arial" w:hAnsi="Arial" w:cs="Arial"/>
          <w:sz w:val="24"/>
          <w:szCs w:val="24"/>
        </w:rPr>
        <w:t xml:space="preserve">is an aggressive neoplasm with a peculiar clinical behavior, characterized by high chemo- and radio-sensitivity </w:t>
      </w:r>
      <w:r w:rsidR="00260A2E" w:rsidRPr="00966346">
        <w:rPr>
          <w:rFonts w:ascii="Arial" w:hAnsi="Arial" w:cs="Arial"/>
          <w:sz w:val="24"/>
          <w:szCs w:val="24"/>
        </w:rPr>
        <w:t>with, however,</w:t>
      </w:r>
      <w:r w:rsidRPr="00966346">
        <w:rPr>
          <w:rFonts w:ascii="Arial" w:hAnsi="Arial" w:cs="Arial"/>
          <w:sz w:val="24"/>
          <w:szCs w:val="24"/>
        </w:rPr>
        <w:t xml:space="preserve"> a </w:t>
      </w:r>
      <w:r w:rsidR="00260A2E" w:rsidRPr="00966346">
        <w:rPr>
          <w:rFonts w:ascii="Arial" w:hAnsi="Arial" w:cs="Arial"/>
          <w:sz w:val="24"/>
          <w:szCs w:val="24"/>
        </w:rPr>
        <w:t>high</w:t>
      </w:r>
      <w:r w:rsidR="00937860" w:rsidRPr="00966346">
        <w:rPr>
          <w:rFonts w:ascii="Arial" w:hAnsi="Arial" w:cs="Arial"/>
          <w:sz w:val="24"/>
          <w:szCs w:val="24"/>
        </w:rPr>
        <w:t xml:space="preserve"> </w:t>
      </w:r>
      <w:r w:rsidRPr="00966346">
        <w:rPr>
          <w:rFonts w:ascii="Arial" w:hAnsi="Arial" w:cs="Arial"/>
          <w:sz w:val="24"/>
          <w:szCs w:val="24"/>
        </w:rPr>
        <w:t xml:space="preserve">rate of relapse, </w:t>
      </w:r>
      <w:r w:rsidR="00853770" w:rsidRPr="00966346">
        <w:rPr>
          <w:rFonts w:ascii="Arial" w:hAnsi="Arial" w:cs="Arial"/>
          <w:sz w:val="24"/>
          <w:szCs w:val="24"/>
        </w:rPr>
        <w:t>and</w:t>
      </w:r>
      <w:r w:rsidR="00260A2E" w:rsidRPr="00966346">
        <w:rPr>
          <w:rFonts w:ascii="Arial" w:hAnsi="Arial" w:cs="Arial"/>
          <w:sz w:val="24"/>
          <w:szCs w:val="24"/>
        </w:rPr>
        <w:t xml:space="preserve"> </w:t>
      </w:r>
      <w:r w:rsidRPr="00966346">
        <w:rPr>
          <w:rFonts w:ascii="Arial" w:hAnsi="Arial" w:cs="Arial"/>
          <w:sz w:val="24"/>
          <w:szCs w:val="24"/>
        </w:rPr>
        <w:t>rare</w:t>
      </w:r>
      <w:r w:rsidR="00BE0AEA" w:rsidRPr="00966346">
        <w:rPr>
          <w:rFonts w:ascii="Arial" w:hAnsi="Arial" w:cs="Arial"/>
          <w:sz w:val="24"/>
          <w:szCs w:val="24"/>
        </w:rPr>
        <w:t xml:space="preserve"> cases of dissemination</w:t>
      </w:r>
      <w:r w:rsidRPr="00966346">
        <w:rPr>
          <w:rFonts w:ascii="Arial" w:hAnsi="Arial" w:cs="Arial"/>
          <w:sz w:val="24"/>
          <w:szCs w:val="24"/>
        </w:rPr>
        <w:t xml:space="preserve"> outside the CNS. Despite</w:t>
      </w:r>
      <w:r w:rsidR="00937860" w:rsidRPr="00966346">
        <w:rPr>
          <w:rFonts w:ascii="Arial" w:hAnsi="Arial" w:cs="Arial"/>
          <w:sz w:val="24"/>
          <w:szCs w:val="24"/>
        </w:rPr>
        <w:t xml:space="preserve"> recent</w:t>
      </w:r>
      <w:r w:rsidRPr="00966346">
        <w:rPr>
          <w:rFonts w:ascii="Arial" w:hAnsi="Arial" w:cs="Arial"/>
          <w:sz w:val="24"/>
          <w:szCs w:val="24"/>
        </w:rPr>
        <w:t xml:space="preserve"> therapeutic progress and an apparent improvement in survival figures</w:t>
      </w:r>
      <w:r w:rsidR="008E7A2A" w:rsidRPr="008E7A2A">
        <w:rPr>
          <w:rFonts w:ascii="Arial" w:hAnsi="Arial" w:cs="Arial"/>
          <w:sz w:val="24"/>
          <w:szCs w:val="24"/>
          <w:vertAlign w:val="superscript"/>
        </w:rPr>
        <w:t>1</w:t>
      </w:r>
      <w:r w:rsidRPr="00966346">
        <w:rPr>
          <w:rFonts w:ascii="Arial" w:hAnsi="Arial" w:cs="Arial"/>
          <w:sz w:val="24"/>
          <w:szCs w:val="24"/>
        </w:rPr>
        <w:t>,</w:t>
      </w:r>
      <w:r w:rsidR="008946DB" w:rsidRPr="00966346">
        <w:rPr>
          <w:rFonts w:ascii="Arial" w:hAnsi="Arial" w:cs="Arial"/>
          <w:sz w:val="24"/>
          <w:szCs w:val="24"/>
        </w:rPr>
        <w:t xml:space="preserve"> </w:t>
      </w:r>
      <w:r w:rsidR="00260A2E" w:rsidRPr="00966346">
        <w:rPr>
          <w:rFonts w:ascii="Arial" w:hAnsi="Arial" w:cs="Arial"/>
          <w:sz w:val="24"/>
          <w:szCs w:val="24"/>
        </w:rPr>
        <w:t xml:space="preserve">outcome for </w:t>
      </w:r>
      <w:r w:rsidR="008946DB" w:rsidRPr="00966346">
        <w:rPr>
          <w:rFonts w:ascii="Arial" w:hAnsi="Arial" w:cs="Arial"/>
          <w:sz w:val="24"/>
          <w:szCs w:val="24"/>
        </w:rPr>
        <w:t>patients with PCNSL remain</w:t>
      </w:r>
      <w:r w:rsidR="00260A2E" w:rsidRPr="00966346">
        <w:rPr>
          <w:rFonts w:ascii="Arial" w:hAnsi="Arial" w:cs="Arial"/>
          <w:sz w:val="24"/>
          <w:szCs w:val="24"/>
        </w:rPr>
        <w:t>s</w:t>
      </w:r>
      <w:r w:rsidR="0006559C" w:rsidRPr="00966346">
        <w:rPr>
          <w:rFonts w:ascii="Arial" w:hAnsi="Arial" w:cs="Arial"/>
          <w:sz w:val="24"/>
          <w:szCs w:val="24"/>
        </w:rPr>
        <w:t xml:space="preserve"> poor</w:t>
      </w:r>
      <w:r w:rsidR="0065670A" w:rsidRPr="00966346">
        <w:rPr>
          <w:rFonts w:ascii="Arial" w:hAnsi="Arial" w:cs="Arial"/>
          <w:sz w:val="24"/>
          <w:szCs w:val="24"/>
        </w:rPr>
        <w:t>, with 5- and 10-year survival proportions of 20-30% and 10-20%, respectively</w:t>
      </w:r>
      <w:r w:rsidR="008E7A2A" w:rsidRPr="008E7A2A">
        <w:rPr>
          <w:rFonts w:ascii="Arial" w:hAnsi="Arial" w:cs="Arial"/>
          <w:sz w:val="24"/>
          <w:szCs w:val="24"/>
          <w:vertAlign w:val="superscript"/>
        </w:rPr>
        <w:t>2-4</w:t>
      </w:r>
      <w:r w:rsidR="0006559C" w:rsidRPr="00966346">
        <w:rPr>
          <w:rFonts w:ascii="Arial" w:hAnsi="Arial" w:cs="Arial"/>
          <w:sz w:val="24"/>
          <w:szCs w:val="24"/>
        </w:rPr>
        <w:t xml:space="preserve">, </w:t>
      </w:r>
      <w:r w:rsidR="0065670A" w:rsidRPr="00966346">
        <w:rPr>
          <w:rFonts w:ascii="Arial" w:hAnsi="Arial" w:cs="Arial"/>
          <w:sz w:val="24"/>
          <w:szCs w:val="24"/>
        </w:rPr>
        <w:t>and</w:t>
      </w:r>
      <w:r w:rsidR="0006559C" w:rsidRPr="00966346">
        <w:rPr>
          <w:rFonts w:ascii="Arial" w:hAnsi="Arial" w:cs="Arial"/>
          <w:sz w:val="24"/>
          <w:szCs w:val="24"/>
        </w:rPr>
        <w:t xml:space="preserve"> a</w:t>
      </w:r>
      <w:r w:rsidR="00EB72C4" w:rsidRPr="00966346">
        <w:rPr>
          <w:rFonts w:ascii="Arial" w:hAnsi="Arial" w:cs="Arial"/>
          <w:sz w:val="24"/>
          <w:szCs w:val="24"/>
        </w:rPr>
        <w:t xml:space="preserve"> substantial </w:t>
      </w:r>
      <w:r w:rsidR="008946DB" w:rsidRPr="00966346">
        <w:rPr>
          <w:rFonts w:ascii="Arial" w:hAnsi="Arial" w:cs="Arial"/>
          <w:sz w:val="24"/>
          <w:szCs w:val="24"/>
        </w:rPr>
        <w:t xml:space="preserve">discrepancy in therapeutic results </w:t>
      </w:r>
      <w:r w:rsidR="0006559C" w:rsidRPr="00966346">
        <w:rPr>
          <w:rFonts w:ascii="Arial" w:hAnsi="Arial" w:cs="Arial"/>
          <w:sz w:val="24"/>
          <w:szCs w:val="24"/>
        </w:rPr>
        <w:t xml:space="preserve">reported in </w:t>
      </w:r>
      <w:r w:rsidR="008946DB" w:rsidRPr="00966346">
        <w:rPr>
          <w:rFonts w:ascii="Arial" w:hAnsi="Arial" w:cs="Arial"/>
          <w:sz w:val="24"/>
          <w:szCs w:val="24"/>
        </w:rPr>
        <w:t xml:space="preserve">clinical trials and </w:t>
      </w:r>
      <w:r w:rsidR="0006559C" w:rsidRPr="00966346">
        <w:rPr>
          <w:rFonts w:ascii="Arial" w:hAnsi="Arial" w:cs="Arial"/>
          <w:sz w:val="24"/>
          <w:szCs w:val="24"/>
        </w:rPr>
        <w:t xml:space="preserve">observed in </w:t>
      </w:r>
      <w:r w:rsidR="008946DB" w:rsidRPr="00966346">
        <w:rPr>
          <w:rFonts w:ascii="Arial" w:hAnsi="Arial" w:cs="Arial"/>
          <w:sz w:val="24"/>
          <w:szCs w:val="24"/>
        </w:rPr>
        <w:t>routine practice</w:t>
      </w:r>
      <w:r w:rsidR="008E7A2A" w:rsidRPr="008E7A2A">
        <w:rPr>
          <w:rFonts w:ascii="Arial" w:hAnsi="Arial" w:cs="Arial"/>
          <w:sz w:val="24"/>
          <w:szCs w:val="24"/>
          <w:vertAlign w:val="superscript"/>
        </w:rPr>
        <w:t>4</w:t>
      </w:r>
      <w:r w:rsidR="008946DB" w:rsidRPr="00966346">
        <w:rPr>
          <w:rFonts w:ascii="Arial" w:hAnsi="Arial" w:cs="Arial"/>
          <w:sz w:val="24"/>
          <w:szCs w:val="24"/>
        </w:rPr>
        <w:t xml:space="preserve">. Clinical research in </w:t>
      </w:r>
      <w:r w:rsidR="0006559C" w:rsidRPr="00966346">
        <w:rPr>
          <w:rFonts w:ascii="Arial" w:hAnsi="Arial" w:cs="Arial"/>
          <w:sz w:val="24"/>
          <w:szCs w:val="24"/>
        </w:rPr>
        <w:t>this field</w:t>
      </w:r>
      <w:r w:rsidR="008946DB" w:rsidRPr="00966346">
        <w:rPr>
          <w:rFonts w:ascii="Arial" w:hAnsi="Arial" w:cs="Arial"/>
          <w:sz w:val="24"/>
          <w:szCs w:val="24"/>
        </w:rPr>
        <w:t xml:space="preserve"> is </w:t>
      </w:r>
      <w:r w:rsidR="000631EA" w:rsidRPr="00966346">
        <w:rPr>
          <w:rFonts w:ascii="Arial" w:hAnsi="Arial" w:cs="Arial"/>
          <w:sz w:val="24"/>
          <w:szCs w:val="24"/>
        </w:rPr>
        <w:t xml:space="preserve">predominantly focused on the identification of new active agents and combinations to </w:t>
      </w:r>
      <w:r w:rsidR="00937860" w:rsidRPr="00966346">
        <w:rPr>
          <w:rFonts w:ascii="Arial" w:hAnsi="Arial" w:cs="Arial"/>
          <w:sz w:val="24"/>
          <w:szCs w:val="24"/>
        </w:rPr>
        <w:t xml:space="preserve">increase </w:t>
      </w:r>
      <w:r w:rsidR="000631EA" w:rsidRPr="00966346">
        <w:rPr>
          <w:rFonts w:ascii="Arial" w:hAnsi="Arial" w:cs="Arial"/>
          <w:sz w:val="24"/>
          <w:szCs w:val="24"/>
        </w:rPr>
        <w:t xml:space="preserve">efficacy and tolerability of induction chemotherapy and on the improvement of consolidation </w:t>
      </w:r>
      <w:r w:rsidR="0006559C" w:rsidRPr="00966346">
        <w:rPr>
          <w:rFonts w:ascii="Arial" w:hAnsi="Arial" w:cs="Arial"/>
          <w:sz w:val="24"/>
          <w:szCs w:val="24"/>
        </w:rPr>
        <w:t>strategies</w:t>
      </w:r>
      <w:r w:rsidR="000631EA" w:rsidRPr="00966346">
        <w:rPr>
          <w:rFonts w:ascii="Arial" w:hAnsi="Arial" w:cs="Arial"/>
          <w:sz w:val="24"/>
          <w:szCs w:val="24"/>
        </w:rPr>
        <w:t xml:space="preserve">, optimizing tolerability of radiotherapy or addressing valid alternatives to </w:t>
      </w:r>
      <w:r w:rsidR="00A07AAD" w:rsidRPr="00966346">
        <w:rPr>
          <w:rFonts w:ascii="Arial" w:hAnsi="Arial" w:cs="Arial"/>
          <w:sz w:val="24"/>
          <w:szCs w:val="24"/>
        </w:rPr>
        <w:t>whole-brain irradiation (</w:t>
      </w:r>
      <w:r w:rsidR="000631EA" w:rsidRPr="00966346">
        <w:rPr>
          <w:rFonts w:ascii="Arial" w:hAnsi="Arial" w:cs="Arial"/>
          <w:sz w:val="24"/>
          <w:szCs w:val="24"/>
        </w:rPr>
        <w:t>WBRT</w:t>
      </w:r>
      <w:r w:rsidR="00A07AAD" w:rsidRPr="00966346">
        <w:rPr>
          <w:rFonts w:ascii="Arial" w:hAnsi="Arial" w:cs="Arial"/>
          <w:sz w:val="24"/>
          <w:szCs w:val="24"/>
        </w:rPr>
        <w:t>)</w:t>
      </w:r>
      <w:r w:rsidR="000631EA" w:rsidRPr="00966346">
        <w:rPr>
          <w:rFonts w:ascii="Arial" w:hAnsi="Arial" w:cs="Arial"/>
          <w:sz w:val="24"/>
          <w:szCs w:val="24"/>
        </w:rPr>
        <w:t xml:space="preserve">. The IELSG32 trial </w:t>
      </w:r>
      <w:r w:rsidR="0006559C" w:rsidRPr="00966346">
        <w:rPr>
          <w:rFonts w:ascii="Arial" w:hAnsi="Arial" w:cs="Arial"/>
          <w:sz w:val="24"/>
          <w:szCs w:val="24"/>
        </w:rPr>
        <w:t xml:space="preserve">addressed </w:t>
      </w:r>
      <w:r w:rsidR="000631EA" w:rsidRPr="00966346">
        <w:rPr>
          <w:rFonts w:ascii="Arial" w:hAnsi="Arial" w:cs="Arial"/>
          <w:sz w:val="24"/>
          <w:szCs w:val="24"/>
        </w:rPr>
        <w:t xml:space="preserve">these </w:t>
      </w:r>
      <w:r w:rsidR="00937860" w:rsidRPr="00966346">
        <w:rPr>
          <w:rFonts w:ascii="Arial" w:hAnsi="Arial" w:cs="Arial"/>
          <w:sz w:val="24"/>
          <w:szCs w:val="24"/>
        </w:rPr>
        <w:t xml:space="preserve">important </w:t>
      </w:r>
      <w:r w:rsidR="0006559C" w:rsidRPr="00966346">
        <w:rPr>
          <w:rFonts w:ascii="Arial" w:hAnsi="Arial" w:cs="Arial"/>
          <w:sz w:val="24"/>
          <w:szCs w:val="24"/>
        </w:rPr>
        <w:t xml:space="preserve">clinical </w:t>
      </w:r>
      <w:r w:rsidR="000631EA" w:rsidRPr="00966346">
        <w:rPr>
          <w:rFonts w:ascii="Arial" w:hAnsi="Arial" w:cs="Arial"/>
          <w:sz w:val="24"/>
          <w:szCs w:val="24"/>
        </w:rPr>
        <w:t>goals</w:t>
      </w:r>
      <w:r w:rsidR="008E7A2A" w:rsidRPr="008E7A2A">
        <w:rPr>
          <w:rFonts w:ascii="Arial" w:hAnsi="Arial" w:cs="Arial"/>
          <w:sz w:val="24"/>
          <w:szCs w:val="24"/>
          <w:vertAlign w:val="superscript"/>
        </w:rPr>
        <w:t>5</w:t>
      </w:r>
      <w:r w:rsidR="000631EA" w:rsidRPr="00966346">
        <w:rPr>
          <w:rFonts w:ascii="Arial" w:hAnsi="Arial" w:cs="Arial"/>
          <w:sz w:val="24"/>
          <w:szCs w:val="24"/>
        </w:rPr>
        <w:t>. This is an international randomized phase II trial with two key clinical questions investigated with two sequential randomizations. The first question focused on the potential clinical benefit of adding rituximab ± thiotepa to the methotrexate-cytarabine combination backbone</w:t>
      </w:r>
      <w:r w:rsidR="00C0187C" w:rsidRPr="00966346">
        <w:rPr>
          <w:rFonts w:ascii="Arial" w:hAnsi="Arial" w:cs="Arial"/>
          <w:sz w:val="24"/>
          <w:szCs w:val="24"/>
        </w:rPr>
        <w:t>; this has been assessed by</w:t>
      </w:r>
      <w:r w:rsidR="000631EA" w:rsidRPr="00966346">
        <w:rPr>
          <w:rFonts w:ascii="Arial" w:hAnsi="Arial" w:cs="Arial"/>
          <w:sz w:val="24"/>
          <w:szCs w:val="24"/>
        </w:rPr>
        <w:t xml:space="preserve"> </w:t>
      </w:r>
      <w:r w:rsidR="00C0187C" w:rsidRPr="00966346">
        <w:rPr>
          <w:rFonts w:ascii="Arial" w:hAnsi="Arial" w:cs="Arial"/>
          <w:sz w:val="24"/>
          <w:szCs w:val="24"/>
        </w:rPr>
        <w:t xml:space="preserve">a </w:t>
      </w:r>
      <w:r w:rsidR="000631EA" w:rsidRPr="00966346">
        <w:rPr>
          <w:rFonts w:ascii="Arial" w:hAnsi="Arial" w:cs="Arial"/>
          <w:sz w:val="24"/>
          <w:szCs w:val="24"/>
        </w:rPr>
        <w:t>first randomization</w:t>
      </w:r>
      <w:r w:rsidR="00C0187C" w:rsidRPr="00966346">
        <w:rPr>
          <w:rFonts w:ascii="Arial" w:hAnsi="Arial" w:cs="Arial"/>
          <w:sz w:val="24"/>
          <w:szCs w:val="24"/>
        </w:rPr>
        <w:t xml:space="preserve"> addressing methotrexate-cytarabine combination (arm A), the same combination plus rituximab (arm B) and the combination of methotrexate-cytarabine-rituximab plus thiotepa (arm C - called MATRix regimen). The results of the first randomization have show</w:t>
      </w:r>
      <w:r w:rsidR="00E57BF2" w:rsidRPr="00966346">
        <w:rPr>
          <w:rFonts w:ascii="Arial" w:hAnsi="Arial" w:cs="Arial"/>
          <w:sz w:val="24"/>
          <w:szCs w:val="24"/>
        </w:rPr>
        <w:t>n</w:t>
      </w:r>
      <w:r w:rsidR="00C0187C" w:rsidRPr="00966346">
        <w:rPr>
          <w:rFonts w:ascii="Arial" w:hAnsi="Arial" w:cs="Arial"/>
          <w:sz w:val="24"/>
          <w:szCs w:val="24"/>
        </w:rPr>
        <w:t xml:space="preserve"> that </w:t>
      </w:r>
      <w:r w:rsidR="00204220" w:rsidRPr="00966346">
        <w:rPr>
          <w:rFonts w:ascii="Arial" w:hAnsi="Arial" w:cs="Arial"/>
          <w:sz w:val="24"/>
          <w:szCs w:val="24"/>
        </w:rPr>
        <w:t xml:space="preserve">the </w:t>
      </w:r>
      <w:r w:rsidR="00C0187C" w:rsidRPr="00966346">
        <w:rPr>
          <w:rFonts w:ascii="Arial" w:hAnsi="Arial" w:cs="Arial"/>
          <w:sz w:val="24"/>
          <w:szCs w:val="24"/>
        </w:rPr>
        <w:t>MATRix regimen is assoc</w:t>
      </w:r>
      <w:r w:rsidR="00204220" w:rsidRPr="00966346">
        <w:rPr>
          <w:rFonts w:ascii="Arial" w:hAnsi="Arial" w:cs="Arial"/>
          <w:sz w:val="24"/>
          <w:szCs w:val="24"/>
        </w:rPr>
        <w:t>iated with significantly better</w:t>
      </w:r>
      <w:r w:rsidR="00C0187C" w:rsidRPr="00966346">
        <w:rPr>
          <w:rFonts w:ascii="Arial" w:hAnsi="Arial" w:cs="Arial"/>
          <w:sz w:val="24"/>
          <w:szCs w:val="24"/>
        </w:rPr>
        <w:t xml:space="preserve"> </w:t>
      </w:r>
      <w:r w:rsidR="007B27AF">
        <w:rPr>
          <w:rFonts w:ascii="Arial" w:hAnsi="Arial" w:cs="Arial"/>
          <w:sz w:val="24"/>
          <w:szCs w:val="24"/>
        </w:rPr>
        <w:t>outcome</w:t>
      </w:r>
      <w:r w:rsidR="008E7A2A" w:rsidRPr="008E7A2A">
        <w:rPr>
          <w:rFonts w:ascii="Arial" w:hAnsi="Arial" w:cs="Arial"/>
          <w:sz w:val="24"/>
          <w:szCs w:val="24"/>
          <w:vertAlign w:val="superscript"/>
        </w:rPr>
        <w:t>6</w:t>
      </w:r>
      <w:r w:rsidR="000631EA" w:rsidRPr="00966346">
        <w:rPr>
          <w:rFonts w:ascii="Arial" w:hAnsi="Arial" w:cs="Arial"/>
          <w:sz w:val="24"/>
          <w:szCs w:val="24"/>
        </w:rPr>
        <w:t xml:space="preserve">. </w:t>
      </w:r>
      <w:r w:rsidR="007B27AF">
        <w:rPr>
          <w:rFonts w:ascii="Arial" w:hAnsi="Arial" w:cs="Arial"/>
          <w:sz w:val="24"/>
          <w:szCs w:val="24"/>
        </w:rPr>
        <w:t xml:space="preserve">In fact, MATRix (arm C) has been significantly more active, with a complete remission rate </w:t>
      </w:r>
      <w:r w:rsidR="007B27AF" w:rsidRPr="007B27AF">
        <w:rPr>
          <w:rFonts w:ascii="Arial" w:hAnsi="Arial" w:cs="Arial"/>
          <w:sz w:val="24"/>
          <w:szCs w:val="24"/>
        </w:rPr>
        <w:t>of 23%, 31%</w:t>
      </w:r>
      <w:r w:rsidR="007B27AF" w:rsidRPr="007B27AF">
        <w:rPr>
          <w:rFonts w:ascii="Arial" w:hAnsi="Arial" w:cs="Arial"/>
          <w:sz w:val="24"/>
          <w:szCs w:val="24"/>
          <w:lang w:val="en-GB"/>
        </w:rPr>
        <w:t xml:space="preserve"> </w:t>
      </w:r>
      <w:r w:rsidR="007B27AF" w:rsidRPr="007B27AF">
        <w:rPr>
          <w:rFonts w:ascii="Arial" w:hAnsi="Arial" w:cs="Arial"/>
          <w:sz w:val="24"/>
          <w:szCs w:val="24"/>
        </w:rPr>
        <w:t>and 49%</w:t>
      </w:r>
      <w:r w:rsidR="007B27AF" w:rsidRPr="007B27AF">
        <w:rPr>
          <w:rFonts w:ascii="Arial" w:hAnsi="Arial" w:cs="Arial"/>
          <w:sz w:val="24"/>
          <w:szCs w:val="24"/>
          <w:lang w:val="en-GB"/>
        </w:rPr>
        <w:t xml:space="preserve"> </w:t>
      </w:r>
      <w:r w:rsidR="007B27AF" w:rsidRPr="007B27AF">
        <w:rPr>
          <w:rFonts w:ascii="Arial" w:hAnsi="Arial" w:cs="Arial"/>
          <w:sz w:val="24"/>
          <w:szCs w:val="24"/>
        </w:rPr>
        <w:t>for arms A, B and C,</w:t>
      </w:r>
      <w:r w:rsidR="007B27AF">
        <w:rPr>
          <w:rFonts w:ascii="Arial" w:hAnsi="Arial" w:cs="Arial"/>
          <w:sz w:val="24"/>
          <w:szCs w:val="24"/>
        </w:rPr>
        <w:t xml:space="preserve"> </w:t>
      </w:r>
      <w:r w:rsidR="00033511">
        <w:rPr>
          <w:rFonts w:ascii="Arial" w:hAnsi="Arial" w:cs="Arial"/>
          <w:sz w:val="24"/>
          <w:szCs w:val="24"/>
        </w:rPr>
        <w:t>and</w:t>
      </w:r>
      <w:r w:rsidR="007B27AF">
        <w:rPr>
          <w:rFonts w:ascii="Arial" w:hAnsi="Arial" w:cs="Arial"/>
          <w:sz w:val="24"/>
          <w:szCs w:val="24"/>
        </w:rPr>
        <w:t xml:space="preserve"> an overall response rate</w:t>
      </w:r>
      <w:r w:rsidR="007B27AF" w:rsidRPr="007B27AF">
        <w:rPr>
          <w:rFonts w:ascii="Arial" w:hAnsi="Arial" w:cs="Arial"/>
          <w:sz w:val="24"/>
          <w:szCs w:val="24"/>
        </w:rPr>
        <w:t xml:space="preserve"> of 53%, 74% and 87%, respectively</w:t>
      </w:r>
      <w:r w:rsidR="007B27AF" w:rsidRPr="007B27AF">
        <w:rPr>
          <w:rFonts w:ascii="Arial" w:hAnsi="Arial" w:cs="Arial"/>
          <w:sz w:val="24"/>
          <w:szCs w:val="24"/>
        </w:rPr>
        <w:fldChar w:fldCharType="begin"/>
      </w:r>
      <w:r w:rsidR="007B27AF" w:rsidRPr="007B27AF">
        <w:rPr>
          <w:rFonts w:ascii="Arial" w:hAnsi="Arial" w:cs="Arial"/>
          <w:sz w:val="24"/>
          <w:szCs w:val="24"/>
        </w:rPr>
        <w:instrText>ADDIN RW.CITE{{8259 Ferreri,A.J. 2016}}</w:instrText>
      </w:r>
      <w:r w:rsidR="007B27AF" w:rsidRPr="007B27AF">
        <w:rPr>
          <w:rFonts w:ascii="Arial" w:hAnsi="Arial" w:cs="Arial"/>
          <w:sz w:val="24"/>
          <w:szCs w:val="24"/>
        </w:rPr>
        <w:fldChar w:fldCharType="separate"/>
      </w:r>
      <w:r w:rsidR="007B27AF" w:rsidRPr="007B27AF">
        <w:rPr>
          <w:rFonts w:ascii="Arial" w:hAnsi="Arial" w:cs="Arial"/>
          <w:sz w:val="24"/>
          <w:szCs w:val="24"/>
          <w:vertAlign w:val="superscript"/>
        </w:rPr>
        <w:t>6</w:t>
      </w:r>
      <w:r w:rsidR="007B27AF" w:rsidRPr="007B27AF">
        <w:rPr>
          <w:rFonts w:ascii="Arial" w:hAnsi="Arial" w:cs="Arial"/>
          <w:sz w:val="24"/>
          <w:szCs w:val="24"/>
        </w:rPr>
        <w:fldChar w:fldCharType="end"/>
      </w:r>
      <w:r w:rsidR="007B27AF" w:rsidRPr="007B27AF">
        <w:rPr>
          <w:rFonts w:ascii="Arial" w:hAnsi="Arial" w:cs="Arial"/>
          <w:sz w:val="24"/>
          <w:szCs w:val="24"/>
        </w:rPr>
        <w:t xml:space="preserve">. </w:t>
      </w:r>
      <w:r w:rsidR="007B27AF">
        <w:rPr>
          <w:rFonts w:ascii="Arial" w:hAnsi="Arial" w:cs="Arial"/>
          <w:sz w:val="24"/>
          <w:szCs w:val="24"/>
        </w:rPr>
        <w:t xml:space="preserve">Importantly, </w:t>
      </w:r>
      <w:r w:rsidR="00033511">
        <w:rPr>
          <w:rFonts w:ascii="Arial" w:hAnsi="Arial" w:cs="Arial"/>
          <w:sz w:val="24"/>
          <w:szCs w:val="24"/>
        </w:rPr>
        <w:t xml:space="preserve">MATRix has been associated with significantly better </w:t>
      </w:r>
      <w:r w:rsidR="00033511" w:rsidRPr="00966346">
        <w:rPr>
          <w:rFonts w:ascii="Arial" w:hAnsi="Arial" w:cs="Arial"/>
          <w:sz w:val="24"/>
          <w:szCs w:val="24"/>
        </w:rPr>
        <w:t>progression-free survival (PFS) and overall survival (OS)</w:t>
      </w:r>
      <w:r w:rsidR="00033511">
        <w:rPr>
          <w:rFonts w:ascii="Arial" w:hAnsi="Arial" w:cs="Arial"/>
          <w:sz w:val="24"/>
          <w:szCs w:val="24"/>
        </w:rPr>
        <w:t>, with a</w:t>
      </w:r>
      <w:r w:rsidR="00033511" w:rsidRPr="00033511">
        <w:rPr>
          <w:rFonts w:ascii="Arial" w:hAnsi="Arial" w:cs="Arial"/>
          <w:sz w:val="24"/>
          <w:szCs w:val="24"/>
        </w:rPr>
        <w:t xml:space="preserve"> 2-year </w:t>
      </w:r>
      <w:r w:rsidR="00033511">
        <w:rPr>
          <w:rFonts w:ascii="Arial" w:hAnsi="Arial" w:cs="Arial"/>
          <w:sz w:val="24"/>
          <w:szCs w:val="24"/>
        </w:rPr>
        <w:t>P</w:t>
      </w:r>
      <w:r w:rsidR="00033511" w:rsidRPr="00033511">
        <w:rPr>
          <w:rFonts w:ascii="Arial" w:hAnsi="Arial" w:cs="Arial"/>
          <w:sz w:val="24"/>
          <w:szCs w:val="24"/>
        </w:rPr>
        <w:t xml:space="preserve">FS </w:t>
      </w:r>
      <w:r w:rsidR="00033511">
        <w:rPr>
          <w:rFonts w:ascii="Arial" w:hAnsi="Arial" w:cs="Arial"/>
          <w:sz w:val="24"/>
          <w:szCs w:val="24"/>
        </w:rPr>
        <w:t>of</w:t>
      </w:r>
      <w:r w:rsidR="00033511" w:rsidRPr="00033511">
        <w:rPr>
          <w:rFonts w:ascii="Arial" w:hAnsi="Arial" w:cs="Arial"/>
          <w:sz w:val="24"/>
          <w:szCs w:val="24"/>
        </w:rPr>
        <w:t xml:space="preserve"> 36% for arm A, 46% for arm B and 61% for arm C</w:t>
      </w:r>
      <w:r w:rsidR="00033511">
        <w:rPr>
          <w:rFonts w:ascii="Arial" w:hAnsi="Arial" w:cs="Arial"/>
          <w:sz w:val="24"/>
          <w:szCs w:val="24"/>
        </w:rPr>
        <w:t xml:space="preserve">, and a </w:t>
      </w:r>
      <w:r w:rsidR="00033511" w:rsidRPr="00033511">
        <w:rPr>
          <w:rFonts w:ascii="Arial" w:hAnsi="Arial" w:cs="Arial"/>
          <w:sz w:val="24"/>
          <w:szCs w:val="24"/>
          <w:lang w:val="en-GB"/>
        </w:rPr>
        <w:t xml:space="preserve">2-year OS </w:t>
      </w:r>
      <w:r w:rsidR="00033511">
        <w:rPr>
          <w:rFonts w:ascii="Arial" w:hAnsi="Arial" w:cs="Arial"/>
          <w:sz w:val="24"/>
          <w:szCs w:val="24"/>
          <w:lang w:val="en-GB"/>
        </w:rPr>
        <w:t>of</w:t>
      </w:r>
      <w:r w:rsidR="00033511" w:rsidRPr="00033511">
        <w:rPr>
          <w:rFonts w:ascii="Arial" w:hAnsi="Arial" w:cs="Arial"/>
          <w:sz w:val="24"/>
          <w:szCs w:val="24"/>
          <w:lang w:val="en-GB"/>
        </w:rPr>
        <w:t xml:space="preserve"> </w:t>
      </w:r>
      <w:r w:rsidR="00033511" w:rsidRPr="00033511">
        <w:rPr>
          <w:rFonts w:ascii="Arial" w:hAnsi="Arial" w:cs="Arial"/>
          <w:sz w:val="24"/>
          <w:szCs w:val="24"/>
        </w:rPr>
        <w:t>42%, 56% and 69%</w:t>
      </w:r>
      <w:r w:rsidR="00033511">
        <w:rPr>
          <w:rFonts w:ascii="Arial" w:hAnsi="Arial" w:cs="Arial"/>
          <w:sz w:val="24"/>
          <w:szCs w:val="24"/>
        </w:rPr>
        <w:t>,</w:t>
      </w:r>
      <w:r w:rsidR="00033511" w:rsidRPr="00033511">
        <w:rPr>
          <w:rFonts w:ascii="Arial" w:hAnsi="Arial" w:cs="Arial"/>
          <w:sz w:val="24"/>
          <w:szCs w:val="24"/>
        </w:rPr>
        <w:t xml:space="preserve"> respectively.</w:t>
      </w:r>
      <w:r w:rsidR="00033511">
        <w:rPr>
          <w:rFonts w:ascii="Arial" w:hAnsi="Arial" w:cs="Arial"/>
          <w:sz w:val="24"/>
          <w:szCs w:val="24"/>
        </w:rPr>
        <w:t xml:space="preserve"> </w:t>
      </w:r>
      <w:r w:rsidR="00033511" w:rsidRPr="00033511">
        <w:rPr>
          <w:rFonts w:ascii="Arial" w:hAnsi="Arial" w:cs="Arial"/>
          <w:sz w:val="24"/>
          <w:szCs w:val="24"/>
          <w:lang w:val="en-GB"/>
        </w:rPr>
        <w:t xml:space="preserve">These results </w:t>
      </w:r>
      <w:r w:rsidR="00033511">
        <w:rPr>
          <w:rFonts w:ascii="Arial" w:hAnsi="Arial" w:cs="Arial"/>
          <w:sz w:val="24"/>
          <w:szCs w:val="24"/>
          <w:lang w:val="en-GB"/>
        </w:rPr>
        <w:t>have been</w:t>
      </w:r>
      <w:r w:rsidR="00033511" w:rsidRPr="00033511">
        <w:rPr>
          <w:rFonts w:ascii="Arial" w:hAnsi="Arial" w:cs="Arial"/>
          <w:sz w:val="24"/>
          <w:szCs w:val="24"/>
          <w:lang w:val="en-GB"/>
        </w:rPr>
        <w:t xml:space="preserve"> achieved without an increased risk of severe toxicity</w:t>
      </w:r>
      <w:r w:rsidR="00033511">
        <w:rPr>
          <w:rFonts w:ascii="Arial" w:hAnsi="Arial" w:cs="Arial"/>
          <w:sz w:val="24"/>
          <w:szCs w:val="24"/>
          <w:lang w:val="en-GB"/>
        </w:rPr>
        <w:t xml:space="preserve">; </w:t>
      </w:r>
      <w:r w:rsidR="00033511">
        <w:rPr>
          <w:rFonts w:ascii="Arial" w:hAnsi="Arial" w:cs="Arial"/>
          <w:sz w:val="24"/>
          <w:szCs w:val="24"/>
        </w:rPr>
        <w:t>grade-</w:t>
      </w:r>
      <w:r w:rsidR="007B27AF" w:rsidRPr="007B27AF">
        <w:rPr>
          <w:rFonts w:ascii="Arial" w:hAnsi="Arial" w:cs="Arial"/>
          <w:sz w:val="24"/>
          <w:szCs w:val="24"/>
        </w:rPr>
        <w:t xml:space="preserve">4 hematological toxicity </w:t>
      </w:r>
      <w:r w:rsidR="00033511">
        <w:rPr>
          <w:rFonts w:ascii="Arial" w:hAnsi="Arial" w:cs="Arial"/>
          <w:sz w:val="24"/>
          <w:szCs w:val="24"/>
        </w:rPr>
        <w:t>has been</w:t>
      </w:r>
      <w:r w:rsidR="007B27AF" w:rsidRPr="007B27AF">
        <w:rPr>
          <w:rFonts w:ascii="Arial" w:hAnsi="Arial" w:cs="Arial"/>
          <w:sz w:val="24"/>
          <w:szCs w:val="24"/>
        </w:rPr>
        <w:t xml:space="preserve"> more frequent </w:t>
      </w:r>
      <w:r w:rsidR="00033511">
        <w:rPr>
          <w:rFonts w:ascii="Arial" w:hAnsi="Arial" w:cs="Arial"/>
          <w:sz w:val="24"/>
          <w:szCs w:val="24"/>
        </w:rPr>
        <w:t>in MATRix arm</w:t>
      </w:r>
      <w:r w:rsidR="007B27AF" w:rsidRPr="007B27AF">
        <w:rPr>
          <w:rFonts w:ascii="Arial" w:hAnsi="Arial" w:cs="Arial"/>
          <w:sz w:val="24"/>
          <w:szCs w:val="24"/>
        </w:rPr>
        <w:t xml:space="preserve">, but infective complications </w:t>
      </w:r>
      <w:r w:rsidR="00033511">
        <w:rPr>
          <w:rFonts w:ascii="Arial" w:hAnsi="Arial" w:cs="Arial"/>
          <w:sz w:val="24"/>
          <w:szCs w:val="24"/>
        </w:rPr>
        <w:t>have been</w:t>
      </w:r>
      <w:r w:rsidR="007B27AF" w:rsidRPr="007B27AF">
        <w:rPr>
          <w:rFonts w:ascii="Arial" w:hAnsi="Arial" w:cs="Arial"/>
          <w:sz w:val="24"/>
          <w:szCs w:val="24"/>
        </w:rPr>
        <w:t xml:space="preserve"> similar in the three arms</w:t>
      </w:r>
      <w:r w:rsidR="00033511">
        <w:rPr>
          <w:rFonts w:ascii="Arial" w:hAnsi="Arial" w:cs="Arial"/>
          <w:sz w:val="24"/>
          <w:szCs w:val="24"/>
        </w:rPr>
        <w:t>, with rare cases of</w:t>
      </w:r>
      <w:r w:rsidR="007B27AF" w:rsidRPr="007B27AF">
        <w:rPr>
          <w:rFonts w:ascii="Arial" w:hAnsi="Arial" w:cs="Arial"/>
          <w:sz w:val="24"/>
          <w:szCs w:val="24"/>
        </w:rPr>
        <w:t xml:space="preserve"> </w:t>
      </w:r>
      <w:r w:rsidR="00033511">
        <w:rPr>
          <w:rFonts w:ascii="Arial" w:hAnsi="Arial" w:cs="Arial"/>
          <w:sz w:val="24"/>
          <w:szCs w:val="24"/>
        </w:rPr>
        <w:t>severe non-hematological side effects and interruptions due to toxicity</w:t>
      </w:r>
      <w:r w:rsidR="008E7A2A" w:rsidRPr="008E7A2A">
        <w:rPr>
          <w:rFonts w:ascii="Arial" w:hAnsi="Arial" w:cs="Arial"/>
          <w:sz w:val="24"/>
          <w:szCs w:val="24"/>
          <w:vertAlign w:val="superscript"/>
        </w:rPr>
        <w:t>6</w:t>
      </w:r>
      <w:r w:rsidR="007B27AF" w:rsidRPr="007B27AF">
        <w:rPr>
          <w:rFonts w:ascii="Arial" w:hAnsi="Arial" w:cs="Arial"/>
          <w:sz w:val="24"/>
          <w:szCs w:val="24"/>
        </w:rPr>
        <w:t xml:space="preserve">. </w:t>
      </w:r>
      <w:r w:rsidR="00C0187C" w:rsidRPr="00966346">
        <w:rPr>
          <w:rFonts w:ascii="Arial" w:hAnsi="Arial" w:cs="Arial"/>
          <w:sz w:val="24"/>
          <w:szCs w:val="24"/>
        </w:rPr>
        <w:t xml:space="preserve">This </w:t>
      </w:r>
      <w:r w:rsidR="00A07AAD" w:rsidRPr="00966346">
        <w:rPr>
          <w:rFonts w:ascii="Arial" w:hAnsi="Arial" w:cs="Arial"/>
          <w:sz w:val="24"/>
          <w:szCs w:val="24"/>
        </w:rPr>
        <w:t xml:space="preserve">trial has provided the highest level of evidence supporting a new standard </w:t>
      </w:r>
      <w:r w:rsidR="00937860" w:rsidRPr="00966346">
        <w:rPr>
          <w:rFonts w:ascii="Arial" w:hAnsi="Arial" w:cs="Arial"/>
          <w:sz w:val="24"/>
          <w:szCs w:val="24"/>
        </w:rPr>
        <w:t>chemoimmunotherapy</w:t>
      </w:r>
      <w:r w:rsidR="00A07AAD" w:rsidRPr="00966346">
        <w:rPr>
          <w:rFonts w:ascii="Arial" w:hAnsi="Arial" w:cs="Arial"/>
          <w:sz w:val="24"/>
          <w:szCs w:val="24"/>
        </w:rPr>
        <w:t xml:space="preserve"> in this field, and </w:t>
      </w:r>
      <w:r w:rsidR="00C0187C" w:rsidRPr="00966346">
        <w:rPr>
          <w:rFonts w:ascii="Arial" w:hAnsi="Arial" w:cs="Arial"/>
          <w:sz w:val="24"/>
          <w:szCs w:val="24"/>
        </w:rPr>
        <w:t xml:space="preserve">is in line with </w:t>
      </w:r>
      <w:r w:rsidR="007415BB" w:rsidRPr="00966346">
        <w:rPr>
          <w:rFonts w:ascii="Arial" w:hAnsi="Arial" w:cs="Arial"/>
          <w:sz w:val="24"/>
          <w:szCs w:val="24"/>
        </w:rPr>
        <w:t>data from</w:t>
      </w:r>
      <w:r w:rsidR="006E22A3" w:rsidRPr="00966346">
        <w:rPr>
          <w:rFonts w:ascii="Arial" w:hAnsi="Arial" w:cs="Arial"/>
          <w:sz w:val="24"/>
          <w:szCs w:val="24"/>
        </w:rPr>
        <w:t xml:space="preserve"> recent</w:t>
      </w:r>
      <w:r w:rsidR="00A07AAD" w:rsidRPr="00966346">
        <w:rPr>
          <w:rFonts w:ascii="Arial" w:hAnsi="Arial" w:cs="Arial"/>
          <w:sz w:val="24"/>
          <w:szCs w:val="24"/>
        </w:rPr>
        <w:t xml:space="preserve"> single-arm phase </w:t>
      </w:r>
      <w:r w:rsidR="00A07AAD" w:rsidRPr="00966346">
        <w:rPr>
          <w:rFonts w:ascii="Arial" w:hAnsi="Arial" w:cs="Arial"/>
          <w:sz w:val="24"/>
          <w:szCs w:val="24"/>
        </w:rPr>
        <w:lastRenderedPageBreak/>
        <w:t xml:space="preserve">II trials reporting encouraging results with </w:t>
      </w:r>
      <w:r w:rsidR="009637C4" w:rsidRPr="00966346">
        <w:rPr>
          <w:rFonts w:ascii="Arial" w:hAnsi="Arial" w:cs="Arial"/>
          <w:sz w:val="24"/>
          <w:szCs w:val="24"/>
        </w:rPr>
        <w:t xml:space="preserve">the </w:t>
      </w:r>
      <w:r w:rsidR="00902016" w:rsidRPr="00966346">
        <w:rPr>
          <w:rFonts w:ascii="Arial" w:hAnsi="Arial" w:cs="Arial"/>
          <w:sz w:val="24"/>
          <w:szCs w:val="24"/>
        </w:rPr>
        <w:t>addition</w:t>
      </w:r>
      <w:r w:rsidR="009637C4" w:rsidRPr="00966346">
        <w:rPr>
          <w:rFonts w:ascii="Arial" w:hAnsi="Arial" w:cs="Arial"/>
          <w:sz w:val="24"/>
          <w:szCs w:val="24"/>
        </w:rPr>
        <w:t xml:space="preserve"> of</w:t>
      </w:r>
      <w:r w:rsidR="00A07AAD" w:rsidRPr="00966346">
        <w:rPr>
          <w:rFonts w:ascii="Arial" w:hAnsi="Arial" w:cs="Arial"/>
          <w:sz w:val="24"/>
          <w:szCs w:val="24"/>
        </w:rPr>
        <w:t xml:space="preserve"> alkylating agent and rituximab</w:t>
      </w:r>
      <w:r w:rsidR="009637C4" w:rsidRPr="00966346">
        <w:rPr>
          <w:rFonts w:ascii="Arial" w:hAnsi="Arial" w:cs="Arial"/>
          <w:sz w:val="24"/>
          <w:szCs w:val="24"/>
        </w:rPr>
        <w:t xml:space="preserve"> </w:t>
      </w:r>
      <w:r w:rsidR="00902016" w:rsidRPr="00966346">
        <w:rPr>
          <w:rFonts w:ascii="Arial" w:hAnsi="Arial" w:cs="Arial"/>
          <w:sz w:val="24"/>
          <w:szCs w:val="24"/>
        </w:rPr>
        <w:t xml:space="preserve">to </w:t>
      </w:r>
      <w:r w:rsidR="0006559C" w:rsidRPr="00966346">
        <w:rPr>
          <w:rFonts w:ascii="Arial" w:hAnsi="Arial" w:cs="Arial"/>
          <w:sz w:val="24"/>
          <w:szCs w:val="24"/>
        </w:rPr>
        <w:t xml:space="preserve">the </w:t>
      </w:r>
      <w:r w:rsidR="009637C4" w:rsidRPr="00966346">
        <w:rPr>
          <w:rFonts w:ascii="Arial" w:hAnsi="Arial" w:cs="Arial"/>
          <w:sz w:val="24"/>
          <w:szCs w:val="24"/>
        </w:rPr>
        <w:t>induction regimen</w:t>
      </w:r>
      <w:r w:rsidR="008E7A2A" w:rsidRPr="008E7A2A">
        <w:rPr>
          <w:rFonts w:ascii="Arial" w:hAnsi="Arial" w:cs="Arial"/>
          <w:sz w:val="24"/>
          <w:szCs w:val="24"/>
          <w:vertAlign w:val="superscript"/>
        </w:rPr>
        <w:t>7-9</w:t>
      </w:r>
      <w:r w:rsidR="00A07AAD" w:rsidRPr="00966346">
        <w:rPr>
          <w:rFonts w:ascii="Arial" w:hAnsi="Arial" w:cs="Arial"/>
          <w:sz w:val="24"/>
          <w:szCs w:val="24"/>
        </w:rPr>
        <w:t xml:space="preserve">. </w:t>
      </w:r>
    </w:p>
    <w:p w14:paraId="207F6F3C" w14:textId="280D029F" w:rsidR="00F83F3F" w:rsidRPr="00966346" w:rsidRDefault="000631EA" w:rsidP="007F3E1C">
      <w:pPr>
        <w:spacing w:after="0" w:line="360" w:lineRule="auto"/>
        <w:jc w:val="both"/>
        <w:rPr>
          <w:rFonts w:ascii="Arial" w:hAnsi="Arial" w:cs="Arial"/>
          <w:sz w:val="24"/>
          <w:szCs w:val="24"/>
        </w:rPr>
      </w:pPr>
      <w:r w:rsidRPr="00966346">
        <w:rPr>
          <w:rFonts w:ascii="Arial" w:hAnsi="Arial" w:cs="Arial"/>
          <w:sz w:val="24"/>
          <w:szCs w:val="24"/>
        </w:rPr>
        <w:t xml:space="preserve">The second question </w:t>
      </w:r>
      <w:r w:rsidR="00A07AAD" w:rsidRPr="00966346">
        <w:rPr>
          <w:rFonts w:ascii="Arial" w:hAnsi="Arial" w:cs="Arial"/>
          <w:sz w:val="24"/>
          <w:szCs w:val="24"/>
        </w:rPr>
        <w:t xml:space="preserve">of the IELSG32 trial </w:t>
      </w:r>
      <w:r w:rsidRPr="00966346">
        <w:rPr>
          <w:rFonts w:ascii="Arial" w:hAnsi="Arial" w:cs="Arial"/>
          <w:sz w:val="24"/>
          <w:szCs w:val="24"/>
        </w:rPr>
        <w:t xml:space="preserve">addresses the efficacy of high-dose chemotherapy supported by autologous stem </w:t>
      </w:r>
      <w:r w:rsidR="00840119" w:rsidRPr="00966346">
        <w:rPr>
          <w:rFonts w:ascii="Arial" w:hAnsi="Arial" w:cs="Arial"/>
          <w:sz w:val="24"/>
          <w:szCs w:val="24"/>
        </w:rPr>
        <w:t>cell transplantation (HDC/ASCT),</w:t>
      </w:r>
      <w:r w:rsidRPr="00966346">
        <w:rPr>
          <w:rFonts w:ascii="Arial" w:hAnsi="Arial" w:cs="Arial"/>
          <w:sz w:val="24"/>
          <w:szCs w:val="24"/>
        </w:rPr>
        <w:t xml:space="preserve"> as an alternative to WBRT</w:t>
      </w:r>
      <w:r w:rsidR="00840119" w:rsidRPr="00966346">
        <w:rPr>
          <w:rFonts w:ascii="Arial" w:hAnsi="Arial" w:cs="Arial"/>
          <w:sz w:val="24"/>
          <w:szCs w:val="24"/>
        </w:rPr>
        <w:t>,</w:t>
      </w:r>
      <w:r w:rsidRPr="00966346">
        <w:rPr>
          <w:rFonts w:ascii="Arial" w:hAnsi="Arial" w:cs="Arial"/>
          <w:sz w:val="24"/>
          <w:szCs w:val="24"/>
        </w:rPr>
        <w:t xml:space="preserve"> as consolidation treatment. </w:t>
      </w:r>
      <w:r w:rsidR="00A07AAD" w:rsidRPr="00966346">
        <w:rPr>
          <w:rFonts w:ascii="Arial" w:hAnsi="Arial" w:cs="Arial"/>
          <w:sz w:val="24"/>
          <w:szCs w:val="24"/>
        </w:rPr>
        <w:t xml:space="preserve">The </w:t>
      </w:r>
      <w:r w:rsidR="007415BB" w:rsidRPr="00966346">
        <w:rPr>
          <w:rFonts w:ascii="Arial" w:hAnsi="Arial" w:cs="Arial"/>
          <w:sz w:val="24"/>
          <w:szCs w:val="24"/>
        </w:rPr>
        <w:t>principal</w:t>
      </w:r>
      <w:r w:rsidR="00A07AAD" w:rsidRPr="00966346">
        <w:rPr>
          <w:rFonts w:ascii="Arial" w:hAnsi="Arial" w:cs="Arial"/>
          <w:sz w:val="24"/>
          <w:szCs w:val="24"/>
        </w:rPr>
        <w:t xml:space="preserve"> reason to avoid WBRT in PCNSL management is the risk of severe neurotoxicity </w:t>
      </w:r>
      <w:r w:rsidR="0006559C" w:rsidRPr="00966346">
        <w:rPr>
          <w:rFonts w:ascii="Arial" w:hAnsi="Arial" w:cs="Arial"/>
          <w:sz w:val="24"/>
          <w:szCs w:val="24"/>
        </w:rPr>
        <w:t xml:space="preserve">observed </w:t>
      </w:r>
      <w:r w:rsidR="00A07AAD" w:rsidRPr="00966346">
        <w:rPr>
          <w:rFonts w:ascii="Arial" w:hAnsi="Arial" w:cs="Arial"/>
          <w:sz w:val="24"/>
          <w:szCs w:val="24"/>
        </w:rPr>
        <w:t>in patients treated with chemo-radiotherapy</w:t>
      </w:r>
      <w:r w:rsidR="008E7A2A" w:rsidRPr="008E7A2A">
        <w:rPr>
          <w:rFonts w:ascii="Arial" w:hAnsi="Arial" w:cs="Arial"/>
          <w:sz w:val="24"/>
          <w:szCs w:val="24"/>
          <w:vertAlign w:val="superscript"/>
        </w:rPr>
        <w:t>10</w:t>
      </w:r>
      <w:r w:rsidR="00A07AAD" w:rsidRPr="00966346">
        <w:rPr>
          <w:rFonts w:ascii="Arial" w:hAnsi="Arial" w:cs="Arial"/>
          <w:sz w:val="24"/>
          <w:szCs w:val="24"/>
        </w:rPr>
        <w:t xml:space="preserve">. However, the impact of WBRT on </w:t>
      </w:r>
      <w:r w:rsidR="00AD30E5" w:rsidRPr="00966346">
        <w:rPr>
          <w:rFonts w:ascii="Arial" w:hAnsi="Arial" w:cs="Arial"/>
          <w:sz w:val="24"/>
          <w:szCs w:val="24"/>
        </w:rPr>
        <w:t>cognitive</w:t>
      </w:r>
      <w:r w:rsidR="00A07AAD" w:rsidRPr="00966346">
        <w:rPr>
          <w:rFonts w:ascii="Arial" w:hAnsi="Arial" w:cs="Arial"/>
          <w:sz w:val="24"/>
          <w:szCs w:val="24"/>
        </w:rPr>
        <w:t xml:space="preserve"> functions have </w:t>
      </w:r>
      <w:r w:rsidR="007415BB" w:rsidRPr="00966346">
        <w:rPr>
          <w:rFonts w:ascii="Arial" w:hAnsi="Arial" w:cs="Arial"/>
          <w:sz w:val="24"/>
          <w:szCs w:val="24"/>
        </w:rPr>
        <w:t xml:space="preserve">only </w:t>
      </w:r>
      <w:r w:rsidR="00A07AAD" w:rsidRPr="00966346">
        <w:rPr>
          <w:rFonts w:ascii="Arial" w:hAnsi="Arial" w:cs="Arial"/>
          <w:sz w:val="24"/>
          <w:szCs w:val="24"/>
        </w:rPr>
        <w:t xml:space="preserve">been assessed in a </w:t>
      </w:r>
      <w:r w:rsidR="007415BB" w:rsidRPr="00966346">
        <w:rPr>
          <w:rFonts w:ascii="Arial" w:hAnsi="Arial" w:cs="Arial"/>
          <w:sz w:val="24"/>
          <w:szCs w:val="24"/>
        </w:rPr>
        <w:t>small number of</w:t>
      </w:r>
      <w:r w:rsidR="00F83F3F" w:rsidRPr="00966346">
        <w:rPr>
          <w:rFonts w:ascii="Arial" w:hAnsi="Arial" w:cs="Arial"/>
          <w:sz w:val="24"/>
          <w:szCs w:val="24"/>
        </w:rPr>
        <w:t xml:space="preserve"> </w:t>
      </w:r>
      <w:proofErr w:type="spellStart"/>
      <w:r w:rsidR="00F83F3F" w:rsidRPr="00966346">
        <w:rPr>
          <w:rFonts w:ascii="Arial" w:hAnsi="Arial" w:cs="Arial"/>
          <w:sz w:val="24"/>
          <w:szCs w:val="24"/>
        </w:rPr>
        <w:t>monoinstitutional</w:t>
      </w:r>
      <w:proofErr w:type="spellEnd"/>
      <w:r w:rsidR="00A07AAD" w:rsidRPr="00966346">
        <w:rPr>
          <w:rFonts w:ascii="Arial" w:hAnsi="Arial" w:cs="Arial"/>
          <w:sz w:val="24"/>
          <w:szCs w:val="24"/>
        </w:rPr>
        <w:t xml:space="preserve"> s</w:t>
      </w:r>
      <w:r w:rsidR="00E57BF2" w:rsidRPr="00966346">
        <w:rPr>
          <w:rFonts w:ascii="Arial" w:hAnsi="Arial" w:cs="Arial"/>
          <w:sz w:val="24"/>
          <w:szCs w:val="24"/>
        </w:rPr>
        <w:t>tudies</w:t>
      </w:r>
      <w:r w:rsidR="008E7A2A" w:rsidRPr="008E7A2A">
        <w:rPr>
          <w:rFonts w:ascii="Arial" w:hAnsi="Arial" w:cs="Arial"/>
          <w:sz w:val="24"/>
          <w:szCs w:val="24"/>
          <w:vertAlign w:val="superscript"/>
        </w:rPr>
        <w:t>8,9</w:t>
      </w:r>
      <w:r w:rsidR="00F83F3F" w:rsidRPr="00966346">
        <w:rPr>
          <w:rFonts w:ascii="Arial" w:hAnsi="Arial" w:cs="Arial"/>
          <w:sz w:val="24"/>
          <w:szCs w:val="24"/>
        </w:rPr>
        <w:t>, and</w:t>
      </w:r>
      <w:r w:rsidR="00E57BF2" w:rsidRPr="00966346">
        <w:rPr>
          <w:rFonts w:ascii="Arial" w:hAnsi="Arial" w:cs="Arial"/>
          <w:sz w:val="24"/>
          <w:szCs w:val="24"/>
        </w:rPr>
        <w:t>,</w:t>
      </w:r>
      <w:r w:rsidR="00F83F3F" w:rsidRPr="00966346">
        <w:rPr>
          <w:rFonts w:ascii="Arial" w:hAnsi="Arial" w:cs="Arial"/>
          <w:sz w:val="24"/>
          <w:szCs w:val="24"/>
        </w:rPr>
        <w:t xml:space="preserve"> despite the recommendation to use a panel of neuropsychological tests established by the International PCNSL Collaborative Group</w:t>
      </w:r>
      <w:r w:rsidR="008E7A2A" w:rsidRPr="008E7A2A">
        <w:rPr>
          <w:rFonts w:ascii="Arial" w:hAnsi="Arial" w:cs="Arial"/>
          <w:sz w:val="24"/>
          <w:szCs w:val="24"/>
          <w:vertAlign w:val="superscript"/>
        </w:rPr>
        <w:t>11</w:t>
      </w:r>
      <w:r w:rsidR="00F83F3F" w:rsidRPr="00966346">
        <w:rPr>
          <w:rFonts w:ascii="Arial" w:hAnsi="Arial" w:cs="Arial"/>
          <w:sz w:val="24"/>
          <w:szCs w:val="24"/>
        </w:rPr>
        <w:t xml:space="preserve">, a consensus on the most reliable neuropsychological tests and timing for assessment </w:t>
      </w:r>
      <w:r w:rsidR="009637C4" w:rsidRPr="00966346">
        <w:rPr>
          <w:rFonts w:ascii="Arial" w:hAnsi="Arial" w:cs="Arial"/>
          <w:sz w:val="24"/>
          <w:szCs w:val="24"/>
        </w:rPr>
        <w:t>is</w:t>
      </w:r>
      <w:r w:rsidR="00F83F3F" w:rsidRPr="00966346">
        <w:rPr>
          <w:rFonts w:ascii="Arial" w:hAnsi="Arial" w:cs="Arial"/>
          <w:sz w:val="24"/>
          <w:szCs w:val="24"/>
        </w:rPr>
        <w:t xml:space="preserve"> still lacking. HDC/ASCT </w:t>
      </w:r>
      <w:r w:rsidR="00E57BF2" w:rsidRPr="00966346">
        <w:rPr>
          <w:rFonts w:ascii="Arial" w:hAnsi="Arial" w:cs="Arial"/>
          <w:sz w:val="24"/>
          <w:szCs w:val="24"/>
        </w:rPr>
        <w:t>is</w:t>
      </w:r>
      <w:r w:rsidR="00F83F3F" w:rsidRPr="00966346">
        <w:rPr>
          <w:rFonts w:ascii="Arial" w:hAnsi="Arial" w:cs="Arial"/>
          <w:sz w:val="24"/>
          <w:szCs w:val="24"/>
        </w:rPr>
        <w:t xml:space="preserve"> the most investigated </w:t>
      </w:r>
      <w:r w:rsidR="00E57BF2" w:rsidRPr="00966346">
        <w:rPr>
          <w:rFonts w:ascii="Arial" w:hAnsi="Arial" w:cs="Arial"/>
          <w:sz w:val="24"/>
          <w:szCs w:val="24"/>
        </w:rPr>
        <w:t>alternative to WBRT as consolidation therapy</w:t>
      </w:r>
      <w:r w:rsidR="008E7A2A" w:rsidRPr="008E7A2A">
        <w:rPr>
          <w:rFonts w:ascii="Arial" w:hAnsi="Arial" w:cs="Arial"/>
          <w:sz w:val="24"/>
          <w:szCs w:val="24"/>
          <w:vertAlign w:val="superscript"/>
        </w:rPr>
        <w:t>12</w:t>
      </w:r>
      <w:r w:rsidR="007415BB" w:rsidRPr="00966346">
        <w:rPr>
          <w:rFonts w:ascii="Arial" w:hAnsi="Arial" w:cs="Arial"/>
          <w:sz w:val="24"/>
          <w:szCs w:val="24"/>
        </w:rPr>
        <w:t xml:space="preserve"> although no data from randomized trials has been available to</w:t>
      </w:r>
      <w:r w:rsidR="00204220" w:rsidRPr="00966346">
        <w:rPr>
          <w:rFonts w:ascii="Arial" w:hAnsi="Arial" w:cs="Arial"/>
          <w:sz w:val="24"/>
          <w:szCs w:val="24"/>
        </w:rPr>
        <w:t xml:space="preserve"> </w:t>
      </w:r>
      <w:r w:rsidR="007415BB" w:rsidRPr="00966346">
        <w:rPr>
          <w:rFonts w:ascii="Arial" w:hAnsi="Arial" w:cs="Arial"/>
          <w:sz w:val="24"/>
          <w:szCs w:val="24"/>
        </w:rPr>
        <w:t>date</w:t>
      </w:r>
      <w:r w:rsidR="00F83F3F" w:rsidRPr="00966346">
        <w:rPr>
          <w:rFonts w:ascii="Arial" w:hAnsi="Arial" w:cs="Arial"/>
          <w:sz w:val="24"/>
          <w:szCs w:val="24"/>
        </w:rPr>
        <w:t>. A</w:t>
      </w:r>
      <w:r w:rsidRPr="00966346">
        <w:rPr>
          <w:rFonts w:ascii="Arial" w:hAnsi="Arial" w:cs="Arial"/>
          <w:sz w:val="24"/>
          <w:szCs w:val="24"/>
        </w:rPr>
        <w:t xml:space="preserve"> number of </w:t>
      </w:r>
      <w:r w:rsidR="00902016" w:rsidRPr="00966346">
        <w:rPr>
          <w:rFonts w:ascii="Arial" w:hAnsi="Arial" w:cs="Arial"/>
          <w:sz w:val="24"/>
          <w:szCs w:val="24"/>
        </w:rPr>
        <w:t xml:space="preserve">small </w:t>
      </w:r>
      <w:r w:rsidRPr="00966346">
        <w:rPr>
          <w:rFonts w:ascii="Arial" w:hAnsi="Arial" w:cs="Arial"/>
          <w:sz w:val="24"/>
          <w:szCs w:val="24"/>
        </w:rPr>
        <w:t xml:space="preserve">studies </w:t>
      </w:r>
      <w:r w:rsidR="0006559C" w:rsidRPr="00966346">
        <w:rPr>
          <w:rFonts w:ascii="Arial" w:hAnsi="Arial" w:cs="Arial"/>
          <w:sz w:val="24"/>
          <w:szCs w:val="24"/>
        </w:rPr>
        <w:t xml:space="preserve">have reported </w:t>
      </w:r>
      <w:r w:rsidRPr="00966346">
        <w:rPr>
          <w:rFonts w:ascii="Arial" w:hAnsi="Arial" w:cs="Arial"/>
          <w:sz w:val="24"/>
          <w:szCs w:val="24"/>
        </w:rPr>
        <w:t>high efficacy of HDC/ASCT</w:t>
      </w:r>
      <w:r w:rsidR="0006559C" w:rsidRPr="00966346">
        <w:rPr>
          <w:rFonts w:ascii="Arial" w:hAnsi="Arial" w:cs="Arial"/>
          <w:sz w:val="24"/>
          <w:szCs w:val="24"/>
        </w:rPr>
        <w:t>,</w:t>
      </w:r>
      <w:r w:rsidRPr="00966346">
        <w:rPr>
          <w:rFonts w:ascii="Arial" w:hAnsi="Arial" w:cs="Arial"/>
          <w:sz w:val="24"/>
          <w:szCs w:val="24"/>
        </w:rPr>
        <w:t xml:space="preserve"> predominantly using thiotepa-based conditioning regimens</w:t>
      </w:r>
      <w:r w:rsidR="00F83F3F" w:rsidRPr="00966346">
        <w:rPr>
          <w:rFonts w:ascii="Arial" w:hAnsi="Arial" w:cs="Arial"/>
          <w:sz w:val="24"/>
          <w:szCs w:val="24"/>
        </w:rPr>
        <w:t xml:space="preserve">, </w:t>
      </w:r>
      <w:r w:rsidR="0006559C" w:rsidRPr="00966346">
        <w:rPr>
          <w:rFonts w:ascii="Arial" w:hAnsi="Arial" w:cs="Arial"/>
          <w:sz w:val="24"/>
          <w:szCs w:val="24"/>
        </w:rPr>
        <w:t>with acceptable tolerability</w:t>
      </w:r>
      <w:r w:rsidR="008E7A2A" w:rsidRPr="008E7A2A">
        <w:rPr>
          <w:rFonts w:ascii="Arial" w:hAnsi="Arial" w:cs="Arial"/>
          <w:sz w:val="24"/>
          <w:szCs w:val="24"/>
          <w:vertAlign w:val="superscript"/>
        </w:rPr>
        <w:t>12</w:t>
      </w:r>
      <w:r w:rsidRPr="00966346">
        <w:rPr>
          <w:rFonts w:ascii="Arial" w:hAnsi="Arial" w:cs="Arial"/>
          <w:sz w:val="24"/>
          <w:szCs w:val="24"/>
        </w:rPr>
        <w:t xml:space="preserve">. </w:t>
      </w:r>
      <w:r w:rsidR="008C7A5B" w:rsidRPr="00966346">
        <w:rPr>
          <w:rFonts w:ascii="Arial" w:hAnsi="Arial" w:cs="Arial"/>
          <w:sz w:val="24"/>
          <w:szCs w:val="24"/>
        </w:rPr>
        <w:t>However, many unanswered questions remain</w:t>
      </w:r>
      <w:r w:rsidR="007415BB" w:rsidRPr="00966346">
        <w:rPr>
          <w:rFonts w:ascii="Arial" w:hAnsi="Arial" w:cs="Arial"/>
          <w:sz w:val="24"/>
          <w:szCs w:val="24"/>
        </w:rPr>
        <w:t>;</w:t>
      </w:r>
      <w:r w:rsidR="008C7A5B" w:rsidRPr="00966346">
        <w:rPr>
          <w:rFonts w:ascii="Arial" w:hAnsi="Arial" w:cs="Arial"/>
          <w:sz w:val="24"/>
          <w:szCs w:val="24"/>
        </w:rPr>
        <w:t xml:space="preserve"> in particular, the </w:t>
      </w:r>
      <w:r w:rsidR="007415BB" w:rsidRPr="00966346">
        <w:rPr>
          <w:rFonts w:ascii="Arial" w:hAnsi="Arial" w:cs="Arial"/>
          <w:sz w:val="24"/>
          <w:szCs w:val="24"/>
        </w:rPr>
        <w:t>impact</w:t>
      </w:r>
      <w:r w:rsidR="008C7A5B" w:rsidRPr="00966346">
        <w:rPr>
          <w:rFonts w:ascii="Arial" w:hAnsi="Arial" w:cs="Arial"/>
          <w:sz w:val="24"/>
          <w:szCs w:val="24"/>
        </w:rPr>
        <w:t xml:space="preserve"> of HDC/ASCT on </w:t>
      </w:r>
      <w:r w:rsidR="00AD30E5" w:rsidRPr="00966346">
        <w:rPr>
          <w:rFonts w:ascii="Arial" w:hAnsi="Arial" w:cs="Arial"/>
          <w:sz w:val="24"/>
          <w:szCs w:val="24"/>
        </w:rPr>
        <w:t>cognitive</w:t>
      </w:r>
      <w:r w:rsidR="008C7A5B" w:rsidRPr="00966346">
        <w:rPr>
          <w:rFonts w:ascii="Arial" w:hAnsi="Arial" w:cs="Arial"/>
          <w:sz w:val="24"/>
          <w:szCs w:val="24"/>
        </w:rPr>
        <w:t xml:space="preserve"> functions</w:t>
      </w:r>
      <w:r w:rsidR="009D12C3" w:rsidRPr="00966346">
        <w:rPr>
          <w:rFonts w:ascii="Arial" w:hAnsi="Arial" w:cs="Arial"/>
          <w:sz w:val="24"/>
          <w:szCs w:val="24"/>
        </w:rPr>
        <w:t>, which</w:t>
      </w:r>
      <w:r w:rsidR="0006559C" w:rsidRPr="00966346">
        <w:rPr>
          <w:rFonts w:ascii="Arial" w:hAnsi="Arial" w:cs="Arial"/>
          <w:sz w:val="24"/>
          <w:szCs w:val="24"/>
        </w:rPr>
        <w:t xml:space="preserve"> has been</w:t>
      </w:r>
      <w:r w:rsidR="008C7A5B" w:rsidRPr="00966346">
        <w:rPr>
          <w:rFonts w:ascii="Arial" w:hAnsi="Arial" w:cs="Arial"/>
          <w:sz w:val="24"/>
          <w:szCs w:val="24"/>
        </w:rPr>
        <w:t xml:space="preserve"> explored in a single </w:t>
      </w:r>
      <w:r w:rsidR="00E57BF2" w:rsidRPr="00966346">
        <w:rPr>
          <w:rFonts w:ascii="Arial" w:hAnsi="Arial" w:cs="Arial"/>
          <w:sz w:val="24"/>
          <w:szCs w:val="24"/>
        </w:rPr>
        <w:t>prospective trial without a suitable control group</w:t>
      </w:r>
      <w:r w:rsidR="008E7A2A" w:rsidRPr="008E7A2A">
        <w:rPr>
          <w:rFonts w:ascii="Arial" w:hAnsi="Arial" w:cs="Arial"/>
          <w:sz w:val="24"/>
          <w:szCs w:val="24"/>
          <w:vertAlign w:val="superscript"/>
        </w:rPr>
        <w:t>8</w:t>
      </w:r>
      <w:r w:rsidR="0006559C" w:rsidRPr="00966346">
        <w:rPr>
          <w:rFonts w:ascii="Arial" w:hAnsi="Arial" w:cs="Arial"/>
          <w:sz w:val="24"/>
          <w:szCs w:val="24"/>
        </w:rPr>
        <w:t xml:space="preserve">. Identification </w:t>
      </w:r>
      <w:r w:rsidR="008C7A5B" w:rsidRPr="00966346">
        <w:rPr>
          <w:rFonts w:ascii="Arial" w:hAnsi="Arial" w:cs="Arial"/>
          <w:sz w:val="24"/>
          <w:szCs w:val="24"/>
        </w:rPr>
        <w:t>of the best candidates for upfront ASCT</w:t>
      </w:r>
      <w:r w:rsidR="0006559C" w:rsidRPr="00966346">
        <w:rPr>
          <w:rFonts w:ascii="Arial" w:hAnsi="Arial" w:cs="Arial"/>
          <w:sz w:val="24"/>
          <w:szCs w:val="24"/>
        </w:rPr>
        <w:t xml:space="preserve"> is also unclear</w:t>
      </w:r>
      <w:r w:rsidR="008C7A5B" w:rsidRPr="00966346">
        <w:rPr>
          <w:rFonts w:ascii="Arial" w:hAnsi="Arial" w:cs="Arial"/>
          <w:sz w:val="24"/>
          <w:szCs w:val="24"/>
        </w:rPr>
        <w:t xml:space="preserve">. In current practice, </w:t>
      </w:r>
      <w:r w:rsidR="007415BB" w:rsidRPr="00966346">
        <w:rPr>
          <w:rFonts w:ascii="Arial" w:hAnsi="Arial" w:cs="Arial"/>
          <w:sz w:val="24"/>
          <w:szCs w:val="24"/>
        </w:rPr>
        <w:t xml:space="preserve">first-line consolidation with HDC/ASCT has typically been reserved for </w:t>
      </w:r>
      <w:r w:rsidR="008C7A5B" w:rsidRPr="00966346">
        <w:rPr>
          <w:rFonts w:ascii="Arial" w:hAnsi="Arial" w:cs="Arial"/>
          <w:sz w:val="24"/>
          <w:szCs w:val="24"/>
        </w:rPr>
        <w:t>young patients</w:t>
      </w:r>
      <w:r w:rsidR="007415BB" w:rsidRPr="00966346">
        <w:rPr>
          <w:rFonts w:ascii="Arial" w:hAnsi="Arial" w:cs="Arial"/>
          <w:sz w:val="24"/>
          <w:szCs w:val="24"/>
        </w:rPr>
        <w:t xml:space="preserve"> with </w:t>
      </w:r>
      <w:proofErr w:type="spellStart"/>
      <w:r w:rsidR="007415BB" w:rsidRPr="00966346">
        <w:rPr>
          <w:rFonts w:ascii="Arial" w:hAnsi="Arial" w:cs="Arial"/>
          <w:sz w:val="24"/>
          <w:szCs w:val="24"/>
        </w:rPr>
        <w:t>chemosensitive</w:t>
      </w:r>
      <w:proofErr w:type="spellEnd"/>
      <w:r w:rsidR="007415BB" w:rsidRPr="00966346">
        <w:rPr>
          <w:rFonts w:ascii="Arial" w:hAnsi="Arial" w:cs="Arial"/>
          <w:sz w:val="24"/>
          <w:szCs w:val="24"/>
        </w:rPr>
        <w:t xml:space="preserve"> lymphoma</w:t>
      </w:r>
      <w:r w:rsidR="008C7A5B" w:rsidRPr="00966346">
        <w:rPr>
          <w:rFonts w:ascii="Arial" w:hAnsi="Arial" w:cs="Arial"/>
          <w:sz w:val="24"/>
          <w:szCs w:val="24"/>
        </w:rPr>
        <w:t xml:space="preserve">, </w:t>
      </w:r>
      <w:r w:rsidR="007415BB" w:rsidRPr="00966346">
        <w:rPr>
          <w:rFonts w:ascii="Arial" w:hAnsi="Arial" w:cs="Arial"/>
          <w:sz w:val="24"/>
          <w:szCs w:val="24"/>
        </w:rPr>
        <w:t xml:space="preserve">preserved cognitive functions, and </w:t>
      </w:r>
      <w:r w:rsidR="008C7A5B" w:rsidRPr="00966346">
        <w:rPr>
          <w:rFonts w:ascii="Arial" w:hAnsi="Arial" w:cs="Arial"/>
          <w:sz w:val="24"/>
          <w:szCs w:val="24"/>
        </w:rPr>
        <w:t xml:space="preserve">without relevant comorbidity. </w:t>
      </w:r>
      <w:r w:rsidR="007415BB" w:rsidRPr="00966346">
        <w:rPr>
          <w:rFonts w:ascii="Arial" w:hAnsi="Arial" w:cs="Arial"/>
          <w:sz w:val="24"/>
          <w:szCs w:val="24"/>
        </w:rPr>
        <w:t>However, p</w:t>
      </w:r>
      <w:r w:rsidR="008C7A5B" w:rsidRPr="00966346">
        <w:rPr>
          <w:rFonts w:ascii="Arial" w:hAnsi="Arial" w:cs="Arial"/>
          <w:sz w:val="24"/>
          <w:szCs w:val="24"/>
        </w:rPr>
        <w:t xml:space="preserve">atients with </w:t>
      </w:r>
      <w:r w:rsidR="007415BB" w:rsidRPr="00966346">
        <w:rPr>
          <w:rFonts w:ascii="Arial" w:hAnsi="Arial" w:cs="Arial"/>
          <w:sz w:val="24"/>
          <w:szCs w:val="24"/>
        </w:rPr>
        <w:t>such</w:t>
      </w:r>
      <w:r w:rsidR="008C7A5B" w:rsidRPr="00966346">
        <w:rPr>
          <w:rFonts w:ascii="Arial" w:hAnsi="Arial" w:cs="Arial"/>
          <w:sz w:val="24"/>
          <w:szCs w:val="24"/>
        </w:rPr>
        <w:t xml:space="preserve"> characteristics represent a </w:t>
      </w:r>
      <w:r w:rsidR="007415BB" w:rsidRPr="00966346">
        <w:rPr>
          <w:rFonts w:ascii="Arial" w:hAnsi="Arial" w:cs="Arial"/>
          <w:sz w:val="24"/>
          <w:szCs w:val="24"/>
        </w:rPr>
        <w:t>selected subset</w:t>
      </w:r>
      <w:r w:rsidR="008C7A5B" w:rsidRPr="00966346">
        <w:rPr>
          <w:rFonts w:ascii="Arial" w:hAnsi="Arial" w:cs="Arial"/>
          <w:sz w:val="24"/>
          <w:szCs w:val="24"/>
        </w:rPr>
        <w:t xml:space="preserve"> of </w:t>
      </w:r>
      <w:r w:rsidR="007415BB" w:rsidRPr="00966346">
        <w:rPr>
          <w:rFonts w:ascii="Arial" w:hAnsi="Arial" w:cs="Arial"/>
          <w:sz w:val="24"/>
          <w:szCs w:val="24"/>
        </w:rPr>
        <w:t xml:space="preserve">the </w:t>
      </w:r>
      <w:r w:rsidR="008C7A5B" w:rsidRPr="00966346">
        <w:rPr>
          <w:rFonts w:ascii="Arial" w:hAnsi="Arial" w:cs="Arial"/>
          <w:sz w:val="24"/>
          <w:szCs w:val="24"/>
        </w:rPr>
        <w:t xml:space="preserve">PCNSL population. </w:t>
      </w:r>
      <w:r w:rsidR="00937860" w:rsidRPr="00966346">
        <w:rPr>
          <w:rFonts w:ascii="Arial" w:hAnsi="Arial" w:cs="Arial"/>
          <w:sz w:val="24"/>
          <w:szCs w:val="24"/>
        </w:rPr>
        <w:t>To date, a formal comparison of WBRT and ASCT as consolidation after high-dose-methotrexate-based induction in patients with newly</w:t>
      </w:r>
      <w:r w:rsidR="0006559C" w:rsidRPr="00966346">
        <w:rPr>
          <w:rFonts w:ascii="Arial" w:hAnsi="Arial" w:cs="Arial"/>
          <w:sz w:val="24"/>
          <w:szCs w:val="24"/>
        </w:rPr>
        <w:t xml:space="preserve"> diagnosed PCNSL has not been reported</w:t>
      </w:r>
      <w:r w:rsidR="00937860" w:rsidRPr="00966346">
        <w:rPr>
          <w:rFonts w:ascii="Arial" w:hAnsi="Arial" w:cs="Arial"/>
          <w:sz w:val="24"/>
          <w:szCs w:val="24"/>
        </w:rPr>
        <w:t>.</w:t>
      </w:r>
    </w:p>
    <w:p w14:paraId="53DB1BB9" w14:textId="77777777" w:rsidR="006222CE" w:rsidRPr="00966346" w:rsidRDefault="000631EA" w:rsidP="007F3E1C">
      <w:pPr>
        <w:spacing w:after="0" w:line="360" w:lineRule="auto"/>
        <w:jc w:val="both"/>
        <w:rPr>
          <w:rFonts w:ascii="Arial" w:hAnsi="Arial" w:cs="Arial"/>
          <w:sz w:val="24"/>
          <w:szCs w:val="24"/>
        </w:rPr>
      </w:pPr>
      <w:r w:rsidRPr="00966346">
        <w:rPr>
          <w:rFonts w:ascii="Arial" w:hAnsi="Arial" w:cs="Arial"/>
          <w:sz w:val="24"/>
          <w:szCs w:val="24"/>
        </w:rPr>
        <w:t xml:space="preserve">Herein, we report the results of the </w:t>
      </w:r>
      <w:r w:rsidR="00937860" w:rsidRPr="00966346">
        <w:rPr>
          <w:rFonts w:ascii="Arial" w:hAnsi="Arial" w:cs="Arial"/>
          <w:sz w:val="24"/>
          <w:szCs w:val="24"/>
        </w:rPr>
        <w:t>second</w:t>
      </w:r>
      <w:r w:rsidRPr="00966346">
        <w:rPr>
          <w:rFonts w:ascii="Arial" w:hAnsi="Arial" w:cs="Arial"/>
          <w:sz w:val="24"/>
          <w:szCs w:val="24"/>
        </w:rPr>
        <w:t xml:space="preserve"> randomization of the IELSG32 trial addressing </w:t>
      </w:r>
      <w:r w:rsidR="00937860" w:rsidRPr="00966346">
        <w:rPr>
          <w:rFonts w:ascii="Arial" w:hAnsi="Arial" w:cs="Arial"/>
          <w:sz w:val="24"/>
          <w:szCs w:val="24"/>
        </w:rPr>
        <w:t>efficacy</w:t>
      </w:r>
      <w:r w:rsidRPr="00966346">
        <w:rPr>
          <w:rFonts w:ascii="Arial" w:hAnsi="Arial" w:cs="Arial"/>
          <w:sz w:val="24"/>
          <w:szCs w:val="24"/>
        </w:rPr>
        <w:t xml:space="preserve"> of </w:t>
      </w:r>
      <w:r w:rsidR="00937860" w:rsidRPr="00966346">
        <w:rPr>
          <w:rFonts w:ascii="Arial" w:hAnsi="Arial" w:cs="Arial"/>
          <w:sz w:val="24"/>
          <w:szCs w:val="24"/>
        </w:rPr>
        <w:t>WBRT and ASCT as consolidation therapy in 118</w:t>
      </w:r>
      <w:r w:rsidRPr="00966346">
        <w:rPr>
          <w:rFonts w:ascii="Arial" w:hAnsi="Arial" w:cs="Arial"/>
          <w:sz w:val="24"/>
          <w:szCs w:val="24"/>
        </w:rPr>
        <w:t xml:space="preserve"> assessable patients with PCNSL</w:t>
      </w:r>
      <w:r w:rsidR="00937860" w:rsidRPr="00966346">
        <w:rPr>
          <w:rFonts w:ascii="Arial" w:hAnsi="Arial" w:cs="Arial"/>
          <w:sz w:val="24"/>
          <w:szCs w:val="24"/>
        </w:rPr>
        <w:t xml:space="preserve"> and stable or responsive disease after high-dose-methotrexate-based induction</w:t>
      </w:r>
      <w:r w:rsidRPr="00966346">
        <w:rPr>
          <w:rFonts w:ascii="Arial" w:hAnsi="Arial" w:cs="Arial"/>
          <w:sz w:val="24"/>
          <w:szCs w:val="24"/>
        </w:rPr>
        <w:t xml:space="preserve">. </w:t>
      </w:r>
      <w:r w:rsidR="00767A4C" w:rsidRPr="00966346">
        <w:rPr>
          <w:rFonts w:ascii="Arial" w:hAnsi="Arial" w:cs="Arial"/>
          <w:sz w:val="24"/>
          <w:szCs w:val="24"/>
        </w:rPr>
        <w:t xml:space="preserve">Importantly, the </w:t>
      </w:r>
      <w:r w:rsidR="007415BB" w:rsidRPr="00966346">
        <w:rPr>
          <w:rFonts w:ascii="Arial" w:hAnsi="Arial" w:cs="Arial"/>
          <w:sz w:val="24"/>
          <w:szCs w:val="24"/>
        </w:rPr>
        <w:t>impact</w:t>
      </w:r>
      <w:r w:rsidR="00767A4C" w:rsidRPr="00966346">
        <w:rPr>
          <w:rFonts w:ascii="Arial" w:hAnsi="Arial" w:cs="Arial"/>
          <w:sz w:val="24"/>
          <w:szCs w:val="24"/>
        </w:rPr>
        <w:t xml:space="preserve"> of these approaches on cognitive functions and quality of life (QoL) was also </w:t>
      </w:r>
      <w:r w:rsidR="007415BB" w:rsidRPr="00966346">
        <w:rPr>
          <w:rFonts w:ascii="Arial" w:hAnsi="Arial" w:cs="Arial"/>
          <w:sz w:val="24"/>
          <w:szCs w:val="24"/>
        </w:rPr>
        <w:t xml:space="preserve">prospectively </w:t>
      </w:r>
      <w:r w:rsidR="00767A4C" w:rsidRPr="00966346">
        <w:rPr>
          <w:rFonts w:ascii="Arial" w:hAnsi="Arial" w:cs="Arial"/>
          <w:sz w:val="24"/>
          <w:szCs w:val="24"/>
        </w:rPr>
        <w:t xml:space="preserve">addressed. </w:t>
      </w:r>
    </w:p>
    <w:p w14:paraId="17C37AA0" w14:textId="77777777" w:rsidR="006222CE" w:rsidRPr="00966346" w:rsidRDefault="006222CE" w:rsidP="007F3E1C">
      <w:pPr>
        <w:spacing w:after="0" w:line="360" w:lineRule="auto"/>
        <w:jc w:val="both"/>
        <w:rPr>
          <w:rFonts w:ascii="Arial" w:hAnsi="Arial" w:cs="Arial"/>
          <w:sz w:val="24"/>
          <w:szCs w:val="24"/>
        </w:rPr>
      </w:pPr>
    </w:p>
    <w:p w14:paraId="41440D9D" w14:textId="77777777" w:rsidR="00937860" w:rsidRPr="00966346" w:rsidRDefault="00937860" w:rsidP="007F3E1C">
      <w:pPr>
        <w:spacing w:after="0" w:line="360" w:lineRule="auto"/>
        <w:jc w:val="both"/>
        <w:rPr>
          <w:rFonts w:ascii="Arial" w:hAnsi="Arial" w:cs="Arial"/>
          <w:sz w:val="24"/>
          <w:szCs w:val="24"/>
        </w:rPr>
      </w:pPr>
    </w:p>
    <w:p w14:paraId="6ACB106E" w14:textId="77777777" w:rsidR="00CD1FD0" w:rsidRPr="00966346" w:rsidRDefault="00CD1FD0" w:rsidP="007F3E1C">
      <w:pPr>
        <w:spacing w:after="0" w:line="360" w:lineRule="auto"/>
        <w:jc w:val="both"/>
        <w:rPr>
          <w:rFonts w:ascii="Arial" w:hAnsi="Arial" w:cs="Arial"/>
          <w:b/>
          <w:sz w:val="24"/>
          <w:szCs w:val="24"/>
        </w:rPr>
      </w:pPr>
      <w:r w:rsidRPr="00966346">
        <w:rPr>
          <w:rFonts w:ascii="Arial" w:hAnsi="Arial" w:cs="Arial"/>
          <w:b/>
          <w:sz w:val="24"/>
          <w:szCs w:val="24"/>
        </w:rPr>
        <w:t>PATIENTS AND METHODS</w:t>
      </w:r>
    </w:p>
    <w:p w14:paraId="0B424858" w14:textId="77777777" w:rsidR="00403245" w:rsidRPr="00966346" w:rsidRDefault="00403245" w:rsidP="007F3E1C">
      <w:pPr>
        <w:spacing w:after="0" w:line="360" w:lineRule="auto"/>
        <w:jc w:val="both"/>
        <w:rPr>
          <w:rFonts w:ascii="Arial" w:hAnsi="Arial" w:cs="Arial"/>
          <w:i/>
          <w:sz w:val="24"/>
          <w:szCs w:val="24"/>
        </w:rPr>
      </w:pPr>
      <w:r w:rsidRPr="00966346">
        <w:rPr>
          <w:rFonts w:ascii="Arial" w:hAnsi="Arial" w:cs="Arial"/>
          <w:i/>
          <w:sz w:val="24"/>
          <w:szCs w:val="24"/>
        </w:rPr>
        <w:lastRenderedPageBreak/>
        <w:t>Trial Design and Study group</w:t>
      </w:r>
    </w:p>
    <w:p w14:paraId="08DE1F87" w14:textId="77777777" w:rsidR="00BD50EF" w:rsidRPr="00966346" w:rsidRDefault="00403245" w:rsidP="007F3E1C">
      <w:pPr>
        <w:spacing w:after="0" w:line="360" w:lineRule="auto"/>
        <w:jc w:val="both"/>
        <w:rPr>
          <w:rFonts w:ascii="Arial" w:hAnsi="Arial" w:cs="Arial"/>
          <w:sz w:val="24"/>
          <w:szCs w:val="24"/>
        </w:rPr>
      </w:pPr>
      <w:r w:rsidRPr="00966346">
        <w:rPr>
          <w:rFonts w:ascii="Arial" w:hAnsi="Arial" w:cs="Arial"/>
          <w:sz w:val="24"/>
          <w:szCs w:val="24"/>
        </w:rPr>
        <w:t xml:space="preserve">This </w:t>
      </w:r>
      <w:r w:rsidR="00021DE6" w:rsidRPr="00966346">
        <w:rPr>
          <w:rFonts w:ascii="Arial" w:hAnsi="Arial" w:cs="Arial"/>
          <w:sz w:val="24"/>
          <w:szCs w:val="24"/>
        </w:rPr>
        <w:t>i</w:t>
      </w:r>
      <w:r w:rsidRPr="00966346">
        <w:rPr>
          <w:rFonts w:ascii="Arial" w:hAnsi="Arial" w:cs="Arial"/>
          <w:sz w:val="24"/>
          <w:szCs w:val="24"/>
        </w:rPr>
        <w:t xml:space="preserve">s a </w:t>
      </w:r>
      <w:r w:rsidR="009B61CC" w:rsidRPr="00966346">
        <w:rPr>
          <w:rFonts w:ascii="Arial" w:hAnsi="Arial" w:cs="Arial"/>
          <w:sz w:val="24"/>
          <w:szCs w:val="24"/>
        </w:rPr>
        <w:t>multicenter</w:t>
      </w:r>
      <w:r w:rsidRPr="00966346">
        <w:rPr>
          <w:rFonts w:ascii="Arial" w:hAnsi="Arial" w:cs="Arial"/>
          <w:sz w:val="24"/>
          <w:szCs w:val="24"/>
        </w:rPr>
        <w:t xml:space="preserve">, open label, randomized phase II trial, with a double randomization. </w:t>
      </w:r>
      <w:r w:rsidR="00BD50EF" w:rsidRPr="00966346">
        <w:rPr>
          <w:rFonts w:ascii="Arial" w:hAnsi="Arial" w:cs="Arial"/>
          <w:sz w:val="24"/>
          <w:szCs w:val="24"/>
        </w:rPr>
        <w:t>Selection criteria were: 1) histologically-proven diagnosis of B-cell non-Hodgkin lymphoma; 2) di</w:t>
      </w:r>
      <w:r w:rsidR="0006559C" w:rsidRPr="00966346">
        <w:rPr>
          <w:rFonts w:ascii="Arial" w:hAnsi="Arial" w:cs="Arial"/>
          <w:sz w:val="24"/>
          <w:szCs w:val="24"/>
        </w:rPr>
        <w:t>sease exclusively localized in</w:t>
      </w:r>
      <w:r w:rsidR="00BD50EF" w:rsidRPr="00966346">
        <w:rPr>
          <w:rFonts w:ascii="Arial" w:hAnsi="Arial" w:cs="Arial"/>
          <w:sz w:val="24"/>
          <w:szCs w:val="24"/>
        </w:rPr>
        <w:t xml:space="preserve"> the CNS, cranial nerves and/or eyes; 3) no previous treatment; 4) measurable disease; 5) age 18-70 years; 6) ECOG performance status score ≤3 (≤2 for patients aged 66-70). Patients with prior organ transplant or other forms of immunosuppression, with HBV, HCV and/or HIV infections, or other malignancies were excluded. Diagnostic histopathological material of all registered cases w</w:t>
      </w:r>
      <w:r w:rsidR="0098702A" w:rsidRPr="00966346">
        <w:rPr>
          <w:rFonts w:ascii="Arial" w:hAnsi="Arial" w:cs="Arial"/>
          <w:sz w:val="24"/>
          <w:szCs w:val="24"/>
        </w:rPr>
        <w:t>ere</w:t>
      </w:r>
      <w:r w:rsidR="00BD50EF" w:rsidRPr="00966346">
        <w:rPr>
          <w:rFonts w:ascii="Arial" w:hAnsi="Arial" w:cs="Arial"/>
          <w:sz w:val="24"/>
          <w:szCs w:val="24"/>
        </w:rPr>
        <w:t xml:space="preserve"> referred for central review. Written informed consent was obtained from each patient once eligibility was confirmed and after patient’s review of the protocol contents. This trial conformed to the Declaration of Helsinki and was approved by the IRBs of the participating institutions.</w:t>
      </w:r>
    </w:p>
    <w:p w14:paraId="4C6C436D" w14:textId="2194B4D4" w:rsidR="002A2D66" w:rsidRPr="00966346" w:rsidRDefault="00021DE6" w:rsidP="002A2D66">
      <w:pPr>
        <w:spacing w:after="0" w:line="360" w:lineRule="auto"/>
        <w:jc w:val="both"/>
        <w:rPr>
          <w:rFonts w:ascii="Arial" w:hAnsi="Arial" w:cs="Arial"/>
          <w:sz w:val="24"/>
          <w:szCs w:val="24"/>
        </w:rPr>
      </w:pPr>
      <w:r w:rsidRPr="00966346">
        <w:rPr>
          <w:rFonts w:ascii="Arial" w:hAnsi="Arial" w:cs="Arial"/>
          <w:sz w:val="24"/>
          <w:szCs w:val="24"/>
        </w:rPr>
        <w:t>Staging work-up and pre-treatment tests were performed within 14 days before the start of treatment</w:t>
      </w:r>
      <w:r w:rsidR="00FA4AAE" w:rsidRPr="00966346">
        <w:rPr>
          <w:rFonts w:ascii="Arial" w:hAnsi="Arial" w:cs="Arial"/>
          <w:sz w:val="24"/>
          <w:szCs w:val="24"/>
          <w:lang w:val="en-GB"/>
        </w:rPr>
        <w:fldChar w:fldCharType="begin"/>
      </w:r>
      <w:r w:rsidR="00464CF3" w:rsidRPr="00966346">
        <w:rPr>
          <w:rFonts w:ascii="Arial" w:hAnsi="Arial" w:cs="Arial"/>
          <w:sz w:val="24"/>
          <w:szCs w:val="24"/>
          <w:lang w:val="en-GB"/>
        </w:rPr>
        <w:instrText>ADDIN RW.CITE{{8259 Ferreri,A.J. 2016}}</w:instrText>
      </w:r>
      <w:r w:rsidR="00FA4AAE" w:rsidRPr="00966346">
        <w:rPr>
          <w:rFonts w:ascii="Arial" w:hAnsi="Arial" w:cs="Arial"/>
          <w:sz w:val="24"/>
          <w:szCs w:val="24"/>
          <w:lang w:val="en-GB"/>
        </w:rPr>
        <w:fldChar w:fldCharType="separate"/>
      </w:r>
      <w:r w:rsidR="00464CF3" w:rsidRPr="00966346">
        <w:rPr>
          <w:rFonts w:ascii="Arial" w:hAnsi="Arial" w:cs="Arial"/>
          <w:sz w:val="24"/>
          <w:szCs w:val="24"/>
          <w:vertAlign w:val="superscript"/>
          <w:lang w:val="en-GB"/>
        </w:rPr>
        <w:t>6</w:t>
      </w:r>
      <w:r w:rsidR="00FA4AAE" w:rsidRPr="00966346">
        <w:rPr>
          <w:rFonts w:ascii="Arial" w:hAnsi="Arial" w:cs="Arial"/>
          <w:sz w:val="24"/>
          <w:szCs w:val="24"/>
        </w:rPr>
        <w:fldChar w:fldCharType="end"/>
      </w:r>
      <w:r w:rsidRPr="00966346">
        <w:rPr>
          <w:rFonts w:ascii="Arial" w:hAnsi="Arial" w:cs="Arial"/>
          <w:sz w:val="24"/>
          <w:szCs w:val="24"/>
        </w:rPr>
        <w:t>. Risk groups were defined according to the IELSG score</w:t>
      </w:r>
      <w:r w:rsidR="008E7A2A" w:rsidRPr="008E7A2A">
        <w:rPr>
          <w:rFonts w:ascii="Arial" w:hAnsi="Arial" w:cs="Arial"/>
          <w:sz w:val="24"/>
          <w:szCs w:val="24"/>
          <w:vertAlign w:val="superscript"/>
        </w:rPr>
        <w:t>13</w:t>
      </w:r>
      <w:r w:rsidRPr="00966346">
        <w:rPr>
          <w:rFonts w:ascii="Arial" w:hAnsi="Arial" w:cs="Arial"/>
          <w:sz w:val="24"/>
          <w:szCs w:val="24"/>
        </w:rPr>
        <w:t xml:space="preserve">. </w:t>
      </w:r>
      <w:r w:rsidR="00403245" w:rsidRPr="00966346">
        <w:rPr>
          <w:rFonts w:ascii="Arial" w:hAnsi="Arial" w:cs="Arial"/>
          <w:sz w:val="24"/>
          <w:szCs w:val="24"/>
        </w:rPr>
        <w:t>At the first randomization, eligible patients were allocated to receive three different chemo(</w:t>
      </w:r>
      <w:proofErr w:type="spellStart"/>
      <w:r w:rsidR="00403245" w:rsidRPr="00966346">
        <w:rPr>
          <w:rFonts w:ascii="Arial" w:hAnsi="Arial" w:cs="Arial"/>
          <w:sz w:val="24"/>
          <w:szCs w:val="24"/>
        </w:rPr>
        <w:t>immun</w:t>
      </w:r>
      <w:r w:rsidR="009B61CC" w:rsidRPr="00966346">
        <w:rPr>
          <w:rFonts w:ascii="Arial" w:hAnsi="Arial" w:cs="Arial"/>
          <w:sz w:val="24"/>
          <w:szCs w:val="24"/>
        </w:rPr>
        <w:t>o</w:t>
      </w:r>
      <w:proofErr w:type="spellEnd"/>
      <w:r w:rsidR="00403245" w:rsidRPr="00966346">
        <w:rPr>
          <w:rFonts w:ascii="Arial" w:hAnsi="Arial" w:cs="Arial"/>
          <w:sz w:val="24"/>
          <w:szCs w:val="24"/>
        </w:rPr>
        <w:t>)therapy combinations as induction phase</w:t>
      </w:r>
      <w:r w:rsidR="002A2D66" w:rsidRPr="00966346">
        <w:rPr>
          <w:rFonts w:ascii="Arial" w:hAnsi="Arial" w:cs="Arial"/>
          <w:sz w:val="24"/>
          <w:szCs w:val="24"/>
        </w:rPr>
        <w:t xml:space="preserve"> (see details in Appendix p</w:t>
      </w:r>
      <w:r w:rsidR="00814F5D" w:rsidRPr="00966346">
        <w:rPr>
          <w:rFonts w:ascii="Arial" w:hAnsi="Arial" w:cs="Arial"/>
          <w:sz w:val="24"/>
          <w:szCs w:val="24"/>
        </w:rPr>
        <w:t>3</w:t>
      </w:r>
      <w:r w:rsidR="002A2D66" w:rsidRPr="00966346">
        <w:rPr>
          <w:rFonts w:ascii="Arial" w:hAnsi="Arial" w:cs="Arial"/>
          <w:sz w:val="24"/>
          <w:szCs w:val="24"/>
        </w:rPr>
        <w:t>)</w:t>
      </w:r>
      <w:r w:rsidR="00403245" w:rsidRPr="00966346">
        <w:rPr>
          <w:rFonts w:ascii="Arial" w:hAnsi="Arial" w:cs="Arial"/>
          <w:sz w:val="24"/>
          <w:szCs w:val="24"/>
        </w:rPr>
        <w:t>, with an allocation ratio of 1:1:1</w:t>
      </w:r>
      <w:r w:rsidR="007C5E4B" w:rsidRPr="00966346">
        <w:rPr>
          <w:rFonts w:ascii="Arial" w:hAnsi="Arial" w:cs="Arial"/>
          <w:sz w:val="24"/>
          <w:szCs w:val="24"/>
        </w:rPr>
        <w:t xml:space="preserve"> (Fig. 1)</w:t>
      </w:r>
      <w:r w:rsidR="008E7A2A" w:rsidRPr="008E7A2A">
        <w:rPr>
          <w:rFonts w:ascii="Arial" w:hAnsi="Arial" w:cs="Arial"/>
          <w:sz w:val="24"/>
          <w:szCs w:val="24"/>
          <w:vertAlign w:val="superscript"/>
          <w:lang w:val="en-GB"/>
        </w:rPr>
        <w:t>6</w:t>
      </w:r>
      <w:r w:rsidR="00BD50EF" w:rsidRPr="00966346">
        <w:rPr>
          <w:rFonts w:ascii="Arial" w:hAnsi="Arial" w:cs="Arial"/>
          <w:sz w:val="24"/>
          <w:szCs w:val="24"/>
        </w:rPr>
        <w:t xml:space="preserve">. </w:t>
      </w:r>
      <w:r w:rsidR="00D86954" w:rsidRPr="00966346">
        <w:rPr>
          <w:rFonts w:ascii="Arial" w:hAnsi="Arial" w:cs="Arial"/>
          <w:sz w:val="24"/>
          <w:szCs w:val="24"/>
        </w:rPr>
        <w:t>P</w:t>
      </w:r>
      <w:r w:rsidR="00403245" w:rsidRPr="00966346">
        <w:rPr>
          <w:rFonts w:ascii="Arial" w:hAnsi="Arial" w:cs="Arial"/>
          <w:sz w:val="24"/>
          <w:szCs w:val="24"/>
        </w:rPr>
        <w:t xml:space="preserve">atients with </w:t>
      </w:r>
      <w:r w:rsidR="002A2D66" w:rsidRPr="00966346">
        <w:rPr>
          <w:rFonts w:ascii="Arial" w:hAnsi="Arial" w:cs="Arial"/>
          <w:sz w:val="24"/>
          <w:szCs w:val="24"/>
        </w:rPr>
        <w:t xml:space="preserve">complete remission (CR), partial response (PR) or stable disease (SD) after induction treatment, with adequate autologous peripheral blood stem cell (APBSC) collection and without persistent iatrogenic side effects </w:t>
      </w:r>
      <w:r w:rsidR="000E0E2D" w:rsidRPr="00966346">
        <w:rPr>
          <w:rFonts w:ascii="Arial" w:hAnsi="Arial" w:cs="Arial"/>
          <w:sz w:val="24"/>
          <w:szCs w:val="24"/>
        </w:rPr>
        <w:t>(e.g., prolonged cytopenias, impaired liver or renal function, neurological sequel</w:t>
      </w:r>
      <w:r w:rsidR="00853770" w:rsidRPr="00966346">
        <w:rPr>
          <w:rFonts w:ascii="Arial" w:hAnsi="Arial" w:cs="Arial"/>
          <w:sz w:val="24"/>
          <w:szCs w:val="24"/>
        </w:rPr>
        <w:t>ae</w:t>
      </w:r>
      <w:r w:rsidR="000E0E2D" w:rsidRPr="00966346">
        <w:rPr>
          <w:rFonts w:ascii="Arial" w:hAnsi="Arial" w:cs="Arial"/>
          <w:sz w:val="24"/>
          <w:szCs w:val="24"/>
        </w:rPr>
        <w:t xml:space="preserve">) </w:t>
      </w:r>
      <w:r w:rsidR="002A2D66" w:rsidRPr="00966346">
        <w:rPr>
          <w:rFonts w:ascii="Arial" w:hAnsi="Arial" w:cs="Arial"/>
          <w:sz w:val="24"/>
          <w:szCs w:val="24"/>
        </w:rPr>
        <w:t>were eligible for the second randomization</w:t>
      </w:r>
      <w:r w:rsidR="00403245" w:rsidRPr="00966346">
        <w:rPr>
          <w:rFonts w:ascii="Arial" w:hAnsi="Arial" w:cs="Arial"/>
          <w:sz w:val="24"/>
          <w:szCs w:val="24"/>
        </w:rPr>
        <w:t xml:space="preserve"> </w:t>
      </w:r>
      <w:r w:rsidR="005E5D81" w:rsidRPr="00966346">
        <w:rPr>
          <w:rFonts w:ascii="Arial" w:hAnsi="Arial" w:cs="Arial"/>
          <w:sz w:val="24"/>
          <w:szCs w:val="24"/>
        </w:rPr>
        <w:t>addressing</w:t>
      </w:r>
      <w:r w:rsidR="00403245" w:rsidRPr="00966346">
        <w:rPr>
          <w:rFonts w:ascii="Arial" w:hAnsi="Arial" w:cs="Arial"/>
          <w:sz w:val="24"/>
          <w:szCs w:val="24"/>
        </w:rPr>
        <w:t xml:space="preserve"> WBRT and HDC/ASCT. </w:t>
      </w:r>
      <w:r w:rsidR="0065670A" w:rsidRPr="00966346">
        <w:rPr>
          <w:rFonts w:ascii="Arial" w:hAnsi="Arial" w:cs="Arial"/>
          <w:sz w:val="24"/>
          <w:szCs w:val="24"/>
        </w:rPr>
        <w:t xml:space="preserve">Patients </w:t>
      </w:r>
      <w:r w:rsidR="00CE43CC" w:rsidRPr="00966346">
        <w:rPr>
          <w:rFonts w:ascii="Arial" w:hAnsi="Arial" w:cs="Arial"/>
          <w:sz w:val="24"/>
          <w:szCs w:val="24"/>
        </w:rPr>
        <w:t xml:space="preserve">in </w:t>
      </w:r>
      <w:r w:rsidR="0065670A" w:rsidRPr="00966346">
        <w:rPr>
          <w:rFonts w:ascii="Arial" w:hAnsi="Arial" w:cs="Arial"/>
          <w:sz w:val="24"/>
          <w:szCs w:val="24"/>
        </w:rPr>
        <w:t>PR or SD were admitted to the second randomization on the bas</w:t>
      </w:r>
      <w:r w:rsidR="00CE43CC" w:rsidRPr="00966346">
        <w:rPr>
          <w:rFonts w:ascii="Arial" w:hAnsi="Arial" w:cs="Arial"/>
          <w:sz w:val="24"/>
          <w:szCs w:val="24"/>
        </w:rPr>
        <w:t>i</w:t>
      </w:r>
      <w:r w:rsidR="0065670A" w:rsidRPr="00966346">
        <w:rPr>
          <w:rFonts w:ascii="Arial" w:hAnsi="Arial" w:cs="Arial"/>
          <w:sz w:val="24"/>
          <w:szCs w:val="24"/>
        </w:rPr>
        <w:t xml:space="preserve">s of </w:t>
      </w:r>
      <w:r w:rsidR="00CE43CC" w:rsidRPr="00966346">
        <w:rPr>
          <w:rFonts w:ascii="Arial" w:hAnsi="Arial" w:cs="Arial"/>
          <w:sz w:val="24"/>
          <w:szCs w:val="24"/>
        </w:rPr>
        <w:t xml:space="preserve">data from </w:t>
      </w:r>
      <w:r w:rsidR="0065670A" w:rsidRPr="00966346">
        <w:rPr>
          <w:rFonts w:ascii="Arial" w:hAnsi="Arial" w:cs="Arial"/>
          <w:sz w:val="24"/>
          <w:szCs w:val="24"/>
        </w:rPr>
        <w:t xml:space="preserve">prior </w:t>
      </w:r>
      <w:r w:rsidR="00CE43CC" w:rsidRPr="00966346">
        <w:rPr>
          <w:rFonts w:ascii="Arial" w:hAnsi="Arial" w:cs="Arial"/>
          <w:sz w:val="24"/>
          <w:szCs w:val="24"/>
        </w:rPr>
        <w:t xml:space="preserve">ASCT </w:t>
      </w:r>
      <w:r w:rsidR="0065670A" w:rsidRPr="00966346">
        <w:rPr>
          <w:rFonts w:ascii="Arial" w:hAnsi="Arial" w:cs="Arial"/>
          <w:sz w:val="24"/>
          <w:szCs w:val="24"/>
        </w:rPr>
        <w:t>trials in these patient</w:t>
      </w:r>
      <w:r w:rsidR="00CE43CC" w:rsidRPr="00966346">
        <w:rPr>
          <w:rFonts w:ascii="Arial" w:hAnsi="Arial" w:cs="Arial"/>
          <w:sz w:val="24"/>
          <w:szCs w:val="24"/>
        </w:rPr>
        <w:t xml:space="preserve"> cohorts</w:t>
      </w:r>
      <w:r w:rsidR="0065670A" w:rsidRPr="00966346">
        <w:rPr>
          <w:rFonts w:ascii="Arial" w:hAnsi="Arial" w:cs="Arial"/>
          <w:sz w:val="24"/>
          <w:szCs w:val="24"/>
        </w:rPr>
        <w:t xml:space="preserve"> showing an improvement of CRR from 31% after induction to 85% after ASCT</w:t>
      </w:r>
      <w:r w:rsidR="008E7A2A" w:rsidRPr="008E7A2A">
        <w:rPr>
          <w:rFonts w:ascii="Arial" w:hAnsi="Arial" w:cs="Arial"/>
          <w:sz w:val="24"/>
          <w:szCs w:val="24"/>
          <w:vertAlign w:val="superscript"/>
        </w:rPr>
        <w:t>14,15</w:t>
      </w:r>
      <w:r w:rsidR="0065670A" w:rsidRPr="00966346">
        <w:rPr>
          <w:rFonts w:ascii="Arial" w:hAnsi="Arial" w:cs="Arial"/>
          <w:sz w:val="24"/>
          <w:szCs w:val="24"/>
        </w:rPr>
        <w:t>; a similar effect has been reported after post-chemotherapy WBRT</w:t>
      </w:r>
      <w:r w:rsidR="008E7A2A" w:rsidRPr="008E7A2A">
        <w:rPr>
          <w:rFonts w:ascii="Arial" w:hAnsi="Arial" w:cs="Arial"/>
          <w:sz w:val="24"/>
          <w:szCs w:val="24"/>
          <w:vertAlign w:val="superscript"/>
        </w:rPr>
        <w:t>16</w:t>
      </w:r>
      <w:r w:rsidR="0065670A" w:rsidRPr="00966346">
        <w:rPr>
          <w:rFonts w:ascii="Arial" w:hAnsi="Arial" w:cs="Arial"/>
          <w:sz w:val="24"/>
          <w:szCs w:val="24"/>
        </w:rPr>
        <w:t xml:space="preserve">. </w:t>
      </w:r>
      <w:r w:rsidR="002A2D66" w:rsidRPr="00966346">
        <w:rPr>
          <w:rFonts w:ascii="Arial" w:hAnsi="Arial" w:cs="Arial"/>
          <w:sz w:val="24"/>
          <w:szCs w:val="24"/>
        </w:rPr>
        <w:t xml:space="preserve">APBSC </w:t>
      </w:r>
      <w:r w:rsidR="0006559C" w:rsidRPr="00966346">
        <w:rPr>
          <w:rFonts w:ascii="Arial" w:hAnsi="Arial" w:cs="Arial"/>
          <w:sz w:val="24"/>
          <w:szCs w:val="24"/>
        </w:rPr>
        <w:t xml:space="preserve">were </w:t>
      </w:r>
      <w:r w:rsidR="002A2D66" w:rsidRPr="00966346">
        <w:rPr>
          <w:rFonts w:ascii="Arial" w:hAnsi="Arial" w:cs="Arial"/>
          <w:sz w:val="24"/>
          <w:szCs w:val="24"/>
        </w:rPr>
        <w:t xml:space="preserve">collected after the second chemotherapy course in patients without </w:t>
      </w:r>
      <w:r w:rsidR="00287BAC" w:rsidRPr="00966346">
        <w:rPr>
          <w:rFonts w:ascii="Arial" w:hAnsi="Arial" w:cs="Arial"/>
          <w:sz w:val="24"/>
          <w:szCs w:val="24"/>
        </w:rPr>
        <w:t>progressive disease</w:t>
      </w:r>
      <w:r w:rsidRPr="00966346">
        <w:rPr>
          <w:rFonts w:ascii="Arial" w:hAnsi="Arial" w:cs="Arial"/>
          <w:sz w:val="24"/>
          <w:szCs w:val="24"/>
        </w:rPr>
        <w:t xml:space="preserve"> (PD)</w:t>
      </w:r>
      <w:r w:rsidR="002A2D66" w:rsidRPr="00966346">
        <w:rPr>
          <w:rFonts w:ascii="Arial" w:hAnsi="Arial" w:cs="Arial"/>
          <w:sz w:val="24"/>
          <w:szCs w:val="24"/>
        </w:rPr>
        <w:t xml:space="preserve">. CD34+ cells were collected, processed and stored according to conventional guidelines, with the objective </w:t>
      </w:r>
      <w:r w:rsidR="0006559C" w:rsidRPr="00966346">
        <w:rPr>
          <w:rFonts w:ascii="Arial" w:hAnsi="Arial" w:cs="Arial"/>
          <w:sz w:val="24"/>
          <w:szCs w:val="24"/>
        </w:rPr>
        <w:t xml:space="preserve">of </w:t>
      </w:r>
      <w:r w:rsidR="002A2D66" w:rsidRPr="00966346">
        <w:rPr>
          <w:rFonts w:ascii="Arial" w:hAnsi="Arial" w:cs="Arial"/>
          <w:sz w:val="24"/>
          <w:szCs w:val="24"/>
        </w:rPr>
        <w:t>harvest</w:t>
      </w:r>
      <w:r w:rsidR="0006559C" w:rsidRPr="00966346">
        <w:rPr>
          <w:rFonts w:ascii="Arial" w:hAnsi="Arial" w:cs="Arial"/>
          <w:sz w:val="24"/>
          <w:szCs w:val="24"/>
        </w:rPr>
        <w:t>ing</w:t>
      </w:r>
      <w:r w:rsidR="002A2D66" w:rsidRPr="00966346">
        <w:rPr>
          <w:rFonts w:ascii="Arial" w:hAnsi="Arial" w:cs="Arial"/>
          <w:sz w:val="24"/>
          <w:szCs w:val="24"/>
        </w:rPr>
        <w:t xml:space="preserve"> ≥5 x 10</w:t>
      </w:r>
      <w:r w:rsidR="002A2D66" w:rsidRPr="00966346">
        <w:rPr>
          <w:rFonts w:ascii="Arial" w:hAnsi="Arial" w:cs="Arial"/>
          <w:sz w:val="24"/>
          <w:szCs w:val="24"/>
          <w:vertAlign w:val="superscript"/>
        </w:rPr>
        <w:t>6</w:t>
      </w:r>
      <w:r w:rsidR="002A2D66" w:rsidRPr="00966346">
        <w:rPr>
          <w:rFonts w:ascii="Arial" w:hAnsi="Arial" w:cs="Arial"/>
          <w:sz w:val="24"/>
          <w:szCs w:val="24"/>
        </w:rPr>
        <w:t xml:space="preserve"> CD34+ cells/kg of body weight. Patient</w:t>
      </w:r>
      <w:r w:rsidR="0065670A" w:rsidRPr="00966346">
        <w:rPr>
          <w:rFonts w:ascii="Arial" w:hAnsi="Arial" w:cs="Arial"/>
          <w:sz w:val="24"/>
          <w:szCs w:val="24"/>
        </w:rPr>
        <w:t>s</w:t>
      </w:r>
      <w:r w:rsidR="002A2D66" w:rsidRPr="00966346">
        <w:rPr>
          <w:rFonts w:ascii="Arial" w:hAnsi="Arial" w:cs="Arial"/>
          <w:sz w:val="24"/>
          <w:szCs w:val="24"/>
        </w:rPr>
        <w:t xml:space="preserve"> with insufficient APBSC harvest were exclude</w:t>
      </w:r>
      <w:r w:rsidR="00767A4C" w:rsidRPr="00966346">
        <w:rPr>
          <w:rFonts w:ascii="Arial" w:hAnsi="Arial" w:cs="Arial"/>
          <w:sz w:val="24"/>
          <w:szCs w:val="24"/>
        </w:rPr>
        <w:t>d from the second randomization,</w:t>
      </w:r>
      <w:r w:rsidR="002A2D66" w:rsidRPr="00966346">
        <w:rPr>
          <w:rFonts w:ascii="Arial" w:hAnsi="Arial" w:cs="Arial"/>
          <w:sz w:val="24"/>
          <w:szCs w:val="24"/>
        </w:rPr>
        <w:t xml:space="preserve"> treated with WBRT and considered evaluable for the first randomization endpoints. Patients who experienced </w:t>
      </w:r>
      <w:r w:rsidRPr="00966346">
        <w:rPr>
          <w:rFonts w:ascii="Arial" w:hAnsi="Arial" w:cs="Arial"/>
          <w:sz w:val="24"/>
          <w:szCs w:val="24"/>
        </w:rPr>
        <w:t>PD</w:t>
      </w:r>
      <w:r w:rsidR="002A2D66" w:rsidRPr="00966346">
        <w:rPr>
          <w:rFonts w:ascii="Arial" w:hAnsi="Arial" w:cs="Arial"/>
          <w:sz w:val="24"/>
          <w:szCs w:val="24"/>
        </w:rPr>
        <w:t xml:space="preserve"> at any time were referred for salvage therapy. </w:t>
      </w:r>
    </w:p>
    <w:p w14:paraId="70638E14" w14:textId="77777777" w:rsidR="002F4E2F" w:rsidRPr="00966346" w:rsidRDefault="002F4E2F" w:rsidP="007F3E1C">
      <w:pPr>
        <w:spacing w:after="0" w:line="360" w:lineRule="auto"/>
        <w:jc w:val="both"/>
        <w:rPr>
          <w:rFonts w:ascii="Arial" w:hAnsi="Arial" w:cs="Arial"/>
          <w:sz w:val="24"/>
          <w:szCs w:val="24"/>
        </w:rPr>
      </w:pPr>
    </w:p>
    <w:p w14:paraId="364E7B2B" w14:textId="77777777" w:rsidR="00403245" w:rsidRPr="00966346" w:rsidRDefault="00BD50EF" w:rsidP="007F3E1C">
      <w:pPr>
        <w:spacing w:after="0" w:line="360" w:lineRule="auto"/>
        <w:jc w:val="both"/>
        <w:rPr>
          <w:rFonts w:ascii="Arial" w:hAnsi="Arial" w:cs="Arial"/>
          <w:i/>
          <w:sz w:val="24"/>
          <w:szCs w:val="24"/>
        </w:rPr>
      </w:pPr>
      <w:r w:rsidRPr="00966346">
        <w:rPr>
          <w:rFonts w:ascii="Arial" w:hAnsi="Arial" w:cs="Arial"/>
          <w:i/>
          <w:sz w:val="24"/>
          <w:szCs w:val="24"/>
        </w:rPr>
        <w:lastRenderedPageBreak/>
        <w:t>Second</w:t>
      </w:r>
      <w:r w:rsidR="00D00186" w:rsidRPr="00966346">
        <w:rPr>
          <w:rFonts w:ascii="Arial" w:hAnsi="Arial" w:cs="Arial"/>
          <w:i/>
          <w:sz w:val="24"/>
          <w:szCs w:val="24"/>
        </w:rPr>
        <w:t xml:space="preserve"> </w:t>
      </w:r>
      <w:r w:rsidR="00403245" w:rsidRPr="00966346">
        <w:rPr>
          <w:rFonts w:ascii="Arial" w:hAnsi="Arial" w:cs="Arial"/>
          <w:i/>
          <w:sz w:val="24"/>
          <w:szCs w:val="24"/>
        </w:rPr>
        <w:t xml:space="preserve">Randomization and </w:t>
      </w:r>
      <w:r w:rsidRPr="00966346">
        <w:rPr>
          <w:rFonts w:ascii="Arial" w:hAnsi="Arial" w:cs="Arial"/>
          <w:i/>
          <w:sz w:val="24"/>
          <w:szCs w:val="24"/>
        </w:rPr>
        <w:t>Consolidation</w:t>
      </w:r>
      <w:r w:rsidR="00C110D4" w:rsidRPr="00966346">
        <w:rPr>
          <w:rFonts w:ascii="Arial" w:hAnsi="Arial" w:cs="Arial"/>
          <w:i/>
          <w:sz w:val="24"/>
          <w:szCs w:val="24"/>
        </w:rPr>
        <w:t xml:space="preserve"> A</w:t>
      </w:r>
      <w:r w:rsidR="00403245" w:rsidRPr="00966346">
        <w:rPr>
          <w:rFonts w:ascii="Arial" w:hAnsi="Arial" w:cs="Arial"/>
          <w:i/>
          <w:sz w:val="24"/>
          <w:szCs w:val="24"/>
        </w:rPr>
        <w:t>rms</w:t>
      </w:r>
      <w:r w:rsidR="00537799" w:rsidRPr="00966346">
        <w:rPr>
          <w:rFonts w:ascii="Arial" w:hAnsi="Arial" w:cs="Arial"/>
          <w:i/>
          <w:sz w:val="24"/>
          <w:szCs w:val="24"/>
        </w:rPr>
        <w:t xml:space="preserve"> </w:t>
      </w:r>
      <w:r w:rsidR="00D00186" w:rsidRPr="00966346">
        <w:rPr>
          <w:rFonts w:ascii="Arial" w:hAnsi="Arial" w:cs="Arial"/>
          <w:i/>
          <w:sz w:val="24"/>
          <w:szCs w:val="24"/>
        </w:rPr>
        <w:t>(</w:t>
      </w:r>
      <w:r w:rsidRPr="00966346">
        <w:rPr>
          <w:rFonts w:ascii="Arial" w:hAnsi="Arial" w:cs="Arial"/>
          <w:i/>
          <w:sz w:val="24"/>
          <w:szCs w:val="24"/>
        </w:rPr>
        <w:t>D</w:t>
      </w:r>
      <w:r w:rsidR="00D00186" w:rsidRPr="00966346">
        <w:rPr>
          <w:rFonts w:ascii="Arial" w:hAnsi="Arial" w:cs="Arial"/>
          <w:i/>
          <w:sz w:val="24"/>
          <w:szCs w:val="24"/>
        </w:rPr>
        <w:t xml:space="preserve"> &amp; </w:t>
      </w:r>
      <w:r w:rsidRPr="00966346">
        <w:rPr>
          <w:rFonts w:ascii="Arial" w:hAnsi="Arial" w:cs="Arial"/>
          <w:i/>
          <w:sz w:val="24"/>
          <w:szCs w:val="24"/>
        </w:rPr>
        <w:t>E</w:t>
      </w:r>
      <w:r w:rsidR="00D00186" w:rsidRPr="00966346">
        <w:rPr>
          <w:rFonts w:ascii="Arial" w:hAnsi="Arial" w:cs="Arial"/>
          <w:i/>
          <w:sz w:val="24"/>
          <w:szCs w:val="24"/>
        </w:rPr>
        <w:t>)</w:t>
      </w:r>
    </w:p>
    <w:p w14:paraId="7BD7FBA8" w14:textId="77777777" w:rsidR="00501B7C" w:rsidRPr="00966346" w:rsidRDefault="002A2D66" w:rsidP="007F3E1C">
      <w:pPr>
        <w:spacing w:after="0" w:line="360" w:lineRule="auto"/>
        <w:jc w:val="both"/>
        <w:rPr>
          <w:rFonts w:ascii="Arial" w:hAnsi="Arial" w:cs="Arial"/>
          <w:sz w:val="24"/>
          <w:szCs w:val="24"/>
        </w:rPr>
      </w:pPr>
      <w:r w:rsidRPr="00966346">
        <w:rPr>
          <w:rFonts w:ascii="Arial" w:hAnsi="Arial" w:cs="Arial"/>
          <w:sz w:val="24"/>
          <w:szCs w:val="24"/>
        </w:rPr>
        <w:t>Second randomization between WBRT (arm D) and HDC/ASCT (arm E) was performed after response assessment following the 4</w:t>
      </w:r>
      <w:r w:rsidRPr="00966346">
        <w:rPr>
          <w:rFonts w:ascii="Arial" w:hAnsi="Arial" w:cs="Arial"/>
          <w:sz w:val="24"/>
          <w:szCs w:val="24"/>
          <w:vertAlign w:val="superscript"/>
        </w:rPr>
        <w:t>th</w:t>
      </w:r>
      <w:r w:rsidRPr="00966346">
        <w:rPr>
          <w:rFonts w:ascii="Arial" w:hAnsi="Arial" w:cs="Arial"/>
          <w:sz w:val="24"/>
          <w:szCs w:val="24"/>
        </w:rPr>
        <w:t xml:space="preserve"> induction course. Sequence generation, type of randomization and implementation were the same for both randomizations; a</w:t>
      </w:r>
      <w:r w:rsidR="00501B7C" w:rsidRPr="00966346">
        <w:rPr>
          <w:rFonts w:ascii="Arial" w:hAnsi="Arial" w:cs="Arial"/>
          <w:sz w:val="24"/>
          <w:szCs w:val="24"/>
        </w:rPr>
        <w:t xml:space="preserve"> customized, web-based database was set up for registration, randomization, monitoring, local data entry, and central data management by an external group of informatics and statistic</w:t>
      </w:r>
      <w:r w:rsidR="00204220" w:rsidRPr="00966346">
        <w:rPr>
          <w:rFonts w:ascii="Arial" w:hAnsi="Arial" w:cs="Arial"/>
          <w:sz w:val="24"/>
          <w:szCs w:val="24"/>
        </w:rPr>
        <w:t>s experts</w:t>
      </w:r>
      <w:r w:rsidR="00501B7C" w:rsidRPr="00966346">
        <w:rPr>
          <w:rFonts w:ascii="Arial" w:hAnsi="Arial" w:cs="Arial"/>
          <w:sz w:val="24"/>
          <w:szCs w:val="24"/>
        </w:rPr>
        <w:t xml:space="preserve"> (Mario </w:t>
      </w:r>
      <w:proofErr w:type="spellStart"/>
      <w:r w:rsidR="00501B7C" w:rsidRPr="00966346">
        <w:rPr>
          <w:rFonts w:ascii="Arial" w:hAnsi="Arial" w:cs="Arial"/>
          <w:sz w:val="24"/>
          <w:szCs w:val="24"/>
        </w:rPr>
        <w:t>Negri</w:t>
      </w:r>
      <w:proofErr w:type="spellEnd"/>
      <w:r w:rsidR="00501B7C" w:rsidRPr="00966346">
        <w:rPr>
          <w:rFonts w:ascii="Arial" w:hAnsi="Arial" w:cs="Arial"/>
          <w:sz w:val="24"/>
          <w:szCs w:val="24"/>
        </w:rPr>
        <w:t xml:space="preserve"> Institute, Milano, Italy). We used electronic clinical research forms. Treatment was randomly allocated in a 1:1 ratio with a </w:t>
      </w:r>
      <w:r w:rsidR="00403245" w:rsidRPr="00966346">
        <w:rPr>
          <w:rFonts w:ascii="Arial" w:hAnsi="Arial" w:cs="Arial"/>
          <w:sz w:val="24"/>
          <w:szCs w:val="24"/>
        </w:rPr>
        <w:t xml:space="preserve">permuted blocks </w:t>
      </w:r>
      <w:r w:rsidR="00501B7C" w:rsidRPr="00966346">
        <w:rPr>
          <w:rFonts w:ascii="Arial" w:hAnsi="Arial" w:cs="Arial"/>
          <w:sz w:val="24"/>
          <w:szCs w:val="24"/>
        </w:rPr>
        <w:t xml:space="preserve">(of size 4) </w:t>
      </w:r>
      <w:r w:rsidR="00403245" w:rsidRPr="00966346">
        <w:rPr>
          <w:rFonts w:ascii="Arial" w:hAnsi="Arial" w:cs="Arial"/>
          <w:sz w:val="24"/>
          <w:szCs w:val="24"/>
        </w:rPr>
        <w:t>randomized design</w:t>
      </w:r>
      <w:r w:rsidR="00C110D4" w:rsidRPr="00966346">
        <w:rPr>
          <w:rFonts w:ascii="Arial" w:hAnsi="Arial" w:cs="Arial"/>
          <w:sz w:val="24"/>
          <w:szCs w:val="24"/>
          <w:lang w:val="en-GB"/>
        </w:rPr>
        <w:t xml:space="preserve">, stratified by </w:t>
      </w:r>
      <w:r w:rsidR="00BD50EF" w:rsidRPr="00966346">
        <w:rPr>
          <w:rFonts w:ascii="Arial" w:hAnsi="Arial" w:cs="Arial"/>
          <w:sz w:val="24"/>
          <w:szCs w:val="24"/>
        </w:rPr>
        <w:t>induction arm (A vs. B vs. C) and response to induction (</w:t>
      </w:r>
      <w:r w:rsidR="00814F5D" w:rsidRPr="00966346">
        <w:rPr>
          <w:rFonts w:ascii="Arial" w:hAnsi="Arial" w:cs="Arial"/>
          <w:sz w:val="24"/>
          <w:szCs w:val="24"/>
        </w:rPr>
        <w:t>CR</w:t>
      </w:r>
      <w:r w:rsidR="00BD50EF" w:rsidRPr="00966346">
        <w:rPr>
          <w:rFonts w:ascii="Arial" w:hAnsi="Arial" w:cs="Arial"/>
          <w:sz w:val="24"/>
          <w:szCs w:val="24"/>
        </w:rPr>
        <w:t xml:space="preserve"> vs. </w:t>
      </w:r>
      <w:r w:rsidR="00814F5D" w:rsidRPr="00966346">
        <w:rPr>
          <w:rFonts w:ascii="Arial" w:hAnsi="Arial" w:cs="Arial"/>
          <w:sz w:val="24"/>
          <w:szCs w:val="24"/>
        </w:rPr>
        <w:t>PR</w:t>
      </w:r>
      <w:r w:rsidR="00BD50EF" w:rsidRPr="00966346">
        <w:rPr>
          <w:rFonts w:ascii="Arial" w:hAnsi="Arial" w:cs="Arial"/>
          <w:sz w:val="24"/>
          <w:szCs w:val="24"/>
        </w:rPr>
        <w:t>/</w:t>
      </w:r>
      <w:r w:rsidR="00814F5D" w:rsidRPr="00966346">
        <w:rPr>
          <w:rFonts w:ascii="Arial" w:hAnsi="Arial" w:cs="Arial"/>
          <w:sz w:val="24"/>
          <w:szCs w:val="24"/>
        </w:rPr>
        <w:t>SD</w:t>
      </w:r>
      <w:r w:rsidR="00BD50EF" w:rsidRPr="00966346">
        <w:rPr>
          <w:rFonts w:ascii="Arial" w:hAnsi="Arial" w:cs="Arial"/>
          <w:sz w:val="24"/>
          <w:szCs w:val="24"/>
        </w:rPr>
        <w:t>).</w:t>
      </w:r>
      <w:r w:rsidR="00814F5D" w:rsidRPr="00966346">
        <w:rPr>
          <w:rFonts w:ascii="Arial" w:hAnsi="Arial" w:cs="Arial"/>
          <w:sz w:val="24"/>
          <w:szCs w:val="24"/>
          <w:lang w:val="en-GB"/>
        </w:rPr>
        <w:t xml:space="preserve"> </w:t>
      </w:r>
      <w:r w:rsidR="00814F5D" w:rsidRPr="00966346">
        <w:rPr>
          <w:rFonts w:ascii="Arial" w:hAnsi="Arial" w:cs="Arial"/>
          <w:sz w:val="24"/>
          <w:szCs w:val="24"/>
        </w:rPr>
        <w:t>In</w:t>
      </w:r>
      <w:r w:rsidR="00501B7C" w:rsidRPr="00966346">
        <w:rPr>
          <w:rFonts w:ascii="Arial" w:hAnsi="Arial" w:cs="Arial"/>
          <w:sz w:val="24"/>
          <w:szCs w:val="24"/>
        </w:rPr>
        <w:t xml:space="preserve"> order</w:t>
      </w:r>
      <w:r w:rsidR="003748E8" w:rsidRPr="00966346">
        <w:t xml:space="preserve"> </w:t>
      </w:r>
      <w:r w:rsidR="003748E8" w:rsidRPr="00966346">
        <w:rPr>
          <w:rFonts w:ascii="Arial" w:hAnsi="Arial" w:cs="Arial"/>
          <w:sz w:val="24"/>
          <w:szCs w:val="24"/>
        </w:rPr>
        <w:t>to guarantee balance among groups of homogeneous risk</w:t>
      </w:r>
      <w:r w:rsidR="00814F5D" w:rsidRPr="00966346">
        <w:rPr>
          <w:rFonts w:ascii="Arial" w:hAnsi="Arial" w:cs="Arial"/>
          <w:sz w:val="24"/>
          <w:szCs w:val="24"/>
        </w:rPr>
        <w:t>,</w:t>
      </w:r>
      <w:r w:rsidR="00403245" w:rsidRPr="00966346">
        <w:rPr>
          <w:rFonts w:ascii="Arial" w:hAnsi="Arial" w:cs="Arial"/>
          <w:sz w:val="24"/>
          <w:szCs w:val="24"/>
        </w:rPr>
        <w:t xml:space="preserve"> a computer-</w:t>
      </w:r>
      <w:r w:rsidR="00C5058B" w:rsidRPr="00966346">
        <w:rPr>
          <w:rFonts w:ascii="Arial" w:hAnsi="Arial" w:cs="Arial"/>
          <w:sz w:val="24"/>
          <w:szCs w:val="24"/>
        </w:rPr>
        <w:t>generated randomization list (IELSG</w:t>
      </w:r>
      <w:r w:rsidR="00403245" w:rsidRPr="00966346">
        <w:rPr>
          <w:rFonts w:ascii="Arial" w:hAnsi="Arial" w:cs="Arial"/>
          <w:sz w:val="24"/>
          <w:szCs w:val="24"/>
        </w:rPr>
        <w:t xml:space="preserve">, </w:t>
      </w:r>
      <w:proofErr w:type="spellStart"/>
      <w:r w:rsidR="00403245" w:rsidRPr="00966346">
        <w:rPr>
          <w:rFonts w:ascii="Arial" w:hAnsi="Arial" w:cs="Arial"/>
          <w:sz w:val="24"/>
          <w:szCs w:val="24"/>
        </w:rPr>
        <w:t>Bellinzona</w:t>
      </w:r>
      <w:proofErr w:type="spellEnd"/>
      <w:r w:rsidR="00403245" w:rsidRPr="00966346">
        <w:rPr>
          <w:rFonts w:ascii="Arial" w:hAnsi="Arial" w:cs="Arial"/>
          <w:sz w:val="24"/>
          <w:szCs w:val="24"/>
        </w:rPr>
        <w:t xml:space="preserve">, Switzerland) was </w:t>
      </w:r>
      <w:r w:rsidR="0098702A" w:rsidRPr="00966346">
        <w:rPr>
          <w:rFonts w:ascii="Arial" w:hAnsi="Arial" w:cs="Arial"/>
          <w:sz w:val="24"/>
          <w:szCs w:val="24"/>
        </w:rPr>
        <w:t xml:space="preserve">generated </w:t>
      </w:r>
      <w:r w:rsidR="003748E8" w:rsidRPr="00966346">
        <w:rPr>
          <w:rFonts w:ascii="Arial" w:hAnsi="Arial" w:cs="Arial"/>
          <w:sz w:val="24"/>
          <w:szCs w:val="24"/>
        </w:rPr>
        <w:t>within each strata to preserve allocation concealment</w:t>
      </w:r>
      <w:r w:rsidR="00403245" w:rsidRPr="00966346">
        <w:rPr>
          <w:rFonts w:ascii="Arial" w:hAnsi="Arial" w:cs="Arial"/>
          <w:sz w:val="24"/>
          <w:szCs w:val="24"/>
        </w:rPr>
        <w:t>.</w:t>
      </w:r>
      <w:r w:rsidR="003748E8" w:rsidRPr="00966346">
        <w:rPr>
          <w:rFonts w:ascii="Arial" w:hAnsi="Arial" w:cs="Arial"/>
          <w:sz w:val="24"/>
          <w:szCs w:val="24"/>
        </w:rPr>
        <w:t xml:space="preserve"> </w:t>
      </w:r>
      <w:r w:rsidR="00501B7C" w:rsidRPr="00966346">
        <w:rPr>
          <w:rFonts w:ascii="Arial" w:hAnsi="Arial" w:cs="Arial"/>
          <w:sz w:val="24"/>
          <w:szCs w:val="24"/>
        </w:rPr>
        <w:t xml:space="preserve">Because of the nature of the interventions, patients were not masked to assigned treatment. Investigators who gave treatment were concealed to randomization sequence as they knew the treatment to be given to the patients only after </w:t>
      </w:r>
      <w:r w:rsidR="0006559C" w:rsidRPr="00966346">
        <w:rPr>
          <w:rFonts w:ascii="Arial" w:hAnsi="Arial" w:cs="Arial"/>
          <w:sz w:val="24"/>
          <w:szCs w:val="24"/>
        </w:rPr>
        <w:t xml:space="preserve">receiving </w:t>
      </w:r>
      <w:r w:rsidR="00501B7C" w:rsidRPr="00966346">
        <w:rPr>
          <w:rFonts w:ascii="Arial" w:hAnsi="Arial" w:cs="Arial"/>
          <w:sz w:val="24"/>
          <w:szCs w:val="24"/>
        </w:rPr>
        <w:t>access to the web</w:t>
      </w:r>
      <w:r w:rsidR="00204220" w:rsidRPr="00966346">
        <w:rPr>
          <w:rFonts w:ascii="Arial" w:hAnsi="Arial" w:cs="Arial"/>
          <w:sz w:val="24"/>
          <w:szCs w:val="24"/>
        </w:rPr>
        <w:t>-</w:t>
      </w:r>
      <w:r w:rsidR="00501B7C" w:rsidRPr="00966346">
        <w:rPr>
          <w:rFonts w:ascii="Arial" w:hAnsi="Arial" w:cs="Arial"/>
          <w:sz w:val="24"/>
          <w:szCs w:val="24"/>
        </w:rPr>
        <w:t>based platform. Investigator</w:t>
      </w:r>
      <w:r w:rsidR="00BD50EF" w:rsidRPr="00966346">
        <w:rPr>
          <w:rFonts w:ascii="Arial" w:hAnsi="Arial" w:cs="Arial"/>
          <w:sz w:val="24"/>
          <w:szCs w:val="24"/>
        </w:rPr>
        <w:t>s</w:t>
      </w:r>
      <w:r w:rsidR="00501B7C" w:rsidRPr="00966346">
        <w:rPr>
          <w:rFonts w:ascii="Arial" w:hAnsi="Arial" w:cs="Arial"/>
          <w:sz w:val="24"/>
          <w:szCs w:val="24"/>
        </w:rPr>
        <w:t xml:space="preserve"> who assessed outcomes and </w:t>
      </w:r>
      <w:r w:rsidR="00BD50EF" w:rsidRPr="00966346">
        <w:rPr>
          <w:rFonts w:ascii="Arial" w:hAnsi="Arial" w:cs="Arial"/>
          <w:sz w:val="24"/>
          <w:szCs w:val="24"/>
        </w:rPr>
        <w:t>analyzed</w:t>
      </w:r>
      <w:r w:rsidR="00501B7C" w:rsidRPr="00966346">
        <w:rPr>
          <w:rFonts w:ascii="Arial" w:hAnsi="Arial" w:cs="Arial"/>
          <w:sz w:val="24"/>
          <w:szCs w:val="24"/>
        </w:rPr>
        <w:t xml:space="preserve"> results were not masked to treatment allocation.</w:t>
      </w:r>
    </w:p>
    <w:p w14:paraId="27DE5079" w14:textId="77777777" w:rsidR="00ED74CE" w:rsidRPr="00966346" w:rsidRDefault="00ED26BE" w:rsidP="00CE7CD7">
      <w:pPr>
        <w:spacing w:after="0" w:line="360" w:lineRule="auto"/>
        <w:jc w:val="both"/>
        <w:rPr>
          <w:rFonts w:ascii="Arial" w:eastAsia="Times New Roman" w:hAnsi="Arial" w:cs="Arial"/>
          <w:sz w:val="24"/>
          <w:szCs w:val="24"/>
          <w:lang w:eastAsia="it-IT"/>
        </w:rPr>
      </w:pPr>
      <w:r w:rsidRPr="00966346">
        <w:rPr>
          <w:rFonts w:ascii="Arial" w:hAnsi="Arial" w:cs="Arial"/>
          <w:sz w:val="24"/>
          <w:szCs w:val="24"/>
        </w:rPr>
        <w:t>Consolidation</w:t>
      </w:r>
      <w:r w:rsidR="00403245" w:rsidRPr="00966346">
        <w:rPr>
          <w:rFonts w:ascii="Arial" w:hAnsi="Arial" w:cs="Arial"/>
          <w:sz w:val="24"/>
          <w:szCs w:val="24"/>
        </w:rPr>
        <w:t xml:space="preserve"> WBRT </w:t>
      </w:r>
      <w:r w:rsidR="0064021C" w:rsidRPr="00966346">
        <w:rPr>
          <w:rFonts w:ascii="Arial" w:hAnsi="Arial" w:cs="Arial"/>
          <w:sz w:val="24"/>
          <w:szCs w:val="24"/>
        </w:rPr>
        <w:t>(p</w:t>
      </w:r>
      <w:r w:rsidR="0064021C" w:rsidRPr="00966346">
        <w:rPr>
          <w:rFonts w:ascii="Arial" w:eastAsia="Times New Roman" w:hAnsi="Arial" w:cs="Arial"/>
          <w:sz w:val="24"/>
          <w:szCs w:val="24"/>
          <w:lang w:eastAsia="it-IT"/>
        </w:rPr>
        <w:t xml:space="preserve">hotons of 4-10 MeV; </w:t>
      </w:r>
      <w:r w:rsidR="00621FC4" w:rsidRPr="00966346">
        <w:rPr>
          <w:rFonts w:ascii="Arial" w:eastAsia="Times New Roman" w:hAnsi="Arial" w:cs="Arial"/>
          <w:sz w:val="24"/>
          <w:szCs w:val="24"/>
          <w:lang w:eastAsia="it-IT"/>
        </w:rPr>
        <w:t xml:space="preserve">five fractions/week; fraction size 180 </w:t>
      </w:r>
      <w:proofErr w:type="spellStart"/>
      <w:r w:rsidR="00621FC4" w:rsidRPr="00966346">
        <w:rPr>
          <w:rFonts w:ascii="Arial" w:eastAsia="Times New Roman" w:hAnsi="Arial" w:cs="Arial"/>
          <w:sz w:val="24"/>
          <w:szCs w:val="24"/>
          <w:lang w:eastAsia="it-IT"/>
        </w:rPr>
        <w:t>cGy</w:t>
      </w:r>
      <w:proofErr w:type="spellEnd"/>
      <w:r w:rsidR="0064021C" w:rsidRPr="00966346">
        <w:rPr>
          <w:rFonts w:ascii="Arial" w:eastAsia="Times New Roman" w:hAnsi="Arial" w:cs="Arial"/>
          <w:sz w:val="24"/>
          <w:szCs w:val="24"/>
          <w:lang w:eastAsia="it-IT"/>
        </w:rPr>
        <w:t>)</w:t>
      </w:r>
      <w:r w:rsidR="0064021C" w:rsidRPr="00966346">
        <w:rPr>
          <w:rFonts w:ascii="Arial" w:hAnsi="Arial" w:cs="Arial"/>
          <w:sz w:val="24"/>
          <w:szCs w:val="24"/>
        </w:rPr>
        <w:t xml:space="preserve"> </w:t>
      </w:r>
      <w:r w:rsidR="00403245" w:rsidRPr="00966346">
        <w:rPr>
          <w:rFonts w:ascii="Arial" w:hAnsi="Arial" w:cs="Arial"/>
          <w:sz w:val="24"/>
          <w:szCs w:val="24"/>
        </w:rPr>
        <w:t xml:space="preserve">started within 4 weeks from the last </w:t>
      </w:r>
      <w:r w:rsidR="00327FE4" w:rsidRPr="00966346">
        <w:rPr>
          <w:rFonts w:ascii="Arial" w:hAnsi="Arial" w:cs="Arial"/>
          <w:sz w:val="24"/>
          <w:szCs w:val="24"/>
        </w:rPr>
        <w:t>induction</w:t>
      </w:r>
      <w:r w:rsidR="00403245" w:rsidRPr="00966346">
        <w:rPr>
          <w:rFonts w:ascii="Arial" w:hAnsi="Arial" w:cs="Arial"/>
          <w:sz w:val="24"/>
          <w:szCs w:val="24"/>
        </w:rPr>
        <w:t xml:space="preserve"> course</w:t>
      </w:r>
      <w:r w:rsidR="006E259D" w:rsidRPr="00966346">
        <w:rPr>
          <w:rFonts w:ascii="Arial" w:hAnsi="Arial" w:cs="Arial"/>
          <w:sz w:val="24"/>
          <w:szCs w:val="24"/>
        </w:rPr>
        <w:t>. W</w:t>
      </w:r>
      <w:r w:rsidR="00920530" w:rsidRPr="00966346">
        <w:rPr>
          <w:rFonts w:ascii="Arial" w:eastAsia="Times New Roman" w:hAnsi="Arial" w:cs="Arial"/>
          <w:sz w:val="24"/>
          <w:szCs w:val="24"/>
          <w:lang w:eastAsia="it-IT"/>
        </w:rPr>
        <w:t xml:space="preserve">hole-brain was irradiated by two opposite lateral fields including the first two cervical vertebras and the posterior two thirds of the orbits with </w:t>
      </w:r>
      <w:r w:rsidR="00BB3D54" w:rsidRPr="00966346">
        <w:rPr>
          <w:rFonts w:ascii="Arial" w:eastAsia="Times New Roman" w:hAnsi="Arial" w:cs="Arial"/>
          <w:sz w:val="24"/>
          <w:szCs w:val="24"/>
          <w:lang w:eastAsia="it-IT"/>
        </w:rPr>
        <w:t xml:space="preserve">36 </w:t>
      </w:r>
      <w:proofErr w:type="spellStart"/>
      <w:r w:rsidR="00BB3D54" w:rsidRPr="00966346">
        <w:rPr>
          <w:rFonts w:ascii="Arial" w:eastAsia="Times New Roman" w:hAnsi="Arial" w:cs="Arial"/>
          <w:sz w:val="24"/>
          <w:szCs w:val="24"/>
          <w:lang w:eastAsia="it-IT"/>
        </w:rPr>
        <w:t>Gy</w:t>
      </w:r>
      <w:proofErr w:type="spellEnd"/>
      <w:r w:rsidR="00BB3D54" w:rsidRPr="00966346">
        <w:rPr>
          <w:rFonts w:ascii="Arial" w:eastAsia="Times New Roman" w:hAnsi="Arial" w:cs="Arial"/>
          <w:sz w:val="24"/>
          <w:szCs w:val="24"/>
          <w:lang w:eastAsia="it-IT"/>
        </w:rPr>
        <w:t xml:space="preserve">, with the addition of a 9 </w:t>
      </w:r>
      <w:proofErr w:type="spellStart"/>
      <w:r w:rsidR="00920530" w:rsidRPr="00966346">
        <w:rPr>
          <w:rFonts w:ascii="Arial" w:eastAsia="Times New Roman" w:hAnsi="Arial" w:cs="Arial"/>
          <w:sz w:val="24"/>
          <w:szCs w:val="24"/>
          <w:lang w:eastAsia="it-IT"/>
        </w:rPr>
        <w:t>Gy</w:t>
      </w:r>
      <w:proofErr w:type="spellEnd"/>
      <w:r w:rsidR="00920530" w:rsidRPr="00966346">
        <w:rPr>
          <w:rFonts w:ascii="Arial" w:eastAsia="Times New Roman" w:hAnsi="Arial" w:cs="Arial"/>
          <w:sz w:val="24"/>
          <w:szCs w:val="24"/>
          <w:lang w:eastAsia="it-IT"/>
        </w:rPr>
        <w:t xml:space="preserve"> </w:t>
      </w:r>
      <w:proofErr w:type="spellStart"/>
      <w:r w:rsidR="00920530" w:rsidRPr="00966346">
        <w:rPr>
          <w:rFonts w:ascii="Arial" w:eastAsia="Times New Roman" w:hAnsi="Arial" w:cs="Arial"/>
          <w:sz w:val="24"/>
          <w:szCs w:val="24"/>
          <w:lang w:eastAsia="it-IT"/>
        </w:rPr>
        <w:t>tumour</w:t>
      </w:r>
      <w:proofErr w:type="spellEnd"/>
      <w:r w:rsidR="00920530" w:rsidRPr="00966346">
        <w:rPr>
          <w:rFonts w:ascii="Arial" w:eastAsia="Times New Roman" w:hAnsi="Arial" w:cs="Arial"/>
          <w:sz w:val="24"/>
          <w:szCs w:val="24"/>
          <w:lang w:eastAsia="it-IT"/>
        </w:rPr>
        <w:t>-bed boost in patients in PR</w:t>
      </w:r>
      <w:r w:rsidR="0064021C" w:rsidRPr="00966346">
        <w:rPr>
          <w:rFonts w:ascii="Arial" w:eastAsia="Times New Roman" w:hAnsi="Arial" w:cs="Arial"/>
          <w:sz w:val="24"/>
          <w:szCs w:val="24"/>
          <w:lang w:eastAsia="it-IT"/>
        </w:rPr>
        <w:t xml:space="preserve">; orbits were shielded after 30 </w:t>
      </w:r>
      <w:proofErr w:type="spellStart"/>
      <w:r w:rsidR="0064021C" w:rsidRPr="00966346">
        <w:rPr>
          <w:rFonts w:ascii="Arial" w:eastAsia="Times New Roman" w:hAnsi="Arial" w:cs="Arial"/>
          <w:sz w:val="24"/>
          <w:szCs w:val="24"/>
          <w:lang w:eastAsia="it-IT"/>
        </w:rPr>
        <w:t>Gy</w:t>
      </w:r>
      <w:proofErr w:type="spellEnd"/>
      <w:r w:rsidR="0064021C" w:rsidRPr="00966346">
        <w:rPr>
          <w:rFonts w:ascii="Arial" w:eastAsia="Times New Roman" w:hAnsi="Arial" w:cs="Arial"/>
          <w:sz w:val="24"/>
          <w:szCs w:val="24"/>
          <w:lang w:eastAsia="it-IT"/>
        </w:rPr>
        <w:t xml:space="preserve"> (after 36 </w:t>
      </w:r>
      <w:proofErr w:type="spellStart"/>
      <w:r w:rsidR="0064021C" w:rsidRPr="00966346">
        <w:rPr>
          <w:rFonts w:ascii="Arial" w:eastAsia="Times New Roman" w:hAnsi="Arial" w:cs="Arial"/>
          <w:sz w:val="24"/>
          <w:szCs w:val="24"/>
          <w:lang w:eastAsia="it-IT"/>
        </w:rPr>
        <w:t>Gy</w:t>
      </w:r>
      <w:proofErr w:type="spellEnd"/>
      <w:r w:rsidR="0064021C" w:rsidRPr="00966346">
        <w:rPr>
          <w:rFonts w:ascii="Arial" w:eastAsia="Times New Roman" w:hAnsi="Arial" w:cs="Arial"/>
          <w:sz w:val="24"/>
          <w:szCs w:val="24"/>
          <w:lang w:eastAsia="it-IT"/>
        </w:rPr>
        <w:t xml:space="preserve"> in the case of intraocular disease). </w:t>
      </w:r>
      <w:r w:rsidR="00ED74CE" w:rsidRPr="00966346">
        <w:rPr>
          <w:rFonts w:ascii="Arial" w:hAnsi="Arial" w:cs="Arial"/>
          <w:sz w:val="24"/>
          <w:szCs w:val="24"/>
        </w:rPr>
        <w:t xml:space="preserve">HDC/ASCT </w:t>
      </w:r>
      <w:r w:rsidR="001D657C" w:rsidRPr="00966346">
        <w:rPr>
          <w:rFonts w:ascii="Arial" w:hAnsi="Arial" w:cs="Arial"/>
          <w:sz w:val="24"/>
          <w:szCs w:val="24"/>
        </w:rPr>
        <w:t xml:space="preserve">conditioning regimen </w:t>
      </w:r>
      <w:r w:rsidR="00537799" w:rsidRPr="00966346">
        <w:rPr>
          <w:rFonts w:ascii="Arial" w:hAnsi="Arial" w:cs="Arial"/>
          <w:sz w:val="24"/>
          <w:szCs w:val="24"/>
        </w:rPr>
        <w:t>consisted of</w:t>
      </w:r>
      <w:r w:rsidR="00687DEC" w:rsidRPr="00966346">
        <w:rPr>
          <w:rFonts w:ascii="Arial" w:hAnsi="Arial" w:cs="Arial"/>
          <w:sz w:val="24"/>
          <w:szCs w:val="24"/>
        </w:rPr>
        <w:t xml:space="preserve"> </w:t>
      </w:r>
      <w:r w:rsidR="00ED74CE" w:rsidRPr="00966346">
        <w:rPr>
          <w:rFonts w:ascii="Arial" w:hAnsi="Arial" w:cs="Arial"/>
          <w:sz w:val="24"/>
          <w:szCs w:val="24"/>
        </w:rPr>
        <w:t>BCNU</w:t>
      </w:r>
      <w:r w:rsidR="00920530" w:rsidRPr="00966346">
        <w:rPr>
          <w:rFonts w:ascii="Arial" w:hAnsi="Arial" w:cs="Arial"/>
          <w:sz w:val="24"/>
          <w:szCs w:val="24"/>
        </w:rPr>
        <w:t xml:space="preserve"> </w:t>
      </w:r>
      <w:r w:rsidR="00920530" w:rsidRPr="00966346">
        <w:rPr>
          <w:rFonts w:ascii="Arial" w:eastAsia="Times New Roman" w:hAnsi="Arial" w:cs="Arial"/>
          <w:sz w:val="24"/>
          <w:szCs w:val="24"/>
          <w:lang w:eastAsia="it-IT"/>
        </w:rPr>
        <w:t>400 mg/m</w:t>
      </w:r>
      <w:r w:rsidR="00920530" w:rsidRPr="00966346">
        <w:rPr>
          <w:rFonts w:ascii="Arial" w:eastAsia="Times New Roman" w:hAnsi="Arial" w:cs="Arial"/>
          <w:sz w:val="24"/>
          <w:szCs w:val="24"/>
          <w:vertAlign w:val="superscript"/>
          <w:lang w:eastAsia="it-IT"/>
        </w:rPr>
        <w:t>2</w:t>
      </w:r>
      <w:r w:rsidR="00920530" w:rsidRPr="00966346">
        <w:rPr>
          <w:rFonts w:ascii="Arial" w:eastAsia="Times New Roman" w:hAnsi="Arial" w:cs="Arial"/>
          <w:sz w:val="24"/>
          <w:szCs w:val="24"/>
          <w:lang w:eastAsia="it-IT"/>
        </w:rPr>
        <w:t>, day -6</w:t>
      </w:r>
      <w:r w:rsidR="001D657C" w:rsidRPr="00966346">
        <w:rPr>
          <w:rFonts w:ascii="Arial" w:eastAsia="Times New Roman" w:hAnsi="Arial" w:cs="Arial"/>
          <w:sz w:val="24"/>
          <w:szCs w:val="24"/>
          <w:lang w:eastAsia="it-IT"/>
        </w:rPr>
        <w:t xml:space="preserve"> and </w:t>
      </w:r>
      <w:r w:rsidR="00ED74CE" w:rsidRPr="00966346">
        <w:rPr>
          <w:rFonts w:ascii="Arial" w:hAnsi="Arial" w:cs="Arial"/>
          <w:sz w:val="24"/>
          <w:szCs w:val="24"/>
        </w:rPr>
        <w:t xml:space="preserve">thiotepa </w:t>
      </w:r>
      <w:r w:rsidR="00920530" w:rsidRPr="00966346">
        <w:rPr>
          <w:rFonts w:ascii="Arial" w:eastAsia="Times New Roman" w:hAnsi="Arial" w:cs="Arial"/>
          <w:sz w:val="24"/>
          <w:szCs w:val="24"/>
          <w:lang w:val="en-GB" w:eastAsia="it-IT"/>
        </w:rPr>
        <w:t>5 mg/kg</w:t>
      </w:r>
      <w:r w:rsidR="001D657C" w:rsidRPr="00966346">
        <w:rPr>
          <w:rFonts w:ascii="Arial" w:eastAsia="Times New Roman" w:hAnsi="Arial" w:cs="Arial"/>
          <w:sz w:val="24"/>
          <w:szCs w:val="24"/>
          <w:lang w:val="en-GB" w:eastAsia="it-IT"/>
        </w:rPr>
        <w:t>,</w:t>
      </w:r>
      <w:r w:rsidR="00920530" w:rsidRPr="00966346">
        <w:rPr>
          <w:rFonts w:ascii="Arial" w:eastAsia="Times New Roman" w:hAnsi="Arial" w:cs="Arial"/>
          <w:sz w:val="24"/>
          <w:szCs w:val="24"/>
          <w:lang w:val="en-GB" w:eastAsia="it-IT"/>
        </w:rPr>
        <w:t xml:space="preserve"> every 12 hours, </w:t>
      </w:r>
      <w:r w:rsidR="00920530" w:rsidRPr="00966346">
        <w:rPr>
          <w:rFonts w:ascii="Arial" w:eastAsia="Times New Roman" w:hAnsi="Arial" w:cs="Arial"/>
          <w:sz w:val="24"/>
          <w:szCs w:val="24"/>
          <w:lang w:eastAsia="it-IT"/>
        </w:rPr>
        <w:t>days -5 &amp; -4</w:t>
      </w:r>
      <w:r w:rsidR="00920530" w:rsidRPr="00966346">
        <w:rPr>
          <w:rFonts w:ascii="Arial" w:hAnsi="Arial" w:cs="Arial"/>
          <w:sz w:val="24"/>
          <w:szCs w:val="24"/>
        </w:rPr>
        <w:t xml:space="preserve"> </w:t>
      </w:r>
      <w:r w:rsidR="00687DEC" w:rsidRPr="00966346">
        <w:rPr>
          <w:rFonts w:ascii="Arial" w:hAnsi="Arial" w:cs="Arial"/>
          <w:sz w:val="24"/>
          <w:szCs w:val="24"/>
        </w:rPr>
        <w:t>(</w:t>
      </w:r>
      <w:r w:rsidR="00123ED7" w:rsidRPr="00966346">
        <w:rPr>
          <w:rFonts w:ascii="Arial" w:hAnsi="Arial" w:cs="Arial"/>
          <w:sz w:val="24"/>
          <w:szCs w:val="24"/>
        </w:rPr>
        <w:t>Appendix p</w:t>
      </w:r>
      <w:r w:rsidR="00814F5D" w:rsidRPr="00966346">
        <w:rPr>
          <w:rFonts w:ascii="Arial" w:hAnsi="Arial" w:cs="Arial"/>
          <w:sz w:val="24"/>
          <w:szCs w:val="24"/>
        </w:rPr>
        <w:t>4</w:t>
      </w:r>
      <w:r w:rsidR="00687DEC" w:rsidRPr="00966346">
        <w:rPr>
          <w:rFonts w:ascii="Arial" w:hAnsi="Arial" w:cs="Arial"/>
          <w:sz w:val="24"/>
          <w:szCs w:val="24"/>
        </w:rPr>
        <w:t>)</w:t>
      </w:r>
      <w:r w:rsidR="00ED74CE" w:rsidRPr="00966346">
        <w:rPr>
          <w:rFonts w:ascii="Arial" w:hAnsi="Arial" w:cs="Arial"/>
          <w:sz w:val="24"/>
          <w:szCs w:val="24"/>
        </w:rPr>
        <w:t xml:space="preserve"> followed by </w:t>
      </w:r>
      <w:r w:rsidR="00B607CB" w:rsidRPr="00966346">
        <w:rPr>
          <w:rFonts w:ascii="Arial" w:hAnsi="Arial" w:cs="Arial"/>
          <w:sz w:val="24"/>
          <w:szCs w:val="24"/>
        </w:rPr>
        <w:t xml:space="preserve">APBSC </w:t>
      </w:r>
      <w:r w:rsidR="000A4958" w:rsidRPr="00966346">
        <w:rPr>
          <w:rFonts w:ascii="Arial" w:hAnsi="Arial" w:cs="Arial"/>
          <w:sz w:val="24"/>
          <w:szCs w:val="24"/>
        </w:rPr>
        <w:t>reinfusion</w:t>
      </w:r>
      <w:r w:rsidR="00ED74CE" w:rsidRPr="00966346">
        <w:rPr>
          <w:rFonts w:ascii="Arial" w:hAnsi="Arial" w:cs="Arial"/>
          <w:sz w:val="24"/>
          <w:szCs w:val="24"/>
        </w:rPr>
        <w:t xml:space="preserve">. </w:t>
      </w:r>
    </w:p>
    <w:p w14:paraId="16C1EFED" w14:textId="77777777" w:rsidR="00ED74CE" w:rsidRPr="00966346" w:rsidRDefault="00ED74CE" w:rsidP="007F3E1C">
      <w:pPr>
        <w:spacing w:after="0" w:line="360" w:lineRule="auto"/>
        <w:jc w:val="both"/>
        <w:rPr>
          <w:rFonts w:ascii="Arial" w:hAnsi="Arial" w:cs="Arial"/>
          <w:sz w:val="24"/>
          <w:szCs w:val="24"/>
        </w:rPr>
      </w:pPr>
    </w:p>
    <w:p w14:paraId="291E12E4" w14:textId="77777777" w:rsidR="00403245" w:rsidRPr="00966346" w:rsidRDefault="00403245" w:rsidP="007F3E1C">
      <w:pPr>
        <w:spacing w:after="0" w:line="360" w:lineRule="auto"/>
        <w:jc w:val="both"/>
        <w:rPr>
          <w:rFonts w:ascii="Arial" w:hAnsi="Arial" w:cs="Arial"/>
          <w:i/>
          <w:sz w:val="24"/>
          <w:szCs w:val="24"/>
        </w:rPr>
      </w:pPr>
      <w:r w:rsidRPr="00966346">
        <w:rPr>
          <w:rFonts w:ascii="Arial" w:hAnsi="Arial" w:cs="Arial"/>
          <w:i/>
          <w:sz w:val="24"/>
          <w:szCs w:val="24"/>
        </w:rPr>
        <w:t>Toxicity</w:t>
      </w:r>
      <w:r w:rsidR="00814F5D" w:rsidRPr="00966346">
        <w:rPr>
          <w:rFonts w:ascii="Arial" w:hAnsi="Arial" w:cs="Arial"/>
          <w:i/>
          <w:sz w:val="24"/>
          <w:szCs w:val="24"/>
        </w:rPr>
        <w:t>, cognitive functions</w:t>
      </w:r>
      <w:r w:rsidRPr="00966346">
        <w:rPr>
          <w:rFonts w:ascii="Arial" w:hAnsi="Arial" w:cs="Arial"/>
          <w:i/>
          <w:sz w:val="24"/>
          <w:szCs w:val="24"/>
        </w:rPr>
        <w:t xml:space="preserve"> and response assessment</w:t>
      </w:r>
    </w:p>
    <w:p w14:paraId="01C78CB9" w14:textId="6882354C" w:rsidR="002F7D39" w:rsidRPr="00966346" w:rsidRDefault="00403245" w:rsidP="002F7D39">
      <w:pPr>
        <w:spacing w:after="0" w:line="360" w:lineRule="auto"/>
        <w:jc w:val="both"/>
        <w:rPr>
          <w:rFonts w:ascii="Arial" w:hAnsi="Arial" w:cs="Arial"/>
          <w:sz w:val="24"/>
          <w:szCs w:val="24"/>
        </w:rPr>
      </w:pPr>
      <w:r w:rsidRPr="00966346">
        <w:rPr>
          <w:rFonts w:ascii="Arial" w:hAnsi="Arial" w:cs="Arial"/>
          <w:sz w:val="24"/>
          <w:szCs w:val="24"/>
        </w:rPr>
        <w:t>Treatment side effects were graded according to the NCI-NCIC CTC version 3</w:t>
      </w:r>
      <w:r w:rsidR="006D42AC" w:rsidRPr="00966346">
        <w:rPr>
          <w:rFonts w:ascii="Arial" w:hAnsi="Arial" w:cs="Arial"/>
          <w:sz w:val="24"/>
          <w:szCs w:val="24"/>
        </w:rPr>
        <w:t>·</w:t>
      </w:r>
      <w:r w:rsidRPr="00966346">
        <w:rPr>
          <w:rFonts w:ascii="Arial" w:hAnsi="Arial" w:cs="Arial"/>
          <w:sz w:val="24"/>
          <w:szCs w:val="24"/>
        </w:rPr>
        <w:t>0</w:t>
      </w:r>
      <w:r w:rsidR="008E7A2A" w:rsidRPr="008E7A2A">
        <w:rPr>
          <w:rFonts w:ascii="Arial" w:hAnsi="Arial" w:cs="Arial"/>
          <w:sz w:val="24"/>
          <w:szCs w:val="24"/>
          <w:vertAlign w:val="superscript"/>
        </w:rPr>
        <w:t>17</w:t>
      </w:r>
      <w:r w:rsidRPr="00966346">
        <w:rPr>
          <w:rFonts w:ascii="Arial" w:hAnsi="Arial" w:cs="Arial"/>
          <w:sz w:val="24"/>
          <w:szCs w:val="24"/>
        </w:rPr>
        <w:t xml:space="preserve">. The worst toxicity per organ, per patient was considered. </w:t>
      </w:r>
      <w:r w:rsidR="002F7D39" w:rsidRPr="00966346">
        <w:rPr>
          <w:rFonts w:ascii="Arial" w:hAnsi="Arial" w:cs="Arial"/>
          <w:sz w:val="24"/>
          <w:szCs w:val="24"/>
        </w:rPr>
        <w:t>Brain MRI without and with contrast was performed less than 7 days prior to chemo(</w:t>
      </w:r>
      <w:proofErr w:type="spellStart"/>
      <w:r w:rsidR="002F7D39" w:rsidRPr="00966346">
        <w:rPr>
          <w:rFonts w:ascii="Arial" w:hAnsi="Arial" w:cs="Arial"/>
          <w:sz w:val="24"/>
          <w:szCs w:val="24"/>
        </w:rPr>
        <w:t>immuno</w:t>
      </w:r>
      <w:proofErr w:type="spellEnd"/>
      <w:r w:rsidR="002F7D39" w:rsidRPr="00966346">
        <w:rPr>
          <w:rFonts w:ascii="Arial" w:hAnsi="Arial" w:cs="Arial"/>
          <w:sz w:val="24"/>
          <w:szCs w:val="24"/>
        </w:rPr>
        <w:t>)therapy and repeated to assess response after the 2</w:t>
      </w:r>
      <w:r w:rsidR="002F7D39" w:rsidRPr="00966346">
        <w:rPr>
          <w:rFonts w:ascii="Arial" w:hAnsi="Arial" w:cs="Arial"/>
          <w:sz w:val="24"/>
          <w:szCs w:val="24"/>
          <w:vertAlign w:val="superscript"/>
        </w:rPr>
        <w:t>nd</w:t>
      </w:r>
      <w:r w:rsidR="002F7D39" w:rsidRPr="00966346">
        <w:rPr>
          <w:rFonts w:ascii="Arial" w:hAnsi="Arial" w:cs="Arial"/>
          <w:sz w:val="24"/>
          <w:szCs w:val="24"/>
        </w:rPr>
        <w:t xml:space="preserve"> and 4</w:t>
      </w:r>
      <w:r w:rsidR="002F7D39" w:rsidRPr="00966346">
        <w:rPr>
          <w:rFonts w:ascii="Arial" w:hAnsi="Arial" w:cs="Arial"/>
          <w:sz w:val="24"/>
          <w:szCs w:val="24"/>
          <w:vertAlign w:val="superscript"/>
        </w:rPr>
        <w:t>th</w:t>
      </w:r>
      <w:r w:rsidR="002F7D39" w:rsidRPr="00966346">
        <w:rPr>
          <w:rFonts w:ascii="Arial" w:hAnsi="Arial" w:cs="Arial"/>
          <w:sz w:val="24"/>
          <w:szCs w:val="24"/>
        </w:rPr>
        <w:t xml:space="preserve"> chemo(</w:t>
      </w:r>
      <w:proofErr w:type="spellStart"/>
      <w:r w:rsidR="002F7D39" w:rsidRPr="00966346">
        <w:rPr>
          <w:rFonts w:ascii="Arial" w:hAnsi="Arial" w:cs="Arial"/>
          <w:sz w:val="24"/>
          <w:szCs w:val="24"/>
        </w:rPr>
        <w:t>immuno</w:t>
      </w:r>
      <w:proofErr w:type="spellEnd"/>
      <w:r w:rsidR="002F7D39" w:rsidRPr="00966346">
        <w:rPr>
          <w:rFonts w:ascii="Arial" w:hAnsi="Arial" w:cs="Arial"/>
          <w:sz w:val="24"/>
          <w:szCs w:val="24"/>
        </w:rPr>
        <w:t xml:space="preserve">)therapy courses (arms A-C) and after consolidation (arms D-E). Response assessment following the second randomization was performed at 45 days from radiation conclusion and at 30 and 90 days from ASCT. </w:t>
      </w:r>
      <w:r w:rsidR="002F7D39" w:rsidRPr="00966346">
        <w:rPr>
          <w:rFonts w:ascii="Arial" w:hAnsi="Arial" w:cs="Arial"/>
          <w:sz w:val="24"/>
          <w:szCs w:val="24"/>
        </w:rPr>
        <w:lastRenderedPageBreak/>
        <w:t>Response definition followed the IPCG response criteria</w:t>
      </w:r>
      <w:r w:rsidR="008E7A2A" w:rsidRPr="008E7A2A">
        <w:rPr>
          <w:rFonts w:ascii="Arial" w:hAnsi="Arial" w:cs="Arial"/>
          <w:sz w:val="24"/>
          <w:szCs w:val="24"/>
          <w:vertAlign w:val="superscript"/>
        </w:rPr>
        <w:t>18</w:t>
      </w:r>
      <w:r w:rsidR="002F7D39" w:rsidRPr="00966346">
        <w:rPr>
          <w:rFonts w:ascii="Arial" w:hAnsi="Arial" w:cs="Arial"/>
          <w:sz w:val="24"/>
          <w:szCs w:val="24"/>
        </w:rPr>
        <w:t xml:space="preserve">. The maximum response recorded from treatment start was considered for analyses. All MRI exams regarding target lesions were centrally reviewed; the central radiology reviewer was blinded both to treatment assignment and to local response assessment. Randomization and therapeutic decisions were based on local investigator assessment. </w:t>
      </w:r>
    </w:p>
    <w:p w14:paraId="5F6E4B27" w14:textId="77777777" w:rsidR="002F7D39" w:rsidRPr="00966346" w:rsidRDefault="002F7D39" w:rsidP="002F7D39">
      <w:pPr>
        <w:spacing w:after="0" w:line="360" w:lineRule="auto"/>
        <w:jc w:val="both"/>
        <w:rPr>
          <w:rFonts w:ascii="Arial" w:hAnsi="Arial" w:cs="Arial"/>
          <w:sz w:val="24"/>
          <w:szCs w:val="24"/>
        </w:rPr>
      </w:pPr>
      <w:r w:rsidRPr="00966346">
        <w:rPr>
          <w:rFonts w:ascii="Arial" w:hAnsi="Arial" w:cs="Arial"/>
          <w:sz w:val="24"/>
          <w:szCs w:val="24"/>
        </w:rPr>
        <w:t>After end of treatment, the disease was assessed every three months for the first two years, every six months during the 3</w:t>
      </w:r>
      <w:r w:rsidRPr="00966346">
        <w:rPr>
          <w:rFonts w:ascii="Arial" w:hAnsi="Arial" w:cs="Arial"/>
          <w:sz w:val="24"/>
          <w:szCs w:val="24"/>
          <w:vertAlign w:val="superscript"/>
        </w:rPr>
        <w:t>rd</w:t>
      </w:r>
      <w:r w:rsidRPr="00966346">
        <w:rPr>
          <w:rFonts w:ascii="Arial" w:hAnsi="Arial" w:cs="Arial"/>
          <w:sz w:val="24"/>
          <w:szCs w:val="24"/>
        </w:rPr>
        <w:t>, 4</w:t>
      </w:r>
      <w:r w:rsidRPr="00966346">
        <w:rPr>
          <w:rFonts w:ascii="Arial" w:hAnsi="Arial" w:cs="Arial"/>
          <w:sz w:val="24"/>
          <w:szCs w:val="24"/>
          <w:vertAlign w:val="superscript"/>
        </w:rPr>
        <w:t>th</w:t>
      </w:r>
      <w:r w:rsidRPr="00966346">
        <w:rPr>
          <w:rFonts w:ascii="Arial" w:hAnsi="Arial" w:cs="Arial"/>
          <w:sz w:val="24"/>
          <w:szCs w:val="24"/>
        </w:rPr>
        <w:t xml:space="preserve"> and 5</w:t>
      </w:r>
      <w:r w:rsidRPr="00966346">
        <w:rPr>
          <w:rFonts w:ascii="Arial" w:hAnsi="Arial" w:cs="Arial"/>
          <w:sz w:val="24"/>
          <w:szCs w:val="24"/>
          <w:vertAlign w:val="superscript"/>
        </w:rPr>
        <w:t>th</w:t>
      </w:r>
      <w:r w:rsidRPr="00966346">
        <w:rPr>
          <w:rFonts w:ascii="Arial" w:hAnsi="Arial" w:cs="Arial"/>
          <w:sz w:val="24"/>
          <w:szCs w:val="24"/>
        </w:rPr>
        <w:t xml:space="preserve"> years and every year thereafter. After PD, patients were followed every three months for survival, and returned to the previous follow-up schedule in the case of second remission. </w:t>
      </w:r>
    </w:p>
    <w:p w14:paraId="25460EFC" w14:textId="77777777" w:rsidR="002F7D39" w:rsidRPr="00966346" w:rsidRDefault="002F7D39" w:rsidP="003B37A9">
      <w:pPr>
        <w:spacing w:after="0" w:line="360" w:lineRule="auto"/>
        <w:jc w:val="both"/>
        <w:rPr>
          <w:rFonts w:ascii="Arial" w:hAnsi="Arial" w:cs="Arial"/>
          <w:sz w:val="24"/>
          <w:szCs w:val="24"/>
        </w:rPr>
      </w:pPr>
    </w:p>
    <w:p w14:paraId="0BB98EAD" w14:textId="77777777" w:rsidR="002F7D39" w:rsidRPr="00966346" w:rsidRDefault="002F7D39" w:rsidP="003B37A9">
      <w:pPr>
        <w:spacing w:after="0" w:line="360" w:lineRule="auto"/>
        <w:jc w:val="both"/>
        <w:rPr>
          <w:rFonts w:ascii="Arial" w:hAnsi="Arial" w:cs="Arial"/>
          <w:i/>
          <w:sz w:val="24"/>
          <w:szCs w:val="24"/>
        </w:rPr>
      </w:pPr>
      <w:r w:rsidRPr="00966346">
        <w:rPr>
          <w:rFonts w:ascii="Arial" w:hAnsi="Arial" w:cs="Arial"/>
          <w:i/>
          <w:sz w:val="24"/>
          <w:szCs w:val="24"/>
          <w:lang w:val="en-GB"/>
        </w:rPr>
        <w:t>Effects of treatments on</w:t>
      </w:r>
      <w:r w:rsidRPr="00966346">
        <w:rPr>
          <w:rFonts w:ascii="Arial" w:hAnsi="Arial" w:cs="Arial"/>
          <w:i/>
          <w:sz w:val="24"/>
          <w:szCs w:val="24"/>
        </w:rPr>
        <w:t xml:space="preserve"> cognitive functions</w:t>
      </w:r>
      <w:r w:rsidRPr="00966346">
        <w:rPr>
          <w:rFonts w:ascii="Arial" w:hAnsi="Arial" w:cs="Arial"/>
          <w:i/>
          <w:sz w:val="24"/>
          <w:szCs w:val="24"/>
          <w:lang w:val="en-GB"/>
        </w:rPr>
        <w:t xml:space="preserve"> and quality of life</w:t>
      </w:r>
    </w:p>
    <w:p w14:paraId="68A32E01" w14:textId="676823AA" w:rsidR="00E60052" w:rsidRPr="00966346" w:rsidRDefault="00403245" w:rsidP="007F3E1C">
      <w:pPr>
        <w:spacing w:after="0" w:line="360" w:lineRule="auto"/>
        <w:jc w:val="both"/>
        <w:rPr>
          <w:rFonts w:ascii="Arial" w:hAnsi="Arial" w:cs="Arial"/>
          <w:sz w:val="24"/>
          <w:szCs w:val="24"/>
        </w:rPr>
      </w:pPr>
      <w:r w:rsidRPr="00966346">
        <w:rPr>
          <w:rFonts w:ascii="Arial" w:hAnsi="Arial" w:cs="Arial"/>
          <w:sz w:val="24"/>
          <w:szCs w:val="24"/>
        </w:rPr>
        <w:t xml:space="preserve">The impact of treatment on </w:t>
      </w:r>
      <w:r w:rsidR="00AD30E5" w:rsidRPr="00966346">
        <w:rPr>
          <w:rFonts w:ascii="Arial" w:hAnsi="Arial" w:cs="Arial"/>
          <w:sz w:val="24"/>
          <w:szCs w:val="24"/>
        </w:rPr>
        <w:t>cognitive</w:t>
      </w:r>
      <w:r w:rsidRPr="00966346">
        <w:rPr>
          <w:rFonts w:ascii="Arial" w:hAnsi="Arial" w:cs="Arial"/>
          <w:sz w:val="24"/>
          <w:szCs w:val="24"/>
        </w:rPr>
        <w:t xml:space="preserve"> functions was assessed by </w:t>
      </w:r>
      <w:r w:rsidR="002A2D66" w:rsidRPr="00966346">
        <w:rPr>
          <w:rFonts w:ascii="Arial" w:hAnsi="Arial" w:cs="Arial"/>
          <w:sz w:val="24"/>
          <w:szCs w:val="24"/>
        </w:rPr>
        <w:t>a panel of neuropsychological tests currently used by the IPCG</w:t>
      </w:r>
      <w:r w:rsidR="008E7A2A" w:rsidRPr="008E7A2A">
        <w:rPr>
          <w:rFonts w:ascii="Arial" w:hAnsi="Arial" w:cs="Arial"/>
          <w:sz w:val="24"/>
          <w:szCs w:val="24"/>
          <w:vertAlign w:val="superscript"/>
        </w:rPr>
        <w:t>11</w:t>
      </w:r>
      <w:r w:rsidR="002A2D66" w:rsidRPr="00966346">
        <w:rPr>
          <w:rFonts w:ascii="Arial" w:hAnsi="Arial" w:cs="Arial"/>
          <w:sz w:val="24"/>
          <w:szCs w:val="24"/>
        </w:rPr>
        <w:t xml:space="preserve"> </w:t>
      </w:r>
      <w:r w:rsidR="00F348DD" w:rsidRPr="00966346">
        <w:rPr>
          <w:rFonts w:ascii="Arial" w:hAnsi="Arial" w:cs="Arial"/>
          <w:sz w:val="24"/>
          <w:szCs w:val="24"/>
        </w:rPr>
        <w:t>(Appendix p5)</w:t>
      </w:r>
      <w:r w:rsidR="007010B3" w:rsidRPr="00966346">
        <w:rPr>
          <w:rFonts w:ascii="Arial" w:hAnsi="Arial" w:cs="Arial"/>
          <w:sz w:val="24"/>
          <w:szCs w:val="24"/>
        </w:rPr>
        <w:t>,</w:t>
      </w:r>
      <w:r w:rsidR="00F348DD" w:rsidRPr="00966346">
        <w:rPr>
          <w:rFonts w:ascii="Arial" w:hAnsi="Arial" w:cs="Arial"/>
          <w:sz w:val="24"/>
          <w:szCs w:val="24"/>
        </w:rPr>
        <w:t xml:space="preserve"> </w:t>
      </w:r>
      <w:r w:rsidR="002A2D66" w:rsidRPr="00966346">
        <w:rPr>
          <w:rFonts w:ascii="Arial" w:hAnsi="Arial" w:cs="Arial"/>
          <w:sz w:val="24"/>
          <w:szCs w:val="24"/>
        </w:rPr>
        <w:t xml:space="preserve">and </w:t>
      </w:r>
      <w:r w:rsidR="00204220" w:rsidRPr="00966346">
        <w:rPr>
          <w:rFonts w:ascii="Arial" w:hAnsi="Arial" w:cs="Arial"/>
          <w:sz w:val="24"/>
          <w:szCs w:val="24"/>
        </w:rPr>
        <w:t xml:space="preserve">the </w:t>
      </w:r>
      <w:r w:rsidR="00A26EF5" w:rsidRPr="00966346">
        <w:rPr>
          <w:rFonts w:ascii="Arial" w:hAnsi="Arial" w:cs="Arial"/>
          <w:sz w:val="24"/>
          <w:szCs w:val="24"/>
        </w:rPr>
        <w:t>Mini-mental Status Examination (MMSE)</w:t>
      </w:r>
      <w:r w:rsidR="00204220" w:rsidRPr="00966346">
        <w:rPr>
          <w:rFonts w:ascii="Arial" w:hAnsi="Arial" w:cs="Arial"/>
          <w:sz w:val="24"/>
          <w:szCs w:val="24"/>
        </w:rPr>
        <w:t xml:space="preserve"> scale</w:t>
      </w:r>
      <w:r w:rsidR="00B021EB">
        <w:rPr>
          <w:rFonts w:ascii="Arial" w:hAnsi="Arial" w:cs="Arial"/>
          <w:sz w:val="24"/>
          <w:szCs w:val="24"/>
        </w:rPr>
        <w:t>. E</w:t>
      </w:r>
      <w:proofErr w:type="spellStart"/>
      <w:r w:rsidR="002C1823" w:rsidRPr="00966346">
        <w:rPr>
          <w:rFonts w:ascii="Arial" w:hAnsi="Arial" w:cs="Arial"/>
          <w:sz w:val="24"/>
          <w:szCs w:val="24"/>
          <w:lang w:val="en-GB"/>
        </w:rPr>
        <w:t>ffects</w:t>
      </w:r>
      <w:proofErr w:type="spellEnd"/>
      <w:r w:rsidR="002C1823" w:rsidRPr="00966346">
        <w:rPr>
          <w:rFonts w:ascii="Arial" w:hAnsi="Arial" w:cs="Arial"/>
          <w:sz w:val="24"/>
          <w:szCs w:val="24"/>
          <w:lang w:val="en-GB"/>
        </w:rPr>
        <w:t xml:space="preserve"> of treatments on quality of life </w:t>
      </w:r>
      <w:r w:rsidR="00AC1582" w:rsidRPr="00966346">
        <w:rPr>
          <w:rFonts w:ascii="Arial" w:hAnsi="Arial" w:cs="Arial"/>
          <w:sz w:val="24"/>
          <w:szCs w:val="24"/>
          <w:lang w:val="en-GB"/>
        </w:rPr>
        <w:t xml:space="preserve">(QoL) </w:t>
      </w:r>
      <w:r w:rsidR="002C1823" w:rsidRPr="00966346">
        <w:rPr>
          <w:rFonts w:ascii="Arial" w:hAnsi="Arial" w:cs="Arial"/>
          <w:sz w:val="24"/>
          <w:szCs w:val="24"/>
          <w:lang w:val="en-GB"/>
        </w:rPr>
        <w:t xml:space="preserve">were assessed </w:t>
      </w:r>
      <w:r w:rsidR="00C70A19" w:rsidRPr="00966346">
        <w:rPr>
          <w:rFonts w:ascii="Arial" w:hAnsi="Arial" w:cs="Arial"/>
          <w:sz w:val="24"/>
          <w:szCs w:val="24"/>
          <w:lang w:val="en-GB"/>
        </w:rPr>
        <w:t>by</w:t>
      </w:r>
      <w:r w:rsidR="002C1823" w:rsidRPr="00966346">
        <w:rPr>
          <w:rFonts w:ascii="Arial" w:hAnsi="Arial" w:cs="Arial"/>
          <w:sz w:val="24"/>
          <w:szCs w:val="24"/>
          <w:lang w:val="en-GB"/>
        </w:rPr>
        <w:t xml:space="preserve"> the EORTC-QLQ</w:t>
      </w:r>
      <w:r w:rsidR="00B021EB">
        <w:rPr>
          <w:rFonts w:ascii="Arial" w:hAnsi="Arial" w:cs="Arial"/>
          <w:sz w:val="24"/>
          <w:szCs w:val="24"/>
          <w:lang w:val="en-GB"/>
        </w:rPr>
        <w:t>; herein we report changes in</w:t>
      </w:r>
      <w:r w:rsidR="00B021EB" w:rsidRPr="00B021EB">
        <w:rPr>
          <w:rFonts w:ascii="Arial" w:hAnsi="Arial" w:cs="Arial"/>
          <w:sz w:val="24"/>
          <w:szCs w:val="24"/>
          <w:lang w:val="en-GB"/>
        </w:rPr>
        <w:t xml:space="preserve"> </w:t>
      </w:r>
      <w:r w:rsidR="00B021EB">
        <w:rPr>
          <w:rFonts w:ascii="Arial" w:hAnsi="Arial" w:cs="Arial"/>
          <w:sz w:val="24"/>
          <w:szCs w:val="24"/>
          <w:lang w:val="en-GB"/>
        </w:rPr>
        <w:t xml:space="preserve">global QoL, whereas </w:t>
      </w:r>
      <w:r w:rsidR="00B021EB">
        <w:rPr>
          <w:rFonts w:ascii="Arial" w:hAnsi="Arial" w:cs="Arial"/>
          <w:sz w:val="24"/>
          <w:szCs w:val="24"/>
        </w:rPr>
        <w:t>d</w:t>
      </w:r>
      <w:r w:rsidR="00B021EB" w:rsidRPr="00B021EB">
        <w:rPr>
          <w:rFonts w:ascii="Arial" w:hAnsi="Arial" w:cs="Arial"/>
          <w:sz w:val="24"/>
          <w:szCs w:val="24"/>
        </w:rPr>
        <w:t>etailed results of changes in each QoL parameter will be reported elsewhere</w:t>
      </w:r>
      <w:r w:rsidR="002C1823" w:rsidRPr="00966346">
        <w:rPr>
          <w:rFonts w:ascii="Arial" w:hAnsi="Arial" w:cs="Arial"/>
          <w:sz w:val="24"/>
          <w:szCs w:val="24"/>
          <w:lang w:val="en-GB"/>
        </w:rPr>
        <w:t xml:space="preserve">. </w:t>
      </w:r>
      <w:r w:rsidR="00C67C41" w:rsidRPr="00966346">
        <w:rPr>
          <w:rFonts w:ascii="Arial" w:hAnsi="Arial" w:cs="Arial"/>
          <w:sz w:val="24"/>
          <w:szCs w:val="24"/>
        </w:rPr>
        <w:t xml:space="preserve">These tests were performed </w:t>
      </w:r>
      <w:r w:rsidR="00A26EF5" w:rsidRPr="00966346">
        <w:rPr>
          <w:rFonts w:ascii="Arial" w:hAnsi="Arial" w:cs="Arial"/>
          <w:sz w:val="24"/>
          <w:szCs w:val="24"/>
        </w:rPr>
        <w:t xml:space="preserve">at trial registration (baseline), </w:t>
      </w:r>
      <w:r w:rsidR="00C67C41" w:rsidRPr="00966346">
        <w:rPr>
          <w:rFonts w:ascii="Arial" w:hAnsi="Arial" w:cs="Arial"/>
          <w:sz w:val="24"/>
          <w:szCs w:val="24"/>
        </w:rPr>
        <w:t xml:space="preserve">after </w:t>
      </w:r>
      <w:r w:rsidR="00A26EF5" w:rsidRPr="00966346">
        <w:rPr>
          <w:rFonts w:ascii="Arial" w:hAnsi="Arial" w:cs="Arial"/>
          <w:sz w:val="24"/>
          <w:szCs w:val="24"/>
        </w:rPr>
        <w:t>consolidation completion</w:t>
      </w:r>
      <w:r w:rsidR="00C67C41" w:rsidRPr="00966346">
        <w:rPr>
          <w:rFonts w:ascii="Arial" w:hAnsi="Arial" w:cs="Arial"/>
          <w:sz w:val="24"/>
          <w:szCs w:val="24"/>
        </w:rPr>
        <w:t xml:space="preserve"> and every six months </w:t>
      </w:r>
      <w:r w:rsidR="00204220" w:rsidRPr="00966346">
        <w:rPr>
          <w:rFonts w:ascii="Arial" w:hAnsi="Arial" w:cs="Arial"/>
          <w:sz w:val="24"/>
          <w:szCs w:val="24"/>
        </w:rPr>
        <w:t>thereafter</w:t>
      </w:r>
      <w:r w:rsidR="003B37A9" w:rsidRPr="00966346">
        <w:rPr>
          <w:rFonts w:ascii="Arial" w:hAnsi="Arial" w:cs="Arial"/>
          <w:sz w:val="24"/>
          <w:szCs w:val="24"/>
        </w:rPr>
        <w:t>; the te</w:t>
      </w:r>
      <w:r w:rsidR="00646F70" w:rsidRPr="00966346">
        <w:rPr>
          <w:rFonts w:ascii="Arial" w:hAnsi="Arial" w:cs="Arial"/>
          <w:sz w:val="24"/>
          <w:szCs w:val="24"/>
        </w:rPr>
        <w:t>st batter</w:t>
      </w:r>
      <w:r w:rsidR="00204220" w:rsidRPr="00966346">
        <w:rPr>
          <w:rFonts w:ascii="Arial" w:hAnsi="Arial" w:cs="Arial"/>
          <w:sz w:val="24"/>
          <w:szCs w:val="24"/>
        </w:rPr>
        <w:t>ies</w:t>
      </w:r>
      <w:r w:rsidR="00646F70" w:rsidRPr="00966346">
        <w:rPr>
          <w:rFonts w:ascii="Arial" w:hAnsi="Arial" w:cs="Arial"/>
          <w:sz w:val="24"/>
          <w:szCs w:val="24"/>
        </w:rPr>
        <w:t xml:space="preserve"> </w:t>
      </w:r>
      <w:r w:rsidR="00204220" w:rsidRPr="00966346">
        <w:rPr>
          <w:rFonts w:ascii="Arial" w:hAnsi="Arial" w:cs="Arial"/>
          <w:sz w:val="24"/>
          <w:szCs w:val="24"/>
        </w:rPr>
        <w:t>were</w:t>
      </w:r>
      <w:r w:rsidR="00646F70" w:rsidRPr="00966346">
        <w:rPr>
          <w:rFonts w:ascii="Arial" w:hAnsi="Arial" w:cs="Arial"/>
          <w:sz w:val="24"/>
          <w:szCs w:val="24"/>
        </w:rPr>
        <w:t xml:space="preserve"> administered by experienced</w:t>
      </w:r>
      <w:r w:rsidR="003B37A9" w:rsidRPr="00966346">
        <w:rPr>
          <w:rFonts w:ascii="Arial" w:hAnsi="Arial" w:cs="Arial"/>
          <w:sz w:val="24"/>
          <w:szCs w:val="24"/>
        </w:rPr>
        <w:t xml:space="preserve"> neuropsychologist</w:t>
      </w:r>
      <w:r w:rsidR="00646F70" w:rsidRPr="00966346">
        <w:rPr>
          <w:rFonts w:ascii="Arial" w:hAnsi="Arial" w:cs="Arial"/>
          <w:sz w:val="24"/>
          <w:szCs w:val="24"/>
        </w:rPr>
        <w:t>s</w:t>
      </w:r>
      <w:r w:rsidR="00C67C41" w:rsidRPr="00966346">
        <w:rPr>
          <w:rFonts w:ascii="Arial" w:hAnsi="Arial" w:cs="Arial"/>
          <w:sz w:val="24"/>
          <w:szCs w:val="24"/>
        </w:rPr>
        <w:t xml:space="preserve">. </w:t>
      </w:r>
      <w:r w:rsidR="00AC1582" w:rsidRPr="00966346">
        <w:rPr>
          <w:rFonts w:ascii="Arial" w:hAnsi="Arial" w:cs="Arial"/>
          <w:sz w:val="24"/>
          <w:szCs w:val="24"/>
        </w:rPr>
        <w:t xml:space="preserve">Effects on </w:t>
      </w:r>
      <w:r w:rsidR="00AD30E5" w:rsidRPr="00966346">
        <w:rPr>
          <w:rFonts w:ascii="Arial" w:hAnsi="Arial" w:cs="Arial"/>
          <w:sz w:val="24"/>
          <w:szCs w:val="24"/>
        </w:rPr>
        <w:t>cognitive</w:t>
      </w:r>
      <w:r w:rsidR="00AC1582" w:rsidRPr="00966346">
        <w:rPr>
          <w:rFonts w:ascii="Arial" w:hAnsi="Arial" w:cs="Arial"/>
          <w:sz w:val="24"/>
          <w:szCs w:val="24"/>
        </w:rPr>
        <w:t xml:space="preserve"> functions and QoL were analyzed on </w:t>
      </w:r>
      <w:r w:rsidR="00204220" w:rsidRPr="00966346">
        <w:rPr>
          <w:rFonts w:ascii="Arial" w:hAnsi="Arial" w:cs="Arial"/>
          <w:sz w:val="24"/>
          <w:szCs w:val="24"/>
        </w:rPr>
        <w:t xml:space="preserve">the </w:t>
      </w:r>
      <w:r w:rsidR="00AC1582" w:rsidRPr="00966346">
        <w:rPr>
          <w:rFonts w:ascii="Arial" w:hAnsi="Arial" w:cs="Arial"/>
          <w:sz w:val="24"/>
          <w:szCs w:val="24"/>
        </w:rPr>
        <w:t>per-protocol population</w:t>
      </w:r>
      <w:r w:rsidR="002A2D66" w:rsidRPr="00966346">
        <w:rPr>
          <w:rFonts w:ascii="Arial" w:hAnsi="Arial" w:cs="Arial"/>
          <w:sz w:val="24"/>
          <w:szCs w:val="24"/>
        </w:rPr>
        <w:t>;</w:t>
      </w:r>
      <w:r w:rsidR="00AC1582" w:rsidRPr="00966346">
        <w:rPr>
          <w:rFonts w:ascii="Arial" w:hAnsi="Arial" w:cs="Arial"/>
          <w:sz w:val="24"/>
          <w:szCs w:val="24"/>
        </w:rPr>
        <w:t xml:space="preserve"> only patients </w:t>
      </w:r>
      <w:r w:rsidR="00F76AA1" w:rsidRPr="00966346">
        <w:rPr>
          <w:rFonts w:ascii="Arial" w:hAnsi="Arial" w:cs="Arial"/>
          <w:sz w:val="24"/>
          <w:szCs w:val="24"/>
        </w:rPr>
        <w:t>who completed the planned treatment, did not experience lymphoma</w:t>
      </w:r>
      <w:r w:rsidR="00AC1582" w:rsidRPr="00966346">
        <w:rPr>
          <w:rFonts w:ascii="Arial" w:hAnsi="Arial" w:cs="Arial"/>
          <w:sz w:val="24"/>
          <w:szCs w:val="24"/>
        </w:rPr>
        <w:t xml:space="preserve"> relapse and </w:t>
      </w:r>
      <w:r w:rsidR="00F76AA1" w:rsidRPr="00966346">
        <w:rPr>
          <w:rFonts w:ascii="Arial" w:hAnsi="Arial" w:cs="Arial"/>
          <w:sz w:val="24"/>
          <w:szCs w:val="24"/>
        </w:rPr>
        <w:t>had</w:t>
      </w:r>
      <w:r w:rsidR="00AC1582" w:rsidRPr="00966346">
        <w:rPr>
          <w:rFonts w:ascii="Arial" w:hAnsi="Arial" w:cs="Arial"/>
          <w:sz w:val="24"/>
          <w:szCs w:val="24"/>
        </w:rPr>
        <w:t xml:space="preserve"> available information for </w:t>
      </w:r>
      <w:r w:rsidR="004B4C2A" w:rsidRPr="00966346">
        <w:rPr>
          <w:rFonts w:ascii="Arial" w:hAnsi="Arial" w:cs="Arial"/>
          <w:sz w:val="24"/>
          <w:szCs w:val="24"/>
        </w:rPr>
        <w:t xml:space="preserve">baseline, post-treatment and </w:t>
      </w:r>
      <w:r w:rsidR="00AC1582" w:rsidRPr="00966346">
        <w:rPr>
          <w:rFonts w:ascii="Arial" w:hAnsi="Arial" w:cs="Arial"/>
          <w:sz w:val="24"/>
          <w:szCs w:val="24"/>
        </w:rPr>
        <w:t xml:space="preserve">at least </w:t>
      </w:r>
      <w:r w:rsidR="00C70A19" w:rsidRPr="00966346">
        <w:rPr>
          <w:rFonts w:ascii="Arial" w:hAnsi="Arial" w:cs="Arial"/>
          <w:sz w:val="24"/>
          <w:szCs w:val="24"/>
        </w:rPr>
        <w:t>two</w:t>
      </w:r>
      <w:r w:rsidR="00AC1582" w:rsidRPr="00966346">
        <w:rPr>
          <w:rFonts w:ascii="Arial" w:hAnsi="Arial" w:cs="Arial"/>
          <w:sz w:val="24"/>
          <w:szCs w:val="24"/>
        </w:rPr>
        <w:t xml:space="preserve"> assessments per test </w:t>
      </w:r>
      <w:r w:rsidR="00C70A19" w:rsidRPr="00966346">
        <w:rPr>
          <w:rFonts w:ascii="Arial" w:hAnsi="Arial" w:cs="Arial"/>
          <w:sz w:val="24"/>
          <w:szCs w:val="24"/>
        </w:rPr>
        <w:t xml:space="preserve">at one and two years of follow-up </w:t>
      </w:r>
      <w:r w:rsidR="00AC1582" w:rsidRPr="00966346">
        <w:rPr>
          <w:rFonts w:ascii="Arial" w:hAnsi="Arial" w:cs="Arial"/>
          <w:sz w:val="24"/>
          <w:szCs w:val="24"/>
        </w:rPr>
        <w:t xml:space="preserve">were assessable. </w:t>
      </w:r>
      <w:r w:rsidR="002F4705" w:rsidRPr="00966346">
        <w:rPr>
          <w:rFonts w:ascii="Arial" w:hAnsi="Arial" w:cs="Arial"/>
          <w:sz w:val="24"/>
          <w:szCs w:val="24"/>
        </w:rPr>
        <w:t xml:space="preserve">Results of </w:t>
      </w:r>
      <w:r w:rsidR="002F4705" w:rsidRPr="00966346">
        <w:rPr>
          <w:rFonts w:ascii="Arial" w:hAnsi="Arial" w:cs="Arial"/>
          <w:sz w:val="24"/>
          <w:szCs w:val="24"/>
          <w:lang w:val="en-GB"/>
        </w:rPr>
        <w:t xml:space="preserve">neuropsychological tests were centrally collected and revised; data were analysed by the trial statistician and </w:t>
      </w:r>
      <w:r w:rsidR="002F4705" w:rsidRPr="00966346">
        <w:rPr>
          <w:rFonts w:ascii="Arial" w:hAnsi="Arial" w:cs="Arial"/>
          <w:sz w:val="24"/>
          <w:szCs w:val="24"/>
        </w:rPr>
        <w:t xml:space="preserve">results of </w:t>
      </w:r>
      <w:r w:rsidR="00204220" w:rsidRPr="00966346">
        <w:rPr>
          <w:rFonts w:ascii="Arial" w:hAnsi="Arial" w:cs="Arial"/>
          <w:sz w:val="24"/>
          <w:szCs w:val="24"/>
        </w:rPr>
        <w:t xml:space="preserve">the </w:t>
      </w:r>
      <w:r w:rsidR="002F4705" w:rsidRPr="00966346">
        <w:rPr>
          <w:rFonts w:ascii="Arial" w:hAnsi="Arial" w:cs="Arial"/>
          <w:sz w:val="24"/>
          <w:szCs w:val="24"/>
        </w:rPr>
        <w:t xml:space="preserve">statistical analyses were </w:t>
      </w:r>
      <w:r w:rsidR="002F4705" w:rsidRPr="00966346">
        <w:rPr>
          <w:rFonts w:ascii="Arial" w:hAnsi="Arial" w:cs="Arial"/>
          <w:sz w:val="24"/>
          <w:szCs w:val="24"/>
          <w:lang w:val="en-GB"/>
        </w:rPr>
        <w:t xml:space="preserve">interpreted by </w:t>
      </w:r>
      <w:r w:rsidR="00204220" w:rsidRPr="00966346">
        <w:rPr>
          <w:rFonts w:ascii="Arial" w:hAnsi="Arial" w:cs="Arial"/>
          <w:sz w:val="24"/>
          <w:szCs w:val="24"/>
          <w:lang w:val="en-GB"/>
        </w:rPr>
        <w:t xml:space="preserve">the </w:t>
      </w:r>
      <w:r w:rsidR="00814F5D" w:rsidRPr="00966346">
        <w:rPr>
          <w:rFonts w:ascii="Arial" w:hAnsi="Arial" w:cs="Arial"/>
          <w:sz w:val="24"/>
          <w:szCs w:val="24"/>
          <w:lang w:val="en-GB"/>
        </w:rPr>
        <w:t>chair</w:t>
      </w:r>
      <w:r w:rsidR="002F4705" w:rsidRPr="00966346">
        <w:rPr>
          <w:rFonts w:ascii="Arial" w:hAnsi="Arial" w:cs="Arial"/>
          <w:sz w:val="24"/>
          <w:szCs w:val="24"/>
          <w:lang w:val="en-GB"/>
        </w:rPr>
        <w:t xml:space="preserve"> neuropsychologists.</w:t>
      </w:r>
      <w:r w:rsidR="00E60052" w:rsidRPr="00966346">
        <w:rPr>
          <w:rFonts w:ascii="Arial" w:hAnsi="Arial" w:cs="Arial"/>
          <w:sz w:val="24"/>
          <w:szCs w:val="24"/>
        </w:rPr>
        <w:t xml:space="preserve"> </w:t>
      </w:r>
    </w:p>
    <w:p w14:paraId="5728CE2E" w14:textId="42C94BA9" w:rsidR="00403245" w:rsidRPr="00966346" w:rsidRDefault="00E60052" w:rsidP="007F3E1C">
      <w:pPr>
        <w:spacing w:after="0" w:line="360" w:lineRule="auto"/>
        <w:jc w:val="both"/>
        <w:rPr>
          <w:rFonts w:ascii="Arial" w:hAnsi="Arial" w:cs="Arial"/>
          <w:sz w:val="24"/>
          <w:szCs w:val="24"/>
        </w:rPr>
      </w:pPr>
      <w:r w:rsidRPr="00966346">
        <w:rPr>
          <w:rFonts w:ascii="Arial" w:hAnsi="Arial" w:cs="Arial"/>
          <w:sz w:val="24"/>
          <w:szCs w:val="24"/>
        </w:rPr>
        <w:t>The consequences of treatments on cognitive functions and QoL over time were divided in</w:t>
      </w:r>
      <w:r w:rsidR="00204220" w:rsidRPr="00966346">
        <w:rPr>
          <w:rFonts w:ascii="Arial" w:hAnsi="Arial" w:cs="Arial"/>
          <w:sz w:val="24"/>
          <w:szCs w:val="24"/>
        </w:rPr>
        <w:t>to</w:t>
      </w:r>
      <w:r w:rsidRPr="00966346">
        <w:rPr>
          <w:rFonts w:ascii="Arial" w:hAnsi="Arial" w:cs="Arial"/>
          <w:sz w:val="24"/>
          <w:szCs w:val="24"/>
        </w:rPr>
        <w:t xml:space="preserve"> immediate and late effects. Early effects relate to the impact of treatment on tumor regression and functional improvement, and were analyzed estimating the difference (delta value) between neuropsychological tests scores at baseline and after treatment, per each patient, grouped by consolidation arm, and comparing groups by t test. Late effects relate to the impact of treatment on cognitive functions, mostly expressed as cognitive decline or improvement after years of follow-up; these effects were analyzed </w:t>
      </w:r>
      <w:r w:rsidRPr="00966346">
        <w:rPr>
          <w:rFonts w:ascii="Arial" w:hAnsi="Arial" w:cs="Arial"/>
          <w:sz w:val="24"/>
          <w:szCs w:val="24"/>
        </w:rPr>
        <w:lastRenderedPageBreak/>
        <w:t>estimating the delta value between scores of neuropsychological tests performed after treatment and after two years of follow-up, per patient, grouped by consolidation arm, and comparing groups by t test.</w:t>
      </w:r>
      <w:r w:rsidR="00B021EB">
        <w:rPr>
          <w:rFonts w:ascii="Arial" w:hAnsi="Arial" w:cs="Arial"/>
          <w:sz w:val="24"/>
          <w:szCs w:val="24"/>
        </w:rPr>
        <w:t xml:space="preserve"> </w:t>
      </w:r>
    </w:p>
    <w:p w14:paraId="537A912D" w14:textId="77777777" w:rsidR="00E60052" w:rsidRPr="00966346" w:rsidRDefault="00E60052" w:rsidP="007F3E1C">
      <w:pPr>
        <w:spacing w:after="0" w:line="360" w:lineRule="auto"/>
        <w:jc w:val="both"/>
        <w:rPr>
          <w:rFonts w:ascii="Arial" w:hAnsi="Arial" w:cs="Arial"/>
          <w:sz w:val="24"/>
          <w:szCs w:val="24"/>
        </w:rPr>
      </w:pPr>
    </w:p>
    <w:p w14:paraId="20205CB7" w14:textId="77777777" w:rsidR="00403245" w:rsidRPr="00966346" w:rsidRDefault="00403245" w:rsidP="007F3E1C">
      <w:pPr>
        <w:spacing w:after="0" w:line="360" w:lineRule="auto"/>
        <w:jc w:val="both"/>
        <w:rPr>
          <w:rFonts w:ascii="Arial" w:hAnsi="Arial" w:cs="Arial"/>
          <w:i/>
          <w:sz w:val="24"/>
          <w:szCs w:val="24"/>
        </w:rPr>
      </w:pPr>
      <w:r w:rsidRPr="00966346">
        <w:rPr>
          <w:rFonts w:ascii="Arial" w:hAnsi="Arial" w:cs="Arial"/>
          <w:i/>
          <w:sz w:val="24"/>
          <w:szCs w:val="24"/>
        </w:rPr>
        <w:t>Statistical considerations</w:t>
      </w:r>
    </w:p>
    <w:p w14:paraId="1491AB81" w14:textId="7ACB32DF" w:rsidR="00B75196" w:rsidRPr="00966346" w:rsidRDefault="005D2130" w:rsidP="00356ECA">
      <w:pPr>
        <w:spacing w:after="0" w:line="360" w:lineRule="auto"/>
        <w:jc w:val="both"/>
        <w:rPr>
          <w:rFonts w:ascii="Arial" w:hAnsi="Arial" w:cs="Arial"/>
          <w:sz w:val="24"/>
          <w:szCs w:val="24"/>
        </w:rPr>
      </w:pPr>
      <w:r w:rsidRPr="00966346">
        <w:rPr>
          <w:rFonts w:ascii="Arial" w:hAnsi="Arial" w:cs="Arial"/>
          <w:sz w:val="24"/>
          <w:szCs w:val="24"/>
        </w:rPr>
        <w:t>The primary endpoint at the second randomization was the 2-y</w:t>
      </w:r>
      <w:r w:rsidR="00B75196" w:rsidRPr="00966346">
        <w:rPr>
          <w:rFonts w:ascii="Arial" w:hAnsi="Arial" w:cs="Arial"/>
          <w:sz w:val="24"/>
          <w:szCs w:val="24"/>
        </w:rPr>
        <w:t>ea</w:t>
      </w:r>
      <w:r w:rsidRPr="00966346">
        <w:rPr>
          <w:rFonts w:ascii="Arial" w:hAnsi="Arial" w:cs="Arial"/>
          <w:sz w:val="24"/>
          <w:szCs w:val="24"/>
        </w:rPr>
        <w:t xml:space="preserve">r </w:t>
      </w:r>
      <w:r w:rsidR="00B75196" w:rsidRPr="00966346">
        <w:rPr>
          <w:rFonts w:ascii="Arial" w:hAnsi="Arial" w:cs="Arial"/>
          <w:sz w:val="24"/>
          <w:szCs w:val="24"/>
        </w:rPr>
        <w:t>P</w:t>
      </w:r>
      <w:r w:rsidRPr="00966346">
        <w:rPr>
          <w:rFonts w:ascii="Arial" w:hAnsi="Arial" w:cs="Arial"/>
          <w:sz w:val="24"/>
          <w:szCs w:val="24"/>
        </w:rPr>
        <w:t>FS.</w:t>
      </w:r>
      <w:r w:rsidRPr="00966346">
        <w:t xml:space="preserve"> </w:t>
      </w:r>
      <w:r w:rsidR="00B75196" w:rsidRPr="00966346">
        <w:rPr>
          <w:rFonts w:ascii="Arial" w:hAnsi="Arial" w:cs="Arial"/>
          <w:sz w:val="24"/>
          <w:szCs w:val="24"/>
        </w:rPr>
        <w:t>T</w:t>
      </w:r>
      <w:r w:rsidRPr="00966346">
        <w:rPr>
          <w:rFonts w:ascii="Arial" w:hAnsi="Arial" w:cs="Arial"/>
          <w:sz w:val="24"/>
          <w:szCs w:val="24"/>
        </w:rPr>
        <w:t>he maximum 2-y</w:t>
      </w:r>
      <w:r w:rsidR="00B75196" w:rsidRPr="00966346">
        <w:rPr>
          <w:rFonts w:ascii="Arial" w:hAnsi="Arial" w:cs="Arial"/>
          <w:sz w:val="24"/>
          <w:szCs w:val="24"/>
        </w:rPr>
        <w:t>ea</w:t>
      </w:r>
      <w:r w:rsidRPr="00966346">
        <w:rPr>
          <w:rFonts w:ascii="Arial" w:hAnsi="Arial" w:cs="Arial"/>
          <w:sz w:val="24"/>
          <w:szCs w:val="24"/>
        </w:rPr>
        <w:t xml:space="preserve">r </w:t>
      </w:r>
      <w:r w:rsidR="00B75196" w:rsidRPr="00966346">
        <w:rPr>
          <w:rFonts w:ascii="Arial" w:hAnsi="Arial" w:cs="Arial"/>
          <w:sz w:val="24"/>
          <w:szCs w:val="24"/>
        </w:rPr>
        <w:t>P</w:t>
      </w:r>
      <w:r w:rsidRPr="00966346">
        <w:rPr>
          <w:rFonts w:ascii="Arial" w:hAnsi="Arial" w:cs="Arial"/>
          <w:sz w:val="24"/>
          <w:szCs w:val="24"/>
        </w:rPr>
        <w:t>FS rate considered of low interest</w:t>
      </w:r>
      <w:r w:rsidR="008C2126" w:rsidRPr="00966346">
        <w:rPr>
          <w:rFonts w:ascii="Arial" w:hAnsi="Arial" w:cs="Arial"/>
          <w:sz w:val="24"/>
          <w:szCs w:val="24"/>
        </w:rPr>
        <w:t xml:space="preserve"> </w:t>
      </w:r>
      <w:r w:rsidRPr="00966346">
        <w:rPr>
          <w:rFonts w:ascii="Arial" w:hAnsi="Arial" w:cs="Arial"/>
          <w:sz w:val="24"/>
          <w:szCs w:val="24"/>
        </w:rPr>
        <w:t>was 65%</w:t>
      </w:r>
      <w:r w:rsidR="008E7A2A" w:rsidRPr="008E7A2A">
        <w:rPr>
          <w:rFonts w:ascii="Arial" w:hAnsi="Arial" w:cs="Arial"/>
          <w:sz w:val="24"/>
          <w:szCs w:val="24"/>
          <w:vertAlign w:val="superscript"/>
        </w:rPr>
        <w:t>16</w:t>
      </w:r>
      <w:r w:rsidRPr="00966346">
        <w:rPr>
          <w:rFonts w:ascii="Arial" w:hAnsi="Arial" w:cs="Arial"/>
          <w:sz w:val="24"/>
          <w:szCs w:val="24"/>
        </w:rPr>
        <w:t xml:space="preserve"> (P0) and the minimum 2-y</w:t>
      </w:r>
      <w:r w:rsidR="00B75196" w:rsidRPr="00966346">
        <w:rPr>
          <w:rFonts w:ascii="Arial" w:hAnsi="Arial" w:cs="Arial"/>
          <w:sz w:val="24"/>
          <w:szCs w:val="24"/>
        </w:rPr>
        <w:t>ea</w:t>
      </w:r>
      <w:r w:rsidRPr="00966346">
        <w:rPr>
          <w:rFonts w:ascii="Arial" w:hAnsi="Arial" w:cs="Arial"/>
          <w:sz w:val="24"/>
          <w:szCs w:val="24"/>
        </w:rPr>
        <w:t xml:space="preserve">r </w:t>
      </w:r>
      <w:r w:rsidR="00B75196" w:rsidRPr="00966346">
        <w:rPr>
          <w:rFonts w:ascii="Arial" w:hAnsi="Arial" w:cs="Arial"/>
          <w:sz w:val="24"/>
          <w:szCs w:val="24"/>
        </w:rPr>
        <w:t>P</w:t>
      </w:r>
      <w:r w:rsidRPr="00966346">
        <w:rPr>
          <w:rFonts w:ascii="Arial" w:hAnsi="Arial" w:cs="Arial"/>
          <w:sz w:val="24"/>
          <w:szCs w:val="24"/>
        </w:rPr>
        <w:t xml:space="preserve">FS rate considered of interest was 85% (P1). In order to detect such a difference, </w:t>
      </w:r>
      <w:r w:rsidR="00B75196" w:rsidRPr="00966346">
        <w:rPr>
          <w:rFonts w:ascii="Arial" w:hAnsi="Arial" w:cs="Arial"/>
          <w:sz w:val="24"/>
          <w:szCs w:val="24"/>
        </w:rPr>
        <w:t>52</w:t>
      </w:r>
      <w:r w:rsidRPr="00966346">
        <w:rPr>
          <w:rFonts w:ascii="Arial" w:hAnsi="Arial" w:cs="Arial"/>
          <w:sz w:val="24"/>
          <w:szCs w:val="24"/>
        </w:rPr>
        <w:t xml:space="preserve"> patients per arm </w:t>
      </w:r>
      <w:r w:rsidR="002C4851" w:rsidRPr="00966346">
        <w:rPr>
          <w:rFonts w:ascii="Arial" w:hAnsi="Arial" w:cs="Arial"/>
          <w:sz w:val="24"/>
          <w:szCs w:val="24"/>
        </w:rPr>
        <w:t>w</w:t>
      </w:r>
      <w:r w:rsidR="00A26EF5" w:rsidRPr="00966346">
        <w:rPr>
          <w:rFonts w:ascii="Arial" w:hAnsi="Arial" w:cs="Arial"/>
          <w:sz w:val="24"/>
          <w:szCs w:val="24"/>
        </w:rPr>
        <w:t>ere</w:t>
      </w:r>
      <w:r w:rsidR="002C4851" w:rsidRPr="00966346">
        <w:rPr>
          <w:rFonts w:ascii="Arial" w:hAnsi="Arial" w:cs="Arial"/>
          <w:sz w:val="24"/>
          <w:szCs w:val="24"/>
        </w:rPr>
        <w:t xml:space="preserve"> </w:t>
      </w:r>
      <w:r w:rsidRPr="00966346">
        <w:rPr>
          <w:rFonts w:ascii="Arial" w:hAnsi="Arial" w:cs="Arial"/>
          <w:sz w:val="24"/>
          <w:szCs w:val="24"/>
        </w:rPr>
        <w:t>required (one-sided test, type I error 5%</w:t>
      </w:r>
      <w:r w:rsidR="000D7DF6" w:rsidRPr="00966346">
        <w:rPr>
          <w:rFonts w:ascii="Arial" w:hAnsi="Arial" w:cs="Arial"/>
          <w:sz w:val="24"/>
          <w:szCs w:val="24"/>
        </w:rPr>
        <w:t>,</w:t>
      </w:r>
      <w:r w:rsidRPr="00966346">
        <w:rPr>
          <w:rFonts w:ascii="Arial" w:hAnsi="Arial" w:cs="Arial"/>
          <w:sz w:val="24"/>
          <w:szCs w:val="24"/>
        </w:rPr>
        <w:t xml:space="preserve"> power </w:t>
      </w:r>
      <w:r w:rsidR="00B75196" w:rsidRPr="00966346">
        <w:rPr>
          <w:rFonts w:ascii="Arial" w:hAnsi="Arial" w:cs="Arial"/>
          <w:sz w:val="24"/>
          <w:szCs w:val="24"/>
        </w:rPr>
        <w:t>95</w:t>
      </w:r>
      <w:r w:rsidRPr="00966346">
        <w:rPr>
          <w:rFonts w:ascii="Arial" w:hAnsi="Arial" w:cs="Arial"/>
          <w:sz w:val="24"/>
          <w:szCs w:val="24"/>
        </w:rPr>
        <w:t>%)</w:t>
      </w:r>
      <w:r w:rsidR="000D7DF6" w:rsidRPr="00966346">
        <w:rPr>
          <w:rFonts w:ascii="Arial" w:hAnsi="Arial" w:cs="Arial"/>
          <w:sz w:val="24"/>
          <w:szCs w:val="24"/>
        </w:rPr>
        <w:t>, and</w:t>
      </w:r>
      <w:r w:rsidRPr="00966346">
        <w:rPr>
          <w:rFonts w:ascii="Arial" w:hAnsi="Arial" w:cs="Arial"/>
          <w:sz w:val="24"/>
          <w:szCs w:val="24"/>
        </w:rPr>
        <w:t xml:space="preserve"> a sample size for trial registration was estimated </w:t>
      </w:r>
      <w:r w:rsidR="002C4851" w:rsidRPr="00966346">
        <w:rPr>
          <w:rFonts w:ascii="Arial" w:hAnsi="Arial" w:cs="Arial"/>
          <w:sz w:val="24"/>
          <w:szCs w:val="24"/>
        </w:rPr>
        <w:t xml:space="preserve">to be </w:t>
      </w:r>
      <w:r w:rsidRPr="00966346">
        <w:rPr>
          <w:rFonts w:ascii="Arial" w:hAnsi="Arial" w:cs="Arial"/>
          <w:sz w:val="24"/>
          <w:szCs w:val="24"/>
        </w:rPr>
        <w:t xml:space="preserve">more than 200 patients. </w:t>
      </w:r>
      <w:r w:rsidR="00B75196" w:rsidRPr="00966346">
        <w:rPr>
          <w:rFonts w:ascii="Arial" w:hAnsi="Arial" w:cs="Arial"/>
          <w:sz w:val="24"/>
          <w:szCs w:val="24"/>
          <w:lang w:val="en-GB"/>
        </w:rPr>
        <w:t xml:space="preserve">Consolidation arm would be </w:t>
      </w:r>
      <w:r w:rsidR="00B75196" w:rsidRPr="00966346">
        <w:rPr>
          <w:rFonts w:ascii="Arial" w:hAnsi="Arial" w:cs="Arial"/>
          <w:sz w:val="24"/>
          <w:szCs w:val="24"/>
        </w:rPr>
        <w:t>considered effective</w:t>
      </w:r>
      <w:r w:rsidR="00B75196" w:rsidRPr="00966346">
        <w:rPr>
          <w:rFonts w:ascii="Arial" w:hAnsi="Arial" w:cs="Arial"/>
          <w:sz w:val="24"/>
          <w:szCs w:val="24"/>
          <w:lang w:val="en-GB"/>
        </w:rPr>
        <w:t xml:space="preserve"> if </w:t>
      </w:r>
      <w:r w:rsidR="00B75196" w:rsidRPr="00966346">
        <w:rPr>
          <w:rFonts w:ascii="Arial" w:hAnsi="Arial" w:cs="Arial"/>
          <w:sz w:val="24"/>
          <w:szCs w:val="24"/>
        </w:rPr>
        <w:t>40 or more patients were progression-free survivors at two years</w:t>
      </w:r>
      <w:r w:rsidR="00A7720A" w:rsidRPr="00966346">
        <w:rPr>
          <w:rFonts w:ascii="Arial" w:hAnsi="Arial" w:cs="Arial"/>
          <w:sz w:val="24"/>
          <w:szCs w:val="24"/>
        </w:rPr>
        <w:t xml:space="preserve"> (pre-determined efficacy threshold)</w:t>
      </w:r>
      <w:r w:rsidR="00B75196" w:rsidRPr="00966346">
        <w:rPr>
          <w:rFonts w:ascii="Arial" w:hAnsi="Arial" w:cs="Arial"/>
          <w:sz w:val="24"/>
          <w:szCs w:val="24"/>
        </w:rPr>
        <w:t xml:space="preserve">. </w:t>
      </w:r>
      <w:r w:rsidR="00356ECA" w:rsidRPr="00966346">
        <w:rPr>
          <w:rFonts w:ascii="Arial" w:hAnsi="Arial" w:cs="Arial"/>
          <w:sz w:val="24"/>
          <w:szCs w:val="24"/>
        </w:rPr>
        <w:t xml:space="preserve">All randomly assigned patients were considered for primary analyses, with the exception of patients who post-hoc objectively did not meet the eligibility criteria at the time of </w:t>
      </w:r>
      <w:proofErr w:type="spellStart"/>
      <w:r w:rsidR="00356ECA" w:rsidRPr="00966346">
        <w:rPr>
          <w:rFonts w:ascii="Arial" w:hAnsi="Arial" w:cs="Arial"/>
          <w:sz w:val="24"/>
          <w:szCs w:val="24"/>
        </w:rPr>
        <w:t>randomisation</w:t>
      </w:r>
      <w:proofErr w:type="spellEnd"/>
      <w:r w:rsidR="00356ECA" w:rsidRPr="00966346">
        <w:rPr>
          <w:rFonts w:ascii="Arial" w:hAnsi="Arial" w:cs="Arial"/>
          <w:sz w:val="24"/>
          <w:szCs w:val="24"/>
        </w:rPr>
        <w:t xml:space="preserve"> (</w:t>
      </w:r>
      <w:proofErr w:type="spellStart"/>
      <w:r w:rsidR="00356ECA" w:rsidRPr="00966346">
        <w:rPr>
          <w:rFonts w:ascii="Arial" w:hAnsi="Arial" w:cs="Arial"/>
          <w:sz w:val="24"/>
          <w:szCs w:val="24"/>
        </w:rPr>
        <w:t>ie</w:t>
      </w:r>
      <w:proofErr w:type="spellEnd"/>
      <w:r w:rsidR="00356ECA" w:rsidRPr="00966346">
        <w:rPr>
          <w:rFonts w:ascii="Arial" w:hAnsi="Arial" w:cs="Arial"/>
          <w:sz w:val="24"/>
          <w:szCs w:val="24"/>
        </w:rPr>
        <w:t xml:space="preserve">, the analysis was done by modified intention-to-treat- ITT). </w:t>
      </w:r>
      <w:r w:rsidR="00B75196" w:rsidRPr="00966346">
        <w:rPr>
          <w:rFonts w:ascii="Arial" w:hAnsi="Arial" w:cs="Arial"/>
          <w:sz w:val="24"/>
          <w:szCs w:val="24"/>
        </w:rPr>
        <w:t xml:space="preserve">It should be noted that no formal comparison was planned </w:t>
      </w:r>
      <w:r w:rsidR="00A7720A" w:rsidRPr="00966346">
        <w:rPr>
          <w:rFonts w:ascii="Arial" w:hAnsi="Arial" w:cs="Arial"/>
          <w:sz w:val="24"/>
          <w:szCs w:val="24"/>
        </w:rPr>
        <w:t>between</w:t>
      </w:r>
      <w:r w:rsidR="00B75196" w:rsidRPr="00966346">
        <w:rPr>
          <w:rFonts w:ascii="Arial" w:hAnsi="Arial" w:cs="Arial"/>
          <w:sz w:val="24"/>
          <w:szCs w:val="24"/>
        </w:rPr>
        <w:t xml:space="preserve"> arms</w:t>
      </w:r>
      <w:r w:rsidR="00204220" w:rsidRPr="00966346">
        <w:rPr>
          <w:rFonts w:ascii="Arial" w:hAnsi="Arial" w:cs="Arial"/>
          <w:sz w:val="24"/>
          <w:szCs w:val="24"/>
        </w:rPr>
        <w:t xml:space="preserve"> D and E</w:t>
      </w:r>
      <w:r w:rsidR="00B75196" w:rsidRPr="00966346">
        <w:rPr>
          <w:rFonts w:ascii="Arial" w:hAnsi="Arial" w:cs="Arial"/>
          <w:sz w:val="24"/>
          <w:szCs w:val="24"/>
        </w:rPr>
        <w:t xml:space="preserve">, and the randomized active control arm (arm D) was used for calibration purposes. </w:t>
      </w:r>
    </w:p>
    <w:p w14:paraId="336D313B" w14:textId="17E6CC26" w:rsidR="00CD1FD0" w:rsidRPr="00966346" w:rsidRDefault="005D2130" w:rsidP="008847EA">
      <w:pPr>
        <w:spacing w:after="0" w:line="360" w:lineRule="auto"/>
        <w:jc w:val="both"/>
        <w:rPr>
          <w:rFonts w:ascii="Arial" w:hAnsi="Arial" w:cs="Arial"/>
          <w:sz w:val="24"/>
          <w:szCs w:val="24"/>
        </w:rPr>
      </w:pPr>
      <w:r w:rsidRPr="00966346">
        <w:rPr>
          <w:rFonts w:ascii="Arial" w:hAnsi="Arial" w:cs="Arial"/>
          <w:sz w:val="24"/>
          <w:szCs w:val="24"/>
        </w:rPr>
        <w:t>Toxicity, OS, relapse rates</w:t>
      </w:r>
      <w:r w:rsidR="00A7720A" w:rsidRPr="00966346">
        <w:rPr>
          <w:rFonts w:ascii="Arial" w:hAnsi="Arial" w:cs="Arial"/>
          <w:sz w:val="24"/>
          <w:szCs w:val="24"/>
        </w:rPr>
        <w:t>,</w:t>
      </w:r>
      <w:r w:rsidRPr="00966346">
        <w:rPr>
          <w:rFonts w:ascii="Arial" w:hAnsi="Arial" w:cs="Arial"/>
          <w:sz w:val="24"/>
          <w:szCs w:val="24"/>
        </w:rPr>
        <w:t xml:space="preserve"> and neurotoxicity </w:t>
      </w:r>
      <w:r w:rsidR="00403245" w:rsidRPr="00966346">
        <w:rPr>
          <w:rFonts w:ascii="Arial" w:hAnsi="Arial" w:cs="Arial"/>
          <w:sz w:val="24"/>
          <w:szCs w:val="24"/>
        </w:rPr>
        <w:t xml:space="preserve">were the secondary end-points. Survival curves were generated using the Kaplan-Meier method. </w:t>
      </w:r>
      <w:r w:rsidR="00B75196" w:rsidRPr="00966346">
        <w:rPr>
          <w:rFonts w:ascii="Arial" w:hAnsi="Arial" w:cs="Arial"/>
          <w:sz w:val="24"/>
          <w:szCs w:val="24"/>
        </w:rPr>
        <w:t>P</w:t>
      </w:r>
      <w:r w:rsidR="00A02168" w:rsidRPr="00966346">
        <w:rPr>
          <w:rFonts w:ascii="Arial" w:hAnsi="Arial" w:cs="Arial"/>
          <w:sz w:val="24"/>
          <w:szCs w:val="24"/>
        </w:rPr>
        <w:t xml:space="preserve">FS and </w:t>
      </w:r>
      <w:r w:rsidR="00403245" w:rsidRPr="00966346">
        <w:rPr>
          <w:rFonts w:ascii="Arial" w:hAnsi="Arial" w:cs="Arial"/>
          <w:sz w:val="24"/>
          <w:szCs w:val="24"/>
        </w:rPr>
        <w:t>OS w</w:t>
      </w:r>
      <w:r w:rsidR="00A02168" w:rsidRPr="00966346">
        <w:rPr>
          <w:rFonts w:ascii="Arial" w:hAnsi="Arial" w:cs="Arial"/>
          <w:sz w:val="24"/>
          <w:szCs w:val="24"/>
        </w:rPr>
        <w:t>ere</w:t>
      </w:r>
      <w:r w:rsidR="00403245" w:rsidRPr="00966346">
        <w:rPr>
          <w:rFonts w:ascii="Arial" w:hAnsi="Arial" w:cs="Arial"/>
          <w:sz w:val="24"/>
          <w:szCs w:val="24"/>
        </w:rPr>
        <w:t xml:space="preserve"> </w:t>
      </w:r>
      <w:r w:rsidR="00950425" w:rsidRPr="00966346">
        <w:rPr>
          <w:rFonts w:ascii="Arial" w:hAnsi="Arial" w:cs="Arial"/>
          <w:sz w:val="24"/>
          <w:szCs w:val="24"/>
        </w:rPr>
        <w:t>estimated according to</w:t>
      </w:r>
      <w:r w:rsidR="00950425" w:rsidRPr="00966346">
        <w:rPr>
          <w:rFonts w:ascii="Minion-Regular" w:hAnsi="Minion-Regular" w:cs="Minion-Regular"/>
          <w:sz w:val="32"/>
          <w:szCs w:val="32"/>
        </w:rPr>
        <w:t xml:space="preserve"> </w:t>
      </w:r>
      <w:r w:rsidR="00950425" w:rsidRPr="00966346">
        <w:rPr>
          <w:rFonts w:ascii="Arial" w:hAnsi="Arial" w:cs="Arial"/>
          <w:sz w:val="24"/>
          <w:szCs w:val="24"/>
        </w:rPr>
        <w:t>Revised Response Criteria for Malignant Lymphoma</w:t>
      </w:r>
      <w:r w:rsidR="008E7A2A" w:rsidRPr="008E7A2A">
        <w:rPr>
          <w:rFonts w:ascii="Arial" w:hAnsi="Arial" w:cs="Arial"/>
          <w:sz w:val="24"/>
          <w:szCs w:val="24"/>
          <w:vertAlign w:val="superscript"/>
        </w:rPr>
        <w:t>19</w:t>
      </w:r>
      <w:r w:rsidR="00403245" w:rsidRPr="00966346">
        <w:rPr>
          <w:rFonts w:ascii="Arial" w:hAnsi="Arial" w:cs="Arial"/>
          <w:sz w:val="24"/>
          <w:szCs w:val="24"/>
        </w:rPr>
        <w:t xml:space="preserve">. </w:t>
      </w:r>
      <w:r w:rsidR="002C0D20" w:rsidRPr="00966346">
        <w:rPr>
          <w:rFonts w:ascii="Arial" w:hAnsi="Arial" w:cs="Arial"/>
          <w:sz w:val="24"/>
          <w:szCs w:val="24"/>
        </w:rPr>
        <w:t xml:space="preserve">Time zero for PFS analysis was the date of </w:t>
      </w:r>
      <w:r w:rsidR="007877DC" w:rsidRPr="00966346">
        <w:rPr>
          <w:rFonts w:ascii="Arial" w:hAnsi="Arial" w:cs="Arial"/>
          <w:sz w:val="24"/>
          <w:szCs w:val="24"/>
        </w:rPr>
        <w:t xml:space="preserve">trial registration; results of an additional analysis of PFS where time zero was the date of the second randomization was </w:t>
      </w:r>
      <w:r w:rsidR="000F26F1" w:rsidRPr="00966346">
        <w:rPr>
          <w:rFonts w:ascii="Arial" w:hAnsi="Arial" w:cs="Arial"/>
          <w:sz w:val="24"/>
          <w:szCs w:val="24"/>
        </w:rPr>
        <w:t>included</w:t>
      </w:r>
      <w:r w:rsidR="007877DC" w:rsidRPr="00966346">
        <w:rPr>
          <w:rFonts w:ascii="Arial" w:hAnsi="Arial" w:cs="Arial"/>
          <w:sz w:val="24"/>
          <w:szCs w:val="24"/>
        </w:rPr>
        <w:t xml:space="preserve"> in supplementary material (Appendix p</w:t>
      </w:r>
      <w:r w:rsidR="00103E22" w:rsidRPr="00966346">
        <w:rPr>
          <w:rFonts w:ascii="Arial" w:hAnsi="Arial" w:cs="Arial"/>
          <w:sz w:val="24"/>
          <w:szCs w:val="24"/>
        </w:rPr>
        <w:t>6</w:t>
      </w:r>
      <w:r w:rsidR="007877DC" w:rsidRPr="00966346">
        <w:rPr>
          <w:rFonts w:ascii="Arial" w:hAnsi="Arial" w:cs="Arial"/>
          <w:sz w:val="24"/>
          <w:szCs w:val="24"/>
        </w:rPr>
        <w:t>)</w:t>
      </w:r>
      <w:r w:rsidR="002C0D20" w:rsidRPr="00966346">
        <w:rPr>
          <w:rFonts w:ascii="Arial" w:hAnsi="Arial" w:cs="Arial"/>
          <w:sz w:val="24"/>
          <w:szCs w:val="24"/>
        </w:rPr>
        <w:t xml:space="preserve">. </w:t>
      </w:r>
      <w:r w:rsidR="00423E79" w:rsidRPr="00966346">
        <w:rPr>
          <w:rFonts w:ascii="Arial" w:hAnsi="Arial" w:cs="Arial"/>
          <w:sz w:val="24"/>
          <w:szCs w:val="24"/>
        </w:rPr>
        <w:t xml:space="preserve">Duration of follow-up was calculated </w:t>
      </w:r>
      <w:r w:rsidR="00955B77" w:rsidRPr="00966346">
        <w:rPr>
          <w:rFonts w:ascii="Arial" w:hAnsi="Arial" w:cs="Arial"/>
          <w:sz w:val="24"/>
          <w:szCs w:val="24"/>
        </w:rPr>
        <w:t xml:space="preserve">as </w:t>
      </w:r>
      <w:r w:rsidR="00423E79" w:rsidRPr="00966346">
        <w:rPr>
          <w:rFonts w:ascii="Arial" w:hAnsi="Arial" w:cs="Arial"/>
          <w:sz w:val="24"/>
          <w:szCs w:val="24"/>
        </w:rPr>
        <w:t>the period between dates of trial registration and last visit among survivor patients eligible for the second randomization.</w:t>
      </w:r>
      <w:r w:rsidR="00A562FB" w:rsidRPr="00966346">
        <w:rPr>
          <w:rFonts w:ascii="Arial" w:hAnsi="Arial" w:cs="Arial"/>
          <w:sz w:val="24"/>
          <w:szCs w:val="24"/>
        </w:rPr>
        <w:t xml:space="preserve"> </w:t>
      </w:r>
      <w:r w:rsidR="00B75196" w:rsidRPr="00966346">
        <w:rPr>
          <w:rFonts w:ascii="Arial" w:hAnsi="Arial" w:cs="Arial"/>
          <w:sz w:val="24"/>
          <w:szCs w:val="24"/>
        </w:rPr>
        <w:t>C</w:t>
      </w:r>
      <w:r w:rsidR="00403245" w:rsidRPr="00966346">
        <w:rPr>
          <w:rFonts w:ascii="Arial" w:hAnsi="Arial" w:cs="Arial"/>
          <w:sz w:val="24"/>
          <w:szCs w:val="24"/>
        </w:rPr>
        <w:t>omparison</w:t>
      </w:r>
      <w:r w:rsidR="00736DC8" w:rsidRPr="00966346">
        <w:rPr>
          <w:rFonts w:ascii="Arial" w:hAnsi="Arial" w:cs="Arial"/>
          <w:sz w:val="24"/>
          <w:szCs w:val="24"/>
        </w:rPr>
        <w:t>s</w:t>
      </w:r>
      <w:r w:rsidR="00403245" w:rsidRPr="00966346">
        <w:rPr>
          <w:rFonts w:ascii="Arial" w:hAnsi="Arial" w:cs="Arial"/>
          <w:sz w:val="24"/>
          <w:szCs w:val="24"/>
        </w:rPr>
        <w:t xml:space="preserve"> of </w:t>
      </w:r>
      <w:r w:rsidR="006024EA" w:rsidRPr="00966346">
        <w:rPr>
          <w:rFonts w:ascii="Arial" w:hAnsi="Arial" w:cs="Arial"/>
          <w:sz w:val="24"/>
          <w:szCs w:val="24"/>
        </w:rPr>
        <w:t xml:space="preserve">survival </w:t>
      </w:r>
      <w:r w:rsidR="00403245" w:rsidRPr="00966346">
        <w:rPr>
          <w:rFonts w:ascii="Arial" w:hAnsi="Arial" w:cs="Arial"/>
          <w:sz w:val="24"/>
          <w:szCs w:val="24"/>
        </w:rPr>
        <w:t>curves w</w:t>
      </w:r>
      <w:r w:rsidR="00736DC8" w:rsidRPr="00966346">
        <w:rPr>
          <w:rFonts w:ascii="Arial" w:hAnsi="Arial" w:cs="Arial"/>
          <w:sz w:val="24"/>
          <w:szCs w:val="24"/>
        </w:rPr>
        <w:t>ere</w:t>
      </w:r>
      <w:r w:rsidR="00403245" w:rsidRPr="00966346">
        <w:rPr>
          <w:rFonts w:ascii="Arial" w:hAnsi="Arial" w:cs="Arial"/>
          <w:sz w:val="24"/>
          <w:szCs w:val="24"/>
        </w:rPr>
        <w:t xml:space="preserve"> performed through the log-rank test. </w:t>
      </w:r>
      <w:r w:rsidR="0021233E" w:rsidRPr="00966346">
        <w:rPr>
          <w:rFonts w:ascii="Arial" w:hAnsi="Arial" w:cs="Arial"/>
          <w:sz w:val="24"/>
          <w:szCs w:val="24"/>
        </w:rPr>
        <w:t>The impact of clinical variables</w:t>
      </w:r>
      <w:r w:rsidR="00403245" w:rsidRPr="00966346">
        <w:rPr>
          <w:rFonts w:ascii="Arial" w:hAnsi="Arial" w:cs="Arial"/>
          <w:sz w:val="24"/>
          <w:szCs w:val="24"/>
        </w:rPr>
        <w:t xml:space="preserve"> </w:t>
      </w:r>
      <w:r w:rsidR="0021233E" w:rsidRPr="00966346">
        <w:rPr>
          <w:rFonts w:ascii="Arial" w:hAnsi="Arial" w:cs="Arial"/>
          <w:sz w:val="24"/>
          <w:szCs w:val="24"/>
        </w:rPr>
        <w:t xml:space="preserve">(gender, IELSG risk score, number of lesions, induction arm and consolidation arm) </w:t>
      </w:r>
      <w:r w:rsidR="00403245" w:rsidRPr="00966346">
        <w:rPr>
          <w:rFonts w:ascii="Arial" w:hAnsi="Arial" w:cs="Arial"/>
          <w:sz w:val="24"/>
          <w:szCs w:val="24"/>
        </w:rPr>
        <w:t xml:space="preserve">on </w:t>
      </w:r>
      <w:r w:rsidR="00AE3F4C" w:rsidRPr="00966346">
        <w:rPr>
          <w:rFonts w:ascii="Arial" w:hAnsi="Arial" w:cs="Arial"/>
          <w:sz w:val="24"/>
          <w:szCs w:val="24"/>
        </w:rPr>
        <w:t>P</w:t>
      </w:r>
      <w:r w:rsidR="00403245" w:rsidRPr="00966346">
        <w:rPr>
          <w:rFonts w:ascii="Arial" w:hAnsi="Arial" w:cs="Arial"/>
          <w:sz w:val="24"/>
          <w:szCs w:val="24"/>
        </w:rPr>
        <w:t xml:space="preserve">FS </w:t>
      </w:r>
      <w:r w:rsidR="002C4851" w:rsidRPr="00966346">
        <w:rPr>
          <w:rFonts w:ascii="Arial" w:hAnsi="Arial" w:cs="Arial"/>
          <w:sz w:val="24"/>
          <w:szCs w:val="24"/>
        </w:rPr>
        <w:t>w</w:t>
      </w:r>
      <w:r w:rsidR="00AE3F4C" w:rsidRPr="00966346">
        <w:rPr>
          <w:rFonts w:ascii="Arial" w:hAnsi="Arial" w:cs="Arial"/>
          <w:sz w:val="24"/>
          <w:szCs w:val="24"/>
        </w:rPr>
        <w:t>as</w:t>
      </w:r>
      <w:r w:rsidR="002C4851" w:rsidRPr="00966346">
        <w:rPr>
          <w:rFonts w:ascii="Arial" w:hAnsi="Arial" w:cs="Arial"/>
          <w:sz w:val="24"/>
          <w:szCs w:val="24"/>
        </w:rPr>
        <w:t xml:space="preserve"> </w:t>
      </w:r>
      <w:r w:rsidR="00403245" w:rsidRPr="00966346">
        <w:rPr>
          <w:rFonts w:ascii="Arial" w:hAnsi="Arial" w:cs="Arial"/>
          <w:sz w:val="24"/>
          <w:szCs w:val="24"/>
        </w:rPr>
        <w:t xml:space="preserve">analyzed using the Cox proportional </w:t>
      </w:r>
      <w:r w:rsidR="0021233E" w:rsidRPr="00966346">
        <w:rPr>
          <w:rFonts w:ascii="Arial" w:hAnsi="Arial" w:cs="Arial"/>
          <w:sz w:val="24"/>
          <w:szCs w:val="24"/>
        </w:rPr>
        <w:t>hazard</w:t>
      </w:r>
      <w:r w:rsidR="006D6C33" w:rsidRPr="00966346">
        <w:rPr>
          <w:rFonts w:ascii="Arial" w:hAnsi="Arial" w:cs="Arial"/>
          <w:sz w:val="24"/>
          <w:szCs w:val="24"/>
        </w:rPr>
        <w:t>s</w:t>
      </w:r>
      <w:r w:rsidR="0021233E" w:rsidRPr="00966346">
        <w:rPr>
          <w:rFonts w:ascii="Arial" w:hAnsi="Arial" w:cs="Arial"/>
          <w:sz w:val="24"/>
          <w:szCs w:val="24"/>
        </w:rPr>
        <w:t xml:space="preserve"> </w:t>
      </w:r>
      <w:r w:rsidR="00403245" w:rsidRPr="00966346">
        <w:rPr>
          <w:rFonts w:ascii="Arial" w:hAnsi="Arial" w:cs="Arial"/>
          <w:sz w:val="24"/>
          <w:szCs w:val="24"/>
        </w:rPr>
        <w:t xml:space="preserve">model. </w:t>
      </w:r>
      <w:r w:rsidR="008847EA" w:rsidRPr="00966346">
        <w:rPr>
          <w:rFonts w:ascii="Arial" w:hAnsi="Arial" w:cs="Arial"/>
          <w:sz w:val="24"/>
          <w:szCs w:val="24"/>
        </w:rPr>
        <w:t xml:space="preserve">The statistical analysis was done in a blinded manner. All the probability values were two-sided. All analyses were carried out using the </w:t>
      </w:r>
      <w:proofErr w:type="spellStart"/>
      <w:r w:rsidR="008847EA" w:rsidRPr="00966346">
        <w:rPr>
          <w:rFonts w:ascii="Arial" w:hAnsi="Arial" w:cs="Arial"/>
          <w:sz w:val="24"/>
          <w:szCs w:val="24"/>
        </w:rPr>
        <w:t>Statistica</w:t>
      </w:r>
      <w:proofErr w:type="spellEnd"/>
      <w:r w:rsidR="008847EA" w:rsidRPr="00966346">
        <w:rPr>
          <w:rFonts w:ascii="Arial" w:hAnsi="Arial" w:cs="Arial"/>
          <w:sz w:val="24"/>
          <w:szCs w:val="24"/>
        </w:rPr>
        <w:t xml:space="preserve"> 10·0 statistical package for Windows (</w:t>
      </w:r>
      <w:proofErr w:type="spellStart"/>
      <w:r w:rsidR="008847EA" w:rsidRPr="00966346">
        <w:rPr>
          <w:rFonts w:ascii="Arial" w:hAnsi="Arial" w:cs="Arial"/>
          <w:sz w:val="24"/>
          <w:szCs w:val="24"/>
        </w:rPr>
        <w:t>Statsoft</w:t>
      </w:r>
      <w:proofErr w:type="spellEnd"/>
      <w:r w:rsidR="008847EA" w:rsidRPr="00966346">
        <w:rPr>
          <w:rFonts w:ascii="Arial" w:hAnsi="Arial" w:cs="Arial"/>
          <w:sz w:val="24"/>
          <w:szCs w:val="24"/>
        </w:rPr>
        <w:t xml:space="preserve"> </w:t>
      </w:r>
      <w:proofErr w:type="spellStart"/>
      <w:r w:rsidR="008847EA" w:rsidRPr="00966346">
        <w:rPr>
          <w:rFonts w:ascii="Arial" w:hAnsi="Arial" w:cs="Arial"/>
          <w:sz w:val="24"/>
          <w:szCs w:val="24"/>
        </w:rPr>
        <w:t>Inc</w:t>
      </w:r>
      <w:proofErr w:type="spellEnd"/>
      <w:r w:rsidR="008847EA" w:rsidRPr="00966346">
        <w:rPr>
          <w:rFonts w:ascii="Arial" w:hAnsi="Arial" w:cs="Arial"/>
          <w:sz w:val="24"/>
          <w:szCs w:val="24"/>
        </w:rPr>
        <w:t>, 2011, Tulsa, OK, USA)</w:t>
      </w:r>
      <w:r w:rsidR="005C175D" w:rsidRPr="00966346">
        <w:rPr>
          <w:rFonts w:ascii="Arial" w:hAnsi="Arial" w:cs="Arial"/>
          <w:sz w:val="24"/>
          <w:szCs w:val="24"/>
        </w:rPr>
        <w:t xml:space="preserve"> and SAS</w:t>
      </w:r>
      <w:r w:rsidR="00FA4AAE" w:rsidRPr="00966346">
        <w:rPr>
          <w:rFonts w:ascii="Arial" w:hAnsi="Arial" w:cs="Arial"/>
          <w:sz w:val="24"/>
          <w:szCs w:val="24"/>
          <w:vertAlign w:val="superscript"/>
        </w:rPr>
        <w:t>®</w:t>
      </w:r>
      <w:r w:rsidR="005C175D" w:rsidRPr="00966346">
        <w:rPr>
          <w:rFonts w:ascii="Arial" w:hAnsi="Arial" w:cs="Arial"/>
          <w:sz w:val="24"/>
          <w:szCs w:val="24"/>
        </w:rPr>
        <w:t xml:space="preserve"> 9.4 version</w:t>
      </w:r>
      <w:r w:rsidR="008847EA" w:rsidRPr="00966346">
        <w:rPr>
          <w:rFonts w:ascii="Arial" w:hAnsi="Arial" w:cs="Arial"/>
          <w:sz w:val="24"/>
          <w:szCs w:val="24"/>
        </w:rPr>
        <w:t xml:space="preserve">. </w:t>
      </w:r>
      <w:r w:rsidR="00511211" w:rsidRPr="00966346">
        <w:rPr>
          <w:rFonts w:ascii="Arial" w:hAnsi="Arial" w:cs="Arial"/>
          <w:sz w:val="24"/>
          <w:szCs w:val="24"/>
        </w:rPr>
        <w:t xml:space="preserve">This study is registered as an International Standard </w:t>
      </w:r>
      <w:r w:rsidR="00814F5D" w:rsidRPr="00966346">
        <w:rPr>
          <w:rFonts w:ascii="Arial" w:hAnsi="Arial" w:cs="Arial"/>
          <w:sz w:val="24"/>
          <w:szCs w:val="24"/>
        </w:rPr>
        <w:t>Randomized</w:t>
      </w:r>
      <w:r w:rsidR="00511211" w:rsidRPr="00966346">
        <w:rPr>
          <w:rFonts w:ascii="Arial" w:hAnsi="Arial" w:cs="Arial"/>
          <w:sz w:val="24"/>
          <w:szCs w:val="24"/>
        </w:rPr>
        <w:t xml:space="preserve"> Controlled Trial with ClinicalTrials.gov number NCT01011920.</w:t>
      </w:r>
    </w:p>
    <w:p w14:paraId="7F067534" w14:textId="77777777" w:rsidR="00CD1FD0" w:rsidRPr="00966346" w:rsidRDefault="00CD1FD0" w:rsidP="007F3E1C">
      <w:pPr>
        <w:spacing w:after="0" w:line="360" w:lineRule="auto"/>
        <w:jc w:val="both"/>
        <w:rPr>
          <w:rFonts w:ascii="Arial" w:hAnsi="Arial" w:cs="Arial"/>
          <w:sz w:val="24"/>
          <w:szCs w:val="24"/>
        </w:rPr>
      </w:pPr>
    </w:p>
    <w:p w14:paraId="35CB44C0" w14:textId="77777777" w:rsidR="00C56512" w:rsidRPr="00966346" w:rsidRDefault="00C56512" w:rsidP="007F3E1C">
      <w:pPr>
        <w:spacing w:after="0" w:line="360" w:lineRule="auto"/>
        <w:jc w:val="both"/>
        <w:rPr>
          <w:rFonts w:ascii="Arial" w:hAnsi="Arial" w:cs="Arial"/>
          <w:i/>
          <w:iCs/>
          <w:sz w:val="24"/>
          <w:szCs w:val="24"/>
          <w:lang w:val="en-GB"/>
        </w:rPr>
      </w:pPr>
      <w:r w:rsidRPr="00966346">
        <w:rPr>
          <w:rFonts w:ascii="Arial" w:hAnsi="Arial" w:cs="Arial"/>
          <w:i/>
          <w:iCs/>
          <w:sz w:val="24"/>
          <w:szCs w:val="24"/>
          <w:lang w:val="en-GB"/>
        </w:rPr>
        <w:t>Role of the funding source</w:t>
      </w:r>
    </w:p>
    <w:p w14:paraId="52195324" w14:textId="4B6F95DB" w:rsidR="00C56512" w:rsidRPr="00966346" w:rsidRDefault="00C84B68" w:rsidP="00EA0CFF">
      <w:pPr>
        <w:spacing w:after="0" w:line="360" w:lineRule="auto"/>
        <w:jc w:val="both"/>
        <w:rPr>
          <w:rFonts w:ascii="Arial" w:hAnsi="Arial" w:cs="Arial"/>
          <w:sz w:val="24"/>
          <w:szCs w:val="24"/>
        </w:rPr>
      </w:pPr>
      <w:r w:rsidRPr="00966346">
        <w:rPr>
          <w:rFonts w:ascii="Arial" w:hAnsi="Arial" w:cs="Arial"/>
          <w:sz w:val="24"/>
          <w:szCs w:val="24"/>
          <w:lang w:val="en-GB"/>
        </w:rPr>
        <w:t xml:space="preserve">The IELSG32 is an academic trial, thus, it was performed without commercial funding. </w:t>
      </w:r>
      <w:r w:rsidR="0098702A" w:rsidRPr="00966346">
        <w:rPr>
          <w:rFonts w:ascii="Arial" w:hAnsi="Arial" w:cs="Arial"/>
          <w:sz w:val="24"/>
          <w:szCs w:val="24"/>
          <w:lang w:val="en-GB"/>
        </w:rPr>
        <w:t xml:space="preserve">Academic grant sources were </w:t>
      </w:r>
      <w:proofErr w:type="spellStart"/>
      <w:r w:rsidR="0098702A" w:rsidRPr="00966346">
        <w:rPr>
          <w:rFonts w:ascii="Arial" w:hAnsi="Arial" w:cs="Arial"/>
          <w:sz w:val="24"/>
          <w:szCs w:val="24"/>
        </w:rPr>
        <w:t>Agenzia</w:t>
      </w:r>
      <w:proofErr w:type="spellEnd"/>
      <w:r w:rsidR="0098702A" w:rsidRPr="00966346">
        <w:rPr>
          <w:rFonts w:ascii="Arial" w:hAnsi="Arial" w:cs="Arial"/>
          <w:sz w:val="24"/>
          <w:szCs w:val="24"/>
        </w:rPr>
        <w:t xml:space="preserve"> </w:t>
      </w:r>
      <w:proofErr w:type="spellStart"/>
      <w:r w:rsidR="0098702A" w:rsidRPr="00966346">
        <w:rPr>
          <w:rFonts w:ascii="Arial" w:hAnsi="Arial" w:cs="Arial"/>
          <w:sz w:val="24"/>
          <w:szCs w:val="24"/>
        </w:rPr>
        <w:t>Italiana</w:t>
      </w:r>
      <w:proofErr w:type="spellEnd"/>
      <w:r w:rsidR="0098702A" w:rsidRPr="00966346">
        <w:rPr>
          <w:rFonts w:ascii="Arial" w:hAnsi="Arial" w:cs="Arial"/>
          <w:sz w:val="24"/>
          <w:szCs w:val="24"/>
        </w:rPr>
        <w:t xml:space="preserve"> del </w:t>
      </w:r>
      <w:proofErr w:type="spellStart"/>
      <w:r w:rsidR="0098702A" w:rsidRPr="00966346">
        <w:rPr>
          <w:rFonts w:ascii="Arial" w:hAnsi="Arial" w:cs="Arial"/>
          <w:sz w:val="24"/>
          <w:szCs w:val="24"/>
        </w:rPr>
        <w:t>Farmaco</w:t>
      </w:r>
      <w:proofErr w:type="spellEnd"/>
      <w:r w:rsidR="0098702A" w:rsidRPr="00966346">
        <w:rPr>
          <w:rFonts w:ascii="Arial" w:hAnsi="Arial" w:cs="Arial"/>
          <w:sz w:val="24"/>
          <w:szCs w:val="24"/>
        </w:rPr>
        <w:t xml:space="preserve">, Cancer Research UK, </w:t>
      </w:r>
      <w:proofErr w:type="spellStart"/>
      <w:r w:rsidR="0098702A" w:rsidRPr="00966346">
        <w:rPr>
          <w:rFonts w:ascii="Arial" w:hAnsi="Arial" w:cs="Arial"/>
          <w:sz w:val="24"/>
          <w:szCs w:val="24"/>
        </w:rPr>
        <w:t>Oncosuisse</w:t>
      </w:r>
      <w:proofErr w:type="spellEnd"/>
      <w:r w:rsidR="0098702A" w:rsidRPr="00966346">
        <w:rPr>
          <w:rFonts w:ascii="Arial" w:hAnsi="Arial" w:cs="Arial"/>
          <w:sz w:val="24"/>
          <w:szCs w:val="24"/>
        </w:rPr>
        <w:t xml:space="preserve">, Swiss National </w:t>
      </w:r>
      <w:r w:rsidR="00164882" w:rsidRPr="00966346">
        <w:rPr>
          <w:rFonts w:ascii="Arial" w:hAnsi="Arial" w:cs="Arial"/>
          <w:sz w:val="24"/>
          <w:szCs w:val="24"/>
        </w:rPr>
        <w:t xml:space="preserve">Science </w:t>
      </w:r>
      <w:r w:rsidR="0098702A" w:rsidRPr="00966346">
        <w:rPr>
          <w:rFonts w:ascii="Arial" w:hAnsi="Arial" w:cs="Arial"/>
          <w:sz w:val="24"/>
          <w:szCs w:val="24"/>
        </w:rPr>
        <w:t>Foundation.</w:t>
      </w:r>
      <w:r w:rsidR="0098702A" w:rsidRPr="00966346">
        <w:rPr>
          <w:rFonts w:ascii="Arial" w:hAnsi="Arial" w:cs="Arial"/>
          <w:sz w:val="24"/>
          <w:szCs w:val="24"/>
          <w:lang w:val="en-GB"/>
        </w:rPr>
        <w:t xml:space="preserve"> </w:t>
      </w:r>
      <w:r w:rsidR="001846D8" w:rsidRPr="00966346">
        <w:rPr>
          <w:rFonts w:ascii="Arial" w:hAnsi="Arial" w:cs="Arial"/>
          <w:sz w:val="24"/>
          <w:szCs w:val="24"/>
          <w:lang w:val="en-GB"/>
        </w:rPr>
        <w:t>Neither the sponsor (The International Extranodal Lymphoma Study Group) nor the grant providers had any role in the design, data collection, analysis, results interpretation</w:t>
      </w:r>
      <w:r w:rsidR="008E70BC" w:rsidRPr="00966346">
        <w:rPr>
          <w:rFonts w:ascii="Arial" w:hAnsi="Arial" w:cs="Arial"/>
          <w:sz w:val="24"/>
          <w:szCs w:val="24"/>
          <w:lang w:val="en-GB"/>
        </w:rPr>
        <w:t>,</w:t>
      </w:r>
      <w:r w:rsidR="001846D8" w:rsidRPr="00966346">
        <w:rPr>
          <w:rFonts w:ascii="Arial" w:hAnsi="Arial" w:cs="Arial"/>
          <w:sz w:val="24"/>
          <w:szCs w:val="24"/>
          <w:lang w:val="en-GB"/>
        </w:rPr>
        <w:t xml:space="preserve"> </w:t>
      </w:r>
      <w:r w:rsidR="008E70BC" w:rsidRPr="00966346">
        <w:rPr>
          <w:rFonts w:ascii="Arial" w:hAnsi="Arial" w:cs="Arial"/>
          <w:sz w:val="24"/>
          <w:szCs w:val="24"/>
          <w:lang w:val="en-GB"/>
        </w:rPr>
        <w:t xml:space="preserve">writing of the report, </w:t>
      </w:r>
      <w:r w:rsidR="001846D8" w:rsidRPr="00966346">
        <w:rPr>
          <w:rFonts w:ascii="Arial" w:hAnsi="Arial" w:cs="Arial"/>
          <w:sz w:val="24"/>
          <w:szCs w:val="24"/>
          <w:lang w:val="en-GB"/>
        </w:rPr>
        <w:t>and</w:t>
      </w:r>
      <w:r w:rsidR="008E70BC" w:rsidRPr="00966346">
        <w:rPr>
          <w:rFonts w:ascii="Source Sans Pro" w:eastAsia="Times New Roman" w:hAnsi="Source Sans Pro" w:cs="Times New Roman"/>
          <w:color w:val="333333"/>
          <w:sz w:val="23"/>
          <w:szCs w:val="23"/>
          <w:lang w:eastAsia="it-IT"/>
        </w:rPr>
        <w:t xml:space="preserve"> </w:t>
      </w:r>
      <w:r w:rsidR="008E70BC" w:rsidRPr="00966346">
        <w:rPr>
          <w:rFonts w:ascii="Arial" w:hAnsi="Arial" w:cs="Arial"/>
          <w:sz w:val="24"/>
          <w:szCs w:val="24"/>
        </w:rPr>
        <w:t>in the decision to submit the paper for publication</w:t>
      </w:r>
      <w:r w:rsidR="001846D8" w:rsidRPr="00966346">
        <w:rPr>
          <w:rFonts w:ascii="Arial" w:hAnsi="Arial" w:cs="Arial"/>
          <w:sz w:val="24"/>
          <w:szCs w:val="24"/>
          <w:lang w:val="en-GB"/>
        </w:rPr>
        <w:t xml:space="preserve">. </w:t>
      </w:r>
      <w:r w:rsidR="00204220" w:rsidRPr="00966346">
        <w:rPr>
          <w:rFonts w:ascii="Arial" w:hAnsi="Arial" w:cs="Arial"/>
          <w:sz w:val="24"/>
          <w:szCs w:val="24"/>
          <w:lang w:val="en-GB"/>
        </w:rPr>
        <w:t>T</w:t>
      </w:r>
      <w:r w:rsidR="001846D8" w:rsidRPr="00966346">
        <w:rPr>
          <w:rFonts w:ascii="Arial" w:hAnsi="Arial" w:cs="Arial"/>
          <w:sz w:val="24"/>
          <w:szCs w:val="24"/>
          <w:lang w:val="en-GB"/>
        </w:rPr>
        <w:t>he corresponding author, had full access to all data in the study and, together with the Study Board, had the final responsibility for the decision to submit for publication.</w:t>
      </w:r>
      <w:r w:rsidR="001846D8" w:rsidRPr="00966346">
        <w:rPr>
          <w:rFonts w:ascii="Arial" w:hAnsi="Arial" w:cs="Arial"/>
          <w:sz w:val="24"/>
          <w:szCs w:val="24"/>
        </w:rPr>
        <w:t xml:space="preserve"> </w:t>
      </w:r>
    </w:p>
    <w:p w14:paraId="30975A4E" w14:textId="77777777" w:rsidR="00EA0CFF" w:rsidRPr="00966346" w:rsidRDefault="00EA0CFF" w:rsidP="00EA0CFF">
      <w:pPr>
        <w:spacing w:after="0" w:line="360" w:lineRule="auto"/>
        <w:jc w:val="both"/>
        <w:rPr>
          <w:rFonts w:ascii="Arial" w:hAnsi="Arial" w:cs="Arial"/>
          <w:sz w:val="24"/>
          <w:szCs w:val="24"/>
        </w:rPr>
      </w:pPr>
    </w:p>
    <w:p w14:paraId="39702E17" w14:textId="77777777" w:rsidR="001846D8" w:rsidRPr="00966346" w:rsidRDefault="001846D8" w:rsidP="007F3E1C">
      <w:pPr>
        <w:spacing w:after="0" w:line="360" w:lineRule="auto"/>
        <w:jc w:val="both"/>
        <w:rPr>
          <w:rFonts w:ascii="Arial" w:hAnsi="Arial" w:cs="Arial"/>
          <w:sz w:val="24"/>
          <w:szCs w:val="24"/>
        </w:rPr>
      </w:pPr>
    </w:p>
    <w:p w14:paraId="1FA4F456" w14:textId="77777777" w:rsidR="003748E8" w:rsidRPr="00966346" w:rsidRDefault="003748E8" w:rsidP="007F3E1C">
      <w:pPr>
        <w:spacing w:after="0" w:line="360" w:lineRule="auto"/>
        <w:jc w:val="both"/>
        <w:rPr>
          <w:rFonts w:ascii="Arial" w:hAnsi="Arial" w:cs="Arial"/>
          <w:b/>
          <w:sz w:val="24"/>
          <w:szCs w:val="24"/>
        </w:rPr>
      </w:pPr>
      <w:r w:rsidRPr="00966346">
        <w:rPr>
          <w:rFonts w:ascii="Arial" w:hAnsi="Arial" w:cs="Arial"/>
          <w:b/>
          <w:sz w:val="24"/>
          <w:szCs w:val="24"/>
        </w:rPr>
        <w:t>RESULTS</w:t>
      </w:r>
    </w:p>
    <w:p w14:paraId="163E41C4" w14:textId="77777777" w:rsidR="003748E8" w:rsidRPr="00966346" w:rsidRDefault="002004EF" w:rsidP="007F3E1C">
      <w:pPr>
        <w:spacing w:after="0" w:line="360" w:lineRule="auto"/>
        <w:jc w:val="both"/>
        <w:rPr>
          <w:rFonts w:ascii="Arial" w:hAnsi="Arial" w:cs="Arial"/>
          <w:i/>
          <w:sz w:val="24"/>
          <w:szCs w:val="24"/>
        </w:rPr>
      </w:pPr>
      <w:r w:rsidRPr="00966346">
        <w:rPr>
          <w:rFonts w:ascii="Arial" w:hAnsi="Arial" w:cs="Arial"/>
          <w:i/>
          <w:sz w:val="24"/>
          <w:szCs w:val="24"/>
        </w:rPr>
        <w:t>Study Population</w:t>
      </w:r>
    </w:p>
    <w:p w14:paraId="6D6DAA5B" w14:textId="60D298E4" w:rsidR="003748E8" w:rsidRPr="00966346" w:rsidRDefault="003748E8" w:rsidP="007F3E1C">
      <w:pPr>
        <w:spacing w:after="0" w:line="360" w:lineRule="auto"/>
        <w:jc w:val="both"/>
        <w:rPr>
          <w:rFonts w:ascii="Arial" w:eastAsia="Times New Roman" w:hAnsi="Arial" w:cs="Arial"/>
          <w:sz w:val="24"/>
          <w:szCs w:val="24"/>
          <w:lang w:val="en-GB" w:eastAsia="it-IT"/>
        </w:rPr>
      </w:pPr>
      <w:r w:rsidRPr="00966346">
        <w:rPr>
          <w:rFonts w:ascii="Arial" w:eastAsia="Times New Roman" w:hAnsi="Arial" w:cs="Arial"/>
          <w:sz w:val="24"/>
          <w:szCs w:val="24"/>
          <w:lang w:val="en-GB" w:eastAsia="it-IT"/>
        </w:rPr>
        <w:t>Two hundred and twenty-</w:t>
      </w:r>
      <w:r w:rsidR="00381514" w:rsidRPr="00966346">
        <w:rPr>
          <w:rFonts w:ascii="Arial" w:eastAsia="Times New Roman" w:hAnsi="Arial" w:cs="Arial"/>
          <w:sz w:val="24"/>
          <w:szCs w:val="24"/>
          <w:lang w:val="en-GB" w:eastAsia="it-IT"/>
        </w:rPr>
        <w:t>seven</w:t>
      </w:r>
      <w:r w:rsidRPr="00966346">
        <w:rPr>
          <w:rFonts w:ascii="Arial" w:eastAsia="Times New Roman" w:hAnsi="Arial" w:cs="Arial"/>
          <w:sz w:val="24"/>
          <w:szCs w:val="24"/>
          <w:lang w:val="en-GB" w:eastAsia="it-IT"/>
        </w:rPr>
        <w:t xml:space="preserve"> patients were recruited at 53 Centres </w:t>
      </w:r>
      <w:r w:rsidR="002844C2" w:rsidRPr="00966346">
        <w:rPr>
          <w:rFonts w:ascii="Arial" w:eastAsia="Times New Roman" w:hAnsi="Arial" w:cs="Arial"/>
          <w:sz w:val="24"/>
          <w:szCs w:val="24"/>
          <w:lang w:val="en-GB" w:eastAsia="it-IT"/>
        </w:rPr>
        <w:t xml:space="preserve">from </w:t>
      </w:r>
      <w:r w:rsidRPr="00966346">
        <w:rPr>
          <w:rFonts w:ascii="Arial" w:eastAsia="Times New Roman" w:hAnsi="Arial" w:cs="Arial"/>
          <w:sz w:val="24"/>
          <w:szCs w:val="24"/>
          <w:lang w:val="en-GB" w:eastAsia="it-IT"/>
        </w:rPr>
        <w:t xml:space="preserve">five countries between February </w:t>
      </w:r>
      <w:r w:rsidR="00EC5011" w:rsidRPr="00966346">
        <w:rPr>
          <w:rFonts w:ascii="Arial" w:eastAsia="Times New Roman" w:hAnsi="Arial" w:cs="Arial"/>
          <w:sz w:val="24"/>
          <w:szCs w:val="24"/>
          <w:lang w:val="en-GB" w:eastAsia="it-IT"/>
        </w:rPr>
        <w:t>19</w:t>
      </w:r>
      <w:r w:rsidR="00EC5011" w:rsidRPr="00966346">
        <w:rPr>
          <w:rFonts w:ascii="Arial" w:eastAsia="Times New Roman" w:hAnsi="Arial" w:cs="Arial"/>
          <w:sz w:val="24"/>
          <w:szCs w:val="24"/>
          <w:vertAlign w:val="superscript"/>
          <w:lang w:val="en-GB" w:eastAsia="it-IT"/>
        </w:rPr>
        <w:t>th</w:t>
      </w:r>
      <w:r w:rsidR="00EC5011" w:rsidRPr="00966346">
        <w:rPr>
          <w:rFonts w:ascii="Arial" w:eastAsia="Times New Roman" w:hAnsi="Arial" w:cs="Arial"/>
          <w:sz w:val="24"/>
          <w:szCs w:val="24"/>
          <w:lang w:val="en-GB" w:eastAsia="it-IT"/>
        </w:rPr>
        <w:t xml:space="preserve"> </w:t>
      </w:r>
      <w:r w:rsidRPr="00966346">
        <w:rPr>
          <w:rFonts w:ascii="Arial" w:eastAsia="Times New Roman" w:hAnsi="Arial" w:cs="Arial"/>
          <w:sz w:val="24"/>
          <w:szCs w:val="24"/>
          <w:lang w:val="en-GB" w:eastAsia="it-IT"/>
        </w:rPr>
        <w:t xml:space="preserve">2010 and August </w:t>
      </w:r>
      <w:r w:rsidR="00EC5011" w:rsidRPr="00966346">
        <w:rPr>
          <w:rFonts w:ascii="Arial" w:eastAsia="Times New Roman" w:hAnsi="Arial" w:cs="Arial"/>
          <w:sz w:val="24"/>
          <w:szCs w:val="24"/>
          <w:lang w:val="en-GB" w:eastAsia="it-IT"/>
        </w:rPr>
        <w:t>27</w:t>
      </w:r>
      <w:r w:rsidR="00EC5011" w:rsidRPr="00966346">
        <w:rPr>
          <w:rFonts w:ascii="Arial" w:eastAsia="Times New Roman" w:hAnsi="Arial" w:cs="Arial"/>
          <w:sz w:val="24"/>
          <w:szCs w:val="24"/>
          <w:vertAlign w:val="superscript"/>
          <w:lang w:val="en-GB" w:eastAsia="it-IT"/>
        </w:rPr>
        <w:t>th</w:t>
      </w:r>
      <w:r w:rsidR="00EC5011" w:rsidRPr="00966346">
        <w:rPr>
          <w:rFonts w:ascii="Arial" w:eastAsia="Times New Roman" w:hAnsi="Arial" w:cs="Arial"/>
          <w:sz w:val="24"/>
          <w:szCs w:val="24"/>
          <w:lang w:val="en-GB" w:eastAsia="it-IT"/>
        </w:rPr>
        <w:t xml:space="preserve"> </w:t>
      </w:r>
      <w:r w:rsidRPr="00966346">
        <w:rPr>
          <w:rFonts w:ascii="Arial" w:eastAsia="Times New Roman" w:hAnsi="Arial" w:cs="Arial"/>
          <w:sz w:val="24"/>
          <w:szCs w:val="24"/>
          <w:lang w:val="en-GB" w:eastAsia="it-IT"/>
        </w:rPr>
        <w:t>2014 (</w:t>
      </w:r>
      <w:r w:rsidR="0089345A" w:rsidRPr="00966346">
        <w:rPr>
          <w:rFonts w:ascii="Arial" w:eastAsia="Times New Roman" w:hAnsi="Arial" w:cs="Arial"/>
          <w:sz w:val="24"/>
          <w:szCs w:val="24"/>
          <w:lang w:val="en-GB" w:eastAsia="it-IT"/>
        </w:rPr>
        <w:t xml:space="preserve">list of participating centres </w:t>
      </w:r>
      <w:r w:rsidR="00490EE6" w:rsidRPr="00966346">
        <w:rPr>
          <w:rFonts w:ascii="Arial" w:eastAsia="Times New Roman" w:hAnsi="Arial" w:cs="Arial"/>
          <w:sz w:val="24"/>
          <w:szCs w:val="24"/>
          <w:lang w:eastAsia="it-IT"/>
        </w:rPr>
        <w:t xml:space="preserve">is provided in the </w:t>
      </w:r>
      <w:r w:rsidR="00123ED7" w:rsidRPr="00966346">
        <w:rPr>
          <w:rFonts w:ascii="Arial" w:eastAsia="Times New Roman" w:hAnsi="Arial" w:cs="Arial"/>
          <w:sz w:val="24"/>
          <w:szCs w:val="24"/>
          <w:lang w:eastAsia="it-IT"/>
        </w:rPr>
        <w:t>Appendix p2</w:t>
      </w:r>
      <w:r w:rsidRPr="00966346">
        <w:rPr>
          <w:rFonts w:ascii="Arial" w:eastAsia="Times New Roman" w:hAnsi="Arial" w:cs="Arial"/>
          <w:sz w:val="24"/>
          <w:szCs w:val="24"/>
          <w:lang w:val="en-GB" w:eastAsia="it-IT"/>
        </w:rPr>
        <w:t xml:space="preserve">). </w:t>
      </w:r>
      <w:r w:rsidR="009E2B59" w:rsidRPr="00966346">
        <w:rPr>
          <w:rFonts w:ascii="Arial" w:eastAsia="Times New Roman" w:hAnsi="Arial" w:cs="Arial"/>
          <w:sz w:val="24"/>
          <w:szCs w:val="24"/>
          <w:lang w:val="en-GB" w:eastAsia="it-IT"/>
        </w:rPr>
        <w:t xml:space="preserve">The trial was ended after accrual completion. </w:t>
      </w:r>
      <w:r w:rsidR="001846D8" w:rsidRPr="00966346">
        <w:rPr>
          <w:rFonts w:ascii="Arial" w:hAnsi="Arial" w:cs="Arial"/>
          <w:sz w:val="24"/>
          <w:szCs w:val="24"/>
        </w:rPr>
        <w:t xml:space="preserve">The database lock for the </w:t>
      </w:r>
      <w:r w:rsidR="00952079" w:rsidRPr="00966346">
        <w:rPr>
          <w:rFonts w:ascii="Arial" w:hAnsi="Arial" w:cs="Arial"/>
          <w:sz w:val="24"/>
          <w:szCs w:val="24"/>
        </w:rPr>
        <w:t>present</w:t>
      </w:r>
      <w:r w:rsidR="001846D8" w:rsidRPr="00966346">
        <w:rPr>
          <w:rFonts w:ascii="Arial" w:hAnsi="Arial" w:cs="Arial"/>
          <w:sz w:val="24"/>
          <w:szCs w:val="24"/>
        </w:rPr>
        <w:t xml:space="preserve"> analysis was </w:t>
      </w:r>
      <w:r w:rsidR="00952079" w:rsidRPr="00966346">
        <w:rPr>
          <w:rFonts w:ascii="Arial" w:hAnsi="Arial" w:cs="Arial"/>
          <w:sz w:val="24"/>
          <w:szCs w:val="24"/>
        </w:rPr>
        <w:t>July</w:t>
      </w:r>
      <w:r w:rsidR="001846D8" w:rsidRPr="00966346">
        <w:rPr>
          <w:rFonts w:ascii="Arial" w:hAnsi="Arial" w:cs="Arial"/>
          <w:sz w:val="24"/>
          <w:szCs w:val="24"/>
        </w:rPr>
        <w:t xml:space="preserve"> 31, 201</w:t>
      </w:r>
      <w:r w:rsidR="00952079" w:rsidRPr="00966346">
        <w:rPr>
          <w:rFonts w:ascii="Arial" w:hAnsi="Arial" w:cs="Arial"/>
          <w:sz w:val="24"/>
          <w:szCs w:val="24"/>
        </w:rPr>
        <w:t>6</w:t>
      </w:r>
      <w:r w:rsidR="001846D8" w:rsidRPr="00966346">
        <w:rPr>
          <w:rFonts w:ascii="Arial" w:hAnsi="Arial" w:cs="Arial"/>
          <w:sz w:val="24"/>
          <w:szCs w:val="24"/>
        </w:rPr>
        <w:t xml:space="preserve">. </w:t>
      </w:r>
      <w:r w:rsidRPr="00966346">
        <w:rPr>
          <w:rFonts w:ascii="Arial" w:eastAsia="Times New Roman" w:hAnsi="Arial" w:cs="Arial"/>
          <w:sz w:val="24"/>
          <w:szCs w:val="24"/>
          <w:lang w:val="en-GB" w:eastAsia="it-IT"/>
        </w:rPr>
        <w:t xml:space="preserve">Seventy-five patients were randomly allocated to arm A, 74 </w:t>
      </w:r>
      <w:r w:rsidR="00174D96" w:rsidRPr="00966346">
        <w:rPr>
          <w:rFonts w:ascii="Arial" w:eastAsia="Times New Roman" w:hAnsi="Arial" w:cs="Arial"/>
          <w:sz w:val="24"/>
          <w:szCs w:val="24"/>
          <w:lang w:val="en-GB" w:eastAsia="it-IT"/>
        </w:rPr>
        <w:t xml:space="preserve">to </w:t>
      </w:r>
      <w:r w:rsidRPr="00966346">
        <w:rPr>
          <w:rFonts w:ascii="Arial" w:eastAsia="Times New Roman" w:hAnsi="Arial" w:cs="Arial"/>
          <w:sz w:val="24"/>
          <w:szCs w:val="24"/>
          <w:lang w:val="en-GB" w:eastAsia="it-IT"/>
        </w:rPr>
        <w:t xml:space="preserve">arm B, and 78 </w:t>
      </w:r>
      <w:r w:rsidR="00174D96" w:rsidRPr="00966346">
        <w:rPr>
          <w:rFonts w:ascii="Arial" w:eastAsia="Times New Roman" w:hAnsi="Arial" w:cs="Arial"/>
          <w:sz w:val="24"/>
          <w:szCs w:val="24"/>
          <w:lang w:val="en-GB" w:eastAsia="it-IT"/>
        </w:rPr>
        <w:t xml:space="preserve">to </w:t>
      </w:r>
      <w:r w:rsidRPr="00966346">
        <w:rPr>
          <w:rFonts w:ascii="Arial" w:eastAsia="Times New Roman" w:hAnsi="Arial" w:cs="Arial"/>
          <w:sz w:val="24"/>
          <w:szCs w:val="24"/>
          <w:lang w:val="en-GB" w:eastAsia="it-IT"/>
        </w:rPr>
        <w:t>arm C</w:t>
      </w:r>
      <w:r w:rsidR="0089345A" w:rsidRPr="00966346">
        <w:rPr>
          <w:rFonts w:ascii="Arial" w:eastAsia="Times New Roman" w:hAnsi="Arial" w:cs="Arial"/>
          <w:sz w:val="24"/>
          <w:szCs w:val="24"/>
          <w:lang w:val="en-GB" w:eastAsia="it-IT"/>
        </w:rPr>
        <w:t xml:space="preserve"> (Fig. 1)</w:t>
      </w:r>
      <w:r w:rsidR="00174D96" w:rsidRPr="00966346">
        <w:rPr>
          <w:rFonts w:ascii="Arial" w:eastAsia="Times New Roman" w:hAnsi="Arial" w:cs="Arial"/>
          <w:sz w:val="24"/>
          <w:szCs w:val="24"/>
          <w:lang w:val="en-GB" w:eastAsia="it-IT"/>
        </w:rPr>
        <w:t>; eight</w:t>
      </w:r>
      <w:r w:rsidRPr="00966346">
        <w:rPr>
          <w:rFonts w:ascii="Arial" w:eastAsia="Times New Roman" w:hAnsi="Arial" w:cs="Arial"/>
          <w:sz w:val="24"/>
          <w:szCs w:val="24"/>
          <w:lang w:val="en-GB" w:eastAsia="it-IT"/>
        </w:rPr>
        <w:t xml:space="preserve"> patients were excluded due to misdiagnosis, systemic </w:t>
      </w:r>
      <w:r w:rsidR="002222E7" w:rsidRPr="00966346">
        <w:rPr>
          <w:rFonts w:ascii="Arial" w:eastAsia="Times New Roman" w:hAnsi="Arial" w:cs="Arial"/>
          <w:sz w:val="24"/>
          <w:szCs w:val="24"/>
          <w:lang w:val="en-GB" w:eastAsia="it-IT"/>
        </w:rPr>
        <w:t>lymphoma</w:t>
      </w:r>
      <w:r w:rsidRPr="00966346">
        <w:rPr>
          <w:rFonts w:ascii="Arial" w:eastAsia="Times New Roman" w:hAnsi="Arial" w:cs="Arial"/>
          <w:sz w:val="24"/>
          <w:szCs w:val="24"/>
          <w:lang w:val="en-GB" w:eastAsia="it-IT"/>
        </w:rPr>
        <w:t xml:space="preserve"> or concomitant cancer. </w:t>
      </w:r>
      <w:r w:rsidR="00E54E1B" w:rsidRPr="00966346">
        <w:rPr>
          <w:rFonts w:ascii="Arial" w:eastAsia="Times New Roman" w:hAnsi="Arial" w:cs="Arial"/>
          <w:sz w:val="24"/>
          <w:szCs w:val="24"/>
          <w:lang w:val="en-GB" w:eastAsia="it-IT"/>
        </w:rPr>
        <w:t xml:space="preserve">Study population and results after first randomization </w:t>
      </w:r>
      <w:r w:rsidR="0006559C" w:rsidRPr="00966346">
        <w:rPr>
          <w:rFonts w:ascii="Arial" w:eastAsia="Times New Roman" w:hAnsi="Arial" w:cs="Arial"/>
          <w:sz w:val="24"/>
          <w:szCs w:val="24"/>
          <w:lang w:val="en-GB" w:eastAsia="it-IT"/>
        </w:rPr>
        <w:t xml:space="preserve">have been </w:t>
      </w:r>
      <w:r w:rsidR="00E54E1B" w:rsidRPr="00966346">
        <w:rPr>
          <w:rFonts w:ascii="Arial" w:eastAsia="Times New Roman" w:hAnsi="Arial" w:cs="Arial"/>
          <w:sz w:val="24"/>
          <w:szCs w:val="24"/>
          <w:lang w:val="en-GB" w:eastAsia="it-IT"/>
        </w:rPr>
        <w:t>previously reported</w:t>
      </w:r>
      <w:r w:rsidR="00FA4AAE" w:rsidRPr="00966346">
        <w:rPr>
          <w:rFonts w:ascii="Arial" w:eastAsia="Times New Roman" w:hAnsi="Arial" w:cs="Arial"/>
          <w:sz w:val="24"/>
          <w:szCs w:val="24"/>
          <w:lang w:val="en-GB" w:eastAsia="it-IT"/>
        </w:rPr>
        <w:fldChar w:fldCharType="begin"/>
      </w:r>
      <w:r w:rsidR="00464CF3" w:rsidRPr="00966346">
        <w:rPr>
          <w:rFonts w:ascii="Arial" w:eastAsia="Times New Roman" w:hAnsi="Arial" w:cs="Arial"/>
          <w:sz w:val="24"/>
          <w:szCs w:val="24"/>
          <w:lang w:val="en-GB" w:eastAsia="it-IT"/>
        </w:rPr>
        <w:instrText>ADDIN RW.CITE{{8259 Ferreri,A.J. 2016}}</w:instrText>
      </w:r>
      <w:r w:rsidR="00FA4AAE" w:rsidRPr="00966346">
        <w:rPr>
          <w:rFonts w:ascii="Arial" w:eastAsia="Times New Roman" w:hAnsi="Arial" w:cs="Arial"/>
          <w:sz w:val="24"/>
          <w:szCs w:val="24"/>
          <w:lang w:val="en-GB" w:eastAsia="it-IT"/>
        </w:rPr>
        <w:fldChar w:fldCharType="separate"/>
      </w:r>
      <w:r w:rsidR="00464CF3" w:rsidRPr="00966346">
        <w:rPr>
          <w:rFonts w:ascii="Arial" w:eastAsia="Times New Roman" w:hAnsi="Arial" w:cs="Arial"/>
          <w:sz w:val="24"/>
          <w:szCs w:val="24"/>
          <w:vertAlign w:val="superscript"/>
          <w:lang w:val="en-GB" w:eastAsia="it-IT"/>
        </w:rPr>
        <w:t>6</w:t>
      </w:r>
      <w:r w:rsidR="00FA4AAE" w:rsidRPr="00966346">
        <w:rPr>
          <w:rFonts w:ascii="Arial" w:eastAsia="Times New Roman" w:hAnsi="Arial" w:cs="Arial"/>
          <w:sz w:val="24"/>
          <w:szCs w:val="24"/>
          <w:lang w:val="en-GB" w:eastAsia="it-IT"/>
        </w:rPr>
        <w:fldChar w:fldCharType="end"/>
      </w:r>
      <w:r w:rsidR="00E54E1B" w:rsidRPr="00966346">
        <w:rPr>
          <w:rFonts w:ascii="Arial" w:eastAsia="Times New Roman" w:hAnsi="Arial" w:cs="Arial"/>
          <w:sz w:val="24"/>
          <w:szCs w:val="24"/>
          <w:lang w:val="en-GB" w:eastAsia="it-IT"/>
        </w:rPr>
        <w:t xml:space="preserve">. </w:t>
      </w:r>
      <w:r w:rsidR="00E0534E" w:rsidRPr="00966346">
        <w:rPr>
          <w:rFonts w:ascii="Arial" w:eastAsia="Times New Roman" w:hAnsi="Arial" w:cs="Arial"/>
          <w:sz w:val="24"/>
          <w:szCs w:val="24"/>
          <w:lang w:val="en-GB" w:eastAsia="it-IT"/>
        </w:rPr>
        <w:t xml:space="preserve">After induction, </w:t>
      </w:r>
      <w:r w:rsidR="00CF124D" w:rsidRPr="00966346">
        <w:rPr>
          <w:rFonts w:ascii="Arial" w:eastAsia="Times New Roman" w:hAnsi="Arial" w:cs="Arial"/>
          <w:sz w:val="24"/>
          <w:szCs w:val="24"/>
          <w:lang w:eastAsia="it-IT"/>
        </w:rPr>
        <w:t>1</w:t>
      </w:r>
      <w:r w:rsidR="00002409" w:rsidRPr="00966346">
        <w:rPr>
          <w:rFonts w:ascii="Arial" w:eastAsia="Times New Roman" w:hAnsi="Arial" w:cs="Arial"/>
          <w:sz w:val="24"/>
          <w:szCs w:val="24"/>
          <w:lang w:eastAsia="it-IT"/>
        </w:rPr>
        <w:t>2</w:t>
      </w:r>
      <w:r w:rsidR="001E22F7" w:rsidRPr="00966346">
        <w:rPr>
          <w:rFonts w:ascii="Arial" w:eastAsia="Times New Roman" w:hAnsi="Arial" w:cs="Arial"/>
          <w:sz w:val="24"/>
          <w:szCs w:val="24"/>
          <w:lang w:eastAsia="it-IT"/>
        </w:rPr>
        <w:t>2</w:t>
      </w:r>
      <w:r w:rsidR="00CF124D" w:rsidRPr="00966346">
        <w:rPr>
          <w:rFonts w:ascii="Arial" w:eastAsia="Times New Roman" w:hAnsi="Arial" w:cs="Arial"/>
          <w:sz w:val="24"/>
          <w:szCs w:val="24"/>
          <w:lang w:eastAsia="it-IT"/>
        </w:rPr>
        <w:t xml:space="preserve"> patients (</w:t>
      </w:r>
      <w:r w:rsidR="00EB4073" w:rsidRPr="00966346">
        <w:rPr>
          <w:rFonts w:ascii="Arial" w:eastAsia="Times New Roman" w:hAnsi="Arial" w:cs="Arial"/>
          <w:sz w:val="24"/>
          <w:szCs w:val="24"/>
          <w:lang w:val="en-GB" w:eastAsia="it-IT"/>
        </w:rPr>
        <w:t>3</w:t>
      </w:r>
      <w:r w:rsidR="001E22F7" w:rsidRPr="00966346">
        <w:rPr>
          <w:rFonts w:ascii="Arial" w:eastAsia="Times New Roman" w:hAnsi="Arial" w:cs="Arial"/>
          <w:sz w:val="24"/>
          <w:szCs w:val="24"/>
          <w:lang w:val="en-GB" w:eastAsia="it-IT"/>
        </w:rPr>
        <w:t>6</w:t>
      </w:r>
      <w:r w:rsidR="00E0534E" w:rsidRPr="00966346">
        <w:rPr>
          <w:rFonts w:ascii="Arial" w:eastAsia="Times New Roman" w:hAnsi="Arial" w:cs="Arial"/>
          <w:sz w:val="24"/>
          <w:szCs w:val="24"/>
          <w:lang w:val="en-GB" w:eastAsia="it-IT"/>
        </w:rPr>
        <w:t xml:space="preserve"> patients in arm A, </w:t>
      </w:r>
      <w:r w:rsidR="00002409" w:rsidRPr="00966346">
        <w:rPr>
          <w:rFonts w:ascii="Arial" w:eastAsia="Times New Roman" w:hAnsi="Arial" w:cs="Arial"/>
          <w:sz w:val="24"/>
          <w:szCs w:val="24"/>
          <w:lang w:val="en-GB" w:eastAsia="it-IT"/>
        </w:rPr>
        <w:t>3</w:t>
      </w:r>
      <w:r w:rsidR="001E22F7" w:rsidRPr="00966346">
        <w:rPr>
          <w:rFonts w:ascii="Arial" w:eastAsia="Times New Roman" w:hAnsi="Arial" w:cs="Arial"/>
          <w:sz w:val="24"/>
          <w:szCs w:val="24"/>
          <w:lang w:val="en-GB" w:eastAsia="it-IT"/>
        </w:rPr>
        <w:t>5</w:t>
      </w:r>
      <w:r w:rsidR="00E0534E" w:rsidRPr="00966346">
        <w:rPr>
          <w:rFonts w:ascii="Arial" w:eastAsia="Times New Roman" w:hAnsi="Arial" w:cs="Arial"/>
          <w:sz w:val="24"/>
          <w:szCs w:val="24"/>
          <w:lang w:val="en-GB" w:eastAsia="it-IT"/>
        </w:rPr>
        <w:t xml:space="preserve"> in arm B and </w:t>
      </w:r>
      <w:r w:rsidR="00EB4073" w:rsidRPr="00966346">
        <w:rPr>
          <w:rFonts w:ascii="Arial" w:eastAsia="Times New Roman" w:hAnsi="Arial" w:cs="Arial"/>
          <w:sz w:val="24"/>
          <w:szCs w:val="24"/>
          <w:lang w:val="en-GB" w:eastAsia="it-IT"/>
        </w:rPr>
        <w:t>5</w:t>
      </w:r>
      <w:r w:rsidR="00002409" w:rsidRPr="00966346">
        <w:rPr>
          <w:rFonts w:ascii="Arial" w:eastAsia="Times New Roman" w:hAnsi="Arial" w:cs="Arial"/>
          <w:sz w:val="24"/>
          <w:szCs w:val="24"/>
          <w:lang w:val="en-GB" w:eastAsia="it-IT"/>
        </w:rPr>
        <w:t>1</w:t>
      </w:r>
      <w:r w:rsidR="00E0534E" w:rsidRPr="00966346">
        <w:rPr>
          <w:rFonts w:ascii="Arial" w:eastAsia="Times New Roman" w:hAnsi="Arial" w:cs="Arial"/>
          <w:sz w:val="24"/>
          <w:szCs w:val="24"/>
          <w:lang w:val="en-GB" w:eastAsia="it-IT"/>
        </w:rPr>
        <w:t xml:space="preserve"> in arm C</w:t>
      </w:r>
      <w:r w:rsidR="00CF124D" w:rsidRPr="00966346">
        <w:rPr>
          <w:rFonts w:ascii="Arial" w:eastAsia="Times New Roman" w:hAnsi="Arial" w:cs="Arial"/>
          <w:sz w:val="24"/>
          <w:szCs w:val="24"/>
          <w:lang w:val="en-GB" w:eastAsia="it-IT"/>
        </w:rPr>
        <w:t>)</w:t>
      </w:r>
      <w:r w:rsidR="00E0534E" w:rsidRPr="00966346">
        <w:rPr>
          <w:rFonts w:ascii="Arial" w:eastAsia="Times New Roman" w:hAnsi="Arial" w:cs="Arial"/>
          <w:sz w:val="24"/>
          <w:szCs w:val="24"/>
          <w:lang w:val="en-GB" w:eastAsia="it-IT"/>
        </w:rPr>
        <w:t xml:space="preserve"> </w:t>
      </w:r>
      <w:r w:rsidR="00EB4073" w:rsidRPr="00966346">
        <w:rPr>
          <w:rFonts w:ascii="Arial" w:eastAsia="Times New Roman" w:hAnsi="Arial" w:cs="Arial"/>
          <w:sz w:val="24"/>
          <w:szCs w:val="24"/>
          <w:lang w:val="en-GB" w:eastAsia="it-IT"/>
        </w:rPr>
        <w:t>were eligible for</w:t>
      </w:r>
      <w:r w:rsidR="00E0534E" w:rsidRPr="00966346">
        <w:rPr>
          <w:rFonts w:ascii="Arial" w:eastAsia="Times New Roman" w:hAnsi="Arial" w:cs="Arial"/>
          <w:sz w:val="24"/>
          <w:szCs w:val="24"/>
          <w:lang w:val="en-GB" w:eastAsia="it-IT"/>
        </w:rPr>
        <w:t xml:space="preserve"> </w:t>
      </w:r>
      <w:r w:rsidR="00204220" w:rsidRPr="00966346">
        <w:rPr>
          <w:rFonts w:ascii="Arial" w:eastAsia="Times New Roman" w:hAnsi="Arial" w:cs="Arial"/>
          <w:sz w:val="24"/>
          <w:szCs w:val="24"/>
          <w:lang w:val="en-GB" w:eastAsia="it-IT"/>
        </w:rPr>
        <w:t xml:space="preserve">the </w:t>
      </w:r>
      <w:r w:rsidR="00E0534E" w:rsidRPr="00966346">
        <w:rPr>
          <w:rFonts w:ascii="Arial" w:eastAsia="Times New Roman" w:hAnsi="Arial" w:cs="Arial"/>
          <w:sz w:val="24"/>
          <w:szCs w:val="24"/>
          <w:lang w:val="en-GB" w:eastAsia="it-IT"/>
        </w:rPr>
        <w:t>second randomization</w:t>
      </w:r>
      <w:r w:rsidR="00002409" w:rsidRPr="00966346">
        <w:rPr>
          <w:rFonts w:ascii="Arial" w:eastAsia="Times New Roman" w:hAnsi="Arial" w:cs="Arial"/>
          <w:sz w:val="24"/>
          <w:szCs w:val="24"/>
          <w:lang w:val="en-GB" w:eastAsia="it-IT"/>
        </w:rPr>
        <w:t xml:space="preserve"> (Fig. 1)</w:t>
      </w:r>
      <w:r w:rsidR="00EB4073" w:rsidRPr="00966346">
        <w:rPr>
          <w:rFonts w:ascii="Arial" w:eastAsia="Times New Roman" w:hAnsi="Arial" w:cs="Arial"/>
          <w:sz w:val="24"/>
          <w:szCs w:val="24"/>
          <w:lang w:val="en-GB" w:eastAsia="it-IT"/>
        </w:rPr>
        <w:t xml:space="preserve">; </w:t>
      </w:r>
      <w:r w:rsidR="001E22F7" w:rsidRPr="00966346">
        <w:rPr>
          <w:rFonts w:ascii="Arial" w:eastAsia="Times New Roman" w:hAnsi="Arial" w:cs="Arial"/>
          <w:sz w:val="24"/>
          <w:szCs w:val="24"/>
          <w:lang w:val="en-GB" w:eastAsia="it-IT"/>
        </w:rPr>
        <w:t>four</w:t>
      </w:r>
      <w:r w:rsidR="00002409" w:rsidRPr="00966346">
        <w:rPr>
          <w:rFonts w:ascii="Arial" w:eastAsia="Times New Roman" w:hAnsi="Arial" w:cs="Arial"/>
          <w:sz w:val="24"/>
          <w:szCs w:val="24"/>
          <w:lang w:val="en-GB" w:eastAsia="it-IT"/>
        </w:rPr>
        <w:t xml:space="preserve"> patients refused the randomization, and, thus, </w:t>
      </w:r>
      <w:r w:rsidR="00EB4073" w:rsidRPr="00966346">
        <w:rPr>
          <w:rFonts w:ascii="Arial" w:eastAsia="Times New Roman" w:hAnsi="Arial" w:cs="Arial"/>
          <w:sz w:val="24"/>
          <w:szCs w:val="24"/>
          <w:lang w:val="en-GB" w:eastAsia="it-IT"/>
        </w:rPr>
        <w:t>118 (9</w:t>
      </w:r>
      <w:r w:rsidR="001E22F7" w:rsidRPr="00966346">
        <w:rPr>
          <w:rFonts w:ascii="Arial" w:eastAsia="Times New Roman" w:hAnsi="Arial" w:cs="Arial"/>
          <w:sz w:val="24"/>
          <w:szCs w:val="24"/>
          <w:lang w:val="en-GB" w:eastAsia="it-IT"/>
        </w:rPr>
        <w:t>7</w:t>
      </w:r>
      <w:r w:rsidR="00EB4073" w:rsidRPr="00966346">
        <w:rPr>
          <w:rFonts w:ascii="Arial" w:eastAsia="Times New Roman" w:hAnsi="Arial" w:cs="Arial"/>
          <w:sz w:val="24"/>
          <w:szCs w:val="24"/>
          <w:lang w:val="en-GB" w:eastAsia="it-IT"/>
        </w:rPr>
        <w:t>%) of the 1</w:t>
      </w:r>
      <w:r w:rsidR="00002409" w:rsidRPr="00966346">
        <w:rPr>
          <w:rFonts w:ascii="Arial" w:eastAsia="Times New Roman" w:hAnsi="Arial" w:cs="Arial"/>
          <w:sz w:val="24"/>
          <w:szCs w:val="24"/>
          <w:lang w:val="en-GB" w:eastAsia="it-IT"/>
        </w:rPr>
        <w:t>2</w:t>
      </w:r>
      <w:r w:rsidR="001E22F7" w:rsidRPr="00966346">
        <w:rPr>
          <w:rFonts w:ascii="Arial" w:eastAsia="Times New Roman" w:hAnsi="Arial" w:cs="Arial"/>
          <w:sz w:val="24"/>
          <w:szCs w:val="24"/>
          <w:lang w:val="en-GB" w:eastAsia="it-IT"/>
        </w:rPr>
        <w:t>2</w:t>
      </w:r>
      <w:r w:rsidR="00EB4073" w:rsidRPr="00966346">
        <w:rPr>
          <w:rFonts w:ascii="Arial" w:eastAsia="Times New Roman" w:hAnsi="Arial" w:cs="Arial"/>
          <w:sz w:val="24"/>
          <w:szCs w:val="24"/>
          <w:lang w:val="en-GB" w:eastAsia="it-IT"/>
        </w:rPr>
        <w:t xml:space="preserve"> eligible patients were referred to randomization</w:t>
      </w:r>
      <w:r w:rsidR="00E0534E" w:rsidRPr="00966346">
        <w:rPr>
          <w:rFonts w:ascii="Arial" w:eastAsia="Times New Roman" w:hAnsi="Arial" w:cs="Arial"/>
          <w:sz w:val="24"/>
          <w:szCs w:val="24"/>
          <w:lang w:val="en-GB" w:eastAsia="it-IT"/>
        </w:rPr>
        <w:t xml:space="preserve"> and constitute </w:t>
      </w:r>
      <w:r w:rsidR="001619B3" w:rsidRPr="00966346">
        <w:rPr>
          <w:rFonts w:ascii="Arial" w:eastAsia="Times New Roman" w:hAnsi="Arial" w:cs="Arial"/>
          <w:sz w:val="24"/>
          <w:szCs w:val="24"/>
          <w:lang w:val="en-GB" w:eastAsia="it-IT"/>
        </w:rPr>
        <w:t xml:space="preserve">the </w:t>
      </w:r>
      <w:r w:rsidR="00E0534E" w:rsidRPr="00966346">
        <w:rPr>
          <w:rFonts w:ascii="Arial" w:eastAsia="Times New Roman" w:hAnsi="Arial" w:cs="Arial"/>
          <w:sz w:val="24"/>
          <w:szCs w:val="24"/>
          <w:lang w:val="en-GB" w:eastAsia="it-IT"/>
        </w:rPr>
        <w:t xml:space="preserve">study population of the present </w:t>
      </w:r>
      <w:r w:rsidR="001619B3" w:rsidRPr="00966346">
        <w:rPr>
          <w:rFonts w:ascii="Arial" w:eastAsia="Times New Roman" w:hAnsi="Arial" w:cs="Arial"/>
          <w:sz w:val="24"/>
          <w:szCs w:val="24"/>
          <w:lang w:val="en-GB" w:eastAsia="it-IT"/>
        </w:rPr>
        <w:t>report</w:t>
      </w:r>
      <w:r w:rsidR="001641E8" w:rsidRPr="00966346">
        <w:rPr>
          <w:rFonts w:ascii="Arial" w:eastAsia="Times New Roman" w:hAnsi="Arial" w:cs="Arial"/>
          <w:sz w:val="24"/>
          <w:szCs w:val="24"/>
          <w:lang w:eastAsia="it-IT"/>
        </w:rPr>
        <w:t xml:space="preserve"> </w:t>
      </w:r>
      <w:r w:rsidR="00CF124D" w:rsidRPr="00966346">
        <w:rPr>
          <w:rFonts w:ascii="Arial" w:eastAsia="Times New Roman" w:hAnsi="Arial" w:cs="Arial"/>
          <w:sz w:val="24"/>
          <w:szCs w:val="24"/>
          <w:lang w:eastAsia="it-IT"/>
        </w:rPr>
        <w:t>(</w:t>
      </w:r>
      <w:r w:rsidR="00132E7E" w:rsidRPr="00966346">
        <w:rPr>
          <w:rFonts w:ascii="Arial" w:eastAsia="Times New Roman" w:hAnsi="Arial" w:cs="Arial"/>
          <w:sz w:val="24"/>
          <w:szCs w:val="24"/>
          <w:lang w:eastAsia="it-IT"/>
        </w:rPr>
        <w:t>Table 1</w:t>
      </w:r>
      <w:r w:rsidR="00CF124D" w:rsidRPr="00966346">
        <w:rPr>
          <w:rFonts w:ascii="Arial" w:eastAsia="Times New Roman" w:hAnsi="Arial" w:cs="Arial"/>
          <w:sz w:val="24"/>
          <w:szCs w:val="24"/>
          <w:lang w:eastAsia="it-IT"/>
        </w:rPr>
        <w:t>)</w:t>
      </w:r>
      <w:r w:rsidR="001641E8" w:rsidRPr="00966346">
        <w:rPr>
          <w:rFonts w:ascii="Arial" w:eastAsia="Times New Roman" w:hAnsi="Arial" w:cs="Arial"/>
          <w:sz w:val="24"/>
          <w:szCs w:val="24"/>
          <w:lang w:eastAsia="it-IT"/>
        </w:rPr>
        <w:t xml:space="preserve">. </w:t>
      </w:r>
      <w:r w:rsidR="00ED26BE" w:rsidRPr="00966346">
        <w:rPr>
          <w:rFonts w:ascii="Arial" w:eastAsia="Times New Roman" w:hAnsi="Arial" w:cs="Arial"/>
          <w:sz w:val="24"/>
          <w:szCs w:val="24"/>
          <w:lang w:eastAsia="it-IT"/>
        </w:rPr>
        <w:t xml:space="preserve">The median age of patients undergoing the second randomization was 57 years (range 18-70; IQR 51-63), with </w:t>
      </w:r>
      <w:r w:rsidR="006C60BA" w:rsidRPr="00966346">
        <w:rPr>
          <w:rFonts w:ascii="Arial" w:eastAsia="Times New Roman" w:hAnsi="Arial" w:cs="Arial"/>
          <w:sz w:val="24"/>
          <w:szCs w:val="24"/>
          <w:lang w:eastAsia="it-IT"/>
        </w:rPr>
        <w:t>17 (14%) patients being ≥65</w:t>
      </w:r>
      <w:r w:rsidR="00ED26BE" w:rsidRPr="00966346">
        <w:rPr>
          <w:rFonts w:ascii="Arial" w:eastAsia="Times New Roman" w:hAnsi="Arial" w:cs="Arial"/>
          <w:sz w:val="24"/>
          <w:szCs w:val="24"/>
          <w:lang w:eastAsia="it-IT"/>
        </w:rPr>
        <w:t xml:space="preserve"> </w:t>
      </w:r>
      <w:r w:rsidR="006C60BA" w:rsidRPr="00966346">
        <w:rPr>
          <w:rFonts w:ascii="Arial" w:eastAsia="Times New Roman" w:hAnsi="Arial" w:cs="Arial"/>
          <w:sz w:val="24"/>
          <w:szCs w:val="24"/>
          <w:lang w:eastAsia="it-IT"/>
        </w:rPr>
        <w:t xml:space="preserve">years old. </w:t>
      </w:r>
      <w:r w:rsidR="00341912" w:rsidRPr="00966346">
        <w:rPr>
          <w:rFonts w:ascii="Arial" w:eastAsia="Times New Roman" w:hAnsi="Arial" w:cs="Arial"/>
          <w:sz w:val="24"/>
          <w:szCs w:val="24"/>
          <w:lang w:eastAsia="it-IT"/>
        </w:rPr>
        <w:t xml:space="preserve">With the exception of a higher male prevalence in </w:t>
      </w:r>
      <w:r w:rsidR="0072423D" w:rsidRPr="00966346">
        <w:rPr>
          <w:rFonts w:ascii="Arial" w:eastAsia="Times New Roman" w:hAnsi="Arial" w:cs="Arial"/>
          <w:sz w:val="24"/>
          <w:szCs w:val="24"/>
          <w:lang w:eastAsia="it-IT"/>
        </w:rPr>
        <w:t>arm D(WBRT)</w:t>
      </w:r>
      <w:r w:rsidR="00341912" w:rsidRPr="00966346">
        <w:rPr>
          <w:rFonts w:ascii="Arial" w:eastAsia="Times New Roman" w:hAnsi="Arial" w:cs="Arial"/>
          <w:sz w:val="24"/>
          <w:szCs w:val="24"/>
          <w:lang w:eastAsia="it-IT"/>
        </w:rPr>
        <w:t xml:space="preserve">, </w:t>
      </w:r>
      <w:r w:rsidR="006D6C33" w:rsidRPr="00966346">
        <w:rPr>
          <w:rFonts w:ascii="Arial" w:eastAsia="Times New Roman" w:hAnsi="Arial" w:cs="Arial"/>
          <w:sz w:val="24"/>
          <w:szCs w:val="24"/>
          <w:lang w:eastAsia="it-IT"/>
        </w:rPr>
        <w:t xml:space="preserve">distribution of </w:t>
      </w:r>
      <w:r w:rsidR="00341912" w:rsidRPr="00966346">
        <w:rPr>
          <w:rFonts w:ascii="Arial" w:eastAsia="Times New Roman" w:hAnsi="Arial" w:cs="Arial"/>
          <w:sz w:val="24"/>
          <w:szCs w:val="24"/>
          <w:lang w:eastAsia="it-IT"/>
        </w:rPr>
        <w:t xml:space="preserve">clinical </w:t>
      </w:r>
      <w:r w:rsidR="0006559C" w:rsidRPr="00966346">
        <w:rPr>
          <w:rFonts w:ascii="Arial" w:eastAsia="Times New Roman" w:hAnsi="Arial" w:cs="Arial"/>
          <w:sz w:val="24"/>
          <w:szCs w:val="24"/>
          <w:lang w:eastAsia="it-IT"/>
        </w:rPr>
        <w:t xml:space="preserve">features </w:t>
      </w:r>
      <w:r w:rsidR="006D6C33" w:rsidRPr="00966346">
        <w:rPr>
          <w:rFonts w:ascii="Arial" w:eastAsia="Times New Roman" w:hAnsi="Arial" w:cs="Arial"/>
          <w:sz w:val="24"/>
          <w:szCs w:val="24"/>
          <w:lang w:eastAsia="it-IT"/>
        </w:rPr>
        <w:t xml:space="preserve">was well balanced </w:t>
      </w:r>
      <w:r w:rsidR="00341912" w:rsidRPr="00966346">
        <w:rPr>
          <w:rFonts w:ascii="Arial" w:eastAsia="Times New Roman" w:hAnsi="Arial" w:cs="Arial"/>
          <w:sz w:val="24"/>
          <w:szCs w:val="24"/>
          <w:lang w:eastAsia="it-IT"/>
        </w:rPr>
        <w:t xml:space="preserve">between </w:t>
      </w:r>
      <w:r w:rsidR="0006559C" w:rsidRPr="00966346">
        <w:rPr>
          <w:rFonts w:ascii="Arial" w:eastAsia="Times New Roman" w:hAnsi="Arial" w:cs="Arial"/>
          <w:sz w:val="24"/>
          <w:szCs w:val="24"/>
          <w:lang w:eastAsia="it-IT"/>
        </w:rPr>
        <w:t xml:space="preserve">the </w:t>
      </w:r>
      <w:r w:rsidR="00341912" w:rsidRPr="00966346">
        <w:rPr>
          <w:rFonts w:ascii="Arial" w:eastAsia="Times New Roman" w:hAnsi="Arial" w:cs="Arial"/>
          <w:sz w:val="24"/>
          <w:szCs w:val="24"/>
          <w:lang w:eastAsia="it-IT"/>
        </w:rPr>
        <w:t>two arms</w:t>
      </w:r>
      <w:r w:rsidR="006D6C33" w:rsidRPr="00966346">
        <w:rPr>
          <w:rFonts w:ascii="Arial" w:eastAsia="Times New Roman" w:hAnsi="Arial" w:cs="Arial"/>
          <w:sz w:val="24"/>
          <w:szCs w:val="24"/>
          <w:lang w:eastAsia="it-IT"/>
        </w:rPr>
        <w:t xml:space="preserve"> (Table 1)</w:t>
      </w:r>
      <w:r w:rsidR="00341912" w:rsidRPr="00966346">
        <w:rPr>
          <w:rFonts w:ascii="Arial" w:eastAsia="Times New Roman" w:hAnsi="Arial" w:cs="Arial"/>
          <w:sz w:val="24"/>
          <w:szCs w:val="24"/>
          <w:lang w:eastAsia="it-IT"/>
        </w:rPr>
        <w:t xml:space="preserve">; 15 (13%) patients had high IELSG risk, four </w:t>
      </w:r>
      <w:r w:rsidR="001619B3" w:rsidRPr="00966346">
        <w:rPr>
          <w:rFonts w:ascii="Arial" w:eastAsia="Times New Roman" w:hAnsi="Arial" w:cs="Arial"/>
          <w:sz w:val="24"/>
          <w:szCs w:val="24"/>
          <w:lang w:eastAsia="it-IT"/>
        </w:rPr>
        <w:t xml:space="preserve">(3%) </w:t>
      </w:r>
      <w:r w:rsidR="00341912" w:rsidRPr="00966346">
        <w:rPr>
          <w:rFonts w:ascii="Arial" w:eastAsia="Times New Roman" w:hAnsi="Arial" w:cs="Arial"/>
          <w:sz w:val="24"/>
          <w:szCs w:val="24"/>
          <w:lang w:eastAsia="it-IT"/>
        </w:rPr>
        <w:t xml:space="preserve">had ocular disease and 20 </w:t>
      </w:r>
      <w:r w:rsidR="001619B3" w:rsidRPr="00966346">
        <w:rPr>
          <w:rFonts w:ascii="Arial" w:eastAsia="Times New Roman" w:hAnsi="Arial" w:cs="Arial"/>
          <w:sz w:val="24"/>
          <w:szCs w:val="24"/>
          <w:lang w:eastAsia="it-IT"/>
        </w:rPr>
        <w:t xml:space="preserve">(17%) </w:t>
      </w:r>
      <w:r w:rsidR="00341912" w:rsidRPr="00966346">
        <w:rPr>
          <w:rFonts w:ascii="Arial" w:eastAsia="Times New Roman" w:hAnsi="Arial" w:cs="Arial"/>
          <w:sz w:val="24"/>
          <w:szCs w:val="24"/>
          <w:lang w:eastAsia="it-IT"/>
        </w:rPr>
        <w:t>had meningeal disease.</w:t>
      </w:r>
      <w:r w:rsidR="00A644AA" w:rsidRPr="00966346">
        <w:rPr>
          <w:rFonts w:ascii="Arial" w:hAnsi="Arial" w:cs="Arial"/>
          <w:sz w:val="24"/>
          <w:szCs w:val="24"/>
        </w:rPr>
        <w:t xml:space="preserve"> </w:t>
      </w:r>
      <w:r w:rsidR="00BE0AEA" w:rsidRPr="00966346">
        <w:rPr>
          <w:rFonts w:ascii="Arial" w:hAnsi="Arial" w:cs="Arial"/>
          <w:sz w:val="24"/>
          <w:szCs w:val="24"/>
        </w:rPr>
        <w:t xml:space="preserve">Median time point of the </w:t>
      </w:r>
      <w:r w:rsidR="00EB667A" w:rsidRPr="00966346">
        <w:rPr>
          <w:rFonts w:ascii="Arial" w:hAnsi="Arial" w:cs="Arial"/>
          <w:sz w:val="24"/>
          <w:szCs w:val="24"/>
        </w:rPr>
        <w:t>seco</w:t>
      </w:r>
      <w:r w:rsidR="00BE0AEA" w:rsidRPr="00966346">
        <w:rPr>
          <w:rFonts w:ascii="Arial" w:hAnsi="Arial" w:cs="Arial"/>
          <w:sz w:val="24"/>
          <w:szCs w:val="24"/>
        </w:rPr>
        <w:t xml:space="preserve">nd randomization relative to the </w:t>
      </w:r>
      <w:r w:rsidR="00EB667A" w:rsidRPr="00966346">
        <w:rPr>
          <w:rFonts w:ascii="Arial" w:hAnsi="Arial" w:cs="Arial"/>
          <w:sz w:val="24"/>
          <w:szCs w:val="24"/>
        </w:rPr>
        <w:t>fir</w:t>
      </w:r>
      <w:r w:rsidR="00BE0AEA" w:rsidRPr="00966346">
        <w:rPr>
          <w:rFonts w:ascii="Arial" w:hAnsi="Arial" w:cs="Arial"/>
          <w:sz w:val="24"/>
          <w:szCs w:val="24"/>
        </w:rPr>
        <w:t>st randomization was 3.45 months (range: 2.53-6.15; IQR: 2.99-3.88)</w:t>
      </w:r>
      <w:r w:rsidR="003705D9" w:rsidRPr="00966346">
        <w:rPr>
          <w:rFonts w:ascii="Arial" w:hAnsi="Arial" w:cs="Arial"/>
          <w:sz w:val="24"/>
          <w:szCs w:val="24"/>
        </w:rPr>
        <w:t xml:space="preserve"> for the whole series</w:t>
      </w:r>
      <w:r w:rsidR="00BE0AEA" w:rsidRPr="00966346">
        <w:rPr>
          <w:rFonts w:ascii="Arial" w:hAnsi="Arial" w:cs="Arial"/>
          <w:sz w:val="24"/>
          <w:szCs w:val="24"/>
        </w:rPr>
        <w:t xml:space="preserve">, which was 3.12, 3.68 and 3.56 respectively for </w:t>
      </w:r>
      <w:r w:rsidR="00BE0AEA" w:rsidRPr="00966346">
        <w:rPr>
          <w:rFonts w:ascii="Arial" w:hAnsi="Arial" w:cs="Arial"/>
          <w:sz w:val="24"/>
          <w:szCs w:val="24"/>
        </w:rPr>
        <w:lastRenderedPageBreak/>
        <w:t xml:space="preserve">arms A, B and C. </w:t>
      </w:r>
      <w:r w:rsidR="00485577" w:rsidRPr="00966346">
        <w:rPr>
          <w:rFonts w:ascii="Arial" w:eastAsia="Times New Roman" w:hAnsi="Arial" w:cs="Arial"/>
          <w:sz w:val="24"/>
          <w:szCs w:val="24"/>
          <w:lang w:eastAsia="it-IT"/>
        </w:rPr>
        <w:t xml:space="preserve">There were six protocol violations during consolidation: four patients randomly allocated to </w:t>
      </w:r>
      <w:r w:rsidR="0072423D" w:rsidRPr="00966346">
        <w:rPr>
          <w:rFonts w:ascii="Arial" w:eastAsia="Times New Roman" w:hAnsi="Arial" w:cs="Arial"/>
          <w:sz w:val="24"/>
          <w:szCs w:val="24"/>
          <w:lang w:eastAsia="it-IT"/>
        </w:rPr>
        <w:t>arm D(WBRT)</w:t>
      </w:r>
      <w:r w:rsidR="00485577" w:rsidRPr="00966346">
        <w:rPr>
          <w:rFonts w:ascii="Arial" w:eastAsia="Times New Roman" w:hAnsi="Arial" w:cs="Arial"/>
          <w:sz w:val="24"/>
          <w:szCs w:val="24"/>
          <w:lang w:eastAsia="it-IT"/>
        </w:rPr>
        <w:t xml:space="preserve"> </w:t>
      </w:r>
      <w:r w:rsidR="00CD5461" w:rsidRPr="00966346">
        <w:rPr>
          <w:rFonts w:ascii="Arial" w:eastAsia="Times New Roman" w:hAnsi="Arial" w:cs="Arial"/>
          <w:sz w:val="24"/>
          <w:szCs w:val="24"/>
          <w:lang w:eastAsia="it-IT"/>
        </w:rPr>
        <w:t xml:space="preserve">refused irradiation and </w:t>
      </w:r>
      <w:r w:rsidR="00485577" w:rsidRPr="00966346">
        <w:rPr>
          <w:rFonts w:ascii="Arial" w:eastAsia="Times New Roman" w:hAnsi="Arial" w:cs="Arial"/>
          <w:sz w:val="24"/>
          <w:szCs w:val="24"/>
          <w:lang w:eastAsia="it-IT"/>
        </w:rPr>
        <w:t xml:space="preserve">were treated with ASCT and two patients randomly allocated to </w:t>
      </w:r>
      <w:r w:rsidR="0072423D" w:rsidRPr="00966346">
        <w:rPr>
          <w:rFonts w:ascii="Arial" w:eastAsia="Times New Roman" w:hAnsi="Arial" w:cs="Arial"/>
          <w:sz w:val="24"/>
          <w:szCs w:val="24"/>
          <w:lang w:eastAsia="it-IT"/>
        </w:rPr>
        <w:t>arm E(ASCT)</w:t>
      </w:r>
      <w:r w:rsidR="00485577" w:rsidRPr="00966346">
        <w:rPr>
          <w:rFonts w:ascii="Arial" w:eastAsia="Times New Roman" w:hAnsi="Arial" w:cs="Arial"/>
          <w:sz w:val="24"/>
          <w:szCs w:val="24"/>
          <w:lang w:eastAsia="it-IT"/>
        </w:rPr>
        <w:t xml:space="preserve"> were treated with WBRT</w:t>
      </w:r>
      <w:r w:rsidR="001E22F7" w:rsidRPr="00966346">
        <w:rPr>
          <w:rFonts w:ascii="Arial" w:eastAsia="Times New Roman" w:hAnsi="Arial" w:cs="Arial"/>
          <w:sz w:val="24"/>
          <w:szCs w:val="24"/>
          <w:lang w:eastAsia="it-IT"/>
        </w:rPr>
        <w:t xml:space="preserve"> </w:t>
      </w:r>
      <w:r w:rsidR="00CD5461" w:rsidRPr="00966346">
        <w:rPr>
          <w:rFonts w:ascii="Arial" w:eastAsia="Times New Roman" w:hAnsi="Arial" w:cs="Arial"/>
          <w:sz w:val="24"/>
          <w:szCs w:val="24"/>
          <w:lang w:eastAsia="it-IT"/>
        </w:rPr>
        <w:t xml:space="preserve">according to physician’s decision </w:t>
      </w:r>
      <w:r w:rsidR="001E22F7" w:rsidRPr="00966346">
        <w:rPr>
          <w:rFonts w:ascii="Arial" w:eastAsia="Times New Roman" w:hAnsi="Arial" w:cs="Arial"/>
          <w:sz w:val="24"/>
          <w:szCs w:val="24"/>
          <w:lang w:eastAsia="it-IT"/>
        </w:rPr>
        <w:t>(Fig. 1)</w:t>
      </w:r>
      <w:r w:rsidR="00485577" w:rsidRPr="00966346">
        <w:rPr>
          <w:rFonts w:ascii="Arial" w:eastAsia="Times New Roman" w:hAnsi="Arial" w:cs="Arial"/>
          <w:sz w:val="24"/>
          <w:szCs w:val="24"/>
          <w:lang w:eastAsia="it-IT"/>
        </w:rPr>
        <w:t xml:space="preserve">; five patients (two in arm D and three in arm E) refused consolidation. Therefore, per-protocol groups consisted of 55 patients treated with WBRT and 58 with ASCT. </w:t>
      </w:r>
    </w:p>
    <w:p w14:paraId="232D6111" w14:textId="77777777" w:rsidR="00132E7E" w:rsidRPr="00966346" w:rsidRDefault="00132E7E" w:rsidP="007F3E1C">
      <w:pPr>
        <w:spacing w:after="0" w:line="360" w:lineRule="auto"/>
        <w:jc w:val="both"/>
        <w:rPr>
          <w:rFonts w:ascii="Arial" w:eastAsia="Times New Roman" w:hAnsi="Arial" w:cs="Arial"/>
          <w:sz w:val="24"/>
          <w:szCs w:val="24"/>
          <w:lang w:eastAsia="it-IT"/>
        </w:rPr>
      </w:pPr>
    </w:p>
    <w:p w14:paraId="1EF19455" w14:textId="77777777" w:rsidR="00485577" w:rsidRPr="00966346" w:rsidRDefault="00485577" w:rsidP="00485577">
      <w:pPr>
        <w:spacing w:after="0" w:line="360" w:lineRule="auto"/>
        <w:jc w:val="both"/>
        <w:rPr>
          <w:rFonts w:ascii="Arial" w:eastAsia="Times New Roman" w:hAnsi="Arial" w:cs="Arial"/>
          <w:i/>
          <w:iCs/>
          <w:sz w:val="24"/>
          <w:szCs w:val="24"/>
          <w:lang w:val="en-GB" w:eastAsia="it-IT"/>
        </w:rPr>
      </w:pPr>
      <w:r w:rsidRPr="00966346">
        <w:rPr>
          <w:rFonts w:ascii="Arial" w:eastAsia="Times New Roman" w:hAnsi="Arial" w:cs="Arial"/>
          <w:i/>
          <w:iCs/>
          <w:sz w:val="24"/>
          <w:szCs w:val="24"/>
          <w:lang w:val="en-GB" w:eastAsia="it-IT"/>
        </w:rPr>
        <w:t>Activity and Efficacy (primary endpoint)</w:t>
      </w:r>
    </w:p>
    <w:p w14:paraId="34D43B79" w14:textId="5BFE1D27" w:rsidR="00485577" w:rsidRPr="00966346" w:rsidRDefault="00485577" w:rsidP="00485577">
      <w:pPr>
        <w:spacing w:after="0" w:line="360" w:lineRule="auto"/>
        <w:jc w:val="both"/>
        <w:rPr>
          <w:rFonts w:ascii="Arial" w:eastAsia="Times New Roman" w:hAnsi="Arial" w:cs="Arial"/>
          <w:iCs/>
          <w:sz w:val="24"/>
          <w:szCs w:val="24"/>
          <w:lang w:eastAsia="it-IT"/>
        </w:rPr>
      </w:pPr>
      <w:r w:rsidRPr="00966346">
        <w:rPr>
          <w:rFonts w:ascii="Arial" w:eastAsia="Times New Roman" w:hAnsi="Arial" w:cs="Arial"/>
          <w:sz w:val="24"/>
          <w:szCs w:val="24"/>
          <w:lang w:eastAsia="it-IT"/>
        </w:rPr>
        <w:t>Both WBRT and ASCT were active and resulted in a remarkable increase in CR rate achieved after induction therapy</w:t>
      </w:r>
      <w:r w:rsidR="0072423D" w:rsidRPr="00966346">
        <w:rPr>
          <w:rFonts w:ascii="Arial" w:eastAsia="Times New Roman" w:hAnsi="Arial" w:cs="Arial"/>
          <w:sz w:val="24"/>
          <w:szCs w:val="24"/>
          <w:lang w:eastAsia="it-IT"/>
        </w:rPr>
        <w:t>. Thirty-two patients (54%; 95%CI=42-66%) in CR after induction and 27 patients in PR were randomized to arm D(WBRT); 24 of 27 patients in PR</w:t>
      </w:r>
      <w:r w:rsidR="007010B3" w:rsidRPr="00966346">
        <w:rPr>
          <w:rFonts w:ascii="Arial" w:eastAsia="Times New Roman" w:hAnsi="Arial" w:cs="Arial"/>
          <w:sz w:val="24"/>
          <w:szCs w:val="24"/>
          <w:lang w:eastAsia="it-IT"/>
        </w:rPr>
        <w:t>/SD</w:t>
      </w:r>
      <w:r w:rsidR="0072423D" w:rsidRPr="00966346">
        <w:rPr>
          <w:rFonts w:ascii="Arial" w:eastAsia="Times New Roman" w:hAnsi="Arial" w:cs="Arial"/>
          <w:sz w:val="24"/>
          <w:szCs w:val="24"/>
          <w:lang w:eastAsia="it-IT"/>
        </w:rPr>
        <w:t xml:space="preserve"> achieved a CR after WBRT, with a total of 56 patients in CR after irradiation (CRR=95%; 95%CI=90-100%). Similarly, 31 patients (53%; 95%CI=41-65%) in CR after induction and 28 patients in PR/SD were randomized to arm E(ASCT); 24 of 28 patients in PR/SD achieved a CR after ASCT, with a total of 55 patients in CR after transplantation (CRR=93%; 95%CI=87-99%).</w:t>
      </w:r>
      <w:r w:rsidRPr="00966346">
        <w:rPr>
          <w:rFonts w:ascii="Arial" w:eastAsia="Times New Roman" w:hAnsi="Arial" w:cs="Arial"/>
          <w:sz w:val="24"/>
          <w:szCs w:val="24"/>
          <w:lang w:eastAsia="it-IT"/>
        </w:rPr>
        <w:t xml:space="preserve"> </w:t>
      </w:r>
      <w:r w:rsidR="00290518" w:rsidRPr="00966346">
        <w:rPr>
          <w:rFonts w:ascii="Arial" w:eastAsia="Times New Roman" w:hAnsi="Arial" w:cs="Arial"/>
          <w:sz w:val="24"/>
          <w:szCs w:val="24"/>
          <w:lang w:eastAsia="it-IT"/>
        </w:rPr>
        <w:t xml:space="preserve">The three patients with residual disease after consolidation did not receive additional treatment and experienced progressive disease within 6 months from randomization. </w:t>
      </w:r>
    </w:p>
    <w:p w14:paraId="4CFA6C72" w14:textId="50B89ABA" w:rsidR="00A47D13" w:rsidRPr="00966346" w:rsidRDefault="00485577" w:rsidP="00485577">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val="en-GB" w:eastAsia="it-IT"/>
        </w:rPr>
        <w:t xml:space="preserve">At a median follow-up of 40 </w:t>
      </w:r>
      <w:r w:rsidRPr="00966346">
        <w:rPr>
          <w:rFonts w:ascii="Arial" w:hAnsi="Arial" w:cs="Arial"/>
          <w:sz w:val="24"/>
          <w:szCs w:val="24"/>
        </w:rPr>
        <w:t xml:space="preserve">(range 24-76; IQR 32-49) </w:t>
      </w:r>
      <w:r w:rsidRPr="00966346">
        <w:rPr>
          <w:rFonts w:ascii="Arial" w:eastAsia="Times New Roman" w:hAnsi="Arial" w:cs="Arial"/>
          <w:sz w:val="24"/>
          <w:szCs w:val="24"/>
          <w:lang w:val="en-GB" w:eastAsia="it-IT"/>
        </w:rPr>
        <w:t>months,</w:t>
      </w:r>
      <w:r w:rsidRPr="00966346">
        <w:rPr>
          <w:rFonts w:ascii="Arial" w:hAnsi="Arial" w:cs="Arial"/>
          <w:sz w:val="24"/>
          <w:szCs w:val="24"/>
        </w:rPr>
        <w:t xml:space="preserve"> </w:t>
      </w:r>
      <w:r w:rsidRPr="00966346">
        <w:rPr>
          <w:rFonts w:ascii="Arial" w:eastAsia="Times New Roman" w:hAnsi="Arial" w:cs="Arial"/>
          <w:sz w:val="24"/>
          <w:szCs w:val="24"/>
          <w:lang w:eastAsia="it-IT"/>
        </w:rPr>
        <w:t xml:space="preserve">there were 20 events in </w:t>
      </w:r>
      <w:r w:rsidR="0072423D" w:rsidRPr="00966346">
        <w:rPr>
          <w:rFonts w:ascii="Arial" w:eastAsia="Times New Roman" w:hAnsi="Arial" w:cs="Arial"/>
          <w:sz w:val="24"/>
          <w:szCs w:val="24"/>
          <w:lang w:eastAsia="it-IT"/>
        </w:rPr>
        <w:t>arm D(WBRT)</w:t>
      </w:r>
      <w:r w:rsidRPr="00966346">
        <w:rPr>
          <w:rFonts w:ascii="Arial" w:eastAsia="Times New Roman" w:hAnsi="Arial" w:cs="Arial"/>
          <w:sz w:val="24"/>
          <w:szCs w:val="24"/>
          <w:lang w:eastAsia="it-IT"/>
        </w:rPr>
        <w:t xml:space="preserve"> (</w:t>
      </w:r>
      <w:r w:rsidRPr="00966346">
        <w:rPr>
          <w:rFonts w:ascii="Arial" w:eastAsia="Times New Roman" w:hAnsi="Arial" w:cs="Arial"/>
          <w:sz w:val="24"/>
          <w:szCs w:val="24"/>
          <w:lang w:val="en-GB" w:eastAsia="it-IT"/>
        </w:rPr>
        <w:t xml:space="preserve">relapse after responsive or stable disease in 16 patients, early </w:t>
      </w:r>
      <w:r w:rsidR="002F13DB" w:rsidRPr="00966346">
        <w:rPr>
          <w:rFonts w:ascii="Arial" w:eastAsia="Times New Roman" w:hAnsi="Arial" w:cs="Arial"/>
          <w:sz w:val="24"/>
          <w:szCs w:val="24"/>
          <w:lang w:val="en-GB" w:eastAsia="it-IT"/>
        </w:rPr>
        <w:t>PD</w:t>
      </w:r>
      <w:r w:rsidRPr="00966346">
        <w:rPr>
          <w:rFonts w:ascii="Arial" w:eastAsia="Times New Roman" w:hAnsi="Arial" w:cs="Arial"/>
          <w:sz w:val="24"/>
          <w:szCs w:val="24"/>
          <w:lang w:val="en-GB" w:eastAsia="it-IT"/>
        </w:rPr>
        <w:t xml:space="preserve"> in two, death while </w:t>
      </w:r>
      <w:r w:rsidR="00A47D13" w:rsidRPr="00966346">
        <w:rPr>
          <w:rFonts w:ascii="Arial" w:eastAsia="Times New Roman" w:hAnsi="Arial" w:cs="Arial"/>
          <w:sz w:val="24"/>
          <w:szCs w:val="24"/>
          <w:lang w:val="en-GB" w:eastAsia="it-IT"/>
        </w:rPr>
        <w:t>relapse-free</w:t>
      </w:r>
      <w:r w:rsidRPr="00966346">
        <w:rPr>
          <w:rFonts w:ascii="Arial" w:eastAsia="Times New Roman" w:hAnsi="Arial" w:cs="Arial"/>
          <w:sz w:val="24"/>
          <w:szCs w:val="24"/>
          <w:lang w:val="en-GB" w:eastAsia="it-IT"/>
        </w:rPr>
        <w:t xml:space="preserve"> in two</w:t>
      </w:r>
      <w:r w:rsidRPr="00966346">
        <w:rPr>
          <w:rFonts w:ascii="Arial" w:eastAsia="Times New Roman" w:hAnsi="Arial" w:cs="Arial"/>
          <w:sz w:val="24"/>
          <w:szCs w:val="24"/>
          <w:lang w:eastAsia="it-IT"/>
        </w:rPr>
        <w:t xml:space="preserve">), and 25 events in </w:t>
      </w:r>
      <w:r w:rsidR="0072423D" w:rsidRPr="00966346">
        <w:rPr>
          <w:rFonts w:ascii="Arial" w:eastAsia="Times New Roman" w:hAnsi="Arial" w:cs="Arial"/>
          <w:sz w:val="24"/>
          <w:szCs w:val="24"/>
          <w:lang w:eastAsia="it-IT"/>
        </w:rPr>
        <w:t>arm E(ASCT)</w:t>
      </w:r>
      <w:r w:rsidRPr="00966346">
        <w:rPr>
          <w:rFonts w:ascii="Arial" w:eastAsia="Times New Roman" w:hAnsi="Arial" w:cs="Arial"/>
          <w:sz w:val="24"/>
          <w:szCs w:val="24"/>
          <w:lang w:eastAsia="it-IT"/>
        </w:rPr>
        <w:t xml:space="preserve"> (</w:t>
      </w:r>
      <w:r w:rsidRPr="00966346">
        <w:rPr>
          <w:rFonts w:ascii="Arial" w:eastAsia="Times New Roman" w:hAnsi="Arial" w:cs="Arial"/>
          <w:sz w:val="24"/>
          <w:szCs w:val="24"/>
          <w:lang w:val="en-GB" w:eastAsia="it-IT"/>
        </w:rPr>
        <w:t xml:space="preserve">relapse after responsive or stable disease in 18 patients, early </w:t>
      </w:r>
      <w:r w:rsidR="002F13DB" w:rsidRPr="00966346">
        <w:rPr>
          <w:rFonts w:ascii="Arial" w:eastAsia="Times New Roman" w:hAnsi="Arial" w:cs="Arial"/>
          <w:sz w:val="24"/>
          <w:szCs w:val="24"/>
          <w:lang w:val="en-GB" w:eastAsia="it-IT"/>
        </w:rPr>
        <w:t>PD</w:t>
      </w:r>
      <w:r w:rsidRPr="00966346">
        <w:rPr>
          <w:rFonts w:ascii="Arial" w:eastAsia="Times New Roman" w:hAnsi="Arial" w:cs="Arial"/>
          <w:sz w:val="24"/>
          <w:szCs w:val="24"/>
          <w:lang w:val="en-GB" w:eastAsia="it-IT"/>
        </w:rPr>
        <w:t xml:space="preserve"> in two, death due to toxicity in two, death while </w:t>
      </w:r>
      <w:r w:rsidR="00A47D13" w:rsidRPr="00966346">
        <w:rPr>
          <w:rFonts w:ascii="Arial" w:eastAsia="Times New Roman" w:hAnsi="Arial" w:cs="Arial"/>
          <w:sz w:val="24"/>
          <w:szCs w:val="24"/>
          <w:lang w:val="en-GB" w:eastAsia="it-IT"/>
        </w:rPr>
        <w:t>relapse-free</w:t>
      </w:r>
      <w:r w:rsidRPr="00966346">
        <w:rPr>
          <w:rFonts w:ascii="Arial" w:eastAsia="Times New Roman" w:hAnsi="Arial" w:cs="Arial"/>
          <w:sz w:val="24"/>
          <w:szCs w:val="24"/>
          <w:lang w:val="en-GB" w:eastAsia="it-IT"/>
        </w:rPr>
        <w:t xml:space="preserve"> in three</w:t>
      </w:r>
      <w:r w:rsidRPr="00966346">
        <w:rPr>
          <w:rFonts w:ascii="Arial" w:eastAsia="Times New Roman" w:hAnsi="Arial" w:cs="Arial"/>
          <w:sz w:val="24"/>
          <w:szCs w:val="24"/>
          <w:lang w:eastAsia="it-IT"/>
        </w:rPr>
        <w:t xml:space="preserve">) (Appendix </w:t>
      </w:r>
      <w:r w:rsidR="00053766" w:rsidRPr="00966346">
        <w:rPr>
          <w:rFonts w:ascii="Arial" w:eastAsia="Times New Roman" w:hAnsi="Arial" w:cs="Arial"/>
          <w:sz w:val="24"/>
          <w:szCs w:val="24"/>
          <w:lang w:eastAsia="it-IT"/>
        </w:rPr>
        <w:t>p</w:t>
      </w:r>
      <w:r w:rsidR="00053766">
        <w:rPr>
          <w:rFonts w:ascii="Arial" w:eastAsia="Times New Roman" w:hAnsi="Arial" w:cs="Arial"/>
          <w:sz w:val="24"/>
          <w:szCs w:val="24"/>
          <w:lang w:eastAsia="it-IT"/>
        </w:rPr>
        <w:t>10</w:t>
      </w:r>
      <w:r w:rsidRPr="00966346">
        <w:rPr>
          <w:rFonts w:ascii="Arial" w:eastAsia="Times New Roman" w:hAnsi="Arial" w:cs="Arial"/>
          <w:sz w:val="24"/>
          <w:szCs w:val="24"/>
          <w:lang w:eastAsia="it-IT"/>
        </w:rPr>
        <w:t xml:space="preserve">). Importantly, WBRT and ASCT were both effective as the </w:t>
      </w:r>
      <w:r w:rsidRPr="00966346">
        <w:rPr>
          <w:rFonts w:ascii="Arial" w:eastAsia="Times New Roman" w:hAnsi="Arial" w:cs="Arial"/>
          <w:sz w:val="24"/>
          <w:szCs w:val="24"/>
          <w:lang w:val="en-GB" w:eastAsia="it-IT"/>
        </w:rPr>
        <w:t xml:space="preserve">pre-determined </w:t>
      </w:r>
      <w:r w:rsidRPr="00966346">
        <w:rPr>
          <w:rFonts w:ascii="Arial" w:eastAsia="Times New Roman" w:hAnsi="Arial" w:cs="Arial"/>
          <w:sz w:val="24"/>
          <w:szCs w:val="24"/>
          <w:lang w:eastAsia="it-IT"/>
        </w:rPr>
        <w:t xml:space="preserve">efficacy threshold among the first 104 randomized patients (52 patients/arm) </w:t>
      </w:r>
      <w:r w:rsidR="002F13DB" w:rsidRPr="00966346">
        <w:rPr>
          <w:rFonts w:ascii="Arial" w:eastAsia="Times New Roman" w:hAnsi="Arial" w:cs="Arial"/>
          <w:sz w:val="24"/>
          <w:szCs w:val="24"/>
          <w:lang w:eastAsia="it-IT"/>
        </w:rPr>
        <w:t>was achieved,</w:t>
      </w:r>
      <w:r w:rsidRPr="00966346">
        <w:rPr>
          <w:rFonts w:ascii="Arial" w:eastAsia="Times New Roman" w:hAnsi="Arial" w:cs="Arial"/>
          <w:sz w:val="24"/>
          <w:szCs w:val="24"/>
          <w:lang w:eastAsia="it-IT"/>
        </w:rPr>
        <w:t xml:space="preserve"> with 40 progression-free survivors at 2 years in </w:t>
      </w:r>
      <w:r w:rsidR="0072423D" w:rsidRPr="00966346">
        <w:rPr>
          <w:rFonts w:ascii="Arial" w:eastAsia="Times New Roman" w:hAnsi="Arial" w:cs="Arial"/>
          <w:sz w:val="24"/>
          <w:szCs w:val="24"/>
          <w:lang w:eastAsia="it-IT"/>
        </w:rPr>
        <w:t>arm D(WBRT)</w:t>
      </w:r>
      <w:r w:rsidRPr="00966346">
        <w:rPr>
          <w:rFonts w:ascii="Arial" w:eastAsia="Times New Roman" w:hAnsi="Arial" w:cs="Arial"/>
          <w:sz w:val="24"/>
          <w:szCs w:val="24"/>
          <w:lang w:eastAsia="it-IT"/>
        </w:rPr>
        <w:t xml:space="preserve"> and 40 in </w:t>
      </w:r>
      <w:r w:rsidR="0072423D" w:rsidRPr="00966346">
        <w:rPr>
          <w:rFonts w:ascii="Arial" w:eastAsia="Times New Roman" w:hAnsi="Arial" w:cs="Arial"/>
          <w:sz w:val="24"/>
          <w:szCs w:val="24"/>
          <w:lang w:eastAsia="it-IT"/>
        </w:rPr>
        <w:t>arm E(ASCT)</w:t>
      </w:r>
      <w:r w:rsidRPr="00966346">
        <w:rPr>
          <w:rFonts w:ascii="Arial" w:eastAsia="Times New Roman" w:hAnsi="Arial" w:cs="Arial"/>
          <w:sz w:val="24"/>
          <w:szCs w:val="24"/>
          <w:lang w:eastAsia="it-IT"/>
        </w:rPr>
        <w:t xml:space="preserve">. There were no significant differences in PFS between arms D and E; </w:t>
      </w:r>
      <w:r w:rsidR="007877DC" w:rsidRPr="00966346">
        <w:rPr>
          <w:rFonts w:ascii="Arial" w:eastAsia="Times New Roman" w:hAnsi="Arial" w:cs="Arial"/>
          <w:sz w:val="24"/>
          <w:szCs w:val="24"/>
          <w:lang w:eastAsia="it-IT"/>
        </w:rPr>
        <w:t xml:space="preserve">on ITT basis (Fig. 2A), the 2-year PFS was 80% (95%CI=70-90%) for 59 arm-D patients and </w:t>
      </w:r>
      <w:r w:rsidR="00103E22" w:rsidRPr="00966346">
        <w:rPr>
          <w:rFonts w:ascii="Arial" w:eastAsia="Times New Roman" w:hAnsi="Arial" w:cs="Arial"/>
          <w:sz w:val="24"/>
          <w:szCs w:val="24"/>
          <w:lang w:eastAsia="it-IT"/>
        </w:rPr>
        <w:t>69</w:t>
      </w:r>
      <w:r w:rsidR="007877DC" w:rsidRPr="00966346">
        <w:rPr>
          <w:rFonts w:ascii="Arial" w:eastAsia="Times New Roman" w:hAnsi="Arial" w:cs="Arial"/>
          <w:sz w:val="24"/>
          <w:szCs w:val="24"/>
          <w:lang w:eastAsia="it-IT"/>
        </w:rPr>
        <w:t>% (95%CI= 59-</w:t>
      </w:r>
      <w:r w:rsidR="00103E22" w:rsidRPr="00966346">
        <w:rPr>
          <w:rFonts w:ascii="Arial" w:eastAsia="Times New Roman" w:hAnsi="Arial" w:cs="Arial"/>
          <w:sz w:val="24"/>
          <w:szCs w:val="24"/>
          <w:lang w:eastAsia="it-IT"/>
        </w:rPr>
        <w:t>79</w:t>
      </w:r>
      <w:r w:rsidR="007877DC" w:rsidRPr="00966346">
        <w:rPr>
          <w:rFonts w:ascii="Arial" w:eastAsia="Times New Roman" w:hAnsi="Arial" w:cs="Arial"/>
          <w:sz w:val="24"/>
          <w:szCs w:val="24"/>
          <w:lang w:eastAsia="it-IT"/>
        </w:rPr>
        <w:t xml:space="preserve">%) for 59 arm-E patients (p= 0·17; HR=1·50, 95%CI=0·83-2·71); per protocol (Fig. 2B), the 2-year PFS was 76% (95%CI=65-87%) for 55 patients treated with WBRT and 75% (95%CI=64-86%) for 58 patients treated with ASCT (p= 0·62; HR=1·16, 95%CI=0·62-2·17). </w:t>
      </w:r>
      <w:r w:rsidR="004F2CF0" w:rsidRPr="00966346">
        <w:rPr>
          <w:rFonts w:ascii="Arial" w:eastAsia="Times New Roman" w:hAnsi="Arial" w:cs="Arial"/>
          <w:sz w:val="24"/>
          <w:szCs w:val="24"/>
          <w:lang w:eastAsia="it-IT"/>
        </w:rPr>
        <w:t xml:space="preserve">ITT analysis </w:t>
      </w:r>
      <w:r w:rsidR="009C65DB" w:rsidRPr="00966346">
        <w:rPr>
          <w:rFonts w:ascii="Arial" w:eastAsia="Times New Roman" w:hAnsi="Arial" w:cs="Arial"/>
          <w:sz w:val="24"/>
          <w:szCs w:val="24"/>
          <w:lang w:eastAsia="it-IT"/>
        </w:rPr>
        <w:t>stratified</w:t>
      </w:r>
      <w:r w:rsidR="004F2CF0" w:rsidRPr="00966346">
        <w:rPr>
          <w:rFonts w:ascii="Arial" w:eastAsia="Times New Roman" w:hAnsi="Arial" w:cs="Arial"/>
          <w:sz w:val="24"/>
          <w:szCs w:val="24"/>
          <w:lang w:eastAsia="it-IT"/>
        </w:rPr>
        <w:t xml:space="preserve"> by induction arm produced similar results (HR=0·71, 95%CI=0·39-1·28).</w:t>
      </w:r>
      <w:r w:rsidRPr="00966346">
        <w:rPr>
          <w:rFonts w:ascii="Arial" w:eastAsia="Times New Roman" w:hAnsi="Arial" w:cs="Arial"/>
          <w:sz w:val="24"/>
          <w:szCs w:val="24"/>
          <w:lang w:eastAsia="it-IT"/>
        </w:rPr>
        <w:t xml:space="preserve"> </w:t>
      </w:r>
      <w:r w:rsidR="00296AD2">
        <w:rPr>
          <w:rFonts w:ascii="Arial" w:eastAsia="Times New Roman" w:hAnsi="Arial" w:cs="Arial"/>
          <w:sz w:val="24"/>
          <w:szCs w:val="24"/>
          <w:lang w:eastAsia="it-IT"/>
        </w:rPr>
        <w:t>P</w:t>
      </w:r>
      <w:r w:rsidR="001042E5">
        <w:rPr>
          <w:rFonts w:ascii="Arial" w:eastAsia="Times New Roman" w:hAnsi="Arial" w:cs="Arial"/>
          <w:sz w:val="24"/>
          <w:szCs w:val="24"/>
          <w:lang w:eastAsia="it-IT"/>
        </w:rPr>
        <w:t>er</w:t>
      </w:r>
      <w:r w:rsidR="00296AD2">
        <w:rPr>
          <w:rFonts w:ascii="Arial" w:eastAsia="Times New Roman" w:hAnsi="Arial" w:cs="Arial"/>
          <w:sz w:val="24"/>
          <w:szCs w:val="24"/>
          <w:lang w:eastAsia="it-IT"/>
        </w:rPr>
        <w:t>-</w:t>
      </w:r>
      <w:r w:rsidR="001042E5">
        <w:rPr>
          <w:rFonts w:ascii="Arial" w:eastAsia="Times New Roman" w:hAnsi="Arial" w:cs="Arial"/>
          <w:sz w:val="24"/>
          <w:szCs w:val="24"/>
          <w:lang w:eastAsia="it-IT"/>
        </w:rPr>
        <w:lastRenderedPageBreak/>
        <w:t xml:space="preserve">protocol </w:t>
      </w:r>
      <w:r w:rsidRPr="00966346">
        <w:rPr>
          <w:rFonts w:ascii="Arial" w:eastAsia="Times New Roman" w:hAnsi="Arial" w:cs="Arial"/>
          <w:sz w:val="24"/>
          <w:szCs w:val="24"/>
          <w:lang w:eastAsia="it-IT"/>
        </w:rPr>
        <w:t>multivariate analysis</w:t>
      </w:r>
      <w:r w:rsidR="00FA0248" w:rsidRPr="00966346">
        <w:rPr>
          <w:rFonts w:ascii="Arial" w:eastAsia="Times New Roman" w:hAnsi="Arial" w:cs="Arial"/>
          <w:sz w:val="24"/>
          <w:szCs w:val="24"/>
          <w:lang w:eastAsia="it-IT"/>
        </w:rPr>
        <w:t xml:space="preserve"> adjusted by induction arm and by prognostic factors and performed on inte</w:t>
      </w:r>
      <w:r w:rsidR="00FA0248" w:rsidRPr="00966346">
        <w:rPr>
          <w:rFonts w:ascii="Arial" w:hAnsi="Arial" w:cs="Arial"/>
          <w:sz w:val="24"/>
          <w:szCs w:val="24"/>
        </w:rPr>
        <w:t>ntion to treat bases</w:t>
      </w:r>
      <w:r w:rsidR="00296AD2">
        <w:rPr>
          <w:rFonts w:ascii="Arial" w:eastAsia="Times New Roman" w:hAnsi="Arial" w:cs="Arial"/>
          <w:sz w:val="24"/>
          <w:szCs w:val="24"/>
          <w:lang w:eastAsia="it-IT"/>
        </w:rPr>
        <w:t xml:space="preserve"> showed that</w:t>
      </w:r>
      <w:r w:rsidR="00296AD2" w:rsidRPr="00966346">
        <w:rPr>
          <w:rFonts w:ascii="Arial" w:eastAsia="Times New Roman" w:hAnsi="Arial" w:cs="Arial"/>
          <w:sz w:val="24"/>
          <w:szCs w:val="24"/>
          <w:lang w:eastAsia="it-IT"/>
        </w:rPr>
        <w:t xml:space="preserve"> </w:t>
      </w:r>
      <w:r w:rsidR="00FA0248" w:rsidRPr="00966346">
        <w:rPr>
          <w:rFonts w:ascii="Arial" w:eastAsia="Times New Roman" w:hAnsi="Arial" w:cs="Arial"/>
          <w:sz w:val="24"/>
          <w:szCs w:val="24"/>
          <w:lang w:eastAsia="it-IT"/>
        </w:rPr>
        <w:t xml:space="preserve">IELSG risk score, </w:t>
      </w:r>
      <w:r w:rsidR="00670AE8" w:rsidRPr="00966346">
        <w:rPr>
          <w:rFonts w:ascii="Arial" w:eastAsia="Times New Roman" w:hAnsi="Arial" w:cs="Arial"/>
          <w:sz w:val="24"/>
          <w:szCs w:val="24"/>
          <w:lang w:eastAsia="it-IT"/>
        </w:rPr>
        <w:t>number of lesions</w:t>
      </w:r>
      <w:r w:rsidRPr="00966346">
        <w:rPr>
          <w:rFonts w:ascii="Arial" w:eastAsia="Times New Roman" w:hAnsi="Arial" w:cs="Arial"/>
          <w:sz w:val="24"/>
          <w:szCs w:val="24"/>
          <w:lang w:eastAsia="it-IT"/>
        </w:rPr>
        <w:t xml:space="preserve"> and induction arm were associated with PFS (Table </w:t>
      </w:r>
      <w:r w:rsidR="00351CA0" w:rsidRPr="00966346">
        <w:rPr>
          <w:rFonts w:ascii="Arial" w:eastAsia="Times New Roman" w:hAnsi="Arial" w:cs="Arial"/>
          <w:sz w:val="24"/>
          <w:szCs w:val="24"/>
          <w:lang w:eastAsia="it-IT"/>
        </w:rPr>
        <w:t>2</w:t>
      </w:r>
      <w:r w:rsidRPr="00966346">
        <w:rPr>
          <w:rFonts w:ascii="Arial" w:eastAsia="Times New Roman" w:hAnsi="Arial" w:cs="Arial"/>
          <w:sz w:val="24"/>
          <w:szCs w:val="24"/>
          <w:lang w:eastAsia="it-IT"/>
        </w:rPr>
        <w:t xml:space="preserve">). </w:t>
      </w:r>
    </w:p>
    <w:p w14:paraId="3E1F22F0" w14:textId="300A31BD" w:rsidR="006708B8" w:rsidRPr="00966346" w:rsidRDefault="00485577" w:rsidP="00485577">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 xml:space="preserve">At progression or relapse (n=38), lymphoma </w:t>
      </w:r>
      <w:r w:rsidRPr="00966346">
        <w:rPr>
          <w:rFonts w:ascii="Arial" w:eastAsia="Times New Roman" w:hAnsi="Arial" w:cs="Arial"/>
          <w:sz w:val="24"/>
          <w:szCs w:val="24"/>
          <w:lang w:val="en-GB" w:eastAsia="it-IT"/>
        </w:rPr>
        <w:t xml:space="preserve">involved the primary site of disease in 92% of cases </w:t>
      </w:r>
      <w:r w:rsidRPr="00966346">
        <w:rPr>
          <w:rFonts w:ascii="Arial" w:eastAsia="Times New Roman" w:hAnsi="Arial" w:cs="Arial"/>
          <w:sz w:val="24"/>
          <w:szCs w:val="24"/>
          <w:lang w:eastAsia="it-IT"/>
        </w:rPr>
        <w:t xml:space="preserve">(Appendix </w:t>
      </w:r>
      <w:r w:rsidR="00053766" w:rsidRPr="00966346">
        <w:rPr>
          <w:rFonts w:ascii="Arial" w:eastAsia="Times New Roman" w:hAnsi="Arial" w:cs="Arial"/>
          <w:sz w:val="24"/>
          <w:szCs w:val="24"/>
          <w:lang w:eastAsia="it-IT"/>
        </w:rPr>
        <w:t>p</w:t>
      </w:r>
      <w:r w:rsidR="00053766">
        <w:rPr>
          <w:rFonts w:ascii="Arial" w:eastAsia="Times New Roman" w:hAnsi="Arial" w:cs="Arial"/>
          <w:sz w:val="24"/>
          <w:szCs w:val="24"/>
          <w:lang w:eastAsia="it-IT"/>
        </w:rPr>
        <w:t>10</w:t>
      </w:r>
      <w:r w:rsidRPr="00966346">
        <w:rPr>
          <w:rFonts w:ascii="Arial" w:eastAsia="Times New Roman" w:hAnsi="Arial" w:cs="Arial"/>
          <w:sz w:val="24"/>
          <w:szCs w:val="24"/>
          <w:lang w:eastAsia="it-IT"/>
        </w:rPr>
        <w:t xml:space="preserve">). Twenty-nine patients received salvage therapy; </w:t>
      </w:r>
      <w:r w:rsidR="006C60BA" w:rsidRPr="00966346">
        <w:rPr>
          <w:rFonts w:ascii="Arial" w:eastAsia="Times New Roman" w:hAnsi="Arial" w:cs="Arial"/>
          <w:sz w:val="24"/>
          <w:szCs w:val="24"/>
          <w:lang w:eastAsia="it-IT"/>
        </w:rPr>
        <w:t xml:space="preserve">the </w:t>
      </w:r>
      <w:r w:rsidRPr="00966346">
        <w:rPr>
          <w:rFonts w:ascii="Arial" w:eastAsia="Times New Roman" w:hAnsi="Arial" w:cs="Arial"/>
          <w:sz w:val="24"/>
          <w:szCs w:val="24"/>
          <w:lang w:eastAsia="it-IT"/>
        </w:rPr>
        <w:t xml:space="preserve">distribution and efficacy of salvage therapy were similar between arms. </w:t>
      </w:r>
      <w:r w:rsidRPr="00966346">
        <w:rPr>
          <w:rFonts w:ascii="Arial" w:eastAsia="Times New Roman" w:hAnsi="Arial" w:cs="Arial"/>
          <w:sz w:val="24"/>
          <w:szCs w:val="24"/>
          <w:lang w:val="en-GB" w:eastAsia="it-IT"/>
        </w:rPr>
        <w:t xml:space="preserve">Overall, 81 (69%) of the 118 randomized patients are alive: 44 (75%) in </w:t>
      </w:r>
      <w:r w:rsidR="0072423D" w:rsidRPr="00966346">
        <w:rPr>
          <w:rFonts w:ascii="Arial" w:eastAsia="Times New Roman" w:hAnsi="Arial" w:cs="Arial"/>
          <w:sz w:val="24"/>
          <w:szCs w:val="24"/>
          <w:lang w:val="en-GB" w:eastAsia="it-IT"/>
        </w:rPr>
        <w:t>arm D(WBRT)</w:t>
      </w:r>
      <w:r w:rsidRPr="00966346">
        <w:rPr>
          <w:rFonts w:ascii="Arial" w:eastAsia="Times New Roman" w:hAnsi="Arial" w:cs="Arial"/>
          <w:sz w:val="24"/>
          <w:szCs w:val="24"/>
          <w:lang w:val="en-GB" w:eastAsia="it-IT"/>
        </w:rPr>
        <w:t xml:space="preserve"> and 37 (63%) in </w:t>
      </w:r>
      <w:r w:rsidR="0072423D" w:rsidRPr="00966346">
        <w:rPr>
          <w:rFonts w:ascii="Arial" w:eastAsia="Times New Roman" w:hAnsi="Arial" w:cs="Arial"/>
          <w:sz w:val="24"/>
          <w:szCs w:val="24"/>
          <w:lang w:val="en-GB" w:eastAsia="it-IT"/>
        </w:rPr>
        <w:t>arm E(ASCT)</w:t>
      </w:r>
      <w:r w:rsidRPr="00966346">
        <w:rPr>
          <w:rFonts w:ascii="Arial" w:eastAsia="Times New Roman" w:hAnsi="Arial" w:cs="Arial"/>
          <w:sz w:val="24"/>
          <w:szCs w:val="24"/>
          <w:lang w:eastAsia="it-IT"/>
        </w:rPr>
        <w:t xml:space="preserve">. </w:t>
      </w:r>
      <w:r w:rsidR="00323DE5" w:rsidRPr="00966346">
        <w:rPr>
          <w:rFonts w:ascii="Arial" w:eastAsia="Times New Roman" w:hAnsi="Arial" w:cs="Arial"/>
          <w:sz w:val="24"/>
          <w:szCs w:val="24"/>
          <w:lang w:val="en-GB" w:eastAsia="it-IT"/>
        </w:rPr>
        <w:t xml:space="preserve">Four (&lt;2%) patients were lost to follow-up whilst disease free at 5-7 months. </w:t>
      </w:r>
      <w:r w:rsidRPr="00966346">
        <w:rPr>
          <w:rFonts w:ascii="Arial" w:eastAsia="Times New Roman" w:hAnsi="Arial" w:cs="Arial"/>
          <w:sz w:val="24"/>
          <w:szCs w:val="24"/>
          <w:lang w:val="en-GB" w:eastAsia="it-IT"/>
        </w:rPr>
        <w:t xml:space="preserve">Causes of death per arm are reported in Appendix </w:t>
      </w:r>
      <w:r w:rsidR="00053766" w:rsidRPr="00966346">
        <w:rPr>
          <w:rFonts w:ascii="Arial" w:eastAsia="Times New Roman" w:hAnsi="Arial" w:cs="Arial"/>
          <w:sz w:val="24"/>
          <w:szCs w:val="24"/>
          <w:lang w:val="en-GB" w:eastAsia="it-IT"/>
        </w:rPr>
        <w:t>p</w:t>
      </w:r>
      <w:r w:rsidR="00053766">
        <w:rPr>
          <w:rFonts w:ascii="Arial" w:eastAsia="Times New Roman" w:hAnsi="Arial" w:cs="Arial"/>
          <w:sz w:val="24"/>
          <w:szCs w:val="24"/>
          <w:lang w:val="en-GB" w:eastAsia="it-IT"/>
        </w:rPr>
        <w:t>10</w:t>
      </w:r>
      <w:r w:rsidRPr="00966346">
        <w:rPr>
          <w:rFonts w:ascii="Arial" w:eastAsia="Times New Roman" w:hAnsi="Arial" w:cs="Arial"/>
          <w:sz w:val="24"/>
          <w:szCs w:val="24"/>
          <w:lang w:val="en-GB" w:eastAsia="it-IT"/>
        </w:rPr>
        <w:t xml:space="preserve">. According to the consolidation arm, the 2-year OS was </w:t>
      </w:r>
      <w:r w:rsidRPr="00966346">
        <w:rPr>
          <w:rFonts w:ascii="Arial" w:eastAsia="Times New Roman" w:hAnsi="Arial" w:cs="Arial"/>
          <w:sz w:val="24"/>
          <w:szCs w:val="24"/>
          <w:lang w:eastAsia="it-IT"/>
        </w:rPr>
        <w:t xml:space="preserve">85% (95%CI=75-95%) and 71% (95%CI=60-82%) respectively for arms D and E (Fig. </w:t>
      </w:r>
      <w:r w:rsidR="00C028B1" w:rsidRPr="00966346">
        <w:rPr>
          <w:rFonts w:ascii="Arial" w:eastAsia="Times New Roman" w:hAnsi="Arial" w:cs="Arial"/>
          <w:sz w:val="24"/>
          <w:szCs w:val="24"/>
          <w:lang w:eastAsia="it-IT"/>
        </w:rPr>
        <w:t>2</w:t>
      </w:r>
      <w:r w:rsidRPr="00966346">
        <w:rPr>
          <w:rFonts w:ascii="Arial" w:eastAsia="Times New Roman" w:hAnsi="Arial" w:cs="Arial"/>
          <w:sz w:val="24"/>
          <w:szCs w:val="24"/>
          <w:lang w:eastAsia="it-IT"/>
        </w:rPr>
        <w:t>C</w:t>
      </w:r>
      <w:r w:rsidR="00FA0248" w:rsidRPr="00966346">
        <w:rPr>
          <w:rFonts w:ascii="Arial" w:eastAsia="Times New Roman" w:hAnsi="Arial" w:cs="Arial"/>
          <w:sz w:val="24"/>
          <w:szCs w:val="24"/>
          <w:lang w:eastAsia="it-IT"/>
        </w:rPr>
        <w:t>) (p=0·12</w:t>
      </w:r>
      <w:r w:rsidRPr="00966346">
        <w:rPr>
          <w:rFonts w:ascii="Arial" w:eastAsia="Times New Roman" w:hAnsi="Arial" w:cs="Arial"/>
          <w:sz w:val="24"/>
          <w:szCs w:val="24"/>
          <w:lang w:eastAsia="it-IT"/>
        </w:rPr>
        <w:t xml:space="preserve">; HR=1·67; 95%CI=0·86-3·23). Per protocol, the 2-year OS was 82% (95%CI=72-92%) for 55 patients treated with WBRT and 77% (95%CI=67-87%) for 58 patients treated with ASCT (Fig. </w:t>
      </w:r>
      <w:r w:rsidR="00C028B1" w:rsidRPr="00966346">
        <w:rPr>
          <w:rFonts w:ascii="Arial" w:eastAsia="Times New Roman" w:hAnsi="Arial" w:cs="Arial"/>
          <w:sz w:val="24"/>
          <w:szCs w:val="24"/>
          <w:lang w:eastAsia="it-IT"/>
        </w:rPr>
        <w:t>2</w:t>
      </w:r>
      <w:r w:rsidRPr="00966346">
        <w:rPr>
          <w:rFonts w:ascii="Arial" w:eastAsia="Times New Roman" w:hAnsi="Arial" w:cs="Arial"/>
          <w:sz w:val="24"/>
          <w:szCs w:val="24"/>
          <w:lang w:eastAsia="it-IT"/>
        </w:rPr>
        <w:t xml:space="preserve">D; p=0·91; HR=1·03; 95%CI=0·52-2·05). </w:t>
      </w:r>
    </w:p>
    <w:p w14:paraId="4B8C1CA4" w14:textId="5D8A7E06" w:rsidR="00B12F00" w:rsidRPr="00966346" w:rsidRDefault="00FA0248" w:rsidP="00B12F00">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An exploratory analysi</w:t>
      </w:r>
      <w:r w:rsidR="004636C5" w:rsidRPr="00966346">
        <w:rPr>
          <w:rFonts w:ascii="Arial" w:eastAsia="Times New Roman" w:hAnsi="Arial" w:cs="Arial"/>
          <w:sz w:val="24"/>
          <w:szCs w:val="24"/>
          <w:lang w:eastAsia="it-IT"/>
        </w:rPr>
        <w:t xml:space="preserve">s </w:t>
      </w:r>
      <w:r w:rsidR="00D50C8B" w:rsidRPr="00966346">
        <w:rPr>
          <w:rFonts w:ascii="Arial" w:eastAsia="Times New Roman" w:hAnsi="Arial" w:cs="Arial"/>
          <w:sz w:val="24"/>
          <w:szCs w:val="24"/>
          <w:lang w:eastAsia="it-IT"/>
        </w:rPr>
        <w:t xml:space="preserve">performed </w:t>
      </w:r>
      <w:r w:rsidRPr="00966346">
        <w:rPr>
          <w:rFonts w:ascii="Arial" w:eastAsia="Times New Roman" w:hAnsi="Arial" w:cs="Arial"/>
          <w:sz w:val="24"/>
          <w:szCs w:val="24"/>
          <w:lang w:eastAsia="it-IT"/>
        </w:rPr>
        <w:t>on the whole series after updated follow-up showed that arm C (MATRix regimen) was significantly more effective than the other two induction arms, both in terms of PFS and OS (</w:t>
      </w:r>
      <w:r w:rsidR="00296AD2">
        <w:rPr>
          <w:rFonts w:ascii="Arial" w:eastAsia="Times New Roman" w:hAnsi="Arial" w:cs="Arial"/>
          <w:sz w:val="24"/>
          <w:szCs w:val="24"/>
          <w:lang w:eastAsia="it-IT"/>
        </w:rPr>
        <w:t>Appendix p</w:t>
      </w:r>
      <w:r w:rsidR="00053766">
        <w:rPr>
          <w:rFonts w:ascii="Arial" w:eastAsia="Times New Roman" w:hAnsi="Arial" w:cs="Arial"/>
          <w:sz w:val="24"/>
          <w:szCs w:val="24"/>
          <w:lang w:eastAsia="it-IT"/>
        </w:rPr>
        <w:t>7</w:t>
      </w:r>
      <w:r w:rsidRPr="00966346">
        <w:rPr>
          <w:rFonts w:ascii="Arial" w:eastAsia="Times New Roman" w:hAnsi="Arial" w:cs="Arial"/>
          <w:sz w:val="24"/>
          <w:szCs w:val="24"/>
          <w:lang w:eastAsia="it-IT"/>
        </w:rPr>
        <w:t>). An analysis limited to patients treated with MATRix regimen and consolidated by WBRT (n=23) or ASCT (n=24) showed a 4-year OS of 85% (95%CI=71-99%) and 83% (95%CI=69-97%) (p= 0</w:t>
      </w:r>
      <w:r w:rsidR="00BE0CD8" w:rsidRPr="00BE0CD8">
        <w:rPr>
          <w:rFonts w:ascii="Arial" w:eastAsia="Times New Roman" w:hAnsi="Arial" w:cs="Arial"/>
          <w:sz w:val="24"/>
          <w:szCs w:val="24"/>
          <w:lang w:eastAsia="it-IT"/>
        </w:rPr>
        <w:t>·</w:t>
      </w:r>
      <w:r w:rsidRPr="00966346">
        <w:rPr>
          <w:rFonts w:ascii="Arial" w:eastAsia="Times New Roman" w:hAnsi="Arial" w:cs="Arial"/>
          <w:sz w:val="24"/>
          <w:szCs w:val="24"/>
          <w:lang w:eastAsia="it-IT"/>
        </w:rPr>
        <w:t xml:space="preserve">39). </w:t>
      </w:r>
      <w:r w:rsidR="00517609" w:rsidRPr="00966346">
        <w:rPr>
          <w:rFonts w:ascii="Arial" w:eastAsia="Times New Roman" w:hAnsi="Arial" w:cs="Arial"/>
          <w:sz w:val="24"/>
          <w:szCs w:val="24"/>
          <w:lang w:eastAsia="it-IT"/>
        </w:rPr>
        <w:t xml:space="preserve">Additional exploratory analyses </w:t>
      </w:r>
      <w:r w:rsidR="004636C5" w:rsidRPr="00966346">
        <w:rPr>
          <w:rFonts w:ascii="Arial" w:eastAsia="Times New Roman" w:hAnsi="Arial" w:cs="Arial"/>
          <w:sz w:val="24"/>
          <w:szCs w:val="24"/>
          <w:lang w:eastAsia="it-IT"/>
        </w:rPr>
        <w:t xml:space="preserve">showed that patients aged 18-59, 60-64 and 65-70 years had similar survival figures (Appendix </w:t>
      </w:r>
      <w:r w:rsidR="00053766" w:rsidRPr="00966346">
        <w:rPr>
          <w:rFonts w:ascii="Arial" w:eastAsia="Times New Roman" w:hAnsi="Arial" w:cs="Arial"/>
          <w:sz w:val="24"/>
          <w:szCs w:val="24"/>
          <w:lang w:eastAsia="it-IT"/>
        </w:rPr>
        <w:t>p</w:t>
      </w:r>
      <w:r w:rsidR="00053766">
        <w:rPr>
          <w:rFonts w:ascii="Arial" w:eastAsia="Times New Roman" w:hAnsi="Arial" w:cs="Arial"/>
          <w:sz w:val="24"/>
          <w:szCs w:val="24"/>
          <w:lang w:eastAsia="it-IT"/>
        </w:rPr>
        <w:t>8</w:t>
      </w:r>
      <w:r w:rsidR="004636C5" w:rsidRPr="00966346">
        <w:rPr>
          <w:rFonts w:ascii="Arial" w:eastAsia="Times New Roman" w:hAnsi="Arial" w:cs="Arial"/>
          <w:sz w:val="24"/>
          <w:szCs w:val="24"/>
          <w:lang w:eastAsia="it-IT"/>
        </w:rPr>
        <w:t xml:space="preserve">), and that WBRT and ASCT were associated with similar PFS curves in the subgroup of patients with positive CSF cytology examination at trial registration (Appendix </w:t>
      </w:r>
      <w:r w:rsidR="00053766" w:rsidRPr="00966346">
        <w:rPr>
          <w:rFonts w:ascii="Arial" w:eastAsia="Times New Roman" w:hAnsi="Arial" w:cs="Arial"/>
          <w:sz w:val="24"/>
          <w:szCs w:val="24"/>
          <w:lang w:eastAsia="it-IT"/>
        </w:rPr>
        <w:t>p</w:t>
      </w:r>
      <w:r w:rsidR="00053766">
        <w:rPr>
          <w:rFonts w:ascii="Arial" w:eastAsia="Times New Roman" w:hAnsi="Arial" w:cs="Arial"/>
          <w:sz w:val="24"/>
          <w:szCs w:val="24"/>
          <w:lang w:eastAsia="it-IT"/>
        </w:rPr>
        <w:t>9</w:t>
      </w:r>
      <w:r w:rsidR="004636C5" w:rsidRPr="00966346">
        <w:rPr>
          <w:rFonts w:ascii="Arial" w:eastAsia="Times New Roman" w:hAnsi="Arial" w:cs="Arial"/>
          <w:sz w:val="24"/>
          <w:szCs w:val="24"/>
          <w:lang w:eastAsia="it-IT"/>
        </w:rPr>
        <w:t xml:space="preserve">). The latter is an interesting issue considering that </w:t>
      </w:r>
      <w:r w:rsidR="00B8606F" w:rsidRPr="00966346">
        <w:rPr>
          <w:rFonts w:ascii="Arial" w:eastAsia="Times New Roman" w:hAnsi="Arial" w:cs="Arial"/>
          <w:sz w:val="24"/>
          <w:szCs w:val="24"/>
          <w:lang w:eastAsia="it-IT"/>
        </w:rPr>
        <w:t>CSF dissemination at diagnosis may be a major limitation for</w:t>
      </w:r>
      <w:r w:rsidR="004636C5" w:rsidRPr="00966346">
        <w:rPr>
          <w:rFonts w:ascii="Arial" w:eastAsia="Times New Roman" w:hAnsi="Arial" w:cs="Arial"/>
          <w:sz w:val="24"/>
          <w:szCs w:val="24"/>
          <w:lang w:eastAsia="it-IT"/>
        </w:rPr>
        <w:t xml:space="preserve"> the use of consolidative WBRT in PCNSL patients.</w:t>
      </w:r>
    </w:p>
    <w:p w14:paraId="5933960B" w14:textId="77777777" w:rsidR="00351CA0" w:rsidRPr="00966346" w:rsidRDefault="00351CA0" w:rsidP="007F3E1C">
      <w:pPr>
        <w:spacing w:after="0" w:line="360" w:lineRule="auto"/>
        <w:jc w:val="both"/>
        <w:rPr>
          <w:rFonts w:ascii="Arial" w:eastAsia="Times New Roman" w:hAnsi="Arial" w:cs="Arial"/>
          <w:i/>
          <w:iCs/>
          <w:sz w:val="24"/>
          <w:szCs w:val="24"/>
          <w:lang w:eastAsia="it-IT"/>
        </w:rPr>
      </w:pPr>
    </w:p>
    <w:p w14:paraId="2B10155D" w14:textId="77777777" w:rsidR="003748E8" w:rsidRPr="00966346" w:rsidRDefault="003748E8" w:rsidP="007F3E1C">
      <w:pPr>
        <w:spacing w:after="0" w:line="360" w:lineRule="auto"/>
        <w:jc w:val="both"/>
        <w:rPr>
          <w:rFonts w:ascii="Arial" w:eastAsia="Times New Roman" w:hAnsi="Arial" w:cs="Arial"/>
          <w:i/>
          <w:iCs/>
          <w:sz w:val="24"/>
          <w:szCs w:val="24"/>
          <w:lang w:val="en-GB" w:eastAsia="it-IT"/>
        </w:rPr>
      </w:pPr>
      <w:r w:rsidRPr="00966346">
        <w:rPr>
          <w:rFonts w:ascii="Arial" w:eastAsia="Times New Roman" w:hAnsi="Arial" w:cs="Arial"/>
          <w:i/>
          <w:iCs/>
          <w:sz w:val="24"/>
          <w:szCs w:val="24"/>
          <w:lang w:val="en-GB" w:eastAsia="it-IT"/>
        </w:rPr>
        <w:t>Feasibility and Tolerability</w:t>
      </w:r>
    </w:p>
    <w:p w14:paraId="231063CF" w14:textId="05F66A41" w:rsidR="00A644AA" w:rsidRPr="00966346" w:rsidRDefault="00A644AA" w:rsidP="007F3E1C">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 xml:space="preserve">Feasibility and toxicity were </w:t>
      </w:r>
      <w:r w:rsidR="001619B3" w:rsidRPr="00966346">
        <w:rPr>
          <w:rFonts w:ascii="Arial" w:eastAsia="Times New Roman" w:hAnsi="Arial" w:cs="Arial"/>
          <w:sz w:val="24"/>
          <w:szCs w:val="24"/>
          <w:lang w:eastAsia="it-IT"/>
        </w:rPr>
        <w:t>analyzed</w:t>
      </w:r>
      <w:r w:rsidRPr="00966346">
        <w:rPr>
          <w:rFonts w:ascii="Arial" w:eastAsia="Times New Roman" w:hAnsi="Arial" w:cs="Arial"/>
          <w:sz w:val="24"/>
          <w:szCs w:val="24"/>
          <w:lang w:eastAsia="it-IT"/>
        </w:rPr>
        <w:t xml:space="preserve"> on per-protocol population. Both consolidation therapies were well tolerated. </w:t>
      </w:r>
      <w:r w:rsidR="00286253" w:rsidRPr="00966346">
        <w:rPr>
          <w:rFonts w:ascii="Arial" w:eastAsia="Times New Roman" w:hAnsi="Arial" w:cs="Arial"/>
          <w:sz w:val="24"/>
          <w:szCs w:val="24"/>
          <w:lang w:eastAsia="it-IT"/>
        </w:rPr>
        <w:t xml:space="preserve">As expected, hematological toxicity was more common </w:t>
      </w:r>
      <w:r w:rsidR="00C028B1" w:rsidRPr="00966346">
        <w:rPr>
          <w:rFonts w:ascii="Arial" w:eastAsia="Times New Roman" w:hAnsi="Arial" w:cs="Arial"/>
          <w:sz w:val="24"/>
          <w:szCs w:val="24"/>
          <w:lang w:eastAsia="it-IT"/>
        </w:rPr>
        <w:t>among patients treated with HDC/ASCT</w:t>
      </w:r>
      <w:r w:rsidR="00C70A19" w:rsidRPr="00966346">
        <w:rPr>
          <w:rFonts w:ascii="Arial" w:eastAsia="Times New Roman" w:hAnsi="Arial" w:cs="Arial"/>
          <w:sz w:val="24"/>
          <w:szCs w:val="24"/>
          <w:lang w:eastAsia="it-IT"/>
        </w:rPr>
        <w:t xml:space="preserve"> (</w:t>
      </w:r>
      <w:r w:rsidR="00286253" w:rsidRPr="00966346">
        <w:rPr>
          <w:rFonts w:ascii="Arial" w:eastAsia="Times New Roman" w:hAnsi="Arial" w:cs="Arial"/>
          <w:sz w:val="24"/>
          <w:szCs w:val="24"/>
          <w:lang w:eastAsia="it-IT"/>
        </w:rPr>
        <w:t xml:space="preserve">Table </w:t>
      </w:r>
      <w:r w:rsidR="00792B48" w:rsidRPr="00966346">
        <w:rPr>
          <w:rFonts w:ascii="Arial" w:eastAsia="Times New Roman" w:hAnsi="Arial" w:cs="Arial"/>
          <w:sz w:val="24"/>
          <w:szCs w:val="24"/>
          <w:lang w:eastAsia="it-IT"/>
        </w:rPr>
        <w:t>3</w:t>
      </w:r>
      <w:r w:rsidR="00286253" w:rsidRPr="00966346">
        <w:rPr>
          <w:rFonts w:ascii="Arial" w:eastAsia="Times New Roman" w:hAnsi="Arial" w:cs="Arial"/>
          <w:sz w:val="24"/>
          <w:szCs w:val="24"/>
          <w:lang w:eastAsia="it-IT"/>
        </w:rPr>
        <w:t>); g</w:t>
      </w:r>
      <w:r w:rsidRPr="00966346">
        <w:rPr>
          <w:rFonts w:ascii="Arial" w:eastAsia="Times New Roman" w:hAnsi="Arial" w:cs="Arial"/>
          <w:sz w:val="24"/>
          <w:szCs w:val="24"/>
          <w:lang w:eastAsia="it-IT"/>
        </w:rPr>
        <w:t>rade</w:t>
      </w:r>
      <w:r w:rsidR="00D54D76" w:rsidRPr="00966346">
        <w:rPr>
          <w:rFonts w:ascii="Arial" w:eastAsia="Times New Roman" w:hAnsi="Arial" w:cs="Arial"/>
          <w:sz w:val="24"/>
          <w:szCs w:val="24"/>
          <w:lang w:eastAsia="it-IT"/>
        </w:rPr>
        <w:t>-</w:t>
      </w:r>
      <w:r w:rsidRPr="00966346">
        <w:rPr>
          <w:rFonts w:ascii="Arial" w:eastAsia="Times New Roman" w:hAnsi="Arial" w:cs="Arial"/>
          <w:sz w:val="24"/>
          <w:szCs w:val="24"/>
          <w:lang w:eastAsia="it-IT"/>
        </w:rPr>
        <w:t xml:space="preserve">4 </w:t>
      </w:r>
      <w:r w:rsidR="00286253" w:rsidRPr="00966346">
        <w:rPr>
          <w:rFonts w:ascii="Arial" w:eastAsia="Times New Roman" w:hAnsi="Arial" w:cs="Arial"/>
          <w:sz w:val="24"/>
          <w:szCs w:val="24"/>
          <w:lang w:eastAsia="it-IT"/>
        </w:rPr>
        <w:t xml:space="preserve">non-hematological </w:t>
      </w:r>
      <w:r w:rsidRPr="00966346">
        <w:rPr>
          <w:rFonts w:ascii="Arial" w:eastAsia="Times New Roman" w:hAnsi="Arial" w:cs="Arial"/>
          <w:sz w:val="24"/>
          <w:szCs w:val="24"/>
          <w:lang w:eastAsia="it-IT"/>
        </w:rPr>
        <w:t>toxicity was uncommon, occurring in ≤5% of patients</w:t>
      </w:r>
      <w:r w:rsidR="00286253" w:rsidRPr="00966346">
        <w:rPr>
          <w:rFonts w:ascii="Arial" w:eastAsia="Times New Roman" w:hAnsi="Arial" w:cs="Arial"/>
          <w:sz w:val="24"/>
          <w:szCs w:val="24"/>
          <w:lang w:eastAsia="it-IT"/>
        </w:rPr>
        <w:t>.</w:t>
      </w:r>
      <w:r w:rsidRPr="00966346">
        <w:rPr>
          <w:rFonts w:ascii="Arial" w:eastAsia="Times New Roman" w:hAnsi="Arial" w:cs="Arial"/>
          <w:sz w:val="24"/>
          <w:szCs w:val="24"/>
          <w:lang w:eastAsia="it-IT"/>
        </w:rPr>
        <w:t xml:space="preserve"> </w:t>
      </w:r>
      <w:r w:rsidR="0072423D" w:rsidRPr="00966346">
        <w:rPr>
          <w:rFonts w:ascii="Arial" w:eastAsia="Times New Roman" w:hAnsi="Arial" w:cs="Arial"/>
          <w:sz w:val="24"/>
          <w:szCs w:val="24"/>
          <w:lang w:eastAsia="it-IT"/>
        </w:rPr>
        <w:t>Acute neurotoxicity was grade≤3, and more common among irradiated patients (18% vs. 7%; p= 0</w:t>
      </w:r>
      <w:r w:rsidR="00BE0CD8" w:rsidRPr="00BE0CD8">
        <w:rPr>
          <w:rFonts w:ascii="Arial" w:eastAsia="Times New Roman" w:hAnsi="Arial" w:cs="Arial"/>
          <w:sz w:val="24"/>
          <w:szCs w:val="24"/>
          <w:lang w:eastAsia="it-IT"/>
        </w:rPr>
        <w:t>·</w:t>
      </w:r>
      <w:r w:rsidR="00BE0CD8" w:rsidRPr="00966346">
        <w:rPr>
          <w:rFonts w:ascii="Arial" w:eastAsia="Times New Roman" w:hAnsi="Arial" w:cs="Arial"/>
          <w:sz w:val="24"/>
          <w:szCs w:val="24"/>
          <w:lang w:eastAsia="it-IT"/>
        </w:rPr>
        <w:t>0</w:t>
      </w:r>
      <w:r w:rsidR="00BE0CD8">
        <w:rPr>
          <w:rFonts w:ascii="Arial" w:eastAsia="Times New Roman" w:hAnsi="Arial" w:cs="Arial"/>
          <w:sz w:val="24"/>
          <w:szCs w:val="24"/>
          <w:lang w:eastAsia="it-IT"/>
        </w:rPr>
        <w:t>89</w:t>
      </w:r>
      <w:r w:rsidR="0072423D" w:rsidRPr="00966346">
        <w:rPr>
          <w:rFonts w:ascii="Arial" w:eastAsia="Times New Roman" w:hAnsi="Arial" w:cs="Arial"/>
          <w:sz w:val="24"/>
          <w:szCs w:val="24"/>
          <w:lang w:eastAsia="it-IT"/>
        </w:rPr>
        <w:t xml:space="preserve">). </w:t>
      </w:r>
      <w:r w:rsidRPr="00966346">
        <w:rPr>
          <w:rFonts w:ascii="Arial" w:eastAsia="Times New Roman" w:hAnsi="Arial" w:cs="Arial"/>
          <w:sz w:val="24"/>
          <w:szCs w:val="24"/>
          <w:lang w:eastAsia="it-IT"/>
        </w:rPr>
        <w:t xml:space="preserve">There were two toxic </w:t>
      </w:r>
      <w:r w:rsidRPr="00966346">
        <w:rPr>
          <w:rFonts w:ascii="Arial" w:eastAsia="Times New Roman" w:hAnsi="Arial" w:cs="Arial"/>
          <w:sz w:val="24"/>
          <w:szCs w:val="24"/>
          <w:lang w:eastAsia="it-IT"/>
        </w:rPr>
        <w:lastRenderedPageBreak/>
        <w:t>deaths</w:t>
      </w:r>
      <w:r w:rsidR="00315A53" w:rsidRPr="00966346">
        <w:rPr>
          <w:rFonts w:ascii="Arial" w:eastAsia="Times New Roman" w:hAnsi="Arial" w:cs="Arial"/>
          <w:sz w:val="24"/>
          <w:szCs w:val="24"/>
          <w:lang w:eastAsia="it-IT"/>
        </w:rPr>
        <w:t xml:space="preserve"> after consolidation</w:t>
      </w:r>
      <w:r w:rsidR="001619B3" w:rsidRPr="00966346">
        <w:rPr>
          <w:rFonts w:ascii="Arial" w:eastAsia="Times New Roman" w:hAnsi="Arial" w:cs="Arial"/>
          <w:sz w:val="24"/>
          <w:szCs w:val="24"/>
          <w:lang w:eastAsia="it-IT"/>
        </w:rPr>
        <w:t>,</w:t>
      </w:r>
      <w:r w:rsidRPr="00966346">
        <w:rPr>
          <w:rFonts w:ascii="Arial" w:eastAsia="Times New Roman" w:hAnsi="Arial" w:cs="Arial"/>
          <w:sz w:val="24"/>
          <w:szCs w:val="24"/>
          <w:lang w:eastAsia="it-IT"/>
        </w:rPr>
        <w:t xml:space="preserve"> both </w:t>
      </w:r>
      <w:r w:rsidR="00D77874" w:rsidRPr="00966346">
        <w:rPr>
          <w:rFonts w:ascii="Arial" w:eastAsia="Times New Roman" w:hAnsi="Arial" w:cs="Arial"/>
          <w:sz w:val="24"/>
          <w:szCs w:val="24"/>
          <w:lang w:eastAsia="it-IT"/>
        </w:rPr>
        <w:t xml:space="preserve">were </w:t>
      </w:r>
      <w:r w:rsidRPr="00966346">
        <w:rPr>
          <w:rFonts w:ascii="Arial" w:eastAsia="Times New Roman" w:hAnsi="Arial" w:cs="Arial"/>
          <w:sz w:val="24"/>
          <w:szCs w:val="24"/>
          <w:lang w:eastAsia="it-IT"/>
        </w:rPr>
        <w:t xml:space="preserve">due to </w:t>
      </w:r>
      <w:r w:rsidR="00D77874" w:rsidRPr="00966346">
        <w:rPr>
          <w:rFonts w:ascii="Arial" w:eastAsia="Times New Roman" w:hAnsi="Arial" w:cs="Arial"/>
          <w:sz w:val="24"/>
          <w:szCs w:val="24"/>
          <w:lang w:eastAsia="it-IT"/>
        </w:rPr>
        <w:t xml:space="preserve">infections and </w:t>
      </w:r>
      <w:r w:rsidRPr="00966346">
        <w:rPr>
          <w:rFonts w:ascii="Arial" w:eastAsia="Times New Roman" w:hAnsi="Arial" w:cs="Arial"/>
          <w:sz w:val="24"/>
          <w:szCs w:val="24"/>
          <w:lang w:eastAsia="it-IT"/>
        </w:rPr>
        <w:t xml:space="preserve">occurred </w:t>
      </w:r>
      <w:r w:rsidR="00EB72AE" w:rsidRPr="00966346">
        <w:rPr>
          <w:rFonts w:ascii="Arial" w:eastAsia="Times New Roman" w:hAnsi="Arial" w:cs="Arial"/>
          <w:sz w:val="24"/>
          <w:szCs w:val="24"/>
          <w:lang w:val="en-GB" w:eastAsia="it-IT"/>
        </w:rPr>
        <w:t xml:space="preserve">one and two months </w:t>
      </w:r>
      <w:r w:rsidR="00C028B1" w:rsidRPr="00966346">
        <w:rPr>
          <w:rFonts w:ascii="Arial" w:eastAsia="Times New Roman" w:hAnsi="Arial" w:cs="Arial"/>
          <w:sz w:val="24"/>
          <w:szCs w:val="24"/>
          <w:lang w:eastAsia="it-IT"/>
        </w:rPr>
        <w:t>after ASCT</w:t>
      </w:r>
      <w:r w:rsidR="00EB72AE" w:rsidRPr="00966346">
        <w:rPr>
          <w:rFonts w:ascii="Arial" w:eastAsia="Times New Roman" w:hAnsi="Arial" w:cs="Arial"/>
          <w:sz w:val="24"/>
          <w:szCs w:val="24"/>
          <w:lang w:val="en-GB" w:eastAsia="it-IT"/>
        </w:rPr>
        <w:t xml:space="preserve"> in patients treated with arm-A and arm-B induction. </w:t>
      </w:r>
      <w:r w:rsidR="00615F97" w:rsidRPr="00966346">
        <w:rPr>
          <w:rFonts w:ascii="Arial" w:eastAsia="Times New Roman" w:hAnsi="Arial" w:cs="Arial"/>
          <w:sz w:val="24"/>
          <w:szCs w:val="24"/>
          <w:lang w:eastAsia="it-IT"/>
        </w:rPr>
        <w:t>T</w:t>
      </w:r>
      <w:r w:rsidR="00315A53" w:rsidRPr="00966346">
        <w:rPr>
          <w:rFonts w:ascii="Arial" w:eastAsia="Times New Roman" w:hAnsi="Arial" w:cs="Arial"/>
          <w:sz w:val="24"/>
          <w:szCs w:val="24"/>
          <w:lang w:eastAsia="it-IT"/>
        </w:rPr>
        <w:t xml:space="preserve">here were nine late </w:t>
      </w:r>
      <w:r w:rsidR="00615F97" w:rsidRPr="00966346">
        <w:rPr>
          <w:rFonts w:ascii="Arial" w:eastAsia="Times New Roman" w:hAnsi="Arial" w:cs="Arial"/>
          <w:sz w:val="24"/>
          <w:szCs w:val="24"/>
          <w:lang w:eastAsia="it-IT"/>
        </w:rPr>
        <w:t xml:space="preserve">lymphoma-unrelated </w:t>
      </w:r>
      <w:r w:rsidR="00315A53" w:rsidRPr="00966346">
        <w:rPr>
          <w:rFonts w:ascii="Arial" w:eastAsia="Times New Roman" w:hAnsi="Arial" w:cs="Arial"/>
          <w:sz w:val="24"/>
          <w:szCs w:val="24"/>
          <w:lang w:eastAsia="it-IT"/>
        </w:rPr>
        <w:t xml:space="preserve">deaths, five after WBRT and four after ASCT (Appendix </w:t>
      </w:r>
      <w:r w:rsidR="00053766" w:rsidRPr="00966346">
        <w:rPr>
          <w:rFonts w:ascii="Arial" w:eastAsia="Times New Roman" w:hAnsi="Arial" w:cs="Arial"/>
          <w:sz w:val="24"/>
          <w:szCs w:val="24"/>
          <w:lang w:eastAsia="it-IT"/>
        </w:rPr>
        <w:t>p</w:t>
      </w:r>
      <w:r w:rsidR="00053766">
        <w:rPr>
          <w:rFonts w:ascii="Arial" w:eastAsia="Times New Roman" w:hAnsi="Arial" w:cs="Arial"/>
          <w:sz w:val="24"/>
          <w:szCs w:val="24"/>
          <w:lang w:eastAsia="it-IT"/>
        </w:rPr>
        <w:t>10</w:t>
      </w:r>
      <w:r w:rsidR="00315A53" w:rsidRPr="00966346">
        <w:rPr>
          <w:rFonts w:ascii="Arial" w:eastAsia="Times New Roman" w:hAnsi="Arial" w:cs="Arial"/>
          <w:sz w:val="24"/>
          <w:szCs w:val="24"/>
          <w:lang w:eastAsia="it-IT"/>
        </w:rPr>
        <w:t>). In detail, two patients, one per arm, died of septic complications during salvage therapy; t</w:t>
      </w:r>
      <w:r w:rsidR="00792B48" w:rsidRPr="00966346">
        <w:rPr>
          <w:rFonts w:ascii="Arial" w:eastAsia="Times New Roman" w:hAnsi="Arial" w:cs="Arial"/>
          <w:sz w:val="24"/>
          <w:szCs w:val="24"/>
          <w:lang w:eastAsia="it-IT"/>
        </w:rPr>
        <w:t xml:space="preserve">here were </w:t>
      </w:r>
      <w:r w:rsidR="00315A53" w:rsidRPr="00966346">
        <w:rPr>
          <w:rFonts w:ascii="Arial" w:eastAsia="Times New Roman" w:hAnsi="Arial" w:cs="Arial"/>
          <w:sz w:val="24"/>
          <w:szCs w:val="24"/>
          <w:lang w:eastAsia="it-IT"/>
        </w:rPr>
        <w:t>seven</w:t>
      </w:r>
      <w:r w:rsidR="00792B48" w:rsidRPr="00966346">
        <w:rPr>
          <w:rFonts w:ascii="Arial" w:eastAsia="Times New Roman" w:hAnsi="Arial" w:cs="Arial"/>
          <w:sz w:val="24"/>
          <w:szCs w:val="24"/>
          <w:lang w:eastAsia="it-IT"/>
        </w:rPr>
        <w:t xml:space="preserve"> late deaths </w:t>
      </w:r>
      <w:r w:rsidR="00315A53" w:rsidRPr="00966346">
        <w:rPr>
          <w:rFonts w:ascii="Arial" w:eastAsia="Times New Roman" w:hAnsi="Arial" w:cs="Arial"/>
          <w:sz w:val="24"/>
          <w:szCs w:val="24"/>
          <w:lang w:eastAsia="it-IT"/>
        </w:rPr>
        <w:t xml:space="preserve">in relapse-free patients, four were </w:t>
      </w:r>
      <w:r w:rsidR="00792B48" w:rsidRPr="00966346">
        <w:rPr>
          <w:rFonts w:ascii="Arial" w:eastAsia="Times New Roman" w:hAnsi="Arial" w:cs="Arial"/>
          <w:sz w:val="24"/>
          <w:szCs w:val="24"/>
          <w:lang w:eastAsia="it-IT"/>
        </w:rPr>
        <w:t>caused by infective complications at 12-33 months</w:t>
      </w:r>
      <w:r w:rsidR="00141921" w:rsidRPr="00966346">
        <w:rPr>
          <w:rFonts w:ascii="Arial" w:eastAsia="Times New Roman" w:hAnsi="Arial" w:cs="Arial"/>
          <w:sz w:val="24"/>
          <w:szCs w:val="24"/>
          <w:lang w:eastAsia="it-IT"/>
        </w:rPr>
        <w:t xml:space="preserve"> of follow-up</w:t>
      </w:r>
      <w:r w:rsidR="00792B48" w:rsidRPr="00966346">
        <w:rPr>
          <w:rFonts w:ascii="Arial" w:eastAsia="Times New Roman" w:hAnsi="Arial" w:cs="Arial"/>
          <w:sz w:val="24"/>
          <w:szCs w:val="24"/>
          <w:lang w:eastAsia="it-IT"/>
        </w:rPr>
        <w:t xml:space="preserve">, and three of them (brain aspergillosis, pneumoniae, Ramsay-Hunt syndrome) occurred after WBRT. </w:t>
      </w:r>
      <w:r w:rsidR="00391DA9" w:rsidRPr="00966346">
        <w:rPr>
          <w:rFonts w:ascii="Arial" w:eastAsia="Times New Roman" w:hAnsi="Arial" w:cs="Arial"/>
          <w:sz w:val="24"/>
          <w:szCs w:val="24"/>
          <w:lang w:eastAsia="it-IT"/>
        </w:rPr>
        <w:t>Other causes of death were</w:t>
      </w:r>
      <w:r w:rsidR="00C028B1" w:rsidRPr="00966346">
        <w:rPr>
          <w:rFonts w:ascii="Arial" w:eastAsia="Times New Roman" w:hAnsi="Arial" w:cs="Arial"/>
          <w:sz w:val="24"/>
          <w:szCs w:val="24"/>
          <w:lang w:eastAsia="it-IT"/>
        </w:rPr>
        <w:t xml:space="preserve"> acute eryth</w:t>
      </w:r>
      <w:r w:rsidR="00315A53" w:rsidRPr="00966346">
        <w:rPr>
          <w:rFonts w:ascii="Arial" w:eastAsia="Times New Roman" w:hAnsi="Arial" w:cs="Arial"/>
          <w:sz w:val="24"/>
          <w:szCs w:val="24"/>
          <w:lang w:eastAsia="it-IT"/>
        </w:rPr>
        <w:t>r</w:t>
      </w:r>
      <w:r w:rsidR="00C028B1" w:rsidRPr="00966346">
        <w:rPr>
          <w:rFonts w:ascii="Arial" w:eastAsia="Times New Roman" w:hAnsi="Arial" w:cs="Arial"/>
          <w:sz w:val="24"/>
          <w:szCs w:val="24"/>
          <w:lang w:eastAsia="it-IT"/>
        </w:rPr>
        <w:t>o</w:t>
      </w:r>
      <w:r w:rsidR="00315A53" w:rsidRPr="00966346">
        <w:rPr>
          <w:rFonts w:ascii="Arial" w:eastAsia="Times New Roman" w:hAnsi="Arial" w:cs="Arial"/>
          <w:sz w:val="24"/>
          <w:szCs w:val="24"/>
          <w:lang w:eastAsia="it-IT"/>
        </w:rPr>
        <w:t xml:space="preserve">id leukemia diagnosed at </w:t>
      </w:r>
      <w:r w:rsidR="00391DA9" w:rsidRPr="00966346">
        <w:rPr>
          <w:rFonts w:ascii="Arial" w:eastAsia="Times New Roman" w:hAnsi="Arial" w:cs="Arial"/>
          <w:sz w:val="24"/>
          <w:szCs w:val="24"/>
          <w:lang w:eastAsia="it-IT"/>
        </w:rPr>
        <w:t>5 years</w:t>
      </w:r>
      <w:r w:rsidR="00315A53" w:rsidRPr="00966346">
        <w:rPr>
          <w:rFonts w:ascii="Arial" w:eastAsia="Times New Roman" w:hAnsi="Arial" w:cs="Arial"/>
          <w:sz w:val="24"/>
          <w:szCs w:val="24"/>
          <w:lang w:eastAsia="it-IT"/>
        </w:rPr>
        <w:t xml:space="preserve"> from ASCT</w:t>
      </w:r>
      <w:r w:rsidR="00391DA9" w:rsidRPr="00966346">
        <w:rPr>
          <w:rFonts w:ascii="Arial" w:eastAsia="Times New Roman" w:hAnsi="Arial" w:cs="Arial"/>
          <w:sz w:val="24"/>
          <w:szCs w:val="24"/>
          <w:lang w:eastAsia="it-IT"/>
        </w:rPr>
        <w:t>, neurological decline in a relapse-free patient at 9 months from ASCT, and a case of sudden death in a patient relapse-free at one year from WBRT</w:t>
      </w:r>
      <w:r w:rsidR="00315A53" w:rsidRPr="00966346">
        <w:rPr>
          <w:rFonts w:ascii="Arial" w:eastAsia="Times New Roman" w:hAnsi="Arial" w:cs="Arial"/>
          <w:sz w:val="24"/>
          <w:szCs w:val="24"/>
          <w:lang w:eastAsia="it-IT"/>
        </w:rPr>
        <w:t xml:space="preserve">. </w:t>
      </w:r>
      <w:r w:rsidR="0072423D" w:rsidRPr="00966346">
        <w:rPr>
          <w:rFonts w:ascii="Arial" w:eastAsia="Times New Roman" w:hAnsi="Arial" w:cs="Arial"/>
          <w:sz w:val="24"/>
          <w:szCs w:val="24"/>
          <w:lang w:val="en-GB" w:eastAsia="it-IT"/>
        </w:rPr>
        <w:t>Among the subgroup of 16 randomized patients ≥65 years old, WBRT (n=11) was well tolerated with a single case of transient grade-4 toxicity (neutropenia); as expected, ASCT (n=5) was invariably associated with grade-4 neutropenia and thrombocytopenia, with a single case of death due to infection at one year of follow-up.</w:t>
      </w:r>
    </w:p>
    <w:p w14:paraId="46D1B991" w14:textId="77777777" w:rsidR="00926265" w:rsidRPr="00966346" w:rsidRDefault="00926265" w:rsidP="007F3E1C">
      <w:pPr>
        <w:spacing w:after="0" w:line="360" w:lineRule="auto"/>
        <w:jc w:val="both"/>
        <w:rPr>
          <w:rFonts w:ascii="Arial" w:eastAsia="Times New Roman" w:hAnsi="Arial" w:cs="Arial"/>
          <w:sz w:val="24"/>
          <w:szCs w:val="24"/>
          <w:lang w:eastAsia="it-IT"/>
        </w:rPr>
      </w:pPr>
    </w:p>
    <w:p w14:paraId="76C8C072" w14:textId="77777777" w:rsidR="00926265" w:rsidRPr="00966346" w:rsidRDefault="003304AF" w:rsidP="007F3E1C">
      <w:pPr>
        <w:spacing w:after="0" w:line="360" w:lineRule="auto"/>
        <w:jc w:val="both"/>
        <w:rPr>
          <w:rFonts w:ascii="Arial" w:eastAsia="Times New Roman" w:hAnsi="Arial" w:cs="Arial"/>
          <w:i/>
          <w:sz w:val="24"/>
          <w:szCs w:val="24"/>
          <w:lang w:eastAsia="it-IT"/>
        </w:rPr>
      </w:pPr>
      <w:r w:rsidRPr="00966346">
        <w:rPr>
          <w:rFonts w:ascii="Arial" w:eastAsia="Times New Roman" w:hAnsi="Arial" w:cs="Arial"/>
          <w:i/>
          <w:sz w:val="24"/>
          <w:szCs w:val="24"/>
          <w:lang w:eastAsia="it-IT"/>
        </w:rPr>
        <w:t>Cognitive functions assessment at baseline and after treatment</w:t>
      </w:r>
    </w:p>
    <w:p w14:paraId="0E8BCE47" w14:textId="407ACF83" w:rsidR="003304AF" w:rsidRPr="00966346" w:rsidRDefault="00C641E0" w:rsidP="007F3E1C">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Fifty-seven</w:t>
      </w:r>
      <w:r w:rsidR="00AC1582" w:rsidRPr="00966346">
        <w:rPr>
          <w:rFonts w:ascii="Arial" w:eastAsia="Times New Roman" w:hAnsi="Arial" w:cs="Arial"/>
          <w:sz w:val="24"/>
          <w:szCs w:val="24"/>
          <w:lang w:eastAsia="it-IT"/>
        </w:rPr>
        <w:t xml:space="preserve"> </w:t>
      </w:r>
      <w:r w:rsidR="00204220" w:rsidRPr="00966346">
        <w:rPr>
          <w:rFonts w:ascii="Arial" w:eastAsia="Times New Roman" w:hAnsi="Arial" w:cs="Arial"/>
          <w:sz w:val="24"/>
          <w:szCs w:val="24"/>
          <w:lang w:eastAsia="it-IT"/>
        </w:rPr>
        <w:t>(</w:t>
      </w:r>
      <w:r w:rsidR="00E453D8" w:rsidRPr="00966346">
        <w:rPr>
          <w:rFonts w:ascii="Arial" w:eastAsia="Times New Roman" w:hAnsi="Arial" w:cs="Arial"/>
          <w:sz w:val="24"/>
          <w:szCs w:val="24"/>
          <w:lang w:eastAsia="it-IT"/>
        </w:rPr>
        <w:t>50</w:t>
      </w:r>
      <w:r w:rsidR="00204220" w:rsidRPr="00966346">
        <w:rPr>
          <w:rFonts w:ascii="Arial" w:eastAsia="Times New Roman" w:hAnsi="Arial" w:cs="Arial"/>
          <w:sz w:val="24"/>
          <w:szCs w:val="24"/>
          <w:lang w:eastAsia="it-IT"/>
        </w:rPr>
        <w:t>%) of the 11</w:t>
      </w:r>
      <w:r w:rsidR="00E453D8" w:rsidRPr="00966346">
        <w:rPr>
          <w:rFonts w:ascii="Arial" w:eastAsia="Times New Roman" w:hAnsi="Arial" w:cs="Arial"/>
          <w:sz w:val="24"/>
          <w:szCs w:val="24"/>
          <w:lang w:eastAsia="it-IT"/>
        </w:rPr>
        <w:t>3</w:t>
      </w:r>
      <w:r w:rsidR="00204220" w:rsidRPr="00966346">
        <w:rPr>
          <w:rFonts w:ascii="Arial" w:eastAsia="Times New Roman" w:hAnsi="Arial" w:cs="Arial"/>
          <w:sz w:val="24"/>
          <w:szCs w:val="24"/>
          <w:lang w:eastAsia="it-IT"/>
        </w:rPr>
        <w:t xml:space="preserve"> </w:t>
      </w:r>
      <w:r w:rsidR="00AC1582" w:rsidRPr="00966346">
        <w:rPr>
          <w:rFonts w:ascii="Arial" w:eastAsia="Times New Roman" w:hAnsi="Arial" w:cs="Arial"/>
          <w:sz w:val="24"/>
          <w:szCs w:val="24"/>
          <w:lang w:eastAsia="it-IT"/>
        </w:rPr>
        <w:t xml:space="preserve">patients </w:t>
      </w:r>
      <w:r w:rsidR="00E453D8" w:rsidRPr="00966346">
        <w:rPr>
          <w:rFonts w:ascii="Arial" w:eastAsia="Times New Roman" w:hAnsi="Arial" w:cs="Arial"/>
          <w:sz w:val="24"/>
          <w:szCs w:val="24"/>
          <w:lang w:eastAsia="it-IT"/>
        </w:rPr>
        <w:t>receiving</w:t>
      </w:r>
      <w:r w:rsidR="00204220" w:rsidRPr="00966346">
        <w:rPr>
          <w:rFonts w:ascii="Arial" w:eastAsia="Times New Roman" w:hAnsi="Arial" w:cs="Arial"/>
          <w:sz w:val="24"/>
          <w:szCs w:val="24"/>
          <w:lang w:eastAsia="it-IT"/>
        </w:rPr>
        <w:t xml:space="preserve"> </w:t>
      </w:r>
      <w:r w:rsidR="00E453D8" w:rsidRPr="00966346">
        <w:rPr>
          <w:rFonts w:ascii="Arial" w:eastAsia="Times New Roman" w:hAnsi="Arial" w:cs="Arial"/>
          <w:sz w:val="24"/>
          <w:szCs w:val="24"/>
          <w:lang w:eastAsia="it-IT"/>
        </w:rPr>
        <w:t xml:space="preserve">consolidation </w:t>
      </w:r>
      <w:r w:rsidR="00C70A19" w:rsidRPr="00966346">
        <w:rPr>
          <w:rFonts w:ascii="Arial" w:eastAsia="Times New Roman" w:hAnsi="Arial" w:cs="Arial"/>
          <w:sz w:val="24"/>
          <w:szCs w:val="24"/>
          <w:lang w:eastAsia="it-IT"/>
        </w:rPr>
        <w:t>(</w:t>
      </w:r>
      <w:r w:rsidR="00E453D8" w:rsidRPr="00966346">
        <w:rPr>
          <w:rFonts w:ascii="Arial" w:eastAsia="Times New Roman" w:hAnsi="Arial" w:cs="Arial"/>
          <w:sz w:val="24"/>
          <w:szCs w:val="24"/>
          <w:lang w:eastAsia="it-IT"/>
        </w:rPr>
        <w:t xml:space="preserve">per protocol; </w:t>
      </w:r>
      <w:r w:rsidR="00C70A19" w:rsidRPr="00966346">
        <w:rPr>
          <w:rFonts w:ascii="Arial" w:eastAsia="Times New Roman" w:hAnsi="Arial" w:cs="Arial"/>
          <w:sz w:val="24"/>
          <w:szCs w:val="24"/>
          <w:lang w:eastAsia="it-IT"/>
        </w:rPr>
        <w:t>3</w:t>
      </w:r>
      <w:r w:rsidR="00295306" w:rsidRPr="00966346">
        <w:rPr>
          <w:rFonts w:ascii="Arial" w:eastAsia="Times New Roman" w:hAnsi="Arial" w:cs="Arial"/>
          <w:sz w:val="24"/>
          <w:szCs w:val="24"/>
          <w:lang w:eastAsia="it-IT"/>
        </w:rPr>
        <w:t>0</w:t>
      </w:r>
      <w:r w:rsidR="00C70A19" w:rsidRPr="00966346">
        <w:rPr>
          <w:rFonts w:ascii="Arial" w:eastAsia="Times New Roman" w:hAnsi="Arial" w:cs="Arial"/>
          <w:sz w:val="24"/>
          <w:szCs w:val="24"/>
          <w:lang w:eastAsia="it-IT"/>
        </w:rPr>
        <w:t xml:space="preserve"> treated with WBRT and 2</w:t>
      </w:r>
      <w:r w:rsidR="0004231A" w:rsidRPr="00966346">
        <w:rPr>
          <w:rFonts w:ascii="Arial" w:eastAsia="Times New Roman" w:hAnsi="Arial" w:cs="Arial"/>
          <w:sz w:val="24"/>
          <w:szCs w:val="24"/>
          <w:lang w:eastAsia="it-IT"/>
        </w:rPr>
        <w:t>7</w:t>
      </w:r>
      <w:r w:rsidR="00C70A19" w:rsidRPr="00966346">
        <w:rPr>
          <w:rFonts w:ascii="Arial" w:eastAsia="Times New Roman" w:hAnsi="Arial" w:cs="Arial"/>
          <w:sz w:val="24"/>
          <w:szCs w:val="24"/>
          <w:lang w:eastAsia="it-IT"/>
        </w:rPr>
        <w:t xml:space="preserve"> treated with ASCT) </w:t>
      </w:r>
      <w:r w:rsidR="00AC1582" w:rsidRPr="00966346">
        <w:rPr>
          <w:rFonts w:ascii="Arial" w:eastAsia="Times New Roman" w:hAnsi="Arial" w:cs="Arial"/>
          <w:sz w:val="24"/>
          <w:szCs w:val="24"/>
          <w:lang w:eastAsia="it-IT"/>
        </w:rPr>
        <w:t xml:space="preserve">were assessable for effects of consolidation </w:t>
      </w:r>
      <w:r w:rsidR="0098702A" w:rsidRPr="00966346">
        <w:rPr>
          <w:rFonts w:ascii="Arial" w:eastAsia="Times New Roman" w:hAnsi="Arial" w:cs="Arial"/>
          <w:sz w:val="24"/>
          <w:szCs w:val="24"/>
          <w:lang w:eastAsia="it-IT"/>
        </w:rPr>
        <w:t>strategies</w:t>
      </w:r>
      <w:r w:rsidR="00AC1582" w:rsidRPr="00966346">
        <w:rPr>
          <w:rFonts w:ascii="Arial" w:eastAsia="Times New Roman" w:hAnsi="Arial" w:cs="Arial"/>
          <w:sz w:val="24"/>
          <w:szCs w:val="24"/>
          <w:lang w:eastAsia="it-IT"/>
        </w:rPr>
        <w:t xml:space="preserve"> on </w:t>
      </w:r>
      <w:r w:rsidR="00AD30E5" w:rsidRPr="00966346">
        <w:rPr>
          <w:rFonts w:ascii="Arial" w:eastAsia="Times New Roman" w:hAnsi="Arial" w:cs="Arial"/>
          <w:sz w:val="24"/>
          <w:szCs w:val="24"/>
          <w:lang w:eastAsia="it-IT"/>
        </w:rPr>
        <w:t>cognitive</w:t>
      </w:r>
      <w:r w:rsidR="00AC1582" w:rsidRPr="00966346">
        <w:rPr>
          <w:rFonts w:ascii="Arial" w:eastAsia="Times New Roman" w:hAnsi="Arial" w:cs="Arial"/>
          <w:sz w:val="24"/>
          <w:szCs w:val="24"/>
          <w:lang w:eastAsia="it-IT"/>
        </w:rPr>
        <w:t xml:space="preserve"> functions and QoL</w:t>
      </w:r>
      <w:r w:rsidR="003D0AA9" w:rsidRPr="00966346">
        <w:rPr>
          <w:rFonts w:ascii="Arial" w:eastAsia="Times New Roman" w:hAnsi="Arial" w:cs="Arial"/>
          <w:sz w:val="24"/>
          <w:szCs w:val="24"/>
          <w:lang w:eastAsia="it-IT"/>
        </w:rPr>
        <w:t xml:space="preserve">. </w:t>
      </w:r>
      <w:r w:rsidR="00141921" w:rsidRPr="00966346">
        <w:rPr>
          <w:rFonts w:ascii="Arial" w:eastAsia="Times New Roman" w:hAnsi="Arial" w:cs="Arial"/>
          <w:sz w:val="24"/>
          <w:szCs w:val="24"/>
          <w:lang w:eastAsia="it-IT"/>
        </w:rPr>
        <w:t xml:space="preserve">Distribution of clinical features in these two subgroups was similar to those of the whole study population, and there were no significant differences between arms (Appendix </w:t>
      </w:r>
      <w:r w:rsidR="00053766" w:rsidRPr="00966346">
        <w:rPr>
          <w:rFonts w:ascii="Arial" w:eastAsia="Times New Roman" w:hAnsi="Arial" w:cs="Arial"/>
          <w:sz w:val="24"/>
          <w:szCs w:val="24"/>
          <w:lang w:eastAsia="it-IT"/>
        </w:rPr>
        <w:t>p1</w:t>
      </w:r>
      <w:r w:rsidR="00053766">
        <w:rPr>
          <w:rFonts w:ascii="Arial" w:eastAsia="Times New Roman" w:hAnsi="Arial" w:cs="Arial"/>
          <w:sz w:val="24"/>
          <w:szCs w:val="24"/>
          <w:lang w:eastAsia="it-IT"/>
        </w:rPr>
        <w:t>1</w:t>
      </w:r>
      <w:r w:rsidR="00141921" w:rsidRPr="00966346">
        <w:rPr>
          <w:rFonts w:ascii="Arial" w:eastAsia="Times New Roman" w:hAnsi="Arial" w:cs="Arial"/>
          <w:sz w:val="24"/>
          <w:szCs w:val="24"/>
          <w:lang w:eastAsia="it-IT"/>
        </w:rPr>
        <w:t xml:space="preserve">). </w:t>
      </w:r>
      <w:r w:rsidR="009B0BE7" w:rsidRPr="00966346">
        <w:rPr>
          <w:rFonts w:ascii="Arial" w:eastAsia="Times New Roman" w:hAnsi="Arial" w:cs="Arial"/>
          <w:sz w:val="24"/>
          <w:szCs w:val="24"/>
          <w:lang w:eastAsia="it-IT"/>
        </w:rPr>
        <w:t>Full n</w:t>
      </w:r>
      <w:r w:rsidR="00F76AA1" w:rsidRPr="00966346">
        <w:rPr>
          <w:rFonts w:ascii="Arial" w:eastAsia="Times New Roman" w:hAnsi="Arial" w:cs="Arial"/>
          <w:sz w:val="24"/>
          <w:szCs w:val="24"/>
          <w:lang w:eastAsia="it-IT"/>
        </w:rPr>
        <w:t xml:space="preserve">europsychological assessment </w:t>
      </w:r>
      <w:r w:rsidR="009065F1" w:rsidRPr="00966346">
        <w:rPr>
          <w:rFonts w:ascii="Arial" w:eastAsia="Times New Roman" w:hAnsi="Arial" w:cs="Arial"/>
          <w:sz w:val="24"/>
          <w:szCs w:val="24"/>
          <w:lang w:eastAsia="it-IT"/>
        </w:rPr>
        <w:t xml:space="preserve">was not conducted on the other randomized patients </w:t>
      </w:r>
      <w:r w:rsidR="003D0AA9" w:rsidRPr="00966346">
        <w:rPr>
          <w:rFonts w:ascii="Arial" w:eastAsia="Times New Roman" w:hAnsi="Arial" w:cs="Arial"/>
          <w:sz w:val="24"/>
          <w:szCs w:val="24"/>
          <w:lang w:eastAsia="it-IT"/>
        </w:rPr>
        <w:t>because</w:t>
      </w:r>
      <w:r w:rsidR="00F76AA1" w:rsidRPr="00966346">
        <w:rPr>
          <w:rFonts w:ascii="Arial" w:eastAsia="Times New Roman" w:hAnsi="Arial" w:cs="Arial"/>
          <w:sz w:val="24"/>
          <w:szCs w:val="24"/>
          <w:lang w:eastAsia="it-IT"/>
        </w:rPr>
        <w:t xml:space="preserve">: </w:t>
      </w:r>
      <w:r w:rsidR="003D0AA9" w:rsidRPr="00966346">
        <w:rPr>
          <w:rFonts w:ascii="Arial" w:eastAsia="Times New Roman" w:hAnsi="Arial" w:cs="Arial"/>
          <w:sz w:val="24"/>
          <w:szCs w:val="24"/>
          <w:lang w:eastAsia="it-IT"/>
        </w:rPr>
        <w:t>3</w:t>
      </w:r>
      <w:r w:rsidR="00295306" w:rsidRPr="00966346">
        <w:rPr>
          <w:rFonts w:ascii="Arial" w:eastAsia="Times New Roman" w:hAnsi="Arial" w:cs="Arial"/>
          <w:sz w:val="24"/>
          <w:szCs w:val="24"/>
          <w:lang w:eastAsia="it-IT"/>
        </w:rPr>
        <w:t>3</w:t>
      </w:r>
      <w:r w:rsidR="003D0AA9" w:rsidRPr="00966346">
        <w:rPr>
          <w:rFonts w:ascii="Arial" w:eastAsia="Times New Roman" w:hAnsi="Arial" w:cs="Arial"/>
          <w:sz w:val="24"/>
          <w:szCs w:val="24"/>
          <w:lang w:eastAsia="it-IT"/>
        </w:rPr>
        <w:t xml:space="preserve"> patients experienced lymphoma relapse</w:t>
      </w:r>
      <w:r w:rsidR="00295306" w:rsidRPr="00966346">
        <w:rPr>
          <w:rFonts w:ascii="Arial" w:eastAsia="Times New Roman" w:hAnsi="Arial" w:cs="Arial"/>
          <w:sz w:val="24"/>
          <w:szCs w:val="24"/>
          <w:lang w:eastAsia="it-IT"/>
        </w:rPr>
        <w:t xml:space="preserve"> (16 patients after WBRT and 17 after ASCT)</w:t>
      </w:r>
      <w:r w:rsidR="003D0AA9" w:rsidRPr="00966346">
        <w:rPr>
          <w:rFonts w:ascii="Arial" w:eastAsia="Times New Roman" w:hAnsi="Arial" w:cs="Arial"/>
          <w:sz w:val="24"/>
          <w:szCs w:val="24"/>
          <w:lang w:eastAsia="it-IT"/>
        </w:rPr>
        <w:t xml:space="preserve">, </w:t>
      </w:r>
      <w:r w:rsidR="00C624BA" w:rsidRPr="00966346">
        <w:rPr>
          <w:rFonts w:ascii="Arial" w:eastAsia="Times New Roman" w:hAnsi="Arial" w:cs="Arial"/>
          <w:sz w:val="24"/>
          <w:szCs w:val="24"/>
          <w:lang w:eastAsia="it-IT"/>
        </w:rPr>
        <w:t>seven</w:t>
      </w:r>
      <w:r w:rsidR="003D0AA9" w:rsidRPr="00966346">
        <w:rPr>
          <w:rFonts w:ascii="Arial" w:eastAsia="Times New Roman" w:hAnsi="Arial" w:cs="Arial"/>
          <w:sz w:val="24"/>
          <w:szCs w:val="24"/>
          <w:lang w:eastAsia="it-IT"/>
        </w:rPr>
        <w:t xml:space="preserve"> died of </w:t>
      </w:r>
      <w:r w:rsidR="00926265" w:rsidRPr="00966346">
        <w:rPr>
          <w:rFonts w:ascii="Arial" w:eastAsia="Times New Roman" w:hAnsi="Arial" w:cs="Arial"/>
          <w:sz w:val="24"/>
          <w:szCs w:val="24"/>
          <w:lang w:eastAsia="it-IT"/>
        </w:rPr>
        <w:t xml:space="preserve">toxicity or </w:t>
      </w:r>
      <w:r w:rsidR="003D0AA9" w:rsidRPr="00966346">
        <w:rPr>
          <w:rFonts w:ascii="Arial" w:eastAsia="Times New Roman" w:hAnsi="Arial" w:cs="Arial"/>
          <w:sz w:val="24"/>
          <w:szCs w:val="24"/>
          <w:lang w:eastAsia="it-IT"/>
        </w:rPr>
        <w:t>unrelated causes while relapse free</w:t>
      </w:r>
      <w:r w:rsidR="00C624BA" w:rsidRPr="00966346">
        <w:rPr>
          <w:rFonts w:ascii="Arial" w:eastAsia="Times New Roman" w:hAnsi="Arial" w:cs="Arial"/>
          <w:sz w:val="24"/>
          <w:szCs w:val="24"/>
          <w:lang w:eastAsia="it-IT"/>
        </w:rPr>
        <w:t xml:space="preserve"> (three after WBRT and four after ASCT)</w:t>
      </w:r>
      <w:r w:rsidR="003D0AA9" w:rsidRPr="00966346">
        <w:rPr>
          <w:rFonts w:ascii="Arial" w:eastAsia="Times New Roman" w:hAnsi="Arial" w:cs="Arial"/>
          <w:sz w:val="24"/>
          <w:szCs w:val="24"/>
          <w:lang w:eastAsia="it-IT"/>
        </w:rPr>
        <w:t xml:space="preserve">, </w:t>
      </w:r>
      <w:r w:rsidR="00C624BA" w:rsidRPr="00966346">
        <w:rPr>
          <w:rFonts w:ascii="Arial" w:eastAsia="Times New Roman" w:hAnsi="Arial" w:cs="Arial"/>
          <w:sz w:val="24"/>
          <w:szCs w:val="24"/>
          <w:lang w:eastAsia="it-IT"/>
        </w:rPr>
        <w:t>five</w:t>
      </w:r>
      <w:r w:rsidR="006502A6" w:rsidRPr="00966346">
        <w:rPr>
          <w:rFonts w:ascii="Arial" w:eastAsia="Times New Roman" w:hAnsi="Arial" w:cs="Arial"/>
          <w:sz w:val="24"/>
          <w:szCs w:val="24"/>
          <w:lang w:eastAsia="it-IT"/>
        </w:rPr>
        <w:t xml:space="preserve"> refused neuropsychological </w:t>
      </w:r>
      <w:r w:rsidR="00053603" w:rsidRPr="00966346">
        <w:rPr>
          <w:rFonts w:ascii="Arial" w:eastAsia="Times New Roman" w:hAnsi="Arial" w:cs="Arial"/>
          <w:sz w:val="24"/>
          <w:szCs w:val="24"/>
          <w:lang w:eastAsia="it-IT"/>
        </w:rPr>
        <w:t>tests</w:t>
      </w:r>
      <w:r w:rsidR="00C624BA" w:rsidRPr="00966346">
        <w:rPr>
          <w:rFonts w:ascii="Arial" w:eastAsia="Times New Roman" w:hAnsi="Arial" w:cs="Arial"/>
          <w:sz w:val="24"/>
          <w:szCs w:val="24"/>
          <w:lang w:eastAsia="it-IT"/>
        </w:rPr>
        <w:t xml:space="preserve"> (two after WBRT and three after ASCT)</w:t>
      </w:r>
      <w:r w:rsidR="006502A6" w:rsidRPr="00966346">
        <w:rPr>
          <w:rFonts w:ascii="Arial" w:eastAsia="Times New Roman" w:hAnsi="Arial" w:cs="Arial"/>
          <w:sz w:val="24"/>
          <w:szCs w:val="24"/>
          <w:lang w:eastAsia="it-IT"/>
        </w:rPr>
        <w:t xml:space="preserve">, and </w:t>
      </w:r>
      <w:r w:rsidR="00C624BA" w:rsidRPr="00966346">
        <w:rPr>
          <w:rFonts w:ascii="Arial" w:eastAsia="Times New Roman" w:hAnsi="Arial" w:cs="Arial"/>
          <w:sz w:val="24"/>
          <w:szCs w:val="24"/>
          <w:lang w:eastAsia="it-IT"/>
        </w:rPr>
        <w:t>11</w:t>
      </w:r>
      <w:r w:rsidR="003D0AA9" w:rsidRPr="00966346">
        <w:rPr>
          <w:rFonts w:ascii="Arial" w:eastAsia="Times New Roman" w:hAnsi="Arial" w:cs="Arial"/>
          <w:sz w:val="24"/>
          <w:szCs w:val="24"/>
          <w:lang w:eastAsia="it-IT"/>
        </w:rPr>
        <w:t xml:space="preserve"> had </w:t>
      </w:r>
      <w:r w:rsidR="006502A6" w:rsidRPr="00966346">
        <w:rPr>
          <w:rFonts w:ascii="Arial" w:eastAsia="Times New Roman" w:hAnsi="Arial" w:cs="Arial"/>
          <w:sz w:val="24"/>
          <w:szCs w:val="24"/>
          <w:lang w:eastAsia="it-IT"/>
        </w:rPr>
        <w:t>incomplete neuropsychological assessments</w:t>
      </w:r>
      <w:r w:rsidR="00C624BA" w:rsidRPr="00966346">
        <w:rPr>
          <w:rFonts w:ascii="Arial" w:eastAsia="Times New Roman" w:hAnsi="Arial" w:cs="Arial"/>
          <w:sz w:val="24"/>
          <w:szCs w:val="24"/>
          <w:lang w:eastAsia="it-IT"/>
        </w:rPr>
        <w:t xml:space="preserve"> (four after WBRT and seven after ASCT)</w:t>
      </w:r>
      <w:r w:rsidR="006502A6" w:rsidRPr="00966346">
        <w:rPr>
          <w:rFonts w:ascii="Arial" w:eastAsia="Times New Roman" w:hAnsi="Arial" w:cs="Arial"/>
          <w:sz w:val="24"/>
          <w:szCs w:val="24"/>
          <w:lang w:eastAsia="it-IT"/>
        </w:rPr>
        <w:t xml:space="preserve">. </w:t>
      </w:r>
      <w:r w:rsidR="00AC1582" w:rsidRPr="00966346">
        <w:rPr>
          <w:rFonts w:ascii="Arial" w:eastAsia="Times New Roman" w:hAnsi="Arial" w:cs="Arial"/>
          <w:sz w:val="24"/>
          <w:szCs w:val="24"/>
          <w:lang w:eastAsia="it-IT"/>
        </w:rPr>
        <w:t>Pre-morbid IQ estimation by NART test showed a mean value ± standard error of 100 ± 7 for WBRT patients and 105 ± 8 for ASCT patients</w:t>
      </w:r>
      <w:r w:rsidR="00C67C41" w:rsidRPr="00966346">
        <w:rPr>
          <w:rFonts w:ascii="Arial" w:eastAsia="Times New Roman" w:hAnsi="Arial" w:cs="Arial"/>
          <w:sz w:val="24"/>
          <w:szCs w:val="24"/>
          <w:lang w:eastAsia="it-IT"/>
        </w:rPr>
        <w:t xml:space="preserve"> (p= 0</w:t>
      </w:r>
      <w:r w:rsidR="00D161B3" w:rsidRPr="00966346">
        <w:rPr>
          <w:rFonts w:ascii="Arial" w:eastAsia="Times New Roman" w:hAnsi="Arial" w:cs="Arial"/>
          <w:sz w:val="24"/>
          <w:szCs w:val="24"/>
          <w:lang w:eastAsia="it-IT"/>
        </w:rPr>
        <w:t>·</w:t>
      </w:r>
      <w:r w:rsidR="00C67C41" w:rsidRPr="00966346">
        <w:rPr>
          <w:rFonts w:ascii="Arial" w:eastAsia="Times New Roman" w:hAnsi="Arial" w:cs="Arial"/>
          <w:sz w:val="24"/>
          <w:szCs w:val="24"/>
          <w:lang w:eastAsia="it-IT"/>
        </w:rPr>
        <w:t>40)</w:t>
      </w:r>
      <w:r w:rsidR="00AC1582" w:rsidRPr="00966346">
        <w:rPr>
          <w:rFonts w:ascii="Arial" w:eastAsia="Times New Roman" w:hAnsi="Arial" w:cs="Arial"/>
          <w:sz w:val="24"/>
          <w:szCs w:val="24"/>
          <w:lang w:eastAsia="it-IT"/>
        </w:rPr>
        <w:t xml:space="preserve">. </w:t>
      </w:r>
      <w:r w:rsidR="0029207B" w:rsidRPr="00966346">
        <w:rPr>
          <w:rFonts w:ascii="Arial" w:eastAsia="Times New Roman" w:hAnsi="Arial" w:cs="Arial"/>
          <w:sz w:val="24"/>
          <w:szCs w:val="24"/>
          <w:lang w:eastAsia="it-IT"/>
        </w:rPr>
        <w:t xml:space="preserve">Neuropsychological tests performed after treatment conclusion showed a </w:t>
      </w:r>
      <w:r w:rsidR="006C60BA" w:rsidRPr="00966346">
        <w:rPr>
          <w:rFonts w:ascii="Arial" w:eastAsia="Times New Roman" w:hAnsi="Arial" w:cs="Arial"/>
          <w:sz w:val="24"/>
          <w:szCs w:val="24"/>
          <w:lang w:eastAsia="it-IT"/>
        </w:rPr>
        <w:t>rapid</w:t>
      </w:r>
      <w:r w:rsidR="0029207B" w:rsidRPr="00966346">
        <w:rPr>
          <w:rFonts w:ascii="Arial" w:eastAsia="Times New Roman" w:hAnsi="Arial" w:cs="Arial"/>
          <w:sz w:val="24"/>
          <w:szCs w:val="24"/>
          <w:lang w:eastAsia="it-IT"/>
        </w:rPr>
        <w:t xml:space="preserve"> improvement in the majority of assessed cognitive functions and QoL</w:t>
      </w:r>
      <w:r w:rsidR="00926265" w:rsidRPr="00966346">
        <w:rPr>
          <w:rFonts w:ascii="Arial" w:eastAsia="Times New Roman" w:hAnsi="Arial" w:cs="Arial"/>
          <w:sz w:val="24"/>
          <w:szCs w:val="24"/>
          <w:lang w:eastAsia="it-IT"/>
        </w:rPr>
        <w:t xml:space="preserve"> (</w:t>
      </w:r>
      <w:r w:rsidR="00A90665" w:rsidRPr="00966346">
        <w:rPr>
          <w:rFonts w:ascii="Arial" w:eastAsia="Times New Roman" w:hAnsi="Arial" w:cs="Arial"/>
          <w:sz w:val="24"/>
          <w:szCs w:val="24"/>
          <w:lang w:eastAsia="it-IT"/>
        </w:rPr>
        <w:t xml:space="preserve">Fig. </w:t>
      </w:r>
      <w:r w:rsidR="00053766">
        <w:rPr>
          <w:rFonts w:ascii="Arial" w:eastAsia="Times New Roman" w:hAnsi="Arial" w:cs="Arial"/>
          <w:sz w:val="24"/>
          <w:szCs w:val="24"/>
          <w:lang w:eastAsia="it-IT"/>
        </w:rPr>
        <w:t>3</w:t>
      </w:r>
      <w:r w:rsidR="00926265" w:rsidRPr="00966346">
        <w:rPr>
          <w:rFonts w:ascii="Arial" w:eastAsia="Times New Roman" w:hAnsi="Arial" w:cs="Arial"/>
          <w:sz w:val="24"/>
          <w:szCs w:val="24"/>
          <w:lang w:eastAsia="it-IT"/>
        </w:rPr>
        <w:t>)</w:t>
      </w:r>
      <w:r w:rsidR="007F18FE" w:rsidRPr="00966346">
        <w:rPr>
          <w:rFonts w:ascii="Arial" w:eastAsia="Times New Roman" w:hAnsi="Arial" w:cs="Arial"/>
          <w:sz w:val="24"/>
          <w:szCs w:val="24"/>
          <w:lang w:eastAsia="it-IT"/>
        </w:rPr>
        <w:t xml:space="preserve">. </w:t>
      </w:r>
      <w:r w:rsidR="00391DA9" w:rsidRPr="00966346">
        <w:rPr>
          <w:rFonts w:ascii="Arial" w:eastAsia="Times New Roman" w:hAnsi="Arial" w:cs="Arial"/>
          <w:sz w:val="24"/>
          <w:szCs w:val="24"/>
          <w:lang w:eastAsia="it-IT"/>
        </w:rPr>
        <w:t>The analysis of delta values between post-treatment and baseline scores showed a</w:t>
      </w:r>
      <w:r w:rsidR="0029207B" w:rsidRPr="00966346">
        <w:rPr>
          <w:rFonts w:ascii="Arial" w:eastAsia="Times New Roman" w:hAnsi="Arial" w:cs="Arial"/>
          <w:sz w:val="24"/>
          <w:szCs w:val="24"/>
          <w:lang w:eastAsia="it-IT"/>
        </w:rPr>
        <w:t xml:space="preserve"> </w:t>
      </w:r>
      <w:r w:rsidR="00F91276" w:rsidRPr="00966346">
        <w:rPr>
          <w:rFonts w:ascii="Arial" w:eastAsia="Times New Roman" w:hAnsi="Arial" w:cs="Arial"/>
          <w:sz w:val="24"/>
          <w:szCs w:val="24"/>
          <w:lang w:eastAsia="it-IT"/>
        </w:rPr>
        <w:t>significant</w:t>
      </w:r>
      <w:r w:rsidR="00391DA9" w:rsidRPr="00966346">
        <w:rPr>
          <w:rFonts w:ascii="Arial" w:eastAsia="Times New Roman" w:hAnsi="Arial" w:cs="Arial"/>
          <w:sz w:val="24"/>
          <w:szCs w:val="24"/>
          <w:lang w:eastAsia="it-IT"/>
        </w:rPr>
        <w:t xml:space="preserve"> improvement of</w:t>
      </w:r>
      <w:r w:rsidR="0029207B" w:rsidRPr="00966346">
        <w:rPr>
          <w:rFonts w:ascii="Arial" w:eastAsia="Times New Roman" w:hAnsi="Arial" w:cs="Arial"/>
          <w:sz w:val="24"/>
          <w:szCs w:val="24"/>
          <w:lang w:eastAsia="it-IT"/>
        </w:rPr>
        <w:t xml:space="preserve"> </w:t>
      </w:r>
      <w:r w:rsidR="00F91276" w:rsidRPr="00966346">
        <w:rPr>
          <w:rFonts w:ascii="Arial" w:eastAsia="Times New Roman" w:hAnsi="Arial" w:cs="Arial"/>
          <w:sz w:val="24"/>
          <w:szCs w:val="24"/>
          <w:lang w:eastAsia="it-IT"/>
        </w:rPr>
        <w:t>attention</w:t>
      </w:r>
      <w:r w:rsidR="00403E88" w:rsidRPr="00966346">
        <w:rPr>
          <w:rFonts w:ascii="Arial" w:eastAsia="Times New Roman" w:hAnsi="Arial" w:cs="Arial"/>
          <w:sz w:val="24"/>
          <w:szCs w:val="24"/>
          <w:lang w:eastAsia="it-IT"/>
        </w:rPr>
        <w:t>/</w:t>
      </w:r>
      <w:r w:rsidR="00F91276" w:rsidRPr="00966346">
        <w:rPr>
          <w:rFonts w:ascii="Arial" w:eastAsia="Times New Roman" w:hAnsi="Arial" w:cs="Arial"/>
          <w:sz w:val="24"/>
          <w:szCs w:val="24"/>
          <w:lang w:eastAsia="it-IT"/>
        </w:rPr>
        <w:t xml:space="preserve">executive </w:t>
      </w:r>
      <w:r w:rsidR="00391DA9" w:rsidRPr="00966346">
        <w:rPr>
          <w:rFonts w:ascii="Arial" w:eastAsia="Times New Roman" w:hAnsi="Arial" w:cs="Arial"/>
          <w:sz w:val="24"/>
          <w:szCs w:val="24"/>
          <w:lang w:eastAsia="it-IT"/>
        </w:rPr>
        <w:t xml:space="preserve">functions </w:t>
      </w:r>
      <w:r w:rsidR="00F91276" w:rsidRPr="00966346">
        <w:rPr>
          <w:rFonts w:ascii="Arial" w:eastAsia="Times New Roman" w:hAnsi="Arial" w:cs="Arial"/>
          <w:sz w:val="24"/>
          <w:szCs w:val="24"/>
          <w:lang w:eastAsia="it-IT"/>
        </w:rPr>
        <w:t xml:space="preserve">(Trail Making Test A, Trail </w:t>
      </w:r>
      <w:r w:rsidR="00F91276" w:rsidRPr="00966346">
        <w:rPr>
          <w:rFonts w:ascii="Arial" w:eastAsia="Times New Roman" w:hAnsi="Arial" w:cs="Arial"/>
          <w:sz w:val="24"/>
          <w:szCs w:val="24"/>
          <w:lang w:eastAsia="it-IT"/>
        </w:rPr>
        <w:lastRenderedPageBreak/>
        <w:t>Making Test B, Trail Making Test B-A</w:t>
      </w:r>
      <w:r w:rsidR="00316D2F" w:rsidRPr="00966346">
        <w:rPr>
          <w:rFonts w:ascii="Arial" w:eastAsia="Times New Roman" w:hAnsi="Arial" w:cs="Arial"/>
          <w:sz w:val="24"/>
          <w:szCs w:val="24"/>
          <w:lang w:eastAsia="it-IT"/>
        </w:rPr>
        <w:t xml:space="preserve">, </w:t>
      </w:r>
      <w:r w:rsidR="00FC330C" w:rsidRPr="00966346">
        <w:rPr>
          <w:rFonts w:ascii="Arial" w:eastAsia="Times New Roman" w:hAnsi="Arial" w:cs="Arial"/>
          <w:sz w:val="24"/>
          <w:szCs w:val="24"/>
          <w:lang w:eastAsia="it-IT"/>
        </w:rPr>
        <w:t>Phonemic</w:t>
      </w:r>
      <w:r w:rsidR="00316D2F" w:rsidRPr="00966346">
        <w:rPr>
          <w:rFonts w:ascii="Arial" w:eastAsia="Times New Roman" w:hAnsi="Arial" w:cs="Arial"/>
          <w:sz w:val="24"/>
          <w:szCs w:val="24"/>
          <w:lang w:eastAsia="it-IT"/>
        </w:rPr>
        <w:t xml:space="preserve"> Verbal Fluency</w:t>
      </w:r>
      <w:r w:rsidR="00F91276" w:rsidRPr="00966346">
        <w:rPr>
          <w:rFonts w:ascii="Arial" w:eastAsia="Times New Roman" w:hAnsi="Arial" w:cs="Arial"/>
          <w:sz w:val="24"/>
          <w:szCs w:val="24"/>
          <w:lang w:eastAsia="it-IT"/>
        </w:rPr>
        <w:t>)</w:t>
      </w:r>
      <w:r w:rsidR="00733D01" w:rsidRPr="00966346">
        <w:rPr>
          <w:rFonts w:ascii="Arial" w:eastAsia="Times New Roman" w:hAnsi="Arial" w:cs="Arial"/>
          <w:sz w:val="24"/>
          <w:szCs w:val="24"/>
          <w:lang w:eastAsia="it-IT"/>
        </w:rPr>
        <w:t xml:space="preserve"> </w:t>
      </w:r>
      <w:r w:rsidR="00316D2F" w:rsidRPr="00966346">
        <w:rPr>
          <w:rFonts w:ascii="Arial" w:eastAsia="Times New Roman" w:hAnsi="Arial" w:cs="Arial"/>
          <w:sz w:val="24"/>
          <w:szCs w:val="24"/>
          <w:lang w:eastAsia="it-IT"/>
        </w:rPr>
        <w:t xml:space="preserve">and </w:t>
      </w:r>
      <w:proofErr w:type="spellStart"/>
      <w:r w:rsidR="00316D2F" w:rsidRPr="00966346">
        <w:rPr>
          <w:rFonts w:ascii="Arial" w:eastAsia="Times New Roman" w:hAnsi="Arial" w:cs="Arial"/>
          <w:sz w:val="24"/>
          <w:szCs w:val="24"/>
          <w:lang w:eastAsia="it-IT"/>
        </w:rPr>
        <w:t>visuo</w:t>
      </w:r>
      <w:proofErr w:type="spellEnd"/>
      <w:r w:rsidR="00316D2F" w:rsidRPr="00966346">
        <w:rPr>
          <w:rFonts w:ascii="Arial" w:eastAsia="Times New Roman" w:hAnsi="Arial" w:cs="Arial"/>
          <w:sz w:val="24"/>
          <w:szCs w:val="24"/>
          <w:lang w:eastAsia="it-IT"/>
        </w:rPr>
        <w:t xml:space="preserve">-constructive abilities </w:t>
      </w:r>
      <w:r w:rsidR="00733D01" w:rsidRPr="00966346">
        <w:rPr>
          <w:rFonts w:ascii="Arial" w:eastAsia="Times New Roman" w:hAnsi="Arial" w:cs="Arial"/>
          <w:sz w:val="24"/>
          <w:szCs w:val="24"/>
          <w:lang w:eastAsia="it-IT"/>
        </w:rPr>
        <w:t>(Rey Complex Figure Copy Test)</w:t>
      </w:r>
      <w:r w:rsidR="00F91276" w:rsidRPr="00966346">
        <w:rPr>
          <w:rFonts w:ascii="Arial" w:eastAsia="Times New Roman" w:hAnsi="Arial" w:cs="Arial"/>
          <w:sz w:val="24"/>
          <w:szCs w:val="24"/>
          <w:lang w:eastAsia="it-IT"/>
        </w:rPr>
        <w:t xml:space="preserve"> </w:t>
      </w:r>
      <w:r w:rsidR="0029207B" w:rsidRPr="00966346">
        <w:rPr>
          <w:rFonts w:ascii="Arial" w:eastAsia="Times New Roman" w:hAnsi="Arial" w:cs="Arial"/>
          <w:sz w:val="24"/>
          <w:szCs w:val="24"/>
          <w:lang w:eastAsia="it-IT"/>
        </w:rPr>
        <w:t xml:space="preserve">in </w:t>
      </w:r>
      <w:r w:rsidR="00926265" w:rsidRPr="00966346">
        <w:rPr>
          <w:rFonts w:ascii="Arial" w:eastAsia="Times New Roman" w:hAnsi="Arial" w:cs="Arial"/>
          <w:sz w:val="24"/>
          <w:szCs w:val="24"/>
          <w:lang w:eastAsia="it-IT"/>
        </w:rPr>
        <w:t>patients treated with ASCT</w:t>
      </w:r>
      <w:r w:rsidR="0029207B" w:rsidRPr="00966346">
        <w:rPr>
          <w:rFonts w:ascii="Arial" w:eastAsia="Times New Roman" w:hAnsi="Arial" w:cs="Arial"/>
          <w:sz w:val="24"/>
          <w:szCs w:val="24"/>
          <w:lang w:eastAsia="it-IT"/>
        </w:rPr>
        <w:t xml:space="preserve"> </w:t>
      </w:r>
      <w:r w:rsidR="00733D01" w:rsidRPr="00966346">
        <w:rPr>
          <w:rFonts w:ascii="Arial" w:eastAsia="Times New Roman" w:hAnsi="Arial" w:cs="Arial"/>
          <w:sz w:val="24"/>
          <w:szCs w:val="24"/>
          <w:lang w:eastAsia="it-IT"/>
        </w:rPr>
        <w:t>(</w:t>
      </w:r>
      <w:r w:rsidR="00DA5843" w:rsidRPr="00966346">
        <w:rPr>
          <w:rFonts w:ascii="Arial" w:eastAsia="Times New Roman" w:hAnsi="Arial" w:cs="Arial"/>
          <w:sz w:val="24"/>
          <w:szCs w:val="24"/>
          <w:lang w:eastAsia="it-IT"/>
        </w:rPr>
        <w:t xml:space="preserve">Fig. </w:t>
      </w:r>
      <w:r w:rsidR="00053766">
        <w:rPr>
          <w:rFonts w:ascii="Arial" w:eastAsia="Times New Roman" w:hAnsi="Arial" w:cs="Arial"/>
          <w:sz w:val="24"/>
          <w:szCs w:val="24"/>
          <w:lang w:eastAsia="it-IT"/>
        </w:rPr>
        <w:t>3</w:t>
      </w:r>
      <w:r w:rsidR="00733D01" w:rsidRPr="00966346">
        <w:rPr>
          <w:rFonts w:ascii="Arial" w:eastAsia="Times New Roman" w:hAnsi="Arial" w:cs="Arial"/>
          <w:sz w:val="24"/>
          <w:szCs w:val="24"/>
          <w:lang w:eastAsia="it-IT"/>
        </w:rPr>
        <w:t>)</w:t>
      </w:r>
      <w:r w:rsidR="0029207B" w:rsidRPr="00966346">
        <w:rPr>
          <w:rFonts w:ascii="Arial" w:eastAsia="Times New Roman" w:hAnsi="Arial" w:cs="Arial"/>
          <w:sz w:val="24"/>
          <w:szCs w:val="24"/>
          <w:lang w:eastAsia="it-IT"/>
        </w:rPr>
        <w:t xml:space="preserve">. </w:t>
      </w:r>
    </w:p>
    <w:p w14:paraId="24752CD2" w14:textId="77777777" w:rsidR="003304AF" w:rsidRPr="00966346" w:rsidRDefault="003304AF" w:rsidP="007F3E1C">
      <w:pPr>
        <w:spacing w:after="0" w:line="360" w:lineRule="auto"/>
        <w:jc w:val="both"/>
        <w:rPr>
          <w:rFonts w:ascii="Arial" w:eastAsia="Times New Roman" w:hAnsi="Arial" w:cs="Arial"/>
          <w:sz w:val="24"/>
          <w:szCs w:val="24"/>
          <w:lang w:eastAsia="it-IT"/>
        </w:rPr>
      </w:pPr>
    </w:p>
    <w:p w14:paraId="3E454284" w14:textId="77777777" w:rsidR="003304AF" w:rsidRPr="00966346" w:rsidRDefault="003304AF" w:rsidP="007F3E1C">
      <w:pPr>
        <w:spacing w:after="0" w:line="360" w:lineRule="auto"/>
        <w:jc w:val="both"/>
        <w:rPr>
          <w:rFonts w:ascii="Arial" w:eastAsia="Times New Roman" w:hAnsi="Arial" w:cs="Arial"/>
          <w:i/>
          <w:sz w:val="24"/>
          <w:szCs w:val="24"/>
          <w:lang w:eastAsia="it-IT"/>
        </w:rPr>
      </w:pPr>
      <w:r w:rsidRPr="00966346">
        <w:rPr>
          <w:rFonts w:ascii="Arial" w:eastAsia="Times New Roman" w:hAnsi="Arial" w:cs="Arial"/>
          <w:i/>
          <w:sz w:val="24"/>
          <w:szCs w:val="24"/>
          <w:lang w:eastAsia="it-IT"/>
        </w:rPr>
        <w:t>Late effect</w:t>
      </w:r>
      <w:r w:rsidR="00114779" w:rsidRPr="00966346">
        <w:rPr>
          <w:rFonts w:ascii="Arial" w:eastAsia="Times New Roman" w:hAnsi="Arial" w:cs="Arial"/>
          <w:i/>
          <w:sz w:val="24"/>
          <w:szCs w:val="24"/>
          <w:lang w:eastAsia="it-IT"/>
        </w:rPr>
        <w:t>s</w:t>
      </w:r>
      <w:r w:rsidRPr="00966346">
        <w:rPr>
          <w:rFonts w:ascii="Arial" w:eastAsia="Times New Roman" w:hAnsi="Arial" w:cs="Arial"/>
          <w:i/>
          <w:sz w:val="24"/>
          <w:szCs w:val="24"/>
          <w:lang w:eastAsia="it-IT"/>
        </w:rPr>
        <w:t xml:space="preserve"> of treatments on cognitive functions and QoL</w:t>
      </w:r>
    </w:p>
    <w:p w14:paraId="02158DB6" w14:textId="4277AD01" w:rsidR="003748E8" w:rsidRPr="00966346" w:rsidRDefault="00114779" w:rsidP="007F3E1C">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D</w:t>
      </w:r>
      <w:r w:rsidR="00713E9E" w:rsidRPr="00966346">
        <w:rPr>
          <w:rFonts w:ascii="Arial" w:eastAsia="Times New Roman" w:hAnsi="Arial" w:cs="Arial"/>
          <w:sz w:val="24"/>
          <w:szCs w:val="24"/>
          <w:lang w:eastAsia="it-IT"/>
        </w:rPr>
        <w:t>ifference</w:t>
      </w:r>
      <w:r w:rsidRPr="00966346">
        <w:rPr>
          <w:rFonts w:ascii="Arial" w:eastAsia="Times New Roman" w:hAnsi="Arial" w:cs="Arial"/>
          <w:sz w:val="24"/>
          <w:szCs w:val="24"/>
          <w:lang w:eastAsia="it-IT"/>
        </w:rPr>
        <w:t>s</w:t>
      </w:r>
      <w:r w:rsidR="00713E9E" w:rsidRPr="00966346">
        <w:rPr>
          <w:rFonts w:ascii="Arial" w:eastAsia="Times New Roman" w:hAnsi="Arial" w:cs="Arial"/>
          <w:sz w:val="24"/>
          <w:szCs w:val="24"/>
          <w:lang w:eastAsia="it-IT"/>
        </w:rPr>
        <w:t xml:space="preserve"> </w:t>
      </w:r>
      <w:r w:rsidR="00204220" w:rsidRPr="00966346">
        <w:rPr>
          <w:rFonts w:ascii="Arial" w:eastAsia="Times New Roman" w:hAnsi="Arial" w:cs="Arial"/>
          <w:sz w:val="24"/>
          <w:szCs w:val="24"/>
          <w:lang w:eastAsia="it-IT"/>
        </w:rPr>
        <w:t>between neuropsychological test</w:t>
      </w:r>
      <w:r w:rsidR="00713E9E" w:rsidRPr="00966346">
        <w:rPr>
          <w:rFonts w:ascii="Arial" w:eastAsia="Times New Roman" w:hAnsi="Arial" w:cs="Arial"/>
          <w:sz w:val="24"/>
          <w:szCs w:val="24"/>
          <w:lang w:eastAsia="it-IT"/>
        </w:rPr>
        <w:t xml:space="preserve"> scores recorded immediately after treatment and at two years of follow-up w</w:t>
      </w:r>
      <w:r w:rsidRPr="00966346">
        <w:rPr>
          <w:rFonts w:ascii="Arial" w:eastAsia="Times New Roman" w:hAnsi="Arial" w:cs="Arial"/>
          <w:sz w:val="24"/>
          <w:szCs w:val="24"/>
          <w:lang w:eastAsia="it-IT"/>
        </w:rPr>
        <w:t>ere</w:t>
      </w:r>
      <w:r w:rsidR="00713E9E" w:rsidRPr="00966346">
        <w:rPr>
          <w:rFonts w:ascii="Arial" w:eastAsia="Times New Roman" w:hAnsi="Arial" w:cs="Arial"/>
          <w:sz w:val="24"/>
          <w:szCs w:val="24"/>
          <w:lang w:eastAsia="it-IT"/>
        </w:rPr>
        <w:t xml:space="preserve"> analyzed as </w:t>
      </w:r>
      <w:r w:rsidR="00204220" w:rsidRPr="00966346">
        <w:rPr>
          <w:rFonts w:ascii="Arial" w:eastAsia="Times New Roman" w:hAnsi="Arial" w:cs="Arial"/>
          <w:sz w:val="24"/>
          <w:szCs w:val="24"/>
          <w:lang w:eastAsia="it-IT"/>
        </w:rPr>
        <w:t xml:space="preserve">a </w:t>
      </w:r>
      <w:r w:rsidR="00713E9E" w:rsidRPr="00966346">
        <w:rPr>
          <w:rFonts w:ascii="Arial" w:eastAsia="Times New Roman" w:hAnsi="Arial" w:cs="Arial"/>
          <w:sz w:val="24"/>
          <w:szCs w:val="24"/>
          <w:lang w:eastAsia="it-IT"/>
        </w:rPr>
        <w:t xml:space="preserve">parameter of effect of treatment on cognitive functions and QoL. The median duration of the interval between these two assessments was </w:t>
      </w:r>
      <w:r w:rsidR="00760AC8" w:rsidRPr="00966346">
        <w:rPr>
          <w:rFonts w:ascii="Arial" w:eastAsia="Times New Roman" w:hAnsi="Arial" w:cs="Arial"/>
          <w:sz w:val="24"/>
          <w:szCs w:val="24"/>
          <w:lang w:eastAsia="it-IT"/>
        </w:rPr>
        <w:t>the same (</w:t>
      </w:r>
      <w:r w:rsidR="00713E9E" w:rsidRPr="00966346">
        <w:rPr>
          <w:rFonts w:ascii="Arial" w:eastAsia="Times New Roman" w:hAnsi="Arial" w:cs="Arial"/>
          <w:sz w:val="24"/>
          <w:szCs w:val="24"/>
          <w:lang w:eastAsia="it-IT"/>
        </w:rPr>
        <w:t>28 months</w:t>
      </w:r>
      <w:r w:rsidR="00760AC8" w:rsidRPr="00966346">
        <w:rPr>
          <w:rFonts w:ascii="Arial" w:eastAsia="Times New Roman" w:hAnsi="Arial" w:cs="Arial"/>
          <w:sz w:val="24"/>
          <w:szCs w:val="24"/>
          <w:lang w:eastAsia="it-IT"/>
        </w:rPr>
        <w:t>)</w:t>
      </w:r>
      <w:r w:rsidR="00713E9E" w:rsidRPr="00966346">
        <w:rPr>
          <w:rFonts w:ascii="Arial" w:eastAsia="Times New Roman" w:hAnsi="Arial" w:cs="Arial"/>
          <w:sz w:val="24"/>
          <w:szCs w:val="24"/>
          <w:lang w:eastAsia="it-IT"/>
        </w:rPr>
        <w:t xml:space="preserve"> for patients treated with WBRT </w:t>
      </w:r>
      <w:r w:rsidR="00760AC8" w:rsidRPr="00966346">
        <w:rPr>
          <w:rFonts w:ascii="Arial" w:eastAsia="Times New Roman" w:hAnsi="Arial" w:cs="Arial"/>
          <w:sz w:val="24"/>
          <w:szCs w:val="24"/>
          <w:lang w:eastAsia="it-IT"/>
        </w:rPr>
        <w:t>(range 21-31</w:t>
      </w:r>
      <w:r w:rsidR="005D5DD7">
        <w:rPr>
          <w:rFonts w:ascii="Arial" w:eastAsia="Times New Roman" w:hAnsi="Arial" w:cs="Arial"/>
          <w:sz w:val="24"/>
          <w:szCs w:val="24"/>
          <w:lang w:eastAsia="it-IT"/>
        </w:rPr>
        <w:t>; IQR 23-29</w:t>
      </w:r>
      <w:r w:rsidR="00760AC8" w:rsidRPr="00966346">
        <w:rPr>
          <w:rFonts w:ascii="Arial" w:eastAsia="Times New Roman" w:hAnsi="Arial" w:cs="Arial"/>
          <w:sz w:val="24"/>
          <w:szCs w:val="24"/>
          <w:lang w:eastAsia="it-IT"/>
        </w:rPr>
        <w:t xml:space="preserve">) or with ASCT </w:t>
      </w:r>
      <w:r w:rsidR="00713E9E" w:rsidRPr="00966346">
        <w:rPr>
          <w:rFonts w:ascii="Arial" w:eastAsia="Times New Roman" w:hAnsi="Arial" w:cs="Arial"/>
          <w:sz w:val="24"/>
          <w:szCs w:val="24"/>
          <w:lang w:eastAsia="it-IT"/>
        </w:rPr>
        <w:t>(range 2</w:t>
      </w:r>
      <w:r w:rsidRPr="00966346">
        <w:rPr>
          <w:rFonts w:ascii="Arial" w:eastAsia="Times New Roman" w:hAnsi="Arial" w:cs="Arial"/>
          <w:sz w:val="24"/>
          <w:szCs w:val="24"/>
          <w:lang w:eastAsia="it-IT"/>
        </w:rPr>
        <w:t>3</w:t>
      </w:r>
      <w:r w:rsidR="00713E9E" w:rsidRPr="00966346">
        <w:rPr>
          <w:rFonts w:ascii="Arial" w:eastAsia="Times New Roman" w:hAnsi="Arial" w:cs="Arial"/>
          <w:sz w:val="24"/>
          <w:szCs w:val="24"/>
          <w:lang w:eastAsia="it-IT"/>
        </w:rPr>
        <w:t>-3</w:t>
      </w:r>
      <w:r w:rsidRPr="00966346">
        <w:rPr>
          <w:rFonts w:ascii="Arial" w:eastAsia="Times New Roman" w:hAnsi="Arial" w:cs="Arial"/>
          <w:sz w:val="24"/>
          <w:szCs w:val="24"/>
          <w:lang w:eastAsia="it-IT"/>
        </w:rPr>
        <w:t>2</w:t>
      </w:r>
      <w:r w:rsidR="005D5DD7">
        <w:rPr>
          <w:rFonts w:ascii="Arial" w:eastAsia="Times New Roman" w:hAnsi="Arial" w:cs="Arial"/>
          <w:sz w:val="24"/>
          <w:szCs w:val="24"/>
          <w:lang w:eastAsia="it-IT"/>
        </w:rPr>
        <w:t>; IQR 25-29</w:t>
      </w:r>
      <w:r w:rsidR="00713E9E" w:rsidRPr="00966346">
        <w:rPr>
          <w:rFonts w:ascii="Arial" w:eastAsia="Times New Roman" w:hAnsi="Arial" w:cs="Arial"/>
          <w:sz w:val="24"/>
          <w:szCs w:val="24"/>
          <w:lang w:eastAsia="it-IT"/>
        </w:rPr>
        <w:t xml:space="preserve">). </w:t>
      </w:r>
      <w:r w:rsidR="0029207B" w:rsidRPr="00966346">
        <w:rPr>
          <w:rFonts w:ascii="Arial" w:eastAsia="Times New Roman" w:hAnsi="Arial" w:cs="Arial"/>
          <w:sz w:val="24"/>
          <w:szCs w:val="24"/>
          <w:lang w:eastAsia="it-IT"/>
        </w:rPr>
        <w:t>A</w:t>
      </w:r>
      <w:r w:rsidR="00A644AA" w:rsidRPr="00966346">
        <w:rPr>
          <w:rFonts w:ascii="Arial" w:eastAsia="Times New Roman" w:hAnsi="Arial" w:cs="Arial"/>
          <w:sz w:val="24"/>
          <w:szCs w:val="24"/>
          <w:lang w:eastAsia="it-IT"/>
        </w:rPr>
        <w:t xml:space="preserve"> significant impairment of</w:t>
      </w:r>
      <w:r w:rsidR="00C70A19" w:rsidRPr="00966346">
        <w:rPr>
          <w:rFonts w:ascii="Arial" w:eastAsia="Times New Roman" w:hAnsi="Arial" w:cs="Arial"/>
          <w:sz w:val="24"/>
          <w:szCs w:val="24"/>
          <w:lang w:eastAsia="it-IT"/>
        </w:rPr>
        <w:t xml:space="preserve"> some </w:t>
      </w:r>
      <w:r w:rsidR="00A644AA" w:rsidRPr="00966346">
        <w:rPr>
          <w:rFonts w:ascii="Arial" w:eastAsia="Times New Roman" w:hAnsi="Arial" w:cs="Arial"/>
          <w:sz w:val="24"/>
          <w:szCs w:val="24"/>
          <w:lang w:eastAsia="it-IT"/>
        </w:rPr>
        <w:t xml:space="preserve">attention/executive functions </w:t>
      </w:r>
      <w:r w:rsidR="001F48FB" w:rsidRPr="00966346">
        <w:rPr>
          <w:rFonts w:ascii="Arial" w:eastAsia="Times New Roman" w:hAnsi="Arial" w:cs="Arial"/>
          <w:sz w:val="24"/>
          <w:szCs w:val="24"/>
          <w:lang w:eastAsia="it-IT"/>
        </w:rPr>
        <w:t xml:space="preserve">(WCST number of categories completed, WCST total error, WCST perseveration error) </w:t>
      </w:r>
      <w:r w:rsidR="00C70A19" w:rsidRPr="00966346">
        <w:rPr>
          <w:rFonts w:ascii="Arial" w:eastAsia="Times New Roman" w:hAnsi="Arial" w:cs="Arial"/>
          <w:sz w:val="24"/>
          <w:szCs w:val="24"/>
          <w:lang w:eastAsia="it-IT"/>
        </w:rPr>
        <w:t xml:space="preserve">among patients treated with WBRT </w:t>
      </w:r>
      <w:r w:rsidR="0029207B" w:rsidRPr="00966346">
        <w:rPr>
          <w:rFonts w:ascii="Arial" w:eastAsia="Times New Roman" w:hAnsi="Arial" w:cs="Arial"/>
          <w:sz w:val="24"/>
          <w:szCs w:val="24"/>
          <w:lang w:eastAsia="it-IT"/>
        </w:rPr>
        <w:t>was recorded</w:t>
      </w:r>
      <w:r w:rsidRPr="00966346">
        <w:rPr>
          <w:rFonts w:ascii="Arial" w:eastAsia="Times New Roman" w:hAnsi="Arial" w:cs="Arial"/>
          <w:sz w:val="24"/>
          <w:szCs w:val="24"/>
          <w:lang w:eastAsia="it-IT"/>
        </w:rPr>
        <w:t xml:space="preserve"> (Fig. </w:t>
      </w:r>
      <w:r w:rsidR="00053766">
        <w:rPr>
          <w:rFonts w:ascii="Arial" w:eastAsia="Times New Roman" w:hAnsi="Arial" w:cs="Arial"/>
          <w:sz w:val="24"/>
          <w:szCs w:val="24"/>
          <w:lang w:eastAsia="it-IT"/>
        </w:rPr>
        <w:t>4</w:t>
      </w:r>
      <w:r w:rsidRPr="00966346">
        <w:rPr>
          <w:rFonts w:ascii="Arial" w:eastAsia="Times New Roman" w:hAnsi="Arial" w:cs="Arial"/>
          <w:sz w:val="24"/>
          <w:szCs w:val="24"/>
          <w:lang w:eastAsia="it-IT"/>
        </w:rPr>
        <w:t>)</w:t>
      </w:r>
      <w:r w:rsidR="00260720" w:rsidRPr="00966346">
        <w:rPr>
          <w:rFonts w:ascii="Arial" w:eastAsia="Times New Roman" w:hAnsi="Arial" w:cs="Arial"/>
          <w:sz w:val="24"/>
          <w:szCs w:val="24"/>
          <w:lang w:eastAsia="it-IT"/>
        </w:rPr>
        <w:t xml:space="preserve">, </w:t>
      </w:r>
      <w:r w:rsidR="001F48FB" w:rsidRPr="00966346">
        <w:rPr>
          <w:rFonts w:ascii="Arial" w:eastAsia="Times New Roman" w:hAnsi="Arial" w:cs="Arial"/>
          <w:sz w:val="24"/>
          <w:szCs w:val="24"/>
          <w:lang w:eastAsia="it-IT"/>
        </w:rPr>
        <w:t xml:space="preserve">which contrasted with a significant improvement in these </w:t>
      </w:r>
      <w:r w:rsidR="00287BAC" w:rsidRPr="00966346">
        <w:rPr>
          <w:rFonts w:ascii="Arial" w:eastAsia="Times New Roman" w:hAnsi="Arial" w:cs="Arial"/>
          <w:sz w:val="24"/>
          <w:szCs w:val="24"/>
          <w:lang w:eastAsia="it-IT"/>
        </w:rPr>
        <w:t xml:space="preserve">attention/executive </w:t>
      </w:r>
      <w:r w:rsidR="001F48FB" w:rsidRPr="00966346">
        <w:rPr>
          <w:rFonts w:ascii="Arial" w:eastAsia="Times New Roman" w:hAnsi="Arial" w:cs="Arial"/>
          <w:sz w:val="24"/>
          <w:szCs w:val="24"/>
          <w:lang w:eastAsia="it-IT"/>
        </w:rPr>
        <w:t>functions</w:t>
      </w:r>
      <w:r w:rsidR="00287BAC" w:rsidRPr="00966346">
        <w:rPr>
          <w:rFonts w:ascii="Arial" w:eastAsia="Times New Roman" w:hAnsi="Arial" w:cs="Arial"/>
          <w:sz w:val="24"/>
          <w:szCs w:val="24"/>
          <w:lang w:eastAsia="it-IT"/>
        </w:rPr>
        <w:t xml:space="preserve">, memory (Rey Auditory Verbal Learning Test - Delayed Recall) and QoL figures </w:t>
      </w:r>
      <w:r w:rsidR="001F48FB" w:rsidRPr="00966346">
        <w:rPr>
          <w:rFonts w:ascii="Arial" w:eastAsia="Times New Roman" w:hAnsi="Arial" w:cs="Arial"/>
          <w:sz w:val="24"/>
          <w:szCs w:val="24"/>
          <w:lang w:eastAsia="it-IT"/>
        </w:rPr>
        <w:t>in patients treated with ASCT</w:t>
      </w:r>
      <w:r w:rsidR="00A644AA" w:rsidRPr="00966346">
        <w:rPr>
          <w:rFonts w:ascii="Arial" w:eastAsia="Times New Roman" w:hAnsi="Arial" w:cs="Arial"/>
          <w:sz w:val="24"/>
          <w:szCs w:val="24"/>
          <w:lang w:eastAsia="it-IT"/>
        </w:rPr>
        <w:t xml:space="preserve">. </w:t>
      </w:r>
    </w:p>
    <w:p w14:paraId="0FEA24BC" w14:textId="77777777" w:rsidR="006509BA" w:rsidRPr="00966346" w:rsidRDefault="006509BA" w:rsidP="003C7C8A">
      <w:pPr>
        <w:spacing w:after="0" w:line="360" w:lineRule="auto"/>
        <w:jc w:val="both"/>
        <w:rPr>
          <w:rFonts w:ascii="Arial" w:eastAsia="Times New Roman" w:hAnsi="Arial" w:cs="Arial"/>
          <w:sz w:val="24"/>
          <w:szCs w:val="24"/>
          <w:lang w:eastAsia="it-IT"/>
        </w:rPr>
      </w:pPr>
    </w:p>
    <w:p w14:paraId="248FFAD2" w14:textId="77777777" w:rsidR="003202BC" w:rsidRPr="00966346" w:rsidRDefault="003202BC" w:rsidP="003C7C8A">
      <w:pPr>
        <w:spacing w:after="0" w:line="360" w:lineRule="auto"/>
        <w:jc w:val="both"/>
        <w:rPr>
          <w:rFonts w:ascii="Arial" w:eastAsia="Times New Roman" w:hAnsi="Arial" w:cs="Arial"/>
          <w:sz w:val="24"/>
          <w:szCs w:val="24"/>
          <w:lang w:eastAsia="it-IT"/>
        </w:rPr>
      </w:pPr>
    </w:p>
    <w:p w14:paraId="42960F73" w14:textId="77777777" w:rsidR="006509BA" w:rsidRPr="00966346" w:rsidRDefault="006509BA" w:rsidP="003C7C8A">
      <w:pPr>
        <w:spacing w:after="0" w:line="360" w:lineRule="auto"/>
        <w:jc w:val="both"/>
        <w:rPr>
          <w:rFonts w:ascii="Arial" w:eastAsia="Times New Roman" w:hAnsi="Arial" w:cs="Arial"/>
          <w:b/>
          <w:sz w:val="24"/>
          <w:szCs w:val="24"/>
          <w:lang w:eastAsia="it-IT"/>
        </w:rPr>
      </w:pPr>
      <w:r w:rsidRPr="00966346">
        <w:rPr>
          <w:rFonts w:ascii="Arial" w:eastAsia="Times New Roman" w:hAnsi="Arial" w:cs="Arial"/>
          <w:b/>
          <w:sz w:val="24"/>
          <w:szCs w:val="24"/>
          <w:lang w:eastAsia="it-IT"/>
        </w:rPr>
        <w:t>DISCUSSION</w:t>
      </w:r>
      <w:r w:rsidR="006F3B2B" w:rsidRPr="00966346">
        <w:rPr>
          <w:rFonts w:ascii="Arial" w:eastAsia="Times New Roman" w:hAnsi="Arial" w:cs="Arial"/>
          <w:b/>
          <w:sz w:val="24"/>
          <w:szCs w:val="24"/>
          <w:lang w:eastAsia="it-IT"/>
        </w:rPr>
        <w:t xml:space="preserve"> </w:t>
      </w:r>
    </w:p>
    <w:p w14:paraId="11DB7B5B" w14:textId="77777777" w:rsidR="006509BA" w:rsidRPr="00966346" w:rsidRDefault="00EA1135" w:rsidP="003C7C8A">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To our knowledge, t</w:t>
      </w:r>
      <w:r w:rsidR="006509BA" w:rsidRPr="00966346">
        <w:rPr>
          <w:rFonts w:ascii="Arial" w:eastAsia="Times New Roman" w:hAnsi="Arial" w:cs="Arial"/>
          <w:sz w:val="24"/>
          <w:szCs w:val="24"/>
          <w:lang w:eastAsia="it-IT"/>
        </w:rPr>
        <w:t xml:space="preserve">his is the </w:t>
      </w:r>
      <w:r w:rsidRPr="00966346">
        <w:rPr>
          <w:rFonts w:ascii="Arial" w:eastAsia="Times New Roman" w:hAnsi="Arial" w:cs="Arial"/>
          <w:sz w:val="24"/>
          <w:szCs w:val="24"/>
          <w:lang w:eastAsia="it-IT"/>
        </w:rPr>
        <w:t>first</w:t>
      </w:r>
      <w:r w:rsidR="006509BA" w:rsidRPr="00966346">
        <w:rPr>
          <w:rFonts w:ascii="Arial" w:eastAsia="Times New Roman" w:hAnsi="Arial" w:cs="Arial"/>
          <w:sz w:val="24"/>
          <w:szCs w:val="24"/>
          <w:lang w:eastAsia="it-IT"/>
        </w:rPr>
        <w:t xml:space="preserve"> </w:t>
      </w:r>
      <w:r w:rsidR="00204220" w:rsidRPr="00966346">
        <w:rPr>
          <w:rFonts w:ascii="Arial" w:eastAsia="Times New Roman" w:hAnsi="Arial" w:cs="Arial"/>
          <w:sz w:val="24"/>
          <w:szCs w:val="24"/>
          <w:lang w:eastAsia="it-IT"/>
        </w:rPr>
        <w:t xml:space="preserve">reported </w:t>
      </w:r>
      <w:r w:rsidR="006229E7" w:rsidRPr="00966346">
        <w:rPr>
          <w:rFonts w:ascii="Arial" w:eastAsia="Times New Roman" w:hAnsi="Arial" w:cs="Arial"/>
          <w:sz w:val="24"/>
          <w:szCs w:val="24"/>
          <w:lang w:eastAsia="it-IT"/>
        </w:rPr>
        <w:t xml:space="preserve">international </w:t>
      </w:r>
      <w:r w:rsidR="006509BA" w:rsidRPr="00966346">
        <w:rPr>
          <w:rFonts w:ascii="Arial" w:eastAsia="Times New Roman" w:hAnsi="Arial" w:cs="Arial"/>
          <w:sz w:val="24"/>
          <w:szCs w:val="24"/>
          <w:lang w:eastAsia="it-IT"/>
        </w:rPr>
        <w:t xml:space="preserve">randomized trial </w:t>
      </w:r>
      <w:r w:rsidR="00260720" w:rsidRPr="00966346">
        <w:rPr>
          <w:rFonts w:ascii="Arial" w:eastAsia="Times New Roman" w:hAnsi="Arial" w:cs="Arial"/>
          <w:sz w:val="24"/>
          <w:szCs w:val="24"/>
          <w:lang w:eastAsia="it-IT"/>
        </w:rPr>
        <w:t>addressing</w:t>
      </w:r>
      <w:r w:rsidR="006509BA" w:rsidRPr="00966346">
        <w:rPr>
          <w:rFonts w:ascii="Arial" w:eastAsia="Times New Roman" w:hAnsi="Arial" w:cs="Arial"/>
          <w:sz w:val="24"/>
          <w:szCs w:val="24"/>
          <w:lang w:eastAsia="it-IT"/>
        </w:rPr>
        <w:t xml:space="preserve"> different </w:t>
      </w:r>
      <w:r w:rsidRPr="00966346">
        <w:rPr>
          <w:rFonts w:ascii="Arial" w:eastAsia="Times New Roman" w:hAnsi="Arial" w:cs="Arial"/>
          <w:sz w:val="24"/>
          <w:szCs w:val="24"/>
          <w:lang w:eastAsia="it-IT"/>
        </w:rPr>
        <w:t>consolidation strategies</w:t>
      </w:r>
      <w:r w:rsidR="006509BA" w:rsidRPr="00966346">
        <w:rPr>
          <w:rFonts w:ascii="Arial" w:eastAsia="Times New Roman" w:hAnsi="Arial" w:cs="Arial"/>
          <w:sz w:val="24"/>
          <w:szCs w:val="24"/>
          <w:lang w:eastAsia="it-IT"/>
        </w:rPr>
        <w:t xml:space="preserve"> </w:t>
      </w:r>
      <w:r w:rsidR="007D60D3" w:rsidRPr="00966346">
        <w:rPr>
          <w:rFonts w:ascii="Arial" w:eastAsia="Times New Roman" w:hAnsi="Arial" w:cs="Arial"/>
          <w:sz w:val="24"/>
          <w:szCs w:val="24"/>
          <w:lang w:eastAsia="it-IT"/>
        </w:rPr>
        <w:t xml:space="preserve">in patients with </w:t>
      </w:r>
      <w:r w:rsidRPr="00966346">
        <w:rPr>
          <w:rFonts w:ascii="Arial" w:eastAsia="Times New Roman" w:hAnsi="Arial" w:cs="Arial"/>
          <w:sz w:val="24"/>
          <w:szCs w:val="24"/>
          <w:lang w:eastAsia="it-IT"/>
        </w:rPr>
        <w:t xml:space="preserve">newly-diagnosed </w:t>
      </w:r>
      <w:r w:rsidR="007D60D3" w:rsidRPr="00966346">
        <w:rPr>
          <w:rFonts w:ascii="Arial" w:eastAsia="Times New Roman" w:hAnsi="Arial" w:cs="Arial"/>
          <w:sz w:val="24"/>
          <w:szCs w:val="24"/>
          <w:lang w:eastAsia="it-IT"/>
        </w:rPr>
        <w:t>PCNSL</w:t>
      </w:r>
      <w:r w:rsidRPr="00966346">
        <w:rPr>
          <w:rFonts w:ascii="Arial" w:eastAsia="Times New Roman" w:hAnsi="Arial" w:cs="Arial"/>
          <w:sz w:val="24"/>
          <w:szCs w:val="24"/>
          <w:lang w:eastAsia="it-IT"/>
        </w:rPr>
        <w:t xml:space="preserve"> treated with </w:t>
      </w:r>
      <w:r w:rsidR="001B2141" w:rsidRPr="00966346">
        <w:rPr>
          <w:rFonts w:ascii="Arial" w:eastAsia="Times New Roman" w:hAnsi="Arial" w:cs="Arial"/>
          <w:sz w:val="24"/>
          <w:szCs w:val="24"/>
          <w:lang w:eastAsia="it-IT"/>
        </w:rPr>
        <w:t>high-dose-methotrexate</w:t>
      </w:r>
      <w:r w:rsidRPr="00966346">
        <w:rPr>
          <w:rFonts w:ascii="Arial" w:eastAsia="Times New Roman" w:hAnsi="Arial" w:cs="Arial"/>
          <w:sz w:val="24"/>
          <w:szCs w:val="24"/>
          <w:lang w:eastAsia="it-IT"/>
        </w:rPr>
        <w:t xml:space="preserve">-based induction chemoimmunotherapy. </w:t>
      </w:r>
      <w:r w:rsidR="00D77874" w:rsidRPr="00966346">
        <w:rPr>
          <w:rFonts w:ascii="Arial" w:eastAsia="Times New Roman" w:hAnsi="Arial" w:cs="Arial"/>
          <w:sz w:val="24"/>
          <w:szCs w:val="24"/>
          <w:lang w:eastAsia="it-IT"/>
        </w:rPr>
        <w:t>T</w:t>
      </w:r>
      <w:r w:rsidRPr="00966346">
        <w:rPr>
          <w:rFonts w:ascii="Arial" w:eastAsia="Times New Roman" w:hAnsi="Arial" w:cs="Arial"/>
          <w:sz w:val="24"/>
          <w:szCs w:val="24"/>
          <w:lang w:eastAsia="it-IT"/>
        </w:rPr>
        <w:t xml:space="preserve">his </w:t>
      </w:r>
      <w:r w:rsidR="0072423D" w:rsidRPr="00966346">
        <w:rPr>
          <w:rFonts w:ascii="Arial" w:eastAsia="Times New Roman" w:hAnsi="Arial" w:cs="Arial"/>
          <w:sz w:val="24"/>
          <w:szCs w:val="24"/>
          <w:lang w:eastAsia="it-IT"/>
        </w:rPr>
        <w:t xml:space="preserve">international </w:t>
      </w:r>
      <w:r w:rsidR="0047615C" w:rsidRPr="00966346">
        <w:rPr>
          <w:rFonts w:ascii="Arial" w:eastAsia="Times New Roman" w:hAnsi="Arial" w:cs="Arial"/>
          <w:sz w:val="24"/>
          <w:szCs w:val="24"/>
          <w:lang w:eastAsia="it-IT"/>
        </w:rPr>
        <w:t>trial</w:t>
      </w:r>
      <w:r w:rsidR="009B25FE" w:rsidRPr="00966346">
        <w:rPr>
          <w:rFonts w:ascii="Arial" w:eastAsia="Times New Roman" w:hAnsi="Arial" w:cs="Arial"/>
          <w:sz w:val="24"/>
          <w:szCs w:val="24"/>
          <w:lang w:eastAsia="it-IT"/>
        </w:rPr>
        <w:t xml:space="preserve"> </w:t>
      </w:r>
      <w:r w:rsidR="00DD71B2" w:rsidRPr="00966346">
        <w:rPr>
          <w:rFonts w:ascii="Arial" w:eastAsia="Times New Roman" w:hAnsi="Arial" w:cs="Arial"/>
          <w:sz w:val="24"/>
          <w:szCs w:val="24"/>
          <w:lang w:eastAsia="it-IT"/>
        </w:rPr>
        <w:t>demonstrat</w:t>
      </w:r>
      <w:r w:rsidRPr="00966346">
        <w:rPr>
          <w:rFonts w:ascii="Arial" w:eastAsia="Times New Roman" w:hAnsi="Arial" w:cs="Arial"/>
          <w:sz w:val="24"/>
          <w:szCs w:val="24"/>
          <w:lang w:eastAsia="it-IT"/>
        </w:rPr>
        <w:t>es</w:t>
      </w:r>
      <w:r w:rsidR="00DD71B2" w:rsidRPr="00966346">
        <w:rPr>
          <w:rFonts w:ascii="Arial" w:eastAsia="Times New Roman" w:hAnsi="Arial" w:cs="Arial"/>
          <w:sz w:val="24"/>
          <w:szCs w:val="24"/>
          <w:lang w:eastAsia="it-IT"/>
        </w:rPr>
        <w:t xml:space="preserve"> </w:t>
      </w:r>
      <w:r w:rsidRPr="00966346">
        <w:rPr>
          <w:rFonts w:ascii="Arial" w:eastAsia="Times New Roman" w:hAnsi="Arial" w:cs="Arial"/>
          <w:sz w:val="24"/>
          <w:szCs w:val="24"/>
          <w:lang w:eastAsia="it-IT"/>
        </w:rPr>
        <w:t>that both WBRT and ASCT are feasible and eff</w:t>
      </w:r>
      <w:r w:rsidR="006C60BA" w:rsidRPr="00966346">
        <w:rPr>
          <w:rFonts w:ascii="Arial" w:eastAsia="Times New Roman" w:hAnsi="Arial" w:cs="Arial"/>
          <w:sz w:val="24"/>
          <w:szCs w:val="24"/>
          <w:lang w:eastAsia="it-IT"/>
        </w:rPr>
        <w:t>ective</w:t>
      </w:r>
      <w:r w:rsidR="001D0066" w:rsidRPr="00966346">
        <w:rPr>
          <w:rFonts w:ascii="Arial" w:eastAsia="Times New Roman" w:hAnsi="Arial" w:cs="Arial"/>
          <w:sz w:val="24"/>
          <w:szCs w:val="24"/>
          <w:lang w:eastAsia="it-IT"/>
        </w:rPr>
        <w:t xml:space="preserve"> </w:t>
      </w:r>
      <w:r w:rsidRPr="00966346">
        <w:rPr>
          <w:rFonts w:ascii="Arial" w:eastAsia="Times New Roman" w:hAnsi="Arial" w:cs="Arial"/>
          <w:sz w:val="24"/>
          <w:szCs w:val="24"/>
          <w:lang w:eastAsia="it-IT"/>
        </w:rPr>
        <w:t>consolidation approaches in this setting</w:t>
      </w:r>
      <w:r w:rsidR="009B25FE" w:rsidRPr="00966346">
        <w:rPr>
          <w:rFonts w:ascii="Arial" w:eastAsia="Times New Roman" w:hAnsi="Arial" w:cs="Arial"/>
          <w:sz w:val="24"/>
          <w:szCs w:val="24"/>
          <w:lang w:eastAsia="it-IT"/>
        </w:rPr>
        <w:t xml:space="preserve">. </w:t>
      </w:r>
      <w:r w:rsidR="006C60BA" w:rsidRPr="00966346">
        <w:rPr>
          <w:rFonts w:ascii="Arial" w:eastAsia="Times New Roman" w:hAnsi="Arial" w:cs="Arial"/>
          <w:sz w:val="24"/>
          <w:szCs w:val="24"/>
          <w:lang w:eastAsia="it-IT"/>
        </w:rPr>
        <w:t>Although b</w:t>
      </w:r>
      <w:r w:rsidRPr="00966346">
        <w:rPr>
          <w:rFonts w:ascii="Arial" w:eastAsia="Times New Roman" w:hAnsi="Arial" w:cs="Arial"/>
          <w:sz w:val="24"/>
          <w:szCs w:val="24"/>
          <w:lang w:eastAsia="it-IT"/>
        </w:rPr>
        <w:t>oth strategies were well tolerated</w:t>
      </w:r>
      <w:r w:rsidR="00444A3D" w:rsidRPr="00966346">
        <w:rPr>
          <w:rFonts w:ascii="Arial" w:eastAsia="Times New Roman" w:hAnsi="Arial" w:cs="Arial"/>
          <w:sz w:val="24"/>
          <w:szCs w:val="24"/>
          <w:lang w:eastAsia="it-IT"/>
        </w:rPr>
        <w:t>,</w:t>
      </w:r>
      <w:r w:rsidRPr="00966346">
        <w:rPr>
          <w:rFonts w:ascii="Arial" w:eastAsia="Times New Roman" w:hAnsi="Arial" w:cs="Arial"/>
          <w:sz w:val="24"/>
          <w:szCs w:val="24"/>
          <w:lang w:eastAsia="it-IT"/>
        </w:rPr>
        <w:t xml:space="preserve"> </w:t>
      </w:r>
      <w:r w:rsidR="006C60BA" w:rsidRPr="00966346">
        <w:rPr>
          <w:rFonts w:ascii="Arial" w:eastAsia="Times New Roman" w:hAnsi="Arial" w:cs="Arial"/>
          <w:sz w:val="24"/>
          <w:szCs w:val="24"/>
          <w:lang w:eastAsia="it-IT"/>
        </w:rPr>
        <w:t>we detected</w:t>
      </w:r>
      <w:r w:rsidRPr="00966346">
        <w:rPr>
          <w:rFonts w:ascii="Arial" w:eastAsia="Times New Roman" w:hAnsi="Arial" w:cs="Arial"/>
          <w:sz w:val="24"/>
          <w:szCs w:val="24"/>
          <w:lang w:eastAsia="it-IT"/>
        </w:rPr>
        <w:t xml:space="preserve"> significant impairment of </w:t>
      </w:r>
      <w:r w:rsidR="005B46E5" w:rsidRPr="00966346">
        <w:rPr>
          <w:rFonts w:ascii="Arial" w:eastAsia="Times New Roman" w:hAnsi="Arial" w:cs="Arial"/>
          <w:sz w:val="24"/>
          <w:szCs w:val="24"/>
          <w:lang w:eastAsia="it-IT"/>
        </w:rPr>
        <w:t xml:space="preserve">some </w:t>
      </w:r>
      <w:r w:rsidRPr="00966346">
        <w:rPr>
          <w:rFonts w:ascii="Arial" w:eastAsia="Times New Roman" w:hAnsi="Arial" w:cs="Arial"/>
          <w:sz w:val="24"/>
          <w:szCs w:val="24"/>
          <w:lang w:eastAsia="it-IT"/>
        </w:rPr>
        <w:t>attention/executive functions in patients treated with WBRT, whereas patients treated with ASCT exhibited improve</w:t>
      </w:r>
      <w:r w:rsidR="00227C3C" w:rsidRPr="00966346">
        <w:rPr>
          <w:rFonts w:ascii="Arial" w:eastAsia="Times New Roman" w:hAnsi="Arial" w:cs="Arial"/>
          <w:sz w:val="24"/>
          <w:szCs w:val="24"/>
          <w:lang w:eastAsia="it-IT"/>
        </w:rPr>
        <w:t xml:space="preserve">ment </w:t>
      </w:r>
      <w:r w:rsidR="00D77874" w:rsidRPr="00966346">
        <w:rPr>
          <w:rFonts w:ascii="Arial" w:eastAsia="Times New Roman" w:hAnsi="Arial" w:cs="Arial"/>
          <w:sz w:val="24"/>
          <w:szCs w:val="24"/>
          <w:lang w:eastAsia="it-IT"/>
        </w:rPr>
        <w:t xml:space="preserve">in QoL and </w:t>
      </w:r>
      <w:r w:rsidR="00227C3C" w:rsidRPr="00966346">
        <w:rPr>
          <w:rFonts w:ascii="Arial" w:eastAsia="Times New Roman" w:hAnsi="Arial" w:cs="Arial"/>
          <w:sz w:val="24"/>
          <w:szCs w:val="24"/>
          <w:lang w:eastAsia="it-IT"/>
        </w:rPr>
        <w:t xml:space="preserve">most </w:t>
      </w:r>
      <w:r w:rsidR="00D77874" w:rsidRPr="00966346">
        <w:rPr>
          <w:rFonts w:ascii="Arial" w:eastAsia="Times New Roman" w:hAnsi="Arial" w:cs="Arial"/>
          <w:sz w:val="24"/>
          <w:szCs w:val="24"/>
          <w:lang w:eastAsia="it-IT"/>
        </w:rPr>
        <w:t xml:space="preserve">of the </w:t>
      </w:r>
      <w:r w:rsidR="00227C3C" w:rsidRPr="00966346">
        <w:rPr>
          <w:rFonts w:ascii="Arial" w:eastAsia="Times New Roman" w:hAnsi="Arial" w:cs="Arial"/>
          <w:sz w:val="24"/>
          <w:szCs w:val="24"/>
          <w:lang w:eastAsia="it-IT"/>
        </w:rPr>
        <w:t>cognitive</w:t>
      </w:r>
      <w:r w:rsidRPr="00966346">
        <w:rPr>
          <w:rFonts w:ascii="Arial" w:eastAsia="Times New Roman" w:hAnsi="Arial" w:cs="Arial"/>
          <w:sz w:val="24"/>
          <w:szCs w:val="24"/>
          <w:lang w:eastAsia="it-IT"/>
        </w:rPr>
        <w:t xml:space="preserve"> functions</w:t>
      </w:r>
      <w:r w:rsidR="00D77874" w:rsidRPr="00966346">
        <w:rPr>
          <w:rFonts w:ascii="Arial" w:eastAsia="Times New Roman" w:hAnsi="Arial" w:cs="Arial"/>
          <w:sz w:val="24"/>
          <w:szCs w:val="24"/>
          <w:lang w:eastAsia="it-IT"/>
        </w:rPr>
        <w:t xml:space="preserve"> assessed</w:t>
      </w:r>
      <w:r w:rsidRPr="00966346">
        <w:rPr>
          <w:rFonts w:ascii="Arial" w:eastAsia="Times New Roman" w:hAnsi="Arial" w:cs="Arial"/>
          <w:sz w:val="24"/>
          <w:szCs w:val="24"/>
          <w:lang w:eastAsia="it-IT"/>
        </w:rPr>
        <w:t xml:space="preserve">. </w:t>
      </w:r>
      <w:r w:rsidR="006C60BA" w:rsidRPr="00966346">
        <w:rPr>
          <w:rFonts w:ascii="Arial" w:eastAsia="Times New Roman" w:hAnsi="Arial" w:cs="Arial"/>
          <w:sz w:val="24"/>
          <w:szCs w:val="24"/>
          <w:lang w:eastAsia="it-IT"/>
        </w:rPr>
        <w:t>Notably</w:t>
      </w:r>
      <w:r w:rsidR="004D7885" w:rsidRPr="00966346">
        <w:rPr>
          <w:rFonts w:ascii="Arial" w:eastAsia="Times New Roman" w:hAnsi="Arial" w:cs="Arial"/>
          <w:sz w:val="24"/>
          <w:szCs w:val="24"/>
          <w:lang w:eastAsia="it-IT"/>
        </w:rPr>
        <w:t xml:space="preserve">, </w:t>
      </w:r>
      <w:r w:rsidR="006C60BA" w:rsidRPr="00966346">
        <w:rPr>
          <w:rFonts w:ascii="Arial" w:eastAsia="Times New Roman" w:hAnsi="Arial" w:cs="Arial"/>
          <w:sz w:val="24"/>
          <w:szCs w:val="24"/>
          <w:lang w:eastAsia="it-IT"/>
        </w:rPr>
        <w:t>with the benefit of longer follow-up</w:t>
      </w:r>
      <w:r w:rsidR="004D7885" w:rsidRPr="00966346">
        <w:rPr>
          <w:rFonts w:ascii="Arial" w:eastAsia="Times New Roman" w:hAnsi="Arial" w:cs="Arial"/>
          <w:sz w:val="24"/>
          <w:szCs w:val="24"/>
          <w:lang w:eastAsia="it-IT"/>
        </w:rPr>
        <w:t xml:space="preserve">, the present analysis confirms that </w:t>
      </w:r>
      <w:r w:rsidR="005514B6" w:rsidRPr="00966346">
        <w:rPr>
          <w:rFonts w:ascii="Arial" w:eastAsia="Times New Roman" w:hAnsi="Arial" w:cs="Arial"/>
          <w:sz w:val="24"/>
          <w:szCs w:val="24"/>
          <w:lang w:eastAsia="it-IT"/>
        </w:rPr>
        <w:t xml:space="preserve">the </w:t>
      </w:r>
      <w:r w:rsidR="004D7885" w:rsidRPr="00966346">
        <w:rPr>
          <w:rFonts w:ascii="Arial" w:eastAsia="Times New Roman" w:hAnsi="Arial" w:cs="Arial"/>
          <w:sz w:val="24"/>
          <w:szCs w:val="24"/>
          <w:lang w:eastAsia="it-IT"/>
        </w:rPr>
        <w:t>MATRix regimen is significantly more effective than the other two induction arms</w:t>
      </w:r>
      <w:r w:rsidR="0072423D" w:rsidRPr="00966346">
        <w:rPr>
          <w:rFonts w:ascii="Arial" w:eastAsia="Times New Roman" w:hAnsi="Arial" w:cs="Arial"/>
          <w:sz w:val="24"/>
          <w:szCs w:val="24"/>
          <w:lang w:eastAsia="it-IT"/>
        </w:rPr>
        <w:t>, with a higher but manageable hematological toxicity</w:t>
      </w:r>
      <w:r w:rsidR="004D7885" w:rsidRPr="00966346">
        <w:rPr>
          <w:rFonts w:ascii="Arial" w:eastAsia="Times New Roman" w:hAnsi="Arial" w:cs="Arial"/>
          <w:sz w:val="24"/>
          <w:szCs w:val="24"/>
          <w:lang w:eastAsia="it-IT"/>
        </w:rPr>
        <w:t xml:space="preserve">. </w:t>
      </w:r>
      <w:r w:rsidR="00AD082D" w:rsidRPr="00966346">
        <w:rPr>
          <w:rFonts w:ascii="Arial" w:eastAsia="Times New Roman" w:hAnsi="Arial" w:cs="Arial"/>
          <w:sz w:val="24"/>
          <w:szCs w:val="24"/>
          <w:lang w:val="en-GB" w:eastAsia="it-IT"/>
        </w:rPr>
        <w:t>Importantly</w:t>
      </w:r>
      <w:r w:rsidR="004D7885" w:rsidRPr="00966346">
        <w:rPr>
          <w:rFonts w:ascii="Arial" w:eastAsia="Times New Roman" w:hAnsi="Arial" w:cs="Arial"/>
          <w:sz w:val="24"/>
          <w:szCs w:val="24"/>
          <w:lang w:val="en-GB" w:eastAsia="it-IT"/>
        </w:rPr>
        <w:t xml:space="preserve">, patients </w:t>
      </w:r>
      <w:r w:rsidR="00502E6A" w:rsidRPr="00966346">
        <w:rPr>
          <w:rFonts w:ascii="Arial" w:eastAsia="Times New Roman" w:hAnsi="Arial" w:cs="Arial"/>
          <w:sz w:val="24"/>
          <w:szCs w:val="24"/>
          <w:lang w:val="en-GB" w:eastAsia="it-IT"/>
        </w:rPr>
        <w:t>with lymphoma responsive to</w:t>
      </w:r>
      <w:r w:rsidR="00204220" w:rsidRPr="00966346">
        <w:rPr>
          <w:rFonts w:ascii="Arial" w:eastAsia="Times New Roman" w:hAnsi="Arial" w:cs="Arial"/>
          <w:sz w:val="24"/>
          <w:szCs w:val="24"/>
          <w:lang w:val="en-GB" w:eastAsia="it-IT"/>
        </w:rPr>
        <w:t xml:space="preserve"> </w:t>
      </w:r>
      <w:r w:rsidR="004D7885" w:rsidRPr="00966346">
        <w:rPr>
          <w:rFonts w:ascii="Arial" w:eastAsia="Times New Roman" w:hAnsi="Arial" w:cs="Arial"/>
          <w:sz w:val="24"/>
          <w:szCs w:val="24"/>
          <w:lang w:val="en-GB" w:eastAsia="it-IT"/>
        </w:rPr>
        <w:t xml:space="preserve">MATRix combination followed by WBRT or ASCT had a 4-year OS </w:t>
      </w:r>
      <w:r w:rsidR="00C56B5D" w:rsidRPr="00966346">
        <w:rPr>
          <w:rFonts w:ascii="Arial" w:eastAsia="Times New Roman" w:hAnsi="Arial" w:cs="Arial"/>
          <w:sz w:val="24"/>
          <w:szCs w:val="24"/>
          <w:lang w:val="en-GB" w:eastAsia="it-IT"/>
        </w:rPr>
        <w:t xml:space="preserve">over </w:t>
      </w:r>
      <w:r w:rsidR="004D7885" w:rsidRPr="00966346">
        <w:rPr>
          <w:rFonts w:ascii="Arial" w:eastAsia="Times New Roman" w:hAnsi="Arial" w:cs="Arial"/>
          <w:sz w:val="24"/>
          <w:szCs w:val="24"/>
          <w:lang w:val="en-GB" w:eastAsia="it-IT"/>
        </w:rPr>
        <w:t>8</w:t>
      </w:r>
      <w:r w:rsidR="00C56B5D" w:rsidRPr="00966346">
        <w:rPr>
          <w:rFonts w:ascii="Arial" w:eastAsia="Times New Roman" w:hAnsi="Arial" w:cs="Arial"/>
          <w:sz w:val="24"/>
          <w:szCs w:val="24"/>
          <w:lang w:val="en-GB" w:eastAsia="it-IT"/>
        </w:rPr>
        <w:t>0</w:t>
      </w:r>
      <w:r w:rsidR="004D7885" w:rsidRPr="00966346">
        <w:rPr>
          <w:rFonts w:ascii="Arial" w:eastAsia="Times New Roman" w:hAnsi="Arial" w:cs="Arial"/>
          <w:sz w:val="24"/>
          <w:szCs w:val="24"/>
          <w:lang w:val="en-GB" w:eastAsia="it-IT"/>
        </w:rPr>
        <w:t xml:space="preserve">%, which represents an excellent life expectancy for these </w:t>
      </w:r>
      <w:r w:rsidR="00502E6A" w:rsidRPr="00966346">
        <w:rPr>
          <w:rFonts w:ascii="Arial" w:eastAsia="Times New Roman" w:hAnsi="Arial" w:cs="Arial"/>
          <w:sz w:val="24"/>
          <w:szCs w:val="24"/>
          <w:lang w:val="en-GB" w:eastAsia="it-IT"/>
        </w:rPr>
        <w:t xml:space="preserve">high-risk </w:t>
      </w:r>
      <w:r w:rsidR="004D7885" w:rsidRPr="00966346">
        <w:rPr>
          <w:rFonts w:ascii="Arial" w:eastAsia="Times New Roman" w:hAnsi="Arial" w:cs="Arial"/>
          <w:sz w:val="24"/>
          <w:szCs w:val="24"/>
          <w:lang w:val="en-GB" w:eastAsia="it-IT"/>
        </w:rPr>
        <w:t>patients.</w:t>
      </w:r>
      <w:r w:rsidR="00AD082D" w:rsidRPr="00966346">
        <w:rPr>
          <w:rFonts w:ascii="Arial" w:eastAsia="Times New Roman" w:hAnsi="Arial" w:cs="Arial"/>
          <w:sz w:val="24"/>
          <w:szCs w:val="24"/>
          <w:lang w:val="en-GB" w:eastAsia="it-IT"/>
        </w:rPr>
        <w:t xml:space="preserve"> </w:t>
      </w:r>
    </w:p>
    <w:p w14:paraId="2C181DF6" w14:textId="6C8E34C2" w:rsidR="000F1761" w:rsidRPr="00966346" w:rsidRDefault="006F6EB5" w:rsidP="00B921B6">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This trial exhibits a few limitations</w:t>
      </w:r>
      <w:r w:rsidR="005B5723" w:rsidRPr="00966346">
        <w:rPr>
          <w:rFonts w:ascii="Arial" w:eastAsia="Times New Roman" w:hAnsi="Arial" w:cs="Arial"/>
          <w:sz w:val="24"/>
          <w:szCs w:val="24"/>
          <w:lang w:eastAsia="it-IT"/>
        </w:rPr>
        <w:t>.</w:t>
      </w:r>
      <w:r w:rsidR="00987C00" w:rsidRPr="00966346">
        <w:rPr>
          <w:rFonts w:ascii="Arial" w:eastAsia="Times New Roman" w:hAnsi="Arial" w:cs="Arial"/>
          <w:sz w:val="24"/>
          <w:szCs w:val="24"/>
          <w:lang w:eastAsia="it-IT"/>
        </w:rPr>
        <w:t xml:space="preserve"> </w:t>
      </w:r>
      <w:r w:rsidR="00A8618B" w:rsidRPr="00966346">
        <w:rPr>
          <w:rFonts w:ascii="Arial" w:eastAsia="Times New Roman" w:hAnsi="Arial" w:cs="Arial"/>
          <w:sz w:val="24"/>
          <w:szCs w:val="24"/>
          <w:lang w:eastAsia="it-IT"/>
        </w:rPr>
        <w:t>First</w:t>
      </w:r>
      <w:r w:rsidR="005B5723" w:rsidRPr="00966346">
        <w:rPr>
          <w:rFonts w:ascii="Arial" w:eastAsia="Times New Roman" w:hAnsi="Arial" w:cs="Arial"/>
          <w:sz w:val="24"/>
          <w:szCs w:val="24"/>
          <w:lang w:eastAsia="it-IT"/>
        </w:rPr>
        <w:t>,</w:t>
      </w:r>
      <w:r w:rsidRPr="00966346">
        <w:rPr>
          <w:rFonts w:ascii="Arial" w:eastAsia="Times New Roman" w:hAnsi="Arial" w:cs="Arial"/>
          <w:sz w:val="24"/>
          <w:szCs w:val="24"/>
          <w:lang w:eastAsia="it-IT"/>
        </w:rPr>
        <w:t xml:space="preserve"> </w:t>
      </w:r>
      <w:r w:rsidR="00806756" w:rsidRPr="00966346">
        <w:rPr>
          <w:rFonts w:ascii="Arial" w:eastAsia="Times New Roman" w:hAnsi="Arial" w:cs="Arial"/>
          <w:sz w:val="24"/>
          <w:szCs w:val="24"/>
          <w:lang w:eastAsia="it-IT"/>
        </w:rPr>
        <w:t xml:space="preserve">open-label design may have introduced an evaluation bias, with a potential unbalanced assessment of efficacy or tolerability </w:t>
      </w:r>
      <w:r w:rsidR="0020154A" w:rsidRPr="00966346">
        <w:rPr>
          <w:rFonts w:ascii="Arial" w:eastAsia="Times New Roman" w:hAnsi="Arial" w:cs="Arial"/>
          <w:sz w:val="24"/>
          <w:szCs w:val="24"/>
          <w:lang w:eastAsia="it-IT"/>
        </w:rPr>
        <w:lastRenderedPageBreak/>
        <w:t>between</w:t>
      </w:r>
      <w:r w:rsidR="00806756" w:rsidRPr="00966346">
        <w:rPr>
          <w:rFonts w:ascii="Arial" w:eastAsia="Times New Roman" w:hAnsi="Arial" w:cs="Arial"/>
          <w:sz w:val="24"/>
          <w:szCs w:val="24"/>
          <w:lang w:eastAsia="it-IT"/>
        </w:rPr>
        <w:t xml:space="preserve"> arms; however, this is an intrinsic limitation of every trial </w:t>
      </w:r>
      <w:r w:rsidR="00EB667A" w:rsidRPr="00966346">
        <w:rPr>
          <w:rFonts w:ascii="Arial" w:eastAsia="Times New Roman" w:hAnsi="Arial" w:cs="Arial"/>
          <w:sz w:val="24"/>
          <w:szCs w:val="24"/>
          <w:lang w:eastAsia="it-IT"/>
        </w:rPr>
        <w:t xml:space="preserve">addressing WBRT and HDC/ASCT </w:t>
      </w:r>
      <w:r w:rsidR="00806756" w:rsidRPr="00966346">
        <w:rPr>
          <w:rFonts w:ascii="Arial" w:eastAsia="Times New Roman" w:hAnsi="Arial" w:cs="Arial"/>
          <w:sz w:val="24"/>
          <w:szCs w:val="24"/>
          <w:lang w:eastAsia="it-IT"/>
        </w:rPr>
        <w:t xml:space="preserve">in the field of PCNSL. </w:t>
      </w:r>
      <w:r w:rsidR="00A8618B" w:rsidRPr="00966346">
        <w:rPr>
          <w:rFonts w:ascii="Arial" w:eastAsia="Times New Roman" w:hAnsi="Arial" w:cs="Arial"/>
          <w:sz w:val="24"/>
          <w:szCs w:val="24"/>
          <w:lang w:eastAsia="it-IT"/>
        </w:rPr>
        <w:t xml:space="preserve">Second, the trial was not prospectively designed for direct comparison of the consolidation </w:t>
      </w:r>
      <w:r w:rsidR="00DF358D" w:rsidRPr="00966346">
        <w:rPr>
          <w:rFonts w:ascii="Arial" w:eastAsia="Times New Roman" w:hAnsi="Arial" w:cs="Arial"/>
          <w:sz w:val="24"/>
          <w:szCs w:val="24"/>
          <w:lang w:eastAsia="it-IT"/>
        </w:rPr>
        <w:t>therapies; t</w:t>
      </w:r>
      <w:r w:rsidR="00A8618B" w:rsidRPr="00966346">
        <w:rPr>
          <w:rFonts w:ascii="Arial" w:eastAsia="Times New Roman" w:hAnsi="Arial" w:cs="Arial"/>
          <w:sz w:val="24"/>
          <w:szCs w:val="24"/>
          <w:lang w:eastAsia="it-IT"/>
        </w:rPr>
        <w:t xml:space="preserve">he </w:t>
      </w:r>
      <w:r w:rsidR="00D71614" w:rsidRPr="00966346">
        <w:rPr>
          <w:rFonts w:ascii="Arial" w:eastAsia="Times New Roman" w:hAnsi="Arial" w:cs="Arial"/>
          <w:sz w:val="24"/>
          <w:szCs w:val="24"/>
          <w:lang w:eastAsia="it-IT"/>
        </w:rPr>
        <w:t>seco</w:t>
      </w:r>
      <w:r w:rsidR="00A8618B" w:rsidRPr="00966346">
        <w:rPr>
          <w:rFonts w:ascii="Arial" w:eastAsia="Times New Roman" w:hAnsi="Arial" w:cs="Arial"/>
          <w:sz w:val="24"/>
          <w:szCs w:val="24"/>
          <w:lang w:eastAsia="it-IT"/>
        </w:rPr>
        <w:t>nd randomization of th</w:t>
      </w:r>
      <w:r w:rsidR="00A80B92" w:rsidRPr="00966346">
        <w:rPr>
          <w:rFonts w:ascii="Arial" w:eastAsia="Times New Roman" w:hAnsi="Arial" w:cs="Arial"/>
          <w:sz w:val="24"/>
          <w:szCs w:val="24"/>
          <w:lang w:eastAsia="it-IT"/>
        </w:rPr>
        <w:t>e</w:t>
      </w:r>
      <w:r w:rsidR="00A8618B" w:rsidRPr="00966346">
        <w:rPr>
          <w:rFonts w:ascii="Arial" w:eastAsia="Times New Roman" w:hAnsi="Arial" w:cs="Arial"/>
          <w:sz w:val="24"/>
          <w:szCs w:val="24"/>
          <w:lang w:eastAsia="it-IT"/>
        </w:rPr>
        <w:t xml:space="preserve"> trial was designed to demonstrate that WBRT and/or HDC/ASCT are feasible and effective consolidation options in PCNSL patients</w:t>
      </w:r>
      <w:r w:rsidR="00A80B92" w:rsidRPr="00966346">
        <w:rPr>
          <w:rFonts w:ascii="Arial" w:eastAsia="Times New Roman" w:hAnsi="Arial" w:cs="Arial"/>
          <w:sz w:val="24"/>
          <w:szCs w:val="24"/>
          <w:lang w:eastAsia="it-IT"/>
        </w:rPr>
        <w:t>, and not to demonstrate the superiority of one arm on the other. With this limitation, this is an important achievement as having two equally effective consolidation therapies would allow personalization of treatment based on different parameters related to the patient, lymphoma and induction tolerance.</w:t>
      </w:r>
      <w:r w:rsidR="00A8618B" w:rsidRPr="00966346">
        <w:rPr>
          <w:rFonts w:ascii="Arial" w:eastAsia="Times New Roman" w:hAnsi="Arial" w:cs="Arial"/>
          <w:sz w:val="24"/>
          <w:szCs w:val="24"/>
          <w:lang w:eastAsia="it-IT"/>
        </w:rPr>
        <w:t xml:space="preserve"> Third, i</w:t>
      </w:r>
      <w:r w:rsidR="009A3BCB" w:rsidRPr="00966346">
        <w:rPr>
          <w:rFonts w:ascii="Arial" w:eastAsia="Times New Roman" w:hAnsi="Arial" w:cs="Arial"/>
          <w:sz w:val="24"/>
          <w:szCs w:val="24"/>
          <w:lang w:eastAsia="it-IT"/>
        </w:rPr>
        <w:t xml:space="preserve">t should be recognized that </w:t>
      </w:r>
      <w:r w:rsidR="000269D8" w:rsidRPr="00966346">
        <w:rPr>
          <w:rFonts w:ascii="Arial" w:eastAsia="Times New Roman" w:hAnsi="Arial" w:cs="Arial"/>
          <w:sz w:val="24"/>
          <w:szCs w:val="24"/>
          <w:lang w:eastAsia="it-IT"/>
        </w:rPr>
        <w:t xml:space="preserve">27% of patients responsive to induction therapy were not eligible for the second randomization due to insufficient APBSC collection, prolonged side effects or severe neurological worsening despite evident tumor regression. </w:t>
      </w:r>
      <w:r w:rsidR="008A00C9" w:rsidRPr="00966346">
        <w:rPr>
          <w:rFonts w:ascii="Arial" w:eastAsia="Times New Roman" w:hAnsi="Arial" w:cs="Arial"/>
          <w:sz w:val="24"/>
          <w:szCs w:val="24"/>
          <w:lang w:eastAsia="it-IT"/>
        </w:rPr>
        <w:t>However, these figures reflect everyday practice, and, importantly, correspond with the estimates made when defining the sample size; the recruitment of more than 200 patients to result in at least 52 patients per arm at the second randomization. Half</w:t>
      </w:r>
      <w:r w:rsidR="001709A5" w:rsidRPr="00966346">
        <w:rPr>
          <w:rFonts w:ascii="Arial" w:eastAsia="Times New Roman" w:hAnsi="Arial" w:cs="Arial"/>
          <w:sz w:val="24"/>
          <w:szCs w:val="24"/>
          <w:lang w:eastAsia="it-IT"/>
        </w:rPr>
        <w:t xml:space="preserve"> of registered patients </w:t>
      </w:r>
      <w:r w:rsidR="00B921B6" w:rsidRPr="00966346">
        <w:rPr>
          <w:rFonts w:ascii="Arial" w:eastAsia="Times New Roman" w:hAnsi="Arial" w:cs="Arial"/>
          <w:sz w:val="24"/>
          <w:szCs w:val="24"/>
          <w:lang w:eastAsia="it-IT"/>
        </w:rPr>
        <w:t>(</w:t>
      </w:r>
      <w:r w:rsidR="001709A5" w:rsidRPr="00966346">
        <w:rPr>
          <w:rFonts w:ascii="Arial" w:eastAsia="Times New Roman" w:hAnsi="Arial" w:cs="Arial"/>
          <w:sz w:val="24"/>
          <w:szCs w:val="24"/>
          <w:lang w:eastAsia="it-IT"/>
        </w:rPr>
        <w:t>47% in arm A, 51% in arm B and 64% in arm C</w:t>
      </w:r>
      <w:r w:rsidR="00B921B6" w:rsidRPr="00966346">
        <w:rPr>
          <w:rFonts w:ascii="Arial" w:eastAsia="Times New Roman" w:hAnsi="Arial" w:cs="Arial"/>
          <w:sz w:val="24"/>
          <w:szCs w:val="24"/>
          <w:lang w:eastAsia="it-IT"/>
        </w:rPr>
        <w:t xml:space="preserve">) proceeded to consolidation, which </w:t>
      </w:r>
      <w:r w:rsidR="001709A5" w:rsidRPr="00966346">
        <w:rPr>
          <w:rFonts w:ascii="Arial" w:eastAsia="Times New Roman" w:hAnsi="Arial" w:cs="Arial"/>
          <w:sz w:val="24"/>
          <w:szCs w:val="24"/>
          <w:lang w:eastAsia="it-IT"/>
        </w:rPr>
        <w:t>is a much lower proportion than has been achieved in other trials exploring HDC/ASCT, with rates up to 82%</w:t>
      </w:r>
      <w:r w:rsidR="008E7A2A" w:rsidRPr="008E7A2A">
        <w:rPr>
          <w:rFonts w:ascii="Arial" w:eastAsia="Times New Roman" w:hAnsi="Arial" w:cs="Arial"/>
          <w:sz w:val="24"/>
          <w:szCs w:val="24"/>
          <w:vertAlign w:val="superscript"/>
          <w:lang w:eastAsia="it-IT"/>
        </w:rPr>
        <w:t>8,26</w:t>
      </w:r>
      <w:r w:rsidR="001709A5" w:rsidRPr="00966346">
        <w:rPr>
          <w:rFonts w:ascii="Arial" w:eastAsia="Times New Roman" w:hAnsi="Arial" w:cs="Arial"/>
          <w:sz w:val="24"/>
          <w:szCs w:val="24"/>
          <w:lang w:eastAsia="it-IT"/>
        </w:rPr>
        <w:t xml:space="preserve">. This is mostly due to different </w:t>
      </w:r>
      <w:r w:rsidR="00C614B1" w:rsidRPr="00966346">
        <w:rPr>
          <w:rFonts w:ascii="Arial" w:eastAsia="Times New Roman" w:hAnsi="Arial" w:cs="Arial"/>
          <w:sz w:val="24"/>
          <w:szCs w:val="24"/>
          <w:lang w:eastAsia="it-IT"/>
        </w:rPr>
        <w:t xml:space="preserve">patient </w:t>
      </w:r>
      <w:r w:rsidR="001709A5" w:rsidRPr="00966346">
        <w:rPr>
          <w:rFonts w:ascii="Arial" w:eastAsia="Times New Roman" w:hAnsi="Arial" w:cs="Arial"/>
          <w:sz w:val="24"/>
          <w:szCs w:val="24"/>
          <w:lang w:eastAsia="it-IT"/>
        </w:rPr>
        <w:t xml:space="preserve">selection </w:t>
      </w:r>
      <w:r w:rsidR="00B921B6" w:rsidRPr="00966346">
        <w:rPr>
          <w:rFonts w:ascii="Arial" w:eastAsia="Times New Roman" w:hAnsi="Arial" w:cs="Arial"/>
          <w:sz w:val="24"/>
          <w:szCs w:val="24"/>
          <w:lang w:eastAsia="it-IT"/>
        </w:rPr>
        <w:t>according to age and performance status, the main prognostic factors in PCNSL</w:t>
      </w:r>
      <w:r w:rsidR="00C614B1" w:rsidRPr="00966346">
        <w:rPr>
          <w:rFonts w:ascii="Arial" w:eastAsia="Times New Roman" w:hAnsi="Arial" w:cs="Arial"/>
          <w:sz w:val="24"/>
          <w:szCs w:val="24"/>
          <w:lang w:eastAsia="it-IT"/>
        </w:rPr>
        <w:t>. I</w:t>
      </w:r>
      <w:r w:rsidR="001709A5" w:rsidRPr="00966346">
        <w:rPr>
          <w:rFonts w:ascii="Arial" w:eastAsia="Times New Roman" w:hAnsi="Arial" w:cs="Arial"/>
          <w:sz w:val="24"/>
          <w:szCs w:val="24"/>
          <w:lang w:eastAsia="it-IT"/>
        </w:rPr>
        <w:t>n prior studies</w:t>
      </w:r>
      <w:r w:rsidR="00853770" w:rsidRPr="00966346">
        <w:rPr>
          <w:rFonts w:ascii="Arial" w:eastAsia="Times New Roman" w:hAnsi="Arial" w:cs="Arial"/>
          <w:sz w:val="24"/>
          <w:szCs w:val="24"/>
          <w:lang w:eastAsia="it-IT"/>
        </w:rPr>
        <w:t>, which have</w:t>
      </w:r>
      <w:r w:rsidR="00C614B1" w:rsidRPr="00966346">
        <w:rPr>
          <w:rFonts w:ascii="Palatino Linotype" w:eastAsia="Calibri" w:hAnsi="Palatino Linotype" w:cs="Times New Roman"/>
          <w:sz w:val="24"/>
          <w:szCs w:val="24"/>
        </w:rPr>
        <w:t xml:space="preserve"> </w:t>
      </w:r>
      <w:r w:rsidR="00C614B1" w:rsidRPr="00966346">
        <w:rPr>
          <w:rFonts w:ascii="Arial" w:eastAsia="Times New Roman" w:hAnsi="Arial" w:cs="Arial"/>
          <w:sz w:val="24"/>
          <w:szCs w:val="24"/>
          <w:lang w:eastAsia="it-IT"/>
        </w:rPr>
        <w:t>focused on HDC/ASCT, the oldest registered patients were 65-67</w:t>
      </w:r>
      <w:r w:rsidR="001709A5" w:rsidRPr="00966346">
        <w:rPr>
          <w:rFonts w:ascii="Arial" w:eastAsia="Times New Roman" w:hAnsi="Arial" w:cs="Arial"/>
          <w:sz w:val="24"/>
          <w:szCs w:val="24"/>
          <w:lang w:eastAsia="it-IT"/>
        </w:rPr>
        <w:t xml:space="preserve"> years</w:t>
      </w:r>
      <w:r w:rsidR="008E7A2A" w:rsidRPr="008E7A2A">
        <w:rPr>
          <w:rFonts w:ascii="Arial" w:hAnsi="Arial" w:cs="Arial"/>
          <w:sz w:val="24"/>
          <w:szCs w:val="24"/>
          <w:vertAlign w:val="superscript"/>
        </w:rPr>
        <w:t>8,26</w:t>
      </w:r>
      <w:r w:rsidR="00B921B6" w:rsidRPr="00966346">
        <w:rPr>
          <w:rFonts w:ascii="Arial" w:hAnsi="Arial" w:cs="Arial"/>
          <w:sz w:val="24"/>
          <w:szCs w:val="24"/>
        </w:rPr>
        <w:t xml:space="preserve">, whereas upper age limit was 70 years in the present trial, with </w:t>
      </w:r>
      <w:r w:rsidR="00C614B1" w:rsidRPr="00966346">
        <w:rPr>
          <w:rFonts w:ascii="Arial" w:hAnsi="Arial" w:cs="Arial"/>
          <w:sz w:val="24"/>
          <w:szCs w:val="24"/>
        </w:rPr>
        <w:t>16</w:t>
      </w:r>
      <w:r w:rsidR="00B921B6" w:rsidRPr="00966346">
        <w:rPr>
          <w:rFonts w:ascii="Arial" w:hAnsi="Arial" w:cs="Arial"/>
          <w:sz w:val="24"/>
          <w:szCs w:val="24"/>
        </w:rPr>
        <w:t>% of patients being older than 6</w:t>
      </w:r>
      <w:r w:rsidR="00C614B1" w:rsidRPr="00966346">
        <w:rPr>
          <w:rFonts w:ascii="Arial" w:hAnsi="Arial" w:cs="Arial"/>
          <w:sz w:val="24"/>
          <w:szCs w:val="24"/>
        </w:rPr>
        <w:t>5</w:t>
      </w:r>
      <w:r w:rsidR="00B921B6" w:rsidRPr="00966346">
        <w:rPr>
          <w:rFonts w:ascii="Arial" w:hAnsi="Arial" w:cs="Arial"/>
          <w:sz w:val="24"/>
          <w:szCs w:val="24"/>
        </w:rPr>
        <w:t xml:space="preserve"> years</w:t>
      </w:r>
      <w:r w:rsidR="001709A5" w:rsidRPr="00966346">
        <w:rPr>
          <w:rFonts w:ascii="Arial" w:hAnsi="Arial" w:cs="Arial"/>
          <w:sz w:val="24"/>
          <w:szCs w:val="24"/>
        </w:rPr>
        <w:t xml:space="preserve">. </w:t>
      </w:r>
      <w:r w:rsidR="008A00C9" w:rsidRPr="00966346">
        <w:rPr>
          <w:rFonts w:ascii="Arial" w:hAnsi="Arial" w:cs="Arial"/>
          <w:sz w:val="24"/>
          <w:szCs w:val="24"/>
        </w:rPr>
        <w:t>Importantly</w:t>
      </w:r>
      <w:r w:rsidR="00B921B6" w:rsidRPr="00966346">
        <w:rPr>
          <w:rFonts w:ascii="Arial" w:hAnsi="Arial" w:cs="Arial"/>
          <w:sz w:val="24"/>
          <w:szCs w:val="24"/>
        </w:rPr>
        <w:t xml:space="preserve">, ECOG performance status ≥2 was recorded </w:t>
      </w:r>
      <w:r w:rsidR="00C614B1" w:rsidRPr="00966346">
        <w:rPr>
          <w:rFonts w:ascii="Arial" w:hAnsi="Arial" w:cs="Arial"/>
          <w:sz w:val="24"/>
          <w:szCs w:val="24"/>
        </w:rPr>
        <w:t xml:space="preserve">only </w:t>
      </w:r>
      <w:r w:rsidR="00B921B6" w:rsidRPr="00966346">
        <w:rPr>
          <w:rFonts w:ascii="Arial" w:hAnsi="Arial" w:cs="Arial"/>
          <w:sz w:val="24"/>
          <w:szCs w:val="24"/>
        </w:rPr>
        <w:t>in 0-19% of patients in prior studies</w:t>
      </w:r>
      <w:r w:rsidR="008E7A2A" w:rsidRPr="008E7A2A">
        <w:rPr>
          <w:rFonts w:ascii="Arial" w:hAnsi="Arial" w:cs="Arial"/>
          <w:sz w:val="24"/>
          <w:szCs w:val="24"/>
          <w:vertAlign w:val="superscript"/>
        </w:rPr>
        <w:t>8,26</w:t>
      </w:r>
      <w:r w:rsidR="00B921B6" w:rsidRPr="00966346">
        <w:rPr>
          <w:rFonts w:ascii="Arial" w:hAnsi="Arial" w:cs="Arial"/>
          <w:sz w:val="24"/>
          <w:szCs w:val="24"/>
        </w:rPr>
        <w:t xml:space="preserve"> and in 34% of IELSG32 patients. These figures </w:t>
      </w:r>
      <w:r w:rsidR="008A00C9" w:rsidRPr="00966346">
        <w:rPr>
          <w:rFonts w:ascii="Arial" w:hAnsi="Arial" w:cs="Arial"/>
          <w:sz w:val="24"/>
          <w:szCs w:val="24"/>
        </w:rPr>
        <w:t>confirm</w:t>
      </w:r>
      <w:r w:rsidR="00B921B6" w:rsidRPr="00966346">
        <w:rPr>
          <w:rFonts w:ascii="Arial" w:hAnsi="Arial" w:cs="Arial"/>
          <w:sz w:val="24"/>
          <w:szCs w:val="24"/>
        </w:rPr>
        <w:t xml:space="preserve"> that results from single-arm </w:t>
      </w:r>
      <w:r w:rsidR="00C614B1" w:rsidRPr="00966346">
        <w:rPr>
          <w:rFonts w:ascii="Arial" w:hAnsi="Arial" w:cs="Arial"/>
          <w:sz w:val="24"/>
          <w:szCs w:val="24"/>
        </w:rPr>
        <w:t xml:space="preserve">studies </w:t>
      </w:r>
      <w:r w:rsidR="00B921B6" w:rsidRPr="00966346">
        <w:rPr>
          <w:rFonts w:ascii="Arial" w:hAnsi="Arial" w:cs="Arial"/>
          <w:sz w:val="24"/>
          <w:szCs w:val="24"/>
        </w:rPr>
        <w:t xml:space="preserve">and randomized trials should be compared with caution. </w:t>
      </w:r>
      <w:r w:rsidR="00A8618B" w:rsidRPr="00966346">
        <w:rPr>
          <w:rFonts w:ascii="Arial" w:eastAsia="Times New Roman" w:hAnsi="Arial" w:cs="Arial"/>
          <w:sz w:val="24"/>
          <w:szCs w:val="24"/>
          <w:lang w:eastAsia="it-IT"/>
        </w:rPr>
        <w:t>Four</w:t>
      </w:r>
      <w:r w:rsidR="000F1761" w:rsidRPr="00966346">
        <w:rPr>
          <w:rFonts w:ascii="Arial" w:eastAsia="Times New Roman" w:hAnsi="Arial" w:cs="Arial"/>
          <w:sz w:val="24"/>
          <w:szCs w:val="24"/>
          <w:lang w:val="en-GB" w:eastAsia="it-IT"/>
        </w:rPr>
        <w:t xml:space="preserve">, six (5%) patients received a different consolidation therapy </w:t>
      </w:r>
      <w:r w:rsidR="00951AA8" w:rsidRPr="00966346">
        <w:rPr>
          <w:rFonts w:ascii="Arial" w:eastAsia="Times New Roman" w:hAnsi="Arial" w:cs="Arial"/>
          <w:sz w:val="24"/>
          <w:szCs w:val="24"/>
          <w:lang w:val="en-GB" w:eastAsia="it-IT"/>
        </w:rPr>
        <w:t>to that</w:t>
      </w:r>
      <w:r w:rsidR="000F1761" w:rsidRPr="00966346">
        <w:rPr>
          <w:rFonts w:ascii="Arial" w:eastAsia="Times New Roman" w:hAnsi="Arial" w:cs="Arial"/>
          <w:sz w:val="24"/>
          <w:szCs w:val="24"/>
          <w:lang w:val="en-GB" w:eastAsia="it-IT"/>
        </w:rPr>
        <w:t xml:space="preserve"> assigned, and </w:t>
      </w:r>
      <w:r w:rsidR="00D77874" w:rsidRPr="00966346">
        <w:rPr>
          <w:rFonts w:ascii="Arial" w:eastAsia="Times New Roman" w:hAnsi="Arial" w:cs="Arial"/>
          <w:sz w:val="24"/>
          <w:szCs w:val="24"/>
          <w:lang w:val="en-GB" w:eastAsia="it-IT"/>
        </w:rPr>
        <w:t>an</w:t>
      </w:r>
      <w:r w:rsidR="000F1761" w:rsidRPr="00966346">
        <w:rPr>
          <w:rFonts w:ascii="Arial" w:eastAsia="Times New Roman" w:hAnsi="Arial" w:cs="Arial"/>
          <w:sz w:val="24"/>
          <w:szCs w:val="24"/>
          <w:lang w:val="en-GB" w:eastAsia="it-IT"/>
        </w:rPr>
        <w:t>other five patients refused consolidation</w:t>
      </w:r>
      <w:r w:rsidR="000F1761" w:rsidRPr="00966346">
        <w:rPr>
          <w:rFonts w:ascii="Arial" w:eastAsia="Times New Roman" w:hAnsi="Arial" w:cs="Arial"/>
          <w:sz w:val="24"/>
          <w:szCs w:val="24"/>
          <w:lang w:eastAsia="it-IT"/>
        </w:rPr>
        <w:t xml:space="preserve">. However, </w:t>
      </w:r>
      <w:r w:rsidR="0021233E" w:rsidRPr="00966346">
        <w:rPr>
          <w:rFonts w:ascii="Arial" w:eastAsia="Times New Roman" w:hAnsi="Arial" w:cs="Arial"/>
          <w:sz w:val="24"/>
          <w:szCs w:val="24"/>
          <w:lang w:eastAsia="it-IT"/>
        </w:rPr>
        <w:t xml:space="preserve">these </w:t>
      </w:r>
      <w:r w:rsidR="000F1761" w:rsidRPr="00966346">
        <w:rPr>
          <w:rFonts w:ascii="Arial" w:eastAsia="Times New Roman" w:hAnsi="Arial" w:cs="Arial"/>
          <w:sz w:val="24"/>
          <w:szCs w:val="24"/>
          <w:lang w:val="en-GB" w:eastAsia="it-IT"/>
        </w:rPr>
        <w:t>limitations in the adherence to protocol</w:t>
      </w:r>
      <w:r w:rsidR="00EB72AE" w:rsidRPr="00966346">
        <w:rPr>
          <w:rFonts w:ascii="Arial" w:eastAsia="Times New Roman" w:hAnsi="Arial" w:cs="Arial"/>
          <w:sz w:val="24"/>
          <w:szCs w:val="24"/>
          <w:lang w:val="en-GB" w:eastAsia="it-IT"/>
        </w:rPr>
        <w:t>,</w:t>
      </w:r>
      <w:r w:rsidR="000F1761" w:rsidRPr="00966346">
        <w:rPr>
          <w:rFonts w:ascii="Arial" w:eastAsia="Times New Roman" w:hAnsi="Arial" w:cs="Arial"/>
          <w:sz w:val="24"/>
          <w:szCs w:val="24"/>
          <w:lang w:val="en-GB" w:eastAsia="it-IT"/>
        </w:rPr>
        <w:t xml:space="preserve"> occurring in 9% of randomized patients</w:t>
      </w:r>
      <w:r w:rsidR="00EB72AE" w:rsidRPr="00966346">
        <w:rPr>
          <w:rFonts w:ascii="Arial" w:eastAsia="Times New Roman" w:hAnsi="Arial" w:cs="Arial"/>
          <w:sz w:val="24"/>
          <w:szCs w:val="24"/>
          <w:lang w:val="en-GB" w:eastAsia="it-IT"/>
        </w:rPr>
        <w:t>,</w:t>
      </w:r>
      <w:r w:rsidR="000F1761" w:rsidRPr="00966346">
        <w:rPr>
          <w:rFonts w:ascii="Arial" w:eastAsia="Times New Roman" w:hAnsi="Arial" w:cs="Arial"/>
          <w:sz w:val="24"/>
          <w:szCs w:val="24"/>
          <w:lang w:val="en-GB" w:eastAsia="it-IT"/>
        </w:rPr>
        <w:t xml:space="preserve"> compare well with previously published randomized trials, where major protocol violations </w:t>
      </w:r>
      <w:r w:rsidR="00D77874" w:rsidRPr="00966346">
        <w:rPr>
          <w:rFonts w:ascii="Arial" w:eastAsia="Times New Roman" w:hAnsi="Arial" w:cs="Arial"/>
          <w:sz w:val="24"/>
          <w:szCs w:val="24"/>
          <w:lang w:val="en-GB" w:eastAsia="it-IT"/>
        </w:rPr>
        <w:t xml:space="preserve">have </w:t>
      </w:r>
      <w:r w:rsidR="000F1761" w:rsidRPr="00966346">
        <w:rPr>
          <w:rFonts w:ascii="Arial" w:eastAsia="Times New Roman" w:hAnsi="Arial" w:cs="Arial"/>
          <w:sz w:val="24"/>
          <w:szCs w:val="24"/>
          <w:lang w:val="en-GB" w:eastAsia="it-IT"/>
        </w:rPr>
        <w:t>affected up to 30% of registered patients, with up to 34% of patients refusing consolidation WBRT</w:t>
      </w:r>
      <w:r w:rsidR="008E7A2A" w:rsidRPr="008E7A2A">
        <w:rPr>
          <w:rFonts w:ascii="Arial" w:eastAsia="Times New Roman" w:hAnsi="Arial" w:cs="Arial"/>
          <w:sz w:val="24"/>
          <w:szCs w:val="24"/>
          <w:vertAlign w:val="superscript"/>
          <w:lang w:val="en-GB" w:eastAsia="it-IT"/>
        </w:rPr>
        <w:t>20,21</w:t>
      </w:r>
      <w:r w:rsidR="000F1761" w:rsidRPr="00966346">
        <w:rPr>
          <w:rFonts w:ascii="Arial" w:eastAsia="Times New Roman" w:hAnsi="Arial" w:cs="Arial"/>
          <w:sz w:val="24"/>
          <w:szCs w:val="24"/>
          <w:lang w:val="en-GB" w:eastAsia="it-IT"/>
        </w:rPr>
        <w:t xml:space="preserve">. </w:t>
      </w:r>
      <w:r w:rsidR="00CC79EB" w:rsidRPr="00966346">
        <w:rPr>
          <w:rFonts w:ascii="Arial" w:eastAsia="Times New Roman" w:hAnsi="Arial" w:cs="Arial"/>
          <w:sz w:val="24"/>
          <w:szCs w:val="24"/>
          <w:lang w:val="en-GB" w:eastAsia="it-IT"/>
        </w:rPr>
        <w:t>P</w:t>
      </w:r>
      <w:r w:rsidR="000F1761" w:rsidRPr="00966346">
        <w:rPr>
          <w:rFonts w:ascii="Arial" w:eastAsia="Times New Roman" w:hAnsi="Arial" w:cs="Arial"/>
          <w:sz w:val="24"/>
          <w:szCs w:val="24"/>
          <w:lang w:val="en-GB" w:eastAsia="it-IT"/>
        </w:rPr>
        <w:t>rotocol adherence in 91% of randomized patients suggest</w:t>
      </w:r>
      <w:r w:rsidR="00D77874" w:rsidRPr="00966346">
        <w:rPr>
          <w:rFonts w:ascii="Arial" w:eastAsia="Times New Roman" w:hAnsi="Arial" w:cs="Arial"/>
          <w:sz w:val="24"/>
          <w:szCs w:val="24"/>
          <w:lang w:val="en-GB" w:eastAsia="it-IT"/>
        </w:rPr>
        <w:t>s</w:t>
      </w:r>
      <w:r w:rsidR="000F1761" w:rsidRPr="00966346">
        <w:rPr>
          <w:rFonts w:ascii="Arial" w:eastAsia="Times New Roman" w:hAnsi="Arial" w:cs="Arial"/>
          <w:sz w:val="24"/>
          <w:szCs w:val="24"/>
          <w:lang w:val="en-GB" w:eastAsia="it-IT"/>
        </w:rPr>
        <w:t xml:space="preserve"> that </w:t>
      </w:r>
      <w:r w:rsidR="00CC79EB" w:rsidRPr="00966346">
        <w:rPr>
          <w:rFonts w:ascii="Arial" w:eastAsia="Times New Roman" w:hAnsi="Arial" w:cs="Arial"/>
          <w:sz w:val="24"/>
          <w:szCs w:val="24"/>
          <w:lang w:val="en-GB" w:eastAsia="it-IT"/>
        </w:rPr>
        <w:t xml:space="preserve">the </w:t>
      </w:r>
      <w:r w:rsidR="00C56B5D" w:rsidRPr="00966346">
        <w:rPr>
          <w:rFonts w:ascii="Arial" w:eastAsia="Times New Roman" w:hAnsi="Arial" w:cs="Arial"/>
          <w:sz w:val="24"/>
          <w:szCs w:val="24"/>
          <w:lang w:val="en-GB" w:eastAsia="it-IT"/>
        </w:rPr>
        <w:t>effect</w:t>
      </w:r>
      <w:r w:rsidR="000F1761" w:rsidRPr="00966346">
        <w:rPr>
          <w:rFonts w:ascii="Arial" w:eastAsia="Times New Roman" w:hAnsi="Arial" w:cs="Arial"/>
          <w:sz w:val="24"/>
          <w:szCs w:val="24"/>
          <w:lang w:val="en-GB" w:eastAsia="it-IT"/>
        </w:rPr>
        <w:t xml:space="preserve"> of </w:t>
      </w:r>
      <w:r w:rsidR="00CC79EB" w:rsidRPr="00966346">
        <w:rPr>
          <w:rFonts w:ascii="Arial" w:eastAsia="Times New Roman" w:hAnsi="Arial" w:cs="Arial"/>
          <w:sz w:val="24"/>
          <w:szCs w:val="24"/>
          <w:lang w:val="en-GB" w:eastAsia="it-IT"/>
        </w:rPr>
        <w:t xml:space="preserve">a </w:t>
      </w:r>
      <w:r w:rsidR="000F1761" w:rsidRPr="00966346">
        <w:rPr>
          <w:rFonts w:ascii="Arial" w:eastAsia="Times New Roman" w:hAnsi="Arial" w:cs="Arial"/>
          <w:sz w:val="24"/>
          <w:szCs w:val="24"/>
          <w:lang w:val="en-GB" w:eastAsia="it-IT"/>
        </w:rPr>
        <w:t>potential patient selection</w:t>
      </w:r>
      <w:r w:rsidR="00204220" w:rsidRPr="00966346">
        <w:rPr>
          <w:rFonts w:ascii="Arial" w:eastAsia="Times New Roman" w:hAnsi="Arial" w:cs="Arial"/>
          <w:sz w:val="24"/>
          <w:szCs w:val="24"/>
          <w:lang w:val="en-GB" w:eastAsia="it-IT"/>
        </w:rPr>
        <w:t xml:space="preserve"> bias</w:t>
      </w:r>
      <w:r w:rsidR="000F1761" w:rsidRPr="00966346">
        <w:rPr>
          <w:rFonts w:ascii="Arial" w:eastAsia="Times New Roman" w:hAnsi="Arial" w:cs="Arial"/>
          <w:sz w:val="24"/>
          <w:szCs w:val="24"/>
          <w:lang w:val="en-GB" w:eastAsia="it-IT"/>
        </w:rPr>
        <w:t>, if any, is</w:t>
      </w:r>
      <w:r w:rsidR="00CC79EB" w:rsidRPr="00966346">
        <w:rPr>
          <w:rFonts w:ascii="Arial" w:eastAsia="Times New Roman" w:hAnsi="Arial" w:cs="Arial"/>
          <w:sz w:val="24"/>
          <w:szCs w:val="24"/>
          <w:lang w:val="en-GB" w:eastAsia="it-IT"/>
        </w:rPr>
        <w:t xml:space="preserve"> negligible, and reinforce</w:t>
      </w:r>
      <w:r w:rsidR="00B60BAB" w:rsidRPr="00966346">
        <w:rPr>
          <w:rFonts w:ascii="Arial" w:eastAsia="Times New Roman" w:hAnsi="Arial" w:cs="Arial"/>
          <w:sz w:val="24"/>
          <w:szCs w:val="24"/>
          <w:lang w:val="en-GB" w:eastAsia="it-IT"/>
        </w:rPr>
        <w:t xml:space="preserve">s the </w:t>
      </w:r>
      <w:r w:rsidR="00CC79EB" w:rsidRPr="00966346">
        <w:rPr>
          <w:rFonts w:ascii="Arial" w:eastAsia="Times New Roman" w:hAnsi="Arial" w:cs="Arial"/>
          <w:sz w:val="24"/>
          <w:szCs w:val="24"/>
          <w:lang w:val="en-GB" w:eastAsia="it-IT"/>
        </w:rPr>
        <w:t>reliability</w:t>
      </w:r>
      <w:r w:rsidR="00B60BAB" w:rsidRPr="00966346">
        <w:rPr>
          <w:rFonts w:ascii="Arial" w:eastAsia="Times New Roman" w:hAnsi="Arial" w:cs="Arial"/>
          <w:sz w:val="24"/>
          <w:szCs w:val="24"/>
          <w:lang w:val="en-GB" w:eastAsia="it-IT"/>
        </w:rPr>
        <w:t xml:space="preserve"> of the study conclusions</w:t>
      </w:r>
      <w:r w:rsidR="00CC79EB" w:rsidRPr="00966346">
        <w:rPr>
          <w:rFonts w:ascii="Arial" w:eastAsia="Times New Roman" w:hAnsi="Arial" w:cs="Arial"/>
          <w:sz w:val="24"/>
          <w:szCs w:val="24"/>
          <w:lang w:val="en-GB" w:eastAsia="it-IT"/>
        </w:rPr>
        <w:t xml:space="preserve">. </w:t>
      </w:r>
      <w:r w:rsidR="000F1761" w:rsidRPr="00966346">
        <w:rPr>
          <w:rFonts w:ascii="Arial" w:eastAsia="Times New Roman" w:hAnsi="Arial" w:cs="Arial"/>
          <w:sz w:val="24"/>
          <w:szCs w:val="24"/>
          <w:lang w:val="en-GB" w:eastAsia="it-IT"/>
        </w:rPr>
        <w:t xml:space="preserve"> </w:t>
      </w:r>
    </w:p>
    <w:p w14:paraId="34424048" w14:textId="0434E618" w:rsidR="009834E3" w:rsidRPr="00966346" w:rsidRDefault="0034750B" w:rsidP="00F64684">
      <w:pPr>
        <w:spacing w:after="0" w:line="360" w:lineRule="auto"/>
        <w:jc w:val="both"/>
        <w:rPr>
          <w:rFonts w:ascii="Arial" w:eastAsia="Times New Roman" w:hAnsi="Arial" w:cs="Arial"/>
          <w:sz w:val="24"/>
          <w:szCs w:val="24"/>
          <w:lang w:val="en-GB" w:eastAsia="it-IT"/>
        </w:rPr>
      </w:pPr>
      <w:r w:rsidRPr="00966346">
        <w:rPr>
          <w:rFonts w:ascii="Arial" w:eastAsia="Times New Roman" w:hAnsi="Arial" w:cs="Arial"/>
          <w:sz w:val="24"/>
          <w:szCs w:val="24"/>
          <w:lang w:val="en-GB" w:eastAsia="it-IT"/>
        </w:rPr>
        <w:lastRenderedPageBreak/>
        <w:t xml:space="preserve">The </w:t>
      </w:r>
      <w:r w:rsidR="001B2141" w:rsidRPr="00966346">
        <w:rPr>
          <w:rFonts w:ascii="Arial" w:eastAsia="Times New Roman" w:hAnsi="Arial" w:cs="Arial"/>
          <w:sz w:val="24"/>
          <w:szCs w:val="24"/>
          <w:lang w:val="en-GB" w:eastAsia="it-IT"/>
        </w:rPr>
        <w:t>choice</w:t>
      </w:r>
      <w:r w:rsidRPr="00966346">
        <w:rPr>
          <w:rFonts w:ascii="Arial" w:eastAsia="Times New Roman" w:hAnsi="Arial" w:cs="Arial"/>
          <w:sz w:val="24"/>
          <w:szCs w:val="24"/>
          <w:lang w:val="en-GB" w:eastAsia="it-IT"/>
        </w:rPr>
        <w:t xml:space="preserve"> of WBRT and ASCT as consolidation therap</w:t>
      </w:r>
      <w:r w:rsidR="001B2141" w:rsidRPr="00966346">
        <w:rPr>
          <w:rFonts w:ascii="Arial" w:eastAsia="Times New Roman" w:hAnsi="Arial" w:cs="Arial"/>
          <w:sz w:val="24"/>
          <w:szCs w:val="24"/>
          <w:lang w:val="en-GB" w:eastAsia="it-IT"/>
        </w:rPr>
        <w:t>ies</w:t>
      </w:r>
      <w:r w:rsidRPr="00966346">
        <w:rPr>
          <w:rFonts w:ascii="Arial" w:eastAsia="Times New Roman" w:hAnsi="Arial" w:cs="Arial"/>
          <w:sz w:val="24"/>
          <w:szCs w:val="24"/>
          <w:lang w:val="en-GB" w:eastAsia="it-IT"/>
        </w:rPr>
        <w:t xml:space="preserve"> </w:t>
      </w:r>
      <w:r w:rsidR="001B2141" w:rsidRPr="00966346">
        <w:rPr>
          <w:rFonts w:ascii="Arial" w:eastAsia="Times New Roman" w:hAnsi="Arial" w:cs="Arial"/>
          <w:sz w:val="24"/>
          <w:szCs w:val="24"/>
          <w:lang w:val="en-GB" w:eastAsia="it-IT"/>
        </w:rPr>
        <w:t xml:space="preserve">in the present trial </w:t>
      </w:r>
      <w:r w:rsidRPr="00966346">
        <w:rPr>
          <w:rFonts w:ascii="Arial" w:eastAsia="Times New Roman" w:hAnsi="Arial" w:cs="Arial"/>
          <w:sz w:val="24"/>
          <w:szCs w:val="24"/>
          <w:lang w:val="en-GB" w:eastAsia="it-IT"/>
        </w:rPr>
        <w:t>is based on two main</w:t>
      </w:r>
      <w:r w:rsidR="00227C3C" w:rsidRPr="00966346">
        <w:rPr>
          <w:rFonts w:ascii="Arial" w:eastAsia="Times New Roman" w:hAnsi="Arial" w:cs="Arial"/>
          <w:sz w:val="24"/>
          <w:szCs w:val="24"/>
          <w:lang w:val="en-GB" w:eastAsia="it-IT"/>
        </w:rPr>
        <w:t xml:space="preserve"> </w:t>
      </w:r>
      <w:r w:rsidR="00D77874" w:rsidRPr="00966346">
        <w:rPr>
          <w:rFonts w:ascii="Arial" w:eastAsia="Times New Roman" w:hAnsi="Arial" w:cs="Arial"/>
          <w:sz w:val="24"/>
          <w:szCs w:val="24"/>
          <w:lang w:val="en-GB" w:eastAsia="it-IT"/>
        </w:rPr>
        <w:t>factors</w:t>
      </w:r>
      <w:r w:rsidRPr="00966346">
        <w:rPr>
          <w:rFonts w:ascii="Arial" w:eastAsia="Times New Roman" w:hAnsi="Arial" w:cs="Arial"/>
          <w:sz w:val="24"/>
          <w:szCs w:val="24"/>
          <w:lang w:val="en-GB" w:eastAsia="it-IT"/>
        </w:rPr>
        <w:t xml:space="preserve">. </w:t>
      </w:r>
      <w:r w:rsidR="00086FA6" w:rsidRPr="00966346">
        <w:rPr>
          <w:rFonts w:ascii="Arial" w:eastAsia="Times New Roman" w:hAnsi="Arial" w:cs="Arial"/>
          <w:sz w:val="24"/>
          <w:szCs w:val="24"/>
          <w:lang w:val="en-GB" w:eastAsia="it-IT"/>
        </w:rPr>
        <w:t>On one hand</w:t>
      </w:r>
      <w:r w:rsidRPr="00966346">
        <w:rPr>
          <w:rFonts w:ascii="Arial" w:eastAsia="Times New Roman" w:hAnsi="Arial" w:cs="Arial"/>
          <w:sz w:val="24"/>
          <w:szCs w:val="24"/>
          <w:lang w:val="en-GB" w:eastAsia="it-IT"/>
        </w:rPr>
        <w:t xml:space="preserve">, WBRT </w:t>
      </w:r>
      <w:r w:rsidR="00204220" w:rsidRPr="00966346">
        <w:rPr>
          <w:rFonts w:ascii="Arial" w:eastAsia="Times New Roman" w:hAnsi="Arial" w:cs="Arial"/>
          <w:sz w:val="24"/>
          <w:szCs w:val="24"/>
          <w:lang w:val="en-GB" w:eastAsia="it-IT"/>
        </w:rPr>
        <w:t>has historically been</w:t>
      </w:r>
      <w:r w:rsidRPr="00966346">
        <w:rPr>
          <w:rFonts w:ascii="Arial" w:eastAsia="Times New Roman" w:hAnsi="Arial" w:cs="Arial"/>
          <w:sz w:val="24"/>
          <w:szCs w:val="24"/>
          <w:lang w:val="en-GB" w:eastAsia="it-IT"/>
        </w:rPr>
        <w:t xml:space="preserve"> the most commonly used consolidation therapy both in young and elderly patients with newly-diagnosed PCNSL. </w:t>
      </w:r>
      <w:r w:rsidR="00587C1E" w:rsidRPr="00966346">
        <w:rPr>
          <w:rFonts w:ascii="Arial" w:eastAsia="Times New Roman" w:hAnsi="Arial" w:cs="Arial"/>
          <w:sz w:val="24"/>
          <w:szCs w:val="24"/>
          <w:lang w:val="en-GB" w:eastAsia="it-IT"/>
        </w:rPr>
        <w:t xml:space="preserve">The results of the </w:t>
      </w:r>
      <w:r w:rsidR="00587C1E" w:rsidRPr="00966346">
        <w:rPr>
          <w:rFonts w:ascii="Arial" w:eastAsia="Times New Roman" w:hAnsi="Arial" w:cs="Arial"/>
          <w:sz w:val="24"/>
          <w:szCs w:val="24"/>
          <w:lang w:eastAsia="it-IT"/>
        </w:rPr>
        <w:t xml:space="preserve">G-PCNSL-SG-1 </w:t>
      </w:r>
      <w:r w:rsidR="00587C1E" w:rsidRPr="00966346">
        <w:rPr>
          <w:rFonts w:ascii="Arial" w:eastAsia="Times New Roman" w:hAnsi="Arial" w:cs="Arial"/>
          <w:sz w:val="24"/>
          <w:szCs w:val="24"/>
          <w:lang w:val="en-GB" w:eastAsia="it-IT"/>
        </w:rPr>
        <w:t xml:space="preserve">randomized trial </w:t>
      </w:r>
      <w:r w:rsidR="00951AA8" w:rsidRPr="00966346">
        <w:rPr>
          <w:rFonts w:ascii="Arial" w:eastAsia="Times New Roman" w:hAnsi="Arial" w:cs="Arial"/>
          <w:sz w:val="24"/>
          <w:szCs w:val="24"/>
          <w:lang w:eastAsia="it-IT"/>
        </w:rPr>
        <w:t xml:space="preserve">challenged </w:t>
      </w:r>
      <w:r w:rsidR="00587C1E" w:rsidRPr="00966346">
        <w:rPr>
          <w:rFonts w:ascii="Arial" w:eastAsia="Times New Roman" w:hAnsi="Arial" w:cs="Arial"/>
          <w:sz w:val="24"/>
          <w:szCs w:val="24"/>
          <w:lang w:eastAsia="it-IT"/>
        </w:rPr>
        <w:t xml:space="preserve">the </w:t>
      </w:r>
      <w:r w:rsidR="00587C1E" w:rsidRPr="00966346">
        <w:rPr>
          <w:rFonts w:ascii="Arial" w:eastAsia="Times New Roman" w:hAnsi="Arial" w:cs="Arial"/>
          <w:sz w:val="24"/>
          <w:szCs w:val="24"/>
          <w:lang w:val="en-GB" w:eastAsia="it-IT"/>
        </w:rPr>
        <w:t xml:space="preserve">inclusion of WBRT in the IELSG32 trial. The </w:t>
      </w:r>
      <w:r w:rsidR="00C07E86" w:rsidRPr="00966346">
        <w:rPr>
          <w:rFonts w:ascii="Arial" w:eastAsia="Times New Roman" w:hAnsi="Arial" w:cs="Arial"/>
          <w:sz w:val="24"/>
          <w:szCs w:val="24"/>
          <w:lang w:eastAsia="it-IT"/>
        </w:rPr>
        <w:t xml:space="preserve">G-PCNSL-SG-1 study </w:t>
      </w:r>
      <w:r w:rsidR="00C07E86" w:rsidRPr="00966346">
        <w:rPr>
          <w:rFonts w:ascii="Arial" w:eastAsia="Times New Roman" w:hAnsi="Arial" w:cs="Arial"/>
          <w:sz w:val="24"/>
          <w:szCs w:val="24"/>
          <w:lang w:val="en-GB" w:eastAsia="it-IT"/>
        </w:rPr>
        <w:t xml:space="preserve">addressed the role of consolidation WBRT both in PCNSL patients who achieved a CR after </w:t>
      </w:r>
      <w:r w:rsidR="001B2141" w:rsidRPr="00966346">
        <w:rPr>
          <w:rFonts w:ascii="Arial" w:eastAsia="Times New Roman" w:hAnsi="Arial" w:cs="Arial"/>
          <w:sz w:val="24"/>
          <w:szCs w:val="24"/>
          <w:lang w:eastAsia="it-IT"/>
        </w:rPr>
        <w:t>high-dose-methotrexate</w:t>
      </w:r>
      <w:r w:rsidR="00C07E86" w:rsidRPr="00966346">
        <w:rPr>
          <w:rFonts w:ascii="Arial" w:eastAsia="Times New Roman" w:hAnsi="Arial" w:cs="Arial"/>
          <w:sz w:val="24"/>
          <w:szCs w:val="24"/>
          <w:lang w:val="en-GB" w:eastAsia="it-IT"/>
        </w:rPr>
        <w:t xml:space="preserve">-based induction and </w:t>
      </w:r>
      <w:r w:rsidR="00EF7A77" w:rsidRPr="00966346">
        <w:rPr>
          <w:rFonts w:ascii="Arial" w:eastAsia="Times New Roman" w:hAnsi="Arial" w:cs="Arial"/>
          <w:sz w:val="24"/>
          <w:szCs w:val="24"/>
          <w:lang w:val="en-GB" w:eastAsia="it-IT"/>
        </w:rPr>
        <w:t xml:space="preserve">in </w:t>
      </w:r>
      <w:r w:rsidR="00C07E86" w:rsidRPr="00966346">
        <w:rPr>
          <w:rFonts w:ascii="Arial" w:eastAsia="Times New Roman" w:hAnsi="Arial" w:cs="Arial"/>
          <w:sz w:val="24"/>
          <w:szCs w:val="24"/>
          <w:lang w:val="en-GB" w:eastAsia="it-IT"/>
        </w:rPr>
        <w:t>patients who did not</w:t>
      </w:r>
      <w:r w:rsidR="009879DD" w:rsidRPr="009879DD">
        <w:rPr>
          <w:rFonts w:ascii="Arial" w:eastAsia="Times New Roman" w:hAnsi="Arial" w:cs="Arial"/>
          <w:sz w:val="24"/>
          <w:szCs w:val="24"/>
          <w:vertAlign w:val="superscript"/>
          <w:lang w:val="en-GB" w:eastAsia="it-IT"/>
        </w:rPr>
        <w:t>20</w:t>
      </w:r>
      <w:r w:rsidR="00C07E86" w:rsidRPr="00966346">
        <w:rPr>
          <w:rFonts w:ascii="Arial" w:eastAsia="Times New Roman" w:hAnsi="Arial" w:cs="Arial"/>
          <w:sz w:val="24"/>
          <w:szCs w:val="24"/>
          <w:lang w:val="en-GB" w:eastAsia="it-IT"/>
        </w:rPr>
        <w:t xml:space="preserve">. Overall, WBRT was associated with improved PFS and unchanged OS; </w:t>
      </w:r>
      <w:r w:rsidR="00C07E86" w:rsidRPr="00966346">
        <w:rPr>
          <w:rFonts w:ascii="Arial" w:eastAsia="Times New Roman" w:hAnsi="Arial" w:cs="Arial"/>
          <w:sz w:val="24"/>
          <w:szCs w:val="24"/>
          <w:lang w:eastAsia="it-IT"/>
        </w:rPr>
        <w:t>however, th</w:t>
      </w:r>
      <w:r w:rsidR="00204220" w:rsidRPr="00966346">
        <w:rPr>
          <w:rFonts w:ascii="Arial" w:eastAsia="Times New Roman" w:hAnsi="Arial" w:cs="Arial"/>
          <w:sz w:val="24"/>
          <w:szCs w:val="24"/>
          <w:lang w:eastAsia="it-IT"/>
        </w:rPr>
        <w:t>is non-inferiority</w:t>
      </w:r>
      <w:r w:rsidR="00C07E86" w:rsidRPr="00966346">
        <w:rPr>
          <w:rFonts w:ascii="Arial" w:eastAsia="Times New Roman" w:hAnsi="Arial" w:cs="Arial"/>
          <w:sz w:val="24"/>
          <w:szCs w:val="24"/>
          <w:lang w:eastAsia="it-IT"/>
        </w:rPr>
        <w:t xml:space="preserve"> study </w:t>
      </w:r>
      <w:r w:rsidR="00086FA6" w:rsidRPr="00966346">
        <w:rPr>
          <w:rFonts w:ascii="Arial" w:eastAsia="Times New Roman" w:hAnsi="Arial" w:cs="Arial"/>
          <w:sz w:val="24"/>
          <w:szCs w:val="24"/>
          <w:lang w:eastAsia="it-IT"/>
        </w:rPr>
        <w:t xml:space="preserve">failed to prove its primary hypothesis and </w:t>
      </w:r>
      <w:r w:rsidR="004D3562" w:rsidRPr="00966346">
        <w:rPr>
          <w:rFonts w:ascii="Arial" w:eastAsia="Times New Roman" w:hAnsi="Arial" w:cs="Arial"/>
          <w:sz w:val="24"/>
          <w:szCs w:val="24"/>
          <w:lang w:eastAsia="it-IT"/>
        </w:rPr>
        <w:t>showed</w:t>
      </w:r>
      <w:r w:rsidR="00C07E86" w:rsidRPr="00966346">
        <w:rPr>
          <w:rFonts w:ascii="Arial" w:eastAsia="Times New Roman" w:hAnsi="Arial" w:cs="Arial"/>
          <w:sz w:val="24"/>
          <w:szCs w:val="24"/>
          <w:lang w:eastAsia="it-IT"/>
        </w:rPr>
        <w:t xml:space="preserve"> poor </w:t>
      </w:r>
      <w:r w:rsidR="00204220" w:rsidRPr="00966346">
        <w:rPr>
          <w:rFonts w:ascii="Arial" w:eastAsia="Times New Roman" w:hAnsi="Arial" w:cs="Arial"/>
          <w:sz w:val="24"/>
          <w:szCs w:val="24"/>
          <w:lang w:eastAsia="it-IT"/>
        </w:rPr>
        <w:t>protocol adherence</w:t>
      </w:r>
      <w:r w:rsidR="00C07E86" w:rsidRPr="00966346">
        <w:rPr>
          <w:rFonts w:ascii="Arial" w:eastAsia="Times New Roman" w:hAnsi="Arial" w:cs="Arial"/>
          <w:sz w:val="24"/>
          <w:szCs w:val="24"/>
          <w:lang w:eastAsia="it-IT"/>
        </w:rPr>
        <w:t xml:space="preserve"> and low statistical power</w:t>
      </w:r>
      <w:r w:rsidR="009879DD" w:rsidRPr="009879DD">
        <w:rPr>
          <w:rFonts w:ascii="Arial" w:eastAsia="Times New Roman" w:hAnsi="Arial" w:cs="Arial"/>
          <w:sz w:val="24"/>
          <w:szCs w:val="24"/>
          <w:vertAlign w:val="superscript"/>
          <w:lang w:eastAsia="it-IT"/>
        </w:rPr>
        <w:t>21</w:t>
      </w:r>
      <w:r w:rsidR="00C07E86" w:rsidRPr="00966346">
        <w:rPr>
          <w:rFonts w:ascii="Arial" w:eastAsia="Times New Roman" w:hAnsi="Arial" w:cs="Arial"/>
          <w:sz w:val="24"/>
          <w:szCs w:val="24"/>
          <w:lang w:eastAsia="it-IT"/>
        </w:rPr>
        <w:t xml:space="preserve">. </w:t>
      </w:r>
      <w:r w:rsidR="00086FA6" w:rsidRPr="00966346">
        <w:rPr>
          <w:rFonts w:ascii="Arial" w:eastAsia="Times New Roman" w:hAnsi="Arial" w:cs="Arial"/>
          <w:sz w:val="24"/>
          <w:szCs w:val="24"/>
          <w:lang w:eastAsia="it-IT"/>
        </w:rPr>
        <w:t xml:space="preserve">Consequently, some authorities have concluded that the G-PCNSL-SG1 trial does not provide </w:t>
      </w:r>
      <w:r w:rsidR="00587C1E" w:rsidRPr="00966346">
        <w:rPr>
          <w:rFonts w:ascii="Arial" w:eastAsia="Times New Roman" w:hAnsi="Arial" w:cs="Arial"/>
          <w:sz w:val="24"/>
          <w:szCs w:val="24"/>
          <w:lang w:eastAsia="it-IT"/>
        </w:rPr>
        <w:t>conclusive</w:t>
      </w:r>
      <w:r w:rsidR="00086FA6" w:rsidRPr="00966346">
        <w:rPr>
          <w:rFonts w:ascii="Arial" w:eastAsia="Times New Roman" w:hAnsi="Arial" w:cs="Arial"/>
          <w:sz w:val="24"/>
          <w:szCs w:val="24"/>
          <w:lang w:eastAsia="it-IT"/>
        </w:rPr>
        <w:t xml:space="preserve"> information on the effect of WBRT, </w:t>
      </w:r>
      <w:r w:rsidR="00587C1E" w:rsidRPr="00966346">
        <w:rPr>
          <w:rFonts w:ascii="Arial" w:eastAsia="Times New Roman" w:hAnsi="Arial" w:cs="Arial"/>
          <w:sz w:val="24"/>
          <w:szCs w:val="24"/>
          <w:lang w:eastAsia="it-IT"/>
        </w:rPr>
        <w:t>thus justifying</w:t>
      </w:r>
      <w:r w:rsidR="00086FA6" w:rsidRPr="00966346">
        <w:rPr>
          <w:rFonts w:ascii="Arial" w:eastAsia="Times New Roman" w:hAnsi="Arial" w:cs="Arial"/>
          <w:sz w:val="24"/>
          <w:szCs w:val="24"/>
          <w:lang w:eastAsia="it-IT"/>
        </w:rPr>
        <w:t xml:space="preserve"> the use of </w:t>
      </w:r>
      <w:r w:rsidR="00587C1E" w:rsidRPr="00966346">
        <w:rPr>
          <w:rFonts w:ascii="Arial" w:eastAsia="Times New Roman" w:hAnsi="Arial" w:cs="Arial"/>
          <w:sz w:val="24"/>
          <w:szCs w:val="24"/>
          <w:lang w:eastAsia="it-IT"/>
        </w:rPr>
        <w:t>this therapy</w:t>
      </w:r>
      <w:r w:rsidR="00086FA6" w:rsidRPr="00966346">
        <w:rPr>
          <w:rFonts w:ascii="Arial" w:eastAsia="Times New Roman" w:hAnsi="Arial" w:cs="Arial"/>
          <w:sz w:val="24"/>
          <w:szCs w:val="24"/>
          <w:lang w:eastAsia="it-IT"/>
        </w:rPr>
        <w:t xml:space="preserve"> as </w:t>
      </w:r>
      <w:r w:rsidR="0098702A" w:rsidRPr="00966346">
        <w:rPr>
          <w:rFonts w:ascii="Arial" w:eastAsia="Times New Roman" w:hAnsi="Arial" w:cs="Arial"/>
          <w:sz w:val="24"/>
          <w:szCs w:val="24"/>
          <w:lang w:eastAsia="it-IT"/>
        </w:rPr>
        <w:t xml:space="preserve">the </w:t>
      </w:r>
      <w:r w:rsidR="00086FA6" w:rsidRPr="00966346">
        <w:rPr>
          <w:rFonts w:ascii="Arial" w:eastAsia="Times New Roman" w:hAnsi="Arial" w:cs="Arial"/>
          <w:sz w:val="24"/>
          <w:szCs w:val="24"/>
          <w:lang w:eastAsia="it-IT"/>
        </w:rPr>
        <w:t>comparator in a randomized trial</w:t>
      </w:r>
      <w:r w:rsidR="009879DD" w:rsidRPr="009879DD">
        <w:rPr>
          <w:rFonts w:ascii="Arial" w:eastAsia="Times New Roman" w:hAnsi="Arial" w:cs="Arial"/>
          <w:sz w:val="24"/>
          <w:szCs w:val="24"/>
          <w:vertAlign w:val="superscript"/>
          <w:lang w:eastAsia="it-IT"/>
        </w:rPr>
        <w:t>22</w:t>
      </w:r>
      <w:r w:rsidR="00086FA6" w:rsidRPr="00966346">
        <w:rPr>
          <w:rFonts w:ascii="Arial" w:eastAsia="Times New Roman" w:hAnsi="Arial" w:cs="Arial"/>
          <w:sz w:val="24"/>
          <w:szCs w:val="24"/>
          <w:lang w:eastAsia="it-IT"/>
        </w:rPr>
        <w:t xml:space="preserve">. </w:t>
      </w:r>
      <w:r w:rsidRPr="00966346">
        <w:rPr>
          <w:rFonts w:ascii="Arial" w:eastAsia="Times New Roman" w:hAnsi="Arial" w:cs="Arial"/>
          <w:sz w:val="24"/>
          <w:szCs w:val="24"/>
          <w:lang w:val="en-GB" w:eastAsia="it-IT"/>
        </w:rPr>
        <w:t>Available evidence suggest</w:t>
      </w:r>
      <w:r w:rsidR="00B60BAB" w:rsidRPr="00966346">
        <w:rPr>
          <w:rFonts w:ascii="Arial" w:eastAsia="Times New Roman" w:hAnsi="Arial" w:cs="Arial"/>
          <w:sz w:val="24"/>
          <w:szCs w:val="24"/>
          <w:lang w:val="en-GB" w:eastAsia="it-IT"/>
        </w:rPr>
        <w:t>s</w:t>
      </w:r>
      <w:r w:rsidRPr="00966346">
        <w:rPr>
          <w:rFonts w:ascii="Arial" w:eastAsia="Times New Roman" w:hAnsi="Arial" w:cs="Arial"/>
          <w:sz w:val="24"/>
          <w:szCs w:val="24"/>
          <w:lang w:val="en-GB" w:eastAsia="it-IT"/>
        </w:rPr>
        <w:t xml:space="preserve"> that irradiated volume should includ</w:t>
      </w:r>
      <w:r w:rsidR="004E47F7" w:rsidRPr="00966346">
        <w:rPr>
          <w:rFonts w:ascii="Arial" w:eastAsia="Times New Roman" w:hAnsi="Arial" w:cs="Arial"/>
          <w:sz w:val="24"/>
          <w:szCs w:val="24"/>
          <w:lang w:val="en-GB" w:eastAsia="it-IT"/>
        </w:rPr>
        <w:t xml:space="preserve">e the whole </w:t>
      </w:r>
      <w:r w:rsidR="00204220" w:rsidRPr="00966346">
        <w:rPr>
          <w:rFonts w:ascii="Arial" w:eastAsia="Times New Roman" w:hAnsi="Arial" w:cs="Arial"/>
          <w:sz w:val="24"/>
          <w:szCs w:val="24"/>
          <w:lang w:val="en-GB" w:eastAsia="it-IT"/>
        </w:rPr>
        <w:t>brain</w:t>
      </w:r>
      <w:r w:rsidR="009879DD" w:rsidRPr="009879DD">
        <w:rPr>
          <w:rFonts w:ascii="Arial" w:eastAsia="Times New Roman" w:hAnsi="Arial" w:cs="Arial"/>
          <w:sz w:val="24"/>
          <w:szCs w:val="24"/>
          <w:vertAlign w:val="superscript"/>
          <w:lang w:val="en-GB" w:eastAsia="it-IT"/>
        </w:rPr>
        <w:t>23</w:t>
      </w:r>
      <w:r w:rsidR="004E47F7" w:rsidRPr="00966346">
        <w:rPr>
          <w:rFonts w:ascii="Arial" w:eastAsia="Times New Roman" w:hAnsi="Arial" w:cs="Arial"/>
          <w:sz w:val="24"/>
          <w:szCs w:val="24"/>
          <w:lang w:val="en-GB" w:eastAsia="it-IT"/>
        </w:rPr>
        <w:t xml:space="preserve"> and</w:t>
      </w:r>
      <w:r w:rsidRPr="00966346">
        <w:rPr>
          <w:rFonts w:ascii="Arial" w:eastAsia="Times New Roman" w:hAnsi="Arial" w:cs="Arial"/>
          <w:sz w:val="24"/>
          <w:szCs w:val="24"/>
          <w:lang w:val="en-GB" w:eastAsia="it-IT"/>
        </w:rPr>
        <w:t xml:space="preserve"> the posterior two-thirds of the orbits a</w:t>
      </w:r>
      <w:r w:rsidR="004E47F7" w:rsidRPr="00966346">
        <w:rPr>
          <w:rFonts w:ascii="Arial" w:eastAsia="Times New Roman" w:hAnsi="Arial" w:cs="Arial"/>
          <w:sz w:val="24"/>
          <w:szCs w:val="24"/>
          <w:lang w:val="en-GB" w:eastAsia="it-IT"/>
        </w:rPr>
        <w:t>nd the first two spine segments</w:t>
      </w:r>
      <w:r w:rsidR="009879DD" w:rsidRPr="009879DD">
        <w:rPr>
          <w:rFonts w:ascii="Arial" w:eastAsia="Times New Roman" w:hAnsi="Arial" w:cs="Arial"/>
          <w:sz w:val="24"/>
          <w:szCs w:val="24"/>
          <w:vertAlign w:val="superscript"/>
          <w:lang w:val="en-GB" w:eastAsia="it-IT"/>
        </w:rPr>
        <w:t>24</w:t>
      </w:r>
      <w:r w:rsidR="00B60BAB" w:rsidRPr="00966346">
        <w:rPr>
          <w:rFonts w:ascii="Arial" w:eastAsia="Times New Roman" w:hAnsi="Arial" w:cs="Arial"/>
          <w:sz w:val="24"/>
          <w:szCs w:val="24"/>
          <w:lang w:val="en-GB" w:eastAsia="it-IT"/>
        </w:rPr>
        <w:t>, and that</w:t>
      </w:r>
      <w:r w:rsidRPr="00966346">
        <w:rPr>
          <w:rFonts w:ascii="Arial" w:eastAsia="Times New Roman" w:hAnsi="Arial" w:cs="Arial"/>
          <w:sz w:val="24"/>
          <w:szCs w:val="24"/>
          <w:lang w:val="en-GB" w:eastAsia="it-IT"/>
        </w:rPr>
        <w:t xml:space="preserve"> </w:t>
      </w:r>
      <w:r w:rsidR="00B60BAB" w:rsidRPr="00966346">
        <w:rPr>
          <w:rFonts w:ascii="Arial" w:eastAsia="Times New Roman" w:hAnsi="Arial" w:cs="Arial"/>
          <w:sz w:val="24"/>
          <w:szCs w:val="24"/>
          <w:lang w:val="en-GB" w:eastAsia="it-IT"/>
        </w:rPr>
        <w:t xml:space="preserve">reduced doses </w:t>
      </w:r>
      <w:r w:rsidRPr="00966346">
        <w:rPr>
          <w:rFonts w:ascii="Arial" w:eastAsia="Times New Roman" w:hAnsi="Arial" w:cs="Arial"/>
          <w:sz w:val="24"/>
          <w:szCs w:val="24"/>
          <w:lang w:val="en-GB" w:eastAsia="it-IT"/>
        </w:rPr>
        <w:t>to the whole brain are associated with similar survival figures than doses over 40 Gy</w:t>
      </w:r>
      <w:r w:rsidR="009879DD" w:rsidRPr="009879DD">
        <w:rPr>
          <w:rFonts w:ascii="Arial" w:eastAsia="Times New Roman" w:hAnsi="Arial" w:cs="Arial"/>
          <w:sz w:val="24"/>
          <w:szCs w:val="24"/>
          <w:vertAlign w:val="superscript"/>
          <w:lang w:val="en-GB" w:eastAsia="it-IT"/>
        </w:rPr>
        <w:t>9,25</w:t>
      </w:r>
      <w:r w:rsidRPr="00966346">
        <w:rPr>
          <w:rFonts w:ascii="Arial" w:eastAsia="Times New Roman" w:hAnsi="Arial" w:cs="Arial"/>
          <w:sz w:val="24"/>
          <w:szCs w:val="24"/>
          <w:lang w:val="en-GB" w:eastAsia="it-IT"/>
        </w:rPr>
        <w:t xml:space="preserve">, </w:t>
      </w:r>
      <w:r w:rsidR="00C07E86" w:rsidRPr="00966346">
        <w:rPr>
          <w:rFonts w:ascii="Arial" w:eastAsia="Times New Roman" w:hAnsi="Arial" w:cs="Arial"/>
          <w:sz w:val="24"/>
          <w:szCs w:val="24"/>
          <w:lang w:val="en-GB" w:eastAsia="it-IT"/>
        </w:rPr>
        <w:t>with acceptable</w:t>
      </w:r>
      <w:r w:rsidRPr="00966346">
        <w:rPr>
          <w:rFonts w:ascii="Arial" w:eastAsia="Times New Roman" w:hAnsi="Arial" w:cs="Arial"/>
          <w:sz w:val="24"/>
          <w:szCs w:val="24"/>
          <w:lang w:val="en-GB" w:eastAsia="it-IT"/>
        </w:rPr>
        <w:t xml:space="preserve"> </w:t>
      </w:r>
      <w:r w:rsidR="00C07E86" w:rsidRPr="00966346">
        <w:rPr>
          <w:rFonts w:ascii="Arial" w:eastAsia="Times New Roman" w:hAnsi="Arial" w:cs="Arial"/>
          <w:sz w:val="24"/>
          <w:szCs w:val="24"/>
          <w:lang w:val="en-GB" w:eastAsia="it-IT"/>
        </w:rPr>
        <w:t>neurotolerability</w:t>
      </w:r>
      <w:r w:rsidR="009879DD" w:rsidRPr="009879DD">
        <w:rPr>
          <w:rFonts w:ascii="Arial" w:eastAsia="Times New Roman" w:hAnsi="Arial" w:cs="Arial"/>
          <w:sz w:val="24"/>
          <w:szCs w:val="24"/>
          <w:vertAlign w:val="superscript"/>
          <w:lang w:val="en-GB" w:eastAsia="it-IT"/>
        </w:rPr>
        <w:t>9</w:t>
      </w:r>
      <w:r w:rsidRPr="00966346">
        <w:rPr>
          <w:rFonts w:ascii="Arial" w:eastAsia="Times New Roman" w:hAnsi="Arial" w:cs="Arial"/>
          <w:sz w:val="24"/>
          <w:szCs w:val="24"/>
          <w:lang w:val="en-GB" w:eastAsia="it-IT"/>
        </w:rPr>
        <w:t xml:space="preserve">. </w:t>
      </w:r>
      <w:r w:rsidR="00587C1E" w:rsidRPr="00966346">
        <w:rPr>
          <w:rFonts w:ascii="Arial" w:eastAsia="Times New Roman" w:hAnsi="Arial" w:cs="Arial"/>
          <w:sz w:val="24"/>
          <w:szCs w:val="24"/>
          <w:lang w:eastAsia="it-IT"/>
        </w:rPr>
        <w:t xml:space="preserve">The outstanding survival figures of arm-D(WBRT) patients in the IELSG32 trial (Fig. </w:t>
      </w:r>
      <w:r w:rsidR="00053766">
        <w:rPr>
          <w:rFonts w:ascii="Arial" w:eastAsia="Times New Roman" w:hAnsi="Arial" w:cs="Arial"/>
          <w:sz w:val="24"/>
          <w:szCs w:val="24"/>
          <w:lang w:eastAsia="it-IT"/>
        </w:rPr>
        <w:t>4</w:t>
      </w:r>
      <w:r w:rsidR="00587C1E" w:rsidRPr="00966346">
        <w:rPr>
          <w:rFonts w:ascii="Arial" w:eastAsia="Times New Roman" w:hAnsi="Arial" w:cs="Arial"/>
          <w:sz w:val="24"/>
          <w:szCs w:val="24"/>
          <w:lang w:eastAsia="it-IT"/>
        </w:rPr>
        <w:t xml:space="preserve">) support this decision, and are in line with </w:t>
      </w:r>
      <w:proofErr w:type="spellStart"/>
      <w:r w:rsidR="00587C1E" w:rsidRPr="00966346">
        <w:rPr>
          <w:rFonts w:ascii="Arial" w:eastAsia="Times New Roman" w:hAnsi="Arial" w:cs="Arial"/>
          <w:sz w:val="24"/>
          <w:szCs w:val="24"/>
          <w:lang w:eastAsia="it-IT"/>
        </w:rPr>
        <w:t>monoinstitutional</w:t>
      </w:r>
      <w:proofErr w:type="spellEnd"/>
      <w:r w:rsidR="00587C1E" w:rsidRPr="00966346">
        <w:rPr>
          <w:rFonts w:ascii="Arial" w:eastAsia="Times New Roman" w:hAnsi="Arial" w:cs="Arial"/>
          <w:sz w:val="24"/>
          <w:szCs w:val="24"/>
          <w:lang w:eastAsia="it-IT"/>
        </w:rPr>
        <w:t xml:space="preserve"> studies </w:t>
      </w:r>
      <w:r w:rsidR="00587C1E" w:rsidRPr="00966346">
        <w:rPr>
          <w:rFonts w:ascii="Arial" w:eastAsia="Times New Roman" w:hAnsi="Arial" w:cs="Arial"/>
          <w:sz w:val="24"/>
          <w:szCs w:val="24"/>
          <w:lang w:val="en-GB" w:eastAsia="it-IT"/>
        </w:rPr>
        <w:t>suggesting that reduced radiation doses are associated with similar survival to doses over 40 Gy</w:t>
      </w:r>
      <w:r w:rsidR="009879DD" w:rsidRPr="009879DD">
        <w:rPr>
          <w:rFonts w:ascii="Arial" w:eastAsia="Times New Roman" w:hAnsi="Arial" w:cs="Arial"/>
          <w:sz w:val="24"/>
          <w:szCs w:val="24"/>
          <w:vertAlign w:val="superscript"/>
          <w:lang w:val="en-GB" w:eastAsia="it-IT"/>
        </w:rPr>
        <w:t>9,25</w:t>
      </w:r>
      <w:r w:rsidR="00587C1E" w:rsidRPr="00966346">
        <w:rPr>
          <w:rFonts w:ascii="Arial" w:eastAsia="Times New Roman" w:hAnsi="Arial" w:cs="Arial"/>
          <w:sz w:val="24"/>
          <w:szCs w:val="24"/>
          <w:lang w:val="en-GB" w:eastAsia="it-IT"/>
        </w:rPr>
        <w:t xml:space="preserve">. </w:t>
      </w:r>
      <w:r w:rsidR="00086FA6" w:rsidRPr="00966346">
        <w:rPr>
          <w:rFonts w:ascii="Arial" w:eastAsia="Times New Roman" w:hAnsi="Arial" w:cs="Arial"/>
          <w:sz w:val="24"/>
          <w:szCs w:val="24"/>
          <w:lang w:val="en-GB" w:eastAsia="it-IT"/>
        </w:rPr>
        <w:t xml:space="preserve">On the other hand, </w:t>
      </w:r>
      <w:r w:rsidR="00EB72AE" w:rsidRPr="00966346">
        <w:rPr>
          <w:rFonts w:ascii="Arial" w:eastAsia="Times New Roman" w:hAnsi="Arial" w:cs="Arial"/>
          <w:sz w:val="24"/>
          <w:szCs w:val="24"/>
          <w:lang w:val="en-GB" w:eastAsia="it-IT"/>
        </w:rPr>
        <w:t>HDC/</w:t>
      </w:r>
      <w:r w:rsidR="00086FA6" w:rsidRPr="00966346">
        <w:rPr>
          <w:rFonts w:ascii="Arial" w:eastAsia="Times New Roman" w:hAnsi="Arial" w:cs="Arial"/>
          <w:sz w:val="24"/>
          <w:szCs w:val="24"/>
          <w:lang w:val="en-GB" w:eastAsia="it-IT"/>
        </w:rPr>
        <w:t>ASCT is the most</w:t>
      </w:r>
      <w:r w:rsidR="00C60AC5" w:rsidRPr="00966346">
        <w:rPr>
          <w:rFonts w:ascii="Arial" w:eastAsia="Times New Roman" w:hAnsi="Arial" w:cs="Arial"/>
          <w:sz w:val="24"/>
          <w:szCs w:val="24"/>
          <w:lang w:val="en-GB" w:eastAsia="it-IT"/>
        </w:rPr>
        <w:t xml:space="preserve"> commonly</w:t>
      </w:r>
      <w:r w:rsidR="00086FA6" w:rsidRPr="00966346">
        <w:rPr>
          <w:rFonts w:ascii="Arial" w:eastAsia="Times New Roman" w:hAnsi="Arial" w:cs="Arial"/>
          <w:sz w:val="24"/>
          <w:szCs w:val="24"/>
          <w:lang w:val="en-GB" w:eastAsia="it-IT"/>
        </w:rPr>
        <w:t xml:space="preserve"> investigated alternative to WBRT in PCNSL patients</w:t>
      </w:r>
      <w:r w:rsidR="009879DD" w:rsidRPr="009879DD">
        <w:rPr>
          <w:rFonts w:ascii="Arial" w:eastAsia="Times New Roman" w:hAnsi="Arial" w:cs="Arial"/>
          <w:sz w:val="24"/>
          <w:szCs w:val="24"/>
          <w:vertAlign w:val="superscript"/>
          <w:lang w:val="en-GB" w:eastAsia="it-IT"/>
        </w:rPr>
        <w:t>12</w:t>
      </w:r>
      <w:r w:rsidR="00086FA6" w:rsidRPr="00966346">
        <w:rPr>
          <w:rFonts w:ascii="Arial" w:eastAsia="Times New Roman" w:hAnsi="Arial" w:cs="Arial"/>
          <w:sz w:val="24"/>
          <w:szCs w:val="24"/>
          <w:lang w:val="en-GB" w:eastAsia="it-IT"/>
        </w:rPr>
        <w:t xml:space="preserve">. </w:t>
      </w:r>
      <w:r w:rsidR="00204220" w:rsidRPr="00966346">
        <w:rPr>
          <w:rFonts w:ascii="Arial" w:eastAsia="Times New Roman" w:hAnsi="Arial" w:cs="Arial"/>
          <w:sz w:val="24"/>
          <w:szCs w:val="24"/>
          <w:lang w:val="en-GB" w:eastAsia="it-IT"/>
        </w:rPr>
        <w:t>Uncontrolled</w:t>
      </w:r>
      <w:r w:rsidR="00FC64F6" w:rsidRPr="00966346">
        <w:rPr>
          <w:rFonts w:ascii="Arial" w:eastAsia="Times New Roman" w:hAnsi="Arial" w:cs="Arial"/>
          <w:sz w:val="24"/>
          <w:szCs w:val="24"/>
          <w:lang w:val="en-GB" w:eastAsia="it-IT"/>
        </w:rPr>
        <w:t xml:space="preserve"> p</w:t>
      </w:r>
      <w:r w:rsidR="009834E3" w:rsidRPr="00966346">
        <w:rPr>
          <w:rFonts w:ascii="Arial" w:eastAsia="Times New Roman" w:hAnsi="Arial" w:cs="Arial"/>
          <w:sz w:val="24"/>
          <w:szCs w:val="24"/>
          <w:lang w:val="en-GB" w:eastAsia="it-IT"/>
        </w:rPr>
        <w:t xml:space="preserve">rospective </w:t>
      </w:r>
      <w:r w:rsidR="004E47F7" w:rsidRPr="00966346">
        <w:rPr>
          <w:rFonts w:ascii="Arial" w:eastAsia="Times New Roman" w:hAnsi="Arial" w:cs="Arial"/>
          <w:sz w:val="24"/>
          <w:szCs w:val="24"/>
          <w:lang w:val="en-GB" w:eastAsia="it-IT"/>
        </w:rPr>
        <w:t>trial</w:t>
      </w:r>
      <w:r w:rsidR="009834E3" w:rsidRPr="00966346">
        <w:rPr>
          <w:rFonts w:ascii="Arial" w:eastAsia="Times New Roman" w:hAnsi="Arial" w:cs="Arial"/>
          <w:sz w:val="24"/>
          <w:szCs w:val="24"/>
          <w:lang w:val="en-GB" w:eastAsia="it-IT"/>
        </w:rPr>
        <w:t>s have reported encouraging results</w:t>
      </w:r>
      <w:r w:rsidR="009879DD" w:rsidRPr="009879DD">
        <w:rPr>
          <w:rFonts w:ascii="Arial" w:eastAsia="Times New Roman" w:hAnsi="Arial" w:cs="Arial"/>
          <w:sz w:val="24"/>
          <w:szCs w:val="24"/>
          <w:vertAlign w:val="superscript"/>
          <w:lang w:val="en-GB" w:eastAsia="it-IT"/>
        </w:rPr>
        <w:t>26</w:t>
      </w:r>
      <w:r w:rsidR="009834E3" w:rsidRPr="00966346">
        <w:rPr>
          <w:rFonts w:ascii="Arial" w:eastAsia="Times New Roman" w:hAnsi="Arial" w:cs="Arial"/>
          <w:sz w:val="24"/>
          <w:szCs w:val="24"/>
          <w:lang w:val="en-GB" w:eastAsia="it-IT"/>
        </w:rPr>
        <w:t>, with acceptable toxicity</w:t>
      </w:r>
      <w:r w:rsidR="004E47F7" w:rsidRPr="00966346">
        <w:rPr>
          <w:rFonts w:ascii="Arial" w:eastAsia="Times New Roman" w:hAnsi="Arial" w:cs="Arial"/>
          <w:sz w:val="24"/>
          <w:szCs w:val="24"/>
          <w:lang w:val="en-GB" w:eastAsia="it-IT"/>
        </w:rPr>
        <w:t>,</w:t>
      </w:r>
      <w:r w:rsidR="009834E3" w:rsidRPr="00966346">
        <w:rPr>
          <w:rFonts w:ascii="Arial" w:eastAsia="Times New Roman" w:hAnsi="Arial" w:cs="Arial"/>
          <w:sz w:val="24"/>
          <w:szCs w:val="24"/>
          <w:lang w:val="en-GB" w:eastAsia="it-IT"/>
        </w:rPr>
        <w:t xml:space="preserve"> and </w:t>
      </w:r>
      <w:r w:rsidR="004E47F7" w:rsidRPr="00966346">
        <w:rPr>
          <w:rFonts w:ascii="Arial" w:eastAsia="Times New Roman" w:hAnsi="Arial" w:cs="Arial"/>
          <w:sz w:val="24"/>
          <w:szCs w:val="24"/>
          <w:lang w:val="en-GB" w:eastAsia="it-IT"/>
        </w:rPr>
        <w:t>suggest</w:t>
      </w:r>
      <w:r w:rsidR="00204220" w:rsidRPr="00966346">
        <w:rPr>
          <w:rFonts w:ascii="Arial" w:eastAsia="Times New Roman" w:hAnsi="Arial" w:cs="Arial"/>
          <w:sz w:val="24"/>
          <w:szCs w:val="24"/>
          <w:lang w:val="en-GB" w:eastAsia="it-IT"/>
        </w:rPr>
        <w:t>ed</w:t>
      </w:r>
      <w:r w:rsidR="004E47F7" w:rsidRPr="00966346">
        <w:rPr>
          <w:rFonts w:ascii="Arial" w:eastAsia="Times New Roman" w:hAnsi="Arial" w:cs="Arial"/>
          <w:sz w:val="24"/>
          <w:szCs w:val="24"/>
          <w:lang w:val="en-GB" w:eastAsia="it-IT"/>
        </w:rPr>
        <w:t xml:space="preserve"> </w:t>
      </w:r>
      <w:r w:rsidR="009834E3" w:rsidRPr="00966346">
        <w:rPr>
          <w:rFonts w:ascii="Arial" w:eastAsia="Times New Roman" w:hAnsi="Arial" w:cs="Arial"/>
          <w:sz w:val="24"/>
          <w:szCs w:val="24"/>
          <w:lang w:val="en-GB" w:eastAsia="it-IT"/>
        </w:rPr>
        <w:t xml:space="preserve">preservation of </w:t>
      </w:r>
      <w:r w:rsidR="00AD30E5" w:rsidRPr="00966346">
        <w:rPr>
          <w:rFonts w:ascii="Arial" w:eastAsia="Times New Roman" w:hAnsi="Arial" w:cs="Arial"/>
          <w:sz w:val="24"/>
          <w:szCs w:val="24"/>
          <w:lang w:val="en-GB" w:eastAsia="it-IT"/>
        </w:rPr>
        <w:t>cognitive</w:t>
      </w:r>
      <w:r w:rsidR="009834E3" w:rsidRPr="00966346">
        <w:rPr>
          <w:rFonts w:ascii="Arial" w:eastAsia="Times New Roman" w:hAnsi="Arial" w:cs="Arial"/>
          <w:sz w:val="24"/>
          <w:szCs w:val="24"/>
          <w:lang w:val="en-GB" w:eastAsia="it-IT"/>
        </w:rPr>
        <w:t xml:space="preserve"> functions</w:t>
      </w:r>
      <w:r w:rsidR="009879DD" w:rsidRPr="009879DD">
        <w:rPr>
          <w:rFonts w:ascii="Arial" w:eastAsia="Times New Roman" w:hAnsi="Arial" w:cs="Arial"/>
          <w:sz w:val="24"/>
          <w:szCs w:val="24"/>
          <w:vertAlign w:val="superscript"/>
          <w:lang w:val="en-GB" w:eastAsia="it-IT"/>
        </w:rPr>
        <w:t>8</w:t>
      </w:r>
      <w:r w:rsidR="009834E3" w:rsidRPr="00966346">
        <w:rPr>
          <w:rFonts w:ascii="Arial" w:eastAsia="Times New Roman" w:hAnsi="Arial" w:cs="Arial"/>
          <w:sz w:val="24"/>
          <w:szCs w:val="24"/>
          <w:lang w:val="en-GB" w:eastAsia="it-IT"/>
        </w:rPr>
        <w:t xml:space="preserve">. </w:t>
      </w:r>
      <w:r w:rsidR="00F64684" w:rsidRPr="00966346">
        <w:rPr>
          <w:rFonts w:ascii="Arial" w:eastAsia="Times New Roman" w:hAnsi="Arial" w:cs="Arial"/>
          <w:sz w:val="24"/>
          <w:szCs w:val="24"/>
          <w:lang w:val="en-GB" w:eastAsia="it-IT"/>
        </w:rPr>
        <w:t xml:space="preserve">Thiotepa-based </w:t>
      </w:r>
      <w:r w:rsidR="00CC57FF" w:rsidRPr="00966346">
        <w:rPr>
          <w:rFonts w:ascii="Arial" w:eastAsia="Times New Roman" w:hAnsi="Arial" w:cs="Arial"/>
          <w:sz w:val="24"/>
          <w:szCs w:val="24"/>
          <w:lang w:val="en-GB" w:eastAsia="it-IT"/>
        </w:rPr>
        <w:t xml:space="preserve">conditioning </w:t>
      </w:r>
      <w:r w:rsidR="00F64684" w:rsidRPr="00966346">
        <w:rPr>
          <w:rFonts w:ascii="Arial" w:eastAsia="Times New Roman" w:hAnsi="Arial" w:cs="Arial"/>
          <w:sz w:val="24"/>
          <w:szCs w:val="24"/>
          <w:lang w:val="en-GB" w:eastAsia="it-IT"/>
        </w:rPr>
        <w:t>regimens have been associated with higher activity and efficacy</w:t>
      </w:r>
      <w:r w:rsidR="009879DD" w:rsidRPr="009879DD">
        <w:rPr>
          <w:rFonts w:ascii="Arial" w:eastAsia="Times New Roman" w:hAnsi="Arial" w:cs="Arial"/>
          <w:sz w:val="24"/>
          <w:szCs w:val="24"/>
          <w:vertAlign w:val="superscript"/>
          <w:lang w:val="en-GB" w:eastAsia="it-IT"/>
        </w:rPr>
        <w:t>8,26</w:t>
      </w:r>
      <w:r w:rsidR="00F64684" w:rsidRPr="00966346">
        <w:rPr>
          <w:rFonts w:ascii="Arial" w:eastAsia="Times New Roman" w:hAnsi="Arial" w:cs="Arial"/>
          <w:sz w:val="24"/>
          <w:szCs w:val="24"/>
          <w:lang w:val="en-GB" w:eastAsia="it-IT"/>
        </w:rPr>
        <w:t xml:space="preserve"> than </w:t>
      </w:r>
      <w:r w:rsidR="00204220" w:rsidRPr="00966346">
        <w:rPr>
          <w:rFonts w:ascii="Arial" w:eastAsia="Times New Roman" w:hAnsi="Arial" w:cs="Arial"/>
          <w:sz w:val="24"/>
          <w:szCs w:val="24"/>
          <w:lang w:val="en-GB" w:eastAsia="it-IT"/>
        </w:rPr>
        <w:t xml:space="preserve">the </w:t>
      </w:r>
      <w:r w:rsidR="00F64684" w:rsidRPr="00966346">
        <w:rPr>
          <w:rFonts w:ascii="Arial" w:eastAsia="Times New Roman" w:hAnsi="Arial" w:cs="Arial"/>
          <w:sz w:val="24"/>
          <w:szCs w:val="24"/>
          <w:lang w:val="en-GB" w:eastAsia="it-IT"/>
        </w:rPr>
        <w:t xml:space="preserve">BEAM </w:t>
      </w:r>
      <w:r w:rsidR="00204220" w:rsidRPr="00966346">
        <w:rPr>
          <w:rFonts w:ascii="Arial" w:eastAsia="Times New Roman" w:hAnsi="Arial" w:cs="Arial"/>
          <w:sz w:val="24"/>
          <w:szCs w:val="24"/>
          <w:lang w:val="en-GB" w:eastAsia="it-IT"/>
        </w:rPr>
        <w:t xml:space="preserve">(BCNU, etoposide, cytarabine, </w:t>
      </w:r>
      <w:proofErr w:type="spellStart"/>
      <w:r w:rsidR="00204220" w:rsidRPr="00966346">
        <w:rPr>
          <w:rFonts w:ascii="Arial" w:eastAsia="Times New Roman" w:hAnsi="Arial" w:cs="Arial"/>
          <w:sz w:val="24"/>
          <w:szCs w:val="24"/>
          <w:lang w:val="en-GB" w:eastAsia="it-IT"/>
        </w:rPr>
        <w:t>melphalan</w:t>
      </w:r>
      <w:proofErr w:type="spellEnd"/>
      <w:r w:rsidR="00204220" w:rsidRPr="00966346">
        <w:rPr>
          <w:rFonts w:ascii="Arial" w:eastAsia="Times New Roman" w:hAnsi="Arial" w:cs="Arial"/>
          <w:sz w:val="24"/>
          <w:szCs w:val="24"/>
          <w:lang w:val="en-GB" w:eastAsia="it-IT"/>
        </w:rPr>
        <w:t xml:space="preserve">) </w:t>
      </w:r>
      <w:r w:rsidR="00F64684" w:rsidRPr="00966346">
        <w:rPr>
          <w:rFonts w:ascii="Arial" w:eastAsia="Times New Roman" w:hAnsi="Arial" w:cs="Arial"/>
          <w:sz w:val="24"/>
          <w:szCs w:val="24"/>
          <w:lang w:val="en-GB" w:eastAsia="it-IT"/>
        </w:rPr>
        <w:t>combination</w:t>
      </w:r>
      <w:r w:rsidR="009879DD" w:rsidRPr="009879DD">
        <w:rPr>
          <w:rFonts w:ascii="Arial" w:eastAsia="Times New Roman" w:hAnsi="Arial" w:cs="Arial"/>
          <w:sz w:val="24"/>
          <w:szCs w:val="24"/>
          <w:vertAlign w:val="superscript"/>
          <w:lang w:eastAsia="it-IT"/>
        </w:rPr>
        <w:t>27,28</w:t>
      </w:r>
      <w:r w:rsidR="009834E3" w:rsidRPr="00966346">
        <w:rPr>
          <w:rFonts w:ascii="Arial" w:eastAsia="Times New Roman" w:hAnsi="Arial" w:cs="Arial"/>
          <w:sz w:val="24"/>
          <w:szCs w:val="24"/>
          <w:lang w:val="en-GB" w:eastAsia="it-IT"/>
        </w:rPr>
        <w:t xml:space="preserve">, which has been explained by a putative low bioavailability in the CNS of </w:t>
      </w:r>
      <w:r w:rsidR="00CC57FF" w:rsidRPr="00966346">
        <w:rPr>
          <w:rFonts w:ascii="Arial" w:eastAsia="Times New Roman" w:hAnsi="Arial" w:cs="Arial"/>
          <w:sz w:val="24"/>
          <w:szCs w:val="24"/>
          <w:lang w:val="en-GB" w:eastAsia="it-IT"/>
        </w:rPr>
        <w:t xml:space="preserve">the </w:t>
      </w:r>
      <w:r w:rsidR="009834E3" w:rsidRPr="00966346">
        <w:rPr>
          <w:rFonts w:ascii="Arial" w:eastAsia="Times New Roman" w:hAnsi="Arial" w:cs="Arial"/>
          <w:sz w:val="24"/>
          <w:szCs w:val="24"/>
          <w:lang w:val="en-GB" w:eastAsia="it-IT"/>
        </w:rPr>
        <w:t>drug</w:t>
      </w:r>
      <w:r w:rsidR="00CC57FF" w:rsidRPr="00966346">
        <w:rPr>
          <w:rFonts w:ascii="Arial" w:eastAsia="Times New Roman" w:hAnsi="Arial" w:cs="Arial"/>
          <w:sz w:val="24"/>
          <w:szCs w:val="24"/>
          <w:lang w:val="en-GB" w:eastAsia="it-IT"/>
        </w:rPr>
        <w:t>s</w:t>
      </w:r>
      <w:r w:rsidR="00BB5557" w:rsidRPr="00966346">
        <w:rPr>
          <w:rFonts w:ascii="Arial" w:eastAsia="Times New Roman" w:hAnsi="Arial" w:cs="Arial"/>
          <w:sz w:val="24"/>
          <w:szCs w:val="24"/>
          <w:lang w:val="en-GB" w:eastAsia="it-IT"/>
        </w:rPr>
        <w:t xml:space="preserve"> at </w:t>
      </w:r>
      <w:r w:rsidR="007923F0" w:rsidRPr="00966346">
        <w:rPr>
          <w:rFonts w:ascii="Arial" w:eastAsia="Times New Roman" w:hAnsi="Arial" w:cs="Arial"/>
          <w:sz w:val="24"/>
          <w:szCs w:val="24"/>
          <w:lang w:val="en-GB" w:eastAsia="it-IT"/>
        </w:rPr>
        <w:t>the</w:t>
      </w:r>
      <w:r w:rsidR="00BB5557" w:rsidRPr="00966346">
        <w:rPr>
          <w:rFonts w:ascii="Arial" w:eastAsia="Times New Roman" w:hAnsi="Arial" w:cs="Arial"/>
          <w:sz w:val="24"/>
          <w:szCs w:val="24"/>
          <w:lang w:val="en-GB" w:eastAsia="it-IT"/>
        </w:rPr>
        <w:t xml:space="preserve"> doses</w:t>
      </w:r>
      <w:r w:rsidR="007923F0" w:rsidRPr="00966346">
        <w:rPr>
          <w:rFonts w:ascii="Arial" w:eastAsia="Times New Roman" w:hAnsi="Arial" w:cs="Arial"/>
          <w:sz w:val="24"/>
          <w:szCs w:val="24"/>
          <w:lang w:val="en-GB" w:eastAsia="it-IT"/>
        </w:rPr>
        <w:t xml:space="preserve"> adopted</w:t>
      </w:r>
      <w:r w:rsidR="009879DD" w:rsidRPr="009879DD">
        <w:rPr>
          <w:rFonts w:ascii="Arial" w:eastAsia="Times New Roman" w:hAnsi="Arial" w:cs="Arial"/>
          <w:sz w:val="24"/>
          <w:szCs w:val="24"/>
          <w:vertAlign w:val="superscript"/>
          <w:lang w:eastAsia="it-IT"/>
        </w:rPr>
        <w:t>29</w:t>
      </w:r>
      <w:r w:rsidR="009834E3" w:rsidRPr="00966346">
        <w:rPr>
          <w:rFonts w:ascii="Arial" w:eastAsia="Times New Roman" w:hAnsi="Arial" w:cs="Arial"/>
          <w:sz w:val="24"/>
          <w:szCs w:val="24"/>
          <w:lang w:val="en-GB" w:eastAsia="it-IT"/>
        </w:rPr>
        <w:t xml:space="preserve">. </w:t>
      </w:r>
      <w:r w:rsidR="00F64684" w:rsidRPr="00966346">
        <w:rPr>
          <w:rFonts w:ascii="Arial" w:eastAsia="Times New Roman" w:hAnsi="Arial" w:cs="Arial"/>
          <w:sz w:val="24"/>
          <w:szCs w:val="24"/>
          <w:lang w:val="en-GB" w:eastAsia="it-IT"/>
        </w:rPr>
        <w:t>Moreover</w:t>
      </w:r>
      <w:r w:rsidR="00BB5557" w:rsidRPr="00966346">
        <w:rPr>
          <w:rFonts w:ascii="Arial" w:eastAsia="Times New Roman" w:hAnsi="Arial" w:cs="Arial"/>
          <w:sz w:val="24"/>
          <w:szCs w:val="24"/>
          <w:lang w:val="en-GB" w:eastAsia="it-IT"/>
        </w:rPr>
        <w:t>, the combination of BCNU and thiotepa has been associated with better tolerability</w:t>
      </w:r>
      <w:r w:rsidR="009879DD" w:rsidRPr="009879DD">
        <w:rPr>
          <w:rFonts w:ascii="Arial" w:eastAsia="Times New Roman" w:hAnsi="Arial" w:cs="Arial"/>
          <w:sz w:val="24"/>
          <w:szCs w:val="24"/>
          <w:vertAlign w:val="superscript"/>
          <w:lang w:val="en-GB" w:eastAsia="it-IT"/>
        </w:rPr>
        <w:t>26,30</w:t>
      </w:r>
      <w:r w:rsidR="00BB5557" w:rsidRPr="00966346">
        <w:rPr>
          <w:rFonts w:ascii="Arial" w:eastAsia="Times New Roman" w:hAnsi="Arial" w:cs="Arial"/>
          <w:sz w:val="24"/>
          <w:szCs w:val="24"/>
          <w:lang w:val="en-GB" w:eastAsia="it-IT"/>
        </w:rPr>
        <w:t xml:space="preserve">. </w:t>
      </w:r>
      <w:r w:rsidR="00B60BAB" w:rsidRPr="00966346">
        <w:rPr>
          <w:rFonts w:ascii="Arial" w:eastAsia="Times New Roman" w:hAnsi="Arial" w:cs="Arial"/>
          <w:sz w:val="24"/>
          <w:szCs w:val="24"/>
          <w:lang w:val="en-GB" w:eastAsia="it-IT"/>
        </w:rPr>
        <w:t>Thus,</w:t>
      </w:r>
      <w:r w:rsidR="00F64684" w:rsidRPr="00966346">
        <w:rPr>
          <w:rFonts w:ascii="Arial" w:eastAsia="Times New Roman" w:hAnsi="Arial" w:cs="Arial"/>
          <w:sz w:val="24"/>
          <w:szCs w:val="24"/>
          <w:lang w:val="en-GB" w:eastAsia="it-IT"/>
        </w:rPr>
        <w:t xml:space="preserve"> r</w:t>
      </w:r>
      <w:r w:rsidR="001B2141" w:rsidRPr="00966346">
        <w:rPr>
          <w:rFonts w:ascii="Arial" w:eastAsia="Times New Roman" w:hAnsi="Arial" w:cs="Arial"/>
          <w:sz w:val="24"/>
          <w:szCs w:val="24"/>
          <w:lang w:val="en-GB" w:eastAsia="it-IT"/>
        </w:rPr>
        <w:t>adiation fields</w:t>
      </w:r>
      <w:r w:rsidR="00B60BAB" w:rsidRPr="00966346">
        <w:rPr>
          <w:rFonts w:ascii="Arial" w:eastAsia="Times New Roman" w:hAnsi="Arial" w:cs="Arial"/>
          <w:sz w:val="24"/>
          <w:szCs w:val="24"/>
          <w:lang w:val="en-GB" w:eastAsia="it-IT"/>
        </w:rPr>
        <w:t>/</w:t>
      </w:r>
      <w:r w:rsidR="001B2141" w:rsidRPr="00966346">
        <w:rPr>
          <w:rFonts w:ascii="Arial" w:eastAsia="Times New Roman" w:hAnsi="Arial" w:cs="Arial"/>
          <w:sz w:val="24"/>
          <w:szCs w:val="24"/>
          <w:lang w:val="en-GB" w:eastAsia="it-IT"/>
        </w:rPr>
        <w:t xml:space="preserve">doses </w:t>
      </w:r>
      <w:r w:rsidR="004D3562" w:rsidRPr="00966346">
        <w:rPr>
          <w:rFonts w:ascii="Arial" w:eastAsia="Times New Roman" w:hAnsi="Arial" w:cs="Arial"/>
          <w:sz w:val="24"/>
          <w:szCs w:val="24"/>
          <w:lang w:val="en-GB" w:eastAsia="it-IT"/>
        </w:rPr>
        <w:t xml:space="preserve">and </w:t>
      </w:r>
      <w:r w:rsidR="00204220" w:rsidRPr="00966346">
        <w:rPr>
          <w:rFonts w:ascii="Arial" w:eastAsia="Times New Roman" w:hAnsi="Arial" w:cs="Arial"/>
          <w:sz w:val="24"/>
          <w:szCs w:val="24"/>
          <w:lang w:val="en-GB" w:eastAsia="it-IT"/>
        </w:rPr>
        <w:t xml:space="preserve">the </w:t>
      </w:r>
      <w:r w:rsidR="00B60BAB" w:rsidRPr="00966346">
        <w:rPr>
          <w:rFonts w:ascii="Arial" w:eastAsia="Times New Roman" w:hAnsi="Arial" w:cs="Arial"/>
          <w:sz w:val="24"/>
          <w:szCs w:val="24"/>
          <w:lang w:val="en-GB" w:eastAsia="it-IT"/>
        </w:rPr>
        <w:t xml:space="preserve">ASCT </w:t>
      </w:r>
      <w:r w:rsidR="001B2141" w:rsidRPr="00966346">
        <w:rPr>
          <w:rFonts w:ascii="Arial" w:eastAsia="Times New Roman" w:hAnsi="Arial" w:cs="Arial"/>
          <w:sz w:val="24"/>
          <w:szCs w:val="24"/>
          <w:lang w:val="en-GB" w:eastAsia="it-IT"/>
        </w:rPr>
        <w:t xml:space="preserve">conditioning regimen </w:t>
      </w:r>
      <w:r w:rsidR="00B60BAB" w:rsidRPr="00966346">
        <w:rPr>
          <w:rFonts w:ascii="Arial" w:eastAsia="Times New Roman" w:hAnsi="Arial" w:cs="Arial"/>
          <w:sz w:val="24"/>
          <w:szCs w:val="24"/>
          <w:lang w:val="en-GB" w:eastAsia="it-IT"/>
        </w:rPr>
        <w:t xml:space="preserve">investigated </w:t>
      </w:r>
      <w:r w:rsidR="004D3562" w:rsidRPr="00966346">
        <w:rPr>
          <w:rFonts w:ascii="Arial" w:eastAsia="Times New Roman" w:hAnsi="Arial" w:cs="Arial"/>
          <w:sz w:val="24"/>
          <w:szCs w:val="24"/>
          <w:lang w:val="en-GB" w:eastAsia="it-IT"/>
        </w:rPr>
        <w:t>in t</w:t>
      </w:r>
      <w:r w:rsidR="00BB5557" w:rsidRPr="00966346">
        <w:rPr>
          <w:rFonts w:ascii="Arial" w:eastAsia="Times New Roman" w:hAnsi="Arial" w:cs="Arial"/>
          <w:sz w:val="24"/>
          <w:szCs w:val="24"/>
          <w:lang w:val="en-GB" w:eastAsia="it-IT"/>
        </w:rPr>
        <w:t xml:space="preserve">he </w:t>
      </w:r>
      <w:r w:rsidR="000879C6" w:rsidRPr="00966346">
        <w:rPr>
          <w:rFonts w:ascii="Arial" w:eastAsia="Times New Roman" w:hAnsi="Arial" w:cs="Arial"/>
          <w:sz w:val="24"/>
          <w:szCs w:val="24"/>
          <w:lang w:val="en-GB" w:eastAsia="it-IT"/>
        </w:rPr>
        <w:t>IELSG32</w:t>
      </w:r>
      <w:r w:rsidR="00BB5557" w:rsidRPr="00966346">
        <w:rPr>
          <w:rFonts w:ascii="Arial" w:eastAsia="Times New Roman" w:hAnsi="Arial" w:cs="Arial"/>
          <w:sz w:val="24"/>
          <w:szCs w:val="24"/>
          <w:lang w:val="en-GB" w:eastAsia="it-IT"/>
        </w:rPr>
        <w:t xml:space="preserve"> </w:t>
      </w:r>
      <w:r w:rsidR="004D3562" w:rsidRPr="00966346">
        <w:rPr>
          <w:rFonts w:ascii="Arial" w:eastAsia="Times New Roman" w:hAnsi="Arial" w:cs="Arial"/>
          <w:sz w:val="24"/>
          <w:szCs w:val="24"/>
          <w:lang w:val="en-GB" w:eastAsia="it-IT"/>
        </w:rPr>
        <w:t xml:space="preserve">trial were </w:t>
      </w:r>
      <w:r w:rsidR="00B60BAB" w:rsidRPr="00966346">
        <w:rPr>
          <w:rFonts w:ascii="Arial" w:eastAsia="Times New Roman" w:hAnsi="Arial" w:cs="Arial"/>
          <w:sz w:val="24"/>
          <w:szCs w:val="24"/>
          <w:lang w:val="en-GB" w:eastAsia="it-IT"/>
        </w:rPr>
        <w:t xml:space="preserve">selected </w:t>
      </w:r>
      <w:r w:rsidR="004D3562" w:rsidRPr="00966346">
        <w:rPr>
          <w:rFonts w:ascii="Arial" w:eastAsia="Times New Roman" w:hAnsi="Arial" w:cs="Arial"/>
          <w:sz w:val="24"/>
          <w:szCs w:val="24"/>
          <w:lang w:val="en-GB" w:eastAsia="it-IT"/>
        </w:rPr>
        <w:t>according to available clinical data</w:t>
      </w:r>
      <w:r w:rsidR="005B46E5" w:rsidRPr="00966346">
        <w:rPr>
          <w:rFonts w:ascii="Arial" w:eastAsia="Times New Roman" w:hAnsi="Arial" w:cs="Arial"/>
          <w:sz w:val="24"/>
          <w:szCs w:val="24"/>
          <w:lang w:val="en-GB" w:eastAsia="it-IT"/>
        </w:rPr>
        <w:t>, and</w:t>
      </w:r>
      <w:r w:rsidR="00EB72AE" w:rsidRPr="00966346">
        <w:rPr>
          <w:rFonts w:ascii="Arial" w:eastAsia="Times New Roman" w:hAnsi="Arial" w:cs="Arial"/>
          <w:sz w:val="24"/>
          <w:szCs w:val="24"/>
          <w:lang w:val="en-GB" w:eastAsia="it-IT"/>
        </w:rPr>
        <w:t xml:space="preserve"> the present analysi</w:t>
      </w:r>
      <w:r w:rsidR="001B2141" w:rsidRPr="00966346">
        <w:rPr>
          <w:rFonts w:ascii="Arial" w:eastAsia="Times New Roman" w:hAnsi="Arial" w:cs="Arial"/>
          <w:sz w:val="24"/>
          <w:szCs w:val="24"/>
          <w:lang w:val="en-GB" w:eastAsia="it-IT"/>
        </w:rPr>
        <w:t>s</w:t>
      </w:r>
      <w:r w:rsidR="00866EA3" w:rsidRPr="00966346">
        <w:rPr>
          <w:rFonts w:ascii="Arial" w:eastAsia="Times New Roman" w:hAnsi="Arial" w:cs="Arial"/>
          <w:sz w:val="24"/>
          <w:szCs w:val="24"/>
          <w:lang w:val="en-GB" w:eastAsia="it-IT"/>
        </w:rPr>
        <w:t xml:space="preserve"> demonstrate</w:t>
      </w:r>
      <w:r w:rsidR="00EB72AE" w:rsidRPr="00966346">
        <w:rPr>
          <w:rFonts w:ascii="Arial" w:eastAsia="Times New Roman" w:hAnsi="Arial" w:cs="Arial"/>
          <w:sz w:val="24"/>
          <w:szCs w:val="24"/>
          <w:lang w:val="en-GB" w:eastAsia="it-IT"/>
        </w:rPr>
        <w:t>s</w:t>
      </w:r>
      <w:r w:rsidR="00866EA3" w:rsidRPr="00966346">
        <w:rPr>
          <w:rFonts w:ascii="Arial" w:eastAsia="Times New Roman" w:hAnsi="Arial" w:cs="Arial"/>
          <w:sz w:val="24"/>
          <w:szCs w:val="24"/>
          <w:lang w:val="en-GB" w:eastAsia="it-IT"/>
        </w:rPr>
        <w:t xml:space="preserve"> </w:t>
      </w:r>
      <w:r w:rsidR="00B60BAB" w:rsidRPr="00966346">
        <w:rPr>
          <w:rFonts w:ascii="Arial" w:eastAsia="Times New Roman" w:hAnsi="Arial" w:cs="Arial"/>
          <w:sz w:val="24"/>
          <w:szCs w:val="24"/>
          <w:lang w:val="en-GB" w:eastAsia="it-IT"/>
        </w:rPr>
        <w:t xml:space="preserve">the feasibility and high efficacy of </w:t>
      </w:r>
      <w:r w:rsidR="00F64684" w:rsidRPr="00966346">
        <w:rPr>
          <w:rFonts w:ascii="Arial" w:eastAsia="Times New Roman" w:hAnsi="Arial" w:cs="Arial"/>
          <w:sz w:val="24"/>
          <w:szCs w:val="24"/>
          <w:lang w:val="en-GB" w:eastAsia="it-IT"/>
        </w:rPr>
        <w:t xml:space="preserve">these consolidation </w:t>
      </w:r>
      <w:r w:rsidR="00B60BAB" w:rsidRPr="00966346">
        <w:rPr>
          <w:rFonts w:ascii="Arial" w:eastAsia="Times New Roman" w:hAnsi="Arial" w:cs="Arial"/>
          <w:sz w:val="24"/>
          <w:szCs w:val="24"/>
          <w:lang w:val="en-GB" w:eastAsia="it-IT"/>
        </w:rPr>
        <w:t>approaches</w:t>
      </w:r>
      <w:r w:rsidR="001B2141" w:rsidRPr="00966346">
        <w:rPr>
          <w:rFonts w:ascii="Arial" w:eastAsia="Times New Roman" w:hAnsi="Arial" w:cs="Arial"/>
          <w:sz w:val="24"/>
          <w:szCs w:val="24"/>
          <w:lang w:val="en-GB" w:eastAsia="it-IT"/>
        </w:rPr>
        <w:t xml:space="preserve">. </w:t>
      </w:r>
    </w:p>
    <w:p w14:paraId="6CA8E2CB" w14:textId="38561531" w:rsidR="00F64684" w:rsidRPr="00966346" w:rsidRDefault="000C06AE" w:rsidP="00855143">
      <w:pPr>
        <w:spacing w:after="0" w:line="360" w:lineRule="auto"/>
        <w:jc w:val="both"/>
        <w:rPr>
          <w:rFonts w:ascii="Arial" w:eastAsia="Times New Roman" w:hAnsi="Arial" w:cs="Arial"/>
          <w:sz w:val="24"/>
          <w:szCs w:val="24"/>
          <w:lang w:val="en-GB" w:eastAsia="it-IT"/>
        </w:rPr>
      </w:pPr>
      <w:r w:rsidRPr="00966346">
        <w:rPr>
          <w:rFonts w:ascii="Arial" w:eastAsia="Times New Roman" w:hAnsi="Arial" w:cs="Arial"/>
          <w:sz w:val="24"/>
          <w:szCs w:val="24"/>
          <w:lang w:val="en-GB" w:eastAsia="it-IT"/>
        </w:rPr>
        <w:t xml:space="preserve">Both WBRT and ASCT were associated with good tolerability, </w:t>
      </w:r>
      <w:r w:rsidR="00996118" w:rsidRPr="00966346">
        <w:rPr>
          <w:rFonts w:ascii="Arial" w:eastAsia="Times New Roman" w:hAnsi="Arial" w:cs="Arial"/>
          <w:sz w:val="24"/>
          <w:szCs w:val="24"/>
          <w:lang w:val="en-GB" w:eastAsia="it-IT"/>
        </w:rPr>
        <w:t xml:space="preserve">and </w:t>
      </w:r>
      <w:r w:rsidRPr="00966346">
        <w:rPr>
          <w:rFonts w:ascii="Arial" w:eastAsia="Times New Roman" w:hAnsi="Arial" w:cs="Arial"/>
          <w:sz w:val="24"/>
          <w:szCs w:val="24"/>
          <w:lang w:val="en-GB" w:eastAsia="it-IT"/>
        </w:rPr>
        <w:t>g</w:t>
      </w:r>
      <w:r w:rsidR="0080365B" w:rsidRPr="00966346">
        <w:rPr>
          <w:rFonts w:ascii="Arial" w:eastAsia="Times New Roman" w:hAnsi="Arial" w:cs="Arial"/>
          <w:sz w:val="24"/>
          <w:szCs w:val="24"/>
          <w:lang w:val="en-GB" w:eastAsia="it-IT"/>
        </w:rPr>
        <w:t xml:space="preserve">rade-4 non-haematological toxicity </w:t>
      </w:r>
      <w:r w:rsidR="00996118" w:rsidRPr="00966346">
        <w:rPr>
          <w:rFonts w:ascii="Arial" w:eastAsia="Times New Roman" w:hAnsi="Arial" w:cs="Arial"/>
          <w:sz w:val="24"/>
          <w:szCs w:val="24"/>
          <w:lang w:val="en-GB" w:eastAsia="it-IT"/>
        </w:rPr>
        <w:t xml:space="preserve">was </w:t>
      </w:r>
      <w:r w:rsidR="0080365B" w:rsidRPr="00966346">
        <w:rPr>
          <w:rFonts w:ascii="Arial" w:eastAsia="Times New Roman" w:hAnsi="Arial" w:cs="Arial"/>
          <w:sz w:val="24"/>
          <w:szCs w:val="24"/>
          <w:lang w:val="en-GB" w:eastAsia="it-IT"/>
        </w:rPr>
        <w:t>uncommon in both arms</w:t>
      </w:r>
      <w:r w:rsidRPr="00966346">
        <w:rPr>
          <w:rFonts w:ascii="Arial" w:eastAsia="Times New Roman" w:hAnsi="Arial" w:cs="Arial"/>
          <w:sz w:val="24"/>
          <w:szCs w:val="24"/>
          <w:lang w:val="en-GB" w:eastAsia="it-IT"/>
        </w:rPr>
        <w:t>. Importantly</w:t>
      </w:r>
      <w:r w:rsidR="0080365B" w:rsidRPr="00966346">
        <w:rPr>
          <w:rFonts w:ascii="Arial" w:eastAsia="Times New Roman" w:hAnsi="Arial" w:cs="Arial"/>
          <w:sz w:val="24"/>
          <w:szCs w:val="24"/>
          <w:lang w:val="en-GB" w:eastAsia="it-IT"/>
        </w:rPr>
        <w:t xml:space="preserve">, </w:t>
      </w:r>
      <w:r w:rsidRPr="00966346">
        <w:rPr>
          <w:rFonts w:ascii="Arial" w:eastAsia="Times New Roman" w:hAnsi="Arial" w:cs="Arial"/>
          <w:sz w:val="24"/>
          <w:szCs w:val="24"/>
          <w:lang w:val="en-GB" w:eastAsia="it-IT"/>
        </w:rPr>
        <w:t xml:space="preserve">the </w:t>
      </w:r>
      <w:r w:rsidR="007923F0" w:rsidRPr="00966346">
        <w:rPr>
          <w:rFonts w:ascii="Arial" w:eastAsia="Times New Roman" w:hAnsi="Arial" w:cs="Arial"/>
          <w:sz w:val="24"/>
          <w:szCs w:val="24"/>
          <w:lang w:val="en-GB" w:eastAsia="it-IT"/>
        </w:rPr>
        <w:t>observed</w:t>
      </w:r>
      <w:r w:rsidRPr="00966346">
        <w:rPr>
          <w:rFonts w:ascii="Arial" w:eastAsia="Times New Roman" w:hAnsi="Arial" w:cs="Arial"/>
          <w:sz w:val="24"/>
          <w:szCs w:val="24"/>
          <w:lang w:val="en-GB" w:eastAsia="it-IT"/>
        </w:rPr>
        <w:t xml:space="preserve"> </w:t>
      </w:r>
      <w:r w:rsidR="0080365B" w:rsidRPr="00966346">
        <w:rPr>
          <w:rFonts w:ascii="Arial" w:eastAsia="Times New Roman" w:hAnsi="Arial" w:cs="Arial"/>
          <w:sz w:val="24"/>
          <w:szCs w:val="24"/>
          <w:lang w:val="en-GB" w:eastAsia="it-IT"/>
        </w:rPr>
        <w:t xml:space="preserve">grade-3 gastrointestinal toxicity and mucositis </w:t>
      </w:r>
      <w:r w:rsidR="007923F0" w:rsidRPr="00966346">
        <w:rPr>
          <w:rFonts w:ascii="Arial" w:eastAsia="Times New Roman" w:hAnsi="Arial" w:cs="Arial"/>
          <w:sz w:val="24"/>
          <w:szCs w:val="24"/>
          <w:lang w:val="en-GB" w:eastAsia="it-IT"/>
        </w:rPr>
        <w:t>and</w:t>
      </w:r>
      <w:r w:rsidR="0080365B" w:rsidRPr="00966346">
        <w:rPr>
          <w:rFonts w:ascii="Arial" w:eastAsia="Times New Roman" w:hAnsi="Arial" w:cs="Arial"/>
          <w:sz w:val="24"/>
          <w:szCs w:val="24"/>
          <w:lang w:val="en-GB" w:eastAsia="it-IT"/>
        </w:rPr>
        <w:t xml:space="preserve"> grade-4 haematological toxicity </w:t>
      </w:r>
      <w:r w:rsidR="00996118" w:rsidRPr="00966346">
        <w:rPr>
          <w:rFonts w:ascii="Arial" w:eastAsia="Times New Roman" w:hAnsi="Arial" w:cs="Arial"/>
          <w:sz w:val="24"/>
          <w:szCs w:val="24"/>
          <w:lang w:val="en-GB" w:eastAsia="it-IT"/>
        </w:rPr>
        <w:t>we</w:t>
      </w:r>
      <w:r w:rsidR="0080365B" w:rsidRPr="00966346">
        <w:rPr>
          <w:rFonts w:ascii="Arial" w:eastAsia="Times New Roman" w:hAnsi="Arial" w:cs="Arial"/>
          <w:sz w:val="24"/>
          <w:szCs w:val="24"/>
          <w:lang w:val="en-GB" w:eastAsia="it-IT"/>
        </w:rPr>
        <w:t xml:space="preserve">re </w:t>
      </w:r>
      <w:r w:rsidR="0080365B" w:rsidRPr="00966346">
        <w:rPr>
          <w:rFonts w:ascii="Arial" w:eastAsia="Times New Roman" w:hAnsi="Arial" w:cs="Arial"/>
          <w:sz w:val="24"/>
          <w:szCs w:val="24"/>
          <w:lang w:val="en-GB" w:eastAsia="it-IT"/>
        </w:rPr>
        <w:lastRenderedPageBreak/>
        <w:t xml:space="preserve">expected after </w:t>
      </w:r>
      <w:r w:rsidR="00EB72AE" w:rsidRPr="00966346">
        <w:rPr>
          <w:rFonts w:ascii="Arial" w:eastAsia="Times New Roman" w:hAnsi="Arial" w:cs="Arial"/>
          <w:sz w:val="24"/>
          <w:szCs w:val="24"/>
          <w:lang w:val="en-GB" w:eastAsia="it-IT"/>
        </w:rPr>
        <w:t>HDC/</w:t>
      </w:r>
      <w:r w:rsidR="0080365B" w:rsidRPr="00966346">
        <w:rPr>
          <w:rFonts w:ascii="Arial" w:eastAsia="Times New Roman" w:hAnsi="Arial" w:cs="Arial"/>
          <w:sz w:val="24"/>
          <w:szCs w:val="24"/>
          <w:lang w:val="en-GB" w:eastAsia="it-IT"/>
        </w:rPr>
        <w:t xml:space="preserve">ASCT. </w:t>
      </w:r>
      <w:r w:rsidR="008A780F" w:rsidRPr="00966346">
        <w:rPr>
          <w:rFonts w:ascii="Arial" w:eastAsia="Times New Roman" w:hAnsi="Arial" w:cs="Arial"/>
          <w:sz w:val="24"/>
          <w:szCs w:val="24"/>
          <w:lang w:val="en-GB" w:eastAsia="it-IT"/>
        </w:rPr>
        <w:t>The two deaths due to toxicity occurred after ASCT</w:t>
      </w:r>
      <w:r w:rsidR="00EB72AE" w:rsidRPr="00966346">
        <w:rPr>
          <w:rFonts w:ascii="Arial" w:eastAsia="Times New Roman" w:hAnsi="Arial" w:cs="Arial"/>
          <w:sz w:val="24"/>
          <w:szCs w:val="24"/>
          <w:lang w:val="en-GB" w:eastAsia="it-IT"/>
        </w:rPr>
        <w:t>; however</w:t>
      </w:r>
      <w:r w:rsidR="008A780F" w:rsidRPr="00966346">
        <w:rPr>
          <w:rFonts w:ascii="Arial" w:eastAsia="Times New Roman" w:hAnsi="Arial" w:cs="Arial"/>
          <w:sz w:val="24"/>
          <w:szCs w:val="24"/>
          <w:lang w:val="en-GB" w:eastAsia="it-IT"/>
        </w:rPr>
        <w:t xml:space="preserve">, </w:t>
      </w:r>
      <w:r w:rsidR="00F64684" w:rsidRPr="00966346">
        <w:rPr>
          <w:rFonts w:ascii="Arial" w:eastAsia="Times New Roman" w:hAnsi="Arial" w:cs="Arial"/>
          <w:sz w:val="24"/>
          <w:szCs w:val="24"/>
          <w:lang w:val="en-GB" w:eastAsia="it-IT"/>
        </w:rPr>
        <w:t>th</w:t>
      </w:r>
      <w:r w:rsidR="00EB72AE" w:rsidRPr="00966346">
        <w:rPr>
          <w:rFonts w:ascii="Arial" w:eastAsia="Times New Roman" w:hAnsi="Arial" w:cs="Arial"/>
          <w:sz w:val="24"/>
          <w:szCs w:val="24"/>
          <w:lang w:val="en-GB" w:eastAsia="it-IT"/>
        </w:rPr>
        <w:t>is</w:t>
      </w:r>
      <w:r w:rsidR="00F64684" w:rsidRPr="00966346">
        <w:rPr>
          <w:rFonts w:ascii="Arial" w:eastAsia="Times New Roman" w:hAnsi="Arial" w:cs="Arial"/>
          <w:sz w:val="24"/>
          <w:szCs w:val="24"/>
          <w:lang w:val="en-GB" w:eastAsia="it-IT"/>
        </w:rPr>
        <w:t xml:space="preserve"> 3% transplantation-related mortality </w:t>
      </w:r>
      <w:r w:rsidR="0088280B" w:rsidRPr="00966346">
        <w:rPr>
          <w:rFonts w:ascii="Arial" w:eastAsia="Times New Roman" w:hAnsi="Arial" w:cs="Arial"/>
          <w:sz w:val="24"/>
          <w:szCs w:val="24"/>
          <w:lang w:val="en-GB" w:eastAsia="it-IT"/>
        </w:rPr>
        <w:t xml:space="preserve">compares favourably with </w:t>
      </w:r>
      <w:r w:rsidR="00F64684" w:rsidRPr="00966346">
        <w:rPr>
          <w:rFonts w:ascii="Arial" w:eastAsia="Times New Roman" w:hAnsi="Arial" w:cs="Arial"/>
          <w:sz w:val="24"/>
          <w:szCs w:val="24"/>
          <w:lang w:val="en-GB" w:eastAsia="it-IT"/>
        </w:rPr>
        <w:t xml:space="preserve">the 13-14% reported in trials </w:t>
      </w:r>
      <w:r w:rsidR="00CC57FF" w:rsidRPr="00966346">
        <w:rPr>
          <w:rFonts w:ascii="Arial" w:eastAsia="Times New Roman" w:hAnsi="Arial" w:cs="Arial"/>
          <w:sz w:val="24"/>
          <w:szCs w:val="24"/>
          <w:lang w:val="en-GB" w:eastAsia="it-IT"/>
        </w:rPr>
        <w:t xml:space="preserve">for </w:t>
      </w:r>
      <w:r w:rsidR="00F64684" w:rsidRPr="00966346">
        <w:rPr>
          <w:rFonts w:ascii="Arial" w:eastAsia="Times New Roman" w:hAnsi="Arial" w:cs="Arial"/>
          <w:sz w:val="24"/>
          <w:szCs w:val="24"/>
          <w:lang w:val="en-GB" w:eastAsia="it-IT"/>
        </w:rPr>
        <w:t>patients up to 70 years old and conditioned with thiotepa-busulfan ± cyclophosphamide</w:t>
      </w:r>
      <w:r w:rsidR="009879DD" w:rsidRPr="009879DD">
        <w:rPr>
          <w:rFonts w:ascii="Arial" w:hAnsi="Arial" w:cs="Arial"/>
          <w:sz w:val="24"/>
          <w:szCs w:val="24"/>
          <w:vertAlign w:val="superscript"/>
        </w:rPr>
        <w:t>31,32</w:t>
      </w:r>
      <w:r w:rsidR="00F64684" w:rsidRPr="00966346">
        <w:rPr>
          <w:rFonts w:ascii="Arial" w:eastAsia="Times New Roman" w:hAnsi="Arial" w:cs="Arial"/>
          <w:sz w:val="24"/>
          <w:szCs w:val="24"/>
          <w:lang w:val="en-GB" w:eastAsia="it-IT"/>
        </w:rPr>
        <w:t xml:space="preserve">, and the 9% </w:t>
      </w:r>
      <w:r w:rsidR="00CC57FF" w:rsidRPr="00966346">
        <w:rPr>
          <w:rFonts w:ascii="Arial" w:eastAsia="Times New Roman" w:hAnsi="Arial" w:cs="Arial"/>
          <w:sz w:val="24"/>
          <w:szCs w:val="24"/>
          <w:lang w:val="en-GB" w:eastAsia="it-IT"/>
        </w:rPr>
        <w:t xml:space="preserve">mortality </w:t>
      </w:r>
      <w:r w:rsidR="00F64684" w:rsidRPr="00966346">
        <w:rPr>
          <w:rFonts w:ascii="Arial" w:eastAsia="Times New Roman" w:hAnsi="Arial" w:cs="Arial"/>
          <w:sz w:val="24"/>
          <w:szCs w:val="24"/>
          <w:lang w:val="en-GB" w:eastAsia="it-IT"/>
        </w:rPr>
        <w:t xml:space="preserve">reported in a trial enrolling patients up to 67 years </w:t>
      </w:r>
      <w:r w:rsidR="00CC57FF" w:rsidRPr="00966346">
        <w:rPr>
          <w:rFonts w:ascii="Arial" w:eastAsia="Times New Roman" w:hAnsi="Arial" w:cs="Arial"/>
          <w:sz w:val="24"/>
          <w:szCs w:val="24"/>
          <w:lang w:val="en-GB" w:eastAsia="it-IT"/>
        </w:rPr>
        <w:t>using</w:t>
      </w:r>
      <w:r w:rsidR="00F64684" w:rsidRPr="00966346">
        <w:rPr>
          <w:rFonts w:ascii="Arial" w:eastAsia="Times New Roman" w:hAnsi="Arial" w:cs="Arial"/>
          <w:sz w:val="24"/>
          <w:szCs w:val="24"/>
          <w:lang w:val="en-GB" w:eastAsia="it-IT"/>
        </w:rPr>
        <w:t xml:space="preserve"> thiotepa-busulfan-cyclophosphamide</w:t>
      </w:r>
      <w:r w:rsidR="00CC57FF" w:rsidRPr="00966346">
        <w:rPr>
          <w:rFonts w:ascii="Arial" w:eastAsia="Times New Roman" w:hAnsi="Arial" w:cs="Arial"/>
          <w:sz w:val="24"/>
          <w:szCs w:val="24"/>
          <w:lang w:val="en-GB" w:eastAsia="it-IT"/>
        </w:rPr>
        <w:t xml:space="preserve"> conditioning</w:t>
      </w:r>
      <w:r w:rsidR="009879DD" w:rsidRPr="009879DD">
        <w:rPr>
          <w:rFonts w:ascii="Arial" w:hAnsi="Arial" w:cs="Arial"/>
          <w:sz w:val="24"/>
          <w:szCs w:val="24"/>
          <w:vertAlign w:val="superscript"/>
        </w:rPr>
        <w:t>8</w:t>
      </w:r>
      <w:r w:rsidR="00F64684" w:rsidRPr="00966346">
        <w:rPr>
          <w:rFonts w:ascii="Arial" w:eastAsia="Times New Roman" w:hAnsi="Arial" w:cs="Arial"/>
          <w:sz w:val="24"/>
          <w:szCs w:val="24"/>
          <w:lang w:val="en-GB" w:eastAsia="it-IT"/>
        </w:rPr>
        <w:t>.</w:t>
      </w:r>
      <w:r w:rsidR="008A1C19" w:rsidRPr="00817FD3">
        <w:rPr>
          <w:rFonts w:ascii="Palatino Linotype" w:eastAsia="Calibri" w:hAnsi="Palatino Linotype" w:cs="Times New Roman"/>
          <w:sz w:val="24"/>
          <w:szCs w:val="24"/>
          <w:lang w:val="en-GB"/>
        </w:rPr>
        <w:t xml:space="preserve"> </w:t>
      </w:r>
      <w:r w:rsidR="008A1C19">
        <w:rPr>
          <w:rFonts w:ascii="Arial" w:eastAsia="Times New Roman" w:hAnsi="Arial" w:cs="Arial"/>
          <w:sz w:val="24"/>
          <w:szCs w:val="24"/>
          <w:lang w:val="en-GB" w:eastAsia="it-IT"/>
        </w:rPr>
        <w:t>Importantly</w:t>
      </w:r>
      <w:r w:rsidR="008A1C19" w:rsidRPr="008A1C19">
        <w:rPr>
          <w:rFonts w:ascii="Arial" w:eastAsia="Times New Roman" w:hAnsi="Arial" w:cs="Arial"/>
          <w:sz w:val="24"/>
          <w:szCs w:val="24"/>
          <w:lang w:val="en-GB" w:eastAsia="it-IT"/>
        </w:rPr>
        <w:t xml:space="preserve">, there were </w:t>
      </w:r>
      <w:r w:rsidR="008A1C19">
        <w:rPr>
          <w:rFonts w:ascii="Arial" w:eastAsia="Times New Roman" w:hAnsi="Arial" w:cs="Arial"/>
          <w:sz w:val="24"/>
          <w:szCs w:val="24"/>
          <w:lang w:val="en-GB" w:eastAsia="it-IT"/>
        </w:rPr>
        <w:t>five</w:t>
      </w:r>
      <w:r w:rsidR="008A1C19" w:rsidRPr="008A1C19">
        <w:rPr>
          <w:rFonts w:ascii="Arial" w:eastAsia="Times New Roman" w:hAnsi="Arial" w:cs="Arial"/>
          <w:sz w:val="24"/>
          <w:szCs w:val="24"/>
          <w:lang w:val="en-GB" w:eastAsia="it-IT"/>
        </w:rPr>
        <w:t xml:space="preserve"> late deaths after ASCT (</w:t>
      </w:r>
      <w:r w:rsidR="008A1C19">
        <w:rPr>
          <w:rFonts w:ascii="Arial" w:eastAsia="Times New Roman" w:hAnsi="Arial" w:cs="Arial"/>
          <w:sz w:val="24"/>
          <w:szCs w:val="24"/>
          <w:lang w:val="en-GB" w:eastAsia="it-IT"/>
        </w:rPr>
        <w:t>Appendix p10</w:t>
      </w:r>
      <w:r w:rsidR="008A1C19" w:rsidRPr="008A1C19">
        <w:rPr>
          <w:rFonts w:ascii="Arial" w:eastAsia="Times New Roman" w:hAnsi="Arial" w:cs="Arial"/>
          <w:sz w:val="24"/>
          <w:szCs w:val="24"/>
          <w:lang w:val="en-GB" w:eastAsia="it-IT"/>
        </w:rPr>
        <w:t>), two of them after salvage treatment</w:t>
      </w:r>
      <w:r w:rsidR="00F14B54">
        <w:rPr>
          <w:rFonts w:ascii="Arial" w:eastAsia="Times New Roman" w:hAnsi="Arial" w:cs="Arial"/>
          <w:sz w:val="24"/>
          <w:szCs w:val="24"/>
          <w:lang w:val="en-GB" w:eastAsia="it-IT"/>
        </w:rPr>
        <w:t>, with a</w:t>
      </w:r>
      <w:r w:rsidR="008A1C19" w:rsidRPr="008A1C19">
        <w:rPr>
          <w:rFonts w:ascii="Arial" w:eastAsia="Times New Roman" w:hAnsi="Arial" w:cs="Arial"/>
          <w:sz w:val="24"/>
          <w:szCs w:val="24"/>
          <w:lang w:val="en-GB" w:eastAsia="it-IT"/>
        </w:rPr>
        <w:t xml:space="preserve"> non-relapse mortality of 5%</w:t>
      </w:r>
      <w:r w:rsidR="00F14B54">
        <w:rPr>
          <w:rFonts w:ascii="Arial" w:eastAsia="Times New Roman" w:hAnsi="Arial" w:cs="Arial"/>
          <w:sz w:val="24"/>
          <w:szCs w:val="24"/>
          <w:lang w:val="en-GB" w:eastAsia="it-IT"/>
        </w:rPr>
        <w:t xml:space="preserve">. </w:t>
      </w:r>
      <w:r w:rsidR="0006452C">
        <w:rPr>
          <w:rFonts w:ascii="Arial" w:eastAsia="Times New Roman" w:hAnsi="Arial" w:cs="Arial"/>
          <w:sz w:val="24"/>
          <w:szCs w:val="24"/>
          <w:lang w:val="en-GB" w:eastAsia="it-IT"/>
        </w:rPr>
        <w:t>This</w:t>
      </w:r>
      <w:r w:rsidR="008A1C19">
        <w:rPr>
          <w:rFonts w:ascii="Arial" w:eastAsia="Times New Roman" w:hAnsi="Arial" w:cs="Arial"/>
          <w:sz w:val="24"/>
          <w:szCs w:val="24"/>
          <w:lang w:val="en-GB" w:eastAsia="it-IT"/>
        </w:rPr>
        <w:t xml:space="preserve"> is in line with the</w:t>
      </w:r>
      <w:r w:rsidR="008A1C19" w:rsidRPr="008A1C19">
        <w:rPr>
          <w:rFonts w:ascii="Arial" w:eastAsia="Times New Roman" w:hAnsi="Arial" w:cs="Arial"/>
          <w:sz w:val="24"/>
          <w:szCs w:val="24"/>
          <w:lang w:val="en-GB" w:eastAsia="it-IT"/>
        </w:rPr>
        <w:t xml:space="preserve"> 4% </w:t>
      </w:r>
      <w:r w:rsidR="008A1C19">
        <w:rPr>
          <w:rFonts w:ascii="Arial" w:eastAsia="Times New Roman" w:hAnsi="Arial" w:cs="Arial"/>
          <w:sz w:val="24"/>
          <w:szCs w:val="24"/>
          <w:lang w:val="en-GB" w:eastAsia="it-IT"/>
        </w:rPr>
        <w:t xml:space="preserve">reported in </w:t>
      </w:r>
      <w:r w:rsidR="0006452C">
        <w:rPr>
          <w:rFonts w:ascii="Arial" w:eastAsia="Times New Roman" w:hAnsi="Arial" w:cs="Arial"/>
          <w:sz w:val="24"/>
          <w:szCs w:val="24"/>
          <w:lang w:val="en-GB" w:eastAsia="it-IT"/>
        </w:rPr>
        <w:t>the above-mentioned</w:t>
      </w:r>
      <w:r w:rsidR="008A1C19">
        <w:rPr>
          <w:rFonts w:ascii="Arial" w:eastAsia="Times New Roman" w:hAnsi="Arial" w:cs="Arial"/>
          <w:sz w:val="24"/>
          <w:szCs w:val="24"/>
          <w:lang w:val="en-GB" w:eastAsia="it-IT"/>
        </w:rPr>
        <w:t xml:space="preserve"> phase II trial </w:t>
      </w:r>
      <w:r w:rsidR="00F14B54">
        <w:rPr>
          <w:rFonts w:ascii="Arial" w:eastAsia="Times New Roman" w:hAnsi="Arial" w:cs="Arial"/>
          <w:sz w:val="24"/>
          <w:szCs w:val="24"/>
          <w:lang w:val="en-GB" w:eastAsia="it-IT"/>
        </w:rPr>
        <w:t>performed on a younger series</w:t>
      </w:r>
      <w:r w:rsidR="009879DD">
        <w:rPr>
          <w:rFonts w:ascii="Arial" w:eastAsia="Times New Roman" w:hAnsi="Arial" w:cs="Arial"/>
          <w:sz w:val="24"/>
          <w:szCs w:val="24"/>
          <w:vertAlign w:val="superscript"/>
          <w:lang w:eastAsia="it-IT"/>
        </w:rPr>
        <w:t>8</w:t>
      </w:r>
      <w:r w:rsidR="008A1C19" w:rsidRPr="008A1C19">
        <w:rPr>
          <w:rFonts w:ascii="Arial" w:eastAsia="Times New Roman" w:hAnsi="Arial" w:cs="Arial"/>
          <w:sz w:val="24"/>
          <w:szCs w:val="24"/>
          <w:lang w:val="en-GB" w:eastAsia="it-IT"/>
        </w:rPr>
        <w:t xml:space="preserve">, </w:t>
      </w:r>
      <w:r w:rsidR="008A1C19">
        <w:rPr>
          <w:rFonts w:ascii="Arial" w:eastAsia="Times New Roman" w:hAnsi="Arial" w:cs="Arial"/>
          <w:sz w:val="24"/>
          <w:szCs w:val="24"/>
          <w:lang w:val="en-GB" w:eastAsia="it-IT"/>
        </w:rPr>
        <w:t>and compare</w:t>
      </w:r>
      <w:r w:rsidR="00F14B54">
        <w:rPr>
          <w:rFonts w:ascii="Arial" w:eastAsia="Times New Roman" w:hAnsi="Arial" w:cs="Arial"/>
          <w:sz w:val="24"/>
          <w:szCs w:val="24"/>
          <w:lang w:val="en-GB" w:eastAsia="it-IT"/>
        </w:rPr>
        <w:t>s</w:t>
      </w:r>
      <w:r w:rsidR="008A1C19">
        <w:rPr>
          <w:rFonts w:ascii="Arial" w:eastAsia="Times New Roman" w:hAnsi="Arial" w:cs="Arial"/>
          <w:sz w:val="24"/>
          <w:szCs w:val="24"/>
          <w:lang w:val="en-GB" w:eastAsia="it-IT"/>
        </w:rPr>
        <w:t xml:space="preserve"> favourably with the </w:t>
      </w:r>
      <w:r w:rsidR="008A1C19" w:rsidRPr="008A1C19">
        <w:rPr>
          <w:rFonts w:ascii="Arial" w:eastAsia="Times New Roman" w:hAnsi="Arial" w:cs="Arial"/>
          <w:sz w:val="24"/>
          <w:szCs w:val="24"/>
          <w:lang w:val="en-GB" w:eastAsia="it-IT"/>
        </w:rPr>
        <w:t>24</w:t>
      </w:r>
      <w:r w:rsidR="00F14B54">
        <w:rPr>
          <w:rFonts w:ascii="Arial" w:eastAsia="Times New Roman" w:hAnsi="Arial" w:cs="Arial"/>
          <w:sz w:val="24"/>
          <w:szCs w:val="24"/>
          <w:lang w:val="en-GB" w:eastAsia="it-IT"/>
        </w:rPr>
        <w:t>-39%</w:t>
      </w:r>
      <w:r w:rsidR="008A1C19" w:rsidRPr="008A1C19">
        <w:rPr>
          <w:rFonts w:ascii="Arial" w:eastAsia="Times New Roman" w:hAnsi="Arial" w:cs="Arial"/>
          <w:sz w:val="24"/>
          <w:szCs w:val="24"/>
          <w:lang w:val="en-GB" w:eastAsia="it-IT"/>
        </w:rPr>
        <w:t xml:space="preserve"> </w:t>
      </w:r>
      <w:r w:rsidR="00F14B54">
        <w:rPr>
          <w:rFonts w:ascii="Arial" w:eastAsia="Times New Roman" w:hAnsi="Arial" w:cs="Arial"/>
          <w:sz w:val="24"/>
          <w:szCs w:val="24"/>
          <w:lang w:val="en-GB" w:eastAsia="it-IT"/>
        </w:rPr>
        <w:t xml:space="preserve">reported in prior phase II trials </w:t>
      </w:r>
      <w:r w:rsidR="0006452C">
        <w:rPr>
          <w:rFonts w:ascii="Arial" w:eastAsia="Times New Roman" w:hAnsi="Arial" w:cs="Arial"/>
          <w:sz w:val="24"/>
          <w:szCs w:val="24"/>
          <w:lang w:val="en-GB" w:eastAsia="it-IT"/>
        </w:rPr>
        <w:t>enrolling patients up to 70 years old</w:t>
      </w:r>
      <w:r w:rsidR="009879DD" w:rsidRPr="009879DD">
        <w:rPr>
          <w:rFonts w:ascii="Arial" w:hAnsi="Arial" w:cs="Arial"/>
          <w:sz w:val="24"/>
          <w:szCs w:val="24"/>
          <w:vertAlign w:val="superscript"/>
        </w:rPr>
        <w:t>31,32</w:t>
      </w:r>
      <w:r w:rsidR="00F14B54">
        <w:rPr>
          <w:rFonts w:ascii="Arial" w:eastAsia="Times New Roman" w:hAnsi="Arial" w:cs="Arial"/>
          <w:sz w:val="24"/>
          <w:szCs w:val="24"/>
          <w:lang w:val="en-GB" w:eastAsia="it-IT"/>
        </w:rPr>
        <w:t xml:space="preserve">. </w:t>
      </w:r>
    </w:p>
    <w:p w14:paraId="26118161" w14:textId="7A1E97F1" w:rsidR="00855143" w:rsidRPr="00966346" w:rsidRDefault="000C00C5" w:rsidP="005514B6">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val="en-GB" w:eastAsia="it-IT"/>
        </w:rPr>
        <w:t xml:space="preserve">This is the first trial addressing the effect of treatment on cognitive functions </w:t>
      </w:r>
      <w:r w:rsidR="00051CAD" w:rsidRPr="00966346">
        <w:rPr>
          <w:rFonts w:ascii="Arial" w:eastAsia="Times New Roman" w:hAnsi="Arial" w:cs="Arial"/>
          <w:sz w:val="24"/>
          <w:szCs w:val="24"/>
          <w:lang w:val="en-GB" w:eastAsia="it-IT"/>
        </w:rPr>
        <w:t>in</w:t>
      </w:r>
      <w:r w:rsidRPr="00966346">
        <w:rPr>
          <w:rFonts w:ascii="Arial" w:eastAsia="Times New Roman" w:hAnsi="Arial" w:cs="Arial"/>
          <w:sz w:val="24"/>
          <w:szCs w:val="24"/>
          <w:lang w:val="en-GB" w:eastAsia="it-IT"/>
        </w:rPr>
        <w:t xml:space="preserve"> PCNSL patients in a randomized setting. </w:t>
      </w:r>
      <w:r w:rsidR="003C6A29" w:rsidRPr="00966346">
        <w:rPr>
          <w:rFonts w:ascii="Arial" w:eastAsia="Times New Roman" w:hAnsi="Arial" w:cs="Arial"/>
          <w:sz w:val="24"/>
          <w:szCs w:val="24"/>
          <w:lang w:val="en-GB" w:eastAsia="it-IT"/>
        </w:rPr>
        <w:t xml:space="preserve">However, results should be </w:t>
      </w:r>
      <w:r w:rsidR="00B60BAB" w:rsidRPr="00966346">
        <w:rPr>
          <w:rFonts w:ascii="Arial" w:eastAsia="Times New Roman" w:hAnsi="Arial" w:cs="Arial"/>
          <w:sz w:val="24"/>
          <w:szCs w:val="24"/>
          <w:lang w:val="en-GB" w:eastAsia="it-IT"/>
        </w:rPr>
        <w:t>interpreted</w:t>
      </w:r>
      <w:r w:rsidR="003C6A29" w:rsidRPr="00966346">
        <w:rPr>
          <w:rFonts w:ascii="Arial" w:eastAsia="Times New Roman" w:hAnsi="Arial" w:cs="Arial"/>
          <w:sz w:val="24"/>
          <w:szCs w:val="24"/>
          <w:lang w:val="en-GB" w:eastAsia="it-IT"/>
        </w:rPr>
        <w:t xml:space="preserve"> with caution </w:t>
      </w:r>
      <w:r w:rsidR="00996118" w:rsidRPr="00966346">
        <w:rPr>
          <w:rFonts w:ascii="Arial" w:eastAsia="Times New Roman" w:hAnsi="Arial" w:cs="Arial"/>
          <w:sz w:val="24"/>
          <w:szCs w:val="24"/>
          <w:lang w:val="en-GB" w:eastAsia="it-IT"/>
        </w:rPr>
        <w:t>as</w:t>
      </w:r>
      <w:r w:rsidR="00996118" w:rsidRPr="00966346">
        <w:rPr>
          <w:rFonts w:ascii="Arial" w:eastAsia="Times New Roman" w:hAnsi="Arial" w:cs="Arial"/>
          <w:sz w:val="24"/>
          <w:szCs w:val="24"/>
          <w:lang w:eastAsia="it-IT"/>
        </w:rPr>
        <w:t xml:space="preserve"> like</w:t>
      </w:r>
      <w:r w:rsidR="00244056" w:rsidRPr="00966346">
        <w:rPr>
          <w:rFonts w:ascii="Arial" w:eastAsia="Times New Roman" w:hAnsi="Arial" w:cs="Arial"/>
          <w:sz w:val="24"/>
          <w:szCs w:val="24"/>
          <w:lang w:eastAsia="it-IT"/>
        </w:rPr>
        <w:t xml:space="preserve"> prior studies</w:t>
      </w:r>
      <w:r w:rsidR="009879DD" w:rsidRPr="009879DD">
        <w:rPr>
          <w:rFonts w:ascii="Arial" w:eastAsia="Times New Roman" w:hAnsi="Arial" w:cs="Arial"/>
          <w:sz w:val="24"/>
          <w:szCs w:val="24"/>
          <w:vertAlign w:val="superscript"/>
          <w:lang w:eastAsia="it-IT"/>
        </w:rPr>
        <w:t>10,33</w:t>
      </w:r>
      <w:r w:rsidR="00244056" w:rsidRPr="00966346">
        <w:rPr>
          <w:rFonts w:ascii="Arial" w:eastAsia="Times New Roman" w:hAnsi="Arial" w:cs="Arial"/>
          <w:sz w:val="24"/>
          <w:szCs w:val="24"/>
          <w:lang w:eastAsia="it-IT"/>
        </w:rPr>
        <w:t xml:space="preserve">, only relapse-free patients were considered for cognitive analyses potentially resulting in a favorable patient selection. Moreover, </w:t>
      </w:r>
      <w:r w:rsidR="003C6A29" w:rsidRPr="00966346">
        <w:rPr>
          <w:rFonts w:ascii="Arial" w:eastAsia="Times New Roman" w:hAnsi="Arial" w:cs="Arial"/>
          <w:sz w:val="24"/>
          <w:szCs w:val="24"/>
          <w:lang w:val="en-GB" w:eastAsia="it-IT"/>
        </w:rPr>
        <w:t xml:space="preserve">complete neuropsychological assessment </w:t>
      </w:r>
      <w:r w:rsidR="00244056" w:rsidRPr="00966346">
        <w:rPr>
          <w:rFonts w:ascii="Arial" w:eastAsia="Times New Roman" w:hAnsi="Arial" w:cs="Arial"/>
          <w:sz w:val="24"/>
          <w:szCs w:val="24"/>
          <w:lang w:val="en-GB" w:eastAsia="it-IT"/>
        </w:rPr>
        <w:t xml:space="preserve">in the present trial </w:t>
      </w:r>
      <w:r w:rsidR="003C6A29" w:rsidRPr="00966346">
        <w:rPr>
          <w:rFonts w:ascii="Arial" w:eastAsia="Times New Roman" w:hAnsi="Arial" w:cs="Arial"/>
          <w:sz w:val="24"/>
          <w:szCs w:val="24"/>
          <w:lang w:val="en-GB" w:eastAsia="it-IT"/>
        </w:rPr>
        <w:t xml:space="preserve">was available in 73% of relapse-free survivors and </w:t>
      </w:r>
      <w:r w:rsidR="00B60BAB" w:rsidRPr="00966346">
        <w:rPr>
          <w:rFonts w:ascii="Arial" w:eastAsia="Times New Roman" w:hAnsi="Arial" w:cs="Arial"/>
          <w:sz w:val="24"/>
          <w:szCs w:val="24"/>
          <w:lang w:val="en-GB" w:eastAsia="it-IT"/>
        </w:rPr>
        <w:t>the</w:t>
      </w:r>
      <w:r w:rsidR="003C6A29" w:rsidRPr="00966346">
        <w:rPr>
          <w:rFonts w:ascii="Arial" w:eastAsia="Times New Roman" w:hAnsi="Arial" w:cs="Arial"/>
          <w:sz w:val="24"/>
          <w:szCs w:val="24"/>
          <w:lang w:val="en-GB" w:eastAsia="it-IT"/>
        </w:rPr>
        <w:t xml:space="preserve"> method</w:t>
      </w:r>
      <w:r w:rsidR="00B60BAB" w:rsidRPr="00966346">
        <w:rPr>
          <w:rFonts w:ascii="Arial" w:eastAsia="Times New Roman" w:hAnsi="Arial" w:cs="Arial"/>
          <w:sz w:val="24"/>
          <w:szCs w:val="24"/>
          <w:lang w:val="en-GB" w:eastAsia="it-IT"/>
        </w:rPr>
        <w:t>ology applied is</w:t>
      </w:r>
      <w:r w:rsidR="003C6A29" w:rsidRPr="00966346">
        <w:rPr>
          <w:rFonts w:ascii="Arial" w:eastAsia="Times New Roman" w:hAnsi="Arial" w:cs="Arial"/>
          <w:sz w:val="24"/>
          <w:szCs w:val="24"/>
          <w:lang w:val="en-GB" w:eastAsia="it-IT"/>
        </w:rPr>
        <w:t xml:space="preserve"> associated with intrinsic, unavoidable limitations</w:t>
      </w:r>
      <w:r w:rsidR="00B60BAB" w:rsidRPr="00966346">
        <w:rPr>
          <w:rFonts w:ascii="Arial" w:eastAsia="Times New Roman" w:hAnsi="Arial" w:cs="Arial"/>
          <w:sz w:val="24"/>
          <w:szCs w:val="24"/>
          <w:lang w:val="en-GB" w:eastAsia="it-IT"/>
        </w:rPr>
        <w:t>; for example,</w:t>
      </w:r>
      <w:r w:rsidR="003C6A29" w:rsidRPr="00966346">
        <w:rPr>
          <w:rFonts w:ascii="Arial" w:eastAsia="Times New Roman" w:hAnsi="Arial" w:cs="Arial"/>
          <w:sz w:val="24"/>
          <w:szCs w:val="24"/>
          <w:lang w:val="en-GB" w:eastAsia="it-IT"/>
        </w:rPr>
        <w:t xml:space="preserve"> differences in </w:t>
      </w:r>
      <w:r w:rsidR="00AF56CB" w:rsidRPr="00966346">
        <w:rPr>
          <w:rFonts w:ascii="Arial" w:eastAsia="Times New Roman" w:hAnsi="Arial" w:cs="Arial"/>
          <w:sz w:val="24"/>
          <w:szCs w:val="24"/>
          <w:lang w:val="en-GB" w:eastAsia="it-IT"/>
        </w:rPr>
        <w:t xml:space="preserve">scores in </w:t>
      </w:r>
      <w:r w:rsidR="003C6A29" w:rsidRPr="00966346">
        <w:rPr>
          <w:rFonts w:ascii="Arial" w:eastAsia="Times New Roman" w:hAnsi="Arial" w:cs="Arial"/>
          <w:sz w:val="24"/>
          <w:szCs w:val="24"/>
          <w:lang w:val="en-GB" w:eastAsia="it-IT"/>
        </w:rPr>
        <w:t xml:space="preserve">some tests between consolidation arms </w:t>
      </w:r>
      <w:r w:rsidR="00F623A7">
        <w:rPr>
          <w:rFonts w:ascii="Arial" w:eastAsia="Times New Roman" w:hAnsi="Arial" w:cs="Arial"/>
          <w:sz w:val="24"/>
          <w:szCs w:val="24"/>
          <w:lang w:val="en-GB" w:eastAsia="it-IT"/>
        </w:rPr>
        <w:t>both</w:t>
      </w:r>
      <w:r w:rsidR="00F623A7" w:rsidRPr="00966346">
        <w:rPr>
          <w:rFonts w:ascii="Arial" w:eastAsia="Times New Roman" w:hAnsi="Arial" w:cs="Arial"/>
          <w:sz w:val="24"/>
          <w:szCs w:val="24"/>
          <w:lang w:val="en-GB" w:eastAsia="it-IT"/>
        </w:rPr>
        <w:t xml:space="preserve"> </w:t>
      </w:r>
      <w:r w:rsidR="00F623A7">
        <w:rPr>
          <w:rFonts w:ascii="Arial" w:eastAsia="Times New Roman" w:hAnsi="Arial" w:cs="Arial"/>
          <w:sz w:val="24"/>
          <w:szCs w:val="24"/>
          <w:lang w:val="en-GB" w:eastAsia="it-IT"/>
        </w:rPr>
        <w:t xml:space="preserve">at </w:t>
      </w:r>
      <w:r w:rsidR="00F623A7" w:rsidRPr="00966346">
        <w:rPr>
          <w:rFonts w:ascii="Arial" w:eastAsia="Times New Roman" w:hAnsi="Arial" w:cs="Arial"/>
          <w:sz w:val="24"/>
          <w:szCs w:val="24"/>
          <w:lang w:val="en-GB" w:eastAsia="it-IT"/>
        </w:rPr>
        <w:t xml:space="preserve">baseline </w:t>
      </w:r>
      <w:r w:rsidR="00F623A7">
        <w:rPr>
          <w:rFonts w:ascii="Arial" w:eastAsia="Times New Roman" w:hAnsi="Arial" w:cs="Arial"/>
          <w:sz w:val="24"/>
          <w:szCs w:val="24"/>
          <w:lang w:val="en-GB" w:eastAsia="it-IT"/>
        </w:rPr>
        <w:t xml:space="preserve">and after induction chemotherapy. </w:t>
      </w:r>
      <w:r w:rsidR="00F623A7">
        <w:rPr>
          <w:rFonts w:ascii="Arial" w:eastAsia="Times New Roman" w:hAnsi="Arial" w:cs="Arial"/>
          <w:sz w:val="24"/>
          <w:szCs w:val="24"/>
          <w:lang w:eastAsia="it-IT"/>
        </w:rPr>
        <w:t>In particular, n</w:t>
      </w:r>
      <w:r w:rsidR="00F623A7" w:rsidRPr="00F623A7">
        <w:rPr>
          <w:rFonts w:ascii="Arial" w:eastAsia="Times New Roman" w:hAnsi="Arial" w:cs="Arial"/>
          <w:sz w:val="24"/>
          <w:szCs w:val="24"/>
          <w:lang w:eastAsia="it-IT"/>
        </w:rPr>
        <w:t xml:space="preserve">eurocognitive status was not assessed after </w:t>
      </w:r>
      <w:r w:rsidR="007F26B9" w:rsidRPr="00F623A7">
        <w:rPr>
          <w:rFonts w:ascii="Arial" w:eastAsia="Times New Roman" w:hAnsi="Arial" w:cs="Arial"/>
          <w:sz w:val="24"/>
          <w:szCs w:val="24"/>
          <w:lang w:eastAsia="it-IT"/>
        </w:rPr>
        <w:t>chemo</w:t>
      </w:r>
      <w:r w:rsidR="007F26B9">
        <w:rPr>
          <w:rFonts w:ascii="Arial" w:eastAsia="Times New Roman" w:hAnsi="Arial" w:cs="Arial"/>
          <w:sz w:val="24"/>
          <w:szCs w:val="24"/>
          <w:lang w:eastAsia="it-IT"/>
        </w:rPr>
        <w:t>immunotherapy</w:t>
      </w:r>
      <w:r w:rsidR="007F26B9" w:rsidRPr="00F623A7">
        <w:rPr>
          <w:rFonts w:ascii="Arial" w:eastAsia="Times New Roman" w:hAnsi="Arial" w:cs="Arial"/>
          <w:sz w:val="24"/>
          <w:szCs w:val="24"/>
          <w:lang w:eastAsia="it-IT"/>
        </w:rPr>
        <w:t xml:space="preserve"> </w:t>
      </w:r>
      <w:r w:rsidR="00F623A7" w:rsidRPr="00F623A7">
        <w:rPr>
          <w:rFonts w:ascii="Arial" w:eastAsia="Times New Roman" w:hAnsi="Arial" w:cs="Arial"/>
          <w:sz w:val="24"/>
          <w:szCs w:val="24"/>
          <w:lang w:eastAsia="it-IT"/>
        </w:rPr>
        <w:t xml:space="preserve">because the interval between the last </w:t>
      </w:r>
      <w:r w:rsidR="007F26B9" w:rsidRPr="00F623A7">
        <w:rPr>
          <w:rFonts w:ascii="Arial" w:eastAsia="Times New Roman" w:hAnsi="Arial" w:cs="Arial"/>
          <w:sz w:val="24"/>
          <w:szCs w:val="24"/>
          <w:lang w:eastAsia="it-IT"/>
        </w:rPr>
        <w:t xml:space="preserve">induction </w:t>
      </w:r>
      <w:r w:rsidR="00F623A7" w:rsidRPr="00F623A7">
        <w:rPr>
          <w:rFonts w:ascii="Arial" w:eastAsia="Times New Roman" w:hAnsi="Arial" w:cs="Arial"/>
          <w:sz w:val="24"/>
          <w:szCs w:val="24"/>
          <w:lang w:eastAsia="it-IT"/>
        </w:rPr>
        <w:t xml:space="preserve">course and consolidation was usually short, </w:t>
      </w:r>
      <w:r w:rsidR="00F623A7">
        <w:rPr>
          <w:rFonts w:ascii="Arial" w:eastAsia="Times New Roman" w:hAnsi="Arial" w:cs="Arial"/>
          <w:sz w:val="24"/>
          <w:szCs w:val="24"/>
          <w:lang w:eastAsia="it-IT"/>
        </w:rPr>
        <w:t>during which patients performed several exams to defin</w:t>
      </w:r>
      <w:r w:rsidR="007F26B9">
        <w:rPr>
          <w:rFonts w:ascii="Arial" w:eastAsia="Times New Roman" w:hAnsi="Arial" w:cs="Arial"/>
          <w:sz w:val="24"/>
          <w:szCs w:val="24"/>
          <w:lang w:eastAsia="it-IT"/>
        </w:rPr>
        <w:t>e tumor</w:t>
      </w:r>
      <w:r w:rsidR="00F623A7">
        <w:rPr>
          <w:rFonts w:ascii="Arial" w:eastAsia="Times New Roman" w:hAnsi="Arial" w:cs="Arial"/>
          <w:sz w:val="24"/>
          <w:szCs w:val="24"/>
          <w:lang w:eastAsia="it-IT"/>
        </w:rPr>
        <w:t xml:space="preserve"> response and ASCT suitability; </w:t>
      </w:r>
      <w:r w:rsidR="007F26B9">
        <w:rPr>
          <w:rFonts w:ascii="Arial" w:eastAsia="Times New Roman" w:hAnsi="Arial" w:cs="Arial"/>
          <w:sz w:val="24"/>
          <w:szCs w:val="24"/>
          <w:lang w:eastAsia="it-IT"/>
        </w:rPr>
        <w:t xml:space="preserve">thus, </w:t>
      </w:r>
      <w:r w:rsidR="007F26B9" w:rsidRPr="007F26B9">
        <w:rPr>
          <w:rFonts w:ascii="Arial" w:eastAsia="Times New Roman" w:hAnsi="Arial" w:cs="Arial"/>
          <w:sz w:val="24"/>
          <w:szCs w:val="24"/>
          <w:lang w:eastAsia="it-IT"/>
        </w:rPr>
        <w:t>changes in psychological tests performed in that period may reflect a</w:t>
      </w:r>
      <w:r w:rsidR="007F26B9">
        <w:rPr>
          <w:rFonts w:ascii="Arial" w:eastAsia="Times New Roman" w:hAnsi="Arial" w:cs="Arial"/>
          <w:sz w:val="24"/>
          <w:szCs w:val="24"/>
          <w:lang w:eastAsia="it-IT"/>
        </w:rPr>
        <w:t>n</w:t>
      </w:r>
      <w:r w:rsidR="007F26B9" w:rsidRPr="007F26B9">
        <w:rPr>
          <w:rFonts w:ascii="Arial" w:eastAsia="Times New Roman" w:hAnsi="Arial" w:cs="Arial"/>
          <w:sz w:val="24"/>
          <w:szCs w:val="24"/>
          <w:lang w:eastAsia="it-IT"/>
        </w:rPr>
        <w:t xml:space="preserve"> episodic condition related to that stressful period rather than a real effect of t</w:t>
      </w:r>
      <w:r w:rsidR="007F26B9">
        <w:rPr>
          <w:rFonts w:ascii="Arial" w:eastAsia="Times New Roman" w:hAnsi="Arial" w:cs="Arial"/>
          <w:sz w:val="24"/>
          <w:szCs w:val="24"/>
          <w:lang w:eastAsia="it-IT"/>
        </w:rPr>
        <w:t>reatment on cognitive functions</w:t>
      </w:r>
      <w:r w:rsidR="00F623A7" w:rsidRPr="00F623A7">
        <w:rPr>
          <w:rFonts w:ascii="Arial" w:eastAsia="Times New Roman" w:hAnsi="Arial" w:cs="Arial"/>
          <w:sz w:val="24"/>
          <w:szCs w:val="24"/>
          <w:lang w:eastAsia="it-IT"/>
        </w:rPr>
        <w:t xml:space="preserve">. </w:t>
      </w:r>
      <w:r w:rsidR="00770C2E">
        <w:rPr>
          <w:rFonts w:ascii="Arial" w:eastAsia="Times New Roman" w:hAnsi="Arial" w:cs="Arial"/>
          <w:sz w:val="24"/>
          <w:szCs w:val="24"/>
          <w:lang w:eastAsia="it-IT"/>
        </w:rPr>
        <w:t>Importantly</w:t>
      </w:r>
      <w:r w:rsidR="00770C2E" w:rsidRPr="00770C2E">
        <w:rPr>
          <w:rFonts w:ascii="Arial" w:eastAsia="Times New Roman" w:hAnsi="Arial" w:cs="Arial"/>
          <w:sz w:val="24"/>
          <w:szCs w:val="24"/>
          <w:lang w:eastAsia="it-IT"/>
        </w:rPr>
        <w:t xml:space="preserve">, </w:t>
      </w:r>
      <w:r w:rsidR="003C6A29" w:rsidRPr="00770C2E">
        <w:rPr>
          <w:rFonts w:ascii="Arial" w:eastAsia="Times New Roman" w:hAnsi="Arial" w:cs="Arial"/>
          <w:sz w:val="24"/>
          <w:szCs w:val="24"/>
          <w:lang w:val="en-GB" w:eastAsia="it-IT"/>
        </w:rPr>
        <w:t>a potential learning effect due to the periodical repetition of tests</w:t>
      </w:r>
      <w:r w:rsidR="00770C2E" w:rsidRPr="00817FD3">
        <w:rPr>
          <w:rFonts w:ascii="Arial" w:eastAsia="Times New Roman" w:hAnsi="Arial" w:cs="Arial"/>
          <w:sz w:val="24"/>
          <w:szCs w:val="24"/>
          <w:lang w:val="en-GB" w:eastAsia="it-IT"/>
        </w:rPr>
        <w:t xml:space="preserve"> can not </w:t>
      </w:r>
      <w:r w:rsidR="00770C2E" w:rsidRPr="00817FD3">
        <w:rPr>
          <w:rFonts w:ascii="Arial" w:eastAsia="Times New Roman" w:hAnsi="Arial" w:cs="Arial"/>
          <w:sz w:val="24"/>
          <w:szCs w:val="24"/>
          <w:lang w:eastAsia="it-IT"/>
        </w:rPr>
        <w:t>be excluded</w:t>
      </w:r>
      <w:r w:rsidR="00770C2E">
        <w:rPr>
          <w:rFonts w:ascii="Arial" w:eastAsia="Times New Roman" w:hAnsi="Arial" w:cs="Arial"/>
          <w:sz w:val="24"/>
          <w:szCs w:val="24"/>
          <w:lang w:eastAsia="it-IT"/>
        </w:rPr>
        <w:t>; this effect may be reduced by using p</w:t>
      </w:r>
      <w:r w:rsidR="00770C2E" w:rsidRPr="00817FD3">
        <w:rPr>
          <w:rFonts w:ascii="Arial" w:eastAsia="Times New Roman" w:hAnsi="Arial" w:cs="Arial"/>
          <w:sz w:val="24"/>
          <w:szCs w:val="24"/>
          <w:lang w:eastAsia="it-IT"/>
        </w:rPr>
        <w:t>arallel test versions</w:t>
      </w:r>
      <w:r w:rsidR="00770C2E">
        <w:rPr>
          <w:rFonts w:ascii="Arial" w:eastAsia="Times New Roman" w:hAnsi="Arial" w:cs="Arial"/>
          <w:sz w:val="24"/>
          <w:szCs w:val="24"/>
          <w:lang w:eastAsia="it-IT"/>
        </w:rPr>
        <w:t>, which</w:t>
      </w:r>
      <w:r w:rsidR="00770C2E" w:rsidRPr="00817FD3">
        <w:rPr>
          <w:rFonts w:ascii="Arial" w:eastAsia="Times New Roman" w:hAnsi="Arial" w:cs="Arial"/>
          <w:sz w:val="24"/>
          <w:szCs w:val="24"/>
          <w:lang w:eastAsia="it-IT"/>
        </w:rPr>
        <w:t xml:space="preserve"> </w:t>
      </w:r>
      <w:r w:rsidR="002D2565">
        <w:rPr>
          <w:rFonts w:ascii="Arial" w:eastAsia="Times New Roman" w:hAnsi="Arial" w:cs="Arial"/>
          <w:sz w:val="24"/>
          <w:szCs w:val="24"/>
          <w:lang w:eastAsia="it-IT"/>
        </w:rPr>
        <w:t>were not used in this trial to avoid the risk</w:t>
      </w:r>
      <w:r w:rsidR="00770C2E" w:rsidRPr="00817FD3">
        <w:rPr>
          <w:rFonts w:ascii="Arial" w:eastAsia="Times New Roman" w:hAnsi="Arial" w:cs="Arial"/>
          <w:sz w:val="24"/>
          <w:szCs w:val="24"/>
          <w:lang w:eastAsia="it-IT"/>
        </w:rPr>
        <w:t xml:space="preserve"> </w:t>
      </w:r>
      <w:r w:rsidR="002D2565">
        <w:rPr>
          <w:rFonts w:ascii="Arial" w:eastAsia="Times New Roman" w:hAnsi="Arial" w:cs="Arial"/>
          <w:sz w:val="24"/>
          <w:szCs w:val="24"/>
          <w:lang w:eastAsia="it-IT"/>
        </w:rPr>
        <w:t xml:space="preserve">of </w:t>
      </w:r>
      <w:r w:rsidR="00770C2E" w:rsidRPr="00817FD3">
        <w:rPr>
          <w:rFonts w:ascii="Arial" w:eastAsia="Times New Roman" w:hAnsi="Arial" w:cs="Arial"/>
          <w:sz w:val="24"/>
          <w:szCs w:val="24"/>
          <w:lang w:eastAsia="it-IT"/>
        </w:rPr>
        <w:t>comparability</w:t>
      </w:r>
      <w:r w:rsidR="002D2565" w:rsidRPr="002D2565">
        <w:rPr>
          <w:rFonts w:ascii="Arial" w:eastAsia="Times New Roman" w:hAnsi="Arial" w:cs="Arial"/>
          <w:sz w:val="24"/>
          <w:szCs w:val="24"/>
          <w:lang w:eastAsia="it-IT"/>
        </w:rPr>
        <w:t xml:space="preserve"> </w:t>
      </w:r>
      <w:r w:rsidR="002D2565">
        <w:rPr>
          <w:rFonts w:ascii="Arial" w:eastAsia="Times New Roman" w:hAnsi="Arial" w:cs="Arial"/>
          <w:sz w:val="24"/>
          <w:szCs w:val="24"/>
          <w:lang w:eastAsia="it-IT"/>
        </w:rPr>
        <w:t>impairment</w:t>
      </w:r>
      <w:r w:rsidR="003C6A29" w:rsidRPr="00817FD3">
        <w:rPr>
          <w:rFonts w:ascii="Arial" w:eastAsia="Times New Roman" w:hAnsi="Arial" w:cs="Arial"/>
          <w:sz w:val="24"/>
          <w:szCs w:val="24"/>
          <w:lang w:eastAsia="it-IT"/>
        </w:rPr>
        <w:t>.</w:t>
      </w:r>
      <w:r w:rsidR="003C6A29" w:rsidRPr="00966346">
        <w:rPr>
          <w:rFonts w:ascii="Arial" w:eastAsia="Times New Roman" w:hAnsi="Arial" w:cs="Arial"/>
          <w:sz w:val="24"/>
          <w:szCs w:val="24"/>
          <w:lang w:val="en-GB" w:eastAsia="it-IT"/>
        </w:rPr>
        <w:t xml:space="preserve"> </w:t>
      </w:r>
      <w:r w:rsidR="003C6A29" w:rsidRPr="00966346">
        <w:rPr>
          <w:rFonts w:ascii="Arial" w:eastAsia="Times New Roman" w:hAnsi="Arial" w:cs="Arial"/>
          <w:sz w:val="24"/>
          <w:szCs w:val="24"/>
          <w:lang w:eastAsia="it-IT"/>
        </w:rPr>
        <w:t>Moreover, the effect of treatments on cognitive functions may be underestimated since neuropsychological scores of up to 2 years of follow-up were considered; the decline in cognitive function and QOL may become more evident after a longer follow up.</w:t>
      </w:r>
      <w:r w:rsidR="00AF56CB" w:rsidRPr="00966346">
        <w:rPr>
          <w:rFonts w:ascii="Arial" w:eastAsia="Times New Roman" w:hAnsi="Arial" w:cs="Arial"/>
          <w:sz w:val="24"/>
          <w:szCs w:val="24"/>
          <w:lang w:eastAsia="it-IT"/>
        </w:rPr>
        <w:t xml:space="preserve"> </w:t>
      </w:r>
      <w:r w:rsidR="00B60BAB" w:rsidRPr="00966346">
        <w:rPr>
          <w:rFonts w:ascii="Arial" w:eastAsia="Times New Roman" w:hAnsi="Arial" w:cs="Arial"/>
          <w:sz w:val="24"/>
          <w:szCs w:val="24"/>
          <w:lang w:eastAsia="it-IT"/>
        </w:rPr>
        <w:t>Notwithstanding these potential limitations</w:t>
      </w:r>
      <w:r w:rsidR="00AF56CB" w:rsidRPr="00966346">
        <w:rPr>
          <w:rFonts w:ascii="Arial" w:eastAsia="Times New Roman" w:hAnsi="Arial" w:cs="Arial"/>
          <w:sz w:val="24"/>
          <w:szCs w:val="24"/>
          <w:lang w:eastAsia="it-IT"/>
        </w:rPr>
        <w:t xml:space="preserve">, the similar proportion of assessed patients per arm (54% and 47%) and the absence of significant differences between assessed subgroups (Appendix </w:t>
      </w:r>
      <w:r w:rsidR="00053766" w:rsidRPr="00966346">
        <w:rPr>
          <w:rFonts w:ascii="Arial" w:eastAsia="Times New Roman" w:hAnsi="Arial" w:cs="Arial"/>
          <w:sz w:val="24"/>
          <w:szCs w:val="24"/>
          <w:lang w:eastAsia="it-IT"/>
        </w:rPr>
        <w:t>p1</w:t>
      </w:r>
      <w:r w:rsidR="00053766">
        <w:rPr>
          <w:rFonts w:ascii="Arial" w:eastAsia="Times New Roman" w:hAnsi="Arial" w:cs="Arial"/>
          <w:sz w:val="24"/>
          <w:szCs w:val="24"/>
          <w:lang w:eastAsia="it-IT"/>
        </w:rPr>
        <w:t>1</w:t>
      </w:r>
      <w:r w:rsidR="00AF56CB" w:rsidRPr="00966346">
        <w:rPr>
          <w:rFonts w:ascii="Arial" w:eastAsia="Times New Roman" w:hAnsi="Arial" w:cs="Arial"/>
          <w:sz w:val="24"/>
          <w:szCs w:val="24"/>
          <w:lang w:eastAsia="it-IT"/>
        </w:rPr>
        <w:t>) suggest that potential methodological biases, if any, impacted both consolidation arms</w:t>
      </w:r>
      <w:r w:rsidR="00204220" w:rsidRPr="00966346">
        <w:rPr>
          <w:rFonts w:ascii="Arial" w:eastAsia="Times New Roman" w:hAnsi="Arial" w:cs="Arial"/>
          <w:sz w:val="24"/>
          <w:szCs w:val="24"/>
          <w:lang w:eastAsia="it-IT"/>
        </w:rPr>
        <w:t xml:space="preserve"> similarly</w:t>
      </w:r>
      <w:r w:rsidR="00907453" w:rsidRPr="00966346">
        <w:rPr>
          <w:rFonts w:ascii="Arial" w:eastAsia="Times New Roman" w:hAnsi="Arial" w:cs="Arial"/>
          <w:sz w:val="24"/>
          <w:szCs w:val="24"/>
          <w:lang w:eastAsia="it-IT"/>
        </w:rPr>
        <w:t xml:space="preserve">. </w:t>
      </w:r>
      <w:r w:rsidR="00614DA5" w:rsidRPr="00966346">
        <w:rPr>
          <w:rFonts w:ascii="Arial" w:eastAsia="Times New Roman" w:hAnsi="Arial" w:cs="Arial"/>
          <w:sz w:val="24"/>
          <w:szCs w:val="24"/>
          <w:lang w:eastAsia="it-IT"/>
        </w:rPr>
        <w:t>T</w:t>
      </w:r>
      <w:r w:rsidR="00907453" w:rsidRPr="00966346">
        <w:rPr>
          <w:rFonts w:ascii="Arial" w:eastAsia="Times New Roman" w:hAnsi="Arial" w:cs="Arial"/>
          <w:sz w:val="24"/>
          <w:szCs w:val="24"/>
          <w:lang w:val="en-GB" w:eastAsia="it-IT"/>
        </w:rPr>
        <w:t>he IPCG neuropsychological tests</w:t>
      </w:r>
      <w:r w:rsidR="00FA4AAE" w:rsidRPr="00966346">
        <w:rPr>
          <w:rFonts w:ascii="Arial" w:eastAsia="Times New Roman" w:hAnsi="Arial" w:cs="Arial"/>
          <w:sz w:val="24"/>
          <w:szCs w:val="24"/>
          <w:lang w:val="en-GB" w:eastAsia="it-IT"/>
        </w:rPr>
        <w:fldChar w:fldCharType="begin"/>
      </w:r>
      <w:r w:rsidR="00464CF3" w:rsidRPr="00966346">
        <w:rPr>
          <w:rFonts w:ascii="Arial" w:eastAsia="Times New Roman" w:hAnsi="Arial" w:cs="Arial"/>
          <w:sz w:val="24"/>
          <w:szCs w:val="24"/>
          <w:lang w:val="en-GB" w:eastAsia="it-IT"/>
        </w:rPr>
        <w:instrText>ADDIN RW.CITE{{4857 Correa,D. 2007}}</w:instrText>
      </w:r>
      <w:r w:rsidR="00FA4AAE" w:rsidRPr="00966346">
        <w:rPr>
          <w:rFonts w:ascii="Arial" w:eastAsia="Times New Roman" w:hAnsi="Arial" w:cs="Arial"/>
          <w:sz w:val="24"/>
          <w:szCs w:val="24"/>
          <w:lang w:val="en-GB" w:eastAsia="it-IT"/>
        </w:rPr>
        <w:fldChar w:fldCharType="separate"/>
      </w:r>
      <w:r w:rsidR="00464CF3" w:rsidRPr="00966346">
        <w:rPr>
          <w:rFonts w:ascii="Arial" w:eastAsia="Times New Roman" w:hAnsi="Arial" w:cs="Arial"/>
          <w:sz w:val="24"/>
          <w:szCs w:val="24"/>
          <w:vertAlign w:val="superscript"/>
          <w:lang w:val="en-GB" w:eastAsia="it-IT"/>
        </w:rPr>
        <w:t>11</w:t>
      </w:r>
      <w:r w:rsidR="00FA4AAE" w:rsidRPr="00966346">
        <w:rPr>
          <w:rFonts w:ascii="Arial" w:eastAsia="Times New Roman" w:hAnsi="Arial" w:cs="Arial"/>
          <w:sz w:val="24"/>
          <w:szCs w:val="24"/>
          <w:lang w:val="en-GB" w:eastAsia="it-IT"/>
        </w:rPr>
        <w:fldChar w:fldCharType="end"/>
      </w:r>
      <w:r w:rsidR="00907453" w:rsidRPr="00966346">
        <w:rPr>
          <w:rFonts w:ascii="Arial" w:eastAsia="Times New Roman" w:hAnsi="Arial" w:cs="Arial"/>
          <w:sz w:val="24"/>
          <w:szCs w:val="24"/>
          <w:lang w:val="en-GB" w:eastAsia="it-IT"/>
        </w:rPr>
        <w:t xml:space="preserve"> </w:t>
      </w:r>
      <w:r w:rsidR="0029126B" w:rsidRPr="00966346">
        <w:rPr>
          <w:rFonts w:ascii="Arial" w:eastAsia="Times New Roman" w:hAnsi="Arial" w:cs="Arial"/>
          <w:sz w:val="24"/>
          <w:szCs w:val="24"/>
          <w:lang w:val="en-GB" w:eastAsia="it-IT"/>
        </w:rPr>
        <w:t>showed that m</w:t>
      </w:r>
      <w:r w:rsidR="00817D1C" w:rsidRPr="00966346">
        <w:rPr>
          <w:rFonts w:ascii="Arial" w:eastAsia="Times New Roman" w:hAnsi="Arial" w:cs="Arial"/>
          <w:sz w:val="24"/>
          <w:szCs w:val="24"/>
          <w:lang w:val="en-GB" w:eastAsia="it-IT"/>
        </w:rPr>
        <w:t xml:space="preserve">ost </w:t>
      </w:r>
      <w:r w:rsidR="00AD30E5" w:rsidRPr="00966346">
        <w:rPr>
          <w:rFonts w:ascii="Arial" w:eastAsia="Times New Roman" w:hAnsi="Arial" w:cs="Arial"/>
          <w:sz w:val="24"/>
          <w:szCs w:val="24"/>
          <w:lang w:val="en-GB" w:eastAsia="it-IT"/>
        </w:rPr>
        <w:t>cognitive</w:t>
      </w:r>
      <w:r w:rsidR="00817D1C" w:rsidRPr="00966346">
        <w:rPr>
          <w:rFonts w:ascii="Arial" w:eastAsia="Times New Roman" w:hAnsi="Arial" w:cs="Arial"/>
          <w:sz w:val="24"/>
          <w:szCs w:val="24"/>
          <w:lang w:val="en-GB" w:eastAsia="it-IT"/>
        </w:rPr>
        <w:t xml:space="preserve"> functions </w:t>
      </w:r>
      <w:r w:rsidR="00817D1C" w:rsidRPr="00966346">
        <w:rPr>
          <w:rFonts w:ascii="Arial" w:eastAsia="Times New Roman" w:hAnsi="Arial" w:cs="Arial"/>
          <w:sz w:val="24"/>
          <w:szCs w:val="24"/>
          <w:lang w:val="en-GB" w:eastAsia="it-IT"/>
        </w:rPr>
        <w:lastRenderedPageBreak/>
        <w:t xml:space="preserve">improved immediately after treatment, with </w:t>
      </w:r>
      <w:r w:rsidR="00733D01" w:rsidRPr="00966346">
        <w:rPr>
          <w:rFonts w:ascii="Arial" w:eastAsia="Times New Roman" w:hAnsi="Arial" w:cs="Arial"/>
          <w:sz w:val="24"/>
          <w:szCs w:val="24"/>
          <w:lang w:val="en-GB" w:eastAsia="it-IT"/>
        </w:rPr>
        <w:t>significant</w:t>
      </w:r>
      <w:r w:rsidR="00817D1C" w:rsidRPr="00966346">
        <w:rPr>
          <w:rFonts w:ascii="Arial" w:eastAsia="Times New Roman" w:hAnsi="Arial" w:cs="Arial"/>
          <w:sz w:val="24"/>
          <w:szCs w:val="24"/>
          <w:lang w:val="en-GB" w:eastAsia="it-IT"/>
        </w:rPr>
        <w:t xml:space="preserve"> differences </w:t>
      </w:r>
      <w:r w:rsidR="0001227B" w:rsidRPr="00966346">
        <w:rPr>
          <w:rFonts w:ascii="Arial" w:eastAsia="Times New Roman" w:hAnsi="Arial" w:cs="Arial"/>
          <w:sz w:val="24"/>
          <w:szCs w:val="24"/>
          <w:lang w:val="en-GB" w:eastAsia="it-IT"/>
        </w:rPr>
        <w:t xml:space="preserve">in favour of patients treated with ASCT </w:t>
      </w:r>
      <w:r w:rsidR="00733D01" w:rsidRPr="00966346">
        <w:rPr>
          <w:rFonts w:ascii="Arial" w:eastAsia="Times New Roman" w:hAnsi="Arial" w:cs="Arial"/>
          <w:sz w:val="24"/>
          <w:szCs w:val="24"/>
          <w:lang w:val="en-GB" w:eastAsia="it-IT"/>
        </w:rPr>
        <w:t xml:space="preserve">in </w:t>
      </w:r>
      <w:r w:rsidR="00316D2F" w:rsidRPr="00966346">
        <w:rPr>
          <w:rFonts w:ascii="Arial" w:eastAsia="Times New Roman" w:hAnsi="Arial" w:cs="Arial"/>
          <w:sz w:val="24"/>
          <w:szCs w:val="24"/>
          <w:lang w:val="en-GB" w:eastAsia="it-IT"/>
        </w:rPr>
        <w:t>cognitive</w:t>
      </w:r>
      <w:r w:rsidR="0001227B" w:rsidRPr="00966346">
        <w:rPr>
          <w:rFonts w:ascii="Arial" w:eastAsia="Times New Roman" w:hAnsi="Arial" w:cs="Arial"/>
          <w:sz w:val="24"/>
          <w:szCs w:val="24"/>
          <w:lang w:val="en-GB" w:eastAsia="it-IT"/>
        </w:rPr>
        <w:t xml:space="preserve"> flexibility, </w:t>
      </w:r>
      <w:r w:rsidR="00733D01" w:rsidRPr="00966346">
        <w:rPr>
          <w:rFonts w:ascii="Arial" w:eastAsia="Times New Roman" w:hAnsi="Arial" w:cs="Arial"/>
          <w:sz w:val="24"/>
          <w:szCs w:val="24"/>
          <w:lang w:val="en-GB" w:eastAsia="it-IT"/>
        </w:rPr>
        <w:t>attention</w:t>
      </w:r>
      <w:r w:rsidR="00316D2F" w:rsidRPr="00966346">
        <w:rPr>
          <w:rFonts w:ascii="Arial" w:eastAsia="Times New Roman" w:hAnsi="Arial" w:cs="Arial"/>
          <w:sz w:val="24"/>
          <w:szCs w:val="24"/>
          <w:lang w:val="en-GB" w:eastAsia="it-IT"/>
        </w:rPr>
        <w:t xml:space="preserve"> shifting</w:t>
      </w:r>
      <w:r w:rsidR="00733D01" w:rsidRPr="00966346">
        <w:rPr>
          <w:rFonts w:ascii="Arial" w:eastAsia="Times New Roman" w:hAnsi="Arial" w:cs="Arial"/>
          <w:sz w:val="24"/>
          <w:szCs w:val="24"/>
          <w:lang w:val="en-GB" w:eastAsia="it-IT"/>
        </w:rPr>
        <w:t xml:space="preserve">, </w:t>
      </w:r>
      <w:proofErr w:type="spellStart"/>
      <w:r w:rsidR="0001227B" w:rsidRPr="00966346">
        <w:rPr>
          <w:rFonts w:ascii="Arial" w:eastAsia="Times New Roman" w:hAnsi="Arial" w:cs="Arial"/>
          <w:sz w:val="24"/>
          <w:szCs w:val="24"/>
          <w:lang w:val="en-GB" w:eastAsia="it-IT"/>
        </w:rPr>
        <w:t>visuo</w:t>
      </w:r>
      <w:proofErr w:type="spellEnd"/>
      <w:r w:rsidR="0001227B" w:rsidRPr="00966346">
        <w:rPr>
          <w:rFonts w:ascii="Arial" w:eastAsia="Times New Roman" w:hAnsi="Arial" w:cs="Arial"/>
          <w:sz w:val="24"/>
          <w:szCs w:val="24"/>
          <w:lang w:val="en-GB" w:eastAsia="it-IT"/>
        </w:rPr>
        <w:t xml:space="preserve">-constructive </w:t>
      </w:r>
      <w:r w:rsidR="00316D2F" w:rsidRPr="00966346">
        <w:rPr>
          <w:rFonts w:ascii="Arial" w:eastAsia="Times New Roman" w:hAnsi="Arial" w:cs="Arial"/>
          <w:sz w:val="24"/>
          <w:szCs w:val="24"/>
          <w:lang w:val="en-GB" w:eastAsia="it-IT"/>
        </w:rPr>
        <w:t>abilities</w:t>
      </w:r>
      <w:r w:rsidR="0001227B" w:rsidRPr="00966346">
        <w:rPr>
          <w:rFonts w:ascii="Arial" w:eastAsia="Times New Roman" w:hAnsi="Arial" w:cs="Arial"/>
          <w:sz w:val="24"/>
          <w:szCs w:val="24"/>
          <w:lang w:val="en-GB" w:eastAsia="it-IT"/>
        </w:rPr>
        <w:t>,</w:t>
      </w:r>
      <w:r w:rsidR="00733D01" w:rsidRPr="00966346">
        <w:rPr>
          <w:rFonts w:ascii="Arial" w:eastAsia="Times New Roman" w:hAnsi="Arial" w:cs="Arial"/>
          <w:sz w:val="24"/>
          <w:szCs w:val="24"/>
          <w:lang w:val="en-GB" w:eastAsia="it-IT"/>
        </w:rPr>
        <w:t xml:space="preserve"> and </w:t>
      </w:r>
      <w:r w:rsidR="0001227B" w:rsidRPr="00966346">
        <w:rPr>
          <w:rFonts w:ascii="Arial" w:eastAsia="Times New Roman" w:hAnsi="Arial" w:cs="Arial"/>
          <w:sz w:val="24"/>
          <w:szCs w:val="24"/>
          <w:lang w:val="en-GB" w:eastAsia="it-IT"/>
        </w:rPr>
        <w:t>visuospatial configuration. Interestingly, these are cognitive function</w:t>
      </w:r>
      <w:r w:rsidR="00227C3C" w:rsidRPr="00966346">
        <w:rPr>
          <w:rFonts w:ascii="Arial" w:eastAsia="Times New Roman" w:hAnsi="Arial" w:cs="Arial"/>
          <w:sz w:val="24"/>
          <w:szCs w:val="24"/>
          <w:lang w:val="en-GB" w:eastAsia="it-IT"/>
        </w:rPr>
        <w:t>s</w:t>
      </w:r>
      <w:r w:rsidR="0001227B" w:rsidRPr="00966346">
        <w:rPr>
          <w:rFonts w:ascii="Arial" w:eastAsia="Times New Roman" w:hAnsi="Arial" w:cs="Arial"/>
          <w:sz w:val="24"/>
          <w:szCs w:val="24"/>
          <w:lang w:val="en-GB" w:eastAsia="it-IT"/>
        </w:rPr>
        <w:t xml:space="preserve"> related </w:t>
      </w:r>
      <w:r w:rsidR="00316D2F" w:rsidRPr="00966346">
        <w:rPr>
          <w:rFonts w:ascii="Arial" w:eastAsia="Times New Roman" w:hAnsi="Arial" w:cs="Arial"/>
          <w:sz w:val="24"/>
          <w:szCs w:val="24"/>
          <w:lang w:val="en-GB" w:eastAsia="it-IT"/>
        </w:rPr>
        <w:t xml:space="preserve">in a large part </w:t>
      </w:r>
      <w:r w:rsidR="0001227B" w:rsidRPr="00966346">
        <w:rPr>
          <w:rFonts w:ascii="Arial" w:eastAsia="Times New Roman" w:hAnsi="Arial" w:cs="Arial"/>
          <w:sz w:val="24"/>
          <w:szCs w:val="24"/>
          <w:lang w:val="en-GB" w:eastAsia="it-IT"/>
        </w:rPr>
        <w:t>to the frontal lobe</w:t>
      </w:r>
      <w:r w:rsidR="006921B9" w:rsidRPr="00966346">
        <w:rPr>
          <w:rFonts w:ascii="Arial" w:eastAsia="Times New Roman" w:hAnsi="Arial" w:cs="Arial"/>
          <w:sz w:val="24"/>
          <w:szCs w:val="24"/>
          <w:lang w:val="en-GB" w:eastAsia="it-IT"/>
        </w:rPr>
        <w:t>s</w:t>
      </w:r>
      <w:r w:rsidR="0001227B" w:rsidRPr="00966346">
        <w:rPr>
          <w:rFonts w:ascii="Arial" w:eastAsia="Times New Roman" w:hAnsi="Arial" w:cs="Arial"/>
          <w:sz w:val="24"/>
          <w:szCs w:val="24"/>
          <w:lang w:val="en-GB" w:eastAsia="it-IT"/>
        </w:rPr>
        <w:t>, which is the structure most commonly affected by PCNSL</w:t>
      </w:r>
      <w:r w:rsidR="009879DD" w:rsidRPr="009879DD">
        <w:rPr>
          <w:rFonts w:ascii="Arial" w:eastAsia="Times New Roman" w:hAnsi="Arial" w:cs="Arial"/>
          <w:sz w:val="24"/>
          <w:szCs w:val="24"/>
          <w:vertAlign w:val="superscript"/>
          <w:lang w:val="en-GB" w:eastAsia="it-IT"/>
        </w:rPr>
        <w:t>3</w:t>
      </w:r>
      <w:r w:rsidR="0001227B" w:rsidRPr="00966346">
        <w:rPr>
          <w:rFonts w:ascii="Arial" w:eastAsia="Times New Roman" w:hAnsi="Arial" w:cs="Arial"/>
          <w:sz w:val="24"/>
          <w:szCs w:val="24"/>
          <w:lang w:val="en-GB" w:eastAsia="it-IT"/>
        </w:rPr>
        <w:t xml:space="preserve">; thus, </w:t>
      </w:r>
      <w:r w:rsidR="006921B9" w:rsidRPr="00966346">
        <w:rPr>
          <w:rFonts w:ascii="Arial" w:eastAsia="Times New Roman" w:hAnsi="Arial" w:cs="Arial"/>
          <w:sz w:val="24"/>
          <w:szCs w:val="24"/>
          <w:lang w:val="en-GB" w:eastAsia="it-IT"/>
        </w:rPr>
        <w:t>rapid</w:t>
      </w:r>
      <w:r w:rsidR="00227C3C" w:rsidRPr="00966346">
        <w:rPr>
          <w:rFonts w:ascii="Arial" w:eastAsia="Times New Roman" w:hAnsi="Arial" w:cs="Arial"/>
          <w:sz w:val="24"/>
          <w:szCs w:val="24"/>
          <w:lang w:val="en-GB" w:eastAsia="it-IT"/>
        </w:rPr>
        <w:t xml:space="preserve"> tumour</w:t>
      </w:r>
      <w:r w:rsidR="0001227B" w:rsidRPr="00966346">
        <w:rPr>
          <w:rFonts w:ascii="Arial" w:eastAsia="Times New Roman" w:hAnsi="Arial" w:cs="Arial"/>
          <w:sz w:val="24"/>
          <w:szCs w:val="24"/>
          <w:lang w:val="en-GB" w:eastAsia="it-IT"/>
        </w:rPr>
        <w:t xml:space="preserve"> regression </w:t>
      </w:r>
      <w:r w:rsidR="00FC64F6" w:rsidRPr="00966346">
        <w:rPr>
          <w:rFonts w:ascii="Arial" w:eastAsia="Times New Roman" w:hAnsi="Arial" w:cs="Arial"/>
          <w:sz w:val="24"/>
          <w:szCs w:val="24"/>
          <w:lang w:val="en-GB" w:eastAsia="it-IT"/>
        </w:rPr>
        <w:t>may</w:t>
      </w:r>
      <w:r w:rsidR="0001227B" w:rsidRPr="00966346">
        <w:rPr>
          <w:rFonts w:ascii="Arial" w:eastAsia="Times New Roman" w:hAnsi="Arial" w:cs="Arial"/>
          <w:sz w:val="24"/>
          <w:szCs w:val="24"/>
          <w:lang w:val="en-GB" w:eastAsia="it-IT"/>
        </w:rPr>
        <w:t xml:space="preserve"> </w:t>
      </w:r>
      <w:r w:rsidR="00227C3C" w:rsidRPr="00966346">
        <w:rPr>
          <w:rFonts w:ascii="Arial" w:eastAsia="Times New Roman" w:hAnsi="Arial" w:cs="Arial"/>
          <w:sz w:val="24"/>
          <w:szCs w:val="24"/>
          <w:lang w:val="en-GB" w:eastAsia="it-IT"/>
        </w:rPr>
        <w:t>explain the</w:t>
      </w:r>
      <w:r w:rsidR="0001227B" w:rsidRPr="00966346">
        <w:rPr>
          <w:rFonts w:ascii="Arial" w:eastAsia="Times New Roman" w:hAnsi="Arial" w:cs="Arial"/>
          <w:sz w:val="24"/>
          <w:szCs w:val="24"/>
          <w:lang w:val="en-GB" w:eastAsia="it-IT"/>
        </w:rPr>
        <w:t xml:space="preserve"> early reestablishment of these functions</w:t>
      </w:r>
      <w:r w:rsidR="00817D1C" w:rsidRPr="00966346">
        <w:rPr>
          <w:rFonts w:ascii="Arial" w:eastAsia="Times New Roman" w:hAnsi="Arial" w:cs="Arial"/>
          <w:sz w:val="24"/>
          <w:szCs w:val="24"/>
          <w:lang w:val="en-GB" w:eastAsia="it-IT"/>
        </w:rPr>
        <w:t xml:space="preserve">. </w:t>
      </w:r>
      <w:r w:rsidR="00907453" w:rsidRPr="00966346">
        <w:rPr>
          <w:rFonts w:ascii="Arial" w:eastAsia="Times New Roman" w:hAnsi="Arial" w:cs="Arial"/>
          <w:sz w:val="24"/>
          <w:szCs w:val="24"/>
          <w:lang w:val="en-GB" w:eastAsia="it-IT"/>
        </w:rPr>
        <w:t>Moreover</w:t>
      </w:r>
      <w:r w:rsidR="00817D1C" w:rsidRPr="00966346">
        <w:rPr>
          <w:rFonts w:ascii="Arial" w:eastAsia="Times New Roman" w:hAnsi="Arial" w:cs="Arial"/>
          <w:sz w:val="24"/>
          <w:szCs w:val="24"/>
          <w:lang w:val="en-GB" w:eastAsia="it-IT"/>
        </w:rPr>
        <w:t xml:space="preserve">, </w:t>
      </w:r>
      <w:r w:rsidR="00907453" w:rsidRPr="00966346">
        <w:rPr>
          <w:rFonts w:ascii="Arial" w:eastAsia="Times New Roman" w:hAnsi="Arial" w:cs="Arial"/>
          <w:sz w:val="24"/>
          <w:szCs w:val="24"/>
          <w:lang w:val="en-GB" w:eastAsia="it-IT"/>
        </w:rPr>
        <w:t xml:space="preserve">a progressive improvement </w:t>
      </w:r>
      <w:r w:rsidR="006921B9" w:rsidRPr="00966346">
        <w:rPr>
          <w:rFonts w:ascii="Arial" w:eastAsia="Times New Roman" w:hAnsi="Arial" w:cs="Arial"/>
          <w:sz w:val="24"/>
          <w:szCs w:val="24"/>
          <w:lang w:eastAsia="it-IT"/>
        </w:rPr>
        <w:t>in</w:t>
      </w:r>
      <w:r w:rsidR="00907453" w:rsidRPr="00966346">
        <w:rPr>
          <w:rFonts w:ascii="Arial" w:eastAsia="Times New Roman" w:hAnsi="Arial" w:cs="Arial"/>
          <w:sz w:val="24"/>
          <w:szCs w:val="24"/>
          <w:lang w:eastAsia="it-IT"/>
        </w:rPr>
        <w:t xml:space="preserve"> most of the assessed cognitive functions and QoL </w:t>
      </w:r>
      <w:r w:rsidR="006921B9" w:rsidRPr="00966346">
        <w:rPr>
          <w:rFonts w:ascii="Arial" w:eastAsia="Times New Roman" w:hAnsi="Arial" w:cs="Arial"/>
          <w:sz w:val="24"/>
          <w:szCs w:val="24"/>
          <w:lang w:eastAsia="it-IT"/>
        </w:rPr>
        <w:t xml:space="preserve">parameters </w:t>
      </w:r>
      <w:r w:rsidR="00907453" w:rsidRPr="00966346">
        <w:rPr>
          <w:rFonts w:ascii="Arial" w:eastAsia="Times New Roman" w:hAnsi="Arial" w:cs="Arial"/>
          <w:sz w:val="24"/>
          <w:szCs w:val="24"/>
          <w:lang w:eastAsia="it-IT"/>
        </w:rPr>
        <w:t xml:space="preserve">was recorded </w:t>
      </w:r>
      <w:r w:rsidR="00FD7D8A" w:rsidRPr="00966346">
        <w:rPr>
          <w:rFonts w:ascii="Arial" w:eastAsia="Times New Roman" w:hAnsi="Arial" w:cs="Arial"/>
          <w:sz w:val="24"/>
          <w:szCs w:val="24"/>
          <w:lang w:eastAsia="it-IT"/>
        </w:rPr>
        <w:t xml:space="preserve">in the first 2 years of follow-up </w:t>
      </w:r>
      <w:r w:rsidR="00907453" w:rsidRPr="00966346">
        <w:rPr>
          <w:rFonts w:ascii="Arial" w:eastAsia="Times New Roman" w:hAnsi="Arial" w:cs="Arial"/>
          <w:sz w:val="24"/>
          <w:szCs w:val="24"/>
          <w:lang w:eastAsia="it-IT"/>
        </w:rPr>
        <w:t xml:space="preserve">in patients treated with ASCT, which is in line with a previous single-arm phase II trial </w:t>
      </w:r>
      <w:r w:rsidR="00614DA5" w:rsidRPr="00966346">
        <w:rPr>
          <w:rFonts w:ascii="Arial" w:eastAsia="Times New Roman" w:hAnsi="Arial" w:cs="Arial"/>
          <w:sz w:val="24"/>
          <w:szCs w:val="24"/>
          <w:lang w:eastAsia="it-IT"/>
        </w:rPr>
        <w:t>where</w:t>
      </w:r>
      <w:r w:rsidR="00907453" w:rsidRPr="00966346">
        <w:rPr>
          <w:rFonts w:ascii="Arial" w:eastAsia="Times New Roman" w:hAnsi="Arial" w:cs="Arial"/>
          <w:sz w:val="24"/>
          <w:szCs w:val="24"/>
          <w:lang w:eastAsia="it-IT"/>
        </w:rPr>
        <w:t xml:space="preserve"> 16 progression-free patients treated with chemoimmunotherapy and ASCT</w:t>
      </w:r>
      <w:r w:rsidR="00614DA5" w:rsidRPr="00966346">
        <w:rPr>
          <w:rFonts w:ascii="Arial" w:eastAsia="Times New Roman" w:hAnsi="Arial" w:cs="Arial"/>
          <w:sz w:val="24"/>
          <w:szCs w:val="24"/>
          <w:lang w:eastAsia="it-IT"/>
        </w:rPr>
        <w:t xml:space="preserve"> were assessed</w:t>
      </w:r>
      <w:r w:rsidR="005C59FC" w:rsidRPr="00966346">
        <w:rPr>
          <w:rFonts w:ascii="Arial" w:eastAsia="Times New Roman" w:hAnsi="Arial" w:cs="Arial"/>
          <w:sz w:val="24"/>
          <w:szCs w:val="24"/>
          <w:lang w:eastAsia="it-IT"/>
        </w:rPr>
        <w:t xml:space="preserve"> with similar tests</w:t>
      </w:r>
      <w:r w:rsidR="009879DD" w:rsidRPr="009879DD">
        <w:rPr>
          <w:rFonts w:ascii="Arial" w:eastAsia="Times New Roman" w:hAnsi="Arial" w:cs="Arial"/>
          <w:sz w:val="24"/>
          <w:szCs w:val="24"/>
          <w:vertAlign w:val="superscript"/>
          <w:lang w:eastAsia="it-IT"/>
        </w:rPr>
        <w:t>8</w:t>
      </w:r>
      <w:r w:rsidR="00907453" w:rsidRPr="00966346">
        <w:rPr>
          <w:rFonts w:ascii="Arial" w:eastAsia="Times New Roman" w:hAnsi="Arial" w:cs="Arial"/>
          <w:sz w:val="24"/>
          <w:szCs w:val="24"/>
          <w:lang w:eastAsia="it-IT"/>
        </w:rPr>
        <w:t xml:space="preserve">. Conversely, </w:t>
      </w:r>
      <w:r w:rsidR="00817D1C" w:rsidRPr="00966346">
        <w:rPr>
          <w:rFonts w:ascii="Arial" w:eastAsia="Times New Roman" w:hAnsi="Arial" w:cs="Arial"/>
          <w:sz w:val="24"/>
          <w:szCs w:val="24"/>
          <w:lang w:val="en-GB" w:eastAsia="it-IT"/>
        </w:rPr>
        <w:t xml:space="preserve">a progressive decline in some attention/execution functions </w:t>
      </w:r>
      <w:r w:rsidR="00996118" w:rsidRPr="00966346">
        <w:rPr>
          <w:rFonts w:ascii="Arial" w:eastAsia="Times New Roman" w:hAnsi="Arial" w:cs="Arial"/>
          <w:sz w:val="24"/>
          <w:szCs w:val="24"/>
          <w:lang w:val="en-GB" w:eastAsia="it-IT"/>
        </w:rPr>
        <w:t xml:space="preserve">were </w:t>
      </w:r>
      <w:r w:rsidR="00817D1C" w:rsidRPr="00966346">
        <w:rPr>
          <w:rFonts w:ascii="Arial" w:eastAsia="Times New Roman" w:hAnsi="Arial" w:cs="Arial"/>
          <w:sz w:val="24"/>
          <w:szCs w:val="24"/>
          <w:lang w:val="en-GB" w:eastAsia="it-IT"/>
        </w:rPr>
        <w:t xml:space="preserve">observed </w:t>
      </w:r>
      <w:r w:rsidR="00FB2D8D" w:rsidRPr="00966346">
        <w:rPr>
          <w:rFonts w:ascii="Arial" w:eastAsia="Times New Roman" w:hAnsi="Arial" w:cs="Arial"/>
          <w:sz w:val="24"/>
          <w:szCs w:val="24"/>
          <w:lang w:val="en-GB" w:eastAsia="it-IT"/>
        </w:rPr>
        <w:t>in patients treated with</w:t>
      </w:r>
      <w:r w:rsidR="00817D1C" w:rsidRPr="00966346">
        <w:rPr>
          <w:rFonts w:ascii="Arial" w:eastAsia="Times New Roman" w:hAnsi="Arial" w:cs="Arial"/>
          <w:sz w:val="24"/>
          <w:szCs w:val="24"/>
          <w:lang w:val="en-GB" w:eastAsia="it-IT"/>
        </w:rPr>
        <w:t xml:space="preserve"> WBRT</w:t>
      </w:r>
      <w:r w:rsidR="00946C53" w:rsidRPr="00966346">
        <w:rPr>
          <w:rFonts w:ascii="Arial" w:eastAsia="Times New Roman" w:hAnsi="Arial" w:cs="Arial"/>
          <w:sz w:val="24"/>
          <w:szCs w:val="24"/>
          <w:lang w:val="en-GB" w:eastAsia="it-IT"/>
        </w:rPr>
        <w:t xml:space="preserve">, which </w:t>
      </w:r>
      <w:r w:rsidR="00A1144B" w:rsidRPr="00966346">
        <w:rPr>
          <w:rFonts w:ascii="Arial" w:eastAsia="Times New Roman" w:hAnsi="Arial" w:cs="Arial"/>
          <w:sz w:val="24"/>
          <w:szCs w:val="24"/>
          <w:lang w:val="en-GB" w:eastAsia="it-IT"/>
        </w:rPr>
        <w:t xml:space="preserve">is in line with </w:t>
      </w:r>
      <w:r w:rsidR="006921B9" w:rsidRPr="00966346">
        <w:rPr>
          <w:rFonts w:ascii="Arial" w:eastAsia="Times New Roman" w:hAnsi="Arial" w:cs="Arial"/>
          <w:sz w:val="24"/>
          <w:szCs w:val="24"/>
          <w:lang w:val="en-GB" w:eastAsia="it-IT"/>
        </w:rPr>
        <w:t>other</w:t>
      </w:r>
      <w:r w:rsidR="00A1144B" w:rsidRPr="00966346">
        <w:rPr>
          <w:rFonts w:ascii="Arial" w:eastAsia="Times New Roman" w:hAnsi="Arial" w:cs="Arial"/>
          <w:sz w:val="24"/>
          <w:szCs w:val="24"/>
          <w:lang w:val="en-GB" w:eastAsia="it-IT"/>
        </w:rPr>
        <w:t xml:space="preserve"> studies </w:t>
      </w:r>
      <w:r w:rsidRPr="00966346">
        <w:rPr>
          <w:rFonts w:ascii="Arial" w:eastAsia="Times New Roman" w:hAnsi="Arial" w:cs="Arial"/>
          <w:sz w:val="24"/>
          <w:szCs w:val="24"/>
          <w:lang w:val="en-GB" w:eastAsia="it-IT"/>
        </w:rPr>
        <w:t xml:space="preserve">performed </w:t>
      </w:r>
      <w:r w:rsidR="00A1144B" w:rsidRPr="00966346">
        <w:rPr>
          <w:rFonts w:ascii="Arial" w:eastAsia="Times New Roman" w:hAnsi="Arial" w:cs="Arial"/>
          <w:sz w:val="24"/>
          <w:szCs w:val="24"/>
          <w:lang w:val="en-GB" w:eastAsia="it-IT"/>
        </w:rPr>
        <w:t xml:space="preserve">in </w:t>
      </w:r>
      <w:r w:rsidRPr="00966346">
        <w:rPr>
          <w:rFonts w:ascii="Arial" w:eastAsia="Times New Roman" w:hAnsi="Arial" w:cs="Arial"/>
          <w:sz w:val="24"/>
          <w:szCs w:val="24"/>
          <w:lang w:val="en-GB" w:eastAsia="it-IT"/>
        </w:rPr>
        <w:t>PCNSL patients</w:t>
      </w:r>
      <w:r w:rsidR="009879DD" w:rsidRPr="009879DD">
        <w:rPr>
          <w:rFonts w:ascii="Arial" w:eastAsia="Times New Roman" w:hAnsi="Arial" w:cs="Arial"/>
          <w:sz w:val="24"/>
          <w:szCs w:val="24"/>
          <w:vertAlign w:val="superscript"/>
          <w:lang w:eastAsia="it-IT"/>
        </w:rPr>
        <w:t>10,33</w:t>
      </w:r>
      <w:r w:rsidR="00A1144B" w:rsidRPr="00966346">
        <w:rPr>
          <w:rFonts w:ascii="Arial" w:eastAsia="Times New Roman" w:hAnsi="Arial" w:cs="Arial"/>
          <w:sz w:val="24"/>
          <w:szCs w:val="24"/>
          <w:lang w:val="en-GB" w:eastAsia="it-IT"/>
        </w:rPr>
        <w:t xml:space="preserve">. </w:t>
      </w:r>
      <w:r w:rsidR="00DD3E3F">
        <w:rPr>
          <w:rFonts w:ascii="Arial" w:eastAsia="Times New Roman" w:hAnsi="Arial" w:cs="Arial"/>
          <w:sz w:val="24"/>
          <w:szCs w:val="24"/>
          <w:lang w:val="en-GB" w:eastAsia="it-IT"/>
        </w:rPr>
        <w:t>Lacking of changes in MMSE should be taken into account with caution considering the low sensitivity of this test in PCNSL patients</w:t>
      </w:r>
      <w:r w:rsidR="00DD3E3F" w:rsidRPr="00817FD3">
        <w:rPr>
          <w:rFonts w:ascii="Arial" w:eastAsia="Times New Roman" w:hAnsi="Arial" w:cs="Arial"/>
          <w:sz w:val="24"/>
          <w:szCs w:val="24"/>
          <w:vertAlign w:val="superscript"/>
          <w:lang w:val="en-GB" w:eastAsia="it-IT"/>
        </w:rPr>
        <w:t>11</w:t>
      </w:r>
      <w:r w:rsidR="00DD3E3F">
        <w:rPr>
          <w:rFonts w:ascii="Arial" w:eastAsia="Times New Roman" w:hAnsi="Arial" w:cs="Arial"/>
          <w:sz w:val="24"/>
          <w:szCs w:val="24"/>
          <w:lang w:val="en-GB" w:eastAsia="it-IT"/>
        </w:rPr>
        <w:t xml:space="preserve">. </w:t>
      </w:r>
      <w:r w:rsidRPr="00966346">
        <w:rPr>
          <w:rFonts w:ascii="Arial" w:eastAsia="Times New Roman" w:hAnsi="Arial" w:cs="Arial"/>
          <w:sz w:val="24"/>
          <w:szCs w:val="24"/>
          <w:lang w:val="en-GB" w:eastAsia="it-IT"/>
        </w:rPr>
        <w:t>A</w:t>
      </w:r>
      <w:r w:rsidR="00A1144B" w:rsidRPr="00966346">
        <w:rPr>
          <w:rFonts w:ascii="Arial" w:eastAsia="Times New Roman" w:hAnsi="Arial" w:cs="Arial"/>
          <w:sz w:val="24"/>
          <w:szCs w:val="24"/>
          <w:lang w:val="en-GB" w:eastAsia="it-IT"/>
        </w:rPr>
        <w:t xml:space="preserve"> retrospective series </w:t>
      </w:r>
      <w:r w:rsidRPr="00966346">
        <w:rPr>
          <w:rFonts w:ascii="Arial" w:eastAsia="Times New Roman" w:hAnsi="Arial" w:cs="Arial"/>
          <w:sz w:val="24"/>
          <w:szCs w:val="24"/>
          <w:lang w:val="en-GB" w:eastAsia="it-IT"/>
        </w:rPr>
        <w:t xml:space="preserve">of patients treated with </w:t>
      </w:r>
      <w:r w:rsidR="00FF3901" w:rsidRPr="00966346">
        <w:rPr>
          <w:rFonts w:ascii="Arial" w:eastAsia="Times New Roman" w:hAnsi="Arial" w:cs="Arial"/>
          <w:sz w:val="24"/>
          <w:szCs w:val="24"/>
          <w:lang w:val="en-GB" w:eastAsia="it-IT"/>
        </w:rPr>
        <w:t>chemotherapy</w:t>
      </w:r>
      <w:r w:rsidR="001B2141" w:rsidRPr="00966346">
        <w:rPr>
          <w:rFonts w:ascii="Arial" w:eastAsia="Times New Roman" w:hAnsi="Arial" w:cs="Arial"/>
          <w:sz w:val="24"/>
          <w:szCs w:val="24"/>
          <w:lang w:val="en-GB" w:eastAsia="it-IT"/>
        </w:rPr>
        <w:t xml:space="preserve"> </w:t>
      </w:r>
      <w:r w:rsidRPr="00966346">
        <w:rPr>
          <w:rFonts w:ascii="Arial" w:eastAsia="Times New Roman" w:hAnsi="Arial" w:cs="Arial"/>
          <w:sz w:val="24"/>
          <w:szCs w:val="24"/>
          <w:lang w:val="en-GB" w:eastAsia="it-IT"/>
        </w:rPr>
        <w:t xml:space="preserve">alone or with </w:t>
      </w:r>
      <w:r w:rsidR="00FF3901" w:rsidRPr="00966346">
        <w:rPr>
          <w:rFonts w:ascii="Arial" w:eastAsia="Times New Roman" w:hAnsi="Arial" w:cs="Arial"/>
          <w:sz w:val="24"/>
          <w:szCs w:val="24"/>
          <w:lang w:val="en-GB" w:eastAsia="it-IT"/>
        </w:rPr>
        <w:t>chemo-radiotherapy</w:t>
      </w:r>
      <w:r w:rsidRPr="00966346">
        <w:rPr>
          <w:rFonts w:ascii="Arial" w:eastAsia="Times New Roman" w:hAnsi="Arial" w:cs="Arial"/>
          <w:sz w:val="24"/>
          <w:szCs w:val="24"/>
          <w:lang w:val="en-GB" w:eastAsia="it-IT"/>
        </w:rPr>
        <w:t xml:space="preserve"> and evaluated with</w:t>
      </w:r>
      <w:r w:rsidR="00A1144B" w:rsidRPr="00966346">
        <w:rPr>
          <w:rFonts w:ascii="Arial" w:eastAsia="Times New Roman" w:hAnsi="Arial" w:cs="Arial"/>
          <w:sz w:val="24"/>
          <w:szCs w:val="24"/>
          <w:lang w:val="en-GB" w:eastAsia="it-IT"/>
        </w:rPr>
        <w:t xml:space="preserve"> </w:t>
      </w:r>
      <w:r w:rsidR="00931B37" w:rsidRPr="00966346">
        <w:rPr>
          <w:rFonts w:ascii="Arial" w:eastAsia="Times New Roman" w:hAnsi="Arial" w:cs="Arial"/>
          <w:sz w:val="24"/>
          <w:szCs w:val="24"/>
          <w:lang w:val="en-GB" w:eastAsia="it-IT"/>
        </w:rPr>
        <w:t xml:space="preserve">a similar panel of </w:t>
      </w:r>
      <w:r w:rsidR="00A1144B" w:rsidRPr="00966346">
        <w:rPr>
          <w:rFonts w:ascii="Arial" w:eastAsia="Times New Roman" w:hAnsi="Arial" w:cs="Arial"/>
          <w:sz w:val="24"/>
          <w:szCs w:val="24"/>
          <w:lang w:val="en-GB" w:eastAsia="it-IT"/>
        </w:rPr>
        <w:t xml:space="preserve">neuropsychological tests </w:t>
      </w:r>
      <w:r w:rsidRPr="00966346">
        <w:rPr>
          <w:rFonts w:ascii="Arial" w:eastAsia="Times New Roman" w:hAnsi="Arial" w:cs="Arial"/>
          <w:sz w:val="24"/>
          <w:szCs w:val="24"/>
          <w:lang w:val="en-GB" w:eastAsia="it-IT"/>
        </w:rPr>
        <w:t>showed</w:t>
      </w:r>
      <w:r w:rsidR="00A1144B" w:rsidRPr="00966346">
        <w:rPr>
          <w:rFonts w:ascii="Arial" w:eastAsia="Times New Roman" w:hAnsi="Arial" w:cs="Arial"/>
          <w:sz w:val="24"/>
          <w:szCs w:val="24"/>
          <w:lang w:val="en-GB" w:eastAsia="it-IT"/>
        </w:rPr>
        <w:t xml:space="preserve"> significantly worse scores in </w:t>
      </w:r>
      <w:r w:rsidR="00D70FB7" w:rsidRPr="00966346">
        <w:rPr>
          <w:rFonts w:ascii="Arial" w:eastAsia="Times New Roman" w:hAnsi="Arial" w:cs="Arial"/>
          <w:sz w:val="24"/>
          <w:szCs w:val="24"/>
          <w:lang w:eastAsia="it-IT"/>
        </w:rPr>
        <w:t>most cognitive tests, including selective attention, motor speed, set-shifting, verbal learning, delayed recall, and recognition memory</w:t>
      </w:r>
      <w:r w:rsidR="00D70FB7" w:rsidRPr="00966346">
        <w:rPr>
          <w:rFonts w:ascii="Arial" w:eastAsia="Times New Roman" w:hAnsi="Arial" w:cs="Arial"/>
          <w:sz w:val="24"/>
          <w:szCs w:val="24"/>
          <w:lang w:val="en-GB" w:eastAsia="it-IT"/>
        </w:rPr>
        <w:t xml:space="preserve">, </w:t>
      </w:r>
      <w:r w:rsidR="00A1144B" w:rsidRPr="00966346">
        <w:rPr>
          <w:rFonts w:ascii="Arial" w:eastAsia="Times New Roman" w:hAnsi="Arial" w:cs="Arial"/>
          <w:sz w:val="24"/>
          <w:szCs w:val="24"/>
          <w:lang w:val="en-GB" w:eastAsia="it-IT"/>
        </w:rPr>
        <w:t xml:space="preserve">in </w:t>
      </w:r>
      <w:r w:rsidR="00D70FB7" w:rsidRPr="00966346">
        <w:rPr>
          <w:rFonts w:ascii="Arial" w:eastAsia="Times New Roman" w:hAnsi="Arial" w:cs="Arial"/>
          <w:sz w:val="24"/>
          <w:szCs w:val="24"/>
          <w:lang w:val="en-GB" w:eastAsia="it-IT"/>
        </w:rPr>
        <w:t>irradiated</w:t>
      </w:r>
      <w:r w:rsidR="00A07EC9" w:rsidRPr="00966346">
        <w:rPr>
          <w:rFonts w:ascii="Arial" w:eastAsia="Times New Roman" w:hAnsi="Arial" w:cs="Arial"/>
          <w:sz w:val="24"/>
          <w:szCs w:val="24"/>
          <w:lang w:val="en-GB" w:eastAsia="it-IT"/>
        </w:rPr>
        <w:t xml:space="preserve"> </w:t>
      </w:r>
      <w:r w:rsidR="00A1144B" w:rsidRPr="00966346">
        <w:rPr>
          <w:rFonts w:ascii="Arial" w:eastAsia="Times New Roman" w:hAnsi="Arial" w:cs="Arial"/>
          <w:sz w:val="24"/>
          <w:szCs w:val="24"/>
          <w:lang w:val="en-GB" w:eastAsia="it-IT"/>
        </w:rPr>
        <w:t>patients</w:t>
      </w:r>
      <w:r w:rsidRPr="00966346">
        <w:rPr>
          <w:rFonts w:ascii="Arial" w:eastAsia="Times New Roman" w:hAnsi="Arial" w:cs="Arial"/>
          <w:sz w:val="24"/>
          <w:szCs w:val="24"/>
          <w:lang w:eastAsia="it-IT"/>
        </w:rPr>
        <w:t xml:space="preserve">, which were associated with a negative </w:t>
      </w:r>
      <w:r w:rsidR="006921B9" w:rsidRPr="00966346">
        <w:rPr>
          <w:rFonts w:ascii="Arial" w:eastAsia="Times New Roman" w:hAnsi="Arial" w:cs="Arial"/>
          <w:sz w:val="24"/>
          <w:szCs w:val="24"/>
          <w:lang w:eastAsia="it-IT"/>
        </w:rPr>
        <w:t>impact</w:t>
      </w:r>
      <w:r w:rsidRPr="00966346">
        <w:rPr>
          <w:rFonts w:ascii="Arial" w:eastAsia="Times New Roman" w:hAnsi="Arial" w:cs="Arial"/>
          <w:sz w:val="24"/>
          <w:szCs w:val="24"/>
          <w:lang w:eastAsia="it-IT"/>
        </w:rPr>
        <w:t xml:space="preserve"> on QoL</w:t>
      </w:r>
      <w:r w:rsidR="009879DD" w:rsidRPr="009879DD">
        <w:rPr>
          <w:rFonts w:ascii="Arial" w:eastAsia="Times New Roman" w:hAnsi="Arial" w:cs="Arial"/>
          <w:sz w:val="24"/>
          <w:szCs w:val="24"/>
          <w:vertAlign w:val="superscript"/>
          <w:lang w:eastAsia="it-IT"/>
        </w:rPr>
        <w:t>10</w:t>
      </w:r>
      <w:r w:rsidR="00931B37" w:rsidRPr="00966346">
        <w:rPr>
          <w:rFonts w:ascii="Arial" w:eastAsia="Times New Roman" w:hAnsi="Arial" w:cs="Arial"/>
          <w:sz w:val="24"/>
          <w:szCs w:val="24"/>
          <w:lang w:eastAsia="it-IT"/>
        </w:rPr>
        <w:t xml:space="preserve">. </w:t>
      </w:r>
      <w:r w:rsidR="00A62D66" w:rsidRPr="00966346">
        <w:rPr>
          <w:rFonts w:ascii="Arial" w:eastAsia="Times New Roman" w:hAnsi="Arial" w:cs="Arial"/>
          <w:sz w:val="24"/>
          <w:szCs w:val="24"/>
          <w:lang w:eastAsia="it-IT"/>
        </w:rPr>
        <w:t xml:space="preserve">In another retrospective study on PCNSL survivors treated with four different strategies, one </w:t>
      </w:r>
      <w:r w:rsidR="007923F0" w:rsidRPr="00966346">
        <w:rPr>
          <w:rFonts w:ascii="Arial" w:eastAsia="Times New Roman" w:hAnsi="Arial" w:cs="Arial"/>
          <w:sz w:val="24"/>
          <w:szCs w:val="24"/>
          <w:lang w:eastAsia="it-IT"/>
        </w:rPr>
        <w:t>incorporating</w:t>
      </w:r>
      <w:r w:rsidR="00A62D66" w:rsidRPr="00966346">
        <w:rPr>
          <w:rFonts w:ascii="Arial" w:eastAsia="Times New Roman" w:hAnsi="Arial" w:cs="Arial"/>
          <w:sz w:val="24"/>
          <w:szCs w:val="24"/>
          <w:lang w:eastAsia="it-IT"/>
        </w:rPr>
        <w:t xml:space="preserve"> WBRT and three without WBRT, mean scores in attention/executive function and motor skills were lower in irradiated patients and were associated with poorer Q</w:t>
      </w:r>
      <w:r w:rsidR="005C037C" w:rsidRPr="00966346">
        <w:rPr>
          <w:rFonts w:ascii="Arial" w:eastAsia="Times New Roman" w:hAnsi="Arial" w:cs="Arial"/>
          <w:sz w:val="24"/>
          <w:szCs w:val="24"/>
          <w:lang w:eastAsia="it-IT"/>
        </w:rPr>
        <w:t>o</w:t>
      </w:r>
      <w:r w:rsidR="00A62D66" w:rsidRPr="00966346">
        <w:rPr>
          <w:rFonts w:ascii="Arial" w:eastAsia="Times New Roman" w:hAnsi="Arial" w:cs="Arial"/>
          <w:sz w:val="24"/>
          <w:szCs w:val="24"/>
          <w:lang w:eastAsia="it-IT"/>
        </w:rPr>
        <w:t>L outcomes</w:t>
      </w:r>
      <w:r w:rsidR="009879DD" w:rsidRPr="009879DD">
        <w:rPr>
          <w:rFonts w:ascii="Arial" w:eastAsia="Times New Roman" w:hAnsi="Arial" w:cs="Arial"/>
          <w:sz w:val="24"/>
          <w:szCs w:val="24"/>
          <w:vertAlign w:val="superscript"/>
          <w:lang w:eastAsia="it-IT"/>
        </w:rPr>
        <w:t>33</w:t>
      </w:r>
      <w:r w:rsidR="00A62D66" w:rsidRPr="00966346">
        <w:rPr>
          <w:rFonts w:ascii="Arial" w:eastAsia="Times New Roman" w:hAnsi="Arial" w:cs="Arial"/>
          <w:sz w:val="24"/>
          <w:szCs w:val="24"/>
          <w:lang w:eastAsia="it-IT"/>
        </w:rPr>
        <w:t xml:space="preserve">. </w:t>
      </w:r>
      <w:r w:rsidR="00E057B2" w:rsidRPr="00966346">
        <w:rPr>
          <w:rFonts w:ascii="Arial" w:eastAsia="Times New Roman" w:hAnsi="Arial" w:cs="Arial"/>
          <w:sz w:val="24"/>
          <w:szCs w:val="24"/>
          <w:lang w:eastAsia="it-IT"/>
        </w:rPr>
        <w:t>I</w:t>
      </w:r>
      <w:r w:rsidRPr="00966346">
        <w:rPr>
          <w:rFonts w:ascii="Arial" w:eastAsia="Times New Roman" w:hAnsi="Arial" w:cs="Arial"/>
          <w:sz w:val="24"/>
          <w:szCs w:val="24"/>
          <w:lang w:eastAsia="it-IT"/>
        </w:rPr>
        <w:t xml:space="preserve">n the </w:t>
      </w:r>
      <w:r w:rsidR="00946C53" w:rsidRPr="00966346">
        <w:rPr>
          <w:rFonts w:ascii="Arial" w:eastAsia="Times New Roman" w:hAnsi="Arial" w:cs="Arial"/>
          <w:sz w:val="24"/>
          <w:szCs w:val="24"/>
          <w:lang w:eastAsia="it-IT"/>
        </w:rPr>
        <w:t>IELSG32</w:t>
      </w:r>
      <w:r w:rsidRPr="00966346">
        <w:rPr>
          <w:rFonts w:ascii="Arial" w:eastAsia="Times New Roman" w:hAnsi="Arial" w:cs="Arial"/>
          <w:sz w:val="24"/>
          <w:szCs w:val="24"/>
          <w:lang w:eastAsia="it-IT"/>
        </w:rPr>
        <w:t xml:space="preserve"> trial, </w:t>
      </w:r>
      <w:r w:rsidR="00931B37" w:rsidRPr="00966346">
        <w:rPr>
          <w:rFonts w:ascii="Arial" w:eastAsia="Times New Roman" w:hAnsi="Arial" w:cs="Arial"/>
          <w:sz w:val="24"/>
          <w:szCs w:val="24"/>
          <w:lang w:eastAsia="it-IT"/>
        </w:rPr>
        <w:t>severity</w:t>
      </w:r>
      <w:r w:rsidR="00BD7210" w:rsidRPr="00966346">
        <w:rPr>
          <w:rFonts w:ascii="Arial" w:eastAsia="Times New Roman" w:hAnsi="Arial" w:cs="Arial"/>
          <w:sz w:val="24"/>
          <w:szCs w:val="24"/>
          <w:lang w:eastAsia="it-IT"/>
        </w:rPr>
        <w:t xml:space="preserve"> of </w:t>
      </w:r>
      <w:r w:rsidR="00AD30E5" w:rsidRPr="00966346">
        <w:rPr>
          <w:rFonts w:ascii="Arial" w:eastAsia="Times New Roman" w:hAnsi="Arial" w:cs="Arial"/>
          <w:sz w:val="24"/>
          <w:szCs w:val="24"/>
          <w:lang w:eastAsia="it-IT"/>
        </w:rPr>
        <w:t>cognitive</w:t>
      </w:r>
      <w:r w:rsidR="00BD7210" w:rsidRPr="00966346">
        <w:rPr>
          <w:rFonts w:ascii="Arial" w:eastAsia="Times New Roman" w:hAnsi="Arial" w:cs="Arial"/>
          <w:sz w:val="24"/>
          <w:szCs w:val="24"/>
          <w:lang w:eastAsia="it-IT"/>
        </w:rPr>
        <w:t xml:space="preserve"> decline </w:t>
      </w:r>
      <w:r w:rsidRPr="00966346">
        <w:rPr>
          <w:rFonts w:ascii="Arial" w:eastAsia="Times New Roman" w:hAnsi="Arial" w:cs="Arial"/>
          <w:sz w:val="24"/>
          <w:szCs w:val="24"/>
          <w:lang w:eastAsia="it-IT"/>
        </w:rPr>
        <w:t xml:space="preserve">after WBRT </w:t>
      </w:r>
      <w:r w:rsidR="0074674E" w:rsidRPr="00966346">
        <w:rPr>
          <w:rFonts w:ascii="Arial" w:eastAsia="Times New Roman" w:hAnsi="Arial" w:cs="Arial"/>
          <w:sz w:val="24"/>
          <w:szCs w:val="24"/>
          <w:lang w:eastAsia="it-IT"/>
        </w:rPr>
        <w:t>seems to be</w:t>
      </w:r>
      <w:r w:rsidR="00BD7210" w:rsidRPr="00966346">
        <w:rPr>
          <w:rFonts w:ascii="Arial" w:eastAsia="Times New Roman" w:hAnsi="Arial" w:cs="Arial"/>
          <w:sz w:val="24"/>
          <w:szCs w:val="24"/>
          <w:lang w:eastAsia="it-IT"/>
        </w:rPr>
        <w:t xml:space="preserve"> lower</w:t>
      </w:r>
      <w:r w:rsidR="0074674E" w:rsidRPr="00966346">
        <w:rPr>
          <w:rFonts w:ascii="Arial" w:eastAsia="Times New Roman" w:hAnsi="Arial" w:cs="Arial"/>
          <w:sz w:val="24"/>
          <w:szCs w:val="24"/>
          <w:lang w:eastAsia="it-IT"/>
        </w:rPr>
        <w:t xml:space="preserve"> than previously reported</w:t>
      </w:r>
      <w:r w:rsidR="009879DD" w:rsidRPr="009879DD">
        <w:rPr>
          <w:rFonts w:ascii="Arial" w:eastAsia="Times New Roman" w:hAnsi="Arial" w:cs="Arial"/>
          <w:sz w:val="24"/>
          <w:szCs w:val="24"/>
          <w:vertAlign w:val="superscript"/>
          <w:lang w:eastAsia="it-IT"/>
        </w:rPr>
        <w:t>10,33</w:t>
      </w:r>
      <w:r w:rsidR="005C59FC" w:rsidRPr="00966346">
        <w:rPr>
          <w:rFonts w:ascii="Arial" w:eastAsia="Times New Roman" w:hAnsi="Arial" w:cs="Arial"/>
          <w:sz w:val="24"/>
          <w:szCs w:val="24"/>
          <w:lang w:eastAsia="it-IT"/>
        </w:rPr>
        <w:t>, which</w:t>
      </w:r>
      <w:r w:rsidR="009143CB" w:rsidRPr="00966346">
        <w:rPr>
          <w:rFonts w:ascii="Arial" w:eastAsia="Times New Roman" w:hAnsi="Arial" w:cs="Arial"/>
          <w:sz w:val="24"/>
          <w:szCs w:val="24"/>
          <w:lang w:eastAsia="it-IT"/>
        </w:rPr>
        <w:t xml:space="preserve"> </w:t>
      </w:r>
      <w:r w:rsidRPr="00966346">
        <w:rPr>
          <w:rFonts w:ascii="Arial" w:eastAsia="Times New Roman" w:hAnsi="Arial" w:cs="Arial"/>
          <w:sz w:val="24"/>
          <w:szCs w:val="24"/>
          <w:lang w:eastAsia="it-IT"/>
        </w:rPr>
        <w:t xml:space="preserve">may be explained in different ways. </w:t>
      </w:r>
      <w:r w:rsidR="005514B6" w:rsidRPr="00966346">
        <w:rPr>
          <w:rFonts w:ascii="Arial" w:eastAsia="Times New Roman" w:hAnsi="Arial" w:cs="Arial"/>
          <w:sz w:val="24"/>
          <w:szCs w:val="24"/>
          <w:lang w:eastAsia="it-IT"/>
        </w:rPr>
        <w:t>First, i</w:t>
      </w:r>
      <w:r w:rsidR="00A07EC9" w:rsidRPr="00966346">
        <w:rPr>
          <w:rFonts w:ascii="Arial" w:eastAsia="Times New Roman" w:hAnsi="Arial" w:cs="Arial"/>
          <w:sz w:val="24"/>
          <w:szCs w:val="24"/>
          <w:lang w:eastAsia="it-IT"/>
        </w:rPr>
        <w:t>n prior stud</w:t>
      </w:r>
      <w:r w:rsidR="00A62D66" w:rsidRPr="00966346">
        <w:rPr>
          <w:rFonts w:ascii="Arial" w:eastAsia="Times New Roman" w:hAnsi="Arial" w:cs="Arial"/>
          <w:sz w:val="24"/>
          <w:szCs w:val="24"/>
          <w:lang w:eastAsia="it-IT"/>
        </w:rPr>
        <w:t>ies</w:t>
      </w:r>
      <w:r w:rsidR="009879DD" w:rsidRPr="009879DD">
        <w:rPr>
          <w:rFonts w:ascii="Arial" w:eastAsia="Times New Roman" w:hAnsi="Arial" w:cs="Arial"/>
          <w:sz w:val="24"/>
          <w:szCs w:val="24"/>
          <w:vertAlign w:val="superscript"/>
          <w:lang w:eastAsia="it-IT"/>
        </w:rPr>
        <w:t>10,33</w:t>
      </w:r>
      <w:r w:rsidRPr="00966346">
        <w:rPr>
          <w:rFonts w:ascii="Arial" w:eastAsia="Times New Roman" w:hAnsi="Arial" w:cs="Arial"/>
          <w:sz w:val="24"/>
          <w:szCs w:val="24"/>
          <w:lang w:eastAsia="it-IT"/>
        </w:rPr>
        <w:t>, patients were not randomly assigned to treatment type, and a cross-sectional design was used, where pretreatment baseline evaluation was lacking</w:t>
      </w:r>
      <w:r w:rsidR="00A62D66" w:rsidRPr="00966346">
        <w:rPr>
          <w:rFonts w:ascii="Arial" w:eastAsia="Times New Roman" w:hAnsi="Arial" w:cs="Arial"/>
          <w:sz w:val="24"/>
          <w:szCs w:val="24"/>
          <w:lang w:eastAsia="it-IT"/>
        </w:rPr>
        <w:t>; moreover, one of the studies considered only 8 irradiated patients</w:t>
      </w:r>
      <w:r w:rsidR="009879DD" w:rsidRPr="009879DD">
        <w:rPr>
          <w:rFonts w:ascii="Arial" w:eastAsia="Times New Roman" w:hAnsi="Arial" w:cs="Arial"/>
          <w:sz w:val="24"/>
          <w:szCs w:val="24"/>
          <w:vertAlign w:val="superscript"/>
          <w:lang w:eastAsia="it-IT"/>
        </w:rPr>
        <w:t>33</w:t>
      </w:r>
      <w:r w:rsidRPr="00966346">
        <w:rPr>
          <w:rFonts w:ascii="Arial" w:eastAsia="Times New Roman" w:hAnsi="Arial" w:cs="Arial"/>
          <w:sz w:val="24"/>
          <w:szCs w:val="24"/>
          <w:lang w:eastAsia="it-IT"/>
        </w:rPr>
        <w:t xml:space="preserve">. These limitations did not allow </w:t>
      </w:r>
      <w:r w:rsidR="00FF3901" w:rsidRPr="00966346">
        <w:rPr>
          <w:rFonts w:ascii="Arial" w:eastAsia="Times New Roman" w:hAnsi="Arial" w:cs="Arial"/>
          <w:sz w:val="24"/>
          <w:szCs w:val="24"/>
          <w:lang w:eastAsia="it-IT"/>
        </w:rPr>
        <w:t xml:space="preserve">authors </w:t>
      </w:r>
      <w:r w:rsidRPr="00966346">
        <w:rPr>
          <w:rFonts w:ascii="Arial" w:eastAsia="Times New Roman" w:hAnsi="Arial" w:cs="Arial"/>
          <w:sz w:val="24"/>
          <w:szCs w:val="24"/>
          <w:lang w:eastAsia="it-IT"/>
        </w:rPr>
        <w:t xml:space="preserve">to investigate the specific contribution of disease and treatment </w:t>
      </w:r>
      <w:r w:rsidR="0074674E" w:rsidRPr="00966346">
        <w:rPr>
          <w:rFonts w:ascii="Arial" w:eastAsia="Times New Roman" w:hAnsi="Arial" w:cs="Arial"/>
          <w:sz w:val="24"/>
          <w:szCs w:val="24"/>
          <w:lang w:eastAsia="it-IT"/>
        </w:rPr>
        <w:t>side</w:t>
      </w:r>
      <w:r w:rsidRPr="00966346">
        <w:rPr>
          <w:rFonts w:ascii="Arial" w:eastAsia="Times New Roman" w:hAnsi="Arial" w:cs="Arial"/>
          <w:sz w:val="24"/>
          <w:szCs w:val="24"/>
          <w:lang w:eastAsia="it-IT"/>
        </w:rPr>
        <w:t xml:space="preserve"> effects to cognitive outcome. </w:t>
      </w:r>
      <w:r w:rsidR="005514B6" w:rsidRPr="00966346">
        <w:rPr>
          <w:rFonts w:ascii="Arial" w:eastAsia="Times New Roman" w:hAnsi="Arial" w:cs="Arial"/>
          <w:sz w:val="24"/>
          <w:szCs w:val="24"/>
          <w:lang w:eastAsia="it-IT"/>
        </w:rPr>
        <w:t>Second,</w:t>
      </w:r>
      <w:r w:rsidR="00857C42" w:rsidRPr="00966346">
        <w:rPr>
          <w:rFonts w:ascii="Arial" w:eastAsia="Times New Roman" w:hAnsi="Arial" w:cs="Arial"/>
          <w:sz w:val="24"/>
          <w:szCs w:val="24"/>
          <w:lang w:eastAsia="it-IT"/>
        </w:rPr>
        <w:t xml:space="preserve"> the</w:t>
      </w:r>
      <w:r w:rsidR="00117502" w:rsidRPr="00966346">
        <w:rPr>
          <w:rFonts w:ascii="Arial" w:eastAsia="Times New Roman" w:hAnsi="Arial" w:cs="Arial"/>
          <w:sz w:val="24"/>
          <w:szCs w:val="24"/>
          <w:lang w:eastAsia="it-IT"/>
        </w:rPr>
        <w:t xml:space="preserve"> median follow-up </w:t>
      </w:r>
      <w:r w:rsidR="005514B6" w:rsidRPr="00966346">
        <w:rPr>
          <w:rFonts w:ascii="Arial" w:eastAsia="Times New Roman" w:hAnsi="Arial" w:cs="Arial"/>
          <w:sz w:val="24"/>
          <w:szCs w:val="24"/>
          <w:lang w:eastAsia="it-IT"/>
        </w:rPr>
        <w:t>of</w:t>
      </w:r>
      <w:r w:rsidR="00117502" w:rsidRPr="00966346">
        <w:rPr>
          <w:rFonts w:ascii="Arial" w:eastAsia="Times New Roman" w:hAnsi="Arial" w:cs="Arial"/>
          <w:sz w:val="24"/>
          <w:szCs w:val="24"/>
          <w:lang w:eastAsia="it-IT"/>
        </w:rPr>
        <w:t xml:space="preserve"> irradiated patients was longer in </w:t>
      </w:r>
      <w:r w:rsidR="005514B6" w:rsidRPr="00966346">
        <w:rPr>
          <w:rFonts w:ascii="Arial" w:eastAsia="Times New Roman" w:hAnsi="Arial" w:cs="Arial"/>
          <w:sz w:val="24"/>
          <w:szCs w:val="24"/>
          <w:lang w:eastAsia="it-IT"/>
        </w:rPr>
        <w:t xml:space="preserve">prior </w:t>
      </w:r>
      <w:r w:rsidR="00117502" w:rsidRPr="00966346">
        <w:rPr>
          <w:rFonts w:ascii="Arial" w:eastAsia="Times New Roman" w:hAnsi="Arial" w:cs="Arial"/>
          <w:sz w:val="24"/>
          <w:szCs w:val="24"/>
          <w:lang w:eastAsia="it-IT"/>
        </w:rPr>
        <w:t>stud</w:t>
      </w:r>
      <w:r w:rsidR="005514B6" w:rsidRPr="00966346">
        <w:rPr>
          <w:rFonts w:ascii="Arial" w:eastAsia="Times New Roman" w:hAnsi="Arial" w:cs="Arial"/>
          <w:sz w:val="24"/>
          <w:szCs w:val="24"/>
          <w:lang w:eastAsia="it-IT"/>
        </w:rPr>
        <w:t>ies</w:t>
      </w:r>
      <w:r w:rsidR="00117502" w:rsidRPr="00966346">
        <w:rPr>
          <w:rFonts w:ascii="Arial" w:eastAsia="Times New Roman" w:hAnsi="Arial" w:cs="Arial"/>
          <w:sz w:val="24"/>
          <w:szCs w:val="24"/>
          <w:lang w:eastAsia="it-IT"/>
        </w:rPr>
        <w:t xml:space="preserve"> than in the IELSG32 trial (71 vs. 40 months)</w:t>
      </w:r>
      <w:r w:rsidR="005514B6" w:rsidRPr="00966346">
        <w:rPr>
          <w:rFonts w:ascii="Arial" w:eastAsia="Times New Roman" w:hAnsi="Arial" w:cs="Arial"/>
          <w:sz w:val="24"/>
          <w:szCs w:val="24"/>
          <w:lang w:eastAsia="it-IT"/>
        </w:rPr>
        <w:t xml:space="preserve">, with </w:t>
      </w:r>
      <w:r w:rsidR="000879C6" w:rsidRPr="00966346">
        <w:rPr>
          <w:rFonts w:ascii="Arial" w:eastAsia="Times New Roman" w:hAnsi="Arial" w:cs="Arial"/>
          <w:sz w:val="24"/>
          <w:szCs w:val="24"/>
          <w:lang w:eastAsia="it-IT"/>
        </w:rPr>
        <w:t>a</w:t>
      </w:r>
      <w:r w:rsidR="005514B6" w:rsidRPr="00966346">
        <w:rPr>
          <w:rFonts w:ascii="Arial" w:eastAsia="Times New Roman" w:hAnsi="Arial" w:cs="Arial"/>
          <w:sz w:val="24"/>
          <w:szCs w:val="24"/>
          <w:lang w:eastAsia="it-IT"/>
        </w:rPr>
        <w:t xml:space="preserve"> potential contribution of more delayed effects on cognitive impairment</w:t>
      </w:r>
      <w:r w:rsidR="00117502" w:rsidRPr="00966346">
        <w:rPr>
          <w:rFonts w:ascii="Arial" w:eastAsia="Times New Roman" w:hAnsi="Arial" w:cs="Arial"/>
          <w:sz w:val="24"/>
          <w:szCs w:val="24"/>
          <w:lang w:eastAsia="it-IT"/>
        </w:rPr>
        <w:t xml:space="preserve">. </w:t>
      </w:r>
      <w:r w:rsidR="005514B6" w:rsidRPr="00966346">
        <w:rPr>
          <w:rFonts w:ascii="Arial" w:eastAsia="Times New Roman" w:hAnsi="Arial" w:cs="Arial"/>
          <w:sz w:val="24"/>
          <w:szCs w:val="24"/>
          <w:lang w:eastAsia="it-IT"/>
        </w:rPr>
        <w:t>Third, and more i</w:t>
      </w:r>
      <w:r w:rsidR="00D70FB7" w:rsidRPr="00966346">
        <w:rPr>
          <w:rFonts w:ascii="Arial" w:eastAsia="Times New Roman" w:hAnsi="Arial" w:cs="Arial"/>
          <w:sz w:val="24"/>
          <w:szCs w:val="24"/>
          <w:lang w:eastAsia="it-IT"/>
        </w:rPr>
        <w:t>mportant</w:t>
      </w:r>
      <w:r w:rsidRPr="00966346">
        <w:rPr>
          <w:rFonts w:ascii="Arial" w:eastAsia="Times New Roman" w:hAnsi="Arial" w:cs="Arial"/>
          <w:sz w:val="24"/>
          <w:szCs w:val="24"/>
          <w:lang w:eastAsia="it-IT"/>
        </w:rPr>
        <w:t xml:space="preserve">, </w:t>
      </w:r>
      <w:r w:rsidR="009143CB" w:rsidRPr="00966346">
        <w:rPr>
          <w:rFonts w:ascii="Arial" w:eastAsia="Times New Roman" w:hAnsi="Arial" w:cs="Arial"/>
          <w:sz w:val="24"/>
          <w:szCs w:val="24"/>
          <w:lang w:eastAsia="it-IT"/>
        </w:rPr>
        <w:t>radiation</w:t>
      </w:r>
      <w:r w:rsidRPr="00966346">
        <w:rPr>
          <w:rFonts w:ascii="Arial" w:eastAsia="Times New Roman" w:hAnsi="Arial" w:cs="Arial"/>
          <w:sz w:val="24"/>
          <w:szCs w:val="24"/>
          <w:lang w:eastAsia="it-IT"/>
        </w:rPr>
        <w:t xml:space="preserve"> doses were different in </w:t>
      </w:r>
      <w:r w:rsidR="00A62D66" w:rsidRPr="00966346">
        <w:rPr>
          <w:rFonts w:ascii="Arial" w:eastAsia="Times New Roman" w:hAnsi="Arial" w:cs="Arial"/>
          <w:sz w:val="24"/>
          <w:szCs w:val="24"/>
          <w:lang w:eastAsia="it-IT"/>
        </w:rPr>
        <w:t>these</w:t>
      </w:r>
      <w:r w:rsidRPr="00966346">
        <w:rPr>
          <w:rFonts w:ascii="Arial" w:eastAsia="Times New Roman" w:hAnsi="Arial" w:cs="Arial"/>
          <w:sz w:val="24"/>
          <w:szCs w:val="24"/>
          <w:lang w:eastAsia="it-IT"/>
        </w:rPr>
        <w:t xml:space="preserve"> studies</w:t>
      </w:r>
      <w:r w:rsidR="009143CB" w:rsidRPr="00966346">
        <w:rPr>
          <w:rFonts w:ascii="Arial" w:eastAsia="Times New Roman" w:hAnsi="Arial" w:cs="Arial"/>
          <w:sz w:val="24"/>
          <w:szCs w:val="24"/>
          <w:lang w:eastAsia="it-IT"/>
        </w:rPr>
        <w:t>; i</w:t>
      </w:r>
      <w:r w:rsidR="00BD7210" w:rsidRPr="00966346">
        <w:rPr>
          <w:rFonts w:ascii="Arial" w:eastAsia="Times New Roman" w:hAnsi="Arial" w:cs="Arial"/>
          <w:sz w:val="24"/>
          <w:szCs w:val="24"/>
          <w:lang w:eastAsia="it-IT"/>
        </w:rPr>
        <w:t xml:space="preserve">n the </w:t>
      </w:r>
      <w:r w:rsidR="005C037C" w:rsidRPr="00966346">
        <w:rPr>
          <w:rFonts w:ascii="Arial" w:eastAsia="Times New Roman" w:hAnsi="Arial" w:cs="Arial"/>
          <w:sz w:val="24"/>
          <w:szCs w:val="24"/>
          <w:lang w:eastAsia="it-IT"/>
        </w:rPr>
        <w:t>IELSG32</w:t>
      </w:r>
      <w:r w:rsidR="00BD7210" w:rsidRPr="00966346">
        <w:rPr>
          <w:rFonts w:ascii="Arial" w:eastAsia="Times New Roman" w:hAnsi="Arial" w:cs="Arial"/>
          <w:sz w:val="24"/>
          <w:szCs w:val="24"/>
          <w:lang w:eastAsia="it-IT"/>
        </w:rPr>
        <w:t xml:space="preserve"> trial</w:t>
      </w:r>
      <w:r w:rsidRPr="00966346">
        <w:rPr>
          <w:rFonts w:ascii="Arial" w:eastAsia="Times New Roman" w:hAnsi="Arial" w:cs="Arial"/>
          <w:sz w:val="24"/>
          <w:szCs w:val="24"/>
          <w:lang w:eastAsia="it-IT"/>
        </w:rPr>
        <w:t>,</w:t>
      </w:r>
      <w:r w:rsidR="00BD7210" w:rsidRPr="00966346">
        <w:rPr>
          <w:rFonts w:ascii="Arial" w:eastAsia="Times New Roman" w:hAnsi="Arial" w:cs="Arial"/>
          <w:sz w:val="24"/>
          <w:szCs w:val="24"/>
          <w:lang w:eastAsia="it-IT"/>
        </w:rPr>
        <w:t xml:space="preserve"> the WBRT dose was 36 </w:t>
      </w:r>
      <w:proofErr w:type="spellStart"/>
      <w:r w:rsidR="00BD7210" w:rsidRPr="00966346">
        <w:rPr>
          <w:rFonts w:ascii="Arial" w:eastAsia="Times New Roman" w:hAnsi="Arial" w:cs="Arial"/>
          <w:sz w:val="24"/>
          <w:szCs w:val="24"/>
          <w:lang w:eastAsia="it-IT"/>
        </w:rPr>
        <w:t>Gy</w:t>
      </w:r>
      <w:proofErr w:type="spellEnd"/>
      <w:r w:rsidR="00BD7210" w:rsidRPr="00966346">
        <w:rPr>
          <w:rFonts w:ascii="Arial" w:eastAsia="Times New Roman" w:hAnsi="Arial" w:cs="Arial"/>
          <w:sz w:val="24"/>
          <w:szCs w:val="24"/>
          <w:lang w:eastAsia="it-IT"/>
        </w:rPr>
        <w:t xml:space="preserve">, whereas </w:t>
      </w:r>
      <w:r w:rsidR="00A62D66" w:rsidRPr="00966346">
        <w:rPr>
          <w:rFonts w:ascii="Arial" w:eastAsia="Times New Roman" w:hAnsi="Arial" w:cs="Arial"/>
          <w:sz w:val="24"/>
          <w:szCs w:val="24"/>
          <w:lang w:eastAsia="it-IT"/>
        </w:rPr>
        <w:t xml:space="preserve">median delivered dose was 45 </w:t>
      </w:r>
      <w:proofErr w:type="spellStart"/>
      <w:r w:rsidR="00A62D66" w:rsidRPr="00966346">
        <w:rPr>
          <w:rFonts w:ascii="Arial" w:eastAsia="Times New Roman" w:hAnsi="Arial" w:cs="Arial"/>
          <w:sz w:val="24"/>
          <w:szCs w:val="24"/>
          <w:lang w:eastAsia="it-IT"/>
        </w:rPr>
        <w:t>Gy</w:t>
      </w:r>
      <w:proofErr w:type="spellEnd"/>
      <w:r w:rsidR="00A62D66" w:rsidRPr="00966346">
        <w:rPr>
          <w:rFonts w:ascii="Arial" w:eastAsia="Times New Roman" w:hAnsi="Arial" w:cs="Arial"/>
          <w:sz w:val="24"/>
          <w:szCs w:val="24"/>
          <w:lang w:eastAsia="it-IT"/>
        </w:rPr>
        <w:t xml:space="preserve"> </w:t>
      </w:r>
      <w:r w:rsidR="00BD7210" w:rsidRPr="00966346">
        <w:rPr>
          <w:rFonts w:ascii="Arial" w:eastAsia="Times New Roman" w:hAnsi="Arial" w:cs="Arial"/>
          <w:sz w:val="24"/>
          <w:szCs w:val="24"/>
          <w:lang w:eastAsia="it-IT"/>
        </w:rPr>
        <w:t>in</w:t>
      </w:r>
      <w:r w:rsidR="00A62D66" w:rsidRPr="00966346">
        <w:rPr>
          <w:rFonts w:ascii="Arial" w:eastAsia="Times New Roman" w:hAnsi="Arial" w:cs="Arial"/>
          <w:sz w:val="24"/>
          <w:szCs w:val="24"/>
          <w:lang w:eastAsia="it-IT"/>
        </w:rPr>
        <w:t xml:space="preserve"> one</w:t>
      </w:r>
      <w:r w:rsidR="00BD7210" w:rsidRPr="00966346">
        <w:rPr>
          <w:rFonts w:ascii="Arial" w:eastAsia="Times New Roman" w:hAnsi="Arial" w:cs="Arial"/>
          <w:sz w:val="24"/>
          <w:szCs w:val="24"/>
          <w:lang w:eastAsia="it-IT"/>
        </w:rPr>
        <w:t xml:space="preserve"> </w:t>
      </w:r>
      <w:r w:rsidR="00A62D66" w:rsidRPr="00966346">
        <w:rPr>
          <w:rFonts w:ascii="Arial" w:eastAsia="Times New Roman" w:hAnsi="Arial" w:cs="Arial"/>
          <w:sz w:val="24"/>
          <w:szCs w:val="24"/>
          <w:lang w:eastAsia="it-IT"/>
        </w:rPr>
        <w:t xml:space="preserve">of </w:t>
      </w:r>
      <w:r w:rsidR="00BD7210" w:rsidRPr="00966346">
        <w:rPr>
          <w:rFonts w:ascii="Arial" w:eastAsia="Times New Roman" w:hAnsi="Arial" w:cs="Arial"/>
          <w:sz w:val="24"/>
          <w:szCs w:val="24"/>
          <w:lang w:eastAsia="it-IT"/>
        </w:rPr>
        <w:t xml:space="preserve">the prior </w:t>
      </w:r>
      <w:r w:rsidR="00BD7210" w:rsidRPr="00966346">
        <w:rPr>
          <w:rFonts w:ascii="Arial" w:eastAsia="Times New Roman" w:hAnsi="Arial" w:cs="Arial"/>
          <w:sz w:val="24"/>
          <w:szCs w:val="24"/>
          <w:lang w:eastAsia="it-IT"/>
        </w:rPr>
        <w:lastRenderedPageBreak/>
        <w:t>stud</w:t>
      </w:r>
      <w:r w:rsidR="00A62D66" w:rsidRPr="00966346">
        <w:rPr>
          <w:rFonts w:ascii="Arial" w:eastAsia="Times New Roman" w:hAnsi="Arial" w:cs="Arial"/>
          <w:sz w:val="24"/>
          <w:szCs w:val="24"/>
          <w:lang w:eastAsia="it-IT"/>
        </w:rPr>
        <w:t>ies</w:t>
      </w:r>
      <w:r w:rsidR="009879DD" w:rsidRPr="009879DD">
        <w:rPr>
          <w:rFonts w:ascii="Arial" w:eastAsia="Times New Roman" w:hAnsi="Arial" w:cs="Arial"/>
          <w:sz w:val="24"/>
          <w:szCs w:val="24"/>
          <w:vertAlign w:val="superscript"/>
          <w:lang w:eastAsia="it-IT"/>
        </w:rPr>
        <w:t>33</w:t>
      </w:r>
      <w:r w:rsidR="00BD7210" w:rsidRPr="00966346">
        <w:rPr>
          <w:rFonts w:ascii="Arial" w:eastAsia="Times New Roman" w:hAnsi="Arial" w:cs="Arial"/>
          <w:sz w:val="24"/>
          <w:szCs w:val="24"/>
          <w:lang w:eastAsia="it-IT"/>
        </w:rPr>
        <w:t xml:space="preserve">, </w:t>
      </w:r>
      <w:r w:rsidR="00A62D66" w:rsidRPr="00966346">
        <w:rPr>
          <w:rFonts w:ascii="Arial" w:eastAsia="Times New Roman" w:hAnsi="Arial" w:cs="Arial"/>
          <w:sz w:val="24"/>
          <w:szCs w:val="24"/>
          <w:lang w:eastAsia="it-IT"/>
        </w:rPr>
        <w:t xml:space="preserve">and </w:t>
      </w:r>
      <w:r w:rsidRPr="00966346">
        <w:rPr>
          <w:rFonts w:ascii="Arial" w:eastAsia="Times New Roman" w:hAnsi="Arial" w:cs="Arial"/>
          <w:sz w:val="24"/>
          <w:szCs w:val="24"/>
          <w:lang w:eastAsia="it-IT"/>
        </w:rPr>
        <w:t>67% of patients receiv</w:t>
      </w:r>
      <w:r w:rsidR="00FB2D8D" w:rsidRPr="00966346">
        <w:rPr>
          <w:rFonts w:ascii="Arial" w:eastAsia="Times New Roman" w:hAnsi="Arial" w:cs="Arial"/>
          <w:sz w:val="24"/>
          <w:szCs w:val="24"/>
          <w:lang w:eastAsia="it-IT"/>
        </w:rPr>
        <w:t>ed</w:t>
      </w:r>
      <w:r w:rsidRPr="00966346">
        <w:rPr>
          <w:rFonts w:ascii="Arial" w:eastAsia="Times New Roman" w:hAnsi="Arial" w:cs="Arial"/>
          <w:sz w:val="24"/>
          <w:szCs w:val="24"/>
          <w:lang w:eastAsia="it-IT"/>
        </w:rPr>
        <w:t xml:space="preserve"> </w:t>
      </w:r>
      <w:r w:rsidR="0074674E" w:rsidRPr="00966346">
        <w:rPr>
          <w:rFonts w:ascii="Arial" w:eastAsia="Times New Roman" w:hAnsi="Arial" w:cs="Arial"/>
          <w:sz w:val="24"/>
          <w:szCs w:val="24"/>
          <w:lang w:eastAsia="it-IT"/>
        </w:rPr>
        <w:t>≥</w:t>
      </w:r>
      <w:r w:rsidRPr="00966346">
        <w:rPr>
          <w:rFonts w:ascii="Arial" w:eastAsia="Times New Roman" w:hAnsi="Arial" w:cs="Arial"/>
          <w:sz w:val="24"/>
          <w:szCs w:val="24"/>
          <w:lang w:eastAsia="it-IT"/>
        </w:rPr>
        <w:t xml:space="preserve">45 </w:t>
      </w:r>
      <w:proofErr w:type="spellStart"/>
      <w:r w:rsidR="00BD7210" w:rsidRPr="00966346">
        <w:rPr>
          <w:rFonts w:ascii="Arial" w:eastAsia="Times New Roman" w:hAnsi="Arial" w:cs="Arial"/>
          <w:sz w:val="24"/>
          <w:szCs w:val="24"/>
          <w:lang w:eastAsia="it-IT"/>
        </w:rPr>
        <w:t>Gy</w:t>
      </w:r>
      <w:proofErr w:type="spellEnd"/>
      <w:r w:rsidR="00A62D66" w:rsidRPr="00966346">
        <w:rPr>
          <w:rFonts w:ascii="Arial" w:eastAsia="Times New Roman" w:hAnsi="Arial" w:cs="Arial"/>
          <w:sz w:val="24"/>
          <w:szCs w:val="24"/>
          <w:lang w:eastAsia="it-IT"/>
        </w:rPr>
        <w:t xml:space="preserve"> in the other</w:t>
      </w:r>
      <w:r w:rsidR="009879DD" w:rsidRPr="009879DD">
        <w:rPr>
          <w:rFonts w:ascii="Arial" w:eastAsia="Times New Roman" w:hAnsi="Arial" w:cs="Arial"/>
          <w:sz w:val="24"/>
          <w:szCs w:val="24"/>
          <w:vertAlign w:val="superscript"/>
          <w:lang w:eastAsia="it-IT"/>
        </w:rPr>
        <w:t>10</w:t>
      </w:r>
      <w:r w:rsidR="00BD7210" w:rsidRPr="00966346">
        <w:rPr>
          <w:rFonts w:ascii="Arial" w:eastAsia="Times New Roman" w:hAnsi="Arial" w:cs="Arial"/>
          <w:sz w:val="24"/>
          <w:szCs w:val="24"/>
          <w:lang w:eastAsia="it-IT"/>
        </w:rPr>
        <w:t xml:space="preserve">. </w:t>
      </w:r>
      <w:r w:rsidR="00FC64F6" w:rsidRPr="00966346">
        <w:rPr>
          <w:rFonts w:ascii="Arial" w:eastAsia="Times New Roman" w:hAnsi="Arial" w:cs="Arial"/>
          <w:sz w:val="24"/>
          <w:szCs w:val="24"/>
          <w:lang w:eastAsia="it-IT"/>
        </w:rPr>
        <w:t>In contrast</w:t>
      </w:r>
      <w:r w:rsidR="005C037C" w:rsidRPr="00966346">
        <w:rPr>
          <w:rFonts w:ascii="Arial" w:eastAsia="Times New Roman" w:hAnsi="Arial" w:cs="Arial"/>
          <w:sz w:val="24"/>
          <w:szCs w:val="24"/>
          <w:lang w:eastAsia="it-IT"/>
        </w:rPr>
        <w:t xml:space="preserve"> </w:t>
      </w:r>
      <w:r w:rsidR="00FC64F6" w:rsidRPr="00966346">
        <w:rPr>
          <w:rFonts w:ascii="Arial" w:eastAsia="Times New Roman" w:hAnsi="Arial" w:cs="Arial"/>
          <w:sz w:val="24"/>
          <w:szCs w:val="24"/>
          <w:lang w:eastAsia="it-IT"/>
        </w:rPr>
        <w:t xml:space="preserve">to </w:t>
      </w:r>
      <w:r w:rsidR="005C037C" w:rsidRPr="00966346">
        <w:rPr>
          <w:rFonts w:ascii="Arial" w:eastAsia="Times New Roman" w:hAnsi="Arial" w:cs="Arial"/>
          <w:sz w:val="24"/>
          <w:szCs w:val="24"/>
          <w:lang w:eastAsia="it-IT"/>
        </w:rPr>
        <w:t>the latter study</w:t>
      </w:r>
      <w:r w:rsidR="009143CB" w:rsidRPr="00966346">
        <w:rPr>
          <w:rFonts w:ascii="Arial" w:eastAsia="Times New Roman" w:hAnsi="Arial" w:cs="Arial"/>
          <w:sz w:val="24"/>
          <w:szCs w:val="24"/>
          <w:lang w:eastAsia="it-IT"/>
        </w:rPr>
        <w:t xml:space="preserve">, </w:t>
      </w:r>
      <w:r w:rsidR="00FC64F6" w:rsidRPr="00966346">
        <w:rPr>
          <w:rFonts w:ascii="Arial" w:eastAsia="Times New Roman" w:hAnsi="Arial" w:cs="Arial"/>
          <w:sz w:val="24"/>
          <w:szCs w:val="24"/>
          <w:lang w:eastAsia="it-IT"/>
        </w:rPr>
        <w:t xml:space="preserve">the use of </w:t>
      </w:r>
      <w:r w:rsidR="009143CB" w:rsidRPr="00966346">
        <w:rPr>
          <w:rFonts w:ascii="Arial" w:eastAsia="Times New Roman" w:hAnsi="Arial" w:cs="Arial"/>
          <w:sz w:val="24"/>
          <w:szCs w:val="24"/>
          <w:lang w:eastAsia="it-IT"/>
        </w:rPr>
        <w:t xml:space="preserve">dose-reduced WBRT (23 </w:t>
      </w:r>
      <w:proofErr w:type="spellStart"/>
      <w:r w:rsidR="009143CB" w:rsidRPr="00966346">
        <w:rPr>
          <w:rFonts w:ascii="Arial" w:eastAsia="Times New Roman" w:hAnsi="Arial" w:cs="Arial"/>
          <w:sz w:val="24"/>
          <w:szCs w:val="24"/>
          <w:lang w:eastAsia="it-IT"/>
        </w:rPr>
        <w:t>Gy</w:t>
      </w:r>
      <w:proofErr w:type="spellEnd"/>
      <w:r w:rsidR="009143CB" w:rsidRPr="00966346">
        <w:rPr>
          <w:rFonts w:ascii="Arial" w:eastAsia="Times New Roman" w:hAnsi="Arial" w:cs="Arial"/>
          <w:sz w:val="24"/>
          <w:szCs w:val="24"/>
          <w:lang w:eastAsia="it-IT"/>
        </w:rPr>
        <w:t xml:space="preserve">) as consolidation after high-dose-methotrexate–based </w:t>
      </w:r>
      <w:r w:rsidR="00777807" w:rsidRPr="00966346">
        <w:rPr>
          <w:rFonts w:ascii="Arial" w:eastAsia="Times New Roman" w:hAnsi="Arial" w:cs="Arial"/>
          <w:sz w:val="24"/>
          <w:szCs w:val="24"/>
          <w:lang w:eastAsia="it-IT"/>
        </w:rPr>
        <w:t>induction</w:t>
      </w:r>
      <w:r w:rsidR="00FC64F6" w:rsidRPr="00966346">
        <w:rPr>
          <w:rFonts w:ascii="Arial" w:eastAsia="Times New Roman" w:hAnsi="Arial" w:cs="Arial"/>
          <w:sz w:val="24"/>
          <w:szCs w:val="24"/>
          <w:lang w:eastAsia="it-IT"/>
        </w:rPr>
        <w:t xml:space="preserve"> at</w:t>
      </w:r>
      <w:r w:rsidR="00777807" w:rsidRPr="00966346">
        <w:rPr>
          <w:rFonts w:ascii="Arial" w:eastAsia="Times New Roman" w:hAnsi="Arial" w:cs="Arial"/>
          <w:sz w:val="24"/>
          <w:szCs w:val="24"/>
          <w:lang w:eastAsia="it-IT"/>
        </w:rPr>
        <w:t xml:space="preserve"> the same institution,</w:t>
      </w:r>
      <w:r w:rsidR="009143CB" w:rsidRPr="00966346">
        <w:rPr>
          <w:rFonts w:ascii="Arial" w:eastAsia="Times New Roman" w:hAnsi="Arial" w:cs="Arial"/>
          <w:sz w:val="24"/>
          <w:szCs w:val="24"/>
          <w:lang w:eastAsia="it-IT"/>
        </w:rPr>
        <w:t xml:space="preserve"> resulted in stable cognitive functions for up to 2 years</w:t>
      </w:r>
      <w:r w:rsidR="009879DD" w:rsidRPr="009879DD">
        <w:rPr>
          <w:rFonts w:ascii="Arial" w:eastAsia="Times New Roman" w:hAnsi="Arial" w:cs="Arial"/>
          <w:sz w:val="24"/>
          <w:szCs w:val="24"/>
          <w:vertAlign w:val="superscript"/>
          <w:lang w:eastAsia="it-IT"/>
        </w:rPr>
        <w:t>9</w:t>
      </w:r>
      <w:r w:rsidR="009A74AD" w:rsidRPr="00966346">
        <w:rPr>
          <w:rFonts w:ascii="Arial" w:eastAsia="Times New Roman" w:hAnsi="Arial" w:cs="Arial"/>
          <w:sz w:val="24"/>
          <w:szCs w:val="24"/>
          <w:lang w:eastAsia="it-IT"/>
        </w:rPr>
        <w:t xml:space="preserve">. Thus, </w:t>
      </w:r>
      <w:r w:rsidR="00EF7A77" w:rsidRPr="00966346">
        <w:rPr>
          <w:rFonts w:ascii="Arial" w:eastAsia="Times New Roman" w:hAnsi="Arial" w:cs="Arial"/>
          <w:sz w:val="24"/>
          <w:szCs w:val="24"/>
          <w:lang w:eastAsia="it-IT"/>
        </w:rPr>
        <w:t xml:space="preserve">findings of </w:t>
      </w:r>
      <w:r w:rsidR="00F638BC" w:rsidRPr="00966346">
        <w:rPr>
          <w:rFonts w:ascii="Arial" w:eastAsia="Times New Roman" w:hAnsi="Arial" w:cs="Arial"/>
          <w:sz w:val="24"/>
          <w:szCs w:val="24"/>
          <w:lang w:eastAsia="it-IT"/>
        </w:rPr>
        <w:t xml:space="preserve">the </w:t>
      </w:r>
      <w:r w:rsidR="00946C53" w:rsidRPr="00966346">
        <w:rPr>
          <w:rFonts w:ascii="Arial" w:eastAsia="Times New Roman" w:hAnsi="Arial" w:cs="Arial"/>
          <w:sz w:val="24"/>
          <w:szCs w:val="24"/>
          <w:lang w:eastAsia="it-IT"/>
        </w:rPr>
        <w:t>IELSG32</w:t>
      </w:r>
      <w:r w:rsidR="00F638BC" w:rsidRPr="00966346">
        <w:rPr>
          <w:rFonts w:ascii="Arial" w:eastAsia="Times New Roman" w:hAnsi="Arial" w:cs="Arial"/>
          <w:sz w:val="24"/>
          <w:szCs w:val="24"/>
          <w:lang w:eastAsia="it-IT"/>
        </w:rPr>
        <w:t xml:space="preserve"> trial and prior studies </w:t>
      </w:r>
      <w:r w:rsidR="00EF7A77" w:rsidRPr="00966346">
        <w:rPr>
          <w:rFonts w:ascii="Arial" w:eastAsia="Times New Roman" w:hAnsi="Arial" w:cs="Arial"/>
          <w:sz w:val="24"/>
          <w:szCs w:val="24"/>
          <w:lang w:eastAsia="it-IT"/>
        </w:rPr>
        <w:t>suggest</w:t>
      </w:r>
      <w:r w:rsidR="00F638BC" w:rsidRPr="00966346">
        <w:rPr>
          <w:rFonts w:ascii="Arial" w:eastAsia="Times New Roman" w:hAnsi="Arial" w:cs="Arial"/>
          <w:sz w:val="24"/>
          <w:szCs w:val="24"/>
          <w:lang w:eastAsia="it-IT"/>
        </w:rPr>
        <w:t xml:space="preserve"> that radiation </w:t>
      </w:r>
      <w:r w:rsidR="009A74AD" w:rsidRPr="00966346">
        <w:rPr>
          <w:rFonts w:ascii="Arial" w:eastAsia="Times New Roman" w:hAnsi="Arial" w:cs="Arial"/>
          <w:sz w:val="24"/>
          <w:szCs w:val="24"/>
          <w:lang w:eastAsia="it-IT"/>
        </w:rPr>
        <w:t xml:space="preserve">dose </w:t>
      </w:r>
      <w:r w:rsidR="00FF3901" w:rsidRPr="00966346">
        <w:rPr>
          <w:rFonts w:ascii="Arial" w:eastAsia="Times New Roman" w:hAnsi="Arial" w:cs="Arial"/>
          <w:sz w:val="24"/>
          <w:szCs w:val="24"/>
          <w:lang w:eastAsia="it-IT"/>
        </w:rPr>
        <w:t xml:space="preserve">is </w:t>
      </w:r>
      <w:r w:rsidR="00F638BC" w:rsidRPr="00966346">
        <w:rPr>
          <w:rFonts w:ascii="Arial" w:eastAsia="Times New Roman" w:hAnsi="Arial" w:cs="Arial"/>
          <w:sz w:val="24"/>
          <w:szCs w:val="24"/>
          <w:lang w:eastAsia="it-IT"/>
        </w:rPr>
        <w:t xml:space="preserve">proportionately </w:t>
      </w:r>
      <w:r w:rsidR="00FF3901" w:rsidRPr="00966346">
        <w:rPr>
          <w:rFonts w:ascii="Arial" w:eastAsia="Times New Roman" w:hAnsi="Arial" w:cs="Arial"/>
          <w:sz w:val="24"/>
          <w:szCs w:val="24"/>
          <w:lang w:eastAsia="it-IT"/>
        </w:rPr>
        <w:t>associated with risk of</w:t>
      </w:r>
      <w:r w:rsidR="005F6155" w:rsidRPr="00966346">
        <w:rPr>
          <w:rFonts w:ascii="Arial" w:eastAsia="Times New Roman" w:hAnsi="Arial" w:cs="Arial"/>
          <w:sz w:val="24"/>
          <w:szCs w:val="24"/>
          <w:lang w:eastAsia="it-IT"/>
        </w:rPr>
        <w:t xml:space="preserve"> </w:t>
      </w:r>
      <w:r w:rsidR="009A74AD" w:rsidRPr="00966346">
        <w:rPr>
          <w:rFonts w:ascii="Arial" w:eastAsia="Times New Roman" w:hAnsi="Arial" w:cs="Arial"/>
          <w:sz w:val="24"/>
          <w:szCs w:val="24"/>
          <w:lang w:eastAsia="it-IT"/>
        </w:rPr>
        <w:t xml:space="preserve">neurotoxicity, </w:t>
      </w:r>
      <w:r w:rsidR="00F638BC" w:rsidRPr="00966346">
        <w:rPr>
          <w:rFonts w:ascii="Arial" w:eastAsia="Times New Roman" w:hAnsi="Arial" w:cs="Arial"/>
          <w:sz w:val="24"/>
          <w:szCs w:val="24"/>
          <w:lang w:eastAsia="it-IT"/>
        </w:rPr>
        <w:t xml:space="preserve">whereas the relationship between radiation dose </w:t>
      </w:r>
      <w:r w:rsidR="007B37E7" w:rsidRPr="00966346">
        <w:rPr>
          <w:rFonts w:ascii="Arial" w:eastAsia="Times New Roman" w:hAnsi="Arial" w:cs="Arial"/>
          <w:sz w:val="24"/>
          <w:szCs w:val="24"/>
          <w:lang w:eastAsia="it-IT"/>
        </w:rPr>
        <w:t xml:space="preserve">reduction </w:t>
      </w:r>
      <w:r w:rsidR="00F638BC" w:rsidRPr="00966346">
        <w:rPr>
          <w:rFonts w:ascii="Arial" w:eastAsia="Times New Roman" w:hAnsi="Arial" w:cs="Arial"/>
          <w:sz w:val="24"/>
          <w:szCs w:val="24"/>
          <w:lang w:eastAsia="it-IT"/>
        </w:rPr>
        <w:t xml:space="preserve">and efficacy remains </w:t>
      </w:r>
      <w:r w:rsidR="00161A63" w:rsidRPr="00966346">
        <w:rPr>
          <w:rFonts w:ascii="Arial" w:eastAsia="Times New Roman" w:hAnsi="Arial" w:cs="Arial"/>
          <w:sz w:val="24"/>
          <w:szCs w:val="24"/>
          <w:lang w:eastAsia="it-IT"/>
        </w:rPr>
        <w:t>to be defined</w:t>
      </w:r>
      <w:r w:rsidR="00F638BC" w:rsidRPr="00966346">
        <w:rPr>
          <w:rFonts w:ascii="Arial" w:eastAsia="Times New Roman" w:hAnsi="Arial" w:cs="Arial"/>
          <w:sz w:val="24"/>
          <w:szCs w:val="24"/>
          <w:lang w:eastAsia="it-IT"/>
        </w:rPr>
        <w:t xml:space="preserve">. </w:t>
      </w:r>
    </w:p>
    <w:p w14:paraId="089D34FE" w14:textId="7CDC1287" w:rsidR="00EA7E8B" w:rsidRPr="00966346" w:rsidRDefault="007B37E7" w:rsidP="00EA7E8B">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An ongoing</w:t>
      </w:r>
      <w:r w:rsidR="00EA7E8B" w:rsidRPr="00966346">
        <w:rPr>
          <w:rFonts w:ascii="Arial" w:eastAsia="Times New Roman" w:hAnsi="Arial" w:cs="Arial"/>
          <w:sz w:val="24"/>
          <w:szCs w:val="24"/>
          <w:lang w:eastAsia="it-IT"/>
        </w:rPr>
        <w:t xml:space="preserve"> randomized </w:t>
      </w:r>
      <w:r w:rsidR="00EF7A77" w:rsidRPr="00966346">
        <w:rPr>
          <w:rFonts w:ascii="Arial" w:eastAsia="Times New Roman" w:hAnsi="Arial" w:cs="Arial"/>
          <w:sz w:val="24"/>
          <w:szCs w:val="24"/>
          <w:lang w:eastAsia="it-IT"/>
        </w:rPr>
        <w:t xml:space="preserve">phase II </w:t>
      </w:r>
      <w:r w:rsidR="00EA7E8B" w:rsidRPr="00966346">
        <w:rPr>
          <w:rFonts w:ascii="Arial" w:eastAsia="Times New Roman" w:hAnsi="Arial" w:cs="Arial"/>
          <w:sz w:val="24"/>
          <w:szCs w:val="24"/>
          <w:lang w:eastAsia="it-IT"/>
        </w:rPr>
        <w:t xml:space="preserve">trial </w:t>
      </w:r>
      <w:r w:rsidRPr="00966346">
        <w:rPr>
          <w:rFonts w:ascii="Arial" w:eastAsia="Times New Roman" w:hAnsi="Arial" w:cs="Arial"/>
          <w:sz w:val="24"/>
          <w:szCs w:val="24"/>
          <w:lang w:eastAsia="it-IT"/>
        </w:rPr>
        <w:t xml:space="preserve">called </w:t>
      </w:r>
      <w:r w:rsidR="00161A63" w:rsidRPr="00966346">
        <w:rPr>
          <w:rFonts w:ascii="Arial" w:eastAsia="Times New Roman" w:hAnsi="Arial" w:cs="Arial"/>
          <w:sz w:val="24"/>
          <w:szCs w:val="24"/>
          <w:lang w:eastAsia="it-IT"/>
        </w:rPr>
        <w:t>“</w:t>
      </w:r>
      <w:r w:rsidRPr="00966346">
        <w:rPr>
          <w:rFonts w:ascii="Arial" w:eastAsia="Times New Roman" w:hAnsi="Arial" w:cs="Arial"/>
          <w:sz w:val="24"/>
          <w:szCs w:val="24"/>
          <w:lang w:eastAsia="it-IT"/>
        </w:rPr>
        <w:t>PRECIS</w:t>
      </w:r>
      <w:r w:rsidR="00161A63" w:rsidRPr="00966346">
        <w:rPr>
          <w:rFonts w:ascii="Arial" w:eastAsia="Times New Roman" w:hAnsi="Arial" w:cs="Arial"/>
          <w:sz w:val="24"/>
          <w:szCs w:val="24"/>
          <w:lang w:eastAsia="it-IT"/>
        </w:rPr>
        <w:t>”</w:t>
      </w:r>
      <w:r w:rsidRPr="00966346">
        <w:rPr>
          <w:rFonts w:ascii="Arial" w:eastAsia="Times New Roman" w:hAnsi="Arial" w:cs="Arial"/>
          <w:sz w:val="24"/>
          <w:szCs w:val="24"/>
          <w:lang w:eastAsia="it-IT"/>
        </w:rPr>
        <w:t xml:space="preserve"> is </w:t>
      </w:r>
      <w:r w:rsidR="00EA7E8B" w:rsidRPr="00966346">
        <w:rPr>
          <w:rFonts w:ascii="Arial" w:eastAsia="Times New Roman" w:hAnsi="Arial" w:cs="Arial"/>
          <w:sz w:val="24"/>
          <w:szCs w:val="24"/>
          <w:lang w:eastAsia="it-IT"/>
        </w:rPr>
        <w:t xml:space="preserve">addressing WBRT and ASCT as consolidation therapy in patients with newly-diagnosed PCNSL. </w:t>
      </w:r>
      <w:r w:rsidRPr="00966346">
        <w:rPr>
          <w:rFonts w:ascii="Arial" w:eastAsia="Times New Roman" w:hAnsi="Arial" w:cs="Arial"/>
          <w:sz w:val="24"/>
          <w:szCs w:val="24"/>
          <w:lang w:eastAsia="it-IT"/>
        </w:rPr>
        <w:t>Despite similarities in background and endpoints, t</w:t>
      </w:r>
      <w:r w:rsidR="00857C42" w:rsidRPr="00966346">
        <w:rPr>
          <w:rFonts w:ascii="Arial" w:eastAsia="Times New Roman" w:hAnsi="Arial" w:cs="Arial"/>
          <w:sz w:val="24"/>
          <w:szCs w:val="24"/>
          <w:lang w:eastAsia="it-IT"/>
        </w:rPr>
        <w:t>he IELSG</w:t>
      </w:r>
      <w:r w:rsidR="00EA7E8B" w:rsidRPr="00966346">
        <w:rPr>
          <w:rFonts w:ascii="Arial" w:eastAsia="Times New Roman" w:hAnsi="Arial" w:cs="Arial"/>
          <w:sz w:val="24"/>
          <w:szCs w:val="24"/>
          <w:lang w:eastAsia="it-IT"/>
        </w:rPr>
        <w:t xml:space="preserve">32 and PRECIS trials </w:t>
      </w:r>
      <w:r w:rsidR="00587C1E" w:rsidRPr="00966346">
        <w:rPr>
          <w:rFonts w:ascii="Arial" w:eastAsia="Times New Roman" w:hAnsi="Arial" w:cs="Arial"/>
          <w:sz w:val="24"/>
          <w:szCs w:val="24"/>
          <w:lang w:eastAsia="it-IT"/>
        </w:rPr>
        <w:t>have relevant differences in design and patient selection</w:t>
      </w:r>
      <w:r w:rsidR="009879DD" w:rsidRPr="009879DD">
        <w:rPr>
          <w:rFonts w:ascii="Arial" w:eastAsia="Times New Roman" w:hAnsi="Arial" w:cs="Arial"/>
          <w:sz w:val="24"/>
          <w:szCs w:val="24"/>
          <w:vertAlign w:val="superscript"/>
          <w:lang w:eastAsia="it-IT"/>
        </w:rPr>
        <w:t>12</w:t>
      </w:r>
      <w:r w:rsidR="00587C1E" w:rsidRPr="00966346">
        <w:rPr>
          <w:rFonts w:ascii="Arial" w:eastAsia="Times New Roman" w:hAnsi="Arial" w:cs="Arial"/>
          <w:sz w:val="24"/>
          <w:szCs w:val="24"/>
          <w:lang w:eastAsia="it-IT"/>
        </w:rPr>
        <w:t xml:space="preserve">. </w:t>
      </w:r>
      <w:r w:rsidR="00EA7E8B" w:rsidRPr="00966346">
        <w:rPr>
          <w:rFonts w:ascii="Arial" w:eastAsia="Times New Roman" w:hAnsi="Arial" w:cs="Arial"/>
          <w:sz w:val="24"/>
          <w:szCs w:val="24"/>
          <w:lang w:eastAsia="it-IT"/>
        </w:rPr>
        <w:t xml:space="preserve">In particular, </w:t>
      </w:r>
      <w:r w:rsidR="007C7F98" w:rsidRPr="00966346">
        <w:rPr>
          <w:rFonts w:ascii="Arial" w:eastAsia="Times New Roman" w:hAnsi="Arial" w:cs="Arial"/>
          <w:sz w:val="24"/>
          <w:szCs w:val="24"/>
          <w:lang w:eastAsia="it-IT"/>
        </w:rPr>
        <w:t xml:space="preserve">in the PRECIS trial, the upper age limit is 60 years, </w:t>
      </w:r>
      <w:r w:rsidR="00857C42" w:rsidRPr="00966346">
        <w:rPr>
          <w:rFonts w:ascii="Arial" w:eastAsia="Times New Roman" w:hAnsi="Arial" w:cs="Arial"/>
          <w:sz w:val="24"/>
          <w:szCs w:val="24"/>
          <w:lang w:eastAsia="it-IT"/>
        </w:rPr>
        <w:t xml:space="preserve">the </w:t>
      </w:r>
      <w:r w:rsidR="002C36BF" w:rsidRPr="00966346">
        <w:rPr>
          <w:rFonts w:ascii="Arial" w:eastAsia="Times New Roman" w:hAnsi="Arial" w:cs="Arial"/>
          <w:sz w:val="24"/>
          <w:szCs w:val="24"/>
          <w:lang w:eastAsia="it-IT"/>
        </w:rPr>
        <w:t>conditioning regimen</w:t>
      </w:r>
      <w:r w:rsidR="007C7F98" w:rsidRPr="00966346">
        <w:rPr>
          <w:rFonts w:ascii="Arial" w:eastAsia="Times New Roman" w:hAnsi="Arial" w:cs="Arial"/>
          <w:sz w:val="24"/>
          <w:szCs w:val="24"/>
          <w:lang w:eastAsia="it-IT"/>
        </w:rPr>
        <w:t xml:space="preserve"> </w:t>
      </w:r>
      <w:r w:rsidR="00857C42" w:rsidRPr="00966346">
        <w:rPr>
          <w:rFonts w:ascii="Arial" w:eastAsia="Times New Roman" w:hAnsi="Arial" w:cs="Arial"/>
          <w:sz w:val="24"/>
          <w:szCs w:val="24"/>
          <w:lang w:eastAsia="it-IT"/>
        </w:rPr>
        <w:t>consists of</w:t>
      </w:r>
      <w:r w:rsidR="002C36BF" w:rsidRPr="00966346">
        <w:rPr>
          <w:rFonts w:ascii="Arial" w:eastAsia="Times New Roman" w:hAnsi="Arial" w:cs="Arial"/>
          <w:sz w:val="24"/>
          <w:szCs w:val="24"/>
          <w:lang w:eastAsia="it-IT"/>
        </w:rPr>
        <w:t xml:space="preserve"> </w:t>
      </w:r>
      <w:r w:rsidR="002C36BF" w:rsidRPr="00966346">
        <w:rPr>
          <w:rFonts w:ascii="Arial" w:eastAsia="Times New Roman" w:hAnsi="Arial" w:cs="Arial"/>
          <w:sz w:val="24"/>
          <w:szCs w:val="24"/>
          <w:lang w:val="en-GB" w:eastAsia="it-IT"/>
        </w:rPr>
        <w:t>thiotepa-busulfan-cyclophosp</w:t>
      </w:r>
      <w:r w:rsidR="00EF7A77" w:rsidRPr="00966346">
        <w:rPr>
          <w:rFonts w:ascii="Arial" w:eastAsia="Times New Roman" w:hAnsi="Arial" w:cs="Arial"/>
          <w:sz w:val="24"/>
          <w:szCs w:val="24"/>
          <w:lang w:val="en-GB" w:eastAsia="it-IT"/>
        </w:rPr>
        <w:t>h</w:t>
      </w:r>
      <w:r w:rsidR="002C36BF" w:rsidRPr="00966346">
        <w:rPr>
          <w:rFonts w:ascii="Arial" w:eastAsia="Times New Roman" w:hAnsi="Arial" w:cs="Arial"/>
          <w:sz w:val="24"/>
          <w:szCs w:val="24"/>
          <w:lang w:val="en-GB" w:eastAsia="it-IT"/>
        </w:rPr>
        <w:t>amide</w:t>
      </w:r>
      <w:r w:rsidR="007C7F98" w:rsidRPr="00966346">
        <w:rPr>
          <w:rFonts w:ascii="Arial" w:eastAsia="Times New Roman" w:hAnsi="Arial" w:cs="Arial"/>
          <w:sz w:val="24"/>
          <w:szCs w:val="24"/>
          <w:lang w:eastAsia="it-IT"/>
        </w:rPr>
        <w:t>, and</w:t>
      </w:r>
      <w:r w:rsidR="002C36BF" w:rsidRPr="00966346">
        <w:rPr>
          <w:rFonts w:ascii="Arial" w:eastAsia="Times New Roman" w:hAnsi="Arial" w:cs="Arial"/>
          <w:sz w:val="24"/>
          <w:szCs w:val="24"/>
          <w:lang w:eastAsia="it-IT"/>
        </w:rPr>
        <w:t xml:space="preserve"> </w:t>
      </w:r>
      <w:r w:rsidR="00EA7E8B" w:rsidRPr="00966346">
        <w:rPr>
          <w:rFonts w:ascii="Arial" w:eastAsia="Times New Roman" w:hAnsi="Arial" w:cs="Arial"/>
          <w:sz w:val="24"/>
          <w:szCs w:val="24"/>
          <w:lang w:eastAsia="it-IT"/>
        </w:rPr>
        <w:t xml:space="preserve">randomization </w:t>
      </w:r>
      <w:r w:rsidR="007C7F98" w:rsidRPr="00966346">
        <w:rPr>
          <w:rFonts w:ascii="Arial" w:eastAsia="Times New Roman" w:hAnsi="Arial" w:cs="Arial"/>
          <w:sz w:val="24"/>
          <w:szCs w:val="24"/>
          <w:lang w:eastAsia="it-IT"/>
        </w:rPr>
        <w:t>wa</w:t>
      </w:r>
      <w:r w:rsidR="00EA7E8B" w:rsidRPr="00966346">
        <w:rPr>
          <w:rFonts w:ascii="Arial" w:eastAsia="Times New Roman" w:hAnsi="Arial" w:cs="Arial"/>
          <w:sz w:val="24"/>
          <w:szCs w:val="24"/>
          <w:lang w:eastAsia="it-IT"/>
        </w:rPr>
        <w:t>s performed at trial registration</w:t>
      </w:r>
      <w:r w:rsidR="002C36BF" w:rsidRPr="00966346">
        <w:rPr>
          <w:rFonts w:ascii="Arial" w:eastAsia="Times New Roman" w:hAnsi="Arial" w:cs="Arial"/>
          <w:sz w:val="24"/>
          <w:szCs w:val="24"/>
          <w:lang w:eastAsia="it-IT"/>
        </w:rPr>
        <w:t>.</w:t>
      </w:r>
      <w:r w:rsidR="00EA7E8B" w:rsidRPr="00966346">
        <w:rPr>
          <w:rFonts w:ascii="Arial" w:eastAsia="Times New Roman" w:hAnsi="Arial" w:cs="Arial"/>
          <w:sz w:val="24"/>
          <w:szCs w:val="24"/>
          <w:lang w:eastAsia="it-IT"/>
        </w:rPr>
        <w:t xml:space="preserve"> </w:t>
      </w:r>
      <w:r w:rsidR="00587C1E" w:rsidRPr="00966346">
        <w:rPr>
          <w:rFonts w:ascii="Arial" w:eastAsia="Times New Roman" w:hAnsi="Arial" w:cs="Arial"/>
          <w:sz w:val="24"/>
          <w:szCs w:val="24"/>
          <w:lang w:eastAsia="it-IT"/>
        </w:rPr>
        <w:t xml:space="preserve">Final results of the PRECIS trial are awaited, but preliminary </w:t>
      </w:r>
      <w:r w:rsidR="00EA473A" w:rsidRPr="00966346">
        <w:rPr>
          <w:rFonts w:ascii="Arial" w:eastAsia="Times New Roman" w:hAnsi="Arial" w:cs="Arial"/>
          <w:sz w:val="24"/>
          <w:szCs w:val="24"/>
          <w:lang w:eastAsia="it-IT"/>
        </w:rPr>
        <w:t>data</w:t>
      </w:r>
      <w:r w:rsidR="00587C1E" w:rsidRPr="00966346">
        <w:rPr>
          <w:rFonts w:ascii="Arial" w:eastAsia="Times New Roman" w:hAnsi="Arial" w:cs="Arial"/>
          <w:sz w:val="24"/>
          <w:szCs w:val="24"/>
          <w:lang w:eastAsia="it-IT"/>
        </w:rPr>
        <w:t xml:space="preserve"> </w:t>
      </w:r>
      <w:r w:rsidR="00B15275" w:rsidRPr="00966346">
        <w:rPr>
          <w:rFonts w:ascii="Arial" w:eastAsia="Times New Roman" w:hAnsi="Arial" w:cs="Arial"/>
          <w:sz w:val="24"/>
          <w:szCs w:val="24"/>
          <w:lang w:eastAsia="it-IT"/>
        </w:rPr>
        <w:t>appear consistent</w:t>
      </w:r>
      <w:r w:rsidR="00587C1E" w:rsidRPr="00966346">
        <w:rPr>
          <w:rFonts w:ascii="Arial" w:eastAsia="Times New Roman" w:hAnsi="Arial" w:cs="Arial"/>
          <w:sz w:val="24"/>
          <w:szCs w:val="24"/>
          <w:lang w:eastAsia="it-IT"/>
        </w:rPr>
        <w:t xml:space="preserve"> with </w:t>
      </w:r>
      <w:r w:rsidR="00B15275" w:rsidRPr="00966346">
        <w:rPr>
          <w:rFonts w:ascii="Arial" w:eastAsia="Times New Roman" w:hAnsi="Arial" w:cs="Arial"/>
          <w:sz w:val="24"/>
          <w:szCs w:val="24"/>
          <w:lang w:eastAsia="it-IT"/>
        </w:rPr>
        <w:t>our data</w:t>
      </w:r>
      <w:r w:rsidR="009879DD" w:rsidRPr="009879DD">
        <w:rPr>
          <w:rFonts w:ascii="Arial" w:eastAsia="Times New Roman" w:hAnsi="Arial" w:cs="Arial"/>
          <w:sz w:val="24"/>
          <w:szCs w:val="24"/>
          <w:vertAlign w:val="superscript"/>
          <w:lang w:eastAsia="it-IT"/>
        </w:rPr>
        <w:t>34</w:t>
      </w:r>
      <w:r w:rsidR="00587C1E" w:rsidRPr="00966346">
        <w:rPr>
          <w:rFonts w:ascii="Arial" w:eastAsia="Times New Roman" w:hAnsi="Arial" w:cs="Arial"/>
          <w:sz w:val="24"/>
          <w:szCs w:val="24"/>
          <w:lang w:eastAsia="it-IT"/>
        </w:rPr>
        <w:t>, and suggest that both WBRT and ASCT are effective consolidation therapies. After a median follow-up of 33 months, the 2-year PFS was 63% after WBRT and 86% after ASCT, whereas the 2-year OS was the same (86%) for both arms</w:t>
      </w:r>
      <w:r w:rsidR="009879DD">
        <w:rPr>
          <w:rFonts w:ascii="Arial" w:eastAsia="Times New Roman" w:hAnsi="Arial" w:cs="Arial"/>
          <w:sz w:val="24"/>
          <w:szCs w:val="24"/>
          <w:vertAlign w:val="superscript"/>
          <w:lang w:eastAsia="it-IT"/>
        </w:rPr>
        <w:t>34</w:t>
      </w:r>
      <w:r w:rsidR="00587C1E" w:rsidRPr="00966346">
        <w:rPr>
          <w:rFonts w:ascii="Arial" w:eastAsia="Times New Roman" w:hAnsi="Arial" w:cs="Arial"/>
          <w:sz w:val="24"/>
          <w:szCs w:val="24"/>
          <w:lang w:eastAsia="it-IT"/>
        </w:rPr>
        <w:t xml:space="preserve">. </w:t>
      </w:r>
      <w:r w:rsidR="00EA7E8B" w:rsidRPr="00966346">
        <w:rPr>
          <w:rFonts w:ascii="Arial" w:eastAsia="Times New Roman" w:hAnsi="Arial" w:cs="Arial"/>
          <w:sz w:val="24"/>
          <w:szCs w:val="24"/>
          <w:lang w:eastAsia="it-IT"/>
        </w:rPr>
        <w:t xml:space="preserve">Although </w:t>
      </w:r>
      <w:r w:rsidR="00857C42" w:rsidRPr="00966346">
        <w:rPr>
          <w:rFonts w:ascii="Arial" w:eastAsia="Times New Roman" w:hAnsi="Arial" w:cs="Arial"/>
          <w:sz w:val="24"/>
          <w:szCs w:val="24"/>
          <w:lang w:eastAsia="it-IT"/>
        </w:rPr>
        <w:t xml:space="preserve">comparisons between the </w:t>
      </w:r>
      <w:r w:rsidR="002C36BF" w:rsidRPr="00966346">
        <w:rPr>
          <w:rFonts w:ascii="Arial" w:eastAsia="Times New Roman" w:hAnsi="Arial" w:cs="Arial"/>
          <w:sz w:val="24"/>
          <w:szCs w:val="24"/>
          <w:lang w:eastAsia="it-IT"/>
        </w:rPr>
        <w:t xml:space="preserve">results </w:t>
      </w:r>
      <w:r w:rsidR="00857C42" w:rsidRPr="00966346">
        <w:rPr>
          <w:rFonts w:ascii="Arial" w:eastAsia="Times New Roman" w:hAnsi="Arial" w:cs="Arial"/>
          <w:sz w:val="24"/>
          <w:szCs w:val="24"/>
          <w:lang w:eastAsia="it-IT"/>
        </w:rPr>
        <w:t>of these two trials</w:t>
      </w:r>
      <w:r w:rsidR="002C36BF" w:rsidRPr="00966346">
        <w:rPr>
          <w:rFonts w:ascii="Arial" w:eastAsia="Times New Roman" w:hAnsi="Arial" w:cs="Arial"/>
          <w:sz w:val="24"/>
          <w:szCs w:val="24"/>
          <w:lang w:eastAsia="it-IT"/>
        </w:rPr>
        <w:t xml:space="preserve"> should take into account </w:t>
      </w:r>
      <w:r w:rsidR="00EA7E8B" w:rsidRPr="00966346">
        <w:rPr>
          <w:rFonts w:ascii="Arial" w:eastAsia="Times New Roman" w:hAnsi="Arial" w:cs="Arial"/>
          <w:sz w:val="24"/>
          <w:szCs w:val="24"/>
          <w:lang w:eastAsia="it-IT"/>
        </w:rPr>
        <w:t xml:space="preserve">these relevant differences, both trials will provide </w:t>
      </w:r>
      <w:r w:rsidR="00C1035B" w:rsidRPr="00966346">
        <w:rPr>
          <w:rFonts w:ascii="Arial" w:eastAsia="Times New Roman" w:hAnsi="Arial" w:cs="Arial"/>
          <w:sz w:val="24"/>
          <w:szCs w:val="24"/>
          <w:lang w:eastAsia="it-IT"/>
        </w:rPr>
        <w:t xml:space="preserve">valuable </w:t>
      </w:r>
      <w:r w:rsidR="00EA7E8B" w:rsidRPr="00966346">
        <w:rPr>
          <w:rFonts w:ascii="Arial" w:eastAsia="Times New Roman" w:hAnsi="Arial" w:cs="Arial"/>
          <w:sz w:val="24"/>
          <w:szCs w:val="24"/>
          <w:lang w:eastAsia="it-IT"/>
        </w:rPr>
        <w:t xml:space="preserve">conclusions on the role of ASCT and </w:t>
      </w:r>
      <w:r w:rsidR="00161A63" w:rsidRPr="00966346">
        <w:rPr>
          <w:rFonts w:ascii="Arial" w:eastAsia="Times New Roman" w:hAnsi="Arial" w:cs="Arial"/>
          <w:sz w:val="24"/>
          <w:szCs w:val="24"/>
          <w:lang w:eastAsia="it-IT"/>
        </w:rPr>
        <w:t>its impact on cognitive functions and QoL</w:t>
      </w:r>
      <w:r w:rsidR="00EA7E8B" w:rsidRPr="00966346">
        <w:rPr>
          <w:rFonts w:ascii="Arial" w:eastAsia="Times New Roman" w:hAnsi="Arial" w:cs="Arial"/>
          <w:sz w:val="24"/>
          <w:szCs w:val="24"/>
          <w:lang w:eastAsia="it-IT"/>
        </w:rPr>
        <w:t xml:space="preserve">. </w:t>
      </w:r>
    </w:p>
    <w:p w14:paraId="1206A415" w14:textId="5453FCF7" w:rsidR="00BD4EDE" w:rsidRPr="00966346" w:rsidRDefault="00C1035B" w:rsidP="003C7C8A">
      <w:pPr>
        <w:spacing w:line="360" w:lineRule="auto"/>
        <w:jc w:val="both"/>
        <w:rPr>
          <w:rFonts w:ascii="Arial" w:eastAsia="Times New Roman" w:hAnsi="Arial" w:cs="Arial"/>
          <w:sz w:val="24"/>
          <w:szCs w:val="24"/>
          <w:lang w:val="en-GB" w:eastAsia="it-IT"/>
        </w:rPr>
      </w:pPr>
      <w:r w:rsidRPr="00966346">
        <w:rPr>
          <w:rFonts w:ascii="Arial" w:eastAsia="Times New Roman" w:hAnsi="Arial" w:cs="Arial"/>
          <w:sz w:val="24"/>
          <w:szCs w:val="24"/>
          <w:lang w:eastAsia="it-IT"/>
        </w:rPr>
        <w:t>In conclusion, t</w:t>
      </w:r>
      <w:r w:rsidR="00A8126D" w:rsidRPr="00966346">
        <w:rPr>
          <w:rFonts w:ascii="Arial" w:eastAsia="Times New Roman" w:hAnsi="Arial" w:cs="Arial"/>
          <w:sz w:val="24"/>
          <w:szCs w:val="24"/>
          <w:lang w:eastAsia="it-IT"/>
        </w:rPr>
        <w:t>h</w:t>
      </w:r>
      <w:r w:rsidR="00156BBD" w:rsidRPr="00966346">
        <w:rPr>
          <w:rFonts w:ascii="Arial" w:eastAsia="Times New Roman" w:hAnsi="Arial" w:cs="Arial"/>
          <w:sz w:val="24"/>
          <w:szCs w:val="24"/>
          <w:lang w:eastAsia="it-IT"/>
        </w:rPr>
        <w:t>e</w:t>
      </w:r>
      <w:r w:rsidR="00A8126D" w:rsidRPr="00966346">
        <w:rPr>
          <w:rFonts w:ascii="Arial" w:eastAsia="Times New Roman" w:hAnsi="Arial" w:cs="Arial"/>
          <w:sz w:val="24"/>
          <w:szCs w:val="24"/>
          <w:lang w:eastAsia="it-IT"/>
        </w:rPr>
        <w:t xml:space="preserve"> </w:t>
      </w:r>
      <w:r w:rsidR="007B37E7" w:rsidRPr="00966346">
        <w:rPr>
          <w:rFonts w:ascii="Arial" w:eastAsia="Times New Roman" w:hAnsi="Arial" w:cs="Arial"/>
          <w:sz w:val="24"/>
          <w:szCs w:val="24"/>
          <w:lang w:eastAsia="it-IT"/>
        </w:rPr>
        <w:t>I</w:t>
      </w:r>
      <w:r w:rsidR="00156BBD" w:rsidRPr="00966346">
        <w:rPr>
          <w:rFonts w:ascii="Arial" w:eastAsia="Times New Roman" w:hAnsi="Arial" w:cs="Arial"/>
          <w:sz w:val="24"/>
          <w:szCs w:val="24"/>
          <w:lang w:eastAsia="it-IT"/>
        </w:rPr>
        <w:t xml:space="preserve">ELSG32 </w:t>
      </w:r>
      <w:r w:rsidR="00A8126D" w:rsidRPr="00966346">
        <w:rPr>
          <w:rFonts w:ascii="Arial" w:eastAsia="Times New Roman" w:hAnsi="Arial" w:cs="Arial"/>
          <w:sz w:val="24"/>
          <w:szCs w:val="24"/>
          <w:lang w:eastAsia="it-IT"/>
        </w:rPr>
        <w:t xml:space="preserve">trial was conducted in 53 centers of five countries, </w:t>
      </w:r>
      <w:r w:rsidR="00587C1E" w:rsidRPr="00966346">
        <w:rPr>
          <w:rFonts w:ascii="Arial" w:eastAsia="Times New Roman" w:hAnsi="Arial" w:cs="Arial"/>
          <w:sz w:val="24"/>
          <w:szCs w:val="24"/>
          <w:lang w:val="en-GB" w:eastAsia="it-IT"/>
        </w:rPr>
        <w:t xml:space="preserve">covering an </w:t>
      </w:r>
      <w:r w:rsidR="00587C1E" w:rsidRPr="00966346">
        <w:rPr>
          <w:rFonts w:ascii="Arial" w:eastAsia="Times New Roman" w:hAnsi="Arial" w:cs="Arial"/>
          <w:sz w:val="24"/>
          <w:szCs w:val="24"/>
          <w:lang w:eastAsia="it-IT"/>
        </w:rPr>
        <w:t>extensive geographical area, which favors results generalizability</w:t>
      </w:r>
      <w:r w:rsidR="00156BBD" w:rsidRPr="00966346">
        <w:rPr>
          <w:rFonts w:ascii="Arial" w:eastAsia="Times New Roman" w:hAnsi="Arial" w:cs="Arial"/>
          <w:sz w:val="24"/>
          <w:szCs w:val="24"/>
          <w:lang w:eastAsia="it-IT"/>
        </w:rPr>
        <w:t xml:space="preserve">, and provides </w:t>
      </w:r>
      <w:r w:rsidR="00BA742F" w:rsidRPr="00966346">
        <w:rPr>
          <w:rFonts w:ascii="Arial" w:eastAsia="Times New Roman" w:hAnsi="Arial" w:cs="Arial"/>
          <w:sz w:val="24"/>
          <w:szCs w:val="24"/>
          <w:lang w:eastAsia="it-IT"/>
        </w:rPr>
        <w:t>a</w:t>
      </w:r>
      <w:r w:rsidR="00156BBD" w:rsidRPr="00966346">
        <w:rPr>
          <w:rFonts w:ascii="Arial" w:eastAsia="Times New Roman" w:hAnsi="Arial" w:cs="Arial"/>
          <w:sz w:val="24"/>
          <w:szCs w:val="24"/>
          <w:lang w:eastAsia="it-IT"/>
        </w:rPr>
        <w:t xml:space="preserve"> </w:t>
      </w:r>
      <w:r w:rsidR="00156BBD" w:rsidRPr="00966346">
        <w:rPr>
          <w:rFonts w:ascii="Arial" w:eastAsia="Times New Roman" w:hAnsi="Arial" w:cs="Arial"/>
          <w:sz w:val="24"/>
          <w:szCs w:val="24"/>
          <w:lang w:val="en-GB" w:eastAsia="it-IT"/>
        </w:rPr>
        <w:t>high level of evidence in this field</w:t>
      </w:r>
      <w:r w:rsidR="00A8126D" w:rsidRPr="00966346">
        <w:rPr>
          <w:rFonts w:ascii="Arial" w:eastAsia="Times New Roman" w:hAnsi="Arial" w:cs="Arial"/>
          <w:sz w:val="24"/>
          <w:szCs w:val="24"/>
          <w:lang w:eastAsia="it-IT"/>
        </w:rPr>
        <w:t xml:space="preserve">. </w:t>
      </w:r>
      <w:r w:rsidR="00156BBD" w:rsidRPr="00966346">
        <w:rPr>
          <w:rFonts w:ascii="Arial" w:eastAsia="Times New Roman" w:hAnsi="Arial" w:cs="Arial"/>
          <w:sz w:val="24"/>
          <w:szCs w:val="24"/>
          <w:lang w:val="en-GB" w:eastAsia="it-IT"/>
        </w:rPr>
        <w:t>For the first time, a randomized trial demonstrates a significant improvement in OS wi</w:t>
      </w:r>
      <w:r w:rsidR="00E057B2" w:rsidRPr="00966346">
        <w:rPr>
          <w:rFonts w:ascii="Arial" w:eastAsia="Times New Roman" w:hAnsi="Arial" w:cs="Arial"/>
          <w:sz w:val="24"/>
          <w:szCs w:val="24"/>
          <w:lang w:val="en-GB" w:eastAsia="it-IT"/>
        </w:rPr>
        <w:t>th a new therapeutic approach,</w:t>
      </w:r>
      <w:r w:rsidR="007B37E7" w:rsidRPr="00966346">
        <w:rPr>
          <w:rFonts w:ascii="Arial" w:eastAsia="Times New Roman" w:hAnsi="Arial" w:cs="Arial"/>
          <w:sz w:val="24"/>
          <w:szCs w:val="24"/>
          <w:lang w:val="en-GB" w:eastAsia="it-IT"/>
        </w:rPr>
        <w:t xml:space="preserve"> </w:t>
      </w:r>
      <w:r w:rsidR="00156BBD" w:rsidRPr="00966346">
        <w:rPr>
          <w:rFonts w:ascii="Arial" w:eastAsia="Times New Roman" w:hAnsi="Arial" w:cs="Arial"/>
          <w:sz w:val="24"/>
          <w:szCs w:val="24"/>
          <w:lang w:val="en-GB" w:eastAsia="it-IT"/>
        </w:rPr>
        <w:t xml:space="preserve">leading us to recommend </w:t>
      </w:r>
      <w:r w:rsidR="00857C42" w:rsidRPr="00966346">
        <w:rPr>
          <w:rFonts w:ascii="Arial" w:eastAsia="Times New Roman" w:hAnsi="Arial" w:cs="Arial"/>
          <w:sz w:val="24"/>
          <w:szCs w:val="24"/>
          <w:lang w:val="en-GB" w:eastAsia="it-IT"/>
        </w:rPr>
        <w:t xml:space="preserve">the </w:t>
      </w:r>
      <w:r w:rsidR="00EF7A77" w:rsidRPr="00966346">
        <w:rPr>
          <w:rFonts w:ascii="Arial" w:eastAsia="Times New Roman" w:hAnsi="Arial" w:cs="Arial"/>
          <w:sz w:val="24"/>
          <w:szCs w:val="24"/>
          <w:lang w:val="en-GB" w:eastAsia="it-IT"/>
        </w:rPr>
        <w:t xml:space="preserve">MATRix </w:t>
      </w:r>
      <w:r w:rsidR="007B37E7" w:rsidRPr="00966346">
        <w:rPr>
          <w:rFonts w:ascii="Arial" w:eastAsia="Times New Roman" w:hAnsi="Arial" w:cs="Arial"/>
          <w:sz w:val="24"/>
          <w:szCs w:val="24"/>
          <w:lang w:val="en-GB" w:eastAsia="it-IT"/>
        </w:rPr>
        <w:t>regimen</w:t>
      </w:r>
      <w:r w:rsidR="00156BBD" w:rsidRPr="00966346">
        <w:rPr>
          <w:rFonts w:ascii="Arial" w:eastAsia="Times New Roman" w:hAnsi="Arial" w:cs="Arial"/>
          <w:sz w:val="24"/>
          <w:szCs w:val="24"/>
          <w:lang w:val="en-GB" w:eastAsia="it-IT"/>
        </w:rPr>
        <w:t xml:space="preserve"> </w:t>
      </w:r>
      <w:r w:rsidR="005905E7" w:rsidRPr="00966346">
        <w:rPr>
          <w:rFonts w:ascii="Arial" w:eastAsia="Times New Roman" w:hAnsi="Arial" w:cs="Arial"/>
          <w:sz w:val="24"/>
          <w:szCs w:val="24"/>
          <w:lang w:val="en-GB" w:eastAsia="it-IT"/>
        </w:rPr>
        <w:t xml:space="preserve">as chemoimmunotherapy </w:t>
      </w:r>
      <w:r w:rsidR="000F2F73" w:rsidRPr="00966346">
        <w:rPr>
          <w:rFonts w:ascii="Arial" w:eastAsia="Times New Roman" w:hAnsi="Arial" w:cs="Arial"/>
          <w:sz w:val="24"/>
          <w:szCs w:val="24"/>
          <w:lang w:val="en-GB" w:eastAsia="it-IT"/>
        </w:rPr>
        <w:t xml:space="preserve">induction </w:t>
      </w:r>
      <w:r w:rsidR="005905E7" w:rsidRPr="00966346">
        <w:rPr>
          <w:rFonts w:ascii="Arial" w:eastAsia="Times New Roman" w:hAnsi="Arial" w:cs="Arial"/>
          <w:sz w:val="24"/>
          <w:szCs w:val="24"/>
          <w:lang w:eastAsia="it-IT"/>
        </w:rPr>
        <w:t xml:space="preserve">for </w:t>
      </w:r>
      <w:r w:rsidR="00EA6FC7" w:rsidRPr="00966346">
        <w:rPr>
          <w:rFonts w:ascii="Arial" w:eastAsia="Times New Roman" w:hAnsi="Arial" w:cs="Arial"/>
          <w:sz w:val="24"/>
          <w:szCs w:val="24"/>
          <w:lang w:eastAsia="it-IT"/>
        </w:rPr>
        <w:t>patients younger than 7</w:t>
      </w:r>
      <w:r w:rsidR="007B37E7" w:rsidRPr="00966346">
        <w:rPr>
          <w:rFonts w:ascii="Arial" w:eastAsia="Times New Roman" w:hAnsi="Arial" w:cs="Arial"/>
          <w:sz w:val="24"/>
          <w:szCs w:val="24"/>
          <w:lang w:eastAsia="it-IT"/>
        </w:rPr>
        <w:t>1</w:t>
      </w:r>
      <w:r w:rsidR="00EA6FC7" w:rsidRPr="00966346">
        <w:rPr>
          <w:rFonts w:ascii="Arial" w:eastAsia="Times New Roman" w:hAnsi="Arial" w:cs="Arial"/>
          <w:sz w:val="24"/>
          <w:szCs w:val="24"/>
          <w:lang w:eastAsia="it-IT"/>
        </w:rPr>
        <w:t xml:space="preserve"> years </w:t>
      </w:r>
      <w:r w:rsidR="00EA6FC7" w:rsidRPr="00966346">
        <w:rPr>
          <w:rFonts w:ascii="Arial" w:eastAsia="Times New Roman" w:hAnsi="Arial" w:cs="Arial"/>
          <w:sz w:val="24"/>
          <w:szCs w:val="24"/>
          <w:lang w:val="en-GB" w:eastAsia="it-IT"/>
        </w:rPr>
        <w:t xml:space="preserve">with </w:t>
      </w:r>
      <w:r w:rsidR="00EF7A77" w:rsidRPr="00966346">
        <w:rPr>
          <w:rFonts w:ascii="Arial" w:eastAsia="Times New Roman" w:hAnsi="Arial" w:cs="Arial"/>
          <w:sz w:val="24"/>
          <w:szCs w:val="24"/>
          <w:lang w:val="en-GB" w:eastAsia="it-IT"/>
        </w:rPr>
        <w:t>newly diagnosed</w:t>
      </w:r>
      <w:r w:rsidR="00EA6FC7" w:rsidRPr="00966346">
        <w:rPr>
          <w:rFonts w:ascii="Arial" w:eastAsia="Times New Roman" w:hAnsi="Arial" w:cs="Arial"/>
          <w:sz w:val="24"/>
          <w:szCs w:val="24"/>
          <w:lang w:eastAsia="it-IT"/>
        </w:rPr>
        <w:t xml:space="preserve"> PCNSL </w:t>
      </w:r>
      <w:r w:rsidR="00EA6FC7" w:rsidRPr="00966346">
        <w:rPr>
          <w:rFonts w:ascii="Arial" w:eastAsia="Times New Roman" w:hAnsi="Arial" w:cs="Arial"/>
          <w:sz w:val="24"/>
          <w:szCs w:val="24"/>
          <w:lang w:val="en-GB" w:eastAsia="it-IT"/>
        </w:rPr>
        <w:t>and as the control arm for future randomized trials.</w:t>
      </w:r>
      <w:r w:rsidR="00156BBD" w:rsidRPr="00966346">
        <w:rPr>
          <w:rFonts w:ascii="Arial" w:eastAsia="Times New Roman" w:hAnsi="Arial" w:cs="Arial"/>
          <w:sz w:val="24"/>
          <w:szCs w:val="24"/>
          <w:lang w:val="en-GB" w:eastAsia="it-IT"/>
        </w:rPr>
        <w:t xml:space="preserve"> Importantly, both WBRT and ASCT were feasible and effective as consolidation after </w:t>
      </w:r>
      <w:r w:rsidR="007B37E7" w:rsidRPr="00966346">
        <w:rPr>
          <w:rFonts w:ascii="Arial" w:eastAsia="Times New Roman" w:hAnsi="Arial" w:cs="Arial"/>
          <w:sz w:val="24"/>
          <w:szCs w:val="24"/>
          <w:lang w:eastAsia="it-IT"/>
        </w:rPr>
        <w:t>high</w:t>
      </w:r>
      <w:r w:rsidR="001B2141" w:rsidRPr="00966346">
        <w:rPr>
          <w:rFonts w:ascii="Arial" w:eastAsia="Times New Roman" w:hAnsi="Arial" w:cs="Arial"/>
          <w:sz w:val="24"/>
          <w:szCs w:val="24"/>
          <w:lang w:eastAsia="it-IT"/>
        </w:rPr>
        <w:t>-dose-methotrexate</w:t>
      </w:r>
      <w:r w:rsidR="00156BBD" w:rsidRPr="00966346">
        <w:rPr>
          <w:rFonts w:ascii="Arial" w:eastAsia="Times New Roman" w:hAnsi="Arial" w:cs="Arial"/>
          <w:sz w:val="24"/>
          <w:szCs w:val="24"/>
          <w:lang w:val="en-GB" w:eastAsia="it-IT"/>
        </w:rPr>
        <w:t xml:space="preserve">-based </w:t>
      </w:r>
      <w:r w:rsidR="007B37E7" w:rsidRPr="00966346">
        <w:rPr>
          <w:rFonts w:ascii="Arial" w:eastAsia="Times New Roman" w:hAnsi="Arial" w:cs="Arial"/>
          <w:sz w:val="24"/>
          <w:szCs w:val="24"/>
          <w:lang w:val="en-GB" w:eastAsia="it-IT"/>
        </w:rPr>
        <w:t>induction</w:t>
      </w:r>
      <w:r w:rsidR="00156BBD" w:rsidRPr="00966346">
        <w:rPr>
          <w:rFonts w:ascii="Arial" w:eastAsia="Times New Roman" w:hAnsi="Arial" w:cs="Arial"/>
          <w:sz w:val="24"/>
          <w:szCs w:val="24"/>
          <w:lang w:val="en-GB" w:eastAsia="it-IT"/>
        </w:rPr>
        <w:t xml:space="preserve">, and after MATRix in particular. </w:t>
      </w:r>
      <w:r w:rsidR="00777807" w:rsidRPr="00966346">
        <w:rPr>
          <w:rFonts w:ascii="Arial" w:eastAsia="Times New Roman" w:hAnsi="Arial" w:cs="Arial"/>
          <w:sz w:val="24"/>
          <w:szCs w:val="24"/>
          <w:lang w:val="en-GB" w:eastAsia="it-IT"/>
        </w:rPr>
        <w:t>For such</w:t>
      </w:r>
      <w:r w:rsidR="00156BBD" w:rsidRPr="00966346">
        <w:rPr>
          <w:rFonts w:ascii="Arial" w:eastAsia="Times New Roman" w:hAnsi="Arial" w:cs="Arial"/>
          <w:sz w:val="24"/>
          <w:szCs w:val="24"/>
          <w:lang w:val="en-GB" w:eastAsia="it-IT"/>
        </w:rPr>
        <w:t xml:space="preserve"> patients, </w:t>
      </w:r>
      <w:r w:rsidR="00BA742F" w:rsidRPr="00966346">
        <w:rPr>
          <w:rFonts w:ascii="Arial" w:eastAsia="Times New Roman" w:hAnsi="Arial" w:cs="Arial"/>
          <w:sz w:val="24"/>
          <w:szCs w:val="24"/>
          <w:lang w:val="en-GB" w:eastAsia="it-IT"/>
        </w:rPr>
        <w:t xml:space="preserve">the effects of treatments </w:t>
      </w:r>
      <w:r w:rsidR="00BA742F" w:rsidRPr="00966346">
        <w:rPr>
          <w:rFonts w:ascii="Arial" w:eastAsia="Times New Roman" w:hAnsi="Arial" w:cs="Arial"/>
          <w:sz w:val="24"/>
          <w:szCs w:val="24"/>
          <w:lang w:eastAsia="it-IT"/>
        </w:rPr>
        <w:t xml:space="preserve">on cognitive functions and QoL </w:t>
      </w:r>
      <w:r w:rsidR="00156BBD" w:rsidRPr="00966346">
        <w:rPr>
          <w:rFonts w:ascii="Arial" w:eastAsia="Times New Roman" w:hAnsi="Arial" w:cs="Arial"/>
          <w:sz w:val="24"/>
          <w:szCs w:val="24"/>
          <w:lang w:eastAsia="it-IT"/>
        </w:rPr>
        <w:t>should be considered at t</w:t>
      </w:r>
      <w:r w:rsidR="00533B8E" w:rsidRPr="00966346">
        <w:rPr>
          <w:rFonts w:ascii="Arial" w:eastAsia="Times New Roman" w:hAnsi="Arial" w:cs="Arial"/>
          <w:sz w:val="24"/>
          <w:szCs w:val="24"/>
          <w:lang w:eastAsia="it-IT"/>
        </w:rPr>
        <w:t>he time of therapeutic decision</w:t>
      </w:r>
      <w:r w:rsidR="001B0A1E" w:rsidRPr="00966346">
        <w:rPr>
          <w:rFonts w:ascii="Arial" w:eastAsia="Times New Roman" w:hAnsi="Arial" w:cs="Arial"/>
          <w:sz w:val="24"/>
          <w:szCs w:val="24"/>
          <w:lang w:eastAsia="it-IT"/>
        </w:rPr>
        <w:t xml:space="preserve">. </w:t>
      </w:r>
      <w:r w:rsidR="00BD4EDE" w:rsidRPr="00966346">
        <w:rPr>
          <w:rFonts w:ascii="Arial" w:eastAsia="Times New Roman" w:hAnsi="Arial" w:cs="Arial"/>
          <w:sz w:val="24"/>
          <w:szCs w:val="24"/>
          <w:lang w:val="en-GB" w:eastAsia="it-IT"/>
        </w:rPr>
        <w:br w:type="page"/>
      </w:r>
    </w:p>
    <w:p w14:paraId="23D168C3" w14:textId="77777777" w:rsidR="00BD4EDE" w:rsidRPr="00966346" w:rsidRDefault="00BD4EDE" w:rsidP="001F791E">
      <w:pPr>
        <w:spacing w:after="0" w:line="360" w:lineRule="auto"/>
        <w:jc w:val="both"/>
        <w:rPr>
          <w:rFonts w:ascii="Arial" w:eastAsia="Times New Roman" w:hAnsi="Arial" w:cs="Arial"/>
          <w:sz w:val="24"/>
          <w:szCs w:val="24"/>
          <w:lang w:eastAsia="it-IT"/>
        </w:rPr>
      </w:pPr>
      <w:r w:rsidRPr="00966346">
        <w:rPr>
          <w:rFonts w:ascii="Arial" w:eastAsia="Times New Roman" w:hAnsi="Arial" w:cs="Arial"/>
          <w:b/>
          <w:sz w:val="24"/>
          <w:szCs w:val="24"/>
          <w:lang w:eastAsia="it-IT"/>
        </w:rPr>
        <w:lastRenderedPageBreak/>
        <w:t>RESEARCH IN CONTEXT</w:t>
      </w:r>
    </w:p>
    <w:p w14:paraId="33ACBDFB" w14:textId="77777777" w:rsidR="00BD4EDE" w:rsidRPr="00966346" w:rsidRDefault="00BD4EDE" w:rsidP="001F791E">
      <w:pPr>
        <w:spacing w:after="0" w:line="360" w:lineRule="auto"/>
        <w:jc w:val="both"/>
        <w:rPr>
          <w:rFonts w:ascii="Arial" w:eastAsia="Times New Roman" w:hAnsi="Arial" w:cs="Arial"/>
          <w:b/>
          <w:bCs/>
          <w:sz w:val="24"/>
          <w:szCs w:val="24"/>
          <w:lang w:eastAsia="it-IT"/>
        </w:rPr>
      </w:pPr>
      <w:r w:rsidRPr="00966346">
        <w:rPr>
          <w:rFonts w:ascii="Arial" w:eastAsia="Times New Roman" w:hAnsi="Arial" w:cs="Arial"/>
          <w:b/>
          <w:bCs/>
          <w:sz w:val="24"/>
          <w:szCs w:val="24"/>
          <w:lang w:eastAsia="it-IT"/>
        </w:rPr>
        <w:t>Evidence before the IELSG32 trial</w:t>
      </w:r>
    </w:p>
    <w:p w14:paraId="0501286B" w14:textId="77777777" w:rsidR="00E03356" w:rsidRPr="00966346" w:rsidRDefault="0011757B" w:rsidP="001F791E">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 xml:space="preserve">We searched PubMed between 1990 and 2015, for prospective trials investigating </w:t>
      </w:r>
      <w:r w:rsidR="00E03356" w:rsidRPr="00966346">
        <w:rPr>
          <w:rFonts w:ascii="Arial" w:eastAsia="Times New Roman" w:hAnsi="Arial" w:cs="Arial"/>
          <w:sz w:val="24"/>
          <w:szCs w:val="24"/>
          <w:lang w:eastAsia="it-IT"/>
        </w:rPr>
        <w:t>the treatment of patients with newly diagnosed primary CNS lymphoma</w:t>
      </w:r>
      <w:r w:rsidRPr="00966346">
        <w:rPr>
          <w:rFonts w:ascii="Arial" w:eastAsia="Times New Roman" w:hAnsi="Arial" w:cs="Arial"/>
          <w:sz w:val="24"/>
          <w:szCs w:val="24"/>
          <w:lang w:eastAsia="it-IT"/>
        </w:rPr>
        <w:t>.</w:t>
      </w:r>
      <w:r w:rsidR="00E03356" w:rsidRPr="00966346">
        <w:rPr>
          <w:rFonts w:ascii="Arial" w:eastAsia="Times New Roman" w:hAnsi="Arial" w:cs="Arial"/>
          <w:sz w:val="24"/>
          <w:szCs w:val="24"/>
          <w:lang w:eastAsia="it-IT"/>
        </w:rPr>
        <w:t xml:space="preserve"> </w:t>
      </w:r>
      <w:r w:rsidRPr="00966346">
        <w:rPr>
          <w:rFonts w:ascii="Arial" w:eastAsia="Times New Roman" w:hAnsi="Arial" w:cs="Arial"/>
          <w:sz w:val="24"/>
          <w:szCs w:val="24"/>
          <w:lang w:eastAsia="it-IT"/>
        </w:rPr>
        <w:t>We used the search terms</w:t>
      </w:r>
      <w:r w:rsidRPr="00966346">
        <w:rPr>
          <w:rFonts w:ascii="Arial" w:eastAsia="Times New Roman" w:hAnsi="Arial" w:cs="Arial"/>
          <w:bCs/>
          <w:sz w:val="24"/>
          <w:szCs w:val="24"/>
          <w:lang w:val="en-GB" w:eastAsia="it-IT"/>
        </w:rPr>
        <w:t xml:space="preserve"> </w:t>
      </w:r>
      <w:r w:rsidR="00E03356" w:rsidRPr="00966346">
        <w:rPr>
          <w:rFonts w:ascii="Arial" w:eastAsia="Times New Roman" w:hAnsi="Arial" w:cs="Arial"/>
          <w:bCs/>
          <w:sz w:val="24"/>
          <w:szCs w:val="24"/>
          <w:lang w:val="en-GB" w:eastAsia="it-IT"/>
        </w:rPr>
        <w:t>“central nervous system”, "CNS", “lymphoma”,</w:t>
      </w:r>
      <w:r w:rsidR="00E03356" w:rsidRPr="00966346">
        <w:rPr>
          <w:rFonts w:ascii="Arial" w:eastAsia="Times New Roman" w:hAnsi="Arial" w:cs="Arial"/>
          <w:sz w:val="24"/>
          <w:szCs w:val="24"/>
          <w:lang w:eastAsia="it-IT"/>
        </w:rPr>
        <w:t xml:space="preserve"> “primary CNS lymphoma”, “PCNSL” </w:t>
      </w:r>
      <w:r w:rsidR="00E03356" w:rsidRPr="00966346">
        <w:rPr>
          <w:rFonts w:ascii="Arial" w:eastAsia="Times New Roman" w:hAnsi="Arial" w:cs="Arial"/>
          <w:bCs/>
          <w:sz w:val="24"/>
          <w:szCs w:val="24"/>
          <w:lang w:val="en-GB" w:eastAsia="it-IT"/>
        </w:rPr>
        <w:t xml:space="preserve">and </w:t>
      </w:r>
      <w:r w:rsidR="00E03356" w:rsidRPr="00966346">
        <w:rPr>
          <w:rFonts w:ascii="Arial" w:eastAsia="Times New Roman" w:hAnsi="Arial" w:cs="Arial"/>
          <w:sz w:val="24"/>
          <w:szCs w:val="24"/>
          <w:lang w:eastAsia="it-IT"/>
        </w:rPr>
        <w:t xml:space="preserve">“brain lymphoma”. </w:t>
      </w:r>
      <w:r w:rsidR="00C10912" w:rsidRPr="00966346">
        <w:rPr>
          <w:rFonts w:ascii="Arial" w:eastAsia="Times New Roman" w:hAnsi="Arial" w:cs="Arial"/>
          <w:bCs/>
          <w:sz w:val="24"/>
          <w:szCs w:val="24"/>
          <w:lang w:val="en-GB" w:eastAsia="it-IT"/>
        </w:rPr>
        <w:t>Pu</w:t>
      </w:r>
      <w:r w:rsidR="00E03356" w:rsidRPr="00966346">
        <w:rPr>
          <w:rFonts w:ascii="Arial" w:eastAsia="Times New Roman" w:hAnsi="Arial" w:cs="Arial"/>
          <w:bCs/>
          <w:sz w:val="24"/>
          <w:szCs w:val="24"/>
          <w:lang w:val="en-GB" w:eastAsia="it-IT"/>
        </w:rPr>
        <w:t>blications in non-English languages with abstracts in English were also considered.</w:t>
      </w:r>
      <w:r w:rsidR="00BD4EDE" w:rsidRPr="00966346">
        <w:rPr>
          <w:rFonts w:ascii="Arial" w:eastAsia="Times New Roman" w:hAnsi="Arial" w:cs="Arial"/>
          <w:sz w:val="24"/>
          <w:szCs w:val="24"/>
          <w:lang w:eastAsia="it-IT"/>
        </w:rPr>
        <w:t xml:space="preserve"> </w:t>
      </w:r>
      <w:r w:rsidR="00C10912" w:rsidRPr="00966346">
        <w:rPr>
          <w:rFonts w:ascii="Arial" w:eastAsia="Times New Roman" w:hAnsi="Arial" w:cs="Arial"/>
          <w:bCs/>
          <w:sz w:val="24"/>
          <w:szCs w:val="24"/>
          <w:lang w:val="en-GB" w:eastAsia="it-IT"/>
        </w:rPr>
        <w:t xml:space="preserve">Abstract only data from international meetings during the last three years were considered. </w:t>
      </w:r>
    </w:p>
    <w:p w14:paraId="1878495F" w14:textId="77777777" w:rsidR="009D7EFD" w:rsidRPr="00966346" w:rsidRDefault="00C10912" w:rsidP="009D7EFD">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T</w:t>
      </w:r>
      <w:r w:rsidR="00BD4EDE" w:rsidRPr="00966346">
        <w:rPr>
          <w:rFonts w:ascii="Arial" w:eastAsia="Times New Roman" w:hAnsi="Arial" w:cs="Arial"/>
          <w:sz w:val="24"/>
          <w:szCs w:val="24"/>
          <w:lang w:eastAsia="it-IT"/>
        </w:rPr>
        <w:t xml:space="preserve">he </w:t>
      </w:r>
      <w:r w:rsidRPr="00966346">
        <w:rPr>
          <w:rFonts w:ascii="Arial" w:eastAsia="Times New Roman" w:hAnsi="Arial" w:cs="Arial"/>
          <w:sz w:val="24"/>
          <w:szCs w:val="24"/>
          <w:lang w:eastAsia="it-IT"/>
        </w:rPr>
        <w:t>level</w:t>
      </w:r>
      <w:r w:rsidR="00BD4EDE" w:rsidRPr="00966346">
        <w:rPr>
          <w:rFonts w:ascii="Arial" w:eastAsia="Times New Roman" w:hAnsi="Arial" w:cs="Arial"/>
          <w:sz w:val="24"/>
          <w:szCs w:val="24"/>
          <w:lang w:eastAsia="it-IT"/>
        </w:rPr>
        <w:t xml:space="preserve"> </w:t>
      </w:r>
      <w:r w:rsidR="00620514" w:rsidRPr="00966346">
        <w:rPr>
          <w:rFonts w:ascii="Arial" w:eastAsia="Times New Roman" w:hAnsi="Arial" w:cs="Arial"/>
          <w:sz w:val="24"/>
          <w:szCs w:val="24"/>
          <w:lang w:eastAsia="it-IT"/>
        </w:rPr>
        <w:t xml:space="preserve">of </w:t>
      </w:r>
      <w:r w:rsidR="00BD4EDE" w:rsidRPr="00966346">
        <w:rPr>
          <w:rFonts w:ascii="Arial" w:eastAsia="Times New Roman" w:hAnsi="Arial" w:cs="Arial"/>
          <w:sz w:val="24"/>
          <w:szCs w:val="24"/>
          <w:lang w:eastAsia="it-IT"/>
        </w:rPr>
        <w:t>evidence</w:t>
      </w:r>
      <w:r w:rsidRPr="00966346">
        <w:rPr>
          <w:rFonts w:ascii="Arial" w:eastAsia="Times New Roman" w:hAnsi="Arial" w:cs="Arial"/>
          <w:sz w:val="24"/>
          <w:szCs w:val="24"/>
          <w:lang w:eastAsia="it-IT"/>
        </w:rPr>
        <w:t xml:space="preserve"> in this field is still low</w:t>
      </w:r>
      <w:r w:rsidR="00BD4EDE" w:rsidRPr="00966346">
        <w:rPr>
          <w:rFonts w:ascii="Arial" w:eastAsia="Times New Roman" w:hAnsi="Arial" w:cs="Arial"/>
          <w:sz w:val="24"/>
          <w:szCs w:val="24"/>
          <w:lang w:eastAsia="it-IT"/>
        </w:rPr>
        <w:t xml:space="preserve">; </w:t>
      </w:r>
      <w:r w:rsidR="00620514" w:rsidRPr="00966346">
        <w:rPr>
          <w:rFonts w:ascii="Arial" w:eastAsia="Times New Roman" w:hAnsi="Arial" w:cs="Arial"/>
          <w:sz w:val="24"/>
          <w:szCs w:val="24"/>
          <w:lang w:eastAsia="it-IT"/>
        </w:rPr>
        <w:t>literature</w:t>
      </w:r>
      <w:r w:rsidRPr="00966346">
        <w:rPr>
          <w:rFonts w:ascii="Arial" w:eastAsia="Times New Roman" w:hAnsi="Arial" w:cs="Arial"/>
          <w:sz w:val="24"/>
          <w:szCs w:val="24"/>
          <w:lang w:eastAsia="it-IT"/>
        </w:rPr>
        <w:t xml:space="preserve"> is mostly constituted by single-arm phase II trials including </w:t>
      </w:r>
      <w:r w:rsidR="007A708B" w:rsidRPr="00966346">
        <w:rPr>
          <w:rFonts w:ascii="Arial" w:eastAsia="Times New Roman" w:hAnsi="Arial" w:cs="Arial"/>
          <w:sz w:val="24"/>
          <w:szCs w:val="24"/>
          <w:lang w:eastAsia="it-IT"/>
        </w:rPr>
        <w:t>≤</w:t>
      </w:r>
      <w:r w:rsidRPr="00966346">
        <w:rPr>
          <w:rFonts w:ascii="Arial" w:eastAsia="Times New Roman" w:hAnsi="Arial" w:cs="Arial"/>
          <w:sz w:val="24"/>
          <w:szCs w:val="24"/>
          <w:lang w:eastAsia="it-IT"/>
        </w:rPr>
        <w:t xml:space="preserve">65 </w:t>
      </w:r>
      <w:r w:rsidR="0011757B" w:rsidRPr="00966346">
        <w:rPr>
          <w:rFonts w:ascii="Arial" w:eastAsia="Times New Roman" w:hAnsi="Arial" w:cs="Arial"/>
          <w:sz w:val="24"/>
          <w:szCs w:val="24"/>
          <w:lang w:eastAsia="it-IT"/>
        </w:rPr>
        <w:t>patients</w:t>
      </w:r>
      <w:r w:rsidRPr="00966346">
        <w:rPr>
          <w:rFonts w:ascii="Arial" w:eastAsia="Times New Roman" w:hAnsi="Arial" w:cs="Arial"/>
          <w:sz w:val="24"/>
          <w:szCs w:val="24"/>
          <w:lang w:eastAsia="it-IT"/>
        </w:rPr>
        <w:t xml:space="preserve"> and only three randomized trials (</w:t>
      </w:r>
      <w:r w:rsidR="00A310A0" w:rsidRPr="00966346">
        <w:rPr>
          <w:rFonts w:ascii="Arial" w:eastAsia="Times New Roman" w:hAnsi="Arial" w:cs="Arial"/>
          <w:sz w:val="24"/>
          <w:szCs w:val="24"/>
          <w:lang w:eastAsia="it-IT"/>
        </w:rPr>
        <w:t xml:space="preserve">an additional randomized </w:t>
      </w:r>
      <w:r w:rsidRPr="00966346">
        <w:rPr>
          <w:rFonts w:ascii="Arial" w:eastAsia="Times New Roman" w:hAnsi="Arial" w:cs="Arial"/>
          <w:sz w:val="24"/>
          <w:szCs w:val="24"/>
          <w:lang w:eastAsia="it-IT"/>
        </w:rPr>
        <w:t>trial focused on elderly patients w</w:t>
      </w:r>
      <w:r w:rsidR="0011757B" w:rsidRPr="00966346">
        <w:rPr>
          <w:rFonts w:ascii="Arial" w:eastAsia="Times New Roman" w:hAnsi="Arial" w:cs="Arial"/>
          <w:sz w:val="24"/>
          <w:szCs w:val="24"/>
          <w:lang w:eastAsia="it-IT"/>
        </w:rPr>
        <w:t>as</w:t>
      </w:r>
      <w:r w:rsidRPr="00966346">
        <w:rPr>
          <w:rFonts w:ascii="Arial" w:eastAsia="Times New Roman" w:hAnsi="Arial" w:cs="Arial"/>
          <w:sz w:val="24"/>
          <w:szCs w:val="24"/>
          <w:lang w:eastAsia="it-IT"/>
        </w:rPr>
        <w:t xml:space="preserve"> excluded)</w:t>
      </w:r>
      <w:r w:rsidR="00BD4EDE" w:rsidRPr="00966346">
        <w:rPr>
          <w:rFonts w:ascii="Arial" w:eastAsia="Times New Roman" w:hAnsi="Arial" w:cs="Arial"/>
          <w:sz w:val="24"/>
          <w:szCs w:val="24"/>
          <w:lang w:eastAsia="it-IT"/>
        </w:rPr>
        <w:t>.</w:t>
      </w:r>
      <w:r w:rsidRPr="00966346">
        <w:rPr>
          <w:rFonts w:ascii="Arial" w:eastAsia="Times New Roman" w:hAnsi="Arial" w:cs="Arial"/>
          <w:sz w:val="24"/>
          <w:szCs w:val="24"/>
          <w:lang w:eastAsia="it-IT"/>
        </w:rPr>
        <w:t xml:space="preserve"> </w:t>
      </w:r>
      <w:r w:rsidR="005D6A88" w:rsidRPr="00966346">
        <w:rPr>
          <w:rFonts w:ascii="Arial" w:eastAsia="Times New Roman" w:hAnsi="Arial" w:cs="Arial"/>
          <w:sz w:val="24"/>
          <w:szCs w:val="24"/>
          <w:lang w:eastAsia="it-IT"/>
        </w:rPr>
        <w:t>The reviewed literature support</w:t>
      </w:r>
      <w:r w:rsidR="0011757B" w:rsidRPr="00966346">
        <w:rPr>
          <w:rFonts w:ascii="Arial" w:eastAsia="Times New Roman" w:hAnsi="Arial" w:cs="Arial"/>
          <w:sz w:val="24"/>
          <w:szCs w:val="24"/>
          <w:lang w:eastAsia="it-IT"/>
        </w:rPr>
        <w:t>s</w:t>
      </w:r>
      <w:r w:rsidR="005D6A88" w:rsidRPr="00966346">
        <w:rPr>
          <w:rFonts w:ascii="Arial" w:eastAsia="Times New Roman" w:hAnsi="Arial" w:cs="Arial"/>
          <w:sz w:val="24"/>
          <w:szCs w:val="24"/>
          <w:lang w:eastAsia="it-IT"/>
        </w:rPr>
        <w:t xml:space="preserve"> a treatment for patients with </w:t>
      </w:r>
      <w:r w:rsidR="007A708B" w:rsidRPr="00966346">
        <w:rPr>
          <w:rFonts w:ascii="Arial" w:eastAsia="Times New Roman" w:hAnsi="Arial" w:cs="Arial"/>
          <w:sz w:val="24"/>
          <w:szCs w:val="24"/>
          <w:lang w:eastAsia="it-IT"/>
        </w:rPr>
        <w:t>PCNSL</w:t>
      </w:r>
      <w:r w:rsidR="005D6A88" w:rsidRPr="00966346">
        <w:rPr>
          <w:rFonts w:ascii="Arial" w:eastAsia="Times New Roman" w:hAnsi="Arial" w:cs="Arial"/>
          <w:sz w:val="24"/>
          <w:szCs w:val="24"/>
          <w:lang w:eastAsia="it-IT"/>
        </w:rPr>
        <w:t xml:space="preserve"> including chemotherapy induction followed by one consolidation </w:t>
      </w:r>
      <w:r w:rsidR="0011757B" w:rsidRPr="00966346">
        <w:rPr>
          <w:rFonts w:ascii="Arial" w:eastAsia="Times New Roman" w:hAnsi="Arial" w:cs="Arial"/>
          <w:sz w:val="24"/>
          <w:szCs w:val="24"/>
          <w:lang w:eastAsia="it-IT"/>
        </w:rPr>
        <w:t>therapy</w:t>
      </w:r>
      <w:r w:rsidR="005D6A88" w:rsidRPr="00966346">
        <w:rPr>
          <w:rFonts w:ascii="Arial" w:eastAsia="Times New Roman" w:hAnsi="Arial" w:cs="Arial"/>
          <w:sz w:val="24"/>
          <w:szCs w:val="24"/>
          <w:lang w:eastAsia="it-IT"/>
        </w:rPr>
        <w:t xml:space="preserve"> among whole-brain irradiation</w:t>
      </w:r>
      <w:r w:rsidR="008653A6" w:rsidRPr="00966346">
        <w:rPr>
          <w:rFonts w:ascii="Arial" w:eastAsia="Times New Roman" w:hAnsi="Arial" w:cs="Arial"/>
          <w:sz w:val="24"/>
          <w:szCs w:val="24"/>
          <w:lang w:eastAsia="it-IT"/>
        </w:rPr>
        <w:t xml:space="preserve"> (WBRT)</w:t>
      </w:r>
      <w:r w:rsidR="005D6A88" w:rsidRPr="00966346">
        <w:rPr>
          <w:rFonts w:ascii="Arial" w:eastAsia="Times New Roman" w:hAnsi="Arial" w:cs="Arial"/>
          <w:sz w:val="24"/>
          <w:szCs w:val="24"/>
          <w:lang w:eastAsia="it-IT"/>
        </w:rPr>
        <w:t xml:space="preserve">, high-dose chemotherapy supported by autologous stem cell transplantation </w:t>
      </w:r>
      <w:r w:rsidR="008653A6" w:rsidRPr="00966346">
        <w:rPr>
          <w:rFonts w:ascii="Arial" w:eastAsia="Times New Roman" w:hAnsi="Arial" w:cs="Arial"/>
          <w:sz w:val="24"/>
          <w:szCs w:val="24"/>
          <w:lang w:eastAsia="it-IT"/>
        </w:rPr>
        <w:t xml:space="preserve">(ASCT) </w:t>
      </w:r>
      <w:r w:rsidR="0011757B" w:rsidRPr="00966346">
        <w:rPr>
          <w:rFonts w:ascii="Arial" w:eastAsia="Times New Roman" w:hAnsi="Arial" w:cs="Arial"/>
          <w:sz w:val="24"/>
          <w:szCs w:val="24"/>
          <w:lang w:eastAsia="it-IT"/>
        </w:rPr>
        <w:t>or</w:t>
      </w:r>
      <w:r w:rsidR="005D6A88" w:rsidRPr="00966346">
        <w:rPr>
          <w:rFonts w:ascii="Arial" w:eastAsia="Times New Roman" w:hAnsi="Arial" w:cs="Arial"/>
          <w:sz w:val="24"/>
          <w:szCs w:val="24"/>
          <w:lang w:eastAsia="it-IT"/>
        </w:rPr>
        <w:t xml:space="preserve"> non</w:t>
      </w:r>
      <w:r w:rsidR="0011757B" w:rsidRPr="00966346">
        <w:rPr>
          <w:rFonts w:ascii="Arial" w:eastAsia="Times New Roman" w:hAnsi="Arial" w:cs="Arial"/>
          <w:sz w:val="24"/>
          <w:szCs w:val="24"/>
          <w:lang w:eastAsia="it-IT"/>
        </w:rPr>
        <w:t>-</w:t>
      </w:r>
      <w:r w:rsidR="005D6A88" w:rsidRPr="00966346">
        <w:rPr>
          <w:rFonts w:ascii="Arial" w:eastAsia="Times New Roman" w:hAnsi="Arial" w:cs="Arial"/>
          <w:sz w:val="24"/>
          <w:szCs w:val="24"/>
          <w:lang w:eastAsia="it-IT"/>
        </w:rPr>
        <w:t xml:space="preserve">myeloablative chemotherapy. </w:t>
      </w:r>
      <w:r w:rsidR="009D7EFD" w:rsidRPr="00966346">
        <w:rPr>
          <w:rFonts w:ascii="Arial" w:eastAsia="Times New Roman" w:hAnsi="Arial" w:cs="Arial"/>
          <w:sz w:val="24"/>
          <w:szCs w:val="24"/>
          <w:lang w:eastAsia="it-IT"/>
        </w:rPr>
        <w:t>The analysis of the first randomization of the IELSG32 trial ha</w:t>
      </w:r>
      <w:r w:rsidR="00FC64F6" w:rsidRPr="00966346">
        <w:rPr>
          <w:rFonts w:ascii="Arial" w:eastAsia="Times New Roman" w:hAnsi="Arial" w:cs="Arial"/>
          <w:sz w:val="24"/>
          <w:szCs w:val="24"/>
          <w:lang w:eastAsia="it-IT"/>
        </w:rPr>
        <w:t>s</w:t>
      </w:r>
      <w:r w:rsidR="009D7EFD" w:rsidRPr="00966346">
        <w:rPr>
          <w:rFonts w:ascii="Arial" w:eastAsia="Times New Roman" w:hAnsi="Arial" w:cs="Arial"/>
          <w:sz w:val="24"/>
          <w:szCs w:val="24"/>
          <w:lang w:eastAsia="it-IT"/>
        </w:rPr>
        <w:t xml:space="preserve"> demonstrated that a combination of high dose</w:t>
      </w:r>
      <w:r w:rsidR="007A708B" w:rsidRPr="00966346">
        <w:rPr>
          <w:rFonts w:ascii="Arial" w:eastAsia="Times New Roman" w:hAnsi="Arial" w:cs="Arial"/>
          <w:sz w:val="24"/>
          <w:szCs w:val="24"/>
          <w:lang w:eastAsia="it-IT"/>
        </w:rPr>
        <w:t>s</w:t>
      </w:r>
      <w:r w:rsidR="009D7EFD" w:rsidRPr="00966346">
        <w:rPr>
          <w:rFonts w:ascii="Arial" w:eastAsia="Times New Roman" w:hAnsi="Arial" w:cs="Arial"/>
          <w:sz w:val="24"/>
          <w:szCs w:val="24"/>
          <w:lang w:eastAsia="it-IT"/>
        </w:rPr>
        <w:t xml:space="preserve"> of methotrexate and cytarabine plus thiotepa and rituximab (MATRix regimen) is significantly more active and effective than methotrexate-cytarabine ± rituximab combinations, with an important positive effect on overall survival. Other</w:t>
      </w:r>
      <w:r w:rsidR="00620514" w:rsidRPr="00966346">
        <w:rPr>
          <w:rFonts w:ascii="Arial" w:eastAsia="Times New Roman" w:hAnsi="Arial" w:cs="Arial"/>
          <w:sz w:val="24"/>
          <w:szCs w:val="24"/>
          <w:lang w:val="en-GB" w:eastAsia="it-IT"/>
        </w:rPr>
        <w:t xml:space="preserve"> single-arm phase II trials</w:t>
      </w:r>
      <w:r w:rsidR="009D7EFD" w:rsidRPr="00966346">
        <w:rPr>
          <w:rFonts w:ascii="Arial" w:eastAsia="Times New Roman" w:hAnsi="Arial" w:cs="Arial"/>
          <w:sz w:val="24"/>
          <w:szCs w:val="24"/>
          <w:lang w:val="en-GB" w:eastAsia="it-IT"/>
        </w:rPr>
        <w:t xml:space="preserve"> have assessed </w:t>
      </w:r>
      <w:r w:rsidR="00620514" w:rsidRPr="00966346">
        <w:rPr>
          <w:rFonts w:ascii="Arial" w:eastAsia="Times New Roman" w:hAnsi="Arial" w:cs="Arial"/>
          <w:sz w:val="24"/>
          <w:szCs w:val="24"/>
          <w:lang w:val="en-GB" w:eastAsia="it-IT"/>
        </w:rPr>
        <w:t xml:space="preserve">combinations </w:t>
      </w:r>
      <w:r w:rsidR="009D7EFD" w:rsidRPr="00966346">
        <w:rPr>
          <w:rFonts w:ascii="Arial" w:eastAsia="Times New Roman" w:hAnsi="Arial" w:cs="Arial"/>
          <w:sz w:val="24"/>
          <w:szCs w:val="24"/>
          <w:lang w:val="en-GB" w:eastAsia="it-IT"/>
        </w:rPr>
        <w:t xml:space="preserve">containing methotrexate, an alkylating agent and rituximab, but these therapies </w:t>
      </w:r>
      <w:r w:rsidR="00620514" w:rsidRPr="00966346">
        <w:rPr>
          <w:rFonts w:ascii="Arial" w:eastAsia="Times New Roman" w:hAnsi="Arial" w:cs="Arial"/>
          <w:sz w:val="24"/>
          <w:szCs w:val="24"/>
          <w:lang w:val="en-GB" w:eastAsia="it-IT"/>
        </w:rPr>
        <w:t xml:space="preserve">are currently used in limited geographical areas, and their routine use is not supported by a randomized </w:t>
      </w:r>
      <w:r w:rsidR="009D7EFD" w:rsidRPr="00966346">
        <w:rPr>
          <w:rFonts w:ascii="Arial" w:eastAsia="Times New Roman" w:hAnsi="Arial" w:cs="Arial"/>
          <w:sz w:val="24"/>
          <w:szCs w:val="24"/>
          <w:lang w:val="en-GB" w:eastAsia="it-IT"/>
        </w:rPr>
        <w:t>study</w:t>
      </w:r>
      <w:r w:rsidR="00620514" w:rsidRPr="00966346">
        <w:rPr>
          <w:rFonts w:ascii="Arial" w:eastAsia="Times New Roman" w:hAnsi="Arial" w:cs="Arial"/>
          <w:sz w:val="24"/>
          <w:szCs w:val="24"/>
          <w:lang w:val="en-GB" w:eastAsia="it-IT"/>
        </w:rPr>
        <w:t xml:space="preserve">. </w:t>
      </w:r>
      <w:r w:rsidR="008653A6" w:rsidRPr="00966346">
        <w:rPr>
          <w:rFonts w:ascii="Arial" w:eastAsia="Times New Roman" w:hAnsi="Arial" w:cs="Arial"/>
          <w:sz w:val="24"/>
          <w:szCs w:val="24"/>
          <w:lang w:val="en-GB" w:eastAsia="it-IT"/>
        </w:rPr>
        <w:t xml:space="preserve">At least four ongoing randomized trials are investigating different approaches as alternative to WBRT as consolidation strategy for patients with PCNSL. </w:t>
      </w:r>
      <w:r w:rsidR="009D7EFD" w:rsidRPr="00966346">
        <w:rPr>
          <w:rFonts w:ascii="Arial" w:eastAsia="Times New Roman" w:hAnsi="Arial" w:cs="Arial"/>
          <w:sz w:val="24"/>
          <w:szCs w:val="24"/>
          <w:lang w:eastAsia="it-IT"/>
        </w:rPr>
        <w:t>The main reason to avoid WBRT in PCNSL management is the risk of severe neurotoxicity reported in a few, mono</w:t>
      </w:r>
      <w:r w:rsidR="00FC64F6" w:rsidRPr="00966346">
        <w:rPr>
          <w:rFonts w:ascii="Arial" w:eastAsia="Times New Roman" w:hAnsi="Arial" w:cs="Arial"/>
          <w:sz w:val="24"/>
          <w:szCs w:val="24"/>
          <w:lang w:eastAsia="it-IT"/>
        </w:rPr>
        <w:t>-</w:t>
      </w:r>
      <w:r w:rsidR="009D7EFD" w:rsidRPr="00966346">
        <w:rPr>
          <w:rFonts w:ascii="Arial" w:eastAsia="Times New Roman" w:hAnsi="Arial" w:cs="Arial"/>
          <w:sz w:val="24"/>
          <w:szCs w:val="24"/>
          <w:lang w:eastAsia="it-IT"/>
        </w:rPr>
        <w:t xml:space="preserve">institutional </w:t>
      </w:r>
      <w:r w:rsidR="00FC64F6" w:rsidRPr="00966346">
        <w:rPr>
          <w:rFonts w:ascii="Arial" w:eastAsia="Times New Roman" w:hAnsi="Arial" w:cs="Arial"/>
          <w:sz w:val="24"/>
          <w:szCs w:val="24"/>
          <w:lang w:eastAsia="it-IT"/>
        </w:rPr>
        <w:t>studies</w:t>
      </w:r>
      <w:r w:rsidR="008653A6" w:rsidRPr="00966346">
        <w:rPr>
          <w:rFonts w:ascii="Arial" w:eastAsia="Times New Roman" w:hAnsi="Arial" w:cs="Arial"/>
          <w:sz w:val="24"/>
          <w:szCs w:val="24"/>
          <w:lang w:eastAsia="it-IT"/>
        </w:rPr>
        <w:t>. D</w:t>
      </w:r>
      <w:r w:rsidR="009D7EFD" w:rsidRPr="00966346">
        <w:rPr>
          <w:rFonts w:ascii="Arial" w:eastAsia="Times New Roman" w:hAnsi="Arial" w:cs="Arial"/>
          <w:sz w:val="24"/>
          <w:szCs w:val="24"/>
          <w:lang w:eastAsia="it-IT"/>
        </w:rPr>
        <w:t xml:space="preserve">ifferent </w:t>
      </w:r>
      <w:r w:rsidR="008653A6" w:rsidRPr="00966346">
        <w:rPr>
          <w:rFonts w:ascii="Arial" w:eastAsia="Times New Roman" w:hAnsi="Arial" w:cs="Arial"/>
          <w:sz w:val="24"/>
          <w:szCs w:val="24"/>
          <w:lang w:eastAsia="it-IT"/>
        </w:rPr>
        <w:t xml:space="preserve">alternatives </w:t>
      </w:r>
      <w:r w:rsidR="009D7EFD" w:rsidRPr="00966346">
        <w:rPr>
          <w:rFonts w:ascii="Arial" w:eastAsia="Times New Roman" w:hAnsi="Arial" w:cs="Arial"/>
          <w:sz w:val="24"/>
          <w:szCs w:val="24"/>
          <w:lang w:eastAsia="it-IT"/>
        </w:rPr>
        <w:t>have been proposed,</w:t>
      </w:r>
      <w:r w:rsidR="008653A6" w:rsidRPr="00966346">
        <w:rPr>
          <w:rFonts w:ascii="Arial" w:eastAsia="Times New Roman" w:hAnsi="Arial" w:cs="Arial"/>
          <w:sz w:val="24"/>
          <w:szCs w:val="24"/>
          <w:lang w:eastAsia="it-IT"/>
        </w:rPr>
        <w:t xml:space="preserve"> with</w:t>
      </w:r>
      <w:r w:rsidR="009D7EFD" w:rsidRPr="00966346">
        <w:rPr>
          <w:rFonts w:ascii="Arial" w:eastAsia="Times New Roman" w:hAnsi="Arial" w:cs="Arial"/>
          <w:sz w:val="24"/>
          <w:szCs w:val="24"/>
          <w:lang w:eastAsia="it-IT"/>
        </w:rPr>
        <w:t xml:space="preserve"> ASCT being the most investigated </w:t>
      </w:r>
      <w:r w:rsidR="0098024D" w:rsidRPr="00966346">
        <w:rPr>
          <w:rFonts w:ascii="Arial" w:eastAsia="Times New Roman" w:hAnsi="Arial" w:cs="Arial"/>
          <w:sz w:val="24"/>
          <w:szCs w:val="24"/>
          <w:lang w:eastAsia="it-IT"/>
        </w:rPr>
        <w:t>strategy</w:t>
      </w:r>
      <w:r w:rsidR="009D7EFD" w:rsidRPr="00966346">
        <w:rPr>
          <w:rFonts w:ascii="Arial" w:eastAsia="Times New Roman" w:hAnsi="Arial" w:cs="Arial"/>
          <w:sz w:val="24"/>
          <w:szCs w:val="24"/>
          <w:lang w:eastAsia="it-IT"/>
        </w:rPr>
        <w:t xml:space="preserve">. A number of studies suggesting high efficacy of HDC/ASCT, with acceptable tolerability, </w:t>
      </w:r>
      <w:r w:rsidR="009955B5" w:rsidRPr="00966346">
        <w:rPr>
          <w:rFonts w:ascii="Arial" w:eastAsia="Times New Roman" w:hAnsi="Arial" w:cs="Arial"/>
          <w:sz w:val="24"/>
          <w:szCs w:val="24"/>
          <w:lang w:eastAsia="it-IT"/>
        </w:rPr>
        <w:t>mostly</w:t>
      </w:r>
      <w:r w:rsidR="009D7EFD" w:rsidRPr="00966346">
        <w:rPr>
          <w:rFonts w:ascii="Arial" w:eastAsia="Times New Roman" w:hAnsi="Arial" w:cs="Arial"/>
          <w:sz w:val="24"/>
          <w:szCs w:val="24"/>
          <w:lang w:eastAsia="it-IT"/>
        </w:rPr>
        <w:t xml:space="preserve"> using thiotepa-based conditioning regimens, have been reported. However, many unanswered questions remain, i</w:t>
      </w:r>
      <w:r w:rsidR="008653A6" w:rsidRPr="00966346">
        <w:rPr>
          <w:rFonts w:ascii="Arial" w:eastAsia="Times New Roman" w:hAnsi="Arial" w:cs="Arial"/>
          <w:sz w:val="24"/>
          <w:szCs w:val="24"/>
          <w:lang w:eastAsia="it-IT"/>
        </w:rPr>
        <w:t xml:space="preserve">n particular, the effect of </w:t>
      </w:r>
      <w:r w:rsidR="009D7EFD" w:rsidRPr="00966346">
        <w:rPr>
          <w:rFonts w:ascii="Arial" w:eastAsia="Times New Roman" w:hAnsi="Arial" w:cs="Arial"/>
          <w:sz w:val="24"/>
          <w:szCs w:val="24"/>
          <w:lang w:eastAsia="it-IT"/>
        </w:rPr>
        <w:t xml:space="preserve">ASCT on </w:t>
      </w:r>
      <w:r w:rsidR="00AD30E5" w:rsidRPr="00966346">
        <w:rPr>
          <w:rFonts w:ascii="Arial" w:eastAsia="Times New Roman" w:hAnsi="Arial" w:cs="Arial"/>
          <w:sz w:val="24"/>
          <w:szCs w:val="24"/>
          <w:lang w:eastAsia="it-IT"/>
        </w:rPr>
        <w:t>cognitive</w:t>
      </w:r>
      <w:r w:rsidR="009D7EFD" w:rsidRPr="00966346">
        <w:rPr>
          <w:rFonts w:ascii="Arial" w:eastAsia="Times New Roman" w:hAnsi="Arial" w:cs="Arial"/>
          <w:sz w:val="24"/>
          <w:szCs w:val="24"/>
          <w:lang w:eastAsia="it-IT"/>
        </w:rPr>
        <w:t xml:space="preserve"> functions, and the best candidates for upfront ASCT. In current practice, </w:t>
      </w:r>
      <w:r w:rsidR="00FC64F6" w:rsidRPr="00966346">
        <w:rPr>
          <w:rFonts w:ascii="Arial" w:eastAsia="Times New Roman" w:hAnsi="Arial" w:cs="Arial"/>
          <w:sz w:val="24"/>
          <w:szCs w:val="24"/>
          <w:lang w:eastAsia="it-IT"/>
        </w:rPr>
        <w:t xml:space="preserve">generally </w:t>
      </w:r>
      <w:r w:rsidR="009D7EFD" w:rsidRPr="00966346">
        <w:rPr>
          <w:rFonts w:ascii="Arial" w:eastAsia="Times New Roman" w:hAnsi="Arial" w:cs="Arial"/>
          <w:sz w:val="24"/>
          <w:szCs w:val="24"/>
          <w:lang w:eastAsia="it-IT"/>
        </w:rPr>
        <w:t xml:space="preserve">only young patients, without relevant comorbidity, with preserved </w:t>
      </w:r>
      <w:r w:rsidR="00AD30E5" w:rsidRPr="00966346">
        <w:rPr>
          <w:rFonts w:ascii="Arial" w:eastAsia="Times New Roman" w:hAnsi="Arial" w:cs="Arial"/>
          <w:sz w:val="24"/>
          <w:szCs w:val="24"/>
          <w:lang w:eastAsia="it-IT"/>
        </w:rPr>
        <w:t>cognitive</w:t>
      </w:r>
      <w:r w:rsidR="009D7EFD" w:rsidRPr="00966346">
        <w:rPr>
          <w:rFonts w:ascii="Arial" w:eastAsia="Times New Roman" w:hAnsi="Arial" w:cs="Arial"/>
          <w:sz w:val="24"/>
          <w:szCs w:val="24"/>
          <w:lang w:eastAsia="it-IT"/>
        </w:rPr>
        <w:t xml:space="preserve"> functions, and chemo</w:t>
      </w:r>
      <w:r w:rsidR="0098024D" w:rsidRPr="00966346">
        <w:rPr>
          <w:rFonts w:ascii="Arial" w:eastAsia="Times New Roman" w:hAnsi="Arial" w:cs="Arial"/>
          <w:sz w:val="24"/>
          <w:szCs w:val="24"/>
          <w:lang w:eastAsia="it-IT"/>
        </w:rPr>
        <w:t>-</w:t>
      </w:r>
      <w:r w:rsidR="009D7EFD" w:rsidRPr="00966346">
        <w:rPr>
          <w:rFonts w:ascii="Arial" w:eastAsia="Times New Roman" w:hAnsi="Arial" w:cs="Arial"/>
          <w:sz w:val="24"/>
          <w:szCs w:val="24"/>
          <w:lang w:eastAsia="it-IT"/>
        </w:rPr>
        <w:t xml:space="preserve">sensitive lymphoma are referred to ASCT as part of first-line treatment. Patients with </w:t>
      </w:r>
      <w:r w:rsidR="00FC64F6" w:rsidRPr="00966346">
        <w:rPr>
          <w:rFonts w:ascii="Arial" w:eastAsia="Times New Roman" w:hAnsi="Arial" w:cs="Arial"/>
          <w:sz w:val="24"/>
          <w:szCs w:val="24"/>
          <w:lang w:eastAsia="it-IT"/>
        </w:rPr>
        <w:t>such</w:t>
      </w:r>
      <w:r w:rsidR="009D7EFD" w:rsidRPr="00966346">
        <w:rPr>
          <w:rFonts w:ascii="Arial" w:eastAsia="Times New Roman" w:hAnsi="Arial" w:cs="Arial"/>
          <w:sz w:val="24"/>
          <w:szCs w:val="24"/>
          <w:lang w:eastAsia="it-IT"/>
        </w:rPr>
        <w:t xml:space="preserve"> characteristics </w:t>
      </w:r>
      <w:r w:rsidR="00FC64F6" w:rsidRPr="00966346">
        <w:rPr>
          <w:rFonts w:ascii="Arial" w:eastAsia="Times New Roman" w:hAnsi="Arial" w:cs="Arial"/>
          <w:sz w:val="24"/>
          <w:szCs w:val="24"/>
          <w:lang w:eastAsia="it-IT"/>
        </w:rPr>
        <w:t xml:space="preserve">are a </w:t>
      </w:r>
      <w:r w:rsidR="00FC64F6" w:rsidRPr="00966346">
        <w:rPr>
          <w:rFonts w:ascii="Arial" w:eastAsia="Times New Roman" w:hAnsi="Arial" w:cs="Arial"/>
          <w:sz w:val="24"/>
          <w:szCs w:val="24"/>
          <w:lang w:eastAsia="it-IT"/>
        </w:rPr>
        <w:lastRenderedPageBreak/>
        <w:t>selected subset</w:t>
      </w:r>
      <w:r w:rsidR="009D7EFD" w:rsidRPr="00966346">
        <w:rPr>
          <w:rFonts w:ascii="Arial" w:eastAsia="Times New Roman" w:hAnsi="Arial" w:cs="Arial"/>
          <w:sz w:val="24"/>
          <w:szCs w:val="24"/>
          <w:lang w:eastAsia="it-IT"/>
        </w:rPr>
        <w:t xml:space="preserve"> of PCNSL population. In </w:t>
      </w:r>
      <w:r w:rsidR="007A708B" w:rsidRPr="00966346">
        <w:rPr>
          <w:rFonts w:ascii="Arial" w:eastAsia="Times New Roman" w:hAnsi="Arial" w:cs="Arial"/>
          <w:sz w:val="24"/>
          <w:szCs w:val="24"/>
          <w:lang w:eastAsia="it-IT"/>
        </w:rPr>
        <w:t>prospective trials</w:t>
      </w:r>
      <w:r w:rsidR="009D7EFD" w:rsidRPr="00966346">
        <w:rPr>
          <w:rFonts w:ascii="Arial" w:eastAsia="Times New Roman" w:hAnsi="Arial" w:cs="Arial"/>
          <w:sz w:val="24"/>
          <w:szCs w:val="24"/>
          <w:lang w:eastAsia="it-IT"/>
        </w:rPr>
        <w:t xml:space="preserve">, the proportion of patients </w:t>
      </w:r>
      <w:r w:rsidR="007A708B" w:rsidRPr="00966346">
        <w:rPr>
          <w:rFonts w:ascii="Arial" w:eastAsia="Times New Roman" w:hAnsi="Arial" w:cs="Arial"/>
          <w:sz w:val="24"/>
          <w:szCs w:val="24"/>
          <w:lang w:eastAsia="it-IT"/>
        </w:rPr>
        <w:t>who</w:t>
      </w:r>
      <w:r w:rsidR="009D7EFD" w:rsidRPr="00966346">
        <w:rPr>
          <w:rFonts w:ascii="Arial" w:eastAsia="Times New Roman" w:hAnsi="Arial" w:cs="Arial"/>
          <w:sz w:val="24"/>
          <w:szCs w:val="24"/>
          <w:lang w:eastAsia="it-IT"/>
        </w:rPr>
        <w:t xml:space="preserve"> are successfully referred to ASCT oscillated between 46% and 81%, with higher rates among </w:t>
      </w:r>
      <w:r w:rsidR="009955B5" w:rsidRPr="00966346">
        <w:rPr>
          <w:rFonts w:ascii="Arial" w:eastAsia="Times New Roman" w:hAnsi="Arial" w:cs="Arial"/>
          <w:sz w:val="24"/>
          <w:szCs w:val="24"/>
          <w:lang w:eastAsia="it-IT"/>
        </w:rPr>
        <w:t xml:space="preserve">young </w:t>
      </w:r>
      <w:r w:rsidR="009D7EFD" w:rsidRPr="00966346">
        <w:rPr>
          <w:rFonts w:ascii="Arial" w:eastAsia="Times New Roman" w:hAnsi="Arial" w:cs="Arial"/>
          <w:sz w:val="24"/>
          <w:szCs w:val="24"/>
          <w:lang w:eastAsia="it-IT"/>
        </w:rPr>
        <w:t>patients. To date, a formal comparison of WBRT and ASCT as consolidation after high-dose-methotrexate-based induction is pending.</w:t>
      </w:r>
    </w:p>
    <w:p w14:paraId="59A37356" w14:textId="77777777" w:rsidR="00BD4EDE" w:rsidRPr="00966346" w:rsidRDefault="00BD4EDE" w:rsidP="001F791E">
      <w:pPr>
        <w:spacing w:after="0" w:line="360" w:lineRule="auto"/>
        <w:jc w:val="both"/>
        <w:rPr>
          <w:rFonts w:ascii="Arial" w:eastAsia="Times New Roman" w:hAnsi="Arial" w:cs="Arial"/>
          <w:b/>
          <w:bCs/>
          <w:sz w:val="24"/>
          <w:szCs w:val="24"/>
          <w:lang w:val="en-GB" w:eastAsia="it-IT"/>
        </w:rPr>
      </w:pPr>
    </w:p>
    <w:p w14:paraId="6E8CA26D" w14:textId="77777777" w:rsidR="00BD4EDE" w:rsidRPr="00966346" w:rsidRDefault="00BD4EDE" w:rsidP="001F791E">
      <w:pPr>
        <w:spacing w:after="0" w:line="360" w:lineRule="auto"/>
        <w:jc w:val="both"/>
        <w:rPr>
          <w:rFonts w:ascii="Arial" w:eastAsia="Times New Roman" w:hAnsi="Arial" w:cs="Arial"/>
          <w:b/>
          <w:bCs/>
          <w:sz w:val="24"/>
          <w:szCs w:val="24"/>
          <w:lang w:eastAsia="it-IT"/>
        </w:rPr>
      </w:pPr>
      <w:r w:rsidRPr="00966346">
        <w:rPr>
          <w:rFonts w:ascii="Arial" w:eastAsia="Times New Roman" w:hAnsi="Arial" w:cs="Arial"/>
          <w:b/>
          <w:bCs/>
          <w:sz w:val="24"/>
          <w:szCs w:val="24"/>
          <w:lang w:eastAsia="it-IT"/>
        </w:rPr>
        <w:t>Added value of the IELSG32 trial</w:t>
      </w:r>
    </w:p>
    <w:p w14:paraId="244016ED" w14:textId="77777777" w:rsidR="00BD4EDE" w:rsidRPr="00966346" w:rsidRDefault="00807F97" w:rsidP="001F791E">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This is the largest randomized trial comparing differen</w:t>
      </w:r>
      <w:r w:rsidR="00351CA0" w:rsidRPr="00966346">
        <w:rPr>
          <w:rFonts w:ascii="Arial" w:eastAsia="Times New Roman" w:hAnsi="Arial" w:cs="Arial"/>
          <w:sz w:val="24"/>
          <w:szCs w:val="24"/>
          <w:lang w:eastAsia="it-IT"/>
        </w:rPr>
        <w:t>t induction chemo</w:t>
      </w:r>
      <w:r w:rsidRPr="00966346">
        <w:rPr>
          <w:rFonts w:ascii="Arial" w:eastAsia="Times New Roman" w:hAnsi="Arial" w:cs="Arial"/>
          <w:sz w:val="24"/>
          <w:szCs w:val="24"/>
          <w:lang w:eastAsia="it-IT"/>
        </w:rPr>
        <w:t xml:space="preserve">therapy combinations in patients with </w:t>
      </w:r>
      <w:r w:rsidR="00516005" w:rsidRPr="00966346">
        <w:rPr>
          <w:rFonts w:ascii="Arial" w:eastAsia="Times New Roman" w:hAnsi="Arial" w:cs="Arial"/>
          <w:sz w:val="24"/>
          <w:szCs w:val="24"/>
          <w:lang w:eastAsia="it-IT"/>
        </w:rPr>
        <w:t xml:space="preserve">primary </w:t>
      </w:r>
      <w:r w:rsidRPr="00966346">
        <w:rPr>
          <w:rFonts w:ascii="Arial" w:eastAsia="Times New Roman" w:hAnsi="Arial" w:cs="Arial"/>
          <w:sz w:val="24"/>
          <w:szCs w:val="24"/>
          <w:lang w:eastAsia="it-IT"/>
        </w:rPr>
        <w:t>CNS</w:t>
      </w:r>
      <w:r w:rsidR="00516005" w:rsidRPr="00966346">
        <w:rPr>
          <w:rFonts w:ascii="Arial" w:eastAsia="Times New Roman" w:hAnsi="Arial" w:cs="Arial"/>
          <w:sz w:val="24"/>
          <w:szCs w:val="24"/>
          <w:lang w:eastAsia="it-IT"/>
        </w:rPr>
        <w:t xml:space="preserve"> lymphoma</w:t>
      </w:r>
      <w:r w:rsidRPr="00966346">
        <w:rPr>
          <w:rFonts w:ascii="Arial" w:eastAsia="Times New Roman" w:hAnsi="Arial" w:cs="Arial"/>
          <w:sz w:val="24"/>
          <w:szCs w:val="24"/>
          <w:lang w:eastAsia="it-IT"/>
        </w:rPr>
        <w:t>, and</w:t>
      </w:r>
      <w:r w:rsidR="00A310A0" w:rsidRPr="00966346">
        <w:rPr>
          <w:rFonts w:ascii="Arial" w:eastAsia="Times New Roman" w:hAnsi="Arial" w:cs="Arial"/>
          <w:sz w:val="24"/>
          <w:szCs w:val="24"/>
          <w:lang w:eastAsia="it-IT"/>
        </w:rPr>
        <w:t>, importantly,</w:t>
      </w:r>
      <w:r w:rsidRPr="00966346">
        <w:rPr>
          <w:rFonts w:ascii="Arial" w:eastAsia="Times New Roman" w:hAnsi="Arial" w:cs="Arial"/>
          <w:sz w:val="24"/>
          <w:szCs w:val="24"/>
          <w:lang w:eastAsia="it-IT"/>
        </w:rPr>
        <w:t xml:space="preserve"> is the first trial demonstrating a significant benefit on overall </w:t>
      </w:r>
      <w:r w:rsidR="00A310A0" w:rsidRPr="00966346">
        <w:rPr>
          <w:rFonts w:ascii="Arial" w:eastAsia="Times New Roman" w:hAnsi="Arial" w:cs="Arial"/>
          <w:sz w:val="24"/>
          <w:szCs w:val="24"/>
          <w:lang w:eastAsia="it-IT"/>
        </w:rPr>
        <w:t>survival</w:t>
      </w:r>
      <w:r w:rsidRPr="00966346">
        <w:rPr>
          <w:rFonts w:ascii="Arial" w:eastAsia="Times New Roman" w:hAnsi="Arial" w:cs="Arial"/>
          <w:sz w:val="24"/>
          <w:szCs w:val="24"/>
          <w:lang w:eastAsia="it-IT"/>
        </w:rPr>
        <w:t xml:space="preserve"> of a new treatment in this field. The addition of rituximab and thiotepa to conventional methotrexate-cytarabine combination (MATRix regimen) was associated with significantly improved </w:t>
      </w:r>
      <w:r w:rsidR="00A310A0" w:rsidRPr="00966346">
        <w:rPr>
          <w:rFonts w:ascii="Arial" w:eastAsia="Times New Roman" w:hAnsi="Arial" w:cs="Arial"/>
          <w:sz w:val="24"/>
          <w:szCs w:val="24"/>
          <w:lang w:eastAsia="it-IT"/>
        </w:rPr>
        <w:t>response and survival rates</w:t>
      </w:r>
      <w:r w:rsidRPr="00966346">
        <w:rPr>
          <w:rFonts w:ascii="Arial" w:eastAsia="Times New Roman" w:hAnsi="Arial" w:cs="Arial"/>
          <w:sz w:val="24"/>
          <w:szCs w:val="24"/>
          <w:lang w:eastAsia="it-IT"/>
        </w:rPr>
        <w:t xml:space="preserve">, with only a minor increase in hematological toxicity, but without higher rates of severe complications. </w:t>
      </w:r>
      <w:r w:rsidR="008653A6" w:rsidRPr="00966346">
        <w:rPr>
          <w:rFonts w:ascii="Arial" w:eastAsia="Times New Roman" w:hAnsi="Arial" w:cs="Arial"/>
          <w:sz w:val="24"/>
          <w:szCs w:val="24"/>
          <w:lang w:val="en-GB" w:eastAsia="it-IT"/>
        </w:rPr>
        <w:t xml:space="preserve">The analysis of the second randomization of the IELSG32 trial demonstrates that both WBRT and ASCT are feasible, safe, active, and effective as consolidation after </w:t>
      </w:r>
      <w:r w:rsidR="001B2141" w:rsidRPr="00966346">
        <w:rPr>
          <w:rFonts w:ascii="Arial" w:eastAsia="Times New Roman" w:hAnsi="Arial" w:cs="Arial"/>
          <w:sz w:val="24"/>
          <w:szCs w:val="24"/>
          <w:lang w:val="en-GB" w:eastAsia="it-IT"/>
        </w:rPr>
        <w:t>h</w:t>
      </w:r>
      <w:proofErr w:type="spellStart"/>
      <w:r w:rsidR="001B2141" w:rsidRPr="00966346">
        <w:rPr>
          <w:rFonts w:ascii="Arial" w:eastAsia="Times New Roman" w:hAnsi="Arial" w:cs="Arial"/>
          <w:sz w:val="24"/>
          <w:szCs w:val="24"/>
          <w:lang w:eastAsia="it-IT"/>
        </w:rPr>
        <w:t>igh</w:t>
      </w:r>
      <w:proofErr w:type="spellEnd"/>
      <w:r w:rsidR="001B2141" w:rsidRPr="00966346">
        <w:rPr>
          <w:rFonts w:ascii="Arial" w:eastAsia="Times New Roman" w:hAnsi="Arial" w:cs="Arial"/>
          <w:sz w:val="24"/>
          <w:szCs w:val="24"/>
          <w:lang w:eastAsia="it-IT"/>
        </w:rPr>
        <w:t>-dose-methotrexate</w:t>
      </w:r>
      <w:r w:rsidR="008653A6" w:rsidRPr="00966346">
        <w:rPr>
          <w:rFonts w:ascii="Arial" w:eastAsia="Times New Roman" w:hAnsi="Arial" w:cs="Arial"/>
          <w:sz w:val="24"/>
          <w:szCs w:val="24"/>
          <w:lang w:val="en-GB" w:eastAsia="it-IT"/>
        </w:rPr>
        <w:t xml:space="preserve">-based </w:t>
      </w:r>
      <w:r w:rsidR="007A708B" w:rsidRPr="00966346">
        <w:rPr>
          <w:rFonts w:ascii="Arial" w:eastAsia="Times New Roman" w:hAnsi="Arial" w:cs="Arial"/>
          <w:sz w:val="24"/>
          <w:szCs w:val="24"/>
          <w:lang w:val="en-GB" w:eastAsia="it-IT"/>
        </w:rPr>
        <w:t>induction</w:t>
      </w:r>
      <w:r w:rsidR="008653A6" w:rsidRPr="00966346">
        <w:rPr>
          <w:rFonts w:ascii="Arial" w:eastAsia="Times New Roman" w:hAnsi="Arial" w:cs="Arial"/>
          <w:sz w:val="24"/>
          <w:szCs w:val="24"/>
          <w:lang w:val="en-GB" w:eastAsia="it-IT"/>
        </w:rPr>
        <w:t xml:space="preserve">, and after MATRix in particular. The analysis of validated panel of IPCG neuropsychological tests suggests a </w:t>
      </w:r>
      <w:r w:rsidR="008653A6" w:rsidRPr="00966346">
        <w:rPr>
          <w:rFonts w:ascii="Arial" w:eastAsia="Times New Roman" w:hAnsi="Arial" w:cs="Arial"/>
          <w:sz w:val="24"/>
          <w:szCs w:val="24"/>
          <w:lang w:eastAsia="it-IT"/>
        </w:rPr>
        <w:t xml:space="preserve">potential impairment of specific </w:t>
      </w:r>
      <w:r w:rsidR="00AD30E5" w:rsidRPr="00966346">
        <w:rPr>
          <w:rFonts w:ascii="Arial" w:eastAsia="Times New Roman" w:hAnsi="Arial" w:cs="Arial"/>
          <w:sz w:val="24"/>
          <w:szCs w:val="24"/>
          <w:lang w:eastAsia="it-IT"/>
        </w:rPr>
        <w:t>cognitive</w:t>
      </w:r>
      <w:r w:rsidR="008653A6" w:rsidRPr="00966346">
        <w:rPr>
          <w:rFonts w:ascii="Arial" w:eastAsia="Times New Roman" w:hAnsi="Arial" w:cs="Arial"/>
          <w:sz w:val="24"/>
          <w:szCs w:val="24"/>
          <w:lang w:eastAsia="it-IT"/>
        </w:rPr>
        <w:t xml:space="preserve"> functions after WBRT, which should be considered at the time of therapeutic decision.</w:t>
      </w:r>
    </w:p>
    <w:p w14:paraId="49BC4828" w14:textId="77777777" w:rsidR="00BD4EDE" w:rsidRPr="00966346" w:rsidRDefault="00BD4EDE" w:rsidP="001F791E">
      <w:pPr>
        <w:spacing w:after="0" w:line="360" w:lineRule="auto"/>
        <w:jc w:val="both"/>
        <w:rPr>
          <w:rFonts w:ascii="Arial" w:eastAsia="Times New Roman" w:hAnsi="Arial" w:cs="Arial"/>
          <w:sz w:val="24"/>
          <w:szCs w:val="24"/>
          <w:lang w:eastAsia="it-IT"/>
        </w:rPr>
      </w:pPr>
    </w:p>
    <w:p w14:paraId="5728FA00" w14:textId="77777777" w:rsidR="00BD4EDE" w:rsidRPr="00966346" w:rsidRDefault="00BD4EDE" w:rsidP="001F791E">
      <w:pPr>
        <w:spacing w:after="0" w:line="360" w:lineRule="auto"/>
        <w:jc w:val="both"/>
        <w:rPr>
          <w:rFonts w:ascii="Arial" w:eastAsia="Times New Roman" w:hAnsi="Arial" w:cs="Arial"/>
          <w:b/>
          <w:bCs/>
          <w:sz w:val="24"/>
          <w:szCs w:val="24"/>
          <w:lang w:eastAsia="it-IT"/>
        </w:rPr>
      </w:pPr>
      <w:r w:rsidRPr="00966346">
        <w:rPr>
          <w:rFonts w:ascii="Arial" w:eastAsia="Times New Roman" w:hAnsi="Arial" w:cs="Arial"/>
          <w:b/>
          <w:bCs/>
          <w:sz w:val="24"/>
          <w:szCs w:val="24"/>
          <w:lang w:eastAsia="it-IT"/>
        </w:rPr>
        <w:t>Implications of all the available evidence</w:t>
      </w:r>
    </w:p>
    <w:p w14:paraId="5A0BB92D" w14:textId="77777777" w:rsidR="009955B5" w:rsidRPr="00966346" w:rsidRDefault="00807F97" w:rsidP="009955B5">
      <w:pPr>
        <w:spacing w:after="0" w:line="360" w:lineRule="auto"/>
        <w:jc w:val="both"/>
        <w:rPr>
          <w:rFonts w:ascii="Arial" w:eastAsia="Times New Roman" w:hAnsi="Arial" w:cs="Arial"/>
          <w:sz w:val="24"/>
          <w:szCs w:val="24"/>
          <w:lang w:eastAsia="it-IT"/>
        </w:rPr>
      </w:pPr>
      <w:r w:rsidRPr="00966346">
        <w:rPr>
          <w:rFonts w:ascii="Arial" w:eastAsia="Times New Roman" w:hAnsi="Arial" w:cs="Arial"/>
          <w:sz w:val="24"/>
          <w:szCs w:val="24"/>
          <w:lang w:eastAsia="it-IT"/>
        </w:rPr>
        <w:t>C</w:t>
      </w:r>
      <w:r w:rsidR="00BD4EDE" w:rsidRPr="00966346">
        <w:rPr>
          <w:rFonts w:ascii="Arial" w:eastAsia="Times New Roman" w:hAnsi="Arial" w:cs="Arial"/>
          <w:sz w:val="24"/>
          <w:szCs w:val="24"/>
          <w:lang w:eastAsia="it-IT"/>
        </w:rPr>
        <w:t>ombined with existing evidence</w:t>
      </w:r>
      <w:r w:rsidR="00A310A0" w:rsidRPr="00966346">
        <w:rPr>
          <w:rFonts w:ascii="Arial" w:eastAsia="Times New Roman" w:hAnsi="Arial" w:cs="Arial"/>
          <w:sz w:val="24"/>
          <w:szCs w:val="24"/>
          <w:lang w:eastAsia="it-IT"/>
        </w:rPr>
        <w:t>,</w:t>
      </w:r>
      <w:r w:rsidRPr="00966346">
        <w:rPr>
          <w:rFonts w:ascii="Arial" w:eastAsia="Times New Roman" w:hAnsi="Arial" w:cs="Arial"/>
          <w:sz w:val="24"/>
          <w:szCs w:val="24"/>
          <w:lang w:eastAsia="it-IT"/>
        </w:rPr>
        <w:t xml:space="preserve"> the results of </w:t>
      </w:r>
      <w:r w:rsidRPr="00966346">
        <w:rPr>
          <w:rFonts w:ascii="Arial" w:eastAsia="Times New Roman" w:hAnsi="Arial" w:cs="Arial"/>
          <w:sz w:val="24"/>
          <w:szCs w:val="24"/>
          <w:lang w:val="en-GB" w:eastAsia="it-IT"/>
        </w:rPr>
        <w:t xml:space="preserve">the IELSG32 trial demonstrate that the </w:t>
      </w:r>
      <w:r w:rsidR="00A310A0" w:rsidRPr="00966346">
        <w:rPr>
          <w:rFonts w:ascii="Arial" w:eastAsia="Times New Roman" w:hAnsi="Arial" w:cs="Arial"/>
          <w:sz w:val="24"/>
          <w:szCs w:val="24"/>
          <w:lang w:val="en-GB" w:eastAsia="it-IT"/>
        </w:rPr>
        <w:t>combination</w:t>
      </w:r>
      <w:r w:rsidRPr="00966346">
        <w:rPr>
          <w:rFonts w:ascii="Arial" w:eastAsia="Times New Roman" w:hAnsi="Arial" w:cs="Arial"/>
          <w:sz w:val="24"/>
          <w:szCs w:val="24"/>
          <w:lang w:val="en-GB" w:eastAsia="it-IT"/>
        </w:rPr>
        <w:t xml:space="preserve"> of an alkylating agent (thiotepa), two antimetabolites (methotrexate and cytarabine) and rituximab significantly improves outcome in patients</w:t>
      </w:r>
      <w:r w:rsidRPr="00966346">
        <w:rPr>
          <w:rFonts w:ascii="Arial" w:eastAsia="Times New Roman" w:hAnsi="Arial" w:cs="Arial"/>
          <w:sz w:val="24"/>
          <w:szCs w:val="24"/>
          <w:lang w:eastAsia="it-IT"/>
        </w:rPr>
        <w:t xml:space="preserve"> </w:t>
      </w:r>
      <w:r w:rsidR="00DB7F8F" w:rsidRPr="00966346">
        <w:rPr>
          <w:rFonts w:ascii="Arial" w:eastAsia="Times New Roman" w:hAnsi="Arial" w:cs="Arial"/>
          <w:sz w:val="24"/>
          <w:szCs w:val="24"/>
          <w:lang w:eastAsia="it-IT"/>
        </w:rPr>
        <w:t xml:space="preserve">aged 70 years or </w:t>
      </w:r>
      <w:r w:rsidRPr="00966346">
        <w:rPr>
          <w:rFonts w:ascii="Arial" w:eastAsia="Times New Roman" w:hAnsi="Arial" w:cs="Arial"/>
          <w:sz w:val="24"/>
          <w:szCs w:val="24"/>
          <w:lang w:eastAsia="it-IT"/>
        </w:rPr>
        <w:t xml:space="preserve">younger </w:t>
      </w:r>
      <w:r w:rsidRPr="00966346">
        <w:rPr>
          <w:rFonts w:ascii="Arial" w:eastAsia="Times New Roman" w:hAnsi="Arial" w:cs="Arial"/>
          <w:sz w:val="24"/>
          <w:szCs w:val="24"/>
          <w:lang w:val="en-GB" w:eastAsia="it-IT"/>
        </w:rPr>
        <w:t>with newly-diagnosed</w:t>
      </w:r>
      <w:r w:rsidRPr="00966346">
        <w:rPr>
          <w:rFonts w:ascii="Arial" w:eastAsia="Times New Roman" w:hAnsi="Arial" w:cs="Arial"/>
          <w:sz w:val="24"/>
          <w:szCs w:val="24"/>
          <w:lang w:eastAsia="it-IT"/>
        </w:rPr>
        <w:t xml:space="preserve"> primary CNS lymphoma. </w:t>
      </w:r>
      <w:r w:rsidR="00CD2835" w:rsidRPr="00966346">
        <w:rPr>
          <w:rFonts w:ascii="Arial" w:eastAsia="Times New Roman" w:hAnsi="Arial" w:cs="Arial"/>
          <w:sz w:val="24"/>
          <w:szCs w:val="24"/>
          <w:lang w:eastAsia="it-IT"/>
        </w:rPr>
        <w:t xml:space="preserve">Both WBRT and ASCT are safe, active, and effective consolidation therapies, with a potential impairment of specific </w:t>
      </w:r>
      <w:r w:rsidR="00AD30E5" w:rsidRPr="00966346">
        <w:rPr>
          <w:rFonts w:ascii="Arial" w:eastAsia="Times New Roman" w:hAnsi="Arial" w:cs="Arial"/>
          <w:sz w:val="24"/>
          <w:szCs w:val="24"/>
          <w:lang w:eastAsia="it-IT"/>
        </w:rPr>
        <w:t>cognitive</w:t>
      </w:r>
      <w:r w:rsidR="00CD2835" w:rsidRPr="00966346">
        <w:rPr>
          <w:rFonts w:ascii="Arial" w:eastAsia="Times New Roman" w:hAnsi="Arial" w:cs="Arial"/>
          <w:sz w:val="24"/>
          <w:szCs w:val="24"/>
          <w:lang w:eastAsia="it-IT"/>
        </w:rPr>
        <w:t xml:space="preserve"> functions after WBRT. </w:t>
      </w:r>
      <w:r w:rsidR="00A310A0" w:rsidRPr="00966346">
        <w:rPr>
          <w:rFonts w:ascii="Arial" w:eastAsia="Times New Roman" w:hAnsi="Arial" w:cs="Arial"/>
          <w:sz w:val="24"/>
          <w:szCs w:val="24"/>
          <w:lang w:eastAsia="it-IT"/>
        </w:rPr>
        <w:t>Accordingly</w:t>
      </w:r>
      <w:r w:rsidR="00A310A0" w:rsidRPr="00966346">
        <w:rPr>
          <w:rFonts w:ascii="Arial" w:eastAsia="Times New Roman" w:hAnsi="Arial" w:cs="Arial"/>
          <w:sz w:val="24"/>
          <w:szCs w:val="24"/>
          <w:lang w:val="en-GB" w:eastAsia="it-IT"/>
        </w:rPr>
        <w:t xml:space="preserve">, MATRix combination </w:t>
      </w:r>
      <w:r w:rsidR="00CD2835" w:rsidRPr="00966346">
        <w:rPr>
          <w:rFonts w:ascii="Arial" w:eastAsia="Times New Roman" w:hAnsi="Arial" w:cs="Arial"/>
          <w:sz w:val="24"/>
          <w:szCs w:val="24"/>
          <w:lang w:val="en-GB" w:eastAsia="it-IT"/>
        </w:rPr>
        <w:t xml:space="preserve">followed by ASCT </w:t>
      </w:r>
      <w:r w:rsidR="00A310A0" w:rsidRPr="00966346">
        <w:rPr>
          <w:rFonts w:ascii="Arial" w:eastAsia="Times New Roman" w:hAnsi="Arial" w:cs="Arial"/>
          <w:sz w:val="24"/>
          <w:szCs w:val="24"/>
          <w:lang w:val="en-GB" w:eastAsia="it-IT"/>
        </w:rPr>
        <w:t xml:space="preserve">should be considered as the new standard </w:t>
      </w:r>
      <w:r w:rsidR="00CD2835" w:rsidRPr="00966346">
        <w:rPr>
          <w:rFonts w:ascii="Arial" w:eastAsia="Times New Roman" w:hAnsi="Arial" w:cs="Arial"/>
          <w:sz w:val="24"/>
          <w:szCs w:val="24"/>
          <w:lang w:val="en-GB" w:eastAsia="it-IT"/>
        </w:rPr>
        <w:t>treatment</w:t>
      </w:r>
      <w:r w:rsidR="00A310A0" w:rsidRPr="00966346">
        <w:rPr>
          <w:rFonts w:ascii="Arial" w:eastAsia="Times New Roman" w:hAnsi="Arial" w:cs="Arial"/>
          <w:sz w:val="24"/>
          <w:szCs w:val="24"/>
          <w:lang w:val="en-GB" w:eastAsia="it-IT"/>
        </w:rPr>
        <w:t xml:space="preserve"> </w:t>
      </w:r>
      <w:r w:rsidR="00A310A0" w:rsidRPr="00966346">
        <w:rPr>
          <w:rFonts w:ascii="Arial" w:eastAsia="Times New Roman" w:hAnsi="Arial" w:cs="Arial"/>
          <w:sz w:val="24"/>
          <w:szCs w:val="24"/>
          <w:lang w:eastAsia="it-IT"/>
        </w:rPr>
        <w:t xml:space="preserve">for these patients, </w:t>
      </w:r>
      <w:r w:rsidR="00A310A0" w:rsidRPr="00966346">
        <w:rPr>
          <w:rFonts w:ascii="Arial" w:eastAsia="Times New Roman" w:hAnsi="Arial" w:cs="Arial"/>
          <w:sz w:val="24"/>
          <w:szCs w:val="24"/>
          <w:lang w:val="en-GB" w:eastAsia="it-IT"/>
        </w:rPr>
        <w:t xml:space="preserve">and the control arm for future randomized trials. </w:t>
      </w:r>
      <w:r w:rsidRPr="00966346">
        <w:rPr>
          <w:rFonts w:ascii="Arial" w:eastAsia="Times New Roman" w:hAnsi="Arial" w:cs="Arial"/>
          <w:sz w:val="24"/>
          <w:szCs w:val="24"/>
          <w:lang w:eastAsia="it-IT"/>
        </w:rPr>
        <w:t>From a methodological stand point, the IELSG32 tri</w:t>
      </w:r>
      <w:r w:rsidR="00DB7F8F" w:rsidRPr="00966346">
        <w:rPr>
          <w:rFonts w:ascii="Arial" w:eastAsia="Times New Roman" w:hAnsi="Arial" w:cs="Arial"/>
          <w:sz w:val="24"/>
          <w:szCs w:val="24"/>
          <w:lang w:eastAsia="it-IT"/>
        </w:rPr>
        <w:t>a</w:t>
      </w:r>
      <w:r w:rsidRPr="00966346">
        <w:rPr>
          <w:rFonts w:ascii="Arial" w:eastAsia="Times New Roman" w:hAnsi="Arial" w:cs="Arial"/>
          <w:sz w:val="24"/>
          <w:szCs w:val="24"/>
          <w:lang w:eastAsia="it-IT"/>
        </w:rPr>
        <w:t xml:space="preserve">l is a model that </w:t>
      </w:r>
      <w:r w:rsidRPr="00966346">
        <w:rPr>
          <w:rFonts w:ascii="Arial" w:eastAsia="Times New Roman" w:hAnsi="Arial" w:cs="Arial"/>
          <w:sz w:val="24"/>
          <w:szCs w:val="24"/>
          <w:lang w:val="en-GB" w:eastAsia="it-IT"/>
        </w:rPr>
        <w:t xml:space="preserve">demonstrates that multi-national, well-designed, well-conducted randomized trials are feasible, can reach the accrual goal in a reasonable time frame, and represents the most important route to progress in the field of </w:t>
      </w:r>
      <w:r w:rsidRPr="00966346">
        <w:rPr>
          <w:rFonts w:ascii="Arial" w:eastAsia="Times New Roman" w:hAnsi="Arial" w:cs="Arial"/>
          <w:sz w:val="24"/>
          <w:szCs w:val="24"/>
          <w:lang w:eastAsia="it-IT"/>
        </w:rPr>
        <w:t xml:space="preserve">primary CNS lymphoma. </w:t>
      </w:r>
    </w:p>
    <w:p w14:paraId="0ECBD1C3" w14:textId="77777777" w:rsidR="002F4E2F" w:rsidRPr="00966346" w:rsidRDefault="002F4E2F" w:rsidP="00D161B3">
      <w:pPr>
        <w:spacing w:after="0" w:line="240" w:lineRule="auto"/>
        <w:jc w:val="both"/>
        <w:rPr>
          <w:rFonts w:ascii="Arial" w:hAnsi="Arial" w:cs="Arial"/>
          <w:b/>
          <w:bCs/>
          <w:sz w:val="24"/>
          <w:szCs w:val="24"/>
          <w:lang w:val="en-GB"/>
        </w:rPr>
      </w:pPr>
      <w:r w:rsidRPr="00966346">
        <w:rPr>
          <w:rFonts w:ascii="Arial" w:hAnsi="Arial" w:cs="Arial"/>
          <w:b/>
          <w:bCs/>
          <w:sz w:val="24"/>
          <w:szCs w:val="24"/>
          <w:lang w:val="en-GB"/>
        </w:rPr>
        <w:lastRenderedPageBreak/>
        <w:t>CONFLICT OF INTEREST</w:t>
      </w:r>
    </w:p>
    <w:p w14:paraId="3C3AD439" w14:textId="77777777" w:rsidR="002F4E2F" w:rsidRPr="00966346" w:rsidRDefault="00B86099" w:rsidP="00D161B3">
      <w:pPr>
        <w:spacing w:after="0" w:line="240" w:lineRule="auto"/>
        <w:jc w:val="both"/>
        <w:rPr>
          <w:rFonts w:ascii="Arial" w:hAnsi="Arial" w:cs="Arial"/>
          <w:sz w:val="24"/>
          <w:szCs w:val="24"/>
          <w:lang w:val="en-GB"/>
        </w:rPr>
      </w:pPr>
      <w:r w:rsidRPr="00966346">
        <w:rPr>
          <w:rFonts w:ascii="Arial" w:hAnsi="Arial" w:cs="Arial"/>
          <w:sz w:val="24"/>
          <w:szCs w:val="24"/>
          <w:lang w:val="en-GB"/>
        </w:rPr>
        <w:t>We declare</w:t>
      </w:r>
      <w:r w:rsidR="002F4E2F" w:rsidRPr="00966346">
        <w:rPr>
          <w:rFonts w:ascii="Arial" w:hAnsi="Arial" w:cs="Arial"/>
          <w:sz w:val="24"/>
          <w:szCs w:val="24"/>
          <w:lang w:val="en-GB"/>
        </w:rPr>
        <w:t xml:space="preserve"> no </w:t>
      </w:r>
      <w:r w:rsidRPr="00966346">
        <w:rPr>
          <w:rFonts w:ascii="Arial" w:hAnsi="Arial" w:cs="Arial"/>
          <w:sz w:val="24"/>
          <w:szCs w:val="24"/>
          <w:lang w:val="en-GB"/>
        </w:rPr>
        <w:t>competing</w:t>
      </w:r>
      <w:r w:rsidR="002F4E2F" w:rsidRPr="00966346">
        <w:rPr>
          <w:rFonts w:ascii="Arial" w:hAnsi="Arial" w:cs="Arial"/>
          <w:sz w:val="24"/>
          <w:szCs w:val="24"/>
          <w:lang w:val="en-GB"/>
        </w:rPr>
        <w:t xml:space="preserve"> interests. </w:t>
      </w:r>
    </w:p>
    <w:p w14:paraId="37EC52E5" w14:textId="77777777" w:rsidR="002F4E2F" w:rsidRPr="00966346" w:rsidRDefault="002F4E2F" w:rsidP="00D161B3">
      <w:pPr>
        <w:spacing w:after="0" w:line="240" w:lineRule="auto"/>
        <w:jc w:val="both"/>
        <w:rPr>
          <w:rFonts w:ascii="Arial" w:hAnsi="Arial" w:cs="Arial"/>
          <w:b/>
          <w:sz w:val="24"/>
          <w:szCs w:val="24"/>
          <w:lang w:val="en-GB"/>
        </w:rPr>
      </w:pPr>
    </w:p>
    <w:p w14:paraId="0034D9E9" w14:textId="77777777" w:rsidR="00D161B3" w:rsidRPr="00966346" w:rsidRDefault="00D161B3" w:rsidP="00D161B3">
      <w:pPr>
        <w:spacing w:after="0" w:line="240" w:lineRule="auto"/>
        <w:jc w:val="both"/>
        <w:rPr>
          <w:rFonts w:ascii="Arial" w:hAnsi="Arial" w:cs="Arial"/>
          <w:b/>
          <w:sz w:val="24"/>
          <w:szCs w:val="24"/>
          <w:lang w:val="en-GB"/>
        </w:rPr>
      </w:pPr>
    </w:p>
    <w:p w14:paraId="06987466" w14:textId="77777777" w:rsidR="00D161B3" w:rsidRPr="00966346" w:rsidRDefault="00D161B3" w:rsidP="00D161B3">
      <w:pPr>
        <w:spacing w:after="0" w:line="240" w:lineRule="auto"/>
        <w:jc w:val="both"/>
        <w:rPr>
          <w:rFonts w:ascii="Arial" w:hAnsi="Arial" w:cs="Arial"/>
          <w:b/>
          <w:sz w:val="24"/>
          <w:szCs w:val="24"/>
          <w:lang w:val="en-GB"/>
        </w:rPr>
      </w:pPr>
    </w:p>
    <w:p w14:paraId="21B61BBD" w14:textId="77777777" w:rsidR="002F4E2F" w:rsidRPr="00966346" w:rsidRDefault="002F4E2F" w:rsidP="00D161B3">
      <w:pPr>
        <w:spacing w:after="0" w:line="240" w:lineRule="auto"/>
        <w:jc w:val="both"/>
        <w:rPr>
          <w:rFonts w:ascii="Arial" w:hAnsi="Arial" w:cs="Arial"/>
          <w:b/>
          <w:sz w:val="24"/>
          <w:szCs w:val="24"/>
          <w:lang w:val="en-GB"/>
        </w:rPr>
      </w:pPr>
    </w:p>
    <w:p w14:paraId="6252E9BA" w14:textId="77777777" w:rsidR="00D161B3" w:rsidRPr="00966346" w:rsidRDefault="00D161B3" w:rsidP="00D161B3">
      <w:pPr>
        <w:spacing w:after="0" w:line="240" w:lineRule="auto"/>
        <w:jc w:val="both"/>
        <w:rPr>
          <w:rFonts w:ascii="Arial" w:hAnsi="Arial" w:cs="Arial"/>
          <w:b/>
          <w:sz w:val="24"/>
          <w:szCs w:val="24"/>
        </w:rPr>
      </w:pPr>
      <w:r w:rsidRPr="00966346">
        <w:rPr>
          <w:rFonts w:ascii="Arial" w:hAnsi="Arial" w:cs="Arial"/>
          <w:b/>
          <w:sz w:val="24"/>
          <w:szCs w:val="24"/>
        </w:rPr>
        <w:t>DISCLOSURE OF RESULTS BEFORE PUBLICATION</w:t>
      </w:r>
    </w:p>
    <w:p w14:paraId="21DD63D8" w14:textId="77777777" w:rsidR="00D161B3" w:rsidRPr="00966346" w:rsidRDefault="00D161B3" w:rsidP="00D161B3">
      <w:pPr>
        <w:spacing w:after="0" w:line="240" w:lineRule="auto"/>
        <w:jc w:val="both"/>
        <w:rPr>
          <w:rFonts w:ascii="Arial" w:hAnsi="Arial" w:cs="Arial"/>
          <w:sz w:val="24"/>
          <w:szCs w:val="24"/>
          <w:lang w:val="en-GB"/>
        </w:rPr>
      </w:pPr>
      <w:r w:rsidRPr="00966346">
        <w:rPr>
          <w:rFonts w:ascii="Arial" w:hAnsi="Arial" w:cs="Arial"/>
          <w:sz w:val="24"/>
          <w:szCs w:val="24"/>
          <w:lang w:val="en-GB"/>
        </w:rPr>
        <w:t>Preliminary results have been published as meeting abstract and reported as oral presentation at the 58</w:t>
      </w:r>
      <w:r w:rsidRPr="00966346">
        <w:rPr>
          <w:rFonts w:ascii="Arial" w:hAnsi="Arial" w:cs="Arial"/>
          <w:sz w:val="24"/>
          <w:szCs w:val="24"/>
          <w:vertAlign w:val="superscript"/>
          <w:lang w:val="en-GB"/>
        </w:rPr>
        <w:t>th</w:t>
      </w:r>
      <w:r w:rsidRPr="00966346">
        <w:rPr>
          <w:rFonts w:ascii="Arial" w:hAnsi="Arial" w:cs="Arial"/>
          <w:sz w:val="24"/>
          <w:szCs w:val="24"/>
          <w:lang w:val="en-GB"/>
        </w:rPr>
        <w:t xml:space="preserve"> Annual Meeting of the American Society of Hematology, Dec 3-6, 2016, San Diego, USA: </w:t>
      </w:r>
      <w:r w:rsidRPr="00966346">
        <w:rPr>
          <w:rFonts w:ascii="Arial" w:hAnsi="Arial" w:cs="Arial"/>
          <w:sz w:val="24"/>
          <w:szCs w:val="24"/>
        </w:rPr>
        <w:t xml:space="preserve">A.J.M. Ferreri, K. Cwynarski, E. Pulczynski, C.P. Fox, E. Schorb, P. La </w:t>
      </w:r>
      <w:proofErr w:type="spellStart"/>
      <w:r w:rsidRPr="00966346">
        <w:rPr>
          <w:rFonts w:ascii="Arial" w:hAnsi="Arial" w:cs="Arial"/>
          <w:sz w:val="24"/>
          <w:szCs w:val="24"/>
        </w:rPr>
        <w:t>Rosée</w:t>
      </w:r>
      <w:proofErr w:type="spellEnd"/>
      <w:r w:rsidRPr="00966346">
        <w:rPr>
          <w:rFonts w:ascii="Arial" w:hAnsi="Arial" w:cs="Arial"/>
          <w:sz w:val="24"/>
          <w:szCs w:val="24"/>
        </w:rPr>
        <w:t xml:space="preserve">, M. Binder, A. Fabbri, V. Torri, E. Minacapelli, M. Falautano, F. Ilariucci, A. Ambrosetti, A. Roth, C. </w:t>
      </w:r>
      <w:proofErr w:type="spellStart"/>
      <w:r w:rsidRPr="00966346">
        <w:rPr>
          <w:rFonts w:ascii="Arial" w:hAnsi="Arial" w:cs="Arial"/>
          <w:sz w:val="24"/>
          <w:szCs w:val="24"/>
        </w:rPr>
        <w:t>Hemmaway</w:t>
      </w:r>
      <w:proofErr w:type="spellEnd"/>
      <w:r w:rsidRPr="00966346">
        <w:rPr>
          <w:rFonts w:ascii="Arial" w:hAnsi="Arial" w:cs="Arial"/>
          <w:sz w:val="24"/>
          <w:szCs w:val="24"/>
        </w:rPr>
        <w:t xml:space="preserve">, P. Johnson, K. Linton, T. </w:t>
      </w:r>
      <w:proofErr w:type="spellStart"/>
      <w:r w:rsidRPr="00966346">
        <w:rPr>
          <w:rFonts w:ascii="Arial" w:hAnsi="Arial" w:cs="Arial"/>
          <w:sz w:val="24"/>
          <w:szCs w:val="24"/>
        </w:rPr>
        <w:t>Pukrop</w:t>
      </w:r>
      <w:proofErr w:type="spellEnd"/>
      <w:r w:rsidRPr="00966346">
        <w:rPr>
          <w:rFonts w:ascii="Arial" w:hAnsi="Arial" w:cs="Arial"/>
          <w:sz w:val="24"/>
          <w:szCs w:val="24"/>
        </w:rPr>
        <w:t xml:space="preserve">, J. </w:t>
      </w:r>
      <w:proofErr w:type="spellStart"/>
      <w:r w:rsidRPr="00966346">
        <w:rPr>
          <w:rFonts w:ascii="Arial" w:hAnsi="Arial" w:cs="Arial"/>
          <w:sz w:val="24"/>
          <w:szCs w:val="24"/>
        </w:rPr>
        <w:t>Sonderskov</w:t>
      </w:r>
      <w:proofErr w:type="spellEnd"/>
      <w:r w:rsidRPr="00966346">
        <w:rPr>
          <w:rFonts w:ascii="Arial" w:hAnsi="Arial" w:cs="Arial"/>
          <w:sz w:val="24"/>
          <w:szCs w:val="24"/>
        </w:rPr>
        <w:t xml:space="preserve"> </w:t>
      </w:r>
      <w:proofErr w:type="spellStart"/>
      <w:r w:rsidRPr="00966346">
        <w:rPr>
          <w:rFonts w:ascii="Arial" w:hAnsi="Arial" w:cs="Arial"/>
          <w:sz w:val="24"/>
          <w:szCs w:val="24"/>
        </w:rPr>
        <w:t>Gorlov</w:t>
      </w:r>
      <w:proofErr w:type="spellEnd"/>
      <w:r w:rsidRPr="00966346">
        <w:rPr>
          <w:rFonts w:ascii="Arial" w:hAnsi="Arial" w:cs="Arial"/>
          <w:sz w:val="24"/>
          <w:szCs w:val="24"/>
        </w:rPr>
        <w:t xml:space="preserve">, M. Balzarotti, G. Hess, U. Keller, S. </w:t>
      </w:r>
      <w:proofErr w:type="spellStart"/>
      <w:r w:rsidRPr="00966346">
        <w:rPr>
          <w:rFonts w:ascii="Arial" w:hAnsi="Arial" w:cs="Arial"/>
          <w:sz w:val="24"/>
          <w:szCs w:val="24"/>
        </w:rPr>
        <w:t>Stilgenbauer</w:t>
      </w:r>
      <w:proofErr w:type="spellEnd"/>
      <w:r w:rsidRPr="00966346">
        <w:rPr>
          <w:rFonts w:ascii="Arial" w:hAnsi="Arial" w:cs="Arial"/>
          <w:sz w:val="24"/>
          <w:szCs w:val="24"/>
        </w:rPr>
        <w:t xml:space="preserve">, J. </w:t>
      </w:r>
      <w:proofErr w:type="spellStart"/>
      <w:r w:rsidRPr="00966346">
        <w:rPr>
          <w:rFonts w:ascii="Arial" w:hAnsi="Arial" w:cs="Arial"/>
          <w:sz w:val="24"/>
          <w:szCs w:val="24"/>
        </w:rPr>
        <w:t>Panse</w:t>
      </w:r>
      <w:proofErr w:type="spellEnd"/>
      <w:r w:rsidRPr="00966346">
        <w:rPr>
          <w:rFonts w:ascii="Arial" w:hAnsi="Arial" w:cs="Arial"/>
          <w:sz w:val="24"/>
          <w:szCs w:val="24"/>
        </w:rPr>
        <w:t xml:space="preserve">, A. </w:t>
      </w:r>
      <w:proofErr w:type="spellStart"/>
      <w:r w:rsidRPr="00966346">
        <w:rPr>
          <w:rFonts w:ascii="Arial" w:hAnsi="Arial" w:cs="Arial"/>
          <w:sz w:val="24"/>
          <w:szCs w:val="24"/>
        </w:rPr>
        <w:t>Tucci</w:t>
      </w:r>
      <w:proofErr w:type="spellEnd"/>
      <w:r w:rsidRPr="00966346">
        <w:rPr>
          <w:rFonts w:ascii="Arial" w:hAnsi="Arial" w:cs="Arial"/>
          <w:sz w:val="24"/>
          <w:szCs w:val="24"/>
        </w:rPr>
        <w:t xml:space="preserve">, L. Orsucci, F. Pisani, A. Levis, S. Krause, H.J. Schmoll, B. </w:t>
      </w:r>
      <w:proofErr w:type="spellStart"/>
      <w:r w:rsidRPr="00966346">
        <w:rPr>
          <w:rFonts w:ascii="Arial" w:hAnsi="Arial" w:cs="Arial"/>
          <w:sz w:val="24"/>
          <w:szCs w:val="24"/>
        </w:rPr>
        <w:t>Hertenstein</w:t>
      </w:r>
      <w:proofErr w:type="spellEnd"/>
      <w:r w:rsidRPr="00966346">
        <w:rPr>
          <w:rFonts w:ascii="Arial" w:hAnsi="Arial" w:cs="Arial"/>
          <w:sz w:val="24"/>
          <w:szCs w:val="24"/>
        </w:rPr>
        <w:t xml:space="preserve">, M. </w:t>
      </w:r>
      <w:proofErr w:type="spellStart"/>
      <w:r w:rsidRPr="00966346">
        <w:rPr>
          <w:rFonts w:ascii="Arial" w:hAnsi="Arial" w:cs="Arial"/>
          <w:sz w:val="24"/>
          <w:szCs w:val="24"/>
        </w:rPr>
        <w:t>Rummel</w:t>
      </w:r>
      <w:proofErr w:type="spellEnd"/>
      <w:r w:rsidRPr="00966346">
        <w:rPr>
          <w:rFonts w:ascii="Arial" w:hAnsi="Arial" w:cs="Arial"/>
          <w:sz w:val="24"/>
          <w:szCs w:val="24"/>
        </w:rPr>
        <w:t xml:space="preserve">, J. Smith, M. </w:t>
      </w:r>
      <w:proofErr w:type="spellStart"/>
      <w:r w:rsidRPr="00966346">
        <w:rPr>
          <w:rFonts w:ascii="Arial" w:hAnsi="Arial" w:cs="Arial"/>
          <w:sz w:val="24"/>
          <w:szCs w:val="24"/>
        </w:rPr>
        <w:t>Pfreundschuh</w:t>
      </w:r>
      <w:proofErr w:type="spellEnd"/>
      <w:r w:rsidRPr="00966346">
        <w:rPr>
          <w:rFonts w:ascii="Arial" w:hAnsi="Arial" w:cs="Arial"/>
          <w:sz w:val="24"/>
          <w:szCs w:val="24"/>
        </w:rPr>
        <w:t xml:space="preserve">, G. Cabras, F. </w:t>
      </w:r>
      <w:proofErr w:type="spellStart"/>
      <w:r w:rsidRPr="00966346">
        <w:rPr>
          <w:rFonts w:ascii="Arial" w:hAnsi="Arial" w:cs="Arial"/>
          <w:sz w:val="24"/>
          <w:szCs w:val="24"/>
        </w:rPr>
        <w:t>Angrilli</w:t>
      </w:r>
      <w:proofErr w:type="spellEnd"/>
      <w:r w:rsidRPr="00966346">
        <w:rPr>
          <w:rFonts w:ascii="Arial" w:hAnsi="Arial" w:cs="Arial"/>
          <w:sz w:val="24"/>
          <w:szCs w:val="24"/>
        </w:rPr>
        <w:t xml:space="preserve">, M. Ponzoni, M. Deckert, L.S. Politi, J. Finke, M. Reni, F. Cavalli, E. Zucca, G. Illerhaus. Effects on Survival and Neurocognitive Functions of Whole-Brain Radiotherapy (WBRT) and Autologous Stem Cell Transplantation (ASCT) as Consolidation Options After High-Dose Methotrexate-Based Chemoimmunotherapy in Patients with Newly Diagnosed Primary CNS Lymphoma (PCNSL): Results of the Second Randomization of the IELSG32 Trial. Blood 128 (22): abstract #511, 2016. </w:t>
      </w:r>
      <w:r w:rsidRPr="00966346">
        <w:rPr>
          <w:rFonts w:ascii="Arial" w:hAnsi="Arial" w:cs="Arial"/>
          <w:sz w:val="24"/>
          <w:szCs w:val="24"/>
          <w:lang w:val="en-GB"/>
        </w:rPr>
        <w:t xml:space="preserve"> </w:t>
      </w:r>
    </w:p>
    <w:p w14:paraId="454C1A67" w14:textId="77777777" w:rsidR="00D161B3" w:rsidRPr="00966346" w:rsidRDefault="00D161B3" w:rsidP="00D161B3">
      <w:pPr>
        <w:spacing w:after="0" w:line="240" w:lineRule="auto"/>
        <w:jc w:val="both"/>
        <w:rPr>
          <w:rFonts w:ascii="Arial" w:hAnsi="Arial" w:cs="Arial"/>
          <w:sz w:val="24"/>
          <w:szCs w:val="24"/>
          <w:lang w:val="en-GB"/>
        </w:rPr>
      </w:pPr>
    </w:p>
    <w:p w14:paraId="142C530E" w14:textId="3BEF3833" w:rsidR="00164882" w:rsidRPr="00966346" w:rsidRDefault="00164882" w:rsidP="00164882">
      <w:pPr>
        <w:spacing w:after="0" w:line="240" w:lineRule="auto"/>
        <w:jc w:val="both"/>
        <w:rPr>
          <w:rFonts w:ascii="Arial" w:hAnsi="Arial" w:cs="Arial"/>
          <w:sz w:val="24"/>
          <w:szCs w:val="24"/>
          <w:lang w:val="en-GB"/>
        </w:rPr>
      </w:pPr>
      <w:r w:rsidRPr="00966346">
        <w:rPr>
          <w:rFonts w:ascii="Arial" w:hAnsi="Arial" w:cs="Arial"/>
          <w:sz w:val="24"/>
          <w:szCs w:val="24"/>
          <w:lang w:val="en-GB"/>
        </w:rPr>
        <w:t xml:space="preserve">Preliminary results have been published as meeting abstract and reported as oral presentation at the </w:t>
      </w:r>
      <w:r w:rsidRPr="00966346">
        <w:rPr>
          <w:rFonts w:ascii="Arial" w:hAnsi="Arial" w:cs="Arial"/>
          <w:sz w:val="24"/>
          <w:szCs w:val="24"/>
        </w:rPr>
        <w:t>43rd Annual Meeting of the European Society for Blood and Marrow Transplantation</w:t>
      </w:r>
      <w:r w:rsidRPr="00966346">
        <w:rPr>
          <w:rFonts w:ascii="Arial" w:hAnsi="Arial" w:cs="Arial"/>
          <w:sz w:val="24"/>
          <w:szCs w:val="24"/>
          <w:lang w:val="en-GB"/>
        </w:rPr>
        <w:t xml:space="preserve">, Mar 26-29, 2016, Marseille, France: </w:t>
      </w:r>
      <w:r w:rsidRPr="00966346">
        <w:rPr>
          <w:rFonts w:ascii="Arial" w:hAnsi="Arial" w:cs="Arial"/>
          <w:sz w:val="24"/>
          <w:szCs w:val="24"/>
        </w:rPr>
        <w:t xml:space="preserve">A.J.M. Ferreri, K. Cwynarski, E. Pulczynski, C.P. Fox, E. Schorb, P. La </w:t>
      </w:r>
      <w:proofErr w:type="spellStart"/>
      <w:r w:rsidRPr="00966346">
        <w:rPr>
          <w:rFonts w:ascii="Arial" w:hAnsi="Arial" w:cs="Arial"/>
          <w:sz w:val="24"/>
          <w:szCs w:val="24"/>
        </w:rPr>
        <w:t>Rosée</w:t>
      </w:r>
      <w:proofErr w:type="spellEnd"/>
      <w:r w:rsidRPr="00966346">
        <w:rPr>
          <w:rFonts w:ascii="Arial" w:hAnsi="Arial" w:cs="Arial"/>
          <w:sz w:val="24"/>
          <w:szCs w:val="24"/>
        </w:rPr>
        <w:t xml:space="preserve">, M. Binder, A. Fabbri, V. Torri, E. Minacapelli, M. Falautano, F. Ilariucci, A. Ambrosetti, A. Roth, C. </w:t>
      </w:r>
      <w:proofErr w:type="spellStart"/>
      <w:r w:rsidRPr="00966346">
        <w:rPr>
          <w:rFonts w:ascii="Arial" w:hAnsi="Arial" w:cs="Arial"/>
          <w:sz w:val="24"/>
          <w:szCs w:val="24"/>
        </w:rPr>
        <w:t>Hemmaway</w:t>
      </w:r>
      <w:proofErr w:type="spellEnd"/>
      <w:r w:rsidRPr="00966346">
        <w:rPr>
          <w:rFonts w:ascii="Arial" w:hAnsi="Arial" w:cs="Arial"/>
          <w:sz w:val="24"/>
          <w:szCs w:val="24"/>
        </w:rPr>
        <w:t xml:space="preserve">, P. Johnson, K. Linton, T. </w:t>
      </w:r>
      <w:proofErr w:type="spellStart"/>
      <w:r w:rsidRPr="00966346">
        <w:rPr>
          <w:rFonts w:ascii="Arial" w:hAnsi="Arial" w:cs="Arial"/>
          <w:sz w:val="24"/>
          <w:szCs w:val="24"/>
        </w:rPr>
        <w:t>Pukrop</w:t>
      </w:r>
      <w:proofErr w:type="spellEnd"/>
      <w:r w:rsidRPr="00966346">
        <w:rPr>
          <w:rFonts w:ascii="Arial" w:hAnsi="Arial" w:cs="Arial"/>
          <w:sz w:val="24"/>
          <w:szCs w:val="24"/>
        </w:rPr>
        <w:t xml:space="preserve">, J. </w:t>
      </w:r>
      <w:proofErr w:type="spellStart"/>
      <w:r w:rsidRPr="00966346">
        <w:rPr>
          <w:rFonts w:ascii="Arial" w:hAnsi="Arial" w:cs="Arial"/>
          <w:sz w:val="24"/>
          <w:szCs w:val="24"/>
        </w:rPr>
        <w:t>Sonderskov</w:t>
      </w:r>
      <w:proofErr w:type="spellEnd"/>
      <w:r w:rsidRPr="00966346">
        <w:rPr>
          <w:rFonts w:ascii="Arial" w:hAnsi="Arial" w:cs="Arial"/>
          <w:sz w:val="24"/>
          <w:szCs w:val="24"/>
        </w:rPr>
        <w:t xml:space="preserve"> </w:t>
      </w:r>
      <w:proofErr w:type="spellStart"/>
      <w:r w:rsidRPr="00966346">
        <w:rPr>
          <w:rFonts w:ascii="Arial" w:hAnsi="Arial" w:cs="Arial"/>
          <w:sz w:val="24"/>
          <w:szCs w:val="24"/>
        </w:rPr>
        <w:t>Gorlov</w:t>
      </w:r>
      <w:proofErr w:type="spellEnd"/>
      <w:r w:rsidRPr="00966346">
        <w:rPr>
          <w:rFonts w:ascii="Arial" w:hAnsi="Arial" w:cs="Arial"/>
          <w:sz w:val="24"/>
          <w:szCs w:val="24"/>
        </w:rPr>
        <w:t xml:space="preserve">, M. Balzarotti, G. Hess, U. Keller, S. </w:t>
      </w:r>
      <w:proofErr w:type="spellStart"/>
      <w:r w:rsidRPr="00966346">
        <w:rPr>
          <w:rFonts w:ascii="Arial" w:hAnsi="Arial" w:cs="Arial"/>
          <w:sz w:val="24"/>
          <w:szCs w:val="24"/>
        </w:rPr>
        <w:t>Stilgenbauer</w:t>
      </w:r>
      <w:proofErr w:type="spellEnd"/>
      <w:r w:rsidRPr="00966346">
        <w:rPr>
          <w:rFonts w:ascii="Arial" w:hAnsi="Arial" w:cs="Arial"/>
          <w:sz w:val="24"/>
          <w:szCs w:val="24"/>
        </w:rPr>
        <w:t xml:space="preserve">, J. </w:t>
      </w:r>
      <w:proofErr w:type="spellStart"/>
      <w:r w:rsidRPr="00966346">
        <w:rPr>
          <w:rFonts w:ascii="Arial" w:hAnsi="Arial" w:cs="Arial"/>
          <w:sz w:val="24"/>
          <w:szCs w:val="24"/>
        </w:rPr>
        <w:t>Panse</w:t>
      </w:r>
      <w:proofErr w:type="spellEnd"/>
      <w:r w:rsidRPr="00966346">
        <w:rPr>
          <w:rFonts w:ascii="Arial" w:hAnsi="Arial" w:cs="Arial"/>
          <w:sz w:val="24"/>
          <w:szCs w:val="24"/>
        </w:rPr>
        <w:t xml:space="preserve">, A. </w:t>
      </w:r>
      <w:proofErr w:type="spellStart"/>
      <w:r w:rsidRPr="00966346">
        <w:rPr>
          <w:rFonts w:ascii="Arial" w:hAnsi="Arial" w:cs="Arial"/>
          <w:sz w:val="24"/>
          <w:szCs w:val="24"/>
        </w:rPr>
        <w:t>Tucci</w:t>
      </w:r>
      <w:proofErr w:type="spellEnd"/>
      <w:r w:rsidRPr="00966346">
        <w:rPr>
          <w:rFonts w:ascii="Arial" w:hAnsi="Arial" w:cs="Arial"/>
          <w:sz w:val="24"/>
          <w:szCs w:val="24"/>
        </w:rPr>
        <w:t xml:space="preserve">, L. Orsucci, F. Pisani, A. Levis, S. Krause, H.J. Schmoll, B. </w:t>
      </w:r>
      <w:proofErr w:type="spellStart"/>
      <w:r w:rsidRPr="00966346">
        <w:rPr>
          <w:rFonts w:ascii="Arial" w:hAnsi="Arial" w:cs="Arial"/>
          <w:sz w:val="24"/>
          <w:szCs w:val="24"/>
        </w:rPr>
        <w:t>Hertenstein</w:t>
      </w:r>
      <w:proofErr w:type="spellEnd"/>
      <w:r w:rsidRPr="00966346">
        <w:rPr>
          <w:rFonts w:ascii="Arial" w:hAnsi="Arial" w:cs="Arial"/>
          <w:sz w:val="24"/>
          <w:szCs w:val="24"/>
        </w:rPr>
        <w:t xml:space="preserve">, M. </w:t>
      </w:r>
      <w:proofErr w:type="spellStart"/>
      <w:r w:rsidRPr="00966346">
        <w:rPr>
          <w:rFonts w:ascii="Arial" w:hAnsi="Arial" w:cs="Arial"/>
          <w:sz w:val="24"/>
          <w:szCs w:val="24"/>
        </w:rPr>
        <w:t>Rummel</w:t>
      </w:r>
      <w:proofErr w:type="spellEnd"/>
      <w:r w:rsidRPr="00966346">
        <w:rPr>
          <w:rFonts w:ascii="Arial" w:hAnsi="Arial" w:cs="Arial"/>
          <w:sz w:val="24"/>
          <w:szCs w:val="24"/>
        </w:rPr>
        <w:t xml:space="preserve">, J. Smith, M. </w:t>
      </w:r>
      <w:proofErr w:type="spellStart"/>
      <w:r w:rsidRPr="00966346">
        <w:rPr>
          <w:rFonts w:ascii="Arial" w:hAnsi="Arial" w:cs="Arial"/>
          <w:sz w:val="24"/>
          <w:szCs w:val="24"/>
        </w:rPr>
        <w:t>Pfreundschuh</w:t>
      </w:r>
      <w:proofErr w:type="spellEnd"/>
      <w:r w:rsidRPr="00966346">
        <w:rPr>
          <w:rFonts w:ascii="Arial" w:hAnsi="Arial" w:cs="Arial"/>
          <w:sz w:val="24"/>
          <w:szCs w:val="24"/>
        </w:rPr>
        <w:t xml:space="preserve">, G. Cabras, F. </w:t>
      </w:r>
      <w:proofErr w:type="spellStart"/>
      <w:r w:rsidRPr="00966346">
        <w:rPr>
          <w:rFonts w:ascii="Arial" w:hAnsi="Arial" w:cs="Arial"/>
          <w:sz w:val="24"/>
          <w:szCs w:val="24"/>
        </w:rPr>
        <w:t>Angrilli</w:t>
      </w:r>
      <w:proofErr w:type="spellEnd"/>
      <w:r w:rsidRPr="00966346">
        <w:rPr>
          <w:rFonts w:ascii="Arial" w:hAnsi="Arial" w:cs="Arial"/>
          <w:sz w:val="24"/>
          <w:szCs w:val="24"/>
        </w:rPr>
        <w:t xml:space="preserve">, M. Ponzoni, M. Deckert, L.S. Politi, J. Finke, M. Reni, F. Cavalli, E. Zucca, G. Illerhaus. Autologous Stem Cell Transplantation (ASCT) or Whole-Brain Radiotherapy (WBRT) as Consolidation Strategies After High-Dose Methotrexate-Based Chemoimmunotherapy in Patients with Newly Diagnosed Primary CNS Lymphoma (PCNSL): Results of the IELSG32 Randomized Phase II Trial. </w:t>
      </w:r>
      <w:r w:rsidR="000C6108" w:rsidRPr="00966346">
        <w:rPr>
          <w:rFonts w:ascii="Arial" w:hAnsi="Arial" w:cs="Arial"/>
          <w:sz w:val="24"/>
          <w:szCs w:val="24"/>
        </w:rPr>
        <w:t xml:space="preserve">Biology of </w:t>
      </w:r>
      <w:r w:rsidRPr="00966346">
        <w:rPr>
          <w:rFonts w:ascii="Arial" w:hAnsi="Arial" w:cs="Arial"/>
          <w:sz w:val="24"/>
          <w:szCs w:val="24"/>
        </w:rPr>
        <w:t xml:space="preserve">Blood </w:t>
      </w:r>
      <w:r w:rsidR="000C6108" w:rsidRPr="00966346">
        <w:rPr>
          <w:rFonts w:ascii="Arial" w:hAnsi="Arial" w:cs="Arial"/>
          <w:sz w:val="24"/>
          <w:szCs w:val="24"/>
        </w:rPr>
        <w:t xml:space="preserve">and Marrow Transplantation 27 (3 – </w:t>
      </w:r>
      <w:proofErr w:type="spellStart"/>
      <w:r w:rsidR="000C6108" w:rsidRPr="00966346">
        <w:rPr>
          <w:rFonts w:ascii="Arial" w:hAnsi="Arial" w:cs="Arial"/>
          <w:sz w:val="24"/>
          <w:szCs w:val="24"/>
        </w:rPr>
        <w:t>Suppl</w:t>
      </w:r>
      <w:proofErr w:type="spellEnd"/>
      <w:r w:rsidR="000C6108" w:rsidRPr="00966346">
        <w:rPr>
          <w:rFonts w:ascii="Arial" w:hAnsi="Arial" w:cs="Arial"/>
          <w:sz w:val="24"/>
          <w:szCs w:val="24"/>
        </w:rPr>
        <w:t>)</w:t>
      </w:r>
      <w:r w:rsidRPr="00966346">
        <w:rPr>
          <w:rFonts w:ascii="Arial" w:hAnsi="Arial" w:cs="Arial"/>
          <w:sz w:val="24"/>
          <w:szCs w:val="24"/>
        </w:rPr>
        <w:t>: abstract #</w:t>
      </w:r>
      <w:r w:rsidR="000C6108" w:rsidRPr="00966346">
        <w:rPr>
          <w:rFonts w:ascii="Arial" w:hAnsi="Arial" w:cs="Arial"/>
          <w:sz w:val="24"/>
          <w:szCs w:val="24"/>
        </w:rPr>
        <w:t>7</w:t>
      </w:r>
      <w:r w:rsidRPr="00966346">
        <w:rPr>
          <w:rFonts w:ascii="Arial" w:hAnsi="Arial" w:cs="Arial"/>
          <w:sz w:val="24"/>
          <w:szCs w:val="24"/>
        </w:rPr>
        <w:t>1, 201</w:t>
      </w:r>
      <w:r w:rsidR="000C6108" w:rsidRPr="00966346">
        <w:rPr>
          <w:rFonts w:ascii="Arial" w:hAnsi="Arial" w:cs="Arial"/>
          <w:sz w:val="24"/>
          <w:szCs w:val="24"/>
        </w:rPr>
        <w:t>7</w:t>
      </w:r>
      <w:r w:rsidRPr="00966346">
        <w:rPr>
          <w:rFonts w:ascii="Arial" w:hAnsi="Arial" w:cs="Arial"/>
          <w:sz w:val="24"/>
          <w:szCs w:val="24"/>
        </w:rPr>
        <w:t xml:space="preserve">. </w:t>
      </w:r>
      <w:r w:rsidRPr="00966346">
        <w:rPr>
          <w:rFonts w:ascii="Arial" w:hAnsi="Arial" w:cs="Arial"/>
          <w:sz w:val="24"/>
          <w:szCs w:val="24"/>
          <w:lang w:val="en-GB"/>
        </w:rPr>
        <w:t xml:space="preserve"> </w:t>
      </w:r>
    </w:p>
    <w:p w14:paraId="139DBF75" w14:textId="77777777" w:rsidR="00D161B3" w:rsidRPr="00966346" w:rsidRDefault="00D161B3" w:rsidP="00D161B3">
      <w:pPr>
        <w:spacing w:after="0" w:line="240" w:lineRule="auto"/>
        <w:jc w:val="both"/>
        <w:rPr>
          <w:rFonts w:ascii="Arial" w:hAnsi="Arial" w:cs="Arial"/>
          <w:sz w:val="24"/>
          <w:szCs w:val="24"/>
          <w:lang w:val="en-GB"/>
        </w:rPr>
      </w:pPr>
    </w:p>
    <w:p w14:paraId="25C69D68" w14:textId="77777777" w:rsidR="00D161B3" w:rsidRPr="00966346" w:rsidRDefault="00D161B3" w:rsidP="00D161B3">
      <w:pPr>
        <w:spacing w:after="0" w:line="240" w:lineRule="auto"/>
        <w:jc w:val="both"/>
        <w:rPr>
          <w:rFonts w:ascii="Arial" w:hAnsi="Arial" w:cs="Arial"/>
          <w:sz w:val="24"/>
          <w:szCs w:val="24"/>
          <w:lang w:val="en-GB"/>
        </w:rPr>
      </w:pPr>
    </w:p>
    <w:p w14:paraId="4F917792" w14:textId="77777777" w:rsidR="00D161B3" w:rsidRPr="00966346" w:rsidRDefault="00D161B3" w:rsidP="00D161B3">
      <w:pPr>
        <w:spacing w:after="0" w:line="240" w:lineRule="auto"/>
        <w:jc w:val="both"/>
        <w:rPr>
          <w:rFonts w:ascii="Arial" w:hAnsi="Arial" w:cs="Arial"/>
          <w:sz w:val="24"/>
          <w:szCs w:val="24"/>
          <w:lang w:val="en-GB"/>
        </w:rPr>
      </w:pPr>
    </w:p>
    <w:p w14:paraId="1AA4FF3F" w14:textId="77777777" w:rsidR="003748E8" w:rsidRPr="00966346" w:rsidRDefault="001A667F" w:rsidP="00D161B3">
      <w:pPr>
        <w:spacing w:after="0" w:line="240" w:lineRule="auto"/>
        <w:jc w:val="both"/>
        <w:rPr>
          <w:rFonts w:ascii="Arial" w:hAnsi="Arial" w:cs="Arial"/>
          <w:b/>
          <w:sz w:val="24"/>
          <w:szCs w:val="24"/>
        </w:rPr>
      </w:pPr>
      <w:r w:rsidRPr="00966346">
        <w:rPr>
          <w:rFonts w:ascii="Arial" w:hAnsi="Arial" w:cs="Arial"/>
          <w:b/>
          <w:sz w:val="24"/>
          <w:szCs w:val="24"/>
        </w:rPr>
        <w:t>ACKNOWLEDGMENT</w:t>
      </w:r>
      <w:r w:rsidR="00E64593" w:rsidRPr="00966346">
        <w:rPr>
          <w:rFonts w:ascii="Arial" w:hAnsi="Arial" w:cs="Arial"/>
          <w:b/>
          <w:sz w:val="24"/>
          <w:szCs w:val="24"/>
        </w:rPr>
        <w:t>S</w:t>
      </w:r>
    </w:p>
    <w:p w14:paraId="46E0DA3F" w14:textId="380B2D7A" w:rsidR="001A667F" w:rsidRPr="00966346" w:rsidRDefault="001A667F" w:rsidP="00D161B3">
      <w:pPr>
        <w:spacing w:after="0" w:line="240" w:lineRule="auto"/>
        <w:jc w:val="both"/>
        <w:rPr>
          <w:rFonts w:ascii="Arial" w:hAnsi="Arial" w:cs="Arial"/>
          <w:sz w:val="24"/>
          <w:szCs w:val="24"/>
        </w:rPr>
      </w:pPr>
      <w:r w:rsidRPr="00966346">
        <w:rPr>
          <w:rFonts w:ascii="Arial" w:hAnsi="Arial" w:cs="Arial"/>
          <w:sz w:val="24"/>
          <w:szCs w:val="24"/>
          <w:lang w:val="en-GB"/>
        </w:rPr>
        <w:t>Th</w:t>
      </w:r>
      <w:r w:rsidR="00EA0D09" w:rsidRPr="00966346">
        <w:rPr>
          <w:rFonts w:ascii="Arial" w:hAnsi="Arial" w:cs="Arial"/>
          <w:sz w:val="24"/>
          <w:szCs w:val="24"/>
          <w:lang w:val="en-GB"/>
        </w:rPr>
        <w:t>e IELSG32</w:t>
      </w:r>
      <w:r w:rsidRPr="00966346">
        <w:rPr>
          <w:rFonts w:ascii="Arial" w:hAnsi="Arial" w:cs="Arial"/>
          <w:sz w:val="24"/>
          <w:szCs w:val="24"/>
          <w:lang w:val="en-GB"/>
        </w:rPr>
        <w:t xml:space="preserve"> </w:t>
      </w:r>
      <w:r w:rsidR="00157484" w:rsidRPr="00966346">
        <w:rPr>
          <w:rFonts w:ascii="Arial" w:hAnsi="Arial" w:cs="Arial"/>
          <w:sz w:val="24"/>
          <w:szCs w:val="24"/>
          <w:lang w:val="en-GB"/>
        </w:rPr>
        <w:t xml:space="preserve">is an academic </w:t>
      </w:r>
      <w:r w:rsidR="0027739C" w:rsidRPr="00966346">
        <w:rPr>
          <w:rFonts w:ascii="Arial" w:hAnsi="Arial" w:cs="Arial"/>
          <w:sz w:val="24"/>
          <w:szCs w:val="24"/>
          <w:lang w:val="en-GB"/>
        </w:rPr>
        <w:t>trial</w:t>
      </w:r>
      <w:r w:rsidR="00157484" w:rsidRPr="00966346">
        <w:rPr>
          <w:rFonts w:ascii="Arial" w:hAnsi="Arial" w:cs="Arial"/>
          <w:sz w:val="24"/>
          <w:szCs w:val="24"/>
          <w:lang w:val="en-GB"/>
        </w:rPr>
        <w:t xml:space="preserve">, thus, it </w:t>
      </w:r>
      <w:r w:rsidRPr="00966346">
        <w:rPr>
          <w:rFonts w:ascii="Arial" w:hAnsi="Arial" w:cs="Arial"/>
          <w:sz w:val="24"/>
          <w:szCs w:val="24"/>
          <w:lang w:val="en-GB"/>
        </w:rPr>
        <w:t xml:space="preserve">was performed without </w:t>
      </w:r>
      <w:r w:rsidRPr="00966346">
        <w:rPr>
          <w:rFonts w:ascii="Arial" w:hAnsi="Arial" w:cs="Arial"/>
          <w:sz w:val="24"/>
          <w:szCs w:val="24"/>
        </w:rPr>
        <w:t xml:space="preserve">commercial funding. </w:t>
      </w:r>
      <w:r w:rsidR="00EA0D09" w:rsidRPr="00966346">
        <w:rPr>
          <w:rFonts w:ascii="Arial" w:hAnsi="Arial" w:cs="Arial"/>
          <w:sz w:val="24"/>
          <w:szCs w:val="24"/>
        </w:rPr>
        <w:t xml:space="preserve">It </w:t>
      </w:r>
      <w:r w:rsidRPr="00966346">
        <w:rPr>
          <w:rFonts w:ascii="Arial" w:hAnsi="Arial" w:cs="Arial"/>
          <w:sz w:val="24"/>
          <w:szCs w:val="24"/>
          <w:lang w:val="en-GB"/>
        </w:rPr>
        <w:t>was supported in part by grant</w:t>
      </w:r>
      <w:r w:rsidR="00EA0D09" w:rsidRPr="00966346">
        <w:rPr>
          <w:rFonts w:ascii="Arial" w:hAnsi="Arial" w:cs="Arial"/>
          <w:sz w:val="24"/>
          <w:szCs w:val="24"/>
          <w:lang w:val="en-GB"/>
        </w:rPr>
        <w:t>s</w:t>
      </w:r>
      <w:r w:rsidRPr="00966346">
        <w:rPr>
          <w:rFonts w:ascii="Arial" w:hAnsi="Arial" w:cs="Arial"/>
          <w:sz w:val="24"/>
          <w:szCs w:val="24"/>
          <w:lang w:val="en-GB"/>
        </w:rPr>
        <w:t xml:space="preserve"> from the </w:t>
      </w:r>
      <w:proofErr w:type="spellStart"/>
      <w:r w:rsidR="00EA0D09" w:rsidRPr="00966346">
        <w:rPr>
          <w:rFonts w:ascii="Arial" w:hAnsi="Arial" w:cs="Arial"/>
          <w:sz w:val="24"/>
          <w:szCs w:val="24"/>
          <w:lang w:val="en-GB"/>
        </w:rPr>
        <w:t>A</w:t>
      </w:r>
      <w:r w:rsidR="002B01D9" w:rsidRPr="00966346">
        <w:rPr>
          <w:rFonts w:ascii="Arial" w:hAnsi="Arial" w:cs="Arial"/>
          <w:sz w:val="24"/>
          <w:szCs w:val="24"/>
          <w:lang w:val="en-GB"/>
        </w:rPr>
        <w:t>genzia</w:t>
      </w:r>
      <w:proofErr w:type="spellEnd"/>
      <w:r w:rsidR="00EA0D09" w:rsidRPr="00966346">
        <w:rPr>
          <w:rFonts w:ascii="Arial" w:hAnsi="Arial" w:cs="Arial"/>
          <w:sz w:val="24"/>
          <w:szCs w:val="24"/>
          <w:lang w:val="en-GB"/>
        </w:rPr>
        <w:t xml:space="preserve"> </w:t>
      </w:r>
      <w:proofErr w:type="spellStart"/>
      <w:r w:rsidR="00EA0D09" w:rsidRPr="00966346">
        <w:rPr>
          <w:rFonts w:ascii="Arial" w:hAnsi="Arial" w:cs="Arial"/>
          <w:sz w:val="24"/>
          <w:szCs w:val="24"/>
          <w:lang w:val="en-GB"/>
        </w:rPr>
        <w:t>Italiana</w:t>
      </w:r>
      <w:proofErr w:type="spellEnd"/>
      <w:r w:rsidR="00EA0D09" w:rsidRPr="00966346">
        <w:rPr>
          <w:rFonts w:ascii="Arial" w:hAnsi="Arial" w:cs="Arial"/>
          <w:sz w:val="24"/>
          <w:szCs w:val="24"/>
          <w:lang w:val="en-GB"/>
        </w:rPr>
        <w:t xml:space="preserve"> del </w:t>
      </w:r>
      <w:proofErr w:type="spellStart"/>
      <w:r w:rsidR="00EA0D09" w:rsidRPr="00966346">
        <w:rPr>
          <w:rFonts w:ascii="Arial" w:hAnsi="Arial" w:cs="Arial"/>
          <w:sz w:val="24"/>
          <w:szCs w:val="24"/>
          <w:lang w:val="en-GB"/>
        </w:rPr>
        <w:t>Farmaco</w:t>
      </w:r>
      <w:proofErr w:type="spellEnd"/>
      <w:r w:rsidR="00EA0D09" w:rsidRPr="00966346">
        <w:rPr>
          <w:rFonts w:ascii="Arial" w:hAnsi="Arial" w:cs="Arial"/>
          <w:sz w:val="24"/>
          <w:szCs w:val="24"/>
          <w:lang w:val="en-GB"/>
        </w:rPr>
        <w:t xml:space="preserve"> (</w:t>
      </w:r>
      <w:proofErr w:type="spellStart"/>
      <w:r w:rsidR="00EA0D09" w:rsidRPr="00966346">
        <w:rPr>
          <w:rFonts w:ascii="Arial" w:hAnsi="Arial" w:cs="Arial"/>
          <w:sz w:val="24"/>
          <w:szCs w:val="24"/>
          <w:lang w:val="en-GB"/>
        </w:rPr>
        <w:t>Ricerca</w:t>
      </w:r>
      <w:proofErr w:type="spellEnd"/>
      <w:r w:rsidR="00EA0D09" w:rsidRPr="00966346">
        <w:rPr>
          <w:rFonts w:ascii="Arial" w:hAnsi="Arial" w:cs="Arial"/>
          <w:sz w:val="24"/>
          <w:szCs w:val="24"/>
          <w:lang w:val="en-GB"/>
        </w:rPr>
        <w:t xml:space="preserve"> </w:t>
      </w:r>
      <w:proofErr w:type="spellStart"/>
      <w:r w:rsidR="00EA0D09" w:rsidRPr="00966346">
        <w:rPr>
          <w:rFonts w:ascii="Arial" w:hAnsi="Arial" w:cs="Arial"/>
          <w:sz w:val="24"/>
          <w:szCs w:val="24"/>
          <w:lang w:val="en-GB"/>
        </w:rPr>
        <w:t>Indipendente</w:t>
      </w:r>
      <w:proofErr w:type="spellEnd"/>
      <w:r w:rsidR="00EA0D09" w:rsidRPr="00966346">
        <w:rPr>
          <w:rFonts w:ascii="Arial" w:hAnsi="Arial" w:cs="Arial"/>
          <w:sz w:val="24"/>
          <w:szCs w:val="24"/>
          <w:lang w:val="en-GB"/>
        </w:rPr>
        <w:t xml:space="preserve"> – FARM99FS3Y),</w:t>
      </w:r>
      <w:r w:rsidR="006D42AC" w:rsidRPr="00966346">
        <w:rPr>
          <w:rFonts w:ascii="Arial" w:hAnsi="Arial" w:cs="Arial"/>
          <w:sz w:val="24"/>
          <w:szCs w:val="24"/>
          <w:lang w:val="en-GB"/>
        </w:rPr>
        <w:t xml:space="preserve"> Cancer Research UK, </w:t>
      </w:r>
      <w:proofErr w:type="spellStart"/>
      <w:r w:rsidR="006D42AC" w:rsidRPr="00966346">
        <w:rPr>
          <w:rFonts w:ascii="Arial" w:hAnsi="Arial" w:cs="Arial"/>
          <w:sz w:val="24"/>
          <w:szCs w:val="24"/>
          <w:lang w:val="en-GB"/>
        </w:rPr>
        <w:t>Oncosuisse</w:t>
      </w:r>
      <w:proofErr w:type="spellEnd"/>
      <w:r w:rsidR="00164882" w:rsidRPr="00966346">
        <w:rPr>
          <w:rFonts w:ascii="Arial" w:hAnsi="Arial" w:cs="Arial"/>
          <w:sz w:val="24"/>
          <w:szCs w:val="24"/>
          <w:lang w:val="en-GB"/>
        </w:rPr>
        <w:t xml:space="preserve"> (KLS 02399-02-2009)</w:t>
      </w:r>
      <w:r w:rsidR="00B86099" w:rsidRPr="00966346">
        <w:rPr>
          <w:rFonts w:ascii="Arial" w:hAnsi="Arial" w:cs="Arial"/>
          <w:sz w:val="24"/>
          <w:szCs w:val="24"/>
          <w:lang w:val="en-GB"/>
        </w:rPr>
        <w:t>,</w:t>
      </w:r>
      <w:r w:rsidR="00EA0D09" w:rsidRPr="00966346">
        <w:rPr>
          <w:rFonts w:ascii="Arial" w:hAnsi="Arial" w:cs="Arial"/>
          <w:sz w:val="24"/>
          <w:szCs w:val="24"/>
          <w:lang w:val="en-GB"/>
        </w:rPr>
        <w:t xml:space="preserve"> and the Swiss National </w:t>
      </w:r>
      <w:r w:rsidR="00164882" w:rsidRPr="00966346">
        <w:rPr>
          <w:rFonts w:ascii="Arial" w:hAnsi="Arial" w:cs="Arial"/>
          <w:sz w:val="24"/>
          <w:szCs w:val="24"/>
          <w:lang w:val="en-GB"/>
        </w:rPr>
        <w:t xml:space="preserve">Science </w:t>
      </w:r>
      <w:r w:rsidR="00EA0D09" w:rsidRPr="00966346">
        <w:rPr>
          <w:rFonts w:ascii="Arial" w:hAnsi="Arial" w:cs="Arial"/>
          <w:sz w:val="24"/>
          <w:szCs w:val="24"/>
          <w:lang w:val="en-GB"/>
        </w:rPr>
        <w:t>Foundation</w:t>
      </w:r>
      <w:r w:rsidR="00164882" w:rsidRPr="00966346">
        <w:rPr>
          <w:rFonts w:ascii="Arial" w:hAnsi="Arial" w:cs="Arial"/>
          <w:sz w:val="24"/>
          <w:szCs w:val="24"/>
          <w:lang w:val="en-GB"/>
        </w:rPr>
        <w:t xml:space="preserve"> (31003B_132924)</w:t>
      </w:r>
      <w:r w:rsidRPr="00966346">
        <w:rPr>
          <w:rFonts w:ascii="Arial" w:hAnsi="Arial" w:cs="Arial"/>
          <w:sz w:val="24"/>
          <w:szCs w:val="24"/>
          <w:lang w:val="en-GB"/>
        </w:rPr>
        <w:t xml:space="preserve">. </w:t>
      </w:r>
      <w:r w:rsidR="008E70BC" w:rsidRPr="00966346">
        <w:rPr>
          <w:rFonts w:ascii="Arial" w:hAnsi="Arial" w:cs="Arial"/>
          <w:sz w:val="24"/>
          <w:szCs w:val="24"/>
        </w:rPr>
        <w:t xml:space="preserve">The trial chairpersons guarantee the integrity, accuracy, completeness of data analyses and adherence to protocol. The trial had an independent, international DSMB. The chairpersons wrote the manuscript; they have not been paid to write the article. </w:t>
      </w:r>
    </w:p>
    <w:p w14:paraId="3B216BDE" w14:textId="77777777" w:rsidR="001A667F" w:rsidRPr="00966346" w:rsidRDefault="001A667F" w:rsidP="00D161B3">
      <w:pPr>
        <w:spacing w:after="0" w:line="240" w:lineRule="auto"/>
        <w:jc w:val="both"/>
        <w:rPr>
          <w:rFonts w:ascii="Arial" w:hAnsi="Arial" w:cs="Arial"/>
          <w:sz w:val="24"/>
          <w:szCs w:val="24"/>
          <w:lang w:val="en-GB"/>
        </w:rPr>
      </w:pPr>
      <w:r w:rsidRPr="00966346">
        <w:rPr>
          <w:rFonts w:ascii="Arial" w:hAnsi="Arial" w:cs="Arial"/>
          <w:sz w:val="24"/>
          <w:szCs w:val="24"/>
          <w:lang w:val="en-GB"/>
        </w:rPr>
        <w:lastRenderedPageBreak/>
        <w:t xml:space="preserve">The authors are indebted to </w:t>
      </w:r>
      <w:r w:rsidR="00EA0D09" w:rsidRPr="00966346">
        <w:rPr>
          <w:rFonts w:ascii="Arial" w:hAnsi="Arial" w:cs="Arial"/>
          <w:sz w:val="24"/>
          <w:szCs w:val="24"/>
        </w:rPr>
        <w:t>our patients and their families</w:t>
      </w:r>
      <w:r w:rsidR="00EA0D09" w:rsidRPr="00966346">
        <w:rPr>
          <w:rFonts w:ascii="Arial" w:hAnsi="Arial" w:cs="Arial"/>
          <w:sz w:val="24"/>
          <w:szCs w:val="24"/>
          <w:lang w:val="en-GB"/>
        </w:rPr>
        <w:t xml:space="preserve"> </w:t>
      </w:r>
      <w:r w:rsidRPr="00966346">
        <w:rPr>
          <w:rFonts w:ascii="Arial" w:hAnsi="Arial" w:cs="Arial"/>
          <w:sz w:val="24"/>
          <w:szCs w:val="24"/>
          <w:lang w:val="en-GB"/>
        </w:rPr>
        <w:t>for the</w:t>
      </w:r>
      <w:r w:rsidR="00EA0D09" w:rsidRPr="00966346">
        <w:rPr>
          <w:rFonts w:ascii="Arial" w:hAnsi="Arial" w:cs="Arial"/>
          <w:sz w:val="24"/>
          <w:szCs w:val="24"/>
          <w:lang w:val="en-GB"/>
        </w:rPr>
        <w:t>ir</w:t>
      </w:r>
      <w:r w:rsidRPr="00966346">
        <w:rPr>
          <w:rFonts w:ascii="Arial" w:hAnsi="Arial" w:cs="Arial"/>
          <w:sz w:val="24"/>
          <w:szCs w:val="24"/>
          <w:lang w:val="en-GB"/>
        </w:rPr>
        <w:t xml:space="preserve"> generous </w:t>
      </w:r>
      <w:r w:rsidR="00EA0D09" w:rsidRPr="00966346">
        <w:rPr>
          <w:rFonts w:ascii="Arial" w:hAnsi="Arial" w:cs="Arial"/>
          <w:sz w:val="24"/>
          <w:szCs w:val="24"/>
          <w:lang w:val="en-GB"/>
        </w:rPr>
        <w:t>commitment</w:t>
      </w:r>
      <w:r w:rsidRPr="00966346">
        <w:rPr>
          <w:rFonts w:ascii="Arial" w:hAnsi="Arial" w:cs="Arial"/>
          <w:sz w:val="24"/>
          <w:szCs w:val="24"/>
          <w:lang w:val="en-GB"/>
        </w:rPr>
        <w:t>.</w:t>
      </w:r>
    </w:p>
    <w:p w14:paraId="0C33FA58" w14:textId="77777777" w:rsidR="00EA0D09" w:rsidRPr="00966346" w:rsidRDefault="001A667F" w:rsidP="00D161B3">
      <w:pPr>
        <w:spacing w:after="0" w:line="240" w:lineRule="auto"/>
        <w:jc w:val="both"/>
        <w:rPr>
          <w:rFonts w:ascii="Arial" w:hAnsi="Arial" w:cs="Arial"/>
          <w:sz w:val="24"/>
          <w:szCs w:val="24"/>
        </w:rPr>
      </w:pPr>
      <w:r w:rsidRPr="00966346">
        <w:rPr>
          <w:rFonts w:ascii="Arial" w:hAnsi="Arial" w:cs="Arial"/>
          <w:sz w:val="24"/>
          <w:szCs w:val="24"/>
          <w:lang w:val="en-GB"/>
        </w:rPr>
        <w:t xml:space="preserve">We appreciate the excellent technical assistance of </w:t>
      </w:r>
      <w:r w:rsidR="00EA0D09" w:rsidRPr="00966346">
        <w:rPr>
          <w:rFonts w:ascii="Arial" w:hAnsi="Arial" w:cs="Arial"/>
          <w:sz w:val="24"/>
          <w:szCs w:val="24"/>
        </w:rPr>
        <w:t xml:space="preserve">National </w:t>
      </w:r>
      <w:proofErr w:type="spellStart"/>
      <w:r w:rsidR="00EA0D09" w:rsidRPr="00966346">
        <w:rPr>
          <w:rFonts w:ascii="Arial" w:hAnsi="Arial" w:cs="Arial"/>
          <w:sz w:val="24"/>
          <w:szCs w:val="24"/>
        </w:rPr>
        <w:t>Datamanger</w:t>
      </w:r>
      <w:proofErr w:type="spellEnd"/>
      <w:r w:rsidR="00EA0D09" w:rsidRPr="00966346">
        <w:rPr>
          <w:rFonts w:ascii="Arial" w:hAnsi="Arial" w:cs="Arial"/>
          <w:sz w:val="24"/>
          <w:szCs w:val="24"/>
        </w:rPr>
        <w:t xml:space="preserve"> and Study Coordinator Offices of Modena, Alessandria and Milano (</w:t>
      </w:r>
      <w:r w:rsidR="008653A6" w:rsidRPr="00966346">
        <w:rPr>
          <w:rFonts w:ascii="Arial" w:hAnsi="Arial" w:cs="Arial"/>
          <w:sz w:val="24"/>
          <w:szCs w:val="24"/>
        </w:rPr>
        <w:t xml:space="preserve">Fondazione </w:t>
      </w:r>
      <w:proofErr w:type="spellStart"/>
      <w:r w:rsidR="008653A6" w:rsidRPr="00966346">
        <w:rPr>
          <w:rFonts w:ascii="Arial" w:hAnsi="Arial" w:cs="Arial"/>
          <w:sz w:val="24"/>
          <w:szCs w:val="24"/>
        </w:rPr>
        <w:t>Italiana</w:t>
      </w:r>
      <w:proofErr w:type="spellEnd"/>
      <w:r w:rsidR="008653A6" w:rsidRPr="00966346">
        <w:rPr>
          <w:rFonts w:ascii="Arial" w:hAnsi="Arial" w:cs="Arial"/>
          <w:sz w:val="24"/>
          <w:szCs w:val="24"/>
        </w:rPr>
        <w:t xml:space="preserve"> </w:t>
      </w:r>
      <w:proofErr w:type="spellStart"/>
      <w:r w:rsidR="008653A6" w:rsidRPr="00966346">
        <w:rPr>
          <w:rFonts w:ascii="Arial" w:hAnsi="Arial" w:cs="Arial"/>
          <w:sz w:val="24"/>
          <w:szCs w:val="24"/>
        </w:rPr>
        <w:t>Linfomi</w:t>
      </w:r>
      <w:proofErr w:type="spellEnd"/>
      <w:r w:rsidR="008653A6" w:rsidRPr="00966346">
        <w:rPr>
          <w:rFonts w:ascii="Arial" w:hAnsi="Arial" w:cs="Arial"/>
          <w:sz w:val="24"/>
          <w:szCs w:val="24"/>
        </w:rPr>
        <w:t xml:space="preserve">; </w:t>
      </w:r>
      <w:r w:rsidR="00EA0D09" w:rsidRPr="00966346">
        <w:rPr>
          <w:rFonts w:ascii="Arial" w:hAnsi="Arial" w:cs="Arial"/>
          <w:sz w:val="24"/>
          <w:szCs w:val="24"/>
        </w:rPr>
        <w:t xml:space="preserve">Italy), Freiburg (Germany), Southampton (UK), Aarhus (Denmark), and </w:t>
      </w:r>
      <w:proofErr w:type="spellStart"/>
      <w:r w:rsidR="00EA0D09" w:rsidRPr="00966346">
        <w:rPr>
          <w:rFonts w:ascii="Arial" w:hAnsi="Arial" w:cs="Arial"/>
          <w:sz w:val="24"/>
          <w:szCs w:val="24"/>
        </w:rPr>
        <w:t>Bellinzona</w:t>
      </w:r>
      <w:proofErr w:type="spellEnd"/>
      <w:r w:rsidR="00EA0D09" w:rsidRPr="00966346">
        <w:rPr>
          <w:rFonts w:ascii="Arial" w:hAnsi="Arial" w:cs="Arial"/>
          <w:sz w:val="24"/>
          <w:szCs w:val="24"/>
        </w:rPr>
        <w:t xml:space="preserve"> (Switzerland) as well as </w:t>
      </w:r>
      <w:r w:rsidR="00ED067B" w:rsidRPr="00966346">
        <w:rPr>
          <w:rFonts w:ascii="Arial" w:hAnsi="Arial" w:cs="Arial"/>
          <w:sz w:val="24"/>
          <w:szCs w:val="24"/>
        </w:rPr>
        <w:t xml:space="preserve">the </w:t>
      </w:r>
      <w:r w:rsidR="00EA0D09" w:rsidRPr="00966346">
        <w:rPr>
          <w:rFonts w:ascii="Arial" w:hAnsi="Arial" w:cs="Arial"/>
          <w:sz w:val="24"/>
          <w:szCs w:val="24"/>
        </w:rPr>
        <w:t xml:space="preserve">IELSG secretariat for sponsoring the trial. </w:t>
      </w:r>
    </w:p>
    <w:p w14:paraId="4117BB84" w14:textId="77777777" w:rsidR="001A667F" w:rsidRPr="00966346" w:rsidRDefault="001A667F" w:rsidP="00D161B3">
      <w:pPr>
        <w:spacing w:after="0" w:line="240" w:lineRule="auto"/>
        <w:jc w:val="both"/>
        <w:rPr>
          <w:rFonts w:ascii="Arial" w:hAnsi="Arial" w:cs="Arial"/>
          <w:sz w:val="24"/>
          <w:szCs w:val="24"/>
          <w:lang w:val="en-GB"/>
        </w:rPr>
      </w:pPr>
      <w:r w:rsidRPr="00966346">
        <w:rPr>
          <w:rFonts w:ascii="Arial" w:hAnsi="Arial" w:cs="Arial"/>
          <w:sz w:val="24"/>
          <w:szCs w:val="24"/>
          <w:lang w:val="en-GB"/>
        </w:rPr>
        <w:t xml:space="preserve">We also acknowledge </w:t>
      </w:r>
      <w:r w:rsidR="00EA0D09" w:rsidRPr="00966346">
        <w:rPr>
          <w:rFonts w:ascii="Arial" w:hAnsi="Arial" w:cs="Arial"/>
          <w:sz w:val="24"/>
          <w:szCs w:val="24"/>
          <w:lang w:val="en-GB"/>
        </w:rPr>
        <w:t xml:space="preserve">haematologists, oncologists, neuro-radiologists, radiation oncologist, pathologists, and psychologists from the 53 participating centres </w:t>
      </w:r>
      <w:r w:rsidRPr="00966346">
        <w:rPr>
          <w:rFonts w:ascii="Arial" w:hAnsi="Arial" w:cs="Arial"/>
          <w:sz w:val="24"/>
          <w:szCs w:val="24"/>
          <w:lang w:val="en-GB"/>
        </w:rPr>
        <w:t>for the sustained scientific collaboration.</w:t>
      </w:r>
    </w:p>
    <w:p w14:paraId="46817D9C" w14:textId="77777777" w:rsidR="001A667F" w:rsidRPr="00966346" w:rsidRDefault="001A667F" w:rsidP="001F791E">
      <w:pPr>
        <w:spacing w:after="0" w:line="360" w:lineRule="auto"/>
        <w:jc w:val="both"/>
        <w:rPr>
          <w:rFonts w:ascii="Arial" w:hAnsi="Arial" w:cs="Arial"/>
          <w:sz w:val="24"/>
          <w:szCs w:val="24"/>
        </w:rPr>
      </w:pPr>
    </w:p>
    <w:p w14:paraId="70BCAE86" w14:textId="77777777" w:rsidR="00D161B3" w:rsidRPr="00966346" w:rsidRDefault="00D161B3">
      <w:pPr>
        <w:rPr>
          <w:rFonts w:ascii="Arial" w:hAnsi="Arial" w:cs="Arial"/>
          <w:b/>
          <w:sz w:val="24"/>
          <w:szCs w:val="24"/>
        </w:rPr>
      </w:pPr>
      <w:r w:rsidRPr="00966346">
        <w:rPr>
          <w:rFonts w:ascii="Arial" w:hAnsi="Arial" w:cs="Arial"/>
          <w:b/>
          <w:sz w:val="24"/>
          <w:szCs w:val="24"/>
        </w:rPr>
        <w:br w:type="page"/>
      </w:r>
    </w:p>
    <w:p w14:paraId="11803741" w14:textId="77777777" w:rsidR="000C3A7B" w:rsidRPr="00966346" w:rsidRDefault="000C3A7B" w:rsidP="00C3452E">
      <w:pPr>
        <w:spacing w:after="0" w:line="360" w:lineRule="auto"/>
        <w:jc w:val="both"/>
        <w:rPr>
          <w:rFonts w:ascii="Arial" w:hAnsi="Arial" w:cs="Arial"/>
          <w:b/>
          <w:sz w:val="24"/>
          <w:szCs w:val="24"/>
        </w:rPr>
      </w:pPr>
      <w:r w:rsidRPr="00966346">
        <w:rPr>
          <w:rFonts w:ascii="Arial" w:hAnsi="Arial" w:cs="Arial"/>
          <w:b/>
          <w:sz w:val="24"/>
          <w:szCs w:val="24"/>
        </w:rPr>
        <w:lastRenderedPageBreak/>
        <w:t>FIGURE LEGENDS</w:t>
      </w:r>
    </w:p>
    <w:p w14:paraId="7ED473BA" w14:textId="77777777" w:rsidR="000C3A7B" w:rsidRPr="00966346" w:rsidRDefault="000C3A7B" w:rsidP="0047282A">
      <w:pPr>
        <w:spacing w:after="0" w:line="360" w:lineRule="exact"/>
        <w:jc w:val="both"/>
        <w:rPr>
          <w:rFonts w:ascii="Arial" w:hAnsi="Arial" w:cs="Arial"/>
          <w:sz w:val="20"/>
        </w:rPr>
      </w:pPr>
      <w:r w:rsidRPr="00966346">
        <w:rPr>
          <w:rFonts w:ascii="Arial" w:hAnsi="Arial" w:cs="Arial"/>
          <w:sz w:val="20"/>
        </w:rPr>
        <w:t xml:space="preserve">Figure 1: CONSORT </w:t>
      </w:r>
      <w:r w:rsidR="005C2293" w:rsidRPr="00966346">
        <w:rPr>
          <w:rFonts w:ascii="Arial" w:hAnsi="Arial" w:cs="Arial"/>
          <w:sz w:val="20"/>
        </w:rPr>
        <w:t>flow diagram</w:t>
      </w:r>
      <w:r w:rsidRPr="00966346">
        <w:rPr>
          <w:rFonts w:ascii="Arial" w:hAnsi="Arial" w:cs="Arial"/>
          <w:sz w:val="20"/>
        </w:rPr>
        <w:t xml:space="preserve"> of the IELSG32 trial. </w:t>
      </w:r>
    </w:p>
    <w:p w14:paraId="3768B2D6" w14:textId="2416F3B4" w:rsidR="00517609" w:rsidRPr="00966346" w:rsidRDefault="0047282A" w:rsidP="0047282A">
      <w:pPr>
        <w:spacing w:after="0" w:line="360" w:lineRule="exact"/>
        <w:jc w:val="both"/>
        <w:rPr>
          <w:rFonts w:ascii="Arial" w:hAnsi="Arial" w:cs="Arial"/>
          <w:sz w:val="20"/>
        </w:rPr>
      </w:pPr>
      <w:r w:rsidRPr="00966346">
        <w:rPr>
          <w:rFonts w:ascii="Arial" w:hAnsi="Arial" w:cs="Arial"/>
          <w:sz w:val="20"/>
        </w:rPr>
        <w:t xml:space="preserve">*Per protocol, the 12 patients who experienced prolonged side effects or </w:t>
      </w:r>
      <w:r w:rsidR="00517609" w:rsidRPr="00966346">
        <w:rPr>
          <w:rFonts w:ascii="Arial" w:hAnsi="Arial" w:cs="Arial"/>
          <w:sz w:val="20"/>
        </w:rPr>
        <w:t>suffered severe neurological worsening despite evident</w:t>
      </w:r>
      <w:r w:rsidRPr="00966346">
        <w:rPr>
          <w:rFonts w:ascii="Arial" w:hAnsi="Arial" w:cs="Arial"/>
          <w:sz w:val="20"/>
        </w:rPr>
        <w:t xml:space="preserve"> tumor regression were considered not eligible for the second randomization. </w:t>
      </w:r>
      <w:r w:rsidR="00DD3E3F">
        <w:rPr>
          <w:rFonts w:ascii="Arial" w:hAnsi="Arial" w:cs="Arial"/>
          <w:sz w:val="20"/>
        </w:rPr>
        <w:t xml:space="preserve">The latter condition may be explained by prolonged exposure of CNS tissues to tumor cells with consequent irreversible damage. </w:t>
      </w:r>
    </w:p>
    <w:p w14:paraId="46A196C8" w14:textId="77777777" w:rsidR="00517609" w:rsidRPr="00966346" w:rsidRDefault="00517609" w:rsidP="0047282A">
      <w:pPr>
        <w:spacing w:after="0" w:line="360" w:lineRule="exact"/>
        <w:jc w:val="both"/>
        <w:rPr>
          <w:rFonts w:ascii="Arial" w:hAnsi="Arial" w:cs="Arial"/>
          <w:sz w:val="20"/>
        </w:rPr>
      </w:pPr>
      <w:r w:rsidRPr="00966346">
        <w:rPr>
          <w:rFonts w:ascii="Arial" w:hAnsi="Arial" w:cs="Arial"/>
          <w:sz w:val="20"/>
          <w:vertAlign w:val="superscript"/>
        </w:rPr>
        <w:t>§</w:t>
      </w:r>
      <w:r w:rsidRPr="00966346">
        <w:rPr>
          <w:rFonts w:ascii="Arial" w:hAnsi="Arial" w:cs="Arial"/>
          <w:sz w:val="20"/>
        </w:rPr>
        <w:t>Leukapheresis was not performed in eight patients due to patient’s refusal or protocol violation.</w:t>
      </w:r>
    </w:p>
    <w:p w14:paraId="402244BB" w14:textId="77777777" w:rsidR="000C3A7B" w:rsidRPr="00966346" w:rsidRDefault="000C3A7B" w:rsidP="0047282A">
      <w:pPr>
        <w:spacing w:after="0" w:line="360" w:lineRule="exact"/>
        <w:jc w:val="both"/>
        <w:rPr>
          <w:rFonts w:ascii="Arial" w:hAnsi="Arial" w:cs="Arial"/>
          <w:sz w:val="20"/>
        </w:rPr>
      </w:pPr>
      <w:r w:rsidRPr="00966346">
        <w:rPr>
          <w:rFonts w:ascii="Arial" w:hAnsi="Arial" w:cs="Arial"/>
          <w:sz w:val="20"/>
        </w:rPr>
        <w:t xml:space="preserve">MTX= methotrexate; </w:t>
      </w:r>
      <w:proofErr w:type="spellStart"/>
      <w:r w:rsidRPr="00966346">
        <w:rPr>
          <w:rFonts w:ascii="Arial" w:hAnsi="Arial" w:cs="Arial"/>
          <w:sz w:val="20"/>
        </w:rPr>
        <w:t>araC</w:t>
      </w:r>
      <w:proofErr w:type="spellEnd"/>
      <w:r w:rsidRPr="00966346">
        <w:rPr>
          <w:rFonts w:ascii="Arial" w:hAnsi="Arial" w:cs="Arial"/>
          <w:sz w:val="20"/>
        </w:rPr>
        <w:t xml:space="preserve">= cytarabine; WBRT= whole-brain radiotherapy; HDC/ASCT= high-dose chemotherapy supported by autologous stem cell transplantation. </w:t>
      </w:r>
    </w:p>
    <w:p w14:paraId="7DB39E1C" w14:textId="77777777" w:rsidR="000C3A7B" w:rsidRPr="00966346" w:rsidRDefault="000C3A7B" w:rsidP="0047282A">
      <w:pPr>
        <w:spacing w:after="0" w:line="360" w:lineRule="exact"/>
        <w:jc w:val="both"/>
        <w:rPr>
          <w:rFonts w:ascii="Arial" w:hAnsi="Arial" w:cs="Arial"/>
          <w:sz w:val="20"/>
        </w:rPr>
      </w:pPr>
    </w:p>
    <w:p w14:paraId="6EC592C1" w14:textId="77777777" w:rsidR="004D0358" w:rsidRPr="00966346" w:rsidRDefault="005D0E6F" w:rsidP="0047282A">
      <w:pPr>
        <w:spacing w:after="0" w:line="360" w:lineRule="exact"/>
        <w:jc w:val="both"/>
        <w:rPr>
          <w:rFonts w:ascii="Arial" w:hAnsi="Arial" w:cs="Arial"/>
          <w:sz w:val="20"/>
        </w:rPr>
      </w:pPr>
      <w:r w:rsidRPr="00966346">
        <w:rPr>
          <w:rFonts w:ascii="Arial" w:hAnsi="Arial" w:cs="Arial"/>
          <w:sz w:val="20"/>
        </w:rPr>
        <w:t xml:space="preserve">Figure 2. </w:t>
      </w:r>
      <w:r w:rsidR="006B2EA9" w:rsidRPr="00966346">
        <w:rPr>
          <w:rFonts w:ascii="Arial" w:hAnsi="Arial" w:cs="Arial"/>
          <w:sz w:val="20"/>
        </w:rPr>
        <w:t xml:space="preserve">Progression-free survival curves of randomized patients divided according to consolidation arm on </w:t>
      </w:r>
      <w:r w:rsidR="00BA742F" w:rsidRPr="00966346">
        <w:rPr>
          <w:rFonts w:ascii="Arial" w:hAnsi="Arial" w:cs="Arial"/>
          <w:sz w:val="20"/>
        </w:rPr>
        <w:t xml:space="preserve">intention-to-treat </w:t>
      </w:r>
      <w:r w:rsidR="006B2EA9" w:rsidRPr="00966346">
        <w:rPr>
          <w:rFonts w:ascii="Arial" w:hAnsi="Arial" w:cs="Arial"/>
          <w:sz w:val="20"/>
        </w:rPr>
        <w:t xml:space="preserve">(A) and per-protocol (B) populations. Overall survival curves of randomized patients divided according to consolidation arm on </w:t>
      </w:r>
      <w:r w:rsidR="00BA742F" w:rsidRPr="00966346">
        <w:rPr>
          <w:rFonts w:ascii="Arial" w:hAnsi="Arial" w:cs="Arial"/>
          <w:sz w:val="20"/>
        </w:rPr>
        <w:t xml:space="preserve">intention-to-treat </w:t>
      </w:r>
      <w:r w:rsidR="006B2EA9" w:rsidRPr="00966346">
        <w:rPr>
          <w:rFonts w:ascii="Arial" w:hAnsi="Arial" w:cs="Arial"/>
          <w:sz w:val="20"/>
        </w:rPr>
        <w:t>(C) and per-protocol (D) populations.</w:t>
      </w:r>
      <w:r w:rsidR="00FF2700" w:rsidRPr="00966346">
        <w:rPr>
          <w:rFonts w:ascii="Arial" w:hAnsi="Arial" w:cs="Arial"/>
          <w:sz w:val="20"/>
        </w:rPr>
        <w:t xml:space="preserve"> </w:t>
      </w:r>
      <w:r w:rsidR="00A03919" w:rsidRPr="00966346">
        <w:rPr>
          <w:rFonts w:ascii="Arial" w:hAnsi="Arial" w:cs="Arial"/>
          <w:sz w:val="20"/>
        </w:rPr>
        <w:t xml:space="preserve">Subgroups are </w:t>
      </w:r>
      <w:r w:rsidR="002F7F08" w:rsidRPr="00966346">
        <w:rPr>
          <w:rFonts w:ascii="Arial" w:hAnsi="Arial" w:cs="Arial"/>
          <w:sz w:val="20"/>
        </w:rPr>
        <w:t>called “</w:t>
      </w:r>
      <w:r w:rsidR="00A03919" w:rsidRPr="00966346">
        <w:rPr>
          <w:rFonts w:ascii="Arial" w:hAnsi="Arial" w:cs="Arial"/>
          <w:sz w:val="20"/>
        </w:rPr>
        <w:t>arm D</w:t>
      </w:r>
      <w:r w:rsidR="002F7F08" w:rsidRPr="00966346">
        <w:rPr>
          <w:rFonts w:ascii="Arial" w:hAnsi="Arial" w:cs="Arial"/>
          <w:sz w:val="20"/>
        </w:rPr>
        <w:t>”</w:t>
      </w:r>
      <w:r w:rsidR="00A03919" w:rsidRPr="00966346">
        <w:rPr>
          <w:rFonts w:ascii="Arial" w:hAnsi="Arial" w:cs="Arial"/>
          <w:sz w:val="20"/>
        </w:rPr>
        <w:t xml:space="preserve"> and </w:t>
      </w:r>
      <w:r w:rsidR="002F7F08" w:rsidRPr="00966346">
        <w:rPr>
          <w:rFonts w:ascii="Arial" w:hAnsi="Arial" w:cs="Arial"/>
          <w:sz w:val="20"/>
        </w:rPr>
        <w:t xml:space="preserve">“arm </w:t>
      </w:r>
      <w:r w:rsidR="00A03919" w:rsidRPr="00966346">
        <w:rPr>
          <w:rFonts w:ascii="Arial" w:hAnsi="Arial" w:cs="Arial"/>
          <w:sz w:val="20"/>
        </w:rPr>
        <w:t>E</w:t>
      </w:r>
      <w:r w:rsidR="002F7F08" w:rsidRPr="00966346">
        <w:rPr>
          <w:rFonts w:ascii="Arial" w:hAnsi="Arial" w:cs="Arial"/>
          <w:sz w:val="20"/>
        </w:rPr>
        <w:t>”</w:t>
      </w:r>
      <w:r w:rsidR="00A03919" w:rsidRPr="00966346">
        <w:rPr>
          <w:rFonts w:ascii="Arial" w:hAnsi="Arial" w:cs="Arial"/>
          <w:sz w:val="20"/>
        </w:rPr>
        <w:t xml:space="preserve"> in </w:t>
      </w:r>
      <w:r w:rsidR="00BA742F" w:rsidRPr="00966346">
        <w:rPr>
          <w:rFonts w:ascii="Arial" w:hAnsi="Arial" w:cs="Arial"/>
          <w:sz w:val="20"/>
        </w:rPr>
        <w:t xml:space="preserve">intention-to-treat </w:t>
      </w:r>
      <w:r w:rsidR="00A03919" w:rsidRPr="00966346">
        <w:rPr>
          <w:rFonts w:ascii="Arial" w:hAnsi="Arial" w:cs="Arial"/>
          <w:sz w:val="20"/>
        </w:rPr>
        <w:t xml:space="preserve">analyses, and </w:t>
      </w:r>
      <w:r w:rsidR="002F7F08" w:rsidRPr="00966346">
        <w:rPr>
          <w:rFonts w:ascii="Arial" w:hAnsi="Arial" w:cs="Arial"/>
          <w:sz w:val="20"/>
        </w:rPr>
        <w:t>“</w:t>
      </w:r>
      <w:r w:rsidR="00A03919" w:rsidRPr="00966346">
        <w:rPr>
          <w:rFonts w:ascii="Arial" w:hAnsi="Arial" w:cs="Arial"/>
          <w:sz w:val="20"/>
        </w:rPr>
        <w:t>WBRT</w:t>
      </w:r>
      <w:r w:rsidR="002F7F08" w:rsidRPr="00966346">
        <w:rPr>
          <w:rFonts w:ascii="Arial" w:hAnsi="Arial" w:cs="Arial"/>
          <w:sz w:val="20"/>
        </w:rPr>
        <w:t>”</w:t>
      </w:r>
      <w:r w:rsidR="00A03919" w:rsidRPr="00966346">
        <w:rPr>
          <w:rFonts w:ascii="Arial" w:hAnsi="Arial" w:cs="Arial"/>
          <w:sz w:val="20"/>
        </w:rPr>
        <w:t xml:space="preserve"> and </w:t>
      </w:r>
      <w:r w:rsidR="002F7F08" w:rsidRPr="00966346">
        <w:rPr>
          <w:rFonts w:ascii="Arial" w:hAnsi="Arial" w:cs="Arial"/>
          <w:sz w:val="20"/>
        </w:rPr>
        <w:t>“</w:t>
      </w:r>
      <w:r w:rsidR="00A03919" w:rsidRPr="00966346">
        <w:rPr>
          <w:rFonts w:ascii="Arial" w:hAnsi="Arial" w:cs="Arial"/>
          <w:sz w:val="20"/>
        </w:rPr>
        <w:t>ASCT</w:t>
      </w:r>
      <w:r w:rsidR="002F7F08" w:rsidRPr="00966346">
        <w:rPr>
          <w:rFonts w:ascii="Arial" w:hAnsi="Arial" w:cs="Arial"/>
          <w:sz w:val="20"/>
        </w:rPr>
        <w:t>”</w:t>
      </w:r>
      <w:r w:rsidR="00A03919" w:rsidRPr="00966346">
        <w:rPr>
          <w:rFonts w:ascii="Arial" w:hAnsi="Arial" w:cs="Arial"/>
          <w:sz w:val="20"/>
        </w:rPr>
        <w:t xml:space="preserve"> in per-protocol analyses. </w:t>
      </w:r>
    </w:p>
    <w:p w14:paraId="26F7E639" w14:textId="77777777" w:rsidR="007877DC" w:rsidRPr="00966346" w:rsidRDefault="007877DC" w:rsidP="0047282A">
      <w:pPr>
        <w:spacing w:after="0" w:line="360" w:lineRule="exact"/>
        <w:jc w:val="both"/>
        <w:rPr>
          <w:rFonts w:ascii="Arial" w:hAnsi="Arial" w:cs="Arial"/>
          <w:sz w:val="20"/>
        </w:rPr>
      </w:pPr>
    </w:p>
    <w:p w14:paraId="491BA670" w14:textId="7B8BF6DF" w:rsidR="0029516F" w:rsidRPr="00966346" w:rsidRDefault="00C3452E" w:rsidP="0047282A">
      <w:pPr>
        <w:spacing w:after="0" w:line="360" w:lineRule="exact"/>
        <w:jc w:val="both"/>
        <w:rPr>
          <w:rFonts w:ascii="Arial" w:hAnsi="Arial" w:cs="Arial"/>
          <w:sz w:val="20"/>
        </w:rPr>
      </w:pPr>
      <w:r w:rsidRPr="00966346">
        <w:rPr>
          <w:rFonts w:ascii="Arial" w:hAnsi="Arial" w:cs="Arial"/>
          <w:sz w:val="20"/>
        </w:rPr>
        <w:t xml:space="preserve">Figure </w:t>
      </w:r>
      <w:r w:rsidR="00053766">
        <w:rPr>
          <w:rFonts w:ascii="Arial" w:hAnsi="Arial" w:cs="Arial"/>
          <w:sz w:val="20"/>
        </w:rPr>
        <w:t>3</w:t>
      </w:r>
      <w:r w:rsidRPr="00966346">
        <w:rPr>
          <w:rFonts w:ascii="Arial" w:hAnsi="Arial" w:cs="Arial"/>
          <w:sz w:val="20"/>
        </w:rPr>
        <w:t xml:space="preserve">: </w:t>
      </w:r>
      <w:r w:rsidR="0029516F" w:rsidRPr="00966346">
        <w:rPr>
          <w:rFonts w:ascii="Arial" w:hAnsi="Arial" w:cs="Arial"/>
          <w:sz w:val="20"/>
        </w:rPr>
        <w:t xml:space="preserve">Changes in cognitive functions assessed immediately after treatment. </w:t>
      </w:r>
    </w:p>
    <w:p w14:paraId="44CCFBEA" w14:textId="77777777" w:rsidR="0029516F" w:rsidRPr="00966346" w:rsidRDefault="0029516F" w:rsidP="0047282A">
      <w:pPr>
        <w:spacing w:after="0" w:line="360" w:lineRule="exact"/>
        <w:jc w:val="both"/>
        <w:rPr>
          <w:rFonts w:ascii="Arial" w:hAnsi="Arial" w:cs="Arial"/>
          <w:sz w:val="20"/>
        </w:rPr>
      </w:pPr>
      <w:r w:rsidRPr="00966346">
        <w:rPr>
          <w:rFonts w:ascii="Arial" w:hAnsi="Arial" w:cs="Arial"/>
          <w:sz w:val="20"/>
        </w:rPr>
        <w:t xml:space="preserve">Bars represents the </w:t>
      </w:r>
      <w:r w:rsidR="00A90665" w:rsidRPr="00966346">
        <w:rPr>
          <w:rFonts w:ascii="Arial" w:hAnsi="Arial" w:cs="Arial"/>
          <w:sz w:val="20"/>
        </w:rPr>
        <w:t xml:space="preserve">mean values of the </w:t>
      </w:r>
      <w:r w:rsidRPr="00966346">
        <w:rPr>
          <w:rFonts w:ascii="Arial" w:hAnsi="Arial" w:cs="Arial"/>
          <w:sz w:val="20"/>
        </w:rPr>
        <w:t>difference</w:t>
      </w:r>
      <w:r w:rsidR="00A90665" w:rsidRPr="00966346">
        <w:rPr>
          <w:rFonts w:ascii="Arial" w:hAnsi="Arial" w:cs="Arial"/>
          <w:sz w:val="20"/>
        </w:rPr>
        <w:t>s</w:t>
      </w:r>
      <w:r w:rsidRPr="00966346">
        <w:rPr>
          <w:rFonts w:ascii="Arial" w:hAnsi="Arial" w:cs="Arial"/>
          <w:sz w:val="20"/>
        </w:rPr>
        <w:t xml:space="preserve"> between </w:t>
      </w:r>
      <w:r w:rsidR="003D17D4" w:rsidRPr="00966346">
        <w:rPr>
          <w:rFonts w:ascii="Arial" w:hAnsi="Arial" w:cs="Arial"/>
          <w:sz w:val="20"/>
        </w:rPr>
        <w:t xml:space="preserve">scores of neuropsychological tests performed at </w:t>
      </w:r>
      <w:r w:rsidRPr="00966346">
        <w:rPr>
          <w:rFonts w:ascii="Arial" w:hAnsi="Arial" w:cs="Arial"/>
          <w:sz w:val="20"/>
        </w:rPr>
        <w:t xml:space="preserve">baseline and </w:t>
      </w:r>
      <w:r w:rsidR="003D17D4" w:rsidRPr="00966346">
        <w:rPr>
          <w:rFonts w:ascii="Arial" w:hAnsi="Arial" w:cs="Arial"/>
          <w:sz w:val="20"/>
        </w:rPr>
        <w:t xml:space="preserve">after </w:t>
      </w:r>
      <w:r w:rsidRPr="00966346">
        <w:rPr>
          <w:rFonts w:ascii="Arial" w:hAnsi="Arial" w:cs="Arial"/>
          <w:sz w:val="20"/>
        </w:rPr>
        <w:t>treatment</w:t>
      </w:r>
      <w:r w:rsidR="00C862F2" w:rsidRPr="00966346">
        <w:rPr>
          <w:rFonts w:ascii="Arial" w:hAnsi="Arial" w:cs="Arial"/>
          <w:sz w:val="20"/>
        </w:rPr>
        <w:t>.</w:t>
      </w:r>
      <w:r w:rsidR="003D17D4" w:rsidRPr="00966346">
        <w:rPr>
          <w:rFonts w:ascii="Arial" w:hAnsi="Arial" w:cs="Arial"/>
          <w:sz w:val="20"/>
        </w:rPr>
        <w:t xml:space="preserve"> </w:t>
      </w:r>
      <w:r w:rsidR="00C862F2" w:rsidRPr="00966346">
        <w:rPr>
          <w:rFonts w:ascii="Arial" w:hAnsi="Arial" w:cs="Arial"/>
          <w:sz w:val="20"/>
        </w:rPr>
        <w:t>Bars on the right side of zero indicate function improvement, bars on the left side indicate impairment. D</w:t>
      </w:r>
      <w:r w:rsidR="003D17D4" w:rsidRPr="00966346">
        <w:rPr>
          <w:rFonts w:ascii="Arial" w:hAnsi="Arial" w:cs="Arial"/>
          <w:sz w:val="20"/>
        </w:rPr>
        <w:t>ifferences</w:t>
      </w:r>
      <w:r w:rsidR="009107F9" w:rsidRPr="00966346">
        <w:rPr>
          <w:rFonts w:ascii="Arial" w:hAnsi="Arial" w:cs="Arial"/>
          <w:sz w:val="20"/>
        </w:rPr>
        <w:t xml:space="preserve"> can be positive or negative</w:t>
      </w:r>
      <w:r w:rsidR="00C862F2" w:rsidRPr="00966346">
        <w:rPr>
          <w:rFonts w:ascii="Arial" w:hAnsi="Arial" w:cs="Arial"/>
          <w:sz w:val="20"/>
        </w:rPr>
        <w:t xml:space="preserve">, but signs of some bars were changed (from negative to positive and </w:t>
      </w:r>
      <w:r w:rsidR="00C862F2" w:rsidRPr="00966346">
        <w:rPr>
          <w:rFonts w:ascii="Arial" w:hAnsi="Arial" w:cs="Arial"/>
          <w:i/>
          <w:sz w:val="20"/>
        </w:rPr>
        <w:t>vice versa</w:t>
      </w:r>
      <w:r w:rsidR="00C862F2" w:rsidRPr="00966346">
        <w:rPr>
          <w:rFonts w:ascii="Arial" w:hAnsi="Arial" w:cs="Arial"/>
          <w:sz w:val="20"/>
        </w:rPr>
        <w:t>) to improve visual interpretation, and are indicated with “*”</w:t>
      </w:r>
      <w:r w:rsidRPr="00966346">
        <w:rPr>
          <w:rFonts w:ascii="Arial" w:hAnsi="Arial" w:cs="Arial"/>
          <w:sz w:val="20"/>
        </w:rPr>
        <w:t xml:space="preserve">. </w:t>
      </w:r>
      <w:r w:rsidR="009107F9" w:rsidRPr="00966346">
        <w:rPr>
          <w:rFonts w:ascii="Arial" w:hAnsi="Arial" w:cs="Arial"/>
          <w:sz w:val="20"/>
        </w:rPr>
        <w:t xml:space="preserve">“p” values </w:t>
      </w:r>
      <w:r w:rsidR="003D17D4" w:rsidRPr="00966346">
        <w:rPr>
          <w:rFonts w:ascii="Arial" w:hAnsi="Arial" w:cs="Arial"/>
          <w:sz w:val="20"/>
        </w:rPr>
        <w:t>reported between parentheses close</w:t>
      </w:r>
      <w:r w:rsidRPr="00966346">
        <w:rPr>
          <w:rFonts w:ascii="Arial" w:hAnsi="Arial" w:cs="Arial"/>
          <w:sz w:val="20"/>
        </w:rPr>
        <w:t xml:space="preserve"> to the names of the addressed </w:t>
      </w:r>
      <w:r w:rsidR="009107F9" w:rsidRPr="00966346">
        <w:rPr>
          <w:rFonts w:ascii="Arial" w:hAnsi="Arial" w:cs="Arial"/>
          <w:sz w:val="20"/>
        </w:rPr>
        <w:t xml:space="preserve">neuropsychological </w:t>
      </w:r>
      <w:r w:rsidRPr="00966346">
        <w:rPr>
          <w:rFonts w:ascii="Arial" w:hAnsi="Arial" w:cs="Arial"/>
          <w:sz w:val="20"/>
        </w:rPr>
        <w:t>tests</w:t>
      </w:r>
      <w:r w:rsidR="003D17D4" w:rsidRPr="00966346">
        <w:rPr>
          <w:rFonts w:ascii="Arial" w:hAnsi="Arial" w:cs="Arial"/>
          <w:sz w:val="20"/>
        </w:rPr>
        <w:t xml:space="preserve"> regard</w:t>
      </w:r>
      <w:r w:rsidRPr="00966346">
        <w:rPr>
          <w:rFonts w:ascii="Arial" w:hAnsi="Arial" w:cs="Arial"/>
          <w:sz w:val="20"/>
        </w:rPr>
        <w:t xml:space="preserve"> significan</w:t>
      </w:r>
      <w:r w:rsidR="00D30C06" w:rsidRPr="00966346">
        <w:rPr>
          <w:rFonts w:ascii="Arial" w:hAnsi="Arial" w:cs="Arial"/>
          <w:sz w:val="20"/>
        </w:rPr>
        <w:t>t</w:t>
      </w:r>
      <w:r w:rsidRPr="00966346">
        <w:rPr>
          <w:rFonts w:ascii="Arial" w:hAnsi="Arial" w:cs="Arial"/>
          <w:sz w:val="20"/>
        </w:rPr>
        <w:t xml:space="preserve"> </w:t>
      </w:r>
      <w:r w:rsidR="003D17D4" w:rsidRPr="00966346">
        <w:rPr>
          <w:rFonts w:ascii="Arial" w:hAnsi="Arial" w:cs="Arial"/>
          <w:sz w:val="20"/>
        </w:rPr>
        <w:t>difference between patients treated with WBRT (blue bars) or ASCT (green bars).</w:t>
      </w:r>
      <w:r w:rsidRPr="00966346">
        <w:rPr>
          <w:rFonts w:ascii="Arial" w:hAnsi="Arial" w:cs="Arial"/>
          <w:sz w:val="20"/>
        </w:rPr>
        <w:t xml:space="preserve"> </w:t>
      </w:r>
      <w:r w:rsidR="00A03919" w:rsidRPr="00966346">
        <w:rPr>
          <w:rFonts w:ascii="Arial" w:hAnsi="Arial" w:cs="Arial"/>
          <w:sz w:val="20"/>
        </w:rPr>
        <w:t xml:space="preserve">Some bars are truncated at </w:t>
      </w:r>
      <w:r w:rsidR="00C862F2" w:rsidRPr="00966346">
        <w:rPr>
          <w:rFonts w:ascii="Arial" w:hAnsi="Arial" w:cs="Arial"/>
          <w:sz w:val="20"/>
        </w:rPr>
        <w:t>12</w:t>
      </w:r>
      <w:r w:rsidR="00A03919" w:rsidRPr="00966346">
        <w:rPr>
          <w:rFonts w:ascii="Arial" w:hAnsi="Arial" w:cs="Arial"/>
          <w:sz w:val="20"/>
        </w:rPr>
        <w:t xml:space="preserve"> for clearness. </w:t>
      </w:r>
    </w:p>
    <w:p w14:paraId="06E92910" w14:textId="77777777" w:rsidR="00C3452E" w:rsidRPr="00966346" w:rsidRDefault="00C3452E" w:rsidP="0047282A">
      <w:pPr>
        <w:spacing w:after="0" w:line="360" w:lineRule="exact"/>
        <w:jc w:val="both"/>
        <w:rPr>
          <w:rFonts w:ascii="Arial" w:hAnsi="Arial" w:cs="Arial"/>
          <w:sz w:val="20"/>
        </w:rPr>
      </w:pPr>
    </w:p>
    <w:p w14:paraId="39D8F140" w14:textId="438ABDE6" w:rsidR="00114779" w:rsidRPr="00966346" w:rsidRDefault="00114779" w:rsidP="0047282A">
      <w:pPr>
        <w:spacing w:after="0" w:line="360" w:lineRule="exact"/>
        <w:jc w:val="both"/>
        <w:rPr>
          <w:rFonts w:ascii="Arial" w:hAnsi="Arial" w:cs="Arial"/>
          <w:sz w:val="20"/>
        </w:rPr>
      </w:pPr>
      <w:r w:rsidRPr="00966346">
        <w:rPr>
          <w:rFonts w:ascii="Arial" w:hAnsi="Arial" w:cs="Arial"/>
          <w:sz w:val="20"/>
        </w:rPr>
        <w:t xml:space="preserve">Figure </w:t>
      </w:r>
      <w:r w:rsidR="00053766">
        <w:rPr>
          <w:rFonts w:ascii="Arial" w:hAnsi="Arial" w:cs="Arial"/>
          <w:sz w:val="20"/>
        </w:rPr>
        <w:t>4</w:t>
      </w:r>
      <w:r w:rsidRPr="00966346">
        <w:rPr>
          <w:rFonts w:ascii="Arial" w:hAnsi="Arial" w:cs="Arial"/>
          <w:sz w:val="20"/>
        </w:rPr>
        <w:t xml:space="preserve">. Changes in cognitive functions assessed at two years of follow-up. </w:t>
      </w:r>
    </w:p>
    <w:p w14:paraId="52AC050E" w14:textId="77777777" w:rsidR="00A03919" w:rsidRPr="00966346" w:rsidRDefault="00114779" w:rsidP="0047282A">
      <w:pPr>
        <w:spacing w:after="0" w:line="360" w:lineRule="exact"/>
        <w:jc w:val="both"/>
        <w:rPr>
          <w:rFonts w:ascii="Arial" w:hAnsi="Arial" w:cs="Arial"/>
          <w:sz w:val="20"/>
        </w:rPr>
      </w:pPr>
      <w:r w:rsidRPr="00966346">
        <w:rPr>
          <w:rFonts w:ascii="Arial" w:hAnsi="Arial" w:cs="Arial"/>
          <w:sz w:val="20"/>
        </w:rPr>
        <w:t xml:space="preserve">Bars represents the </w:t>
      </w:r>
      <w:r w:rsidR="00A90665" w:rsidRPr="00966346">
        <w:rPr>
          <w:rFonts w:ascii="Arial" w:hAnsi="Arial" w:cs="Arial"/>
          <w:sz w:val="20"/>
        </w:rPr>
        <w:t xml:space="preserve">mean values of the </w:t>
      </w:r>
      <w:r w:rsidRPr="00966346">
        <w:rPr>
          <w:rFonts w:ascii="Arial" w:hAnsi="Arial" w:cs="Arial"/>
          <w:sz w:val="20"/>
        </w:rPr>
        <w:t>difference</w:t>
      </w:r>
      <w:r w:rsidR="00A90665" w:rsidRPr="00966346">
        <w:rPr>
          <w:rFonts w:ascii="Arial" w:hAnsi="Arial" w:cs="Arial"/>
          <w:sz w:val="20"/>
        </w:rPr>
        <w:t>s</w:t>
      </w:r>
      <w:r w:rsidRPr="00966346">
        <w:rPr>
          <w:rFonts w:ascii="Arial" w:hAnsi="Arial" w:cs="Arial"/>
          <w:sz w:val="20"/>
        </w:rPr>
        <w:t xml:space="preserve"> between scores of neuropsychological tests performed immediately after treatment and at two years of follow-up</w:t>
      </w:r>
      <w:r w:rsidR="00100381" w:rsidRPr="00966346">
        <w:rPr>
          <w:rFonts w:ascii="Arial" w:hAnsi="Arial" w:cs="Arial"/>
          <w:sz w:val="20"/>
        </w:rPr>
        <w:t>.</w:t>
      </w:r>
      <w:r w:rsidRPr="00966346">
        <w:rPr>
          <w:rFonts w:ascii="Arial" w:hAnsi="Arial" w:cs="Arial"/>
          <w:sz w:val="20"/>
        </w:rPr>
        <w:t xml:space="preserve"> </w:t>
      </w:r>
      <w:r w:rsidR="00100381" w:rsidRPr="00966346">
        <w:rPr>
          <w:rFonts w:ascii="Arial" w:hAnsi="Arial" w:cs="Arial"/>
          <w:sz w:val="20"/>
        </w:rPr>
        <w:t>Bars on the right side of zero indicate function improvement, bars on the left side indicate impairment. D</w:t>
      </w:r>
      <w:r w:rsidRPr="00966346">
        <w:rPr>
          <w:rFonts w:ascii="Arial" w:hAnsi="Arial" w:cs="Arial"/>
          <w:sz w:val="20"/>
        </w:rPr>
        <w:t>ifferences can be positive or negative</w:t>
      </w:r>
      <w:r w:rsidR="00100381" w:rsidRPr="00966346">
        <w:rPr>
          <w:rFonts w:ascii="Arial" w:hAnsi="Arial" w:cs="Arial"/>
          <w:sz w:val="20"/>
        </w:rPr>
        <w:t xml:space="preserve">, but signs of some bars were changed (from negative to positive and </w:t>
      </w:r>
      <w:r w:rsidR="00100381" w:rsidRPr="00966346">
        <w:rPr>
          <w:rFonts w:ascii="Arial" w:hAnsi="Arial" w:cs="Arial"/>
          <w:i/>
          <w:sz w:val="20"/>
        </w:rPr>
        <w:t>vice versa</w:t>
      </w:r>
      <w:r w:rsidR="00100381" w:rsidRPr="00966346">
        <w:rPr>
          <w:rFonts w:ascii="Arial" w:hAnsi="Arial" w:cs="Arial"/>
          <w:sz w:val="20"/>
        </w:rPr>
        <w:t>) to improve visual interpretation, and are indicated with “*”</w:t>
      </w:r>
      <w:r w:rsidRPr="00966346">
        <w:rPr>
          <w:rFonts w:ascii="Arial" w:hAnsi="Arial" w:cs="Arial"/>
          <w:sz w:val="20"/>
        </w:rPr>
        <w:t xml:space="preserve">. “p” values reported between parentheses close to the names of the addressed neuropsychological tests regard significance difference between patients treated with WBRT (blue bars) or ASCT (green bars). </w:t>
      </w:r>
      <w:r w:rsidR="00A03919" w:rsidRPr="00966346">
        <w:rPr>
          <w:rFonts w:ascii="Arial" w:hAnsi="Arial" w:cs="Arial"/>
          <w:sz w:val="20"/>
        </w:rPr>
        <w:t xml:space="preserve">Some bars are truncated at </w:t>
      </w:r>
      <w:r w:rsidR="00100381" w:rsidRPr="00966346">
        <w:rPr>
          <w:rFonts w:ascii="Arial" w:hAnsi="Arial" w:cs="Arial"/>
          <w:sz w:val="20"/>
        </w:rPr>
        <w:t>12</w:t>
      </w:r>
      <w:r w:rsidR="00A03919" w:rsidRPr="00966346">
        <w:rPr>
          <w:rFonts w:ascii="Arial" w:hAnsi="Arial" w:cs="Arial"/>
          <w:sz w:val="20"/>
        </w:rPr>
        <w:t xml:space="preserve"> for clearness</w:t>
      </w:r>
      <w:r w:rsidRPr="00966346">
        <w:rPr>
          <w:rFonts w:ascii="Arial" w:hAnsi="Arial" w:cs="Arial"/>
          <w:sz w:val="20"/>
        </w:rPr>
        <w:t xml:space="preserve">. </w:t>
      </w:r>
    </w:p>
    <w:p w14:paraId="2C4ADE00" w14:textId="77777777" w:rsidR="00EB4073" w:rsidRPr="00966346" w:rsidRDefault="00A03919" w:rsidP="001F791E">
      <w:pPr>
        <w:rPr>
          <w:rFonts w:ascii="Arial" w:hAnsi="Arial" w:cs="Arial"/>
          <w:sz w:val="24"/>
          <w:szCs w:val="24"/>
        </w:rPr>
      </w:pPr>
      <w:r w:rsidRPr="00966346">
        <w:rPr>
          <w:rFonts w:ascii="Arial" w:hAnsi="Arial" w:cs="Arial"/>
          <w:sz w:val="24"/>
          <w:szCs w:val="24"/>
        </w:rPr>
        <w:br w:type="page"/>
      </w:r>
      <w:r w:rsidR="001A3F6B" w:rsidRPr="00966346">
        <w:rPr>
          <w:rFonts w:ascii="Arial" w:hAnsi="Arial" w:cs="Arial"/>
          <w:sz w:val="24"/>
          <w:szCs w:val="24"/>
        </w:rPr>
        <w:lastRenderedPageBreak/>
        <w:t>Figure 1</w:t>
      </w:r>
    </w:p>
    <w:p w14:paraId="4F337FC3" w14:textId="77777777" w:rsidR="00D91FD2" w:rsidRPr="00966346" w:rsidRDefault="001E22F7" w:rsidP="00EB4073">
      <w:pPr>
        <w:jc w:val="center"/>
        <w:rPr>
          <w:rFonts w:ascii="Arial" w:hAnsi="Arial" w:cs="Arial"/>
          <w:sz w:val="24"/>
          <w:szCs w:val="24"/>
        </w:rPr>
      </w:pPr>
      <w:r w:rsidRPr="00966346">
        <w:rPr>
          <w:rFonts w:ascii="Arial" w:hAnsi="Arial" w:cs="Arial"/>
          <w:noProof/>
          <w:sz w:val="24"/>
          <w:szCs w:val="24"/>
          <w:lang w:val="it-IT" w:eastAsia="it-IT"/>
        </w:rPr>
        <w:drawing>
          <wp:inline distT="0" distB="0" distL="0" distR="0" wp14:anchorId="332A34E7" wp14:editId="753C420E">
            <wp:extent cx="4922517" cy="760703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3376" cy="7608358"/>
                    </a:xfrm>
                    <a:prstGeom prst="rect">
                      <a:avLst/>
                    </a:prstGeom>
                    <a:noFill/>
                  </pic:spPr>
                </pic:pic>
              </a:graphicData>
            </a:graphic>
          </wp:inline>
        </w:drawing>
      </w:r>
    </w:p>
    <w:p w14:paraId="05B94CE9" w14:textId="77777777" w:rsidR="00EB4073" w:rsidRPr="00966346" w:rsidRDefault="00EB4073">
      <w:pPr>
        <w:rPr>
          <w:rFonts w:ascii="Arial" w:hAnsi="Arial" w:cs="Arial"/>
          <w:sz w:val="24"/>
          <w:szCs w:val="24"/>
        </w:rPr>
      </w:pPr>
      <w:r w:rsidRPr="00966346">
        <w:rPr>
          <w:rFonts w:ascii="Arial" w:hAnsi="Arial" w:cs="Arial"/>
          <w:sz w:val="24"/>
          <w:szCs w:val="24"/>
        </w:rPr>
        <w:br w:type="page"/>
      </w:r>
    </w:p>
    <w:p w14:paraId="30C83DCB" w14:textId="77777777" w:rsidR="00C83013" w:rsidRPr="00966346" w:rsidRDefault="00C83013">
      <w:pPr>
        <w:rPr>
          <w:rFonts w:ascii="Arial" w:hAnsi="Arial" w:cs="Arial"/>
          <w:sz w:val="24"/>
          <w:szCs w:val="24"/>
        </w:rPr>
      </w:pPr>
      <w:r w:rsidRPr="00966346">
        <w:rPr>
          <w:rFonts w:ascii="Arial" w:hAnsi="Arial" w:cs="Arial"/>
          <w:sz w:val="24"/>
          <w:szCs w:val="24"/>
        </w:rPr>
        <w:lastRenderedPageBreak/>
        <w:t xml:space="preserve">Figure 2 </w:t>
      </w:r>
    </w:p>
    <w:p w14:paraId="0CF7629A" w14:textId="0600DA1F" w:rsidR="00B542BE" w:rsidRPr="00966346" w:rsidRDefault="007877DC" w:rsidP="007877DC">
      <w:pPr>
        <w:jc w:val="center"/>
        <w:rPr>
          <w:rFonts w:ascii="Arial" w:hAnsi="Arial" w:cs="Arial"/>
          <w:sz w:val="24"/>
          <w:szCs w:val="24"/>
        </w:rPr>
      </w:pPr>
      <w:r w:rsidRPr="00966346">
        <w:rPr>
          <w:rFonts w:ascii="Arial" w:hAnsi="Arial" w:cs="Arial"/>
          <w:noProof/>
          <w:sz w:val="24"/>
          <w:szCs w:val="24"/>
          <w:lang w:val="it-IT" w:eastAsia="it-IT"/>
        </w:rPr>
        <w:drawing>
          <wp:inline distT="0" distB="0" distL="0" distR="0" wp14:anchorId="69BC887D" wp14:editId="00CD0A37">
            <wp:extent cx="5765226" cy="4184439"/>
            <wp:effectExtent l="0" t="0" r="6985"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8269" cy="4186647"/>
                    </a:xfrm>
                    <a:prstGeom prst="rect">
                      <a:avLst/>
                    </a:prstGeom>
                    <a:noFill/>
                  </pic:spPr>
                </pic:pic>
              </a:graphicData>
            </a:graphic>
          </wp:inline>
        </w:drawing>
      </w:r>
    </w:p>
    <w:p w14:paraId="098E56DC" w14:textId="2AC205B2" w:rsidR="00C83013" w:rsidRPr="00966346" w:rsidRDefault="00C83013" w:rsidP="0029126B">
      <w:pPr>
        <w:jc w:val="center"/>
        <w:rPr>
          <w:rFonts w:ascii="Arial" w:hAnsi="Arial" w:cs="Arial"/>
          <w:sz w:val="24"/>
          <w:szCs w:val="24"/>
        </w:rPr>
      </w:pPr>
      <w:r w:rsidRPr="00966346">
        <w:rPr>
          <w:rFonts w:ascii="Arial" w:hAnsi="Arial" w:cs="Arial"/>
          <w:sz w:val="24"/>
          <w:szCs w:val="24"/>
        </w:rPr>
        <w:br w:type="page"/>
      </w:r>
    </w:p>
    <w:p w14:paraId="08CC9C2F" w14:textId="1D18ACF6" w:rsidR="001F5822" w:rsidRPr="00966346" w:rsidRDefault="001F5822" w:rsidP="001F5822">
      <w:pPr>
        <w:rPr>
          <w:rFonts w:ascii="Arial" w:hAnsi="Arial" w:cs="Arial"/>
          <w:sz w:val="24"/>
        </w:rPr>
      </w:pPr>
      <w:bookmarkStart w:id="0" w:name="_GoBack"/>
      <w:bookmarkEnd w:id="0"/>
      <w:r w:rsidRPr="00966346">
        <w:rPr>
          <w:rFonts w:ascii="Arial" w:hAnsi="Arial" w:cs="Arial"/>
          <w:sz w:val="24"/>
        </w:rPr>
        <w:lastRenderedPageBreak/>
        <w:t xml:space="preserve">Figure </w:t>
      </w:r>
      <w:r w:rsidR="00053766">
        <w:rPr>
          <w:rFonts w:ascii="Arial" w:hAnsi="Arial" w:cs="Arial"/>
          <w:sz w:val="24"/>
        </w:rPr>
        <w:t>3</w:t>
      </w:r>
    </w:p>
    <w:p w14:paraId="2C907604" w14:textId="77777777" w:rsidR="001F5822" w:rsidRPr="00966346" w:rsidRDefault="00C862F2" w:rsidP="001F5822">
      <w:pPr>
        <w:jc w:val="center"/>
      </w:pPr>
      <w:r w:rsidRPr="00966346">
        <w:rPr>
          <w:noProof/>
          <w:lang w:val="it-IT" w:eastAsia="it-IT"/>
        </w:rPr>
        <w:drawing>
          <wp:inline distT="0" distB="0" distL="0" distR="0" wp14:anchorId="16E115E3" wp14:editId="54115E2F">
            <wp:extent cx="5498212" cy="5674125"/>
            <wp:effectExtent l="0" t="0" r="762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3710" cy="5679799"/>
                    </a:xfrm>
                    <a:prstGeom prst="rect">
                      <a:avLst/>
                    </a:prstGeom>
                    <a:noFill/>
                  </pic:spPr>
                </pic:pic>
              </a:graphicData>
            </a:graphic>
          </wp:inline>
        </w:drawing>
      </w:r>
    </w:p>
    <w:p w14:paraId="3D0C411C" w14:textId="77777777" w:rsidR="001456F2" w:rsidRPr="00966346" w:rsidRDefault="001456F2" w:rsidP="001F5822">
      <w:pPr>
        <w:jc w:val="center"/>
      </w:pPr>
    </w:p>
    <w:p w14:paraId="1A2A97DB" w14:textId="77777777" w:rsidR="00114779" w:rsidRPr="00966346" w:rsidRDefault="00114779" w:rsidP="001F5822">
      <w:pPr>
        <w:jc w:val="center"/>
        <w:rPr>
          <w:rFonts w:ascii="Arial" w:hAnsi="Arial" w:cs="Arial"/>
          <w:sz w:val="24"/>
          <w:szCs w:val="24"/>
        </w:rPr>
      </w:pPr>
    </w:p>
    <w:p w14:paraId="6F106760" w14:textId="77777777" w:rsidR="00114779" w:rsidRPr="00966346" w:rsidRDefault="00114779" w:rsidP="001F5822">
      <w:pPr>
        <w:jc w:val="center"/>
        <w:rPr>
          <w:rFonts w:ascii="Arial" w:hAnsi="Arial" w:cs="Arial"/>
          <w:sz w:val="24"/>
          <w:szCs w:val="24"/>
        </w:rPr>
      </w:pPr>
    </w:p>
    <w:p w14:paraId="635ABE44" w14:textId="77777777" w:rsidR="00114779" w:rsidRPr="00966346" w:rsidRDefault="00114779">
      <w:pPr>
        <w:rPr>
          <w:rFonts w:ascii="Arial" w:hAnsi="Arial" w:cs="Arial"/>
          <w:sz w:val="24"/>
          <w:szCs w:val="24"/>
        </w:rPr>
      </w:pPr>
      <w:r w:rsidRPr="00966346">
        <w:rPr>
          <w:rFonts w:ascii="Arial" w:hAnsi="Arial" w:cs="Arial"/>
          <w:sz w:val="24"/>
          <w:szCs w:val="24"/>
        </w:rPr>
        <w:br w:type="page"/>
      </w:r>
    </w:p>
    <w:p w14:paraId="2B42223A" w14:textId="56B009EB" w:rsidR="00114779" w:rsidRPr="00966346" w:rsidRDefault="00114779" w:rsidP="00114779">
      <w:pPr>
        <w:rPr>
          <w:rFonts w:ascii="Arial" w:hAnsi="Arial" w:cs="Arial"/>
          <w:sz w:val="24"/>
          <w:szCs w:val="24"/>
        </w:rPr>
      </w:pPr>
      <w:r w:rsidRPr="00966346">
        <w:rPr>
          <w:rFonts w:ascii="Arial" w:hAnsi="Arial" w:cs="Arial"/>
          <w:sz w:val="24"/>
          <w:szCs w:val="24"/>
        </w:rPr>
        <w:lastRenderedPageBreak/>
        <w:t xml:space="preserve">Figure </w:t>
      </w:r>
      <w:r w:rsidR="00053766">
        <w:rPr>
          <w:rFonts w:ascii="Arial" w:hAnsi="Arial" w:cs="Arial"/>
          <w:sz w:val="24"/>
          <w:szCs w:val="24"/>
        </w:rPr>
        <w:t>4</w:t>
      </w:r>
      <w:r w:rsidR="00053766" w:rsidRPr="00966346">
        <w:rPr>
          <w:rFonts w:ascii="Arial" w:hAnsi="Arial" w:cs="Arial"/>
          <w:sz w:val="24"/>
          <w:szCs w:val="24"/>
        </w:rPr>
        <w:t xml:space="preserve"> </w:t>
      </w:r>
    </w:p>
    <w:p w14:paraId="2327D7A6" w14:textId="77777777" w:rsidR="00B76BA0" w:rsidRPr="00966346" w:rsidRDefault="00100381" w:rsidP="00114779">
      <w:pPr>
        <w:jc w:val="center"/>
        <w:rPr>
          <w:rFonts w:ascii="Arial" w:hAnsi="Arial" w:cs="Arial"/>
          <w:sz w:val="24"/>
          <w:szCs w:val="24"/>
        </w:rPr>
      </w:pPr>
      <w:r w:rsidRPr="00966346">
        <w:rPr>
          <w:rFonts w:ascii="Arial" w:hAnsi="Arial" w:cs="Arial"/>
          <w:noProof/>
          <w:sz w:val="24"/>
          <w:szCs w:val="24"/>
          <w:lang w:val="it-IT" w:eastAsia="it-IT"/>
        </w:rPr>
        <w:drawing>
          <wp:inline distT="0" distB="0" distL="0" distR="0" wp14:anchorId="39571E2C" wp14:editId="5E2D4371">
            <wp:extent cx="5528790" cy="5843619"/>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2481" cy="5847521"/>
                    </a:xfrm>
                    <a:prstGeom prst="rect">
                      <a:avLst/>
                    </a:prstGeom>
                    <a:noFill/>
                  </pic:spPr>
                </pic:pic>
              </a:graphicData>
            </a:graphic>
          </wp:inline>
        </w:drawing>
      </w:r>
      <w:r w:rsidR="00B76BA0" w:rsidRPr="00966346">
        <w:rPr>
          <w:rFonts w:ascii="Arial" w:hAnsi="Arial" w:cs="Arial"/>
          <w:sz w:val="24"/>
          <w:szCs w:val="24"/>
        </w:rPr>
        <w:br w:type="page"/>
      </w:r>
    </w:p>
    <w:p w14:paraId="4A88C735" w14:textId="77777777" w:rsidR="001E3C41" w:rsidRPr="00966346" w:rsidRDefault="001E3C41" w:rsidP="0025066A">
      <w:pPr>
        <w:rPr>
          <w:rFonts w:ascii="Arial" w:hAnsi="Arial" w:cs="Arial"/>
          <w:sz w:val="24"/>
          <w:szCs w:val="24"/>
        </w:rPr>
      </w:pPr>
      <w:r w:rsidRPr="00966346">
        <w:rPr>
          <w:rFonts w:ascii="Arial" w:hAnsi="Arial" w:cs="Arial"/>
          <w:sz w:val="24"/>
          <w:szCs w:val="24"/>
        </w:rPr>
        <w:lastRenderedPageBreak/>
        <w:t xml:space="preserve">Table 1. Patient characteristics according to </w:t>
      </w:r>
      <w:r w:rsidR="001C4F6B" w:rsidRPr="00966346">
        <w:rPr>
          <w:rFonts w:ascii="Arial" w:hAnsi="Arial" w:cs="Arial"/>
          <w:sz w:val="24"/>
          <w:szCs w:val="24"/>
        </w:rPr>
        <w:t>consolidation</w:t>
      </w:r>
      <w:r w:rsidRPr="00966346">
        <w:rPr>
          <w:rFonts w:ascii="Arial" w:hAnsi="Arial" w:cs="Arial"/>
          <w:sz w:val="24"/>
          <w:szCs w:val="24"/>
        </w:rPr>
        <w:t xml:space="preserve"> arm</w:t>
      </w:r>
    </w:p>
    <w:tbl>
      <w:tblPr>
        <w:tblW w:w="9500" w:type="dxa"/>
        <w:tblCellMar>
          <w:left w:w="0" w:type="dxa"/>
          <w:right w:w="0" w:type="dxa"/>
        </w:tblCellMar>
        <w:tblLook w:val="0420" w:firstRow="1" w:lastRow="0" w:firstColumn="0" w:lastColumn="0" w:noHBand="0" w:noVBand="1"/>
      </w:tblPr>
      <w:tblGrid>
        <w:gridCol w:w="2979"/>
        <w:gridCol w:w="2481"/>
        <w:gridCol w:w="2481"/>
        <w:gridCol w:w="1559"/>
      </w:tblGrid>
      <w:tr w:rsidR="002565E3" w:rsidRPr="00966346" w14:paraId="66129A24" w14:textId="5B70B0B2" w:rsidTr="004A6964">
        <w:trPr>
          <w:trHeight w:val="498"/>
        </w:trPr>
        <w:tc>
          <w:tcPr>
            <w:tcW w:w="2979"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C4F162A" w14:textId="77777777" w:rsidR="002565E3" w:rsidRPr="00966346" w:rsidRDefault="002565E3" w:rsidP="0025066A">
            <w:pPr>
              <w:rPr>
                <w:rFonts w:ascii="Arial" w:hAnsi="Arial" w:cs="Arial"/>
                <w:sz w:val="24"/>
                <w:szCs w:val="24"/>
              </w:rPr>
            </w:pPr>
          </w:p>
        </w:tc>
        <w:tc>
          <w:tcPr>
            <w:tcW w:w="2481"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01124844" w14:textId="77777777" w:rsidR="002565E3" w:rsidRPr="00966346" w:rsidRDefault="002565E3" w:rsidP="0025066A">
            <w:pPr>
              <w:spacing w:after="0" w:line="360" w:lineRule="auto"/>
              <w:jc w:val="center"/>
              <w:rPr>
                <w:rFonts w:ascii="Arial" w:hAnsi="Arial" w:cs="Arial"/>
                <w:sz w:val="24"/>
                <w:szCs w:val="24"/>
                <w:lang w:val="it-IT"/>
              </w:rPr>
            </w:pPr>
            <w:r w:rsidRPr="00966346">
              <w:rPr>
                <w:rFonts w:ascii="Arial" w:hAnsi="Arial" w:cs="Arial"/>
                <w:sz w:val="24"/>
                <w:szCs w:val="24"/>
                <w:lang w:val="en-GB"/>
              </w:rPr>
              <w:t>Arm D (n= 59)</w:t>
            </w:r>
          </w:p>
        </w:tc>
        <w:tc>
          <w:tcPr>
            <w:tcW w:w="2481" w:type="dxa"/>
            <w:tcBorders>
              <w:top w:val="single" w:sz="4" w:space="0" w:color="auto"/>
              <w:left w:val="single" w:sz="8" w:space="0" w:color="FFFFFF"/>
              <w:bottom w:val="single" w:sz="4" w:space="0" w:color="auto"/>
              <w:right w:val="single" w:sz="8" w:space="0" w:color="FFFFFF"/>
            </w:tcBorders>
          </w:tcPr>
          <w:p w14:paraId="356B07AF" w14:textId="77777777" w:rsidR="002565E3" w:rsidRPr="00966346" w:rsidRDefault="002565E3" w:rsidP="0025066A">
            <w:pPr>
              <w:spacing w:after="0" w:line="360" w:lineRule="auto"/>
              <w:jc w:val="center"/>
              <w:rPr>
                <w:rFonts w:ascii="Arial" w:hAnsi="Arial" w:cs="Arial"/>
                <w:sz w:val="24"/>
                <w:szCs w:val="24"/>
                <w:lang w:val="it-IT"/>
              </w:rPr>
            </w:pPr>
            <w:r w:rsidRPr="00966346">
              <w:rPr>
                <w:rFonts w:ascii="Arial" w:hAnsi="Arial" w:cs="Arial"/>
                <w:sz w:val="24"/>
                <w:szCs w:val="24"/>
                <w:lang w:val="en-GB"/>
              </w:rPr>
              <w:t>Arm E (n= 59)</w:t>
            </w:r>
          </w:p>
        </w:tc>
        <w:tc>
          <w:tcPr>
            <w:tcW w:w="1559" w:type="dxa"/>
            <w:tcBorders>
              <w:top w:val="single" w:sz="4" w:space="0" w:color="auto"/>
              <w:left w:val="single" w:sz="8" w:space="0" w:color="FFFFFF"/>
              <w:bottom w:val="single" w:sz="4" w:space="0" w:color="auto"/>
              <w:right w:val="single" w:sz="8" w:space="0" w:color="FFFFFF"/>
            </w:tcBorders>
          </w:tcPr>
          <w:p w14:paraId="0D377F7F" w14:textId="4A2816F4"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p value</w:t>
            </w:r>
          </w:p>
        </w:tc>
      </w:tr>
      <w:tr w:rsidR="002565E3" w:rsidRPr="00966346" w14:paraId="6453242C" w14:textId="2522F505" w:rsidTr="004A6964">
        <w:trPr>
          <w:trHeight w:val="283"/>
        </w:trPr>
        <w:tc>
          <w:tcPr>
            <w:tcW w:w="2979" w:type="dxa"/>
            <w:tcBorders>
              <w:top w:val="single" w:sz="4" w:space="0" w:color="auto"/>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72B04D03" w14:textId="6297FB45" w:rsidR="002565E3" w:rsidRPr="00966346" w:rsidRDefault="002565E3" w:rsidP="0025066A">
            <w:pPr>
              <w:spacing w:after="0" w:line="360" w:lineRule="auto"/>
              <w:rPr>
                <w:rFonts w:ascii="Arial" w:hAnsi="Arial" w:cs="Arial"/>
                <w:sz w:val="24"/>
                <w:szCs w:val="24"/>
                <w:lang w:val="en-GB"/>
              </w:rPr>
            </w:pPr>
            <w:r w:rsidRPr="00966346">
              <w:rPr>
                <w:rFonts w:ascii="Arial" w:hAnsi="Arial" w:cs="Arial"/>
                <w:sz w:val="24"/>
                <w:szCs w:val="24"/>
                <w:lang w:val="en-GB"/>
              </w:rPr>
              <w:t>Median age (range</w:t>
            </w:r>
            <w:r w:rsidR="005D5DD7">
              <w:rPr>
                <w:rFonts w:ascii="Arial" w:hAnsi="Arial" w:cs="Arial"/>
                <w:sz w:val="24"/>
                <w:szCs w:val="24"/>
                <w:lang w:val="en-GB"/>
              </w:rPr>
              <w:t>; IQR</w:t>
            </w:r>
            <w:r w:rsidRPr="00966346">
              <w:rPr>
                <w:rFonts w:ascii="Arial" w:hAnsi="Arial" w:cs="Arial"/>
                <w:sz w:val="24"/>
                <w:szCs w:val="24"/>
                <w:lang w:val="en-GB"/>
              </w:rPr>
              <w:t>)</w:t>
            </w:r>
          </w:p>
        </w:tc>
        <w:tc>
          <w:tcPr>
            <w:tcW w:w="2481" w:type="dxa"/>
            <w:tcBorders>
              <w:top w:val="single" w:sz="4" w:space="0" w:color="auto"/>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7087688B" w14:textId="4740FC65" w:rsidR="002565E3" w:rsidRPr="00966346" w:rsidRDefault="002565E3">
            <w:pPr>
              <w:spacing w:after="0" w:line="360" w:lineRule="auto"/>
              <w:jc w:val="center"/>
              <w:rPr>
                <w:rFonts w:ascii="Arial" w:hAnsi="Arial" w:cs="Arial"/>
                <w:sz w:val="24"/>
                <w:szCs w:val="24"/>
                <w:lang w:val="en-GB"/>
              </w:rPr>
            </w:pPr>
            <w:r w:rsidRPr="00966346">
              <w:rPr>
                <w:rFonts w:ascii="Arial" w:hAnsi="Arial" w:cs="Arial"/>
                <w:sz w:val="24"/>
                <w:szCs w:val="24"/>
                <w:lang w:val="en-GB"/>
              </w:rPr>
              <w:t>58 (18-70</w:t>
            </w:r>
            <w:r w:rsidR="005D5DD7">
              <w:rPr>
                <w:rFonts w:ascii="Arial" w:hAnsi="Arial" w:cs="Arial"/>
                <w:sz w:val="24"/>
                <w:szCs w:val="24"/>
                <w:lang w:val="en-GB"/>
              </w:rPr>
              <w:t>; 51-63</w:t>
            </w:r>
            <w:r w:rsidRPr="00966346">
              <w:rPr>
                <w:rFonts w:ascii="Arial" w:hAnsi="Arial" w:cs="Arial"/>
                <w:sz w:val="24"/>
                <w:szCs w:val="24"/>
                <w:lang w:val="en-GB"/>
              </w:rPr>
              <w:t>)</w:t>
            </w:r>
          </w:p>
        </w:tc>
        <w:tc>
          <w:tcPr>
            <w:tcW w:w="2481" w:type="dxa"/>
            <w:tcBorders>
              <w:top w:val="single" w:sz="4" w:space="0" w:color="auto"/>
              <w:left w:val="single" w:sz="8" w:space="0" w:color="FFFFFF"/>
              <w:bottom w:val="single" w:sz="8" w:space="0" w:color="FFFFFF"/>
              <w:right w:val="single" w:sz="8" w:space="0" w:color="FFFFFF"/>
            </w:tcBorders>
            <w:vAlign w:val="center"/>
          </w:tcPr>
          <w:p w14:paraId="15C29176" w14:textId="6C82AD34" w:rsidR="002565E3" w:rsidRPr="00966346" w:rsidRDefault="002565E3">
            <w:pPr>
              <w:spacing w:after="0" w:line="360" w:lineRule="auto"/>
              <w:jc w:val="center"/>
              <w:rPr>
                <w:rFonts w:ascii="Arial" w:hAnsi="Arial" w:cs="Arial"/>
                <w:sz w:val="24"/>
                <w:szCs w:val="24"/>
                <w:lang w:val="en-GB"/>
              </w:rPr>
            </w:pPr>
            <w:r w:rsidRPr="00966346">
              <w:rPr>
                <w:rFonts w:ascii="Arial" w:hAnsi="Arial" w:cs="Arial"/>
                <w:sz w:val="24"/>
                <w:szCs w:val="24"/>
                <w:lang w:val="en-GB"/>
              </w:rPr>
              <w:t>58 (26-70</w:t>
            </w:r>
            <w:r w:rsidR="005D5DD7">
              <w:rPr>
                <w:rFonts w:ascii="Arial" w:hAnsi="Arial" w:cs="Arial"/>
                <w:sz w:val="24"/>
                <w:szCs w:val="24"/>
                <w:lang w:val="en-GB"/>
              </w:rPr>
              <w:t>; 51-60</w:t>
            </w:r>
            <w:r w:rsidRPr="00966346">
              <w:rPr>
                <w:rFonts w:ascii="Arial" w:hAnsi="Arial" w:cs="Arial"/>
                <w:sz w:val="24"/>
                <w:szCs w:val="24"/>
                <w:lang w:val="en-GB"/>
              </w:rPr>
              <w:t>)</w:t>
            </w:r>
          </w:p>
        </w:tc>
        <w:tc>
          <w:tcPr>
            <w:tcW w:w="1559" w:type="dxa"/>
            <w:tcBorders>
              <w:top w:val="single" w:sz="4" w:space="0" w:color="auto"/>
              <w:left w:val="single" w:sz="8" w:space="0" w:color="FFFFFF"/>
              <w:bottom w:val="single" w:sz="8" w:space="0" w:color="FFFFFF"/>
              <w:right w:val="single" w:sz="8" w:space="0" w:color="FFFFFF"/>
            </w:tcBorders>
          </w:tcPr>
          <w:p w14:paraId="491E780A" w14:textId="3A79712F"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89</w:t>
            </w:r>
          </w:p>
        </w:tc>
      </w:tr>
      <w:tr w:rsidR="002565E3" w:rsidRPr="00966346" w14:paraId="7CFA1E1E" w14:textId="30EFEC74" w:rsidTr="004A6964">
        <w:trPr>
          <w:trHeight w:val="283"/>
        </w:trPr>
        <w:tc>
          <w:tcPr>
            <w:tcW w:w="297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649F90B0" w14:textId="77777777" w:rsidR="002565E3" w:rsidRPr="00966346" w:rsidRDefault="002565E3" w:rsidP="0025066A">
            <w:pPr>
              <w:spacing w:after="0" w:line="360" w:lineRule="auto"/>
              <w:rPr>
                <w:rFonts w:ascii="Arial" w:hAnsi="Arial" w:cs="Arial"/>
                <w:sz w:val="24"/>
                <w:szCs w:val="24"/>
                <w:lang w:val="en-GB"/>
              </w:rPr>
            </w:pPr>
            <w:r w:rsidRPr="00966346">
              <w:rPr>
                <w:rFonts w:ascii="Arial" w:hAnsi="Arial" w:cs="Arial"/>
                <w:sz w:val="24"/>
                <w:szCs w:val="24"/>
                <w:lang w:val="en-GB"/>
              </w:rPr>
              <w:t>Males</w:t>
            </w:r>
          </w:p>
        </w:tc>
        <w:tc>
          <w:tcPr>
            <w:tcW w:w="248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587E8E92"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41 (69%)</w:t>
            </w:r>
          </w:p>
        </w:tc>
        <w:tc>
          <w:tcPr>
            <w:tcW w:w="2481" w:type="dxa"/>
            <w:tcBorders>
              <w:top w:val="single" w:sz="8" w:space="0" w:color="FFFFFF"/>
              <w:left w:val="single" w:sz="8" w:space="0" w:color="FFFFFF"/>
              <w:bottom w:val="single" w:sz="8" w:space="0" w:color="FFFFFF"/>
              <w:right w:val="single" w:sz="8" w:space="0" w:color="FFFFFF"/>
            </w:tcBorders>
            <w:shd w:val="clear" w:color="auto" w:fill="auto"/>
            <w:vAlign w:val="center"/>
          </w:tcPr>
          <w:p w14:paraId="0A3060B1"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30 (51%)</w:t>
            </w:r>
          </w:p>
        </w:tc>
        <w:tc>
          <w:tcPr>
            <w:tcW w:w="1559" w:type="dxa"/>
            <w:tcBorders>
              <w:top w:val="single" w:sz="8" w:space="0" w:color="FFFFFF"/>
              <w:left w:val="single" w:sz="8" w:space="0" w:color="FFFFFF"/>
              <w:bottom w:val="single" w:sz="8" w:space="0" w:color="FFFFFF"/>
              <w:right w:val="single" w:sz="8" w:space="0" w:color="FFFFFF"/>
            </w:tcBorders>
          </w:tcPr>
          <w:p w14:paraId="7F4EE94A" w14:textId="5FF7F8BB"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03</w:t>
            </w:r>
            <w:r w:rsidR="00BE0CD8">
              <w:rPr>
                <w:rFonts w:ascii="Arial" w:hAnsi="Arial" w:cs="Arial"/>
                <w:sz w:val="24"/>
                <w:szCs w:val="24"/>
                <w:lang w:val="en-GB"/>
              </w:rPr>
              <w:t>8</w:t>
            </w:r>
          </w:p>
        </w:tc>
      </w:tr>
      <w:tr w:rsidR="002565E3" w:rsidRPr="00966346" w14:paraId="0DB33691" w14:textId="1158C335" w:rsidTr="004A6964">
        <w:trPr>
          <w:trHeight w:val="283"/>
        </w:trPr>
        <w:tc>
          <w:tcPr>
            <w:tcW w:w="297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2627177" w14:textId="77777777" w:rsidR="002565E3" w:rsidRPr="00966346" w:rsidRDefault="002565E3" w:rsidP="0025066A">
            <w:pPr>
              <w:spacing w:after="0" w:line="360" w:lineRule="auto"/>
              <w:rPr>
                <w:rFonts w:ascii="Arial" w:hAnsi="Arial" w:cs="Arial"/>
                <w:sz w:val="24"/>
                <w:szCs w:val="24"/>
                <w:lang w:val="en-GB"/>
              </w:rPr>
            </w:pPr>
            <w:r w:rsidRPr="00966346">
              <w:rPr>
                <w:rFonts w:ascii="Arial" w:hAnsi="Arial" w:cs="Arial"/>
                <w:sz w:val="24"/>
                <w:szCs w:val="24"/>
                <w:lang w:val="en-GB"/>
              </w:rPr>
              <w:t>Females</w:t>
            </w:r>
          </w:p>
        </w:tc>
        <w:tc>
          <w:tcPr>
            <w:tcW w:w="248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35A7B2C8"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18 (31%)</w:t>
            </w:r>
          </w:p>
        </w:tc>
        <w:tc>
          <w:tcPr>
            <w:tcW w:w="2481"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D82603E"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29 (49%)</w:t>
            </w:r>
          </w:p>
        </w:tc>
        <w:tc>
          <w:tcPr>
            <w:tcW w:w="1559" w:type="dxa"/>
            <w:tcBorders>
              <w:top w:val="single" w:sz="8" w:space="0" w:color="FFFFFF"/>
              <w:left w:val="single" w:sz="8" w:space="0" w:color="FFFFFF"/>
              <w:bottom w:val="single" w:sz="8" w:space="0" w:color="FFFFFF"/>
              <w:right w:val="single" w:sz="8" w:space="0" w:color="FFFFFF"/>
            </w:tcBorders>
          </w:tcPr>
          <w:p w14:paraId="15457D62" w14:textId="77777777" w:rsidR="002565E3" w:rsidRPr="00966346" w:rsidRDefault="002565E3" w:rsidP="0025066A">
            <w:pPr>
              <w:spacing w:after="0" w:line="360" w:lineRule="auto"/>
              <w:jc w:val="center"/>
              <w:rPr>
                <w:rFonts w:ascii="Arial" w:hAnsi="Arial" w:cs="Arial"/>
                <w:sz w:val="24"/>
                <w:szCs w:val="24"/>
                <w:lang w:val="en-GB"/>
              </w:rPr>
            </w:pPr>
          </w:p>
        </w:tc>
      </w:tr>
      <w:tr w:rsidR="002565E3" w:rsidRPr="00966346" w14:paraId="249C4321" w14:textId="25E7C3C3" w:rsidTr="004A6964">
        <w:trPr>
          <w:trHeight w:val="283"/>
        </w:trPr>
        <w:tc>
          <w:tcPr>
            <w:tcW w:w="297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2F411EE3" w14:textId="77777777" w:rsidR="002565E3" w:rsidRPr="00966346" w:rsidRDefault="002565E3" w:rsidP="0025066A">
            <w:pPr>
              <w:spacing w:after="0" w:line="360" w:lineRule="auto"/>
              <w:rPr>
                <w:rFonts w:ascii="Arial" w:hAnsi="Arial" w:cs="Arial"/>
                <w:sz w:val="24"/>
                <w:szCs w:val="24"/>
                <w:lang w:val="en-GB"/>
              </w:rPr>
            </w:pPr>
            <w:r w:rsidRPr="00966346">
              <w:rPr>
                <w:rFonts w:ascii="Arial" w:hAnsi="Arial" w:cs="Arial"/>
                <w:sz w:val="24"/>
                <w:szCs w:val="24"/>
                <w:lang w:val="en-GB"/>
              </w:rPr>
              <w:t>ECOG PS &gt;1</w:t>
            </w:r>
          </w:p>
        </w:tc>
        <w:tc>
          <w:tcPr>
            <w:tcW w:w="248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704AA581"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11 (19%)</w:t>
            </w:r>
          </w:p>
        </w:tc>
        <w:tc>
          <w:tcPr>
            <w:tcW w:w="2481" w:type="dxa"/>
            <w:tcBorders>
              <w:top w:val="single" w:sz="8" w:space="0" w:color="FFFFFF"/>
              <w:left w:val="single" w:sz="8" w:space="0" w:color="FFFFFF"/>
              <w:bottom w:val="single" w:sz="8" w:space="0" w:color="FFFFFF"/>
              <w:right w:val="single" w:sz="8" w:space="0" w:color="FFFFFF"/>
            </w:tcBorders>
            <w:vAlign w:val="center"/>
          </w:tcPr>
          <w:p w14:paraId="7ABC4B28"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20 (34%)</w:t>
            </w:r>
          </w:p>
        </w:tc>
        <w:tc>
          <w:tcPr>
            <w:tcW w:w="1559" w:type="dxa"/>
            <w:tcBorders>
              <w:top w:val="single" w:sz="8" w:space="0" w:color="FFFFFF"/>
              <w:left w:val="single" w:sz="8" w:space="0" w:color="FFFFFF"/>
              <w:bottom w:val="single" w:sz="8" w:space="0" w:color="FFFFFF"/>
              <w:right w:val="single" w:sz="8" w:space="0" w:color="FFFFFF"/>
            </w:tcBorders>
          </w:tcPr>
          <w:p w14:paraId="474DDB4B" w14:textId="470E03E9" w:rsidR="002565E3" w:rsidRPr="00966346" w:rsidRDefault="004A6964"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06</w:t>
            </w:r>
            <w:r w:rsidR="00BE0CD8">
              <w:rPr>
                <w:rFonts w:ascii="Arial" w:hAnsi="Arial" w:cs="Arial"/>
                <w:sz w:val="24"/>
                <w:szCs w:val="24"/>
                <w:lang w:val="en-GB"/>
              </w:rPr>
              <w:t>0</w:t>
            </w:r>
          </w:p>
        </w:tc>
      </w:tr>
      <w:tr w:rsidR="002565E3" w:rsidRPr="00966346" w14:paraId="76C23BF3" w14:textId="10E2A2B7" w:rsidTr="004A6964">
        <w:trPr>
          <w:trHeight w:val="283"/>
        </w:trPr>
        <w:tc>
          <w:tcPr>
            <w:tcW w:w="297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19C81DBC" w14:textId="77777777" w:rsidR="002565E3" w:rsidRPr="00966346" w:rsidRDefault="002565E3" w:rsidP="0025066A">
            <w:pPr>
              <w:spacing w:after="0" w:line="360" w:lineRule="auto"/>
              <w:rPr>
                <w:rFonts w:ascii="Arial" w:hAnsi="Arial" w:cs="Arial"/>
                <w:sz w:val="24"/>
                <w:szCs w:val="24"/>
                <w:lang w:val="en-GB"/>
              </w:rPr>
            </w:pPr>
            <w:r w:rsidRPr="00966346">
              <w:rPr>
                <w:rFonts w:ascii="Arial" w:hAnsi="Arial" w:cs="Arial"/>
                <w:sz w:val="24"/>
                <w:szCs w:val="24"/>
                <w:lang w:val="en-GB"/>
              </w:rPr>
              <w:t>Increased LDH</w:t>
            </w:r>
          </w:p>
        </w:tc>
        <w:tc>
          <w:tcPr>
            <w:tcW w:w="248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2D29797C"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21 (36%)</w:t>
            </w:r>
          </w:p>
        </w:tc>
        <w:tc>
          <w:tcPr>
            <w:tcW w:w="2481" w:type="dxa"/>
            <w:tcBorders>
              <w:top w:val="single" w:sz="8" w:space="0" w:color="FFFFFF"/>
              <w:left w:val="single" w:sz="8" w:space="0" w:color="FFFFFF"/>
              <w:bottom w:val="single" w:sz="8" w:space="0" w:color="FFFFFF"/>
              <w:right w:val="single" w:sz="8" w:space="0" w:color="FFFFFF"/>
            </w:tcBorders>
            <w:vAlign w:val="center"/>
          </w:tcPr>
          <w:p w14:paraId="2B2648C3"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26 (44%)</w:t>
            </w:r>
          </w:p>
        </w:tc>
        <w:tc>
          <w:tcPr>
            <w:tcW w:w="1559" w:type="dxa"/>
            <w:tcBorders>
              <w:top w:val="single" w:sz="8" w:space="0" w:color="FFFFFF"/>
              <w:left w:val="single" w:sz="8" w:space="0" w:color="FFFFFF"/>
              <w:bottom w:val="single" w:sz="8" w:space="0" w:color="FFFFFF"/>
              <w:right w:val="single" w:sz="8" w:space="0" w:color="FFFFFF"/>
            </w:tcBorders>
          </w:tcPr>
          <w:p w14:paraId="6189117B" w14:textId="7FB8E3A6" w:rsidR="002565E3" w:rsidRPr="00966346" w:rsidRDefault="004A6964"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34</w:t>
            </w:r>
          </w:p>
        </w:tc>
      </w:tr>
      <w:tr w:rsidR="002565E3" w:rsidRPr="00966346" w14:paraId="1636F012" w14:textId="62709511" w:rsidTr="004A6964">
        <w:trPr>
          <w:trHeight w:val="283"/>
        </w:trPr>
        <w:tc>
          <w:tcPr>
            <w:tcW w:w="2979" w:type="dxa"/>
            <w:tcBorders>
              <w:top w:val="single" w:sz="8" w:space="0" w:color="FFFFFF"/>
              <w:left w:val="single" w:sz="8" w:space="0" w:color="FFFFFF"/>
              <w:right w:val="single" w:sz="8" w:space="0" w:color="FFFFFF"/>
            </w:tcBorders>
            <w:shd w:val="clear" w:color="auto" w:fill="auto"/>
            <w:tcMar>
              <w:top w:w="15" w:type="dxa"/>
              <w:left w:w="108" w:type="dxa"/>
              <w:bottom w:w="0" w:type="dxa"/>
              <w:right w:w="108" w:type="dxa"/>
            </w:tcMar>
            <w:vAlign w:val="center"/>
            <w:hideMark/>
          </w:tcPr>
          <w:p w14:paraId="1482D4B0" w14:textId="77777777" w:rsidR="002565E3" w:rsidRPr="00966346" w:rsidRDefault="002565E3" w:rsidP="0025066A">
            <w:pPr>
              <w:spacing w:after="0" w:line="360" w:lineRule="auto"/>
              <w:rPr>
                <w:rFonts w:ascii="Arial" w:hAnsi="Arial" w:cs="Arial"/>
                <w:sz w:val="24"/>
                <w:szCs w:val="24"/>
                <w:lang w:val="en-GB"/>
              </w:rPr>
            </w:pPr>
            <w:r w:rsidRPr="00966346">
              <w:rPr>
                <w:rFonts w:ascii="Arial" w:hAnsi="Arial" w:cs="Arial"/>
                <w:sz w:val="24"/>
                <w:szCs w:val="24"/>
                <w:lang w:val="en-GB"/>
              </w:rPr>
              <w:t>Deep lesions</w:t>
            </w:r>
          </w:p>
        </w:tc>
        <w:tc>
          <w:tcPr>
            <w:tcW w:w="248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7A261DB4"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49 (83%)</w:t>
            </w:r>
          </w:p>
        </w:tc>
        <w:tc>
          <w:tcPr>
            <w:tcW w:w="2481" w:type="dxa"/>
            <w:tcBorders>
              <w:top w:val="single" w:sz="8" w:space="0" w:color="FFFFFF"/>
              <w:left w:val="single" w:sz="8" w:space="0" w:color="FFFFFF"/>
              <w:bottom w:val="single" w:sz="8" w:space="0" w:color="FFFFFF"/>
              <w:right w:val="single" w:sz="8" w:space="0" w:color="FFFFFF"/>
            </w:tcBorders>
            <w:vAlign w:val="center"/>
          </w:tcPr>
          <w:p w14:paraId="234E8452"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43 (73%)</w:t>
            </w:r>
          </w:p>
        </w:tc>
        <w:tc>
          <w:tcPr>
            <w:tcW w:w="1559" w:type="dxa"/>
            <w:tcBorders>
              <w:top w:val="single" w:sz="8" w:space="0" w:color="FFFFFF"/>
              <w:left w:val="single" w:sz="8" w:space="0" w:color="FFFFFF"/>
              <w:bottom w:val="single" w:sz="8" w:space="0" w:color="FFFFFF"/>
              <w:right w:val="single" w:sz="8" w:space="0" w:color="FFFFFF"/>
            </w:tcBorders>
          </w:tcPr>
          <w:p w14:paraId="141390E9" w14:textId="7302479F" w:rsidR="002565E3" w:rsidRPr="00966346" w:rsidRDefault="004A6964"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18</w:t>
            </w:r>
          </w:p>
        </w:tc>
      </w:tr>
      <w:tr w:rsidR="002565E3" w:rsidRPr="00966346" w14:paraId="1EB42D50" w14:textId="4DAAE50E" w:rsidTr="004A6964">
        <w:trPr>
          <w:trHeight w:val="283"/>
        </w:trPr>
        <w:tc>
          <w:tcPr>
            <w:tcW w:w="2979" w:type="dxa"/>
            <w:tcBorders>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54A49171" w14:textId="77777777" w:rsidR="002565E3" w:rsidRPr="00966346" w:rsidRDefault="002565E3" w:rsidP="0025066A">
            <w:pPr>
              <w:spacing w:after="0" w:line="360" w:lineRule="auto"/>
              <w:rPr>
                <w:rFonts w:ascii="Arial" w:hAnsi="Arial" w:cs="Arial"/>
                <w:sz w:val="24"/>
                <w:szCs w:val="24"/>
                <w:lang w:val="en-GB"/>
              </w:rPr>
            </w:pPr>
            <w:r w:rsidRPr="00966346">
              <w:rPr>
                <w:rFonts w:ascii="Arial" w:hAnsi="Arial" w:cs="Arial"/>
                <w:sz w:val="24"/>
                <w:szCs w:val="24"/>
                <w:lang w:val="en-GB"/>
              </w:rPr>
              <w:t>Increased CSF protein</w:t>
            </w:r>
          </w:p>
        </w:tc>
        <w:tc>
          <w:tcPr>
            <w:tcW w:w="248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486C9103"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42 (71%)</w:t>
            </w:r>
          </w:p>
        </w:tc>
        <w:tc>
          <w:tcPr>
            <w:tcW w:w="2481" w:type="dxa"/>
            <w:tcBorders>
              <w:top w:val="single" w:sz="8" w:space="0" w:color="FFFFFF"/>
              <w:left w:val="single" w:sz="8" w:space="0" w:color="FFFFFF"/>
              <w:bottom w:val="single" w:sz="8" w:space="0" w:color="FFFFFF"/>
              <w:right w:val="single" w:sz="8" w:space="0" w:color="FFFFFF"/>
            </w:tcBorders>
            <w:vAlign w:val="center"/>
          </w:tcPr>
          <w:p w14:paraId="08040EB0"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35 (59%)</w:t>
            </w:r>
          </w:p>
        </w:tc>
        <w:tc>
          <w:tcPr>
            <w:tcW w:w="1559" w:type="dxa"/>
            <w:tcBorders>
              <w:top w:val="single" w:sz="8" w:space="0" w:color="FFFFFF"/>
              <w:left w:val="single" w:sz="8" w:space="0" w:color="FFFFFF"/>
              <w:bottom w:val="single" w:sz="8" w:space="0" w:color="FFFFFF"/>
              <w:right w:val="single" w:sz="8" w:space="0" w:color="FFFFFF"/>
            </w:tcBorders>
          </w:tcPr>
          <w:p w14:paraId="30221C95" w14:textId="39828364" w:rsidR="002565E3" w:rsidRPr="00966346" w:rsidRDefault="004A6964"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17</w:t>
            </w:r>
          </w:p>
        </w:tc>
      </w:tr>
      <w:tr w:rsidR="002565E3" w:rsidRPr="00966346" w14:paraId="58FF8EE3" w14:textId="27AF5972" w:rsidTr="004A6964">
        <w:trPr>
          <w:trHeight w:val="283"/>
        </w:trPr>
        <w:tc>
          <w:tcPr>
            <w:tcW w:w="297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013B1275" w14:textId="77777777" w:rsidR="002565E3" w:rsidRPr="00966346" w:rsidRDefault="002565E3" w:rsidP="0025066A">
            <w:pPr>
              <w:spacing w:after="0" w:line="360" w:lineRule="auto"/>
              <w:rPr>
                <w:rFonts w:ascii="Arial" w:hAnsi="Arial" w:cs="Arial"/>
                <w:sz w:val="24"/>
                <w:szCs w:val="24"/>
                <w:lang w:val="en-GB"/>
              </w:rPr>
            </w:pPr>
            <w:r w:rsidRPr="00966346">
              <w:rPr>
                <w:rFonts w:ascii="Arial" w:hAnsi="Arial" w:cs="Arial"/>
                <w:sz w:val="24"/>
                <w:szCs w:val="24"/>
                <w:lang w:val="en-GB"/>
              </w:rPr>
              <w:t>Low IELSG risk</w:t>
            </w:r>
          </w:p>
        </w:tc>
        <w:tc>
          <w:tcPr>
            <w:tcW w:w="248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523FD56A"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 xml:space="preserve">  9 (15%)</w:t>
            </w:r>
          </w:p>
        </w:tc>
        <w:tc>
          <w:tcPr>
            <w:tcW w:w="2481" w:type="dxa"/>
            <w:tcBorders>
              <w:top w:val="single" w:sz="8" w:space="0" w:color="FFFFFF"/>
              <w:left w:val="single" w:sz="8" w:space="0" w:color="FFFFFF"/>
              <w:bottom w:val="single" w:sz="8" w:space="0" w:color="FFFFFF"/>
              <w:right w:val="single" w:sz="8" w:space="0" w:color="FFFFFF"/>
            </w:tcBorders>
            <w:vAlign w:val="center"/>
          </w:tcPr>
          <w:p w14:paraId="75EB2536"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15 (25%)</w:t>
            </w:r>
          </w:p>
        </w:tc>
        <w:tc>
          <w:tcPr>
            <w:tcW w:w="1559" w:type="dxa"/>
            <w:tcBorders>
              <w:top w:val="single" w:sz="8" w:space="0" w:color="FFFFFF"/>
              <w:left w:val="single" w:sz="8" w:space="0" w:color="FFFFFF"/>
              <w:bottom w:val="single" w:sz="8" w:space="0" w:color="FFFFFF"/>
              <w:right w:val="single" w:sz="8" w:space="0" w:color="FFFFFF"/>
            </w:tcBorders>
          </w:tcPr>
          <w:p w14:paraId="0D0731AD" w14:textId="5EF76B11" w:rsidR="002565E3" w:rsidRPr="00966346" w:rsidRDefault="004A6964"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17</w:t>
            </w:r>
          </w:p>
        </w:tc>
      </w:tr>
      <w:tr w:rsidR="002565E3" w:rsidRPr="00966346" w14:paraId="6523A51B" w14:textId="6809635B" w:rsidTr="004A6964">
        <w:trPr>
          <w:trHeight w:val="283"/>
        </w:trPr>
        <w:tc>
          <w:tcPr>
            <w:tcW w:w="297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5F19877C" w14:textId="77777777" w:rsidR="002565E3" w:rsidRPr="00966346" w:rsidRDefault="002565E3" w:rsidP="0025066A">
            <w:pPr>
              <w:spacing w:after="0" w:line="360" w:lineRule="auto"/>
              <w:rPr>
                <w:rFonts w:ascii="Arial" w:hAnsi="Arial" w:cs="Arial"/>
                <w:sz w:val="24"/>
                <w:szCs w:val="24"/>
                <w:lang w:val="en-GB"/>
              </w:rPr>
            </w:pPr>
            <w:r w:rsidRPr="00966346">
              <w:rPr>
                <w:rFonts w:ascii="Arial" w:hAnsi="Arial" w:cs="Arial"/>
                <w:sz w:val="24"/>
                <w:szCs w:val="24"/>
                <w:lang w:val="en-GB"/>
              </w:rPr>
              <w:t>Intermediate IELSG risk</w:t>
            </w:r>
          </w:p>
        </w:tc>
        <w:tc>
          <w:tcPr>
            <w:tcW w:w="248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716F84E6"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43 (73%)</w:t>
            </w:r>
          </w:p>
        </w:tc>
        <w:tc>
          <w:tcPr>
            <w:tcW w:w="2481" w:type="dxa"/>
            <w:tcBorders>
              <w:top w:val="single" w:sz="8" w:space="0" w:color="FFFFFF"/>
              <w:left w:val="single" w:sz="8" w:space="0" w:color="FFFFFF"/>
              <w:bottom w:val="single" w:sz="8" w:space="0" w:color="FFFFFF"/>
              <w:right w:val="single" w:sz="8" w:space="0" w:color="FFFFFF"/>
            </w:tcBorders>
            <w:vAlign w:val="center"/>
          </w:tcPr>
          <w:p w14:paraId="5E4A5820"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36 (61%)</w:t>
            </w:r>
          </w:p>
        </w:tc>
        <w:tc>
          <w:tcPr>
            <w:tcW w:w="1559" w:type="dxa"/>
            <w:tcBorders>
              <w:top w:val="single" w:sz="8" w:space="0" w:color="FFFFFF"/>
              <w:left w:val="single" w:sz="8" w:space="0" w:color="FFFFFF"/>
              <w:bottom w:val="single" w:sz="8" w:space="0" w:color="FFFFFF"/>
              <w:right w:val="single" w:sz="8" w:space="0" w:color="FFFFFF"/>
            </w:tcBorders>
          </w:tcPr>
          <w:p w14:paraId="4B358C06" w14:textId="54D35FEA" w:rsidR="002565E3" w:rsidRPr="00966346" w:rsidRDefault="004A6964"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17</w:t>
            </w:r>
          </w:p>
        </w:tc>
      </w:tr>
      <w:tr w:rsidR="002565E3" w:rsidRPr="00966346" w14:paraId="3D388D7D" w14:textId="6049A695" w:rsidTr="004A6964">
        <w:trPr>
          <w:trHeight w:val="283"/>
        </w:trPr>
        <w:tc>
          <w:tcPr>
            <w:tcW w:w="297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2381E2B7" w14:textId="77777777" w:rsidR="002565E3" w:rsidRPr="00966346" w:rsidRDefault="002565E3" w:rsidP="0025066A">
            <w:pPr>
              <w:spacing w:after="0" w:line="360" w:lineRule="auto"/>
              <w:rPr>
                <w:rFonts w:ascii="Arial" w:hAnsi="Arial" w:cs="Arial"/>
                <w:sz w:val="24"/>
                <w:szCs w:val="24"/>
                <w:lang w:val="en-GB"/>
              </w:rPr>
            </w:pPr>
            <w:r w:rsidRPr="00966346">
              <w:rPr>
                <w:rFonts w:ascii="Arial" w:hAnsi="Arial" w:cs="Arial"/>
                <w:sz w:val="24"/>
                <w:szCs w:val="24"/>
                <w:lang w:val="en-GB"/>
              </w:rPr>
              <w:t>High IELSG risk</w:t>
            </w:r>
          </w:p>
        </w:tc>
        <w:tc>
          <w:tcPr>
            <w:tcW w:w="248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48E33B28"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 xml:space="preserve">  7 (12%)</w:t>
            </w:r>
          </w:p>
        </w:tc>
        <w:tc>
          <w:tcPr>
            <w:tcW w:w="2481" w:type="dxa"/>
            <w:tcBorders>
              <w:top w:val="single" w:sz="8" w:space="0" w:color="FFFFFF"/>
              <w:left w:val="single" w:sz="8" w:space="0" w:color="FFFFFF"/>
              <w:bottom w:val="single" w:sz="8" w:space="0" w:color="FFFFFF"/>
              <w:right w:val="single" w:sz="8" w:space="0" w:color="FFFFFF"/>
            </w:tcBorders>
            <w:vAlign w:val="center"/>
          </w:tcPr>
          <w:p w14:paraId="50613B9B"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 xml:space="preserve">  8 (14%)</w:t>
            </w:r>
          </w:p>
        </w:tc>
        <w:tc>
          <w:tcPr>
            <w:tcW w:w="1559" w:type="dxa"/>
            <w:tcBorders>
              <w:top w:val="single" w:sz="8" w:space="0" w:color="FFFFFF"/>
              <w:left w:val="single" w:sz="8" w:space="0" w:color="FFFFFF"/>
              <w:bottom w:val="single" w:sz="8" w:space="0" w:color="FFFFFF"/>
              <w:right w:val="single" w:sz="8" w:space="0" w:color="FFFFFF"/>
            </w:tcBorders>
          </w:tcPr>
          <w:p w14:paraId="04888B42" w14:textId="4C136DB2" w:rsidR="002565E3" w:rsidRPr="00966346" w:rsidRDefault="004A6964"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78</w:t>
            </w:r>
          </w:p>
        </w:tc>
      </w:tr>
      <w:tr w:rsidR="002565E3" w:rsidRPr="00966346" w14:paraId="72AFC3A4" w14:textId="05531063" w:rsidTr="004A6964">
        <w:trPr>
          <w:trHeight w:val="283"/>
        </w:trPr>
        <w:tc>
          <w:tcPr>
            <w:tcW w:w="297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3D98C8A1" w14:textId="77777777" w:rsidR="002565E3" w:rsidRPr="00966346" w:rsidRDefault="002565E3" w:rsidP="0025066A">
            <w:pPr>
              <w:spacing w:after="0" w:line="360" w:lineRule="auto"/>
              <w:rPr>
                <w:rFonts w:ascii="Arial" w:hAnsi="Arial" w:cs="Arial"/>
                <w:sz w:val="24"/>
                <w:szCs w:val="24"/>
                <w:lang w:val="en-GB"/>
              </w:rPr>
            </w:pPr>
            <w:r w:rsidRPr="00966346">
              <w:rPr>
                <w:rFonts w:ascii="Arial" w:hAnsi="Arial" w:cs="Arial"/>
                <w:sz w:val="24"/>
                <w:szCs w:val="24"/>
                <w:lang w:val="en-GB"/>
              </w:rPr>
              <w:t>Intraocular disease</w:t>
            </w:r>
            <w:r w:rsidRPr="00966346">
              <w:rPr>
                <w:rFonts w:ascii="Arial" w:hAnsi="Arial" w:cs="Arial"/>
                <w:sz w:val="24"/>
                <w:szCs w:val="24"/>
                <w:vertAlign w:val="superscript"/>
                <w:lang w:val="en-GB"/>
              </w:rPr>
              <w:t>§</w:t>
            </w:r>
          </w:p>
        </w:tc>
        <w:tc>
          <w:tcPr>
            <w:tcW w:w="248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2955A89F"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 xml:space="preserve">  1 (  2%)</w:t>
            </w:r>
          </w:p>
        </w:tc>
        <w:tc>
          <w:tcPr>
            <w:tcW w:w="2481" w:type="dxa"/>
            <w:tcBorders>
              <w:top w:val="single" w:sz="8" w:space="0" w:color="FFFFFF"/>
              <w:left w:val="single" w:sz="8" w:space="0" w:color="FFFFFF"/>
              <w:bottom w:val="single" w:sz="8" w:space="0" w:color="FFFFFF"/>
              <w:right w:val="single" w:sz="8" w:space="0" w:color="FFFFFF"/>
            </w:tcBorders>
            <w:vAlign w:val="center"/>
          </w:tcPr>
          <w:p w14:paraId="5632B753"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 xml:space="preserve">  3 (  5%)</w:t>
            </w:r>
          </w:p>
        </w:tc>
        <w:tc>
          <w:tcPr>
            <w:tcW w:w="1559" w:type="dxa"/>
            <w:tcBorders>
              <w:top w:val="single" w:sz="8" w:space="0" w:color="FFFFFF"/>
              <w:left w:val="single" w:sz="8" w:space="0" w:color="FFFFFF"/>
              <w:bottom w:val="single" w:sz="8" w:space="0" w:color="FFFFFF"/>
              <w:right w:val="single" w:sz="8" w:space="0" w:color="FFFFFF"/>
            </w:tcBorders>
          </w:tcPr>
          <w:p w14:paraId="5EA85C49" w14:textId="20642FC4" w:rsidR="002565E3" w:rsidRPr="00966346" w:rsidRDefault="004A6964"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31</w:t>
            </w:r>
          </w:p>
        </w:tc>
      </w:tr>
      <w:tr w:rsidR="002565E3" w:rsidRPr="00966346" w14:paraId="71872F6C" w14:textId="7BE950CE" w:rsidTr="004A6964">
        <w:trPr>
          <w:trHeight w:val="283"/>
        </w:trPr>
        <w:tc>
          <w:tcPr>
            <w:tcW w:w="297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5BF15846" w14:textId="77777777" w:rsidR="002565E3" w:rsidRPr="00966346" w:rsidRDefault="002565E3" w:rsidP="0025066A">
            <w:pPr>
              <w:keepNext/>
              <w:keepLines/>
              <w:spacing w:after="0" w:line="360" w:lineRule="auto"/>
              <w:rPr>
                <w:rFonts w:ascii="Arial" w:hAnsi="Arial" w:cs="Arial"/>
                <w:sz w:val="24"/>
                <w:szCs w:val="24"/>
                <w:lang w:val="en-GB"/>
              </w:rPr>
            </w:pPr>
            <w:r w:rsidRPr="00966346">
              <w:rPr>
                <w:rFonts w:ascii="Arial" w:hAnsi="Arial" w:cs="Arial"/>
                <w:sz w:val="24"/>
                <w:szCs w:val="24"/>
                <w:lang w:val="en-GB"/>
              </w:rPr>
              <w:t>Meningeal involvement</w:t>
            </w:r>
            <w:r w:rsidRPr="00966346">
              <w:rPr>
                <w:rFonts w:ascii="Arial" w:hAnsi="Arial" w:cs="Arial"/>
                <w:sz w:val="24"/>
                <w:szCs w:val="24"/>
                <w:vertAlign w:val="superscript"/>
                <w:lang w:val="en-GB"/>
              </w:rPr>
              <w:t>†</w:t>
            </w:r>
          </w:p>
        </w:tc>
        <w:tc>
          <w:tcPr>
            <w:tcW w:w="248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54D44C45"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9/43 (21%)</w:t>
            </w:r>
          </w:p>
        </w:tc>
        <w:tc>
          <w:tcPr>
            <w:tcW w:w="2481" w:type="dxa"/>
            <w:tcBorders>
              <w:top w:val="single" w:sz="8" w:space="0" w:color="FFFFFF"/>
              <w:left w:val="single" w:sz="8" w:space="0" w:color="FFFFFF"/>
              <w:bottom w:val="single" w:sz="8" w:space="0" w:color="FFFFFF"/>
              <w:right w:val="single" w:sz="8" w:space="0" w:color="FFFFFF"/>
            </w:tcBorders>
            <w:vAlign w:val="center"/>
          </w:tcPr>
          <w:p w14:paraId="6F7EE0E9"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11/46 (24%)</w:t>
            </w:r>
          </w:p>
        </w:tc>
        <w:tc>
          <w:tcPr>
            <w:tcW w:w="1559" w:type="dxa"/>
            <w:tcBorders>
              <w:top w:val="single" w:sz="8" w:space="0" w:color="FFFFFF"/>
              <w:left w:val="single" w:sz="8" w:space="0" w:color="FFFFFF"/>
              <w:bottom w:val="single" w:sz="8" w:space="0" w:color="FFFFFF"/>
              <w:right w:val="single" w:sz="8" w:space="0" w:color="FFFFFF"/>
            </w:tcBorders>
          </w:tcPr>
          <w:p w14:paraId="40CDEB71" w14:textId="3E892D79" w:rsidR="002565E3" w:rsidRPr="00966346" w:rsidRDefault="004A6964"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73</w:t>
            </w:r>
          </w:p>
        </w:tc>
      </w:tr>
      <w:tr w:rsidR="002565E3" w:rsidRPr="00966346" w14:paraId="562489E6" w14:textId="36CE2A97" w:rsidTr="004A6964">
        <w:trPr>
          <w:trHeight w:val="283"/>
        </w:trPr>
        <w:tc>
          <w:tcPr>
            <w:tcW w:w="2979"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14:paraId="6A3327E9" w14:textId="77777777" w:rsidR="002565E3" w:rsidRPr="00966346" w:rsidRDefault="002565E3" w:rsidP="0025066A">
            <w:pPr>
              <w:keepNext/>
              <w:keepLines/>
              <w:spacing w:after="0" w:line="360" w:lineRule="auto"/>
              <w:rPr>
                <w:rFonts w:ascii="Arial" w:hAnsi="Arial" w:cs="Arial"/>
                <w:sz w:val="24"/>
                <w:szCs w:val="24"/>
                <w:lang w:val="en-GB"/>
              </w:rPr>
            </w:pPr>
            <w:r w:rsidRPr="00966346">
              <w:rPr>
                <w:rFonts w:ascii="Arial" w:hAnsi="Arial" w:cs="Arial"/>
                <w:sz w:val="24"/>
                <w:szCs w:val="24"/>
                <w:lang w:val="en-GB"/>
              </w:rPr>
              <w:t>Multiple lesions</w:t>
            </w:r>
          </w:p>
        </w:tc>
        <w:tc>
          <w:tcPr>
            <w:tcW w:w="2481"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14:paraId="478F0237"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31 (53%)</w:t>
            </w:r>
          </w:p>
        </w:tc>
        <w:tc>
          <w:tcPr>
            <w:tcW w:w="2481" w:type="dxa"/>
            <w:tcBorders>
              <w:top w:val="single" w:sz="8" w:space="0" w:color="FFFFFF"/>
              <w:left w:val="single" w:sz="8" w:space="0" w:color="FFFFFF"/>
              <w:bottom w:val="single" w:sz="4" w:space="0" w:color="auto"/>
              <w:right w:val="single" w:sz="8" w:space="0" w:color="FFFFFF"/>
            </w:tcBorders>
            <w:vAlign w:val="center"/>
          </w:tcPr>
          <w:p w14:paraId="5454D963" w14:textId="77777777" w:rsidR="002565E3" w:rsidRPr="00966346" w:rsidRDefault="002565E3"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34 (58%)</w:t>
            </w:r>
          </w:p>
        </w:tc>
        <w:tc>
          <w:tcPr>
            <w:tcW w:w="1559" w:type="dxa"/>
            <w:tcBorders>
              <w:top w:val="single" w:sz="8" w:space="0" w:color="FFFFFF"/>
              <w:left w:val="single" w:sz="8" w:space="0" w:color="FFFFFF"/>
              <w:bottom w:val="single" w:sz="4" w:space="0" w:color="auto"/>
              <w:right w:val="single" w:sz="8" w:space="0" w:color="FFFFFF"/>
            </w:tcBorders>
          </w:tcPr>
          <w:p w14:paraId="1E44A2D9" w14:textId="2FA2486F" w:rsidR="002565E3" w:rsidRPr="00966346" w:rsidRDefault="004A6964" w:rsidP="0025066A">
            <w:pPr>
              <w:spacing w:after="0" w:line="360" w:lineRule="auto"/>
              <w:jc w:val="center"/>
              <w:rPr>
                <w:rFonts w:ascii="Arial" w:hAnsi="Arial" w:cs="Arial"/>
                <w:sz w:val="24"/>
                <w:szCs w:val="24"/>
                <w:lang w:val="en-GB"/>
              </w:rPr>
            </w:pPr>
            <w:r w:rsidRPr="00966346">
              <w:rPr>
                <w:rFonts w:ascii="Arial" w:hAnsi="Arial" w:cs="Arial"/>
                <w:sz w:val="24"/>
                <w:szCs w:val="24"/>
                <w:lang w:val="en-GB"/>
              </w:rPr>
              <w:t>0</w:t>
            </w:r>
            <w:r w:rsidR="00BE0CD8" w:rsidRPr="00BE0CD8">
              <w:rPr>
                <w:rFonts w:ascii="Arial" w:hAnsi="Arial" w:cs="Arial"/>
                <w:sz w:val="24"/>
                <w:szCs w:val="24"/>
              </w:rPr>
              <w:t>·</w:t>
            </w:r>
            <w:r w:rsidRPr="00966346">
              <w:rPr>
                <w:rFonts w:ascii="Arial" w:hAnsi="Arial" w:cs="Arial"/>
                <w:sz w:val="24"/>
                <w:szCs w:val="24"/>
                <w:lang w:val="en-GB"/>
              </w:rPr>
              <w:t>57</w:t>
            </w:r>
          </w:p>
        </w:tc>
      </w:tr>
    </w:tbl>
    <w:p w14:paraId="52CB1BB6" w14:textId="77777777" w:rsidR="000C3A7B" w:rsidRPr="00966346" w:rsidRDefault="000C3A7B" w:rsidP="001F791E">
      <w:pPr>
        <w:spacing w:after="0" w:line="360" w:lineRule="auto"/>
        <w:jc w:val="both"/>
        <w:rPr>
          <w:rFonts w:ascii="Arial" w:hAnsi="Arial" w:cs="Arial"/>
          <w:sz w:val="24"/>
          <w:szCs w:val="24"/>
        </w:rPr>
      </w:pPr>
    </w:p>
    <w:p w14:paraId="54F3092E" w14:textId="77777777" w:rsidR="000C3A7B" w:rsidRPr="00966346" w:rsidRDefault="000C3A7B" w:rsidP="001F791E">
      <w:pPr>
        <w:spacing w:after="0" w:line="360" w:lineRule="auto"/>
        <w:jc w:val="both"/>
        <w:rPr>
          <w:rFonts w:ascii="Arial" w:hAnsi="Arial" w:cs="Arial"/>
          <w:sz w:val="24"/>
          <w:szCs w:val="24"/>
        </w:rPr>
      </w:pPr>
      <w:r w:rsidRPr="00966346">
        <w:rPr>
          <w:rFonts w:ascii="Arial" w:hAnsi="Arial" w:cs="Arial"/>
          <w:sz w:val="24"/>
          <w:szCs w:val="24"/>
        </w:rPr>
        <w:t xml:space="preserve">ECOG PS= Eastern Cooperative Oncology Group Performance status score: LDH= lactate dehydrogenase; CSF= cerebrospinal fluid; IELSG= International Extranodal Lymphoma Study Group; DLBCL= diffuse large B-cell lymphoma. </w:t>
      </w:r>
    </w:p>
    <w:p w14:paraId="0AB4116A" w14:textId="77777777" w:rsidR="00800C90" w:rsidRPr="00966346" w:rsidRDefault="00800C90" w:rsidP="001F791E">
      <w:pPr>
        <w:spacing w:after="0" w:line="360" w:lineRule="auto"/>
        <w:rPr>
          <w:rFonts w:ascii="Arial" w:hAnsi="Arial" w:cs="Arial"/>
          <w:sz w:val="24"/>
          <w:szCs w:val="24"/>
        </w:rPr>
      </w:pPr>
      <w:r w:rsidRPr="00966346">
        <w:rPr>
          <w:rFonts w:ascii="Arial" w:hAnsi="Arial" w:cs="Arial"/>
          <w:sz w:val="24"/>
          <w:szCs w:val="24"/>
          <w:vertAlign w:val="superscript"/>
        </w:rPr>
        <w:t>§</w:t>
      </w:r>
      <w:r w:rsidRPr="00966346">
        <w:rPr>
          <w:rFonts w:ascii="Arial" w:hAnsi="Arial" w:cs="Arial"/>
          <w:sz w:val="24"/>
          <w:szCs w:val="24"/>
        </w:rPr>
        <w:t>All patients with intraocular lymphoma had concomitant brain lesions.</w:t>
      </w:r>
    </w:p>
    <w:p w14:paraId="390CD1F8" w14:textId="77777777" w:rsidR="00530330" w:rsidRPr="00966346" w:rsidRDefault="00530330" w:rsidP="001F791E">
      <w:pPr>
        <w:spacing w:after="0" w:line="360" w:lineRule="auto"/>
        <w:rPr>
          <w:rFonts w:ascii="Arial" w:hAnsi="Arial" w:cs="Arial"/>
          <w:sz w:val="24"/>
          <w:szCs w:val="24"/>
        </w:rPr>
      </w:pPr>
      <w:r w:rsidRPr="00966346">
        <w:rPr>
          <w:rFonts w:ascii="Arial" w:hAnsi="Arial" w:cs="Arial"/>
          <w:sz w:val="24"/>
          <w:szCs w:val="24"/>
          <w:vertAlign w:val="superscript"/>
        </w:rPr>
        <w:t>†</w:t>
      </w:r>
      <w:r w:rsidRPr="00966346">
        <w:rPr>
          <w:rFonts w:ascii="Arial" w:hAnsi="Arial" w:cs="Arial"/>
          <w:sz w:val="24"/>
          <w:szCs w:val="24"/>
        </w:rPr>
        <w:t>Denominators are the number of assessed patients.</w:t>
      </w:r>
    </w:p>
    <w:p w14:paraId="3BDFF55B" w14:textId="77777777" w:rsidR="001E3C41" w:rsidRPr="00966346" w:rsidRDefault="001E3C41" w:rsidP="001F791E">
      <w:pPr>
        <w:spacing w:after="0" w:line="360" w:lineRule="auto"/>
        <w:rPr>
          <w:rFonts w:ascii="Arial" w:hAnsi="Arial" w:cs="Arial"/>
          <w:sz w:val="24"/>
          <w:szCs w:val="24"/>
        </w:rPr>
      </w:pPr>
      <w:r w:rsidRPr="00966346">
        <w:rPr>
          <w:rFonts w:ascii="Arial" w:hAnsi="Arial" w:cs="Arial"/>
          <w:sz w:val="24"/>
          <w:szCs w:val="24"/>
        </w:rPr>
        <w:br w:type="page"/>
      </w:r>
    </w:p>
    <w:p w14:paraId="19D46ADE" w14:textId="77777777" w:rsidR="00351CA0" w:rsidRPr="00966346" w:rsidRDefault="00351CA0" w:rsidP="00351CA0">
      <w:pPr>
        <w:pBdr>
          <w:bottom w:val="single" w:sz="4" w:space="1" w:color="auto"/>
        </w:pBdr>
        <w:rPr>
          <w:rFonts w:ascii="Arial" w:hAnsi="Arial" w:cs="Arial"/>
          <w:sz w:val="24"/>
          <w:szCs w:val="24"/>
        </w:rPr>
      </w:pPr>
      <w:r w:rsidRPr="00966346">
        <w:rPr>
          <w:rFonts w:ascii="Arial" w:hAnsi="Arial" w:cs="Arial"/>
          <w:sz w:val="24"/>
          <w:szCs w:val="24"/>
        </w:rPr>
        <w:lastRenderedPageBreak/>
        <w:t>Table 2. Multivariable Cox model analysis performed on intention to treat bases</w:t>
      </w:r>
    </w:p>
    <w:tbl>
      <w:tblPr>
        <w:tblStyle w:val="Grigliatabella"/>
        <w:tblW w:w="9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118"/>
        <w:gridCol w:w="1047"/>
        <w:gridCol w:w="1048"/>
        <w:gridCol w:w="1165"/>
        <w:gridCol w:w="889"/>
      </w:tblGrid>
      <w:tr w:rsidR="00351CA0" w:rsidRPr="00966346" w14:paraId="269AE8BD" w14:textId="77777777" w:rsidTr="0029516F">
        <w:tc>
          <w:tcPr>
            <w:tcW w:w="2235" w:type="dxa"/>
            <w:tcBorders>
              <w:bottom w:val="single" w:sz="4" w:space="0" w:color="auto"/>
            </w:tcBorders>
          </w:tcPr>
          <w:p w14:paraId="05149314" w14:textId="77777777" w:rsidR="00351CA0" w:rsidRPr="00966346" w:rsidRDefault="00351CA0" w:rsidP="0029516F">
            <w:pPr>
              <w:spacing w:after="120"/>
              <w:rPr>
                <w:rFonts w:ascii="Arial" w:eastAsia="Times New Roman" w:hAnsi="Arial" w:cs="Arial"/>
                <w:bCs/>
                <w:lang w:eastAsia="it-IT"/>
              </w:rPr>
            </w:pPr>
            <w:r w:rsidRPr="00966346">
              <w:rPr>
                <w:rFonts w:ascii="Arial" w:eastAsia="Times New Roman" w:hAnsi="Arial" w:cs="Arial"/>
                <w:bCs/>
                <w:lang w:eastAsia="it-IT"/>
              </w:rPr>
              <w:t>PFS</w:t>
            </w:r>
          </w:p>
          <w:p w14:paraId="015B243C" w14:textId="77777777" w:rsidR="00351CA0" w:rsidRPr="00966346" w:rsidRDefault="00351CA0" w:rsidP="0029516F">
            <w:pPr>
              <w:spacing w:after="120"/>
              <w:rPr>
                <w:rFonts w:ascii="Arial" w:eastAsia="Times New Roman" w:hAnsi="Arial" w:cs="Arial"/>
                <w:bCs/>
                <w:lang w:eastAsia="it-IT"/>
              </w:rPr>
            </w:pPr>
          </w:p>
        </w:tc>
        <w:tc>
          <w:tcPr>
            <w:tcW w:w="3118" w:type="dxa"/>
            <w:tcBorders>
              <w:bottom w:val="single" w:sz="4" w:space="0" w:color="auto"/>
            </w:tcBorders>
          </w:tcPr>
          <w:p w14:paraId="2089CD98" w14:textId="77777777" w:rsidR="00351CA0" w:rsidRPr="00966346" w:rsidRDefault="00351CA0" w:rsidP="0029516F">
            <w:pPr>
              <w:spacing w:after="120"/>
              <w:rPr>
                <w:rFonts w:ascii="Arial" w:eastAsia="Times New Roman" w:hAnsi="Arial" w:cs="Arial"/>
                <w:bCs/>
                <w:lang w:eastAsia="it-IT"/>
              </w:rPr>
            </w:pPr>
            <w:r w:rsidRPr="00966346">
              <w:rPr>
                <w:rFonts w:ascii="Arial" w:eastAsia="Times New Roman" w:hAnsi="Arial" w:cs="Arial"/>
                <w:bCs/>
                <w:lang w:eastAsia="it-IT"/>
              </w:rPr>
              <w:t>Subgroups</w:t>
            </w:r>
          </w:p>
          <w:p w14:paraId="61A0F1BF" w14:textId="77777777" w:rsidR="00351CA0" w:rsidRPr="00966346" w:rsidRDefault="00351CA0" w:rsidP="0029516F">
            <w:pPr>
              <w:spacing w:after="120"/>
              <w:rPr>
                <w:rFonts w:ascii="Arial" w:eastAsia="Times New Roman" w:hAnsi="Arial" w:cs="Arial"/>
                <w:bCs/>
                <w:lang w:eastAsia="it-IT"/>
              </w:rPr>
            </w:pPr>
          </w:p>
        </w:tc>
        <w:tc>
          <w:tcPr>
            <w:tcW w:w="1047" w:type="dxa"/>
            <w:tcBorders>
              <w:bottom w:val="single" w:sz="4" w:space="0" w:color="auto"/>
            </w:tcBorders>
          </w:tcPr>
          <w:p w14:paraId="76671432" w14:textId="77777777" w:rsidR="00351CA0" w:rsidRPr="00966346" w:rsidRDefault="00351CA0" w:rsidP="0029516F">
            <w:pPr>
              <w:jc w:val="center"/>
              <w:rPr>
                <w:rFonts w:ascii="Arial" w:eastAsia="Times New Roman" w:hAnsi="Arial" w:cs="Arial"/>
                <w:bCs/>
                <w:lang w:eastAsia="it-IT"/>
              </w:rPr>
            </w:pPr>
            <w:r w:rsidRPr="00966346">
              <w:rPr>
                <w:rFonts w:ascii="Arial" w:eastAsia="Times New Roman" w:hAnsi="Arial" w:cs="Arial"/>
                <w:bCs/>
                <w:lang w:eastAsia="it-IT"/>
              </w:rPr>
              <w:t>Hazard</w:t>
            </w:r>
          </w:p>
          <w:p w14:paraId="6B7EC895" w14:textId="77777777" w:rsidR="00351CA0" w:rsidRPr="00966346" w:rsidRDefault="00351CA0" w:rsidP="0029516F">
            <w:pPr>
              <w:spacing w:after="120"/>
              <w:jc w:val="center"/>
              <w:rPr>
                <w:rFonts w:ascii="Arial" w:eastAsia="Times New Roman" w:hAnsi="Arial" w:cs="Arial"/>
                <w:bCs/>
                <w:lang w:eastAsia="it-IT"/>
              </w:rPr>
            </w:pPr>
            <w:r w:rsidRPr="00966346">
              <w:rPr>
                <w:rFonts w:ascii="Arial" w:eastAsia="Times New Roman" w:hAnsi="Arial" w:cs="Arial"/>
                <w:bCs/>
                <w:lang w:eastAsia="it-IT"/>
              </w:rPr>
              <w:t>ratio</w:t>
            </w:r>
          </w:p>
        </w:tc>
        <w:tc>
          <w:tcPr>
            <w:tcW w:w="1048" w:type="dxa"/>
            <w:tcBorders>
              <w:bottom w:val="single" w:sz="4" w:space="0" w:color="auto"/>
            </w:tcBorders>
          </w:tcPr>
          <w:p w14:paraId="79E1F73C" w14:textId="77777777" w:rsidR="00351CA0" w:rsidRPr="00966346" w:rsidRDefault="00351CA0" w:rsidP="0029516F">
            <w:pPr>
              <w:jc w:val="center"/>
              <w:rPr>
                <w:rFonts w:ascii="Arial" w:eastAsia="Times New Roman" w:hAnsi="Arial" w:cs="Arial"/>
                <w:bCs/>
                <w:lang w:eastAsia="it-IT"/>
              </w:rPr>
            </w:pPr>
            <w:r w:rsidRPr="00966346">
              <w:rPr>
                <w:rFonts w:ascii="Arial" w:eastAsia="Times New Roman" w:hAnsi="Arial" w:cs="Arial"/>
                <w:bCs/>
                <w:lang w:eastAsia="it-IT"/>
              </w:rPr>
              <w:t>95%</w:t>
            </w:r>
          </w:p>
          <w:p w14:paraId="6CD6A36B" w14:textId="77777777" w:rsidR="00351CA0" w:rsidRPr="00966346" w:rsidRDefault="00351CA0" w:rsidP="0029516F">
            <w:pPr>
              <w:spacing w:after="120"/>
              <w:jc w:val="center"/>
              <w:rPr>
                <w:rFonts w:ascii="Arial" w:eastAsia="Times New Roman" w:hAnsi="Arial" w:cs="Arial"/>
                <w:bCs/>
                <w:lang w:eastAsia="it-IT"/>
              </w:rPr>
            </w:pPr>
            <w:r w:rsidRPr="00966346">
              <w:rPr>
                <w:rFonts w:ascii="Arial" w:eastAsia="Times New Roman" w:hAnsi="Arial" w:cs="Arial"/>
                <w:bCs/>
                <w:lang w:eastAsia="it-IT"/>
              </w:rPr>
              <w:t>lower CI</w:t>
            </w:r>
          </w:p>
        </w:tc>
        <w:tc>
          <w:tcPr>
            <w:tcW w:w="1165" w:type="dxa"/>
            <w:tcBorders>
              <w:bottom w:val="single" w:sz="4" w:space="0" w:color="auto"/>
            </w:tcBorders>
          </w:tcPr>
          <w:p w14:paraId="01482BFF" w14:textId="77777777" w:rsidR="00351CA0" w:rsidRPr="00966346" w:rsidRDefault="00351CA0" w:rsidP="0029516F">
            <w:pPr>
              <w:ind w:left="-77" w:right="-84"/>
              <w:jc w:val="center"/>
              <w:rPr>
                <w:rFonts w:ascii="Arial" w:eastAsia="Times New Roman" w:hAnsi="Arial" w:cs="Arial"/>
                <w:bCs/>
                <w:lang w:eastAsia="it-IT"/>
              </w:rPr>
            </w:pPr>
            <w:r w:rsidRPr="00966346">
              <w:rPr>
                <w:rFonts w:ascii="Arial" w:eastAsia="Times New Roman" w:hAnsi="Arial" w:cs="Arial"/>
                <w:bCs/>
                <w:lang w:eastAsia="it-IT"/>
              </w:rPr>
              <w:t>95%</w:t>
            </w:r>
          </w:p>
          <w:p w14:paraId="48CC8D4F" w14:textId="77777777" w:rsidR="00351CA0" w:rsidRPr="00966346" w:rsidRDefault="00351CA0" w:rsidP="0029516F">
            <w:pPr>
              <w:spacing w:after="120"/>
              <w:jc w:val="center"/>
              <w:rPr>
                <w:rFonts w:ascii="Arial" w:eastAsia="Times New Roman" w:hAnsi="Arial" w:cs="Arial"/>
                <w:bCs/>
                <w:lang w:eastAsia="it-IT"/>
              </w:rPr>
            </w:pPr>
            <w:r w:rsidRPr="00966346">
              <w:rPr>
                <w:rFonts w:ascii="Arial" w:eastAsia="Times New Roman" w:hAnsi="Arial" w:cs="Arial"/>
                <w:bCs/>
                <w:lang w:eastAsia="it-IT"/>
              </w:rPr>
              <w:t>upper CI</w:t>
            </w:r>
          </w:p>
        </w:tc>
        <w:tc>
          <w:tcPr>
            <w:tcW w:w="889" w:type="dxa"/>
            <w:tcBorders>
              <w:bottom w:val="single" w:sz="4" w:space="0" w:color="auto"/>
            </w:tcBorders>
          </w:tcPr>
          <w:p w14:paraId="6A55E7F7" w14:textId="77777777" w:rsidR="00351CA0" w:rsidRPr="00966346" w:rsidRDefault="00351CA0" w:rsidP="0029516F">
            <w:pPr>
              <w:spacing w:after="120"/>
              <w:jc w:val="center"/>
              <w:rPr>
                <w:rFonts w:ascii="Arial" w:eastAsia="Times New Roman" w:hAnsi="Arial" w:cs="Arial"/>
                <w:bCs/>
                <w:lang w:eastAsia="it-IT"/>
              </w:rPr>
            </w:pPr>
            <w:r w:rsidRPr="00966346">
              <w:rPr>
                <w:rFonts w:ascii="Arial" w:eastAsia="Times New Roman" w:hAnsi="Arial" w:cs="Arial"/>
                <w:bCs/>
                <w:lang w:eastAsia="it-IT"/>
              </w:rPr>
              <w:t>p</w:t>
            </w:r>
          </w:p>
          <w:p w14:paraId="7CB0D2FB" w14:textId="77777777" w:rsidR="00351CA0" w:rsidRPr="00966346" w:rsidRDefault="00351CA0" w:rsidP="0029516F">
            <w:pPr>
              <w:spacing w:after="120"/>
              <w:jc w:val="center"/>
              <w:rPr>
                <w:rFonts w:ascii="Arial" w:eastAsia="Times New Roman" w:hAnsi="Arial" w:cs="Arial"/>
                <w:bCs/>
                <w:lang w:eastAsia="it-IT"/>
              </w:rPr>
            </w:pPr>
          </w:p>
        </w:tc>
      </w:tr>
      <w:tr w:rsidR="00351CA0" w:rsidRPr="00966346" w14:paraId="20BB9E4D" w14:textId="77777777" w:rsidTr="0029516F">
        <w:tc>
          <w:tcPr>
            <w:tcW w:w="2235" w:type="dxa"/>
            <w:tcBorders>
              <w:top w:val="single" w:sz="4" w:space="0" w:color="auto"/>
            </w:tcBorders>
          </w:tcPr>
          <w:p w14:paraId="1FDF5063" w14:textId="77777777" w:rsidR="00351CA0" w:rsidRPr="00966346" w:rsidRDefault="00351CA0" w:rsidP="0029516F">
            <w:pPr>
              <w:spacing w:before="120" w:line="360" w:lineRule="auto"/>
              <w:rPr>
                <w:rFonts w:ascii="Arial" w:eastAsia="Times New Roman" w:hAnsi="Arial" w:cs="Arial"/>
                <w:bCs/>
                <w:lang w:eastAsia="it-IT"/>
              </w:rPr>
            </w:pPr>
            <w:r w:rsidRPr="00966346">
              <w:rPr>
                <w:rFonts w:ascii="Arial" w:eastAsia="Times New Roman" w:hAnsi="Arial" w:cs="Arial"/>
                <w:bCs/>
                <w:lang w:eastAsia="it-IT"/>
              </w:rPr>
              <w:t>Gender</w:t>
            </w:r>
          </w:p>
        </w:tc>
        <w:tc>
          <w:tcPr>
            <w:tcW w:w="3118" w:type="dxa"/>
            <w:tcBorders>
              <w:top w:val="single" w:sz="4" w:space="0" w:color="auto"/>
            </w:tcBorders>
          </w:tcPr>
          <w:p w14:paraId="551BA282" w14:textId="77777777" w:rsidR="00351CA0" w:rsidRPr="00966346" w:rsidRDefault="00351CA0" w:rsidP="0029516F">
            <w:pPr>
              <w:spacing w:before="120" w:line="360" w:lineRule="auto"/>
              <w:rPr>
                <w:rFonts w:ascii="Arial" w:eastAsia="Times New Roman" w:hAnsi="Arial" w:cs="Arial"/>
                <w:lang w:eastAsia="it-IT"/>
              </w:rPr>
            </w:pPr>
            <w:r w:rsidRPr="00966346">
              <w:rPr>
                <w:rFonts w:ascii="Arial" w:eastAsia="Times New Roman" w:hAnsi="Arial" w:cs="Arial"/>
                <w:lang w:eastAsia="it-IT"/>
              </w:rPr>
              <w:t>female vs. male</w:t>
            </w:r>
          </w:p>
        </w:tc>
        <w:tc>
          <w:tcPr>
            <w:tcW w:w="1047" w:type="dxa"/>
            <w:tcBorders>
              <w:top w:val="single" w:sz="4" w:space="0" w:color="auto"/>
            </w:tcBorders>
            <w:vAlign w:val="center"/>
          </w:tcPr>
          <w:p w14:paraId="20362614" w14:textId="77777777" w:rsidR="00351CA0" w:rsidRPr="00966346" w:rsidRDefault="00351CA0" w:rsidP="00D161B3">
            <w:pPr>
              <w:spacing w:before="120" w:line="360" w:lineRule="auto"/>
              <w:jc w:val="center"/>
              <w:rPr>
                <w:rFonts w:ascii="Arial" w:eastAsia="Times New Roman" w:hAnsi="Arial" w:cs="Arial"/>
                <w:lang w:eastAsia="it-IT"/>
              </w:rPr>
            </w:pPr>
            <w:r w:rsidRPr="00966346">
              <w:rPr>
                <w:rFonts w:ascii="Arial" w:eastAsia="Times New Roman" w:hAnsi="Arial" w:cs="Arial"/>
                <w:lang w:eastAsia="it-IT"/>
              </w:rPr>
              <w:t>1</w:t>
            </w:r>
            <w:r w:rsidR="00D161B3" w:rsidRPr="00966346">
              <w:rPr>
                <w:rFonts w:ascii="Arial" w:eastAsia="Times New Roman" w:hAnsi="Arial" w:cs="Arial"/>
                <w:lang w:eastAsia="it-IT"/>
              </w:rPr>
              <w:t>·</w:t>
            </w:r>
            <w:r w:rsidR="00670AE8" w:rsidRPr="00966346">
              <w:rPr>
                <w:rFonts w:ascii="Arial" w:eastAsia="Times New Roman" w:hAnsi="Arial" w:cs="Arial"/>
                <w:lang w:eastAsia="it-IT"/>
              </w:rPr>
              <w:t>7</w:t>
            </w:r>
            <w:r w:rsidR="009F38BF" w:rsidRPr="00966346">
              <w:rPr>
                <w:rFonts w:ascii="Arial" w:eastAsia="Times New Roman" w:hAnsi="Arial" w:cs="Arial"/>
                <w:lang w:eastAsia="it-IT"/>
              </w:rPr>
              <w:t>5</w:t>
            </w:r>
          </w:p>
        </w:tc>
        <w:tc>
          <w:tcPr>
            <w:tcW w:w="1048" w:type="dxa"/>
            <w:tcBorders>
              <w:top w:val="single" w:sz="4" w:space="0" w:color="auto"/>
            </w:tcBorders>
            <w:vAlign w:val="center"/>
          </w:tcPr>
          <w:p w14:paraId="585F805E" w14:textId="77777777" w:rsidR="00351CA0" w:rsidRPr="00966346" w:rsidRDefault="00351CA0" w:rsidP="009F38BF">
            <w:pPr>
              <w:spacing w:before="120"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00670AE8" w:rsidRPr="00966346">
              <w:rPr>
                <w:rFonts w:ascii="Arial" w:eastAsia="Times New Roman" w:hAnsi="Arial" w:cs="Arial"/>
                <w:lang w:eastAsia="it-IT"/>
              </w:rPr>
              <w:t>9</w:t>
            </w:r>
            <w:r w:rsidR="009F38BF" w:rsidRPr="00966346">
              <w:rPr>
                <w:rFonts w:ascii="Arial" w:eastAsia="Times New Roman" w:hAnsi="Arial" w:cs="Arial"/>
                <w:lang w:eastAsia="it-IT"/>
              </w:rPr>
              <w:t>2</w:t>
            </w:r>
          </w:p>
        </w:tc>
        <w:tc>
          <w:tcPr>
            <w:tcW w:w="1165" w:type="dxa"/>
            <w:tcBorders>
              <w:top w:val="single" w:sz="4" w:space="0" w:color="auto"/>
            </w:tcBorders>
            <w:vAlign w:val="center"/>
          </w:tcPr>
          <w:p w14:paraId="62CC6B57" w14:textId="77777777" w:rsidR="00351CA0" w:rsidRPr="00966346" w:rsidRDefault="00670AE8" w:rsidP="009F38BF">
            <w:pPr>
              <w:spacing w:before="120" w:line="360" w:lineRule="auto"/>
              <w:jc w:val="center"/>
              <w:rPr>
                <w:rFonts w:ascii="Arial" w:eastAsia="Times New Roman" w:hAnsi="Arial" w:cs="Arial"/>
                <w:lang w:eastAsia="it-IT"/>
              </w:rPr>
            </w:pPr>
            <w:r w:rsidRPr="00966346">
              <w:rPr>
                <w:rFonts w:ascii="Arial" w:eastAsia="Times New Roman" w:hAnsi="Arial" w:cs="Arial"/>
                <w:lang w:eastAsia="it-IT"/>
              </w:rPr>
              <w:t>3</w:t>
            </w:r>
            <w:r w:rsidR="00D161B3" w:rsidRPr="00966346">
              <w:rPr>
                <w:rFonts w:ascii="Arial" w:eastAsia="Times New Roman" w:hAnsi="Arial" w:cs="Arial"/>
                <w:lang w:eastAsia="it-IT"/>
              </w:rPr>
              <w:t>·</w:t>
            </w:r>
            <w:r w:rsidR="009F38BF" w:rsidRPr="00966346">
              <w:rPr>
                <w:rFonts w:ascii="Arial" w:eastAsia="Times New Roman" w:hAnsi="Arial" w:cs="Arial"/>
                <w:lang w:eastAsia="it-IT"/>
              </w:rPr>
              <w:t>3</w:t>
            </w:r>
            <w:r w:rsidRPr="00966346">
              <w:rPr>
                <w:rFonts w:ascii="Arial" w:eastAsia="Times New Roman" w:hAnsi="Arial" w:cs="Arial"/>
                <w:lang w:eastAsia="it-IT"/>
              </w:rPr>
              <w:t>0</w:t>
            </w:r>
          </w:p>
        </w:tc>
        <w:tc>
          <w:tcPr>
            <w:tcW w:w="889" w:type="dxa"/>
            <w:tcBorders>
              <w:top w:val="single" w:sz="4" w:space="0" w:color="auto"/>
            </w:tcBorders>
            <w:vAlign w:val="center"/>
          </w:tcPr>
          <w:p w14:paraId="573ED699" w14:textId="77777777" w:rsidR="00351CA0" w:rsidRPr="00966346" w:rsidRDefault="00351CA0" w:rsidP="009F38BF">
            <w:pPr>
              <w:spacing w:before="120"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00670AE8" w:rsidRPr="00966346">
              <w:rPr>
                <w:rFonts w:ascii="Arial" w:eastAsia="Times New Roman" w:hAnsi="Arial" w:cs="Arial"/>
                <w:lang w:eastAsia="it-IT"/>
              </w:rPr>
              <w:t>0</w:t>
            </w:r>
            <w:r w:rsidR="009F38BF" w:rsidRPr="00966346">
              <w:rPr>
                <w:rFonts w:ascii="Arial" w:eastAsia="Times New Roman" w:hAnsi="Arial" w:cs="Arial"/>
                <w:lang w:eastAsia="it-IT"/>
              </w:rPr>
              <w:t>84</w:t>
            </w:r>
          </w:p>
        </w:tc>
      </w:tr>
      <w:tr w:rsidR="00351CA0" w:rsidRPr="00966346" w14:paraId="742479E1" w14:textId="77777777" w:rsidTr="0029516F">
        <w:tc>
          <w:tcPr>
            <w:tcW w:w="2235" w:type="dxa"/>
          </w:tcPr>
          <w:p w14:paraId="58B4A6F8" w14:textId="77777777" w:rsidR="00351CA0" w:rsidRPr="00966346" w:rsidRDefault="00351CA0" w:rsidP="0029516F">
            <w:pPr>
              <w:spacing w:line="360" w:lineRule="auto"/>
              <w:rPr>
                <w:rFonts w:ascii="Arial" w:eastAsia="Times New Roman" w:hAnsi="Arial" w:cs="Arial"/>
                <w:bCs/>
                <w:lang w:eastAsia="it-IT"/>
              </w:rPr>
            </w:pPr>
            <w:r w:rsidRPr="00966346">
              <w:rPr>
                <w:rFonts w:ascii="Arial" w:eastAsia="Times New Roman" w:hAnsi="Arial" w:cs="Arial"/>
                <w:bCs/>
                <w:lang w:eastAsia="it-IT"/>
              </w:rPr>
              <w:t>IELSG risk group</w:t>
            </w:r>
          </w:p>
        </w:tc>
        <w:tc>
          <w:tcPr>
            <w:tcW w:w="3118" w:type="dxa"/>
          </w:tcPr>
          <w:p w14:paraId="25765E5F" w14:textId="77777777" w:rsidR="009F38BF" w:rsidRPr="00966346" w:rsidRDefault="00351CA0" w:rsidP="0029516F">
            <w:pPr>
              <w:spacing w:line="360" w:lineRule="auto"/>
              <w:rPr>
                <w:rFonts w:ascii="Arial" w:eastAsia="Times New Roman" w:hAnsi="Arial" w:cs="Arial"/>
                <w:lang w:eastAsia="it-IT"/>
              </w:rPr>
            </w:pPr>
            <w:r w:rsidRPr="00966346">
              <w:rPr>
                <w:rFonts w:ascii="Arial" w:eastAsia="Times New Roman" w:hAnsi="Arial" w:cs="Arial"/>
                <w:lang w:eastAsia="it-IT"/>
              </w:rPr>
              <w:t xml:space="preserve">low vs. intermediate </w:t>
            </w:r>
          </w:p>
          <w:p w14:paraId="490F3A07" w14:textId="77777777" w:rsidR="009F38BF" w:rsidRPr="00966346" w:rsidRDefault="009F38BF" w:rsidP="0029516F">
            <w:pPr>
              <w:spacing w:line="360" w:lineRule="auto"/>
              <w:rPr>
                <w:rFonts w:ascii="Arial" w:eastAsia="Times New Roman" w:hAnsi="Arial" w:cs="Arial"/>
                <w:lang w:eastAsia="it-IT"/>
              </w:rPr>
            </w:pPr>
            <w:r w:rsidRPr="00966346">
              <w:rPr>
                <w:rFonts w:ascii="Arial" w:eastAsia="Times New Roman" w:hAnsi="Arial" w:cs="Arial"/>
                <w:lang w:eastAsia="it-IT"/>
              </w:rPr>
              <w:t xml:space="preserve">low </w:t>
            </w:r>
            <w:r w:rsidR="00351CA0" w:rsidRPr="00966346">
              <w:rPr>
                <w:rFonts w:ascii="Arial" w:eastAsia="Times New Roman" w:hAnsi="Arial" w:cs="Arial"/>
                <w:lang w:eastAsia="it-IT"/>
              </w:rPr>
              <w:t>vs. high</w:t>
            </w:r>
          </w:p>
        </w:tc>
        <w:tc>
          <w:tcPr>
            <w:tcW w:w="1047" w:type="dxa"/>
            <w:vAlign w:val="center"/>
          </w:tcPr>
          <w:p w14:paraId="6831FE60" w14:textId="77777777" w:rsidR="00351CA0" w:rsidRPr="00966346" w:rsidRDefault="00351CA0" w:rsidP="00670AE8">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009F38BF" w:rsidRPr="00966346">
              <w:rPr>
                <w:rFonts w:ascii="Arial" w:eastAsia="Times New Roman" w:hAnsi="Arial" w:cs="Arial"/>
                <w:lang w:eastAsia="it-IT"/>
              </w:rPr>
              <w:t>48</w:t>
            </w:r>
          </w:p>
          <w:p w14:paraId="60F88EED" w14:textId="77777777" w:rsidR="009F38BF" w:rsidRPr="00966346" w:rsidRDefault="009F38BF" w:rsidP="00670AE8">
            <w:pPr>
              <w:spacing w:line="360" w:lineRule="auto"/>
              <w:jc w:val="center"/>
              <w:rPr>
                <w:rFonts w:ascii="Arial" w:eastAsia="Times New Roman" w:hAnsi="Arial" w:cs="Arial"/>
                <w:lang w:eastAsia="it-IT"/>
              </w:rPr>
            </w:pPr>
            <w:r w:rsidRPr="00966346">
              <w:rPr>
                <w:rFonts w:ascii="Arial" w:eastAsia="Times New Roman" w:hAnsi="Arial" w:cs="Arial"/>
                <w:lang w:eastAsia="it-IT"/>
              </w:rPr>
              <w:t>0·40</w:t>
            </w:r>
          </w:p>
        </w:tc>
        <w:tc>
          <w:tcPr>
            <w:tcW w:w="1048" w:type="dxa"/>
            <w:vAlign w:val="center"/>
          </w:tcPr>
          <w:p w14:paraId="3A900313" w14:textId="77777777" w:rsidR="00351CA0" w:rsidRPr="00966346" w:rsidRDefault="00351CA0"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009F38BF" w:rsidRPr="00966346">
              <w:rPr>
                <w:rFonts w:ascii="Arial" w:eastAsia="Times New Roman" w:hAnsi="Arial" w:cs="Arial"/>
                <w:lang w:eastAsia="it-IT"/>
              </w:rPr>
              <w:t>24</w:t>
            </w:r>
          </w:p>
          <w:p w14:paraId="41D2B5BC" w14:textId="77777777" w:rsidR="009F38BF" w:rsidRPr="00966346" w:rsidRDefault="009F38BF"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0·12</w:t>
            </w:r>
          </w:p>
        </w:tc>
        <w:tc>
          <w:tcPr>
            <w:tcW w:w="1165" w:type="dxa"/>
            <w:vAlign w:val="center"/>
          </w:tcPr>
          <w:p w14:paraId="4B92D23A" w14:textId="77777777" w:rsidR="00351CA0" w:rsidRPr="00966346" w:rsidRDefault="009F38BF"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Pr="00966346">
              <w:rPr>
                <w:rFonts w:ascii="Arial" w:eastAsia="Times New Roman" w:hAnsi="Arial" w:cs="Arial"/>
                <w:lang w:eastAsia="it-IT"/>
              </w:rPr>
              <w:t>96</w:t>
            </w:r>
          </w:p>
          <w:p w14:paraId="5A97C83F" w14:textId="77777777" w:rsidR="009F38BF" w:rsidRPr="00966346" w:rsidRDefault="009F38BF"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1·31</w:t>
            </w:r>
          </w:p>
        </w:tc>
        <w:tc>
          <w:tcPr>
            <w:tcW w:w="889" w:type="dxa"/>
            <w:vAlign w:val="center"/>
          </w:tcPr>
          <w:p w14:paraId="0BE9F62D" w14:textId="77777777" w:rsidR="00351CA0" w:rsidRPr="00966346" w:rsidRDefault="00351CA0"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Pr="00966346">
              <w:rPr>
                <w:rFonts w:ascii="Arial" w:eastAsia="Times New Roman" w:hAnsi="Arial" w:cs="Arial"/>
                <w:lang w:eastAsia="it-IT"/>
              </w:rPr>
              <w:t>0</w:t>
            </w:r>
            <w:r w:rsidR="00670AE8" w:rsidRPr="00966346">
              <w:rPr>
                <w:rFonts w:ascii="Arial" w:eastAsia="Times New Roman" w:hAnsi="Arial" w:cs="Arial"/>
                <w:lang w:eastAsia="it-IT"/>
              </w:rPr>
              <w:t>3</w:t>
            </w:r>
            <w:r w:rsidR="009F38BF" w:rsidRPr="00966346">
              <w:rPr>
                <w:rFonts w:ascii="Arial" w:eastAsia="Times New Roman" w:hAnsi="Arial" w:cs="Arial"/>
                <w:lang w:eastAsia="it-IT"/>
              </w:rPr>
              <w:t>8</w:t>
            </w:r>
          </w:p>
          <w:p w14:paraId="2995D54B" w14:textId="77777777" w:rsidR="009F38BF" w:rsidRPr="00966346" w:rsidRDefault="009F38BF"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0·131</w:t>
            </w:r>
          </w:p>
        </w:tc>
      </w:tr>
      <w:tr w:rsidR="00351CA0" w:rsidRPr="00966346" w14:paraId="4D418D2D" w14:textId="77777777" w:rsidTr="0029516F">
        <w:tc>
          <w:tcPr>
            <w:tcW w:w="2235" w:type="dxa"/>
          </w:tcPr>
          <w:p w14:paraId="3664B290" w14:textId="77777777" w:rsidR="00351CA0" w:rsidRPr="00966346" w:rsidRDefault="00351CA0" w:rsidP="0029516F">
            <w:pPr>
              <w:spacing w:line="360" w:lineRule="auto"/>
              <w:rPr>
                <w:rFonts w:ascii="Arial" w:eastAsia="Times New Roman" w:hAnsi="Arial" w:cs="Arial"/>
                <w:bCs/>
                <w:lang w:eastAsia="it-IT"/>
              </w:rPr>
            </w:pPr>
            <w:r w:rsidRPr="00966346">
              <w:rPr>
                <w:rFonts w:ascii="Arial" w:eastAsia="Times New Roman" w:hAnsi="Arial" w:cs="Arial"/>
                <w:bCs/>
                <w:lang w:eastAsia="it-IT"/>
              </w:rPr>
              <w:t>Number of lesions</w:t>
            </w:r>
          </w:p>
        </w:tc>
        <w:tc>
          <w:tcPr>
            <w:tcW w:w="3118" w:type="dxa"/>
          </w:tcPr>
          <w:p w14:paraId="502301AC" w14:textId="77777777" w:rsidR="00351CA0" w:rsidRPr="00966346" w:rsidRDefault="00351CA0" w:rsidP="0029516F">
            <w:pPr>
              <w:spacing w:line="360" w:lineRule="auto"/>
              <w:rPr>
                <w:rFonts w:ascii="Arial" w:eastAsia="Times New Roman" w:hAnsi="Arial" w:cs="Arial"/>
                <w:lang w:eastAsia="it-IT"/>
              </w:rPr>
            </w:pPr>
            <w:r w:rsidRPr="00966346">
              <w:rPr>
                <w:rFonts w:ascii="Arial" w:eastAsia="Times New Roman" w:hAnsi="Arial" w:cs="Arial"/>
                <w:lang w:eastAsia="it-IT"/>
              </w:rPr>
              <w:t>single vs. multiple</w:t>
            </w:r>
          </w:p>
        </w:tc>
        <w:tc>
          <w:tcPr>
            <w:tcW w:w="1047" w:type="dxa"/>
            <w:vAlign w:val="center"/>
          </w:tcPr>
          <w:p w14:paraId="6A0408A3" w14:textId="77777777" w:rsidR="00351CA0" w:rsidRPr="00966346" w:rsidRDefault="00351CA0" w:rsidP="00670AE8">
            <w:pPr>
              <w:spacing w:line="360" w:lineRule="auto"/>
              <w:jc w:val="center"/>
              <w:rPr>
                <w:rFonts w:ascii="Arial" w:eastAsia="Times New Roman" w:hAnsi="Arial" w:cs="Arial"/>
                <w:lang w:eastAsia="it-IT"/>
              </w:rPr>
            </w:pPr>
            <w:r w:rsidRPr="00966346">
              <w:rPr>
                <w:rFonts w:ascii="Arial" w:eastAsia="Times New Roman" w:hAnsi="Arial" w:cs="Arial"/>
                <w:lang w:eastAsia="it-IT"/>
              </w:rPr>
              <w:t>2</w:t>
            </w:r>
            <w:r w:rsidR="00D161B3" w:rsidRPr="00966346">
              <w:rPr>
                <w:rFonts w:ascii="Arial" w:eastAsia="Times New Roman" w:hAnsi="Arial" w:cs="Arial"/>
                <w:lang w:eastAsia="it-IT"/>
              </w:rPr>
              <w:t>·</w:t>
            </w:r>
            <w:r w:rsidR="00670AE8" w:rsidRPr="00966346">
              <w:rPr>
                <w:rFonts w:ascii="Arial" w:eastAsia="Times New Roman" w:hAnsi="Arial" w:cs="Arial"/>
                <w:lang w:eastAsia="it-IT"/>
              </w:rPr>
              <w:t>1</w:t>
            </w:r>
            <w:r w:rsidR="009F38BF" w:rsidRPr="00966346">
              <w:rPr>
                <w:rFonts w:ascii="Arial" w:eastAsia="Times New Roman" w:hAnsi="Arial" w:cs="Arial"/>
                <w:lang w:eastAsia="it-IT"/>
              </w:rPr>
              <w:t>9</w:t>
            </w:r>
          </w:p>
        </w:tc>
        <w:tc>
          <w:tcPr>
            <w:tcW w:w="1048" w:type="dxa"/>
            <w:vAlign w:val="center"/>
          </w:tcPr>
          <w:p w14:paraId="37CC374C" w14:textId="77777777" w:rsidR="00351CA0" w:rsidRPr="00966346" w:rsidRDefault="00670AE8" w:rsidP="00670AE8">
            <w:pPr>
              <w:spacing w:line="360" w:lineRule="auto"/>
              <w:jc w:val="center"/>
              <w:rPr>
                <w:rFonts w:ascii="Arial" w:eastAsia="Times New Roman" w:hAnsi="Arial" w:cs="Arial"/>
                <w:lang w:eastAsia="it-IT"/>
              </w:rPr>
            </w:pPr>
            <w:r w:rsidRPr="00966346">
              <w:rPr>
                <w:rFonts w:ascii="Arial" w:eastAsia="Times New Roman" w:hAnsi="Arial" w:cs="Arial"/>
                <w:lang w:eastAsia="it-IT"/>
              </w:rPr>
              <w:t>1</w:t>
            </w:r>
            <w:r w:rsidR="00D161B3" w:rsidRPr="00966346">
              <w:rPr>
                <w:rFonts w:ascii="Arial" w:eastAsia="Times New Roman" w:hAnsi="Arial" w:cs="Arial"/>
                <w:lang w:eastAsia="it-IT"/>
              </w:rPr>
              <w:t>·</w:t>
            </w:r>
            <w:r w:rsidRPr="00966346">
              <w:rPr>
                <w:rFonts w:ascii="Arial" w:eastAsia="Times New Roman" w:hAnsi="Arial" w:cs="Arial"/>
                <w:lang w:eastAsia="it-IT"/>
              </w:rPr>
              <w:t>14</w:t>
            </w:r>
          </w:p>
        </w:tc>
        <w:tc>
          <w:tcPr>
            <w:tcW w:w="1165" w:type="dxa"/>
            <w:vAlign w:val="center"/>
          </w:tcPr>
          <w:p w14:paraId="30722F89" w14:textId="77777777" w:rsidR="00351CA0" w:rsidRPr="00966346" w:rsidRDefault="00670AE8"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4</w:t>
            </w:r>
            <w:r w:rsidR="00D161B3" w:rsidRPr="00966346">
              <w:rPr>
                <w:rFonts w:ascii="Arial" w:eastAsia="Times New Roman" w:hAnsi="Arial" w:cs="Arial"/>
                <w:lang w:eastAsia="it-IT"/>
              </w:rPr>
              <w:t>·</w:t>
            </w:r>
            <w:r w:rsidR="009F38BF" w:rsidRPr="00966346">
              <w:rPr>
                <w:rFonts w:ascii="Arial" w:eastAsia="Times New Roman" w:hAnsi="Arial" w:cs="Arial"/>
                <w:lang w:eastAsia="it-IT"/>
              </w:rPr>
              <w:t>22</w:t>
            </w:r>
          </w:p>
        </w:tc>
        <w:tc>
          <w:tcPr>
            <w:tcW w:w="889" w:type="dxa"/>
            <w:vAlign w:val="center"/>
          </w:tcPr>
          <w:p w14:paraId="279654D7" w14:textId="77777777" w:rsidR="00351CA0" w:rsidRPr="00966346" w:rsidRDefault="00351CA0" w:rsidP="00670AE8">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Pr="00966346">
              <w:rPr>
                <w:rFonts w:ascii="Arial" w:eastAsia="Times New Roman" w:hAnsi="Arial" w:cs="Arial"/>
                <w:lang w:eastAsia="it-IT"/>
              </w:rPr>
              <w:t>0</w:t>
            </w:r>
            <w:r w:rsidR="00670AE8" w:rsidRPr="00966346">
              <w:rPr>
                <w:rFonts w:ascii="Arial" w:eastAsia="Times New Roman" w:hAnsi="Arial" w:cs="Arial"/>
                <w:lang w:eastAsia="it-IT"/>
              </w:rPr>
              <w:t>18</w:t>
            </w:r>
          </w:p>
        </w:tc>
      </w:tr>
      <w:tr w:rsidR="00351CA0" w:rsidRPr="00966346" w14:paraId="70EB4660" w14:textId="77777777" w:rsidTr="0029516F">
        <w:tc>
          <w:tcPr>
            <w:tcW w:w="2235" w:type="dxa"/>
          </w:tcPr>
          <w:p w14:paraId="66D1E5B7" w14:textId="77777777" w:rsidR="00351CA0" w:rsidRPr="00966346" w:rsidRDefault="00351CA0" w:rsidP="0029516F">
            <w:pPr>
              <w:spacing w:line="360" w:lineRule="auto"/>
              <w:rPr>
                <w:rFonts w:ascii="Arial" w:eastAsia="Times New Roman" w:hAnsi="Arial" w:cs="Arial"/>
                <w:bCs/>
                <w:lang w:eastAsia="it-IT"/>
              </w:rPr>
            </w:pPr>
            <w:r w:rsidRPr="00966346">
              <w:rPr>
                <w:rFonts w:ascii="Arial" w:eastAsia="Times New Roman" w:hAnsi="Arial" w:cs="Arial"/>
                <w:bCs/>
                <w:lang w:eastAsia="it-IT"/>
              </w:rPr>
              <w:t xml:space="preserve">Induction arm </w:t>
            </w:r>
          </w:p>
        </w:tc>
        <w:tc>
          <w:tcPr>
            <w:tcW w:w="3118" w:type="dxa"/>
          </w:tcPr>
          <w:p w14:paraId="1D668CAD" w14:textId="77777777" w:rsidR="009F38BF" w:rsidRPr="00966346" w:rsidRDefault="00351CA0" w:rsidP="0029516F">
            <w:pPr>
              <w:spacing w:line="360" w:lineRule="auto"/>
              <w:rPr>
                <w:rFonts w:ascii="Arial" w:eastAsia="Times New Roman" w:hAnsi="Arial" w:cs="Arial"/>
                <w:lang w:val="es-ES" w:eastAsia="it-IT"/>
              </w:rPr>
            </w:pPr>
            <w:r w:rsidRPr="00966346">
              <w:rPr>
                <w:rFonts w:ascii="Arial" w:eastAsia="Times New Roman" w:hAnsi="Arial" w:cs="Arial"/>
                <w:lang w:val="es-ES" w:eastAsia="it-IT"/>
              </w:rPr>
              <w:t xml:space="preserve">A vs. </w:t>
            </w:r>
            <w:r w:rsidR="009F38BF" w:rsidRPr="00966346">
              <w:rPr>
                <w:rFonts w:ascii="Arial" w:eastAsia="Times New Roman" w:hAnsi="Arial" w:cs="Arial"/>
                <w:lang w:val="es-ES" w:eastAsia="it-IT"/>
              </w:rPr>
              <w:t>C</w:t>
            </w:r>
            <w:r w:rsidRPr="00966346">
              <w:rPr>
                <w:rFonts w:ascii="Arial" w:eastAsia="Times New Roman" w:hAnsi="Arial" w:cs="Arial"/>
                <w:lang w:val="es-ES" w:eastAsia="it-IT"/>
              </w:rPr>
              <w:t xml:space="preserve"> </w:t>
            </w:r>
          </w:p>
          <w:p w14:paraId="022F919B" w14:textId="77777777" w:rsidR="00351CA0" w:rsidRPr="00966346" w:rsidRDefault="009F38BF" w:rsidP="0029516F">
            <w:pPr>
              <w:spacing w:line="360" w:lineRule="auto"/>
              <w:rPr>
                <w:rFonts w:ascii="Arial" w:eastAsia="Times New Roman" w:hAnsi="Arial" w:cs="Arial"/>
                <w:lang w:eastAsia="it-IT"/>
              </w:rPr>
            </w:pPr>
            <w:r w:rsidRPr="00966346">
              <w:rPr>
                <w:rFonts w:ascii="Arial" w:eastAsia="Times New Roman" w:hAnsi="Arial" w:cs="Arial"/>
                <w:lang w:val="es-ES" w:eastAsia="it-IT"/>
              </w:rPr>
              <w:t xml:space="preserve">B </w:t>
            </w:r>
            <w:r w:rsidR="00351CA0" w:rsidRPr="00966346">
              <w:rPr>
                <w:rFonts w:ascii="Arial" w:eastAsia="Times New Roman" w:hAnsi="Arial" w:cs="Arial"/>
                <w:lang w:val="es-ES" w:eastAsia="it-IT"/>
              </w:rPr>
              <w:t>vs. C</w:t>
            </w:r>
          </w:p>
        </w:tc>
        <w:tc>
          <w:tcPr>
            <w:tcW w:w="1047" w:type="dxa"/>
            <w:vAlign w:val="center"/>
          </w:tcPr>
          <w:p w14:paraId="75F1A918" w14:textId="77777777" w:rsidR="00351CA0" w:rsidRPr="00966346" w:rsidRDefault="00351CA0" w:rsidP="00670AE8">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009F38BF" w:rsidRPr="00966346">
              <w:rPr>
                <w:rFonts w:ascii="Arial" w:eastAsia="Times New Roman" w:hAnsi="Arial" w:cs="Arial"/>
                <w:lang w:eastAsia="it-IT"/>
              </w:rPr>
              <w:t>48</w:t>
            </w:r>
          </w:p>
          <w:p w14:paraId="52F0E9FE" w14:textId="77777777" w:rsidR="009F38BF" w:rsidRPr="00966346" w:rsidRDefault="009F38BF"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0·65</w:t>
            </w:r>
          </w:p>
        </w:tc>
        <w:tc>
          <w:tcPr>
            <w:tcW w:w="1048" w:type="dxa"/>
            <w:vAlign w:val="center"/>
          </w:tcPr>
          <w:p w14:paraId="7F4D91CE" w14:textId="77777777" w:rsidR="00351CA0" w:rsidRPr="00966346" w:rsidRDefault="00351CA0" w:rsidP="00670AE8">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009F38BF" w:rsidRPr="00966346">
              <w:rPr>
                <w:rFonts w:ascii="Arial" w:eastAsia="Times New Roman" w:hAnsi="Arial" w:cs="Arial"/>
                <w:lang w:eastAsia="it-IT"/>
              </w:rPr>
              <w:t>24</w:t>
            </w:r>
          </w:p>
          <w:p w14:paraId="5DDF988D" w14:textId="77777777" w:rsidR="009F38BF" w:rsidRPr="00966346" w:rsidRDefault="009F38BF"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0·29</w:t>
            </w:r>
          </w:p>
        </w:tc>
        <w:tc>
          <w:tcPr>
            <w:tcW w:w="1165" w:type="dxa"/>
            <w:vAlign w:val="center"/>
          </w:tcPr>
          <w:p w14:paraId="65EC37DB" w14:textId="77777777" w:rsidR="00351CA0" w:rsidRPr="00966346" w:rsidRDefault="00351CA0" w:rsidP="00670AE8">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00670AE8" w:rsidRPr="00966346">
              <w:rPr>
                <w:rFonts w:ascii="Arial" w:eastAsia="Times New Roman" w:hAnsi="Arial" w:cs="Arial"/>
                <w:lang w:eastAsia="it-IT"/>
              </w:rPr>
              <w:t>9</w:t>
            </w:r>
            <w:r w:rsidRPr="00966346">
              <w:rPr>
                <w:rFonts w:ascii="Arial" w:eastAsia="Times New Roman" w:hAnsi="Arial" w:cs="Arial"/>
                <w:lang w:eastAsia="it-IT"/>
              </w:rPr>
              <w:t>9</w:t>
            </w:r>
          </w:p>
          <w:p w14:paraId="3227B635" w14:textId="77777777" w:rsidR="009F38BF" w:rsidRPr="00966346" w:rsidRDefault="009F38BF"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1·42</w:t>
            </w:r>
          </w:p>
        </w:tc>
        <w:tc>
          <w:tcPr>
            <w:tcW w:w="889" w:type="dxa"/>
            <w:vAlign w:val="center"/>
          </w:tcPr>
          <w:p w14:paraId="3885ED71" w14:textId="77777777" w:rsidR="00351CA0" w:rsidRPr="00966346" w:rsidRDefault="00351CA0" w:rsidP="00670AE8">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Pr="00966346">
              <w:rPr>
                <w:rFonts w:ascii="Arial" w:eastAsia="Times New Roman" w:hAnsi="Arial" w:cs="Arial"/>
                <w:lang w:eastAsia="it-IT"/>
              </w:rPr>
              <w:t>0</w:t>
            </w:r>
            <w:r w:rsidR="009F38BF" w:rsidRPr="00966346">
              <w:rPr>
                <w:rFonts w:ascii="Arial" w:eastAsia="Times New Roman" w:hAnsi="Arial" w:cs="Arial"/>
                <w:lang w:eastAsia="it-IT"/>
              </w:rPr>
              <w:t>46</w:t>
            </w:r>
          </w:p>
          <w:p w14:paraId="04F2C7E5" w14:textId="77777777" w:rsidR="009F38BF" w:rsidRPr="00966346" w:rsidRDefault="009F38BF" w:rsidP="00670AE8">
            <w:pPr>
              <w:spacing w:line="360" w:lineRule="auto"/>
              <w:jc w:val="center"/>
              <w:rPr>
                <w:rFonts w:ascii="Arial" w:eastAsia="Times New Roman" w:hAnsi="Arial" w:cs="Arial"/>
                <w:lang w:eastAsia="it-IT"/>
              </w:rPr>
            </w:pPr>
            <w:r w:rsidRPr="00966346">
              <w:rPr>
                <w:rFonts w:ascii="Arial" w:eastAsia="Times New Roman" w:hAnsi="Arial" w:cs="Arial"/>
                <w:lang w:eastAsia="it-IT"/>
              </w:rPr>
              <w:t>0·282</w:t>
            </w:r>
          </w:p>
        </w:tc>
      </w:tr>
      <w:tr w:rsidR="00351CA0" w:rsidRPr="00966346" w14:paraId="16D1888C" w14:textId="77777777" w:rsidTr="0029516F">
        <w:tc>
          <w:tcPr>
            <w:tcW w:w="2235" w:type="dxa"/>
            <w:tcBorders>
              <w:bottom w:val="single" w:sz="4" w:space="0" w:color="auto"/>
            </w:tcBorders>
          </w:tcPr>
          <w:p w14:paraId="0CF7B4D5" w14:textId="77777777" w:rsidR="00351CA0" w:rsidRPr="00966346" w:rsidRDefault="00351CA0" w:rsidP="0029516F">
            <w:pPr>
              <w:spacing w:line="360" w:lineRule="auto"/>
              <w:rPr>
                <w:rFonts w:ascii="Arial" w:eastAsia="Times New Roman" w:hAnsi="Arial" w:cs="Arial"/>
                <w:bCs/>
                <w:lang w:eastAsia="it-IT"/>
              </w:rPr>
            </w:pPr>
            <w:r w:rsidRPr="00966346">
              <w:rPr>
                <w:rFonts w:ascii="Arial" w:eastAsia="Times New Roman" w:hAnsi="Arial" w:cs="Arial"/>
                <w:bCs/>
                <w:lang w:eastAsia="it-IT"/>
              </w:rPr>
              <w:t>Consolidation arm</w:t>
            </w:r>
          </w:p>
        </w:tc>
        <w:tc>
          <w:tcPr>
            <w:tcW w:w="3118" w:type="dxa"/>
            <w:tcBorders>
              <w:bottom w:val="single" w:sz="4" w:space="0" w:color="auto"/>
            </w:tcBorders>
          </w:tcPr>
          <w:p w14:paraId="15E10ED9" w14:textId="77777777" w:rsidR="00351CA0" w:rsidRPr="00966346" w:rsidRDefault="00351CA0" w:rsidP="0029516F">
            <w:pPr>
              <w:spacing w:line="360" w:lineRule="auto"/>
              <w:rPr>
                <w:rFonts w:ascii="Arial" w:eastAsia="Times New Roman" w:hAnsi="Arial" w:cs="Arial"/>
                <w:lang w:eastAsia="it-IT"/>
              </w:rPr>
            </w:pPr>
            <w:r w:rsidRPr="00966346">
              <w:rPr>
                <w:rFonts w:ascii="Arial" w:eastAsia="Times New Roman" w:hAnsi="Arial" w:cs="Arial"/>
                <w:lang w:eastAsia="it-IT"/>
              </w:rPr>
              <w:t>D vs. E</w:t>
            </w:r>
          </w:p>
        </w:tc>
        <w:tc>
          <w:tcPr>
            <w:tcW w:w="1047" w:type="dxa"/>
            <w:tcBorders>
              <w:bottom w:val="single" w:sz="4" w:space="0" w:color="auto"/>
            </w:tcBorders>
            <w:vAlign w:val="center"/>
          </w:tcPr>
          <w:p w14:paraId="76034889" w14:textId="77777777" w:rsidR="00351CA0" w:rsidRPr="00966346" w:rsidRDefault="009F38BF"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Pr="00966346">
              <w:rPr>
                <w:rFonts w:ascii="Arial" w:eastAsia="Times New Roman" w:hAnsi="Arial" w:cs="Arial"/>
                <w:lang w:eastAsia="it-IT"/>
              </w:rPr>
              <w:t>7</w:t>
            </w:r>
            <w:r w:rsidR="00670AE8" w:rsidRPr="00966346">
              <w:rPr>
                <w:rFonts w:ascii="Arial" w:eastAsia="Times New Roman" w:hAnsi="Arial" w:cs="Arial"/>
                <w:lang w:eastAsia="it-IT"/>
              </w:rPr>
              <w:t>3</w:t>
            </w:r>
          </w:p>
        </w:tc>
        <w:tc>
          <w:tcPr>
            <w:tcW w:w="1048" w:type="dxa"/>
            <w:tcBorders>
              <w:bottom w:val="single" w:sz="4" w:space="0" w:color="auto"/>
            </w:tcBorders>
            <w:vAlign w:val="center"/>
          </w:tcPr>
          <w:p w14:paraId="7702A853" w14:textId="77777777" w:rsidR="00351CA0" w:rsidRPr="00966346" w:rsidRDefault="00351CA0"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00670AE8" w:rsidRPr="00966346">
              <w:rPr>
                <w:rFonts w:ascii="Arial" w:eastAsia="Times New Roman" w:hAnsi="Arial" w:cs="Arial"/>
                <w:lang w:eastAsia="it-IT"/>
              </w:rPr>
              <w:t>4</w:t>
            </w:r>
            <w:r w:rsidR="009F38BF" w:rsidRPr="00966346">
              <w:rPr>
                <w:rFonts w:ascii="Arial" w:eastAsia="Times New Roman" w:hAnsi="Arial" w:cs="Arial"/>
                <w:lang w:eastAsia="it-IT"/>
              </w:rPr>
              <w:t>0</w:t>
            </w:r>
          </w:p>
        </w:tc>
        <w:tc>
          <w:tcPr>
            <w:tcW w:w="1165" w:type="dxa"/>
            <w:tcBorders>
              <w:bottom w:val="single" w:sz="4" w:space="0" w:color="auto"/>
            </w:tcBorders>
            <w:vAlign w:val="center"/>
          </w:tcPr>
          <w:p w14:paraId="3C008265" w14:textId="77777777" w:rsidR="00351CA0" w:rsidRPr="00966346" w:rsidRDefault="009F38BF"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1</w:t>
            </w:r>
            <w:r w:rsidR="00D161B3" w:rsidRPr="00966346">
              <w:rPr>
                <w:rFonts w:ascii="Arial" w:eastAsia="Times New Roman" w:hAnsi="Arial" w:cs="Arial"/>
                <w:lang w:eastAsia="it-IT"/>
              </w:rPr>
              <w:t>·</w:t>
            </w:r>
            <w:r w:rsidRPr="00966346">
              <w:rPr>
                <w:rFonts w:ascii="Arial" w:eastAsia="Times New Roman" w:hAnsi="Arial" w:cs="Arial"/>
                <w:lang w:eastAsia="it-IT"/>
              </w:rPr>
              <w:t>36</w:t>
            </w:r>
          </w:p>
        </w:tc>
        <w:tc>
          <w:tcPr>
            <w:tcW w:w="889" w:type="dxa"/>
            <w:tcBorders>
              <w:bottom w:val="single" w:sz="4" w:space="0" w:color="auto"/>
            </w:tcBorders>
            <w:vAlign w:val="center"/>
          </w:tcPr>
          <w:p w14:paraId="7A973B79" w14:textId="77777777" w:rsidR="00351CA0" w:rsidRPr="00966346" w:rsidRDefault="00351CA0" w:rsidP="009F38BF">
            <w:pPr>
              <w:spacing w:line="360" w:lineRule="auto"/>
              <w:jc w:val="center"/>
              <w:rPr>
                <w:rFonts w:ascii="Arial" w:eastAsia="Times New Roman" w:hAnsi="Arial" w:cs="Arial"/>
                <w:lang w:eastAsia="it-IT"/>
              </w:rPr>
            </w:pPr>
            <w:r w:rsidRPr="00966346">
              <w:rPr>
                <w:rFonts w:ascii="Arial" w:eastAsia="Times New Roman" w:hAnsi="Arial" w:cs="Arial"/>
                <w:lang w:eastAsia="it-IT"/>
              </w:rPr>
              <w:t>0</w:t>
            </w:r>
            <w:r w:rsidR="00D161B3" w:rsidRPr="00966346">
              <w:rPr>
                <w:rFonts w:ascii="Arial" w:eastAsia="Times New Roman" w:hAnsi="Arial" w:cs="Arial"/>
                <w:lang w:eastAsia="it-IT"/>
              </w:rPr>
              <w:t>·</w:t>
            </w:r>
            <w:r w:rsidR="00670AE8" w:rsidRPr="00966346">
              <w:rPr>
                <w:rFonts w:ascii="Arial" w:eastAsia="Times New Roman" w:hAnsi="Arial" w:cs="Arial"/>
                <w:lang w:eastAsia="it-IT"/>
              </w:rPr>
              <w:t>33</w:t>
            </w:r>
            <w:r w:rsidR="009F38BF" w:rsidRPr="00966346">
              <w:rPr>
                <w:rFonts w:ascii="Arial" w:eastAsia="Times New Roman" w:hAnsi="Arial" w:cs="Arial"/>
                <w:lang w:eastAsia="it-IT"/>
              </w:rPr>
              <w:t>1</w:t>
            </w:r>
          </w:p>
        </w:tc>
      </w:tr>
    </w:tbl>
    <w:p w14:paraId="7F70126F" w14:textId="77777777" w:rsidR="00351CA0" w:rsidRPr="00966346" w:rsidRDefault="00351CA0" w:rsidP="00351CA0">
      <w:pPr>
        <w:rPr>
          <w:rFonts w:ascii="Arial" w:hAnsi="Arial" w:cs="Arial"/>
          <w:sz w:val="24"/>
          <w:szCs w:val="24"/>
        </w:rPr>
      </w:pPr>
    </w:p>
    <w:p w14:paraId="098039A5" w14:textId="77777777" w:rsidR="00351CA0" w:rsidRPr="00966346" w:rsidRDefault="00351CA0" w:rsidP="00351CA0">
      <w:pPr>
        <w:spacing w:after="0" w:line="360" w:lineRule="auto"/>
        <w:rPr>
          <w:rFonts w:ascii="Arial" w:hAnsi="Arial" w:cs="Arial"/>
          <w:sz w:val="24"/>
          <w:szCs w:val="24"/>
          <w:lang w:val="en-GB"/>
        </w:rPr>
      </w:pPr>
      <w:r w:rsidRPr="00966346">
        <w:rPr>
          <w:rFonts w:ascii="Arial" w:hAnsi="Arial" w:cs="Arial"/>
          <w:sz w:val="24"/>
          <w:szCs w:val="24"/>
          <w:lang w:val="en-GB"/>
        </w:rPr>
        <w:t>PFS= progression-free survival</w:t>
      </w:r>
      <w:r w:rsidR="00FA0248" w:rsidRPr="00966346">
        <w:rPr>
          <w:rFonts w:ascii="Arial" w:hAnsi="Arial" w:cs="Arial"/>
          <w:sz w:val="24"/>
          <w:szCs w:val="24"/>
          <w:lang w:val="en-GB"/>
        </w:rPr>
        <w:t>.</w:t>
      </w:r>
    </w:p>
    <w:p w14:paraId="1730123C" w14:textId="77777777" w:rsidR="00351CA0" w:rsidRPr="00966346" w:rsidRDefault="00351CA0" w:rsidP="00351CA0">
      <w:pPr>
        <w:spacing w:after="0" w:line="360" w:lineRule="auto"/>
        <w:rPr>
          <w:rFonts w:ascii="Arial" w:hAnsi="Arial" w:cs="Arial"/>
          <w:sz w:val="24"/>
          <w:szCs w:val="24"/>
        </w:rPr>
      </w:pPr>
    </w:p>
    <w:p w14:paraId="2A38507B" w14:textId="77777777" w:rsidR="00351CA0" w:rsidRPr="00966346" w:rsidRDefault="00351CA0" w:rsidP="00351CA0">
      <w:pPr>
        <w:pBdr>
          <w:bottom w:val="single" w:sz="4" w:space="1" w:color="auto"/>
        </w:pBdr>
        <w:rPr>
          <w:rFonts w:ascii="Arial" w:hAnsi="Arial" w:cs="Arial"/>
          <w:sz w:val="32"/>
          <w:szCs w:val="24"/>
          <w:lang w:val="en-GB"/>
        </w:rPr>
      </w:pPr>
      <w:r w:rsidRPr="00966346">
        <w:rPr>
          <w:rFonts w:ascii="Arial" w:hAnsi="Arial" w:cs="Arial"/>
          <w:sz w:val="32"/>
          <w:szCs w:val="24"/>
          <w:lang w:val="en-GB"/>
        </w:rPr>
        <w:br w:type="page"/>
      </w:r>
    </w:p>
    <w:p w14:paraId="4D743980" w14:textId="77777777" w:rsidR="00A644AA" w:rsidRPr="00966346" w:rsidRDefault="00A644AA" w:rsidP="0025066A">
      <w:pPr>
        <w:pBdr>
          <w:bottom w:val="single" w:sz="4" w:space="1" w:color="auto"/>
        </w:pBdr>
        <w:spacing w:after="0" w:line="360" w:lineRule="auto"/>
        <w:jc w:val="both"/>
        <w:rPr>
          <w:rFonts w:ascii="Arial" w:hAnsi="Arial" w:cs="Arial"/>
          <w:sz w:val="24"/>
          <w:szCs w:val="24"/>
        </w:rPr>
      </w:pPr>
      <w:r w:rsidRPr="00966346">
        <w:rPr>
          <w:rFonts w:ascii="Arial" w:hAnsi="Arial" w:cs="Arial"/>
          <w:sz w:val="24"/>
          <w:szCs w:val="24"/>
        </w:rPr>
        <w:lastRenderedPageBreak/>
        <w:t xml:space="preserve">Table </w:t>
      </w:r>
      <w:r w:rsidR="00351CA0" w:rsidRPr="00966346">
        <w:rPr>
          <w:rFonts w:ascii="Arial" w:hAnsi="Arial" w:cs="Arial"/>
          <w:sz w:val="24"/>
          <w:szCs w:val="24"/>
        </w:rPr>
        <w:t>3</w:t>
      </w:r>
      <w:r w:rsidRPr="00966346">
        <w:rPr>
          <w:rFonts w:ascii="Arial" w:hAnsi="Arial" w:cs="Arial"/>
          <w:sz w:val="24"/>
          <w:szCs w:val="24"/>
        </w:rPr>
        <w:t xml:space="preserve">. Feasibility and toxicity according to consolidation therapy (per protocol) </w:t>
      </w:r>
    </w:p>
    <w:p w14:paraId="7ECED3E4" w14:textId="77777777" w:rsidR="00A644AA" w:rsidRPr="00966346" w:rsidRDefault="00A644AA" w:rsidP="0025066A">
      <w:pPr>
        <w:tabs>
          <w:tab w:val="center" w:pos="3828"/>
          <w:tab w:val="center" w:pos="7513"/>
          <w:tab w:val="center" w:pos="11907"/>
        </w:tabs>
        <w:spacing w:before="120" w:after="120" w:line="240" w:lineRule="auto"/>
        <w:rPr>
          <w:rFonts w:ascii="Times New Roman" w:hAnsi="Times New Roman" w:cs="Times New Roman"/>
          <w:sz w:val="16"/>
          <w:szCs w:val="20"/>
          <w:lang w:val="en-GB"/>
        </w:rPr>
      </w:pPr>
      <w:r w:rsidRPr="00966346">
        <w:rPr>
          <w:rFonts w:ascii="Arial" w:eastAsia="Calibri" w:hAnsi="Arial" w:cs="Arial"/>
          <w:color w:val="000000" w:themeColor="dark1"/>
          <w:kern w:val="24"/>
          <w:sz w:val="20"/>
          <w:szCs w:val="20"/>
          <w:lang w:val="en-GB" w:eastAsia="it-IT"/>
        </w:rPr>
        <w:t>Therapy</w:t>
      </w:r>
      <w:r w:rsidRPr="00966346">
        <w:rPr>
          <w:rFonts w:ascii="Arial" w:eastAsia="Calibri" w:hAnsi="Arial" w:cs="Arial"/>
          <w:color w:val="000000" w:themeColor="dark1"/>
          <w:kern w:val="24"/>
          <w:sz w:val="20"/>
          <w:szCs w:val="20"/>
          <w:lang w:val="en-GB" w:eastAsia="it-IT"/>
        </w:rPr>
        <w:tab/>
        <w:t>WBRT (n= 55)</w:t>
      </w:r>
      <w:r w:rsidRPr="00966346">
        <w:rPr>
          <w:rFonts w:ascii="Times New Roman" w:hAnsi="Times New Roman" w:cs="Times New Roman"/>
          <w:sz w:val="16"/>
          <w:szCs w:val="20"/>
          <w:lang w:val="en-GB"/>
        </w:rPr>
        <w:tab/>
      </w:r>
      <w:r w:rsidRPr="00966346">
        <w:rPr>
          <w:rFonts w:ascii="Arial" w:eastAsia="Calibri" w:hAnsi="Arial" w:cs="Arial"/>
          <w:color w:val="000000" w:themeColor="dark1"/>
          <w:kern w:val="24"/>
          <w:sz w:val="20"/>
          <w:szCs w:val="20"/>
          <w:lang w:val="en-GB" w:eastAsia="it-IT"/>
        </w:rPr>
        <w:t>ASCT (n=</w:t>
      </w:r>
      <w:r w:rsidR="0080365B" w:rsidRPr="00966346">
        <w:rPr>
          <w:rFonts w:ascii="Arial" w:eastAsia="Calibri" w:hAnsi="Arial" w:cs="Arial"/>
          <w:color w:val="000000" w:themeColor="dark1"/>
          <w:kern w:val="24"/>
          <w:sz w:val="20"/>
          <w:szCs w:val="20"/>
          <w:lang w:val="en-GB" w:eastAsia="it-IT"/>
        </w:rPr>
        <w:t>58)</w:t>
      </w:r>
      <w:r w:rsidRPr="00966346">
        <w:rPr>
          <w:rFonts w:ascii="Arial" w:eastAsia="Calibri" w:hAnsi="Arial" w:cs="Arial"/>
          <w:color w:val="000000" w:themeColor="dark1"/>
          <w:kern w:val="24"/>
          <w:sz w:val="20"/>
          <w:szCs w:val="20"/>
          <w:lang w:val="en-GB" w:eastAsia="it-IT"/>
        </w:rPr>
        <w:t xml:space="preserve"> </w:t>
      </w:r>
      <w:r w:rsidRPr="00966346">
        <w:rPr>
          <w:rFonts w:ascii="Times New Roman" w:hAnsi="Times New Roman" w:cs="Times New Roman"/>
          <w:sz w:val="16"/>
          <w:szCs w:val="20"/>
          <w:lang w:val="en-GB"/>
        </w:rPr>
        <w:tab/>
      </w:r>
      <w:r w:rsidRPr="00966346">
        <w:rPr>
          <w:rFonts w:ascii="Times New Roman" w:hAnsi="Times New Roman" w:cs="Times New Roman"/>
          <w:sz w:val="16"/>
          <w:szCs w:val="20"/>
          <w:lang w:val="en-GB"/>
        </w:rPr>
        <w:tab/>
      </w:r>
      <w:r w:rsidRPr="00966346">
        <w:rPr>
          <w:rFonts w:ascii="Times New Roman" w:hAnsi="Times New Roman" w:cs="Times New Roman"/>
          <w:sz w:val="16"/>
          <w:szCs w:val="20"/>
          <w:lang w:val="en-GB"/>
        </w:rPr>
        <w:tab/>
        <w:t xml:space="preserve"> </w:t>
      </w:r>
    </w:p>
    <w:tbl>
      <w:tblPr>
        <w:tblStyle w:val="Grigliatabella1"/>
        <w:tblW w:w="9464" w:type="dxa"/>
        <w:tblLook w:val="04A0" w:firstRow="1" w:lastRow="0" w:firstColumn="1" w:lastColumn="0" w:noHBand="0" w:noVBand="1"/>
      </w:tblPr>
      <w:tblGrid>
        <w:gridCol w:w="1951"/>
        <w:gridCol w:w="939"/>
        <w:gridCol w:w="939"/>
        <w:gridCol w:w="939"/>
        <w:gridCol w:w="939"/>
        <w:gridCol w:w="939"/>
        <w:gridCol w:w="939"/>
        <w:gridCol w:w="939"/>
        <w:gridCol w:w="940"/>
      </w:tblGrid>
      <w:tr w:rsidR="00A644AA" w:rsidRPr="00966346" w14:paraId="3FE8C854" w14:textId="77777777" w:rsidTr="00CF0E47">
        <w:trPr>
          <w:trHeight w:val="170"/>
        </w:trPr>
        <w:tc>
          <w:tcPr>
            <w:tcW w:w="1951" w:type="dxa"/>
            <w:tcBorders>
              <w:left w:val="nil"/>
              <w:bottom w:val="single" w:sz="4" w:space="0" w:color="auto"/>
              <w:right w:val="nil"/>
            </w:tcBorders>
          </w:tcPr>
          <w:p w14:paraId="5FA3BD59" w14:textId="77777777" w:rsidR="00A644AA" w:rsidRPr="00966346" w:rsidRDefault="00A644AA" w:rsidP="0025066A">
            <w:pPr>
              <w:spacing w:before="120" w:after="120"/>
              <w:rPr>
                <w:rFonts w:ascii="Arial" w:hAnsi="Arial" w:cs="Arial"/>
                <w:sz w:val="20"/>
                <w:szCs w:val="20"/>
              </w:rPr>
            </w:pPr>
            <w:r w:rsidRPr="00966346">
              <w:rPr>
                <w:rFonts w:ascii="Arial" w:hAnsi="Arial" w:cs="Arial"/>
                <w:sz w:val="20"/>
                <w:szCs w:val="20"/>
              </w:rPr>
              <w:t>Grade</w:t>
            </w:r>
          </w:p>
        </w:tc>
        <w:tc>
          <w:tcPr>
            <w:tcW w:w="939" w:type="dxa"/>
            <w:tcBorders>
              <w:left w:val="nil"/>
              <w:bottom w:val="single" w:sz="4" w:space="0" w:color="auto"/>
              <w:right w:val="nil"/>
            </w:tcBorders>
          </w:tcPr>
          <w:p w14:paraId="27A3F259" w14:textId="77777777" w:rsidR="00A644AA" w:rsidRPr="00966346" w:rsidRDefault="00A644AA" w:rsidP="0025066A">
            <w:pPr>
              <w:spacing w:before="120" w:after="120"/>
              <w:ind w:left="-107" w:right="-82"/>
              <w:jc w:val="center"/>
              <w:rPr>
                <w:rFonts w:ascii="Arial" w:hAnsi="Arial" w:cs="Arial"/>
                <w:sz w:val="20"/>
                <w:szCs w:val="20"/>
                <w:lang w:val="it-IT"/>
              </w:rPr>
            </w:pPr>
            <w:r w:rsidRPr="00966346">
              <w:rPr>
                <w:rFonts w:ascii="Arial" w:hAnsi="Arial" w:cs="Arial"/>
                <w:sz w:val="20"/>
                <w:szCs w:val="20"/>
              </w:rPr>
              <w:t>1</w:t>
            </w:r>
            <w:r w:rsidRPr="00966346">
              <w:rPr>
                <w:rFonts w:ascii="Arial" w:hAnsi="Arial" w:cs="Arial"/>
                <w:sz w:val="20"/>
                <w:szCs w:val="20"/>
                <w:lang w:val="it-IT"/>
              </w:rPr>
              <w:t>-2</w:t>
            </w:r>
          </w:p>
        </w:tc>
        <w:tc>
          <w:tcPr>
            <w:tcW w:w="939" w:type="dxa"/>
            <w:tcBorders>
              <w:left w:val="nil"/>
              <w:bottom w:val="single" w:sz="4" w:space="0" w:color="auto"/>
              <w:right w:val="nil"/>
            </w:tcBorders>
          </w:tcPr>
          <w:p w14:paraId="57951334" w14:textId="77777777" w:rsidR="00A644AA" w:rsidRPr="00966346" w:rsidRDefault="00A644AA" w:rsidP="0025066A">
            <w:pPr>
              <w:spacing w:before="120" w:after="120"/>
              <w:ind w:left="-107" w:right="-82"/>
              <w:jc w:val="center"/>
              <w:rPr>
                <w:rFonts w:ascii="Arial" w:hAnsi="Arial" w:cs="Arial"/>
                <w:sz w:val="20"/>
                <w:szCs w:val="20"/>
              </w:rPr>
            </w:pPr>
            <w:r w:rsidRPr="00966346">
              <w:rPr>
                <w:rFonts w:ascii="Arial" w:hAnsi="Arial" w:cs="Arial"/>
                <w:sz w:val="20"/>
                <w:szCs w:val="20"/>
              </w:rPr>
              <w:t>3</w:t>
            </w:r>
          </w:p>
        </w:tc>
        <w:tc>
          <w:tcPr>
            <w:tcW w:w="939" w:type="dxa"/>
            <w:tcBorders>
              <w:left w:val="nil"/>
              <w:bottom w:val="single" w:sz="4" w:space="0" w:color="auto"/>
              <w:right w:val="nil"/>
            </w:tcBorders>
          </w:tcPr>
          <w:p w14:paraId="0D0E87B0" w14:textId="77777777" w:rsidR="00A644AA" w:rsidRPr="00966346" w:rsidRDefault="00A644AA" w:rsidP="0025066A">
            <w:pPr>
              <w:spacing w:before="120" w:after="120"/>
              <w:ind w:left="-107" w:right="-82"/>
              <w:jc w:val="center"/>
              <w:rPr>
                <w:rFonts w:ascii="Arial" w:hAnsi="Arial" w:cs="Arial"/>
                <w:sz w:val="20"/>
                <w:szCs w:val="20"/>
              </w:rPr>
            </w:pPr>
            <w:r w:rsidRPr="00966346">
              <w:rPr>
                <w:rFonts w:ascii="Arial" w:hAnsi="Arial" w:cs="Arial"/>
                <w:sz w:val="20"/>
                <w:szCs w:val="20"/>
              </w:rPr>
              <w:t>4</w:t>
            </w:r>
          </w:p>
        </w:tc>
        <w:tc>
          <w:tcPr>
            <w:tcW w:w="939" w:type="dxa"/>
            <w:tcBorders>
              <w:left w:val="nil"/>
              <w:bottom w:val="single" w:sz="4" w:space="0" w:color="auto"/>
              <w:right w:val="nil"/>
            </w:tcBorders>
          </w:tcPr>
          <w:p w14:paraId="01781D98" w14:textId="77777777" w:rsidR="00A644AA" w:rsidRPr="00966346" w:rsidRDefault="00A644AA" w:rsidP="0025066A">
            <w:pPr>
              <w:spacing w:before="120" w:after="120"/>
              <w:ind w:left="-107" w:right="-82"/>
              <w:jc w:val="center"/>
              <w:rPr>
                <w:rFonts w:ascii="Arial" w:hAnsi="Arial" w:cs="Arial"/>
                <w:sz w:val="20"/>
                <w:szCs w:val="20"/>
              </w:rPr>
            </w:pPr>
            <w:r w:rsidRPr="00966346">
              <w:rPr>
                <w:rFonts w:ascii="Arial" w:hAnsi="Arial" w:cs="Arial"/>
                <w:sz w:val="20"/>
                <w:szCs w:val="20"/>
              </w:rPr>
              <w:t>5</w:t>
            </w:r>
          </w:p>
        </w:tc>
        <w:tc>
          <w:tcPr>
            <w:tcW w:w="939" w:type="dxa"/>
            <w:tcBorders>
              <w:left w:val="nil"/>
              <w:bottom w:val="single" w:sz="4" w:space="0" w:color="auto"/>
              <w:right w:val="nil"/>
            </w:tcBorders>
          </w:tcPr>
          <w:p w14:paraId="7813FB99" w14:textId="77777777" w:rsidR="00A644AA" w:rsidRPr="00966346" w:rsidRDefault="00A644AA" w:rsidP="0025066A">
            <w:pPr>
              <w:spacing w:before="120" w:after="120"/>
              <w:ind w:left="-107" w:right="-82"/>
              <w:jc w:val="center"/>
              <w:rPr>
                <w:rFonts w:ascii="Arial" w:hAnsi="Arial" w:cs="Arial"/>
                <w:sz w:val="20"/>
                <w:szCs w:val="20"/>
              </w:rPr>
            </w:pPr>
            <w:r w:rsidRPr="00966346">
              <w:rPr>
                <w:rFonts w:ascii="Arial" w:hAnsi="Arial" w:cs="Arial"/>
                <w:sz w:val="20"/>
                <w:szCs w:val="20"/>
              </w:rPr>
              <w:t>1-2</w:t>
            </w:r>
          </w:p>
        </w:tc>
        <w:tc>
          <w:tcPr>
            <w:tcW w:w="939" w:type="dxa"/>
            <w:tcBorders>
              <w:left w:val="nil"/>
              <w:bottom w:val="single" w:sz="4" w:space="0" w:color="auto"/>
              <w:right w:val="nil"/>
            </w:tcBorders>
          </w:tcPr>
          <w:p w14:paraId="31A8234E" w14:textId="77777777" w:rsidR="00A644AA" w:rsidRPr="00966346" w:rsidRDefault="00A644AA" w:rsidP="0025066A">
            <w:pPr>
              <w:spacing w:before="120" w:after="120"/>
              <w:ind w:left="-107" w:right="-82"/>
              <w:jc w:val="center"/>
              <w:rPr>
                <w:rFonts w:ascii="Arial" w:hAnsi="Arial" w:cs="Arial"/>
                <w:sz w:val="20"/>
                <w:szCs w:val="20"/>
              </w:rPr>
            </w:pPr>
            <w:r w:rsidRPr="00966346">
              <w:rPr>
                <w:rFonts w:ascii="Arial" w:hAnsi="Arial" w:cs="Arial"/>
                <w:sz w:val="20"/>
                <w:szCs w:val="20"/>
              </w:rPr>
              <w:t>3</w:t>
            </w:r>
          </w:p>
        </w:tc>
        <w:tc>
          <w:tcPr>
            <w:tcW w:w="939" w:type="dxa"/>
            <w:tcBorders>
              <w:left w:val="nil"/>
              <w:bottom w:val="single" w:sz="4" w:space="0" w:color="auto"/>
              <w:right w:val="nil"/>
            </w:tcBorders>
          </w:tcPr>
          <w:p w14:paraId="1A5F3CFB" w14:textId="77777777" w:rsidR="00A644AA" w:rsidRPr="00966346" w:rsidRDefault="00A644AA" w:rsidP="0025066A">
            <w:pPr>
              <w:spacing w:before="120" w:after="120"/>
              <w:ind w:left="-107" w:right="-82"/>
              <w:jc w:val="center"/>
              <w:rPr>
                <w:rFonts w:ascii="Arial" w:hAnsi="Arial" w:cs="Arial"/>
                <w:sz w:val="20"/>
                <w:szCs w:val="20"/>
              </w:rPr>
            </w:pPr>
            <w:r w:rsidRPr="00966346">
              <w:rPr>
                <w:rFonts w:ascii="Arial" w:hAnsi="Arial" w:cs="Arial"/>
                <w:sz w:val="20"/>
                <w:szCs w:val="20"/>
              </w:rPr>
              <w:t>4</w:t>
            </w:r>
          </w:p>
        </w:tc>
        <w:tc>
          <w:tcPr>
            <w:tcW w:w="940" w:type="dxa"/>
            <w:tcBorders>
              <w:left w:val="nil"/>
              <w:bottom w:val="single" w:sz="4" w:space="0" w:color="auto"/>
              <w:right w:val="nil"/>
            </w:tcBorders>
          </w:tcPr>
          <w:p w14:paraId="52B33443" w14:textId="77777777" w:rsidR="00A644AA" w:rsidRPr="00966346" w:rsidRDefault="00A644AA" w:rsidP="0025066A">
            <w:pPr>
              <w:spacing w:before="120" w:after="120"/>
              <w:ind w:left="-107" w:right="-82"/>
              <w:jc w:val="center"/>
              <w:rPr>
                <w:rFonts w:ascii="Arial" w:hAnsi="Arial" w:cs="Arial"/>
                <w:sz w:val="20"/>
                <w:szCs w:val="20"/>
              </w:rPr>
            </w:pPr>
            <w:r w:rsidRPr="00966346">
              <w:rPr>
                <w:rFonts w:ascii="Arial" w:hAnsi="Arial" w:cs="Arial"/>
                <w:sz w:val="20"/>
                <w:szCs w:val="20"/>
              </w:rPr>
              <w:t>5</w:t>
            </w:r>
          </w:p>
        </w:tc>
      </w:tr>
      <w:tr w:rsidR="00A644AA" w:rsidRPr="00966346" w14:paraId="1845D0A3" w14:textId="77777777" w:rsidTr="0025066A">
        <w:trPr>
          <w:trHeight w:val="170"/>
        </w:trPr>
        <w:tc>
          <w:tcPr>
            <w:tcW w:w="1951" w:type="dxa"/>
            <w:tcBorders>
              <w:top w:val="single" w:sz="4" w:space="0" w:color="auto"/>
              <w:left w:val="nil"/>
              <w:bottom w:val="nil"/>
              <w:right w:val="nil"/>
            </w:tcBorders>
          </w:tcPr>
          <w:p w14:paraId="605A1E1F" w14:textId="77777777" w:rsidR="00A644AA" w:rsidRPr="00966346" w:rsidRDefault="00A644AA" w:rsidP="0025066A">
            <w:pPr>
              <w:spacing w:before="120" w:line="360" w:lineRule="auto"/>
              <w:jc w:val="both"/>
              <w:rPr>
                <w:rFonts w:ascii="Arial" w:hAnsi="Arial" w:cs="Arial"/>
                <w:sz w:val="20"/>
                <w:szCs w:val="20"/>
              </w:rPr>
            </w:pPr>
            <w:r w:rsidRPr="00966346">
              <w:rPr>
                <w:rFonts w:ascii="Arial" w:eastAsia="Calibri" w:hAnsi="Arial" w:cs="Arial"/>
                <w:color w:val="000000" w:themeColor="dark1"/>
                <w:kern w:val="24"/>
                <w:sz w:val="20"/>
                <w:szCs w:val="20"/>
                <w:lang w:val="en-GB" w:eastAsia="it-IT"/>
              </w:rPr>
              <w:t>Neutropenia</w:t>
            </w:r>
          </w:p>
        </w:tc>
        <w:tc>
          <w:tcPr>
            <w:tcW w:w="939" w:type="dxa"/>
            <w:tcBorders>
              <w:top w:val="single" w:sz="4" w:space="0" w:color="auto"/>
              <w:left w:val="nil"/>
              <w:bottom w:val="nil"/>
              <w:right w:val="nil"/>
            </w:tcBorders>
          </w:tcPr>
          <w:p w14:paraId="7C4282C5" w14:textId="77777777" w:rsidR="00A644AA" w:rsidRPr="00966346" w:rsidRDefault="00D46B16" w:rsidP="0025066A">
            <w:pPr>
              <w:spacing w:before="120" w:line="360" w:lineRule="auto"/>
              <w:ind w:left="-107" w:right="-82"/>
              <w:jc w:val="center"/>
              <w:rPr>
                <w:rFonts w:ascii="Arial" w:hAnsi="Arial" w:cs="Arial"/>
                <w:sz w:val="20"/>
                <w:szCs w:val="20"/>
              </w:rPr>
            </w:pPr>
            <w:r w:rsidRPr="00966346">
              <w:rPr>
                <w:rFonts w:ascii="Arial" w:hAnsi="Arial" w:cs="Arial"/>
                <w:sz w:val="20"/>
                <w:szCs w:val="20"/>
              </w:rPr>
              <w:t>3 (  5%)</w:t>
            </w:r>
          </w:p>
        </w:tc>
        <w:tc>
          <w:tcPr>
            <w:tcW w:w="939" w:type="dxa"/>
            <w:tcBorders>
              <w:top w:val="single" w:sz="4" w:space="0" w:color="auto"/>
              <w:left w:val="nil"/>
              <w:bottom w:val="nil"/>
              <w:right w:val="nil"/>
            </w:tcBorders>
          </w:tcPr>
          <w:p w14:paraId="1E9FB4E8" w14:textId="77777777" w:rsidR="00A644AA" w:rsidRPr="00966346" w:rsidRDefault="00A644AA" w:rsidP="0025066A">
            <w:pPr>
              <w:spacing w:before="120"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1 (</w:t>
            </w:r>
            <w:r w:rsidR="00CF0E47" w:rsidRPr="00966346">
              <w:rPr>
                <w:rFonts w:ascii="Arial" w:eastAsia="Calibri" w:hAnsi="Arial" w:cs="Arial"/>
                <w:color w:val="000000" w:themeColor="dark1"/>
                <w:kern w:val="24"/>
                <w:sz w:val="20"/>
                <w:szCs w:val="20"/>
                <w:lang w:val="en-GB" w:eastAsia="it-IT"/>
              </w:rPr>
              <w:t>2</w:t>
            </w:r>
            <w:r w:rsidRPr="00966346">
              <w:rPr>
                <w:rFonts w:ascii="Arial" w:eastAsia="Calibri" w:hAnsi="Arial" w:cs="Arial"/>
                <w:color w:val="000000" w:themeColor="dark1"/>
                <w:kern w:val="24"/>
                <w:sz w:val="20"/>
                <w:szCs w:val="20"/>
                <w:lang w:val="en-GB" w:eastAsia="it-IT"/>
              </w:rPr>
              <w:t>%)</w:t>
            </w:r>
          </w:p>
        </w:tc>
        <w:tc>
          <w:tcPr>
            <w:tcW w:w="939" w:type="dxa"/>
            <w:tcBorders>
              <w:top w:val="single" w:sz="4" w:space="0" w:color="auto"/>
              <w:left w:val="nil"/>
              <w:bottom w:val="nil"/>
              <w:right w:val="nil"/>
            </w:tcBorders>
          </w:tcPr>
          <w:p w14:paraId="6FEBED23" w14:textId="77777777" w:rsidR="00A644AA" w:rsidRPr="00966346" w:rsidRDefault="00CF0E47" w:rsidP="0025066A">
            <w:pPr>
              <w:spacing w:before="120"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3</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5</w:t>
            </w:r>
            <w:r w:rsidR="00A644AA" w:rsidRPr="00966346">
              <w:rPr>
                <w:rFonts w:ascii="Arial" w:eastAsia="Calibri" w:hAnsi="Arial" w:cs="Arial"/>
                <w:color w:val="000000" w:themeColor="dark1"/>
                <w:kern w:val="24"/>
                <w:sz w:val="20"/>
                <w:szCs w:val="20"/>
                <w:lang w:val="en-GB" w:eastAsia="it-IT"/>
              </w:rPr>
              <w:t>%)</w:t>
            </w:r>
          </w:p>
        </w:tc>
        <w:tc>
          <w:tcPr>
            <w:tcW w:w="939" w:type="dxa"/>
            <w:tcBorders>
              <w:top w:val="single" w:sz="4" w:space="0" w:color="auto"/>
              <w:left w:val="nil"/>
              <w:bottom w:val="nil"/>
              <w:right w:val="nil"/>
            </w:tcBorders>
          </w:tcPr>
          <w:p w14:paraId="48F55525" w14:textId="77777777" w:rsidR="00A644AA" w:rsidRPr="00966346" w:rsidRDefault="00A644AA" w:rsidP="0025066A">
            <w:pPr>
              <w:spacing w:before="120"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single" w:sz="4" w:space="0" w:color="auto"/>
              <w:left w:val="nil"/>
              <w:bottom w:val="nil"/>
              <w:right w:val="nil"/>
            </w:tcBorders>
          </w:tcPr>
          <w:p w14:paraId="06D048FB" w14:textId="77777777" w:rsidR="00A644AA" w:rsidRPr="00966346" w:rsidRDefault="00E631EE" w:rsidP="0025066A">
            <w:pPr>
              <w:spacing w:before="120" w:line="360" w:lineRule="auto"/>
              <w:ind w:left="-107" w:right="-82"/>
              <w:jc w:val="center"/>
              <w:rPr>
                <w:rFonts w:ascii="Arial" w:hAnsi="Arial" w:cs="Arial"/>
                <w:sz w:val="20"/>
                <w:szCs w:val="20"/>
              </w:rPr>
            </w:pPr>
            <w:r w:rsidRPr="00966346">
              <w:rPr>
                <w:rFonts w:ascii="Arial" w:hAnsi="Arial" w:cs="Arial"/>
                <w:sz w:val="20"/>
                <w:szCs w:val="20"/>
              </w:rPr>
              <w:t xml:space="preserve">  2 (  3%)</w:t>
            </w:r>
          </w:p>
        </w:tc>
        <w:tc>
          <w:tcPr>
            <w:tcW w:w="939" w:type="dxa"/>
            <w:tcBorders>
              <w:top w:val="single" w:sz="4" w:space="0" w:color="auto"/>
              <w:left w:val="nil"/>
              <w:bottom w:val="nil"/>
              <w:right w:val="nil"/>
            </w:tcBorders>
          </w:tcPr>
          <w:p w14:paraId="7F8C852B" w14:textId="77777777" w:rsidR="00A644AA" w:rsidRPr="00966346" w:rsidRDefault="00CF0E47" w:rsidP="00BA742F">
            <w:pPr>
              <w:spacing w:before="120"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 xml:space="preserve">  </w:t>
            </w:r>
            <w:r w:rsidR="00BA742F" w:rsidRPr="00966346">
              <w:rPr>
                <w:rFonts w:ascii="Arial" w:eastAsia="Calibri" w:hAnsi="Arial" w:cs="Arial"/>
                <w:color w:val="000000" w:themeColor="dark1"/>
                <w:kern w:val="24"/>
                <w:sz w:val="20"/>
                <w:szCs w:val="20"/>
                <w:lang w:val="en-GB" w:eastAsia="it-IT"/>
              </w:rPr>
              <w:t>5</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 xml:space="preserve">  </w:t>
            </w:r>
            <w:r w:rsidR="00BA742F" w:rsidRPr="00966346">
              <w:rPr>
                <w:rFonts w:ascii="Arial" w:eastAsia="Calibri" w:hAnsi="Arial" w:cs="Arial"/>
                <w:color w:val="000000" w:themeColor="dark1"/>
                <w:kern w:val="24"/>
                <w:sz w:val="20"/>
                <w:szCs w:val="20"/>
                <w:lang w:val="en-GB" w:eastAsia="it-IT"/>
              </w:rPr>
              <w:t>9</w:t>
            </w:r>
            <w:r w:rsidR="00A644AA" w:rsidRPr="00966346">
              <w:rPr>
                <w:rFonts w:ascii="Arial" w:eastAsia="Calibri" w:hAnsi="Arial" w:cs="Arial"/>
                <w:color w:val="000000" w:themeColor="dark1"/>
                <w:kern w:val="24"/>
                <w:sz w:val="20"/>
                <w:szCs w:val="20"/>
                <w:lang w:val="en-GB" w:eastAsia="it-IT"/>
              </w:rPr>
              <w:t>%)</w:t>
            </w:r>
          </w:p>
        </w:tc>
        <w:tc>
          <w:tcPr>
            <w:tcW w:w="939" w:type="dxa"/>
            <w:tcBorders>
              <w:top w:val="single" w:sz="4" w:space="0" w:color="auto"/>
              <w:left w:val="nil"/>
              <w:bottom w:val="nil"/>
              <w:right w:val="nil"/>
            </w:tcBorders>
          </w:tcPr>
          <w:p w14:paraId="4CDDC778" w14:textId="77777777" w:rsidR="00A644AA" w:rsidRPr="00966346" w:rsidRDefault="00BA742F" w:rsidP="00BA742F">
            <w:pPr>
              <w:spacing w:before="120"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5</w:t>
            </w:r>
            <w:r w:rsidR="00CF0E47" w:rsidRPr="00966346">
              <w:rPr>
                <w:rFonts w:ascii="Arial" w:eastAsia="Calibri" w:hAnsi="Arial" w:cs="Arial"/>
                <w:color w:val="000000" w:themeColor="dark1"/>
                <w:kern w:val="24"/>
                <w:sz w:val="20"/>
                <w:szCs w:val="20"/>
                <w:lang w:val="en-GB" w:eastAsia="it-IT"/>
              </w:rPr>
              <w:t>1</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88</w:t>
            </w:r>
            <w:r w:rsidR="00A644AA" w:rsidRPr="00966346">
              <w:rPr>
                <w:rFonts w:ascii="Arial" w:eastAsia="Calibri" w:hAnsi="Arial" w:cs="Arial"/>
                <w:color w:val="000000" w:themeColor="dark1"/>
                <w:kern w:val="24"/>
                <w:sz w:val="20"/>
                <w:szCs w:val="20"/>
                <w:lang w:val="en-GB" w:eastAsia="it-IT"/>
              </w:rPr>
              <w:t>%)</w:t>
            </w:r>
          </w:p>
        </w:tc>
        <w:tc>
          <w:tcPr>
            <w:tcW w:w="940" w:type="dxa"/>
            <w:tcBorders>
              <w:top w:val="single" w:sz="4" w:space="0" w:color="auto"/>
              <w:left w:val="nil"/>
              <w:bottom w:val="nil"/>
              <w:right w:val="nil"/>
            </w:tcBorders>
          </w:tcPr>
          <w:p w14:paraId="733A2261" w14:textId="77777777" w:rsidR="00A644AA" w:rsidRPr="00966346" w:rsidRDefault="00A644AA" w:rsidP="0025066A">
            <w:pPr>
              <w:spacing w:before="120"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r>
      <w:tr w:rsidR="00A644AA" w:rsidRPr="00966346" w14:paraId="118A330D" w14:textId="77777777" w:rsidTr="0025066A">
        <w:trPr>
          <w:trHeight w:val="170"/>
        </w:trPr>
        <w:tc>
          <w:tcPr>
            <w:tcW w:w="1951" w:type="dxa"/>
            <w:tcBorders>
              <w:top w:val="nil"/>
              <w:left w:val="nil"/>
              <w:bottom w:val="nil"/>
              <w:right w:val="nil"/>
            </w:tcBorders>
          </w:tcPr>
          <w:p w14:paraId="4961B82F" w14:textId="77777777" w:rsidR="00A644AA" w:rsidRPr="00966346" w:rsidRDefault="00A644AA" w:rsidP="0025066A">
            <w:pPr>
              <w:spacing w:line="360" w:lineRule="auto"/>
              <w:jc w:val="both"/>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Thrombocytopenia</w:t>
            </w:r>
          </w:p>
        </w:tc>
        <w:tc>
          <w:tcPr>
            <w:tcW w:w="939" w:type="dxa"/>
            <w:tcBorders>
              <w:top w:val="nil"/>
              <w:left w:val="nil"/>
              <w:bottom w:val="nil"/>
              <w:right w:val="nil"/>
            </w:tcBorders>
          </w:tcPr>
          <w:p w14:paraId="44E3BB0A" w14:textId="77777777" w:rsidR="00A644AA" w:rsidRPr="00966346" w:rsidRDefault="00E631EE"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  0%)</w:t>
            </w:r>
          </w:p>
        </w:tc>
        <w:tc>
          <w:tcPr>
            <w:tcW w:w="939" w:type="dxa"/>
            <w:tcBorders>
              <w:top w:val="nil"/>
              <w:left w:val="nil"/>
              <w:bottom w:val="nil"/>
              <w:right w:val="nil"/>
            </w:tcBorders>
          </w:tcPr>
          <w:p w14:paraId="6F8B51E9" w14:textId="77777777" w:rsidR="00A644AA" w:rsidRPr="00966346" w:rsidRDefault="00CF0E47"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1</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2</w:t>
            </w:r>
            <w:r w:rsidR="00A644AA"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4ED24B55" w14:textId="77777777" w:rsidR="00A644AA" w:rsidRPr="00966346" w:rsidRDefault="00A644AA"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1 (2%)</w:t>
            </w:r>
          </w:p>
        </w:tc>
        <w:tc>
          <w:tcPr>
            <w:tcW w:w="939" w:type="dxa"/>
            <w:tcBorders>
              <w:top w:val="nil"/>
              <w:left w:val="nil"/>
              <w:bottom w:val="nil"/>
              <w:right w:val="nil"/>
            </w:tcBorders>
          </w:tcPr>
          <w:p w14:paraId="74A0E719" w14:textId="77777777" w:rsidR="00A644AA" w:rsidRPr="00966346" w:rsidRDefault="00A644AA"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5BCEA783" w14:textId="77777777" w:rsidR="00A644AA" w:rsidRPr="00966346" w:rsidRDefault="00E631EE" w:rsidP="00BA742F">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w:t>
            </w:r>
            <w:r w:rsidR="00BA742F" w:rsidRPr="00966346">
              <w:rPr>
                <w:rFonts w:ascii="Arial" w:eastAsia="Calibri" w:hAnsi="Arial" w:cs="Arial"/>
                <w:color w:val="000000" w:themeColor="dark1"/>
                <w:kern w:val="24"/>
                <w:sz w:val="20"/>
                <w:szCs w:val="20"/>
                <w:lang w:val="en-GB" w:eastAsia="it-IT"/>
              </w:rPr>
              <w:t>2</w:t>
            </w:r>
            <w:r w:rsidRPr="00966346">
              <w:rPr>
                <w:rFonts w:ascii="Arial" w:eastAsia="Calibri" w:hAnsi="Arial" w:cs="Arial"/>
                <w:color w:val="000000" w:themeColor="dark1"/>
                <w:kern w:val="24"/>
                <w:sz w:val="20"/>
                <w:szCs w:val="20"/>
                <w:lang w:val="en-GB" w:eastAsia="it-IT"/>
              </w:rPr>
              <w:t xml:space="preserve"> (  </w:t>
            </w:r>
            <w:r w:rsidR="00BA742F" w:rsidRPr="00966346">
              <w:rPr>
                <w:rFonts w:ascii="Arial" w:eastAsia="Calibri" w:hAnsi="Arial" w:cs="Arial"/>
                <w:color w:val="000000" w:themeColor="dark1"/>
                <w:kern w:val="24"/>
                <w:sz w:val="20"/>
                <w:szCs w:val="20"/>
                <w:lang w:val="en-GB" w:eastAsia="it-IT"/>
              </w:rPr>
              <w:t>3</w:t>
            </w:r>
            <w:r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21FD2921" w14:textId="77777777" w:rsidR="00A644AA" w:rsidRPr="00966346" w:rsidRDefault="00CF0E47" w:rsidP="00BA742F">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w:t>
            </w:r>
            <w:r w:rsidR="00BA742F" w:rsidRPr="00966346">
              <w:rPr>
                <w:rFonts w:ascii="Arial" w:eastAsia="Calibri" w:hAnsi="Arial" w:cs="Arial"/>
                <w:color w:val="000000" w:themeColor="dark1"/>
                <w:kern w:val="24"/>
                <w:sz w:val="20"/>
                <w:szCs w:val="20"/>
                <w:lang w:val="en-GB" w:eastAsia="it-IT"/>
              </w:rPr>
              <w:t>4</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 xml:space="preserve">  </w:t>
            </w:r>
            <w:r w:rsidR="00BA742F" w:rsidRPr="00966346">
              <w:rPr>
                <w:rFonts w:ascii="Arial" w:eastAsia="Calibri" w:hAnsi="Arial" w:cs="Arial"/>
                <w:color w:val="000000" w:themeColor="dark1"/>
                <w:kern w:val="24"/>
                <w:sz w:val="20"/>
                <w:szCs w:val="20"/>
                <w:lang w:val="en-GB" w:eastAsia="it-IT"/>
              </w:rPr>
              <w:t>7</w:t>
            </w:r>
            <w:r w:rsidR="00A644AA"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081F96FB" w14:textId="77777777" w:rsidR="00A644AA" w:rsidRPr="00966346" w:rsidRDefault="00BA742F" w:rsidP="00BA742F">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5</w:t>
            </w:r>
            <w:r w:rsidR="00CF0E47" w:rsidRPr="00966346">
              <w:rPr>
                <w:rFonts w:ascii="Arial" w:eastAsia="Calibri" w:hAnsi="Arial" w:cs="Arial"/>
                <w:color w:val="000000" w:themeColor="dark1"/>
                <w:kern w:val="24"/>
                <w:sz w:val="20"/>
                <w:szCs w:val="20"/>
                <w:lang w:val="en-GB" w:eastAsia="it-IT"/>
              </w:rPr>
              <w:t>2</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90</w:t>
            </w:r>
            <w:r w:rsidR="00A644AA" w:rsidRPr="00966346">
              <w:rPr>
                <w:rFonts w:ascii="Arial" w:eastAsia="Calibri" w:hAnsi="Arial" w:cs="Arial"/>
                <w:color w:val="000000" w:themeColor="dark1"/>
                <w:kern w:val="24"/>
                <w:sz w:val="20"/>
                <w:szCs w:val="20"/>
                <w:lang w:val="en-GB" w:eastAsia="it-IT"/>
              </w:rPr>
              <w:t>%)</w:t>
            </w:r>
          </w:p>
        </w:tc>
        <w:tc>
          <w:tcPr>
            <w:tcW w:w="940" w:type="dxa"/>
            <w:tcBorders>
              <w:top w:val="nil"/>
              <w:left w:val="nil"/>
              <w:bottom w:val="nil"/>
              <w:right w:val="nil"/>
            </w:tcBorders>
          </w:tcPr>
          <w:p w14:paraId="3EEFD34E" w14:textId="77777777" w:rsidR="00A644AA" w:rsidRPr="00966346" w:rsidRDefault="00A644AA"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r>
      <w:tr w:rsidR="00A644AA" w:rsidRPr="00966346" w14:paraId="7DEEF872" w14:textId="77777777" w:rsidTr="00CF0E47">
        <w:trPr>
          <w:trHeight w:val="170"/>
        </w:trPr>
        <w:tc>
          <w:tcPr>
            <w:tcW w:w="1951" w:type="dxa"/>
            <w:tcBorders>
              <w:top w:val="nil"/>
              <w:left w:val="nil"/>
              <w:bottom w:val="nil"/>
              <w:right w:val="nil"/>
            </w:tcBorders>
          </w:tcPr>
          <w:p w14:paraId="7DD539C8" w14:textId="77777777" w:rsidR="00A644AA" w:rsidRPr="00966346" w:rsidRDefault="00A644AA" w:rsidP="0025066A">
            <w:pPr>
              <w:spacing w:line="360" w:lineRule="auto"/>
              <w:jc w:val="both"/>
              <w:rPr>
                <w:rFonts w:ascii="Arial" w:hAnsi="Arial" w:cs="Arial"/>
                <w:sz w:val="20"/>
                <w:szCs w:val="20"/>
              </w:rPr>
            </w:pPr>
            <w:r w:rsidRPr="00966346">
              <w:rPr>
                <w:rFonts w:ascii="Arial" w:eastAsia="Calibri" w:hAnsi="Arial" w:cs="Arial"/>
                <w:color w:val="000000" w:themeColor="dark1"/>
                <w:kern w:val="24"/>
                <w:sz w:val="20"/>
                <w:szCs w:val="20"/>
                <w:lang w:val="en-GB" w:eastAsia="it-IT"/>
              </w:rPr>
              <w:t>Anaemia</w:t>
            </w:r>
          </w:p>
        </w:tc>
        <w:tc>
          <w:tcPr>
            <w:tcW w:w="939" w:type="dxa"/>
            <w:tcBorders>
              <w:top w:val="nil"/>
              <w:left w:val="nil"/>
              <w:bottom w:val="nil"/>
              <w:right w:val="nil"/>
            </w:tcBorders>
          </w:tcPr>
          <w:p w14:paraId="7816B978" w14:textId="77777777" w:rsidR="00A644AA" w:rsidRPr="00966346" w:rsidRDefault="00D46B16" w:rsidP="0025066A">
            <w:pPr>
              <w:spacing w:line="360" w:lineRule="auto"/>
              <w:ind w:left="-107" w:right="-82"/>
              <w:jc w:val="center"/>
              <w:rPr>
                <w:rFonts w:ascii="Arial" w:hAnsi="Arial" w:cs="Arial"/>
                <w:sz w:val="20"/>
                <w:szCs w:val="20"/>
              </w:rPr>
            </w:pPr>
            <w:r w:rsidRPr="00966346">
              <w:rPr>
                <w:rFonts w:ascii="Arial" w:hAnsi="Arial" w:cs="Arial"/>
                <w:sz w:val="20"/>
                <w:szCs w:val="20"/>
              </w:rPr>
              <w:t>7 (13%)</w:t>
            </w:r>
          </w:p>
        </w:tc>
        <w:tc>
          <w:tcPr>
            <w:tcW w:w="939" w:type="dxa"/>
            <w:tcBorders>
              <w:top w:val="nil"/>
              <w:left w:val="nil"/>
              <w:bottom w:val="nil"/>
              <w:right w:val="nil"/>
            </w:tcBorders>
          </w:tcPr>
          <w:p w14:paraId="1AD62EB3" w14:textId="77777777" w:rsidR="00A644AA" w:rsidRPr="00966346" w:rsidRDefault="00CF0E47" w:rsidP="0025066A">
            <w:pPr>
              <w:spacing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2</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4</w:t>
            </w:r>
            <w:r w:rsidR="00A644AA"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25CA577B" w14:textId="77777777" w:rsidR="00A644AA" w:rsidRPr="00966346" w:rsidRDefault="00CF0E47" w:rsidP="0025066A">
            <w:pPr>
              <w:spacing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0</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0</w:t>
            </w:r>
            <w:r w:rsidR="00A644AA"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5E8AC3FA" w14:textId="77777777" w:rsidR="00A644AA" w:rsidRPr="00966346" w:rsidRDefault="00A644AA"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0C8D33CD" w14:textId="77777777" w:rsidR="00A644AA" w:rsidRPr="00966346" w:rsidRDefault="00E631EE" w:rsidP="0025066A">
            <w:pPr>
              <w:spacing w:line="360" w:lineRule="auto"/>
              <w:ind w:left="-107" w:right="-82"/>
              <w:jc w:val="center"/>
              <w:rPr>
                <w:rFonts w:ascii="Arial" w:hAnsi="Arial" w:cs="Arial"/>
                <w:sz w:val="20"/>
                <w:szCs w:val="20"/>
              </w:rPr>
            </w:pPr>
            <w:r w:rsidRPr="00966346">
              <w:rPr>
                <w:rFonts w:ascii="Arial" w:hAnsi="Arial" w:cs="Arial"/>
                <w:sz w:val="20"/>
                <w:szCs w:val="20"/>
              </w:rPr>
              <w:t>21 (36%)</w:t>
            </w:r>
          </w:p>
        </w:tc>
        <w:tc>
          <w:tcPr>
            <w:tcW w:w="939" w:type="dxa"/>
            <w:tcBorders>
              <w:top w:val="nil"/>
              <w:left w:val="nil"/>
              <w:bottom w:val="nil"/>
              <w:right w:val="nil"/>
            </w:tcBorders>
          </w:tcPr>
          <w:p w14:paraId="2008FB1E" w14:textId="77777777" w:rsidR="00A644AA" w:rsidRPr="00966346" w:rsidRDefault="00CF0E47" w:rsidP="0025066A">
            <w:pPr>
              <w:spacing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1</w:t>
            </w:r>
            <w:r w:rsidR="00A644AA" w:rsidRPr="00966346">
              <w:rPr>
                <w:rFonts w:ascii="Arial" w:eastAsia="Calibri" w:hAnsi="Arial" w:cs="Arial"/>
                <w:color w:val="000000" w:themeColor="dark1"/>
                <w:kern w:val="24"/>
                <w:sz w:val="20"/>
                <w:szCs w:val="20"/>
                <w:lang w:val="en-GB" w:eastAsia="it-IT"/>
              </w:rPr>
              <w:t>7 (</w:t>
            </w:r>
            <w:r w:rsidRPr="00966346">
              <w:rPr>
                <w:rFonts w:ascii="Arial" w:eastAsia="Calibri" w:hAnsi="Arial" w:cs="Arial"/>
                <w:color w:val="000000" w:themeColor="dark1"/>
                <w:kern w:val="24"/>
                <w:sz w:val="20"/>
                <w:szCs w:val="20"/>
                <w:lang w:val="en-GB" w:eastAsia="it-IT"/>
              </w:rPr>
              <w:t>29</w:t>
            </w:r>
            <w:r w:rsidR="00A644AA"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139677DB" w14:textId="77777777" w:rsidR="00A644AA" w:rsidRPr="00966346" w:rsidRDefault="00CF0E47" w:rsidP="0025066A">
            <w:pPr>
              <w:spacing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 xml:space="preserve">  2</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 xml:space="preserve">  </w:t>
            </w:r>
            <w:r w:rsidR="00A644AA" w:rsidRPr="00966346">
              <w:rPr>
                <w:rFonts w:ascii="Arial" w:eastAsia="Calibri" w:hAnsi="Arial" w:cs="Arial"/>
                <w:color w:val="000000" w:themeColor="dark1"/>
                <w:kern w:val="24"/>
                <w:sz w:val="20"/>
                <w:szCs w:val="20"/>
                <w:lang w:val="en-GB" w:eastAsia="it-IT"/>
              </w:rPr>
              <w:t>3%)</w:t>
            </w:r>
          </w:p>
        </w:tc>
        <w:tc>
          <w:tcPr>
            <w:tcW w:w="940" w:type="dxa"/>
            <w:tcBorders>
              <w:top w:val="nil"/>
              <w:left w:val="nil"/>
              <w:bottom w:val="nil"/>
              <w:right w:val="nil"/>
            </w:tcBorders>
          </w:tcPr>
          <w:p w14:paraId="0E80CAC1" w14:textId="77777777" w:rsidR="00A644AA" w:rsidRPr="00966346" w:rsidRDefault="00A644AA"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r>
      <w:tr w:rsidR="00A644AA" w:rsidRPr="00966346" w14:paraId="165CDC06" w14:textId="77777777" w:rsidTr="00CF0E47">
        <w:trPr>
          <w:trHeight w:val="170"/>
        </w:trPr>
        <w:tc>
          <w:tcPr>
            <w:tcW w:w="1951" w:type="dxa"/>
            <w:tcBorders>
              <w:top w:val="nil"/>
              <w:left w:val="nil"/>
              <w:bottom w:val="nil"/>
              <w:right w:val="nil"/>
            </w:tcBorders>
          </w:tcPr>
          <w:p w14:paraId="53BE1F4E" w14:textId="77777777" w:rsidR="00A644AA" w:rsidRPr="00966346" w:rsidRDefault="00A644AA" w:rsidP="0025066A">
            <w:pPr>
              <w:spacing w:line="360" w:lineRule="auto"/>
              <w:jc w:val="both"/>
              <w:rPr>
                <w:rFonts w:ascii="Arial" w:hAnsi="Arial" w:cs="Arial"/>
                <w:sz w:val="20"/>
                <w:szCs w:val="20"/>
              </w:rPr>
            </w:pPr>
            <w:r w:rsidRPr="00966346">
              <w:rPr>
                <w:rFonts w:ascii="Arial" w:hAnsi="Arial" w:cs="Arial"/>
                <w:sz w:val="20"/>
                <w:szCs w:val="20"/>
                <w:lang w:val="en-GB"/>
              </w:rPr>
              <w:t>FN/infections</w:t>
            </w:r>
          </w:p>
        </w:tc>
        <w:tc>
          <w:tcPr>
            <w:tcW w:w="939" w:type="dxa"/>
            <w:tcBorders>
              <w:top w:val="nil"/>
              <w:left w:val="nil"/>
              <w:bottom w:val="nil"/>
              <w:right w:val="nil"/>
            </w:tcBorders>
          </w:tcPr>
          <w:p w14:paraId="3FC3D0C6" w14:textId="77777777" w:rsidR="00A644AA" w:rsidRPr="00966346" w:rsidRDefault="00E631EE" w:rsidP="0025066A">
            <w:pPr>
              <w:spacing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0 (  0%)</w:t>
            </w:r>
          </w:p>
        </w:tc>
        <w:tc>
          <w:tcPr>
            <w:tcW w:w="939" w:type="dxa"/>
            <w:tcBorders>
              <w:top w:val="nil"/>
              <w:left w:val="nil"/>
              <w:bottom w:val="nil"/>
              <w:right w:val="nil"/>
            </w:tcBorders>
          </w:tcPr>
          <w:p w14:paraId="562D02D0" w14:textId="77777777" w:rsidR="00A644AA" w:rsidRPr="00966346" w:rsidRDefault="00CF0E47" w:rsidP="0025066A">
            <w:pPr>
              <w:spacing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1</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2</w:t>
            </w:r>
            <w:r w:rsidR="00A644AA"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17D1B8F6" w14:textId="77777777" w:rsidR="00A644AA" w:rsidRPr="00966346" w:rsidRDefault="00A644AA" w:rsidP="0025066A">
            <w:pPr>
              <w:spacing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0 (</w:t>
            </w:r>
            <w:r w:rsidR="00E631EE" w:rsidRPr="00966346">
              <w:rPr>
                <w:rFonts w:ascii="Arial" w:eastAsia="Calibri" w:hAnsi="Arial" w:cs="Arial"/>
                <w:color w:val="000000" w:themeColor="dark1"/>
                <w:kern w:val="24"/>
                <w:sz w:val="20"/>
                <w:szCs w:val="20"/>
                <w:lang w:val="en-GB" w:eastAsia="it-IT"/>
              </w:rPr>
              <w:t>0</w:t>
            </w:r>
            <w:r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63B16F36" w14:textId="77777777" w:rsidR="00A644AA" w:rsidRPr="00966346" w:rsidRDefault="00CF0E47"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0</w:t>
            </w:r>
            <w:r w:rsidR="00A644AA"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29044D26" w14:textId="77777777" w:rsidR="00A644AA" w:rsidRPr="00966346" w:rsidRDefault="00E631EE" w:rsidP="0025066A">
            <w:pPr>
              <w:spacing w:line="360" w:lineRule="auto"/>
              <w:ind w:left="-107" w:right="-82"/>
              <w:jc w:val="center"/>
              <w:rPr>
                <w:rFonts w:ascii="Arial" w:hAnsi="Arial" w:cs="Arial"/>
                <w:sz w:val="20"/>
                <w:szCs w:val="20"/>
              </w:rPr>
            </w:pPr>
            <w:r w:rsidRPr="00966346">
              <w:rPr>
                <w:rFonts w:ascii="Arial" w:hAnsi="Arial" w:cs="Arial"/>
                <w:sz w:val="20"/>
                <w:szCs w:val="20"/>
              </w:rPr>
              <w:t xml:space="preserve">  1 (  2%)</w:t>
            </w:r>
          </w:p>
        </w:tc>
        <w:tc>
          <w:tcPr>
            <w:tcW w:w="939" w:type="dxa"/>
            <w:tcBorders>
              <w:top w:val="nil"/>
              <w:left w:val="nil"/>
              <w:bottom w:val="nil"/>
              <w:right w:val="nil"/>
            </w:tcBorders>
          </w:tcPr>
          <w:p w14:paraId="25107F2D" w14:textId="77777777" w:rsidR="00A644AA" w:rsidRPr="00966346" w:rsidRDefault="00CF0E47" w:rsidP="0025066A">
            <w:pPr>
              <w:spacing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12</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21</w:t>
            </w:r>
            <w:r w:rsidR="00A644AA"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04EBA90F" w14:textId="77777777" w:rsidR="00A644AA" w:rsidRPr="00966346" w:rsidRDefault="00CF0E47" w:rsidP="0025066A">
            <w:pPr>
              <w:spacing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 xml:space="preserve">  3</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 xml:space="preserve">  5</w:t>
            </w:r>
            <w:r w:rsidR="00A644AA" w:rsidRPr="00966346">
              <w:rPr>
                <w:rFonts w:ascii="Arial" w:eastAsia="Calibri" w:hAnsi="Arial" w:cs="Arial"/>
                <w:color w:val="000000" w:themeColor="dark1"/>
                <w:kern w:val="24"/>
                <w:sz w:val="20"/>
                <w:szCs w:val="20"/>
                <w:lang w:val="en-GB" w:eastAsia="it-IT"/>
              </w:rPr>
              <w:t>%)</w:t>
            </w:r>
          </w:p>
        </w:tc>
        <w:tc>
          <w:tcPr>
            <w:tcW w:w="940" w:type="dxa"/>
            <w:tcBorders>
              <w:top w:val="nil"/>
              <w:left w:val="nil"/>
              <w:bottom w:val="nil"/>
              <w:right w:val="nil"/>
            </w:tcBorders>
          </w:tcPr>
          <w:p w14:paraId="5FC15168" w14:textId="77777777" w:rsidR="00A644AA" w:rsidRPr="00966346" w:rsidRDefault="00A644AA" w:rsidP="0025066A">
            <w:pPr>
              <w:spacing w:line="360" w:lineRule="auto"/>
              <w:ind w:left="-107" w:right="-82"/>
              <w:jc w:val="center"/>
              <w:rPr>
                <w:rFonts w:ascii="Arial" w:hAnsi="Arial" w:cs="Arial"/>
                <w:sz w:val="20"/>
                <w:szCs w:val="20"/>
              </w:rPr>
            </w:pPr>
            <w:r w:rsidRPr="00966346">
              <w:rPr>
                <w:rFonts w:ascii="Arial" w:eastAsia="Calibri" w:hAnsi="Arial" w:cs="Arial"/>
                <w:color w:val="000000" w:themeColor="dark1"/>
                <w:kern w:val="24"/>
                <w:sz w:val="20"/>
                <w:szCs w:val="20"/>
                <w:lang w:val="en-GB" w:eastAsia="it-IT"/>
              </w:rPr>
              <w:t>2 (</w:t>
            </w:r>
            <w:r w:rsidR="00CF0E47" w:rsidRPr="00966346">
              <w:rPr>
                <w:rFonts w:ascii="Arial" w:eastAsia="Calibri" w:hAnsi="Arial" w:cs="Arial"/>
                <w:color w:val="000000" w:themeColor="dark1"/>
                <w:kern w:val="24"/>
                <w:sz w:val="20"/>
                <w:szCs w:val="20"/>
                <w:lang w:val="en-GB" w:eastAsia="it-IT"/>
              </w:rPr>
              <w:t>3</w:t>
            </w:r>
            <w:r w:rsidRPr="00966346">
              <w:rPr>
                <w:rFonts w:ascii="Arial" w:eastAsia="Calibri" w:hAnsi="Arial" w:cs="Arial"/>
                <w:color w:val="000000" w:themeColor="dark1"/>
                <w:kern w:val="24"/>
                <w:sz w:val="20"/>
                <w:szCs w:val="20"/>
                <w:lang w:val="en-GB" w:eastAsia="it-IT"/>
              </w:rPr>
              <w:t>%)</w:t>
            </w:r>
          </w:p>
        </w:tc>
      </w:tr>
      <w:tr w:rsidR="00A644AA" w:rsidRPr="00966346" w14:paraId="0ED4334A" w14:textId="77777777" w:rsidTr="0025066A">
        <w:trPr>
          <w:trHeight w:val="170"/>
        </w:trPr>
        <w:tc>
          <w:tcPr>
            <w:tcW w:w="1951" w:type="dxa"/>
            <w:tcBorders>
              <w:top w:val="nil"/>
              <w:left w:val="nil"/>
              <w:bottom w:val="nil"/>
              <w:right w:val="nil"/>
            </w:tcBorders>
          </w:tcPr>
          <w:p w14:paraId="03719279" w14:textId="77777777" w:rsidR="00A644AA" w:rsidRPr="00966346" w:rsidRDefault="00A644AA" w:rsidP="0025066A">
            <w:pPr>
              <w:spacing w:line="360" w:lineRule="auto"/>
              <w:jc w:val="both"/>
              <w:rPr>
                <w:rFonts w:ascii="Arial" w:hAnsi="Arial" w:cs="Arial"/>
                <w:sz w:val="20"/>
                <w:szCs w:val="20"/>
                <w:lang w:val="en-GB"/>
              </w:rPr>
            </w:pPr>
            <w:r w:rsidRPr="00966346">
              <w:rPr>
                <w:rFonts w:ascii="Arial" w:eastAsia="Calibri" w:hAnsi="Arial" w:cs="Arial"/>
                <w:color w:val="000000" w:themeColor="dark1"/>
                <w:kern w:val="24"/>
                <w:sz w:val="20"/>
                <w:szCs w:val="20"/>
                <w:lang w:val="en-GB" w:eastAsia="it-IT"/>
              </w:rPr>
              <w:t>Hepatotoxicity</w:t>
            </w:r>
          </w:p>
        </w:tc>
        <w:tc>
          <w:tcPr>
            <w:tcW w:w="939" w:type="dxa"/>
            <w:tcBorders>
              <w:top w:val="nil"/>
              <w:left w:val="nil"/>
              <w:bottom w:val="nil"/>
              <w:right w:val="nil"/>
            </w:tcBorders>
          </w:tcPr>
          <w:p w14:paraId="370CD997" w14:textId="77777777" w:rsidR="00A644AA" w:rsidRPr="00966346" w:rsidRDefault="00D46B16"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3 (  5%)</w:t>
            </w:r>
          </w:p>
        </w:tc>
        <w:tc>
          <w:tcPr>
            <w:tcW w:w="939" w:type="dxa"/>
            <w:tcBorders>
              <w:top w:val="nil"/>
              <w:left w:val="nil"/>
              <w:bottom w:val="nil"/>
              <w:right w:val="nil"/>
            </w:tcBorders>
          </w:tcPr>
          <w:p w14:paraId="03044116" w14:textId="77777777" w:rsidR="00A644AA" w:rsidRPr="00966346" w:rsidRDefault="00CF0E47"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1</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2</w:t>
            </w:r>
            <w:r w:rsidR="00A644AA"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5541AA8E" w14:textId="77777777" w:rsidR="00A644AA" w:rsidRPr="00966346" w:rsidRDefault="00CF0E47"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0</w:t>
            </w:r>
            <w:r w:rsidR="00A644AA"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5338E0F4" w14:textId="77777777" w:rsidR="00A644AA" w:rsidRPr="00966346" w:rsidRDefault="00A644AA"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481AD98A" w14:textId="77777777" w:rsidR="00A644AA" w:rsidRPr="00966346" w:rsidRDefault="00E631EE"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15 (26%)</w:t>
            </w:r>
          </w:p>
        </w:tc>
        <w:tc>
          <w:tcPr>
            <w:tcW w:w="939" w:type="dxa"/>
            <w:tcBorders>
              <w:top w:val="nil"/>
              <w:left w:val="nil"/>
              <w:bottom w:val="nil"/>
              <w:right w:val="nil"/>
            </w:tcBorders>
          </w:tcPr>
          <w:p w14:paraId="4918685C" w14:textId="77777777" w:rsidR="00A644AA" w:rsidRPr="00966346" w:rsidRDefault="00CF0E47"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3</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 xml:space="preserve">  5</w:t>
            </w:r>
            <w:r w:rsidR="00A644AA" w:rsidRPr="00966346">
              <w:rPr>
                <w:rFonts w:ascii="Arial" w:eastAsia="Calibri" w:hAnsi="Arial" w:cs="Arial"/>
                <w:color w:val="000000" w:themeColor="dark1"/>
                <w:kern w:val="24"/>
                <w:sz w:val="20"/>
                <w:szCs w:val="20"/>
                <w:lang w:val="en-GB" w:eastAsia="it-IT"/>
              </w:rPr>
              <w:t>%)</w:t>
            </w:r>
          </w:p>
        </w:tc>
        <w:tc>
          <w:tcPr>
            <w:tcW w:w="939" w:type="dxa"/>
            <w:tcBorders>
              <w:top w:val="nil"/>
              <w:left w:val="nil"/>
              <w:bottom w:val="nil"/>
              <w:right w:val="nil"/>
            </w:tcBorders>
          </w:tcPr>
          <w:p w14:paraId="48687A79" w14:textId="77777777" w:rsidR="00A644AA" w:rsidRPr="00966346" w:rsidRDefault="00CF0E47"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1</w:t>
            </w:r>
            <w:r w:rsidR="00A644AA" w:rsidRPr="00966346">
              <w:rPr>
                <w:rFonts w:ascii="Arial" w:eastAsia="Calibri" w:hAnsi="Arial" w:cs="Arial"/>
                <w:color w:val="000000" w:themeColor="dark1"/>
                <w:kern w:val="24"/>
                <w:sz w:val="20"/>
                <w:szCs w:val="20"/>
                <w:lang w:val="en-GB" w:eastAsia="it-IT"/>
              </w:rPr>
              <w:t xml:space="preserve"> (</w:t>
            </w:r>
            <w:r w:rsidRPr="00966346">
              <w:rPr>
                <w:rFonts w:ascii="Arial" w:eastAsia="Calibri" w:hAnsi="Arial" w:cs="Arial"/>
                <w:color w:val="000000" w:themeColor="dark1"/>
                <w:kern w:val="24"/>
                <w:sz w:val="20"/>
                <w:szCs w:val="20"/>
                <w:lang w:val="en-GB" w:eastAsia="it-IT"/>
              </w:rPr>
              <w:t xml:space="preserve">  2</w:t>
            </w:r>
            <w:r w:rsidR="00A644AA" w:rsidRPr="00966346">
              <w:rPr>
                <w:rFonts w:ascii="Arial" w:eastAsia="Calibri" w:hAnsi="Arial" w:cs="Arial"/>
                <w:color w:val="000000" w:themeColor="dark1"/>
                <w:kern w:val="24"/>
                <w:sz w:val="20"/>
                <w:szCs w:val="20"/>
                <w:lang w:val="en-GB" w:eastAsia="it-IT"/>
              </w:rPr>
              <w:t>%)</w:t>
            </w:r>
          </w:p>
        </w:tc>
        <w:tc>
          <w:tcPr>
            <w:tcW w:w="940" w:type="dxa"/>
            <w:tcBorders>
              <w:top w:val="nil"/>
              <w:left w:val="nil"/>
              <w:bottom w:val="nil"/>
              <w:right w:val="nil"/>
            </w:tcBorders>
          </w:tcPr>
          <w:p w14:paraId="6B2F40C2" w14:textId="77777777" w:rsidR="00A644AA" w:rsidRPr="00966346" w:rsidRDefault="00A644AA"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r>
      <w:tr w:rsidR="005F45CC" w:rsidRPr="00966346" w14:paraId="629ECA37" w14:textId="77777777" w:rsidTr="0025066A">
        <w:trPr>
          <w:trHeight w:val="170"/>
        </w:trPr>
        <w:tc>
          <w:tcPr>
            <w:tcW w:w="1951" w:type="dxa"/>
            <w:tcBorders>
              <w:top w:val="nil"/>
              <w:left w:val="nil"/>
              <w:bottom w:val="nil"/>
              <w:right w:val="nil"/>
            </w:tcBorders>
          </w:tcPr>
          <w:p w14:paraId="7DC04511" w14:textId="77777777" w:rsidR="005F45CC" w:rsidRPr="00966346" w:rsidRDefault="005F45CC" w:rsidP="0025066A">
            <w:pPr>
              <w:spacing w:line="360" w:lineRule="auto"/>
              <w:jc w:val="both"/>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Nephrotoxicity</w:t>
            </w:r>
          </w:p>
        </w:tc>
        <w:tc>
          <w:tcPr>
            <w:tcW w:w="939" w:type="dxa"/>
            <w:tcBorders>
              <w:top w:val="nil"/>
              <w:left w:val="nil"/>
              <w:bottom w:val="nil"/>
              <w:right w:val="nil"/>
            </w:tcBorders>
          </w:tcPr>
          <w:p w14:paraId="54269D4D"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2 (  4%)</w:t>
            </w:r>
          </w:p>
        </w:tc>
        <w:tc>
          <w:tcPr>
            <w:tcW w:w="939" w:type="dxa"/>
            <w:tcBorders>
              <w:top w:val="nil"/>
              <w:left w:val="nil"/>
              <w:bottom w:val="nil"/>
              <w:right w:val="nil"/>
            </w:tcBorders>
          </w:tcPr>
          <w:p w14:paraId="686D8430"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4C7510E2"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42159A13"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51C49AED"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6 (10%)</w:t>
            </w:r>
          </w:p>
        </w:tc>
        <w:tc>
          <w:tcPr>
            <w:tcW w:w="939" w:type="dxa"/>
            <w:tcBorders>
              <w:top w:val="nil"/>
              <w:left w:val="nil"/>
              <w:bottom w:val="nil"/>
              <w:right w:val="nil"/>
            </w:tcBorders>
          </w:tcPr>
          <w:p w14:paraId="7E784FA2"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0 (  0%)</w:t>
            </w:r>
          </w:p>
        </w:tc>
        <w:tc>
          <w:tcPr>
            <w:tcW w:w="939" w:type="dxa"/>
            <w:tcBorders>
              <w:top w:val="nil"/>
              <w:left w:val="nil"/>
              <w:bottom w:val="nil"/>
              <w:right w:val="nil"/>
            </w:tcBorders>
          </w:tcPr>
          <w:p w14:paraId="6893FC60"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0 (  0%)</w:t>
            </w:r>
          </w:p>
        </w:tc>
        <w:tc>
          <w:tcPr>
            <w:tcW w:w="940" w:type="dxa"/>
            <w:tcBorders>
              <w:top w:val="nil"/>
              <w:left w:val="nil"/>
              <w:bottom w:val="nil"/>
              <w:right w:val="nil"/>
            </w:tcBorders>
          </w:tcPr>
          <w:p w14:paraId="1045D8E7"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r>
      <w:tr w:rsidR="005F45CC" w:rsidRPr="00966346" w14:paraId="763EA95C" w14:textId="77777777" w:rsidTr="0025066A">
        <w:trPr>
          <w:trHeight w:val="170"/>
        </w:trPr>
        <w:tc>
          <w:tcPr>
            <w:tcW w:w="1951" w:type="dxa"/>
            <w:tcBorders>
              <w:top w:val="nil"/>
              <w:left w:val="nil"/>
              <w:bottom w:val="nil"/>
              <w:right w:val="nil"/>
            </w:tcBorders>
          </w:tcPr>
          <w:p w14:paraId="00C097F2" w14:textId="77777777" w:rsidR="005F45CC" w:rsidRPr="00966346" w:rsidRDefault="005F45CC" w:rsidP="0025066A">
            <w:pPr>
              <w:spacing w:line="360" w:lineRule="auto"/>
              <w:jc w:val="both"/>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Cardiotoxicity</w:t>
            </w:r>
          </w:p>
        </w:tc>
        <w:tc>
          <w:tcPr>
            <w:tcW w:w="939" w:type="dxa"/>
            <w:tcBorders>
              <w:top w:val="nil"/>
              <w:left w:val="nil"/>
              <w:bottom w:val="nil"/>
              <w:right w:val="nil"/>
            </w:tcBorders>
          </w:tcPr>
          <w:p w14:paraId="7791CAF8"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  0%)</w:t>
            </w:r>
          </w:p>
        </w:tc>
        <w:tc>
          <w:tcPr>
            <w:tcW w:w="939" w:type="dxa"/>
            <w:tcBorders>
              <w:top w:val="nil"/>
              <w:left w:val="nil"/>
              <w:bottom w:val="nil"/>
              <w:right w:val="nil"/>
            </w:tcBorders>
          </w:tcPr>
          <w:p w14:paraId="2F2484CE"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2707A9D4"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6C0AFF6E"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7CF621DB"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5 (  9%)</w:t>
            </w:r>
          </w:p>
        </w:tc>
        <w:tc>
          <w:tcPr>
            <w:tcW w:w="939" w:type="dxa"/>
            <w:tcBorders>
              <w:top w:val="nil"/>
              <w:left w:val="nil"/>
              <w:bottom w:val="nil"/>
              <w:right w:val="nil"/>
            </w:tcBorders>
          </w:tcPr>
          <w:p w14:paraId="097DDB5A"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1 (  2%)</w:t>
            </w:r>
          </w:p>
        </w:tc>
        <w:tc>
          <w:tcPr>
            <w:tcW w:w="939" w:type="dxa"/>
            <w:tcBorders>
              <w:top w:val="nil"/>
              <w:left w:val="nil"/>
              <w:bottom w:val="nil"/>
              <w:right w:val="nil"/>
            </w:tcBorders>
          </w:tcPr>
          <w:p w14:paraId="3C54CADC"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0 (  0%)</w:t>
            </w:r>
          </w:p>
        </w:tc>
        <w:tc>
          <w:tcPr>
            <w:tcW w:w="940" w:type="dxa"/>
            <w:tcBorders>
              <w:top w:val="nil"/>
              <w:left w:val="nil"/>
              <w:bottom w:val="nil"/>
              <w:right w:val="nil"/>
            </w:tcBorders>
          </w:tcPr>
          <w:p w14:paraId="1BF7387C"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r>
      <w:tr w:rsidR="005F45CC" w:rsidRPr="00966346" w14:paraId="79ED5A85" w14:textId="77777777" w:rsidTr="0025066A">
        <w:trPr>
          <w:trHeight w:val="170"/>
        </w:trPr>
        <w:tc>
          <w:tcPr>
            <w:tcW w:w="1951" w:type="dxa"/>
            <w:tcBorders>
              <w:top w:val="nil"/>
              <w:left w:val="nil"/>
              <w:bottom w:val="nil"/>
              <w:right w:val="nil"/>
            </w:tcBorders>
          </w:tcPr>
          <w:p w14:paraId="5CF43717" w14:textId="77777777" w:rsidR="005F45CC" w:rsidRPr="00966346" w:rsidRDefault="005F45CC" w:rsidP="0025066A">
            <w:pPr>
              <w:spacing w:line="360" w:lineRule="auto"/>
              <w:jc w:val="both"/>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Coagulopathy/DVT</w:t>
            </w:r>
          </w:p>
        </w:tc>
        <w:tc>
          <w:tcPr>
            <w:tcW w:w="939" w:type="dxa"/>
            <w:tcBorders>
              <w:top w:val="nil"/>
              <w:left w:val="nil"/>
              <w:bottom w:val="nil"/>
              <w:right w:val="nil"/>
            </w:tcBorders>
          </w:tcPr>
          <w:p w14:paraId="1FF2532F"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2 (  4%)</w:t>
            </w:r>
          </w:p>
        </w:tc>
        <w:tc>
          <w:tcPr>
            <w:tcW w:w="939" w:type="dxa"/>
            <w:tcBorders>
              <w:top w:val="nil"/>
              <w:left w:val="nil"/>
              <w:bottom w:val="nil"/>
              <w:right w:val="nil"/>
            </w:tcBorders>
          </w:tcPr>
          <w:p w14:paraId="2E6E0625"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4DEE8BA3"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3 (5%)</w:t>
            </w:r>
          </w:p>
        </w:tc>
        <w:tc>
          <w:tcPr>
            <w:tcW w:w="939" w:type="dxa"/>
            <w:tcBorders>
              <w:top w:val="nil"/>
              <w:left w:val="nil"/>
              <w:bottom w:val="nil"/>
              <w:right w:val="nil"/>
            </w:tcBorders>
          </w:tcPr>
          <w:p w14:paraId="536FD005"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038C2790"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6 (10%)</w:t>
            </w:r>
          </w:p>
        </w:tc>
        <w:tc>
          <w:tcPr>
            <w:tcW w:w="939" w:type="dxa"/>
            <w:tcBorders>
              <w:top w:val="nil"/>
              <w:left w:val="nil"/>
              <w:bottom w:val="nil"/>
              <w:right w:val="nil"/>
            </w:tcBorders>
          </w:tcPr>
          <w:p w14:paraId="32D66753"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1 (  2%)</w:t>
            </w:r>
          </w:p>
        </w:tc>
        <w:tc>
          <w:tcPr>
            <w:tcW w:w="939" w:type="dxa"/>
            <w:tcBorders>
              <w:top w:val="nil"/>
              <w:left w:val="nil"/>
              <w:bottom w:val="nil"/>
              <w:right w:val="nil"/>
            </w:tcBorders>
          </w:tcPr>
          <w:p w14:paraId="6646B4D7"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0 (  0%)</w:t>
            </w:r>
          </w:p>
        </w:tc>
        <w:tc>
          <w:tcPr>
            <w:tcW w:w="940" w:type="dxa"/>
            <w:tcBorders>
              <w:top w:val="nil"/>
              <w:left w:val="nil"/>
              <w:bottom w:val="nil"/>
              <w:right w:val="nil"/>
            </w:tcBorders>
          </w:tcPr>
          <w:p w14:paraId="41948634"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r>
      <w:tr w:rsidR="005F45CC" w:rsidRPr="00966346" w14:paraId="53532939" w14:textId="77777777" w:rsidTr="0025066A">
        <w:trPr>
          <w:trHeight w:val="170"/>
        </w:trPr>
        <w:tc>
          <w:tcPr>
            <w:tcW w:w="1951" w:type="dxa"/>
            <w:tcBorders>
              <w:top w:val="nil"/>
              <w:left w:val="nil"/>
              <w:bottom w:val="nil"/>
              <w:right w:val="nil"/>
            </w:tcBorders>
          </w:tcPr>
          <w:p w14:paraId="21B69428" w14:textId="77777777" w:rsidR="005F45CC" w:rsidRPr="00966346" w:rsidRDefault="005F45CC" w:rsidP="0025066A">
            <w:pPr>
              <w:spacing w:line="360" w:lineRule="auto"/>
              <w:jc w:val="both"/>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Gastrointestinal</w:t>
            </w:r>
          </w:p>
        </w:tc>
        <w:tc>
          <w:tcPr>
            <w:tcW w:w="939" w:type="dxa"/>
            <w:tcBorders>
              <w:top w:val="nil"/>
              <w:left w:val="nil"/>
              <w:bottom w:val="nil"/>
              <w:right w:val="nil"/>
            </w:tcBorders>
          </w:tcPr>
          <w:p w14:paraId="745E9579"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8 (15%)</w:t>
            </w:r>
          </w:p>
        </w:tc>
        <w:tc>
          <w:tcPr>
            <w:tcW w:w="939" w:type="dxa"/>
            <w:tcBorders>
              <w:top w:val="nil"/>
              <w:left w:val="nil"/>
              <w:bottom w:val="nil"/>
              <w:right w:val="nil"/>
            </w:tcBorders>
          </w:tcPr>
          <w:p w14:paraId="6B994614"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722268AB"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2D166E9E"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509E7F09"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24 (41%)</w:t>
            </w:r>
          </w:p>
        </w:tc>
        <w:tc>
          <w:tcPr>
            <w:tcW w:w="939" w:type="dxa"/>
            <w:tcBorders>
              <w:top w:val="nil"/>
              <w:left w:val="nil"/>
              <w:bottom w:val="nil"/>
              <w:right w:val="nil"/>
            </w:tcBorders>
          </w:tcPr>
          <w:p w14:paraId="6B7C5BBA"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11 (19%)</w:t>
            </w:r>
          </w:p>
        </w:tc>
        <w:tc>
          <w:tcPr>
            <w:tcW w:w="939" w:type="dxa"/>
            <w:tcBorders>
              <w:top w:val="nil"/>
              <w:left w:val="nil"/>
              <w:bottom w:val="nil"/>
              <w:right w:val="nil"/>
            </w:tcBorders>
          </w:tcPr>
          <w:p w14:paraId="1CD7D826"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0 (  0%)</w:t>
            </w:r>
          </w:p>
        </w:tc>
        <w:tc>
          <w:tcPr>
            <w:tcW w:w="940" w:type="dxa"/>
            <w:tcBorders>
              <w:top w:val="nil"/>
              <w:left w:val="nil"/>
              <w:bottom w:val="nil"/>
              <w:right w:val="nil"/>
            </w:tcBorders>
          </w:tcPr>
          <w:p w14:paraId="1F8BDABC"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r>
      <w:tr w:rsidR="005F45CC" w:rsidRPr="00966346" w14:paraId="68EC59F8" w14:textId="77777777" w:rsidTr="00D46B16">
        <w:trPr>
          <w:trHeight w:val="170"/>
        </w:trPr>
        <w:tc>
          <w:tcPr>
            <w:tcW w:w="1951" w:type="dxa"/>
            <w:tcBorders>
              <w:top w:val="nil"/>
              <w:left w:val="nil"/>
              <w:bottom w:val="nil"/>
              <w:right w:val="nil"/>
            </w:tcBorders>
          </w:tcPr>
          <w:p w14:paraId="38616220" w14:textId="77777777" w:rsidR="005F45CC" w:rsidRPr="00966346" w:rsidRDefault="005F45CC" w:rsidP="0025066A">
            <w:pPr>
              <w:spacing w:line="360" w:lineRule="auto"/>
              <w:jc w:val="both"/>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Mucositis</w:t>
            </w:r>
          </w:p>
        </w:tc>
        <w:tc>
          <w:tcPr>
            <w:tcW w:w="939" w:type="dxa"/>
            <w:tcBorders>
              <w:top w:val="nil"/>
              <w:left w:val="nil"/>
              <w:bottom w:val="nil"/>
              <w:right w:val="nil"/>
            </w:tcBorders>
          </w:tcPr>
          <w:p w14:paraId="0AFE271E"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2 (  4%)</w:t>
            </w:r>
          </w:p>
        </w:tc>
        <w:tc>
          <w:tcPr>
            <w:tcW w:w="939" w:type="dxa"/>
            <w:tcBorders>
              <w:top w:val="nil"/>
              <w:left w:val="nil"/>
              <w:bottom w:val="nil"/>
              <w:right w:val="nil"/>
            </w:tcBorders>
          </w:tcPr>
          <w:p w14:paraId="532F53EF"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59B3CDD7"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61EC9F06"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4D9D94ED"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15 (26%)</w:t>
            </w:r>
          </w:p>
        </w:tc>
        <w:tc>
          <w:tcPr>
            <w:tcW w:w="939" w:type="dxa"/>
            <w:tcBorders>
              <w:top w:val="nil"/>
              <w:left w:val="nil"/>
              <w:bottom w:val="nil"/>
              <w:right w:val="nil"/>
            </w:tcBorders>
          </w:tcPr>
          <w:p w14:paraId="31672995"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12 (21%)</w:t>
            </w:r>
          </w:p>
        </w:tc>
        <w:tc>
          <w:tcPr>
            <w:tcW w:w="939" w:type="dxa"/>
            <w:tcBorders>
              <w:top w:val="nil"/>
              <w:left w:val="nil"/>
              <w:bottom w:val="nil"/>
              <w:right w:val="nil"/>
            </w:tcBorders>
          </w:tcPr>
          <w:p w14:paraId="5DB2F8AB"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3 (  5%)</w:t>
            </w:r>
          </w:p>
        </w:tc>
        <w:tc>
          <w:tcPr>
            <w:tcW w:w="940" w:type="dxa"/>
            <w:tcBorders>
              <w:top w:val="nil"/>
              <w:left w:val="nil"/>
              <w:bottom w:val="nil"/>
              <w:right w:val="nil"/>
            </w:tcBorders>
          </w:tcPr>
          <w:p w14:paraId="35FA9329"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r>
      <w:tr w:rsidR="005F45CC" w:rsidRPr="00966346" w14:paraId="0B4CE2FC" w14:textId="77777777" w:rsidTr="0025066A">
        <w:trPr>
          <w:trHeight w:val="170"/>
        </w:trPr>
        <w:tc>
          <w:tcPr>
            <w:tcW w:w="1951" w:type="dxa"/>
            <w:tcBorders>
              <w:top w:val="nil"/>
              <w:left w:val="nil"/>
              <w:bottom w:val="nil"/>
              <w:right w:val="nil"/>
            </w:tcBorders>
          </w:tcPr>
          <w:p w14:paraId="4E446346" w14:textId="77777777" w:rsidR="005F45CC" w:rsidRPr="00966346" w:rsidRDefault="005F45CC" w:rsidP="0025066A">
            <w:pPr>
              <w:spacing w:line="360" w:lineRule="auto"/>
              <w:jc w:val="both"/>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Erythema</w:t>
            </w:r>
          </w:p>
        </w:tc>
        <w:tc>
          <w:tcPr>
            <w:tcW w:w="939" w:type="dxa"/>
            <w:tcBorders>
              <w:top w:val="nil"/>
              <w:left w:val="nil"/>
              <w:bottom w:val="nil"/>
              <w:right w:val="nil"/>
            </w:tcBorders>
          </w:tcPr>
          <w:p w14:paraId="30A148A6"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7 (13%)</w:t>
            </w:r>
          </w:p>
        </w:tc>
        <w:tc>
          <w:tcPr>
            <w:tcW w:w="939" w:type="dxa"/>
            <w:tcBorders>
              <w:top w:val="nil"/>
              <w:left w:val="nil"/>
              <w:bottom w:val="nil"/>
              <w:right w:val="nil"/>
            </w:tcBorders>
          </w:tcPr>
          <w:p w14:paraId="366CE870"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0B1DEC41"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15FD2BBE"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nil"/>
              <w:right w:val="nil"/>
            </w:tcBorders>
          </w:tcPr>
          <w:p w14:paraId="2C83DF5B"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0 (  0%)</w:t>
            </w:r>
          </w:p>
        </w:tc>
        <w:tc>
          <w:tcPr>
            <w:tcW w:w="939" w:type="dxa"/>
            <w:tcBorders>
              <w:top w:val="nil"/>
              <w:left w:val="nil"/>
              <w:bottom w:val="nil"/>
              <w:right w:val="nil"/>
            </w:tcBorders>
          </w:tcPr>
          <w:p w14:paraId="5A1C7CE6"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0 (  0%)</w:t>
            </w:r>
          </w:p>
        </w:tc>
        <w:tc>
          <w:tcPr>
            <w:tcW w:w="939" w:type="dxa"/>
            <w:tcBorders>
              <w:top w:val="nil"/>
              <w:left w:val="nil"/>
              <w:bottom w:val="nil"/>
              <w:right w:val="nil"/>
            </w:tcBorders>
          </w:tcPr>
          <w:p w14:paraId="11F07167"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0 (  0%)</w:t>
            </w:r>
          </w:p>
        </w:tc>
        <w:tc>
          <w:tcPr>
            <w:tcW w:w="940" w:type="dxa"/>
            <w:tcBorders>
              <w:top w:val="nil"/>
              <w:left w:val="nil"/>
              <w:bottom w:val="nil"/>
              <w:right w:val="nil"/>
            </w:tcBorders>
          </w:tcPr>
          <w:p w14:paraId="503B3AD5"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r>
      <w:tr w:rsidR="005F45CC" w:rsidRPr="00966346" w14:paraId="4B2F4EC5" w14:textId="77777777" w:rsidTr="0025066A">
        <w:trPr>
          <w:trHeight w:val="170"/>
        </w:trPr>
        <w:tc>
          <w:tcPr>
            <w:tcW w:w="1951" w:type="dxa"/>
            <w:tcBorders>
              <w:top w:val="nil"/>
              <w:left w:val="nil"/>
              <w:bottom w:val="single" w:sz="4" w:space="0" w:color="auto"/>
              <w:right w:val="nil"/>
            </w:tcBorders>
          </w:tcPr>
          <w:p w14:paraId="1FAC9CB7" w14:textId="77777777" w:rsidR="005F45CC" w:rsidRPr="00966346" w:rsidRDefault="005F45CC" w:rsidP="0025066A">
            <w:pPr>
              <w:spacing w:line="360" w:lineRule="auto"/>
              <w:jc w:val="both"/>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Acute neurotoxicity</w:t>
            </w:r>
          </w:p>
        </w:tc>
        <w:tc>
          <w:tcPr>
            <w:tcW w:w="939" w:type="dxa"/>
            <w:tcBorders>
              <w:top w:val="nil"/>
              <w:left w:val="nil"/>
              <w:bottom w:val="single" w:sz="4" w:space="0" w:color="auto"/>
              <w:right w:val="nil"/>
            </w:tcBorders>
          </w:tcPr>
          <w:p w14:paraId="3C04D0AD"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7 (13%)</w:t>
            </w:r>
          </w:p>
        </w:tc>
        <w:tc>
          <w:tcPr>
            <w:tcW w:w="939" w:type="dxa"/>
            <w:tcBorders>
              <w:top w:val="nil"/>
              <w:left w:val="nil"/>
              <w:bottom w:val="single" w:sz="4" w:space="0" w:color="auto"/>
              <w:right w:val="nil"/>
            </w:tcBorders>
          </w:tcPr>
          <w:p w14:paraId="1FC65F88"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3 (5%)</w:t>
            </w:r>
          </w:p>
        </w:tc>
        <w:tc>
          <w:tcPr>
            <w:tcW w:w="939" w:type="dxa"/>
            <w:tcBorders>
              <w:top w:val="nil"/>
              <w:left w:val="nil"/>
              <w:bottom w:val="single" w:sz="4" w:space="0" w:color="auto"/>
              <w:right w:val="nil"/>
            </w:tcBorders>
          </w:tcPr>
          <w:p w14:paraId="184BA05A"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single" w:sz="4" w:space="0" w:color="auto"/>
              <w:right w:val="nil"/>
            </w:tcBorders>
          </w:tcPr>
          <w:p w14:paraId="28535C29"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c>
          <w:tcPr>
            <w:tcW w:w="939" w:type="dxa"/>
            <w:tcBorders>
              <w:top w:val="nil"/>
              <w:left w:val="nil"/>
              <w:bottom w:val="single" w:sz="4" w:space="0" w:color="auto"/>
              <w:right w:val="nil"/>
            </w:tcBorders>
          </w:tcPr>
          <w:p w14:paraId="210364F7"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4 (  7%)</w:t>
            </w:r>
          </w:p>
        </w:tc>
        <w:tc>
          <w:tcPr>
            <w:tcW w:w="939" w:type="dxa"/>
            <w:tcBorders>
              <w:top w:val="nil"/>
              <w:left w:val="nil"/>
              <w:bottom w:val="single" w:sz="4" w:space="0" w:color="auto"/>
              <w:right w:val="nil"/>
            </w:tcBorders>
          </w:tcPr>
          <w:p w14:paraId="1A4529EE"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0 (  0%)</w:t>
            </w:r>
          </w:p>
        </w:tc>
        <w:tc>
          <w:tcPr>
            <w:tcW w:w="939" w:type="dxa"/>
            <w:tcBorders>
              <w:top w:val="nil"/>
              <w:left w:val="nil"/>
              <w:bottom w:val="single" w:sz="4" w:space="0" w:color="auto"/>
              <w:right w:val="nil"/>
            </w:tcBorders>
          </w:tcPr>
          <w:p w14:paraId="6A664CE6"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 xml:space="preserve">  0 (  0%)</w:t>
            </w:r>
          </w:p>
        </w:tc>
        <w:tc>
          <w:tcPr>
            <w:tcW w:w="940" w:type="dxa"/>
            <w:tcBorders>
              <w:top w:val="nil"/>
              <w:left w:val="nil"/>
              <w:bottom w:val="single" w:sz="4" w:space="0" w:color="auto"/>
              <w:right w:val="nil"/>
            </w:tcBorders>
          </w:tcPr>
          <w:p w14:paraId="71A111A8" w14:textId="77777777" w:rsidR="005F45CC" w:rsidRPr="00966346" w:rsidRDefault="005F45CC" w:rsidP="0025066A">
            <w:pPr>
              <w:spacing w:line="360" w:lineRule="auto"/>
              <w:ind w:left="-107" w:right="-82"/>
              <w:jc w:val="center"/>
              <w:rPr>
                <w:rFonts w:ascii="Arial" w:eastAsia="Calibri" w:hAnsi="Arial" w:cs="Arial"/>
                <w:color w:val="000000" w:themeColor="dark1"/>
                <w:kern w:val="24"/>
                <w:sz w:val="20"/>
                <w:szCs w:val="20"/>
                <w:lang w:val="en-GB" w:eastAsia="it-IT"/>
              </w:rPr>
            </w:pPr>
            <w:r w:rsidRPr="00966346">
              <w:rPr>
                <w:rFonts w:ascii="Arial" w:eastAsia="Calibri" w:hAnsi="Arial" w:cs="Arial"/>
                <w:color w:val="000000" w:themeColor="dark1"/>
                <w:kern w:val="24"/>
                <w:sz w:val="20"/>
                <w:szCs w:val="20"/>
                <w:lang w:val="en-GB" w:eastAsia="it-IT"/>
              </w:rPr>
              <w:t>0 (0%)</w:t>
            </w:r>
          </w:p>
        </w:tc>
      </w:tr>
    </w:tbl>
    <w:p w14:paraId="70EDB567" w14:textId="77777777" w:rsidR="00A644AA" w:rsidRPr="00966346" w:rsidRDefault="00A644AA" w:rsidP="0025066A">
      <w:pPr>
        <w:spacing w:after="0" w:line="360" w:lineRule="auto"/>
        <w:jc w:val="both"/>
        <w:rPr>
          <w:rFonts w:ascii="Times New Roman" w:hAnsi="Times New Roman" w:cs="Times New Roman"/>
          <w:sz w:val="16"/>
          <w:szCs w:val="20"/>
        </w:rPr>
      </w:pPr>
    </w:p>
    <w:p w14:paraId="6A552873" w14:textId="77777777" w:rsidR="00A644AA" w:rsidRPr="00966346" w:rsidRDefault="00A644AA" w:rsidP="0025066A">
      <w:pPr>
        <w:spacing w:after="0" w:line="240" w:lineRule="auto"/>
        <w:rPr>
          <w:rFonts w:ascii="Arial" w:hAnsi="Arial" w:cs="Arial"/>
          <w:szCs w:val="20"/>
        </w:rPr>
      </w:pPr>
      <w:r w:rsidRPr="00966346">
        <w:rPr>
          <w:rFonts w:ascii="Arial" w:hAnsi="Arial" w:cs="Arial"/>
          <w:szCs w:val="20"/>
        </w:rPr>
        <w:t>Adverse events of grade 1 or 2 occurring in ≥10% of patients and all grade 3-5 events are reported.</w:t>
      </w:r>
      <w:r w:rsidR="00D46B16" w:rsidRPr="00966346">
        <w:rPr>
          <w:rFonts w:ascii="Arial" w:hAnsi="Arial" w:cs="Arial"/>
          <w:szCs w:val="20"/>
        </w:rPr>
        <w:t xml:space="preserve"> Denominator is the number of treated patients. </w:t>
      </w:r>
    </w:p>
    <w:p w14:paraId="5FFDC3AE" w14:textId="77777777" w:rsidR="00A644AA" w:rsidRPr="00966346" w:rsidRDefault="00D46B16" w:rsidP="0025066A">
      <w:pPr>
        <w:spacing w:after="0" w:line="240" w:lineRule="auto"/>
        <w:rPr>
          <w:rFonts w:ascii="Arial" w:hAnsi="Arial" w:cs="Arial"/>
          <w:szCs w:val="20"/>
        </w:rPr>
      </w:pPr>
      <w:r w:rsidRPr="00966346">
        <w:rPr>
          <w:rFonts w:ascii="Arial" w:hAnsi="Arial" w:cs="Arial"/>
          <w:szCs w:val="20"/>
        </w:rPr>
        <w:t>FN= febrile neutropenia;</w:t>
      </w:r>
      <w:r w:rsidR="00A644AA" w:rsidRPr="00966346">
        <w:rPr>
          <w:rFonts w:ascii="Arial" w:hAnsi="Arial" w:cs="Arial"/>
          <w:szCs w:val="20"/>
        </w:rPr>
        <w:t xml:space="preserve"> DVT= deep venous thrombosis (including pulmonary embolism).</w:t>
      </w:r>
    </w:p>
    <w:p w14:paraId="2548C660" w14:textId="77777777" w:rsidR="00A644AA" w:rsidRPr="00966346" w:rsidRDefault="00A644AA" w:rsidP="0025066A">
      <w:pPr>
        <w:spacing w:after="0" w:line="240" w:lineRule="auto"/>
        <w:rPr>
          <w:rFonts w:ascii="Arial" w:eastAsia="Times New Roman" w:hAnsi="Arial" w:cs="Arial"/>
          <w:szCs w:val="24"/>
          <w:lang w:eastAsia="it-IT"/>
        </w:rPr>
      </w:pPr>
    </w:p>
    <w:p w14:paraId="73EF1462" w14:textId="77777777" w:rsidR="003C7C8A" w:rsidRPr="00966346" w:rsidRDefault="003C7C8A">
      <w:pPr>
        <w:rPr>
          <w:rFonts w:ascii="Times New Roman" w:eastAsia="Times New Roman" w:hAnsi="Times New Roman" w:cs="Times New Roman"/>
          <w:sz w:val="20"/>
          <w:szCs w:val="24"/>
          <w:lang w:eastAsia="it-IT"/>
        </w:rPr>
      </w:pPr>
      <w:r w:rsidRPr="00966346">
        <w:rPr>
          <w:rFonts w:ascii="Times New Roman" w:eastAsia="Times New Roman" w:hAnsi="Times New Roman" w:cs="Times New Roman"/>
          <w:sz w:val="20"/>
          <w:szCs w:val="24"/>
          <w:lang w:eastAsia="it-IT"/>
        </w:rPr>
        <w:br w:type="page"/>
      </w:r>
    </w:p>
    <w:p w14:paraId="35EDE6B1" w14:textId="77777777" w:rsidR="00803CD2" w:rsidRPr="00966346" w:rsidRDefault="00803CD2" w:rsidP="001F791E">
      <w:pPr>
        <w:rPr>
          <w:rFonts w:ascii="Arial" w:hAnsi="Arial" w:cs="Arial"/>
          <w:sz w:val="24"/>
          <w:szCs w:val="24"/>
          <w:lang w:val="en-GB"/>
        </w:rPr>
      </w:pPr>
    </w:p>
    <w:p w14:paraId="02B7EE25" w14:textId="77777777" w:rsidR="00150C4E" w:rsidRPr="00966346" w:rsidRDefault="00150C4E" w:rsidP="001F791E">
      <w:pPr>
        <w:spacing w:after="0" w:line="360" w:lineRule="auto"/>
        <w:jc w:val="both"/>
        <w:rPr>
          <w:rFonts w:ascii="Arial" w:hAnsi="Arial" w:cs="Arial"/>
          <w:b/>
          <w:sz w:val="24"/>
          <w:szCs w:val="24"/>
        </w:rPr>
      </w:pPr>
      <w:r w:rsidRPr="00966346">
        <w:rPr>
          <w:rFonts w:ascii="Arial" w:hAnsi="Arial" w:cs="Arial"/>
          <w:b/>
          <w:sz w:val="24"/>
          <w:szCs w:val="24"/>
        </w:rPr>
        <w:t xml:space="preserve">AUTHOR CONTRIBUTIONS SECTION </w:t>
      </w:r>
    </w:p>
    <w:p w14:paraId="6537ACBF" w14:textId="77777777" w:rsidR="00150C4E" w:rsidRPr="00966346" w:rsidRDefault="00150C4E" w:rsidP="001F791E">
      <w:pPr>
        <w:spacing w:after="0" w:line="360" w:lineRule="auto"/>
        <w:jc w:val="both"/>
        <w:rPr>
          <w:rFonts w:ascii="Arial" w:hAnsi="Arial" w:cs="Arial"/>
          <w:sz w:val="24"/>
          <w:szCs w:val="24"/>
        </w:rPr>
      </w:pPr>
      <w:r w:rsidRPr="00966346">
        <w:rPr>
          <w:rFonts w:ascii="Arial" w:hAnsi="Arial" w:cs="Arial"/>
          <w:sz w:val="24"/>
          <w:szCs w:val="24"/>
        </w:rPr>
        <w:t xml:space="preserve">AJMF, KC, EP, JF, MR, </w:t>
      </w:r>
      <w:r w:rsidR="004A560C" w:rsidRPr="00966346">
        <w:rPr>
          <w:rFonts w:ascii="Arial" w:hAnsi="Arial" w:cs="Arial"/>
          <w:sz w:val="24"/>
          <w:szCs w:val="24"/>
        </w:rPr>
        <w:t xml:space="preserve">FC, </w:t>
      </w:r>
      <w:r w:rsidRPr="00966346">
        <w:rPr>
          <w:rFonts w:ascii="Arial" w:hAnsi="Arial" w:cs="Arial"/>
          <w:sz w:val="24"/>
          <w:szCs w:val="24"/>
        </w:rPr>
        <w:t xml:space="preserve">EZ, and GI contributed to literature search, study design, data analysis and interpretation, and writing and approval of manuscript.   </w:t>
      </w:r>
    </w:p>
    <w:p w14:paraId="23EB1B25" w14:textId="77777777" w:rsidR="00150C4E" w:rsidRPr="00966346" w:rsidRDefault="00150C4E" w:rsidP="001F791E">
      <w:pPr>
        <w:spacing w:after="0" w:line="360" w:lineRule="auto"/>
        <w:jc w:val="both"/>
        <w:rPr>
          <w:rFonts w:ascii="Arial" w:hAnsi="Arial" w:cs="Arial"/>
          <w:sz w:val="24"/>
          <w:szCs w:val="24"/>
        </w:rPr>
      </w:pPr>
      <w:r w:rsidRPr="00966346">
        <w:rPr>
          <w:rFonts w:ascii="Arial" w:hAnsi="Arial" w:cs="Arial"/>
          <w:sz w:val="24"/>
          <w:szCs w:val="24"/>
        </w:rPr>
        <w:t xml:space="preserve">VT performed statistical analysis and contributed to study design and writing and approval of manuscript. </w:t>
      </w:r>
    </w:p>
    <w:p w14:paraId="0D7D194F" w14:textId="77777777" w:rsidR="00CD2835" w:rsidRPr="00966346" w:rsidRDefault="00CD2835" w:rsidP="001F791E">
      <w:pPr>
        <w:spacing w:after="0" w:line="360" w:lineRule="auto"/>
        <w:jc w:val="both"/>
        <w:rPr>
          <w:rFonts w:ascii="Arial" w:hAnsi="Arial" w:cs="Arial"/>
          <w:sz w:val="24"/>
          <w:szCs w:val="24"/>
        </w:rPr>
      </w:pPr>
      <w:r w:rsidRPr="00966346">
        <w:rPr>
          <w:rFonts w:ascii="Arial" w:hAnsi="Arial" w:cs="Arial"/>
          <w:sz w:val="24"/>
          <w:szCs w:val="24"/>
        </w:rPr>
        <w:t>EM and MF performed centralized analysis of neuropsychological tests</w:t>
      </w:r>
      <w:r w:rsidR="00B86099" w:rsidRPr="00966346">
        <w:rPr>
          <w:rFonts w:ascii="Arial" w:hAnsi="Arial" w:cs="Arial"/>
          <w:sz w:val="24"/>
          <w:szCs w:val="24"/>
        </w:rPr>
        <w:t>,</w:t>
      </w:r>
      <w:r w:rsidRPr="00966346">
        <w:rPr>
          <w:rFonts w:ascii="Arial" w:hAnsi="Arial" w:cs="Arial"/>
          <w:sz w:val="24"/>
          <w:szCs w:val="24"/>
        </w:rPr>
        <w:t xml:space="preserve"> results interpretation</w:t>
      </w:r>
      <w:r w:rsidR="00B86099" w:rsidRPr="00966346">
        <w:rPr>
          <w:rFonts w:ascii="Arial" w:hAnsi="Arial" w:cs="Arial"/>
          <w:sz w:val="24"/>
          <w:szCs w:val="24"/>
        </w:rPr>
        <w:t xml:space="preserve"> and approval of the manuscript</w:t>
      </w:r>
      <w:r w:rsidRPr="00966346">
        <w:rPr>
          <w:rFonts w:ascii="Arial" w:hAnsi="Arial" w:cs="Arial"/>
          <w:sz w:val="24"/>
          <w:szCs w:val="24"/>
        </w:rPr>
        <w:t xml:space="preserve">. </w:t>
      </w:r>
    </w:p>
    <w:p w14:paraId="1340AE63" w14:textId="77777777" w:rsidR="00B403AE" w:rsidRPr="00966346" w:rsidRDefault="00CD2835" w:rsidP="001F791E">
      <w:pPr>
        <w:spacing w:after="0" w:line="360" w:lineRule="auto"/>
        <w:jc w:val="both"/>
        <w:rPr>
          <w:rFonts w:ascii="Arial" w:hAnsi="Arial" w:cs="Arial"/>
          <w:sz w:val="24"/>
          <w:szCs w:val="24"/>
        </w:rPr>
      </w:pPr>
      <w:r w:rsidRPr="00966346">
        <w:rPr>
          <w:rFonts w:ascii="Arial" w:hAnsi="Arial" w:cs="Arial"/>
          <w:sz w:val="24"/>
          <w:szCs w:val="24"/>
        </w:rPr>
        <w:t xml:space="preserve">KC, EP, </w:t>
      </w:r>
      <w:r w:rsidR="00150C4E" w:rsidRPr="00966346">
        <w:rPr>
          <w:rFonts w:ascii="Arial" w:hAnsi="Arial" w:cs="Arial"/>
          <w:sz w:val="24"/>
          <w:szCs w:val="24"/>
        </w:rPr>
        <w:t xml:space="preserve">CPF, </w:t>
      </w:r>
      <w:r w:rsidRPr="00966346">
        <w:rPr>
          <w:rFonts w:ascii="Arial" w:hAnsi="Arial" w:cs="Arial"/>
          <w:sz w:val="24"/>
          <w:szCs w:val="24"/>
        </w:rPr>
        <w:t>ES, PLR, MB, AF, FI, AA, AR, CH, PJ, KML, TP, JSG, MB, GH, UK, SS, JP, AT, LO, FP, AL,</w:t>
      </w:r>
      <w:r w:rsidR="004A560C" w:rsidRPr="00966346">
        <w:rPr>
          <w:rFonts w:ascii="Arial" w:hAnsi="Arial" w:cs="Arial"/>
          <w:sz w:val="24"/>
          <w:szCs w:val="24"/>
        </w:rPr>
        <w:t xml:space="preserve"> SWK, HJS, BH, MR, JS, MP, GC, and FA </w:t>
      </w:r>
      <w:r w:rsidR="00150C4E" w:rsidRPr="00966346">
        <w:rPr>
          <w:rFonts w:ascii="Arial" w:hAnsi="Arial" w:cs="Arial"/>
          <w:sz w:val="24"/>
          <w:szCs w:val="24"/>
        </w:rPr>
        <w:t>contributed to patient registration and treatment, data collection, data interpretation, and writing and approval of the manuscript.</w:t>
      </w:r>
    </w:p>
    <w:p w14:paraId="336ED8C4" w14:textId="77777777" w:rsidR="004A560C" w:rsidRPr="00966346" w:rsidRDefault="004A560C" w:rsidP="004A560C">
      <w:pPr>
        <w:spacing w:after="0" w:line="360" w:lineRule="auto"/>
        <w:jc w:val="both"/>
        <w:rPr>
          <w:rFonts w:ascii="Arial" w:hAnsi="Arial" w:cs="Arial"/>
          <w:sz w:val="24"/>
          <w:szCs w:val="24"/>
        </w:rPr>
      </w:pPr>
      <w:r w:rsidRPr="00966346">
        <w:rPr>
          <w:rFonts w:ascii="Arial" w:hAnsi="Arial" w:cs="Arial"/>
          <w:sz w:val="24"/>
          <w:szCs w:val="24"/>
        </w:rPr>
        <w:t xml:space="preserve">MP and MD performed central pathology review and contributed to data interpretation, writing and approval of manuscript. </w:t>
      </w:r>
    </w:p>
    <w:p w14:paraId="3E7EB803" w14:textId="77777777" w:rsidR="004A560C" w:rsidRPr="00966346" w:rsidRDefault="004A560C" w:rsidP="004A560C">
      <w:pPr>
        <w:spacing w:after="0" w:line="360" w:lineRule="auto"/>
        <w:jc w:val="both"/>
        <w:rPr>
          <w:rFonts w:ascii="Arial" w:hAnsi="Arial" w:cs="Arial"/>
          <w:sz w:val="24"/>
          <w:szCs w:val="24"/>
        </w:rPr>
      </w:pPr>
      <w:r w:rsidRPr="00966346">
        <w:rPr>
          <w:rFonts w:ascii="Arial" w:hAnsi="Arial" w:cs="Arial"/>
          <w:sz w:val="24"/>
          <w:szCs w:val="24"/>
        </w:rPr>
        <w:t xml:space="preserve">LSP performed central radiology review and contributed to data interpretation, writing and approval of manuscript. </w:t>
      </w:r>
    </w:p>
    <w:p w14:paraId="1E6618A5" w14:textId="77777777" w:rsidR="00150C4E" w:rsidRPr="00966346" w:rsidRDefault="00150C4E" w:rsidP="005A03D4">
      <w:pPr>
        <w:pBdr>
          <w:bottom w:val="single" w:sz="4" w:space="1" w:color="auto"/>
        </w:pBdr>
        <w:spacing w:after="240" w:line="360" w:lineRule="auto"/>
        <w:jc w:val="both"/>
        <w:rPr>
          <w:rFonts w:ascii="Arial" w:eastAsia="Times New Roman" w:hAnsi="Arial" w:cs="Arial"/>
          <w:b/>
          <w:sz w:val="24"/>
          <w:szCs w:val="24"/>
          <w:lang w:eastAsia="it-IT"/>
        </w:rPr>
      </w:pPr>
      <w:r w:rsidRPr="00966346">
        <w:rPr>
          <w:rFonts w:ascii="Arial" w:hAnsi="Arial" w:cs="Arial"/>
          <w:b/>
        </w:rPr>
        <w:br w:type="page"/>
      </w:r>
    </w:p>
    <w:p w14:paraId="4DCC2557" w14:textId="77777777" w:rsidR="00464CF3" w:rsidRPr="00966346" w:rsidRDefault="00FA4AAE" w:rsidP="00464CF3">
      <w:pPr>
        <w:pStyle w:val="NormaleWeb"/>
        <w:rPr>
          <w:rFonts w:ascii="Arial" w:hAnsi="Arial" w:cs="Arial"/>
          <w:b/>
          <w:lang w:val="en-US"/>
        </w:rPr>
      </w:pPr>
      <w:r w:rsidRPr="00966346">
        <w:rPr>
          <w:rFonts w:ascii="Arial" w:hAnsi="Arial" w:cs="Arial"/>
        </w:rPr>
        <w:lastRenderedPageBreak/>
        <w:fldChar w:fldCharType="begin"/>
      </w:r>
      <w:r w:rsidR="00464CF3" w:rsidRPr="00966346">
        <w:rPr>
          <w:rFonts w:ascii="Arial" w:hAnsi="Arial" w:cs="Arial"/>
          <w:lang w:val="en-US"/>
        </w:rPr>
        <w:instrText>ADDIN RW.BIB</w:instrText>
      </w:r>
      <w:r w:rsidRPr="00966346">
        <w:rPr>
          <w:rFonts w:ascii="Arial" w:hAnsi="Arial" w:cs="Arial"/>
        </w:rPr>
        <w:fldChar w:fldCharType="separate"/>
      </w:r>
      <w:r w:rsidR="00464CF3" w:rsidRPr="00966346">
        <w:rPr>
          <w:rFonts w:ascii="Arial" w:hAnsi="Arial" w:cs="Arial"/>
          <w:b/>
          <w:lang w:val="en-US"/>
        </w:rPr>
        <w:t>REFERENCES</w:t>
      </w:r>
    </w:p>
    <w:p w14:paraId="2BC16BAC"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1.     Shiels MS, Pfeiffer RM, Besson C, et al. Trends in primary central nervous system lymphoma incidence and survival in the U.S. </w:t>
      </w:r>
      <w:r w:rsidRPr="00966346">
        <w:rPr>
          <w:rFonts w:ascii="Arial" w:hAnsi="Arial" w:cs="Arial"/>
          <w:i/>
          <w:iCs/>
          <w:lang w:val="en-US"/>
        </w:rPr>
        <w:t xml:space="preserve">Br J Haematol </w:t>
      </w:r>
      <w:r w:rsidRPr="00966346">
        <w:rPr>
          <w:rFonts w:ascii="Arial" w:hAnsi="Arial" w:cs="Arial"/>
          <w:lang w:val="en-US"/>
        </w:rPr>
        <w:t xml:space="preserve">2016; </w:t>
      </w:r>
      <w:r w:rsidRPr="00966346">
        <w:rPr>
          <w:rFonts w:ascii="Arial" w:hAnsi="Arial" w:cs="Arial"/>
          <w:b/>
          <w:bCs/>
          <w:lang w:val="en-US"/>
        </w:rPr>
        <w:t>174</w:t>
      </w:r>
      <w:r w:rsidRPr="00966346">
        <w:rPr>
          <w:rFonts w:ascii="Arial" w:hAnsi="Arial" w:cs="Arial"/>
          <w:lang w:val="en-US"/>
        </w:rPr>
        <w:t>(3): 417-24.</w:t>
      </w:r>
    </w:p>
    <w:p w14:paraId="364C82FF"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2.     Batchelor TT. Primary central nervous system lymphoma. </w:t>
      </w:r>
      <w:r w:rsidRPr="00966346">
        <w:rPr>
          <w:rFonts w:ascii="Arial" w:hAnsi="Arial" w:cs="Arial"/>
          <w:i/>
          <w:iCs/>
          <w:lang w:val="en-US"/>
        </w:rPr>
        <w:t xml:space="preserve">Hematology Am Soc Hematol Educ Program </w:t>
      </w:r>
      <w:r w:rsidRPr="00966346">
        <w:rPr>
          <w:rFonts w:ascii="Arial" w:hAnsi="Arial" w:cs="Arial"/>
          <w:lang w:val="en-US"/>
        </w:rPr>
        <w:t xml:space="preserve">2016; </w:t>
      </w:r>
      <w:r w:rsidRPr="00966346">
        <w:rPr>
          <w:rFonts w:ascii="Arial" w:hAnsi="Arial" w:cs="Arial"/>
          <w:b/>
          <w:bCs/>
          <w:lang w:val="en-US"/>
        </w:rPr>
        <w:t>2016</w:t>
      </w:r>
      <w:r w:rsidRPr="00966346">
        <w:rPr>
          <w:rFonts w:ascii="Arial" w:hAnsi="Arial" w:cs="Arial"/>
          <w:lang w:val="en-US"/>
        </w:rPr>
        <w:t>(1): 379-85.</w:t>
      </w:r>
    </w:p>
    <w:p w14:paraId="304A3E7D"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rPr>
        <w:t xml:space="preserve">3.     Ferreri AJ, Reni M, Pasini F, et al. </w:t>
      </w:r>
      <w:r w:rsidRPr="00966346">
        <w:rPr>
          <w:rFonts w:ascii="Arial" w:hAnsi="Arial" w:cs="Arial"/>
          <w:lang w:val="en-US"/>
        </w:rPr>
        <w:t xml:space="preserve">A multicenter study of treatment of primary CNS lymphoma. </w:t>
      </w:r>
      <w:r w:rsidRPr="00966346">
        <w:rPr>
          <w:rFonts w:ascii="Arial" w:hAnsi="Arial" w:cs="Arial"/>
          <w:i/>
          <w:iCs/>
          <w:lang w:val="en-US"/>
        </w:rPr>
        <w:t xml:space="preserve">Neurology </w:t>
      </w:r>
      <w:r w:rsidRPr="00966346">
        <w:rPr>
          <w:rFonts w:ascii="Arial" w:hAnsi="Arial" w:cs="Arial"/>
          <w:lang w:val="en-US"/>
        </w:rPr>
        <w:t xml:space="preserve">2002; </w:t>
      </w:r>
      <w:r w:rsidRPr="00966346">
        <w:rPr>
          <w:rFonts w:ascii="Arial" w:hAnsi="Arial" w:cs="Arial"/>
          <w:b/>
          <w:bCs/>
          <w:lang w:val="en-US"/>
        </w:rPr>
        <w:t>58</w:t>
      </w:r>
      <w:r w:rsidRPr="00966346">
        <w:rPr>
          <w:rFonts w:ascii="Arial" w:hAnsi="Arial" w:cs="Arial"/>
          <w:lang w:val="en-US"/>
        </w:rPr>
        <w:t>(10): 1513-20.</w:t>
      </w:r>
    </w:p>
    <w:p w14:paraId="2B4C10B0"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4.     Zeremski V, Koehler M, Fischer T, Schalk E. Characteristics and outcome of patients with primary CNS lymphoma in a "real-life" setting compared to a clinical trial. </w:t>
      </w:r>
      <w:r w:rsidRPr="00966346">
        <w:rPr>
          <w:rFonts w:ascii="Arial" w:hAnsi="Arial" w:cs="Arial"/>
          <w:i/>
          <w:iCs/>
          <w:lang w:val="en-US"/>
        </w:rPr>
        <w:t xml:space="preserve">Ann Hematol </w:t>
      </w:r>
      <w:r w:rsidRPr="00966346">
        <w:rPr>
          <w:rFonts w:ascii="Arial" w:hAnsi="Arial" w:cs="Arial"/>
          <w:lang w:val="en-US"/>
        </w:rPr>
        <w:t xml:space="preserve">2016; </w:t>
      </w:r>
      <w:r w:rsidRPr="00966346">
        <w:rPr>
          <w:rFonts w:ascii="Arial" w:hAnsi="Arial" w:cs="Arial"/>
          <w:b/>
          <w:bCs/>
          <w:lang w:val="en-US"/>
        </w:rPr>
        <w:t>95</w:t>
      </w:r>
      <w:r w:rsidRPr="00966346">
        <w:rPr>
          <w:rFonts w:ascii="Arial" w:hAnsi="Arial" w:cs="Arial"/>
          <w:lang w:val="en-US"/>
        </w:rPr>
        <w:t>(5): 793-9.</w:t>
      </w:r>
    </w:p>
    <w:p w14:paraId="2028EA29"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5.     Ferreri AJ, Illerhaus G, Zucca E, Cavalli F, International Extranodal Lymphoma Study Group. Flows and flaws in primary central nervous system lymphoma. </w:t>
      </w:r>
      <w:r w:rsidRPr="00966346">
        <w:rPr>
          <w:rFonts w:ascii="Arial" w:hAnsi="Arial" w:cs="Arial"/>
          <w:i/>
          <w:iCs/>
          <w:lang w:val="en-US"/>
        </w:rPr>
        <w:t xml:space="preserve">Nat Rev Clin Oncol </w:t>
      </w:r>
      <w:r w:rsidRPr="00966346">
        <w:rPr>
          <w:rFonts w:ascii="Arial" w:hAnsi="Arial" w:cs="Arial"/>
          <w:lang w:val="en-US"/>
        </w:rPr>
        <w:t xml:space="preserve">2010; </w:t>
      </w:r>
      <w:r w:rsidRPr="00966346">
        <w:rPr>
          <w:rFonts w:ascii="Arial" w:hAnsi="Arial" w:cs="Arial"/>
          <w:b/>
          <w:bCs/>
          <w:lang w:val="en-US"/>
        </w:rPr>
        <w:t>7</w:t>
      </w:r>
      <w:r w:rsidRPr="00966346">
        <w:rPr>
          <w:rFonts w:ascii="Arial" w:hAnsi="Arial" w:cs="Arial"/>
          <w:lang w:val="en-US"/>
        </w:rPr>
        <w:t>(8): doi:10.1038/nrclinonc.2010.9,c1; author reply doi:10:1038/nrclinonc.2010.9-c2.</w:t>
      </w:r>
    </w:p>
    <w:p w14:paraId="5CABDF8A"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rPr>
        <w:t xml:space="preserve">6.     Ferreri AJ, Cwynarski K, Pulczynski E, et al. </w:t>
      </w:r>
      <w:r w:rsidRPr="00966346">
        <w:rPr>
          <w:rFonts w:ascii="Arial" w:hAnsi="Arial" w:cs="Arial"/>
          <w:lang w:val="en-US"/>
        </w:rPr>
        <w:t xml:space="preserve">Chemoimmunotherapy with methotrexate, cytarabine, thiotepa, and rituximab (MATRix regimen) in patients with primary CNS lymphoma: results of the first randomisation of the International Extranodal Lymphoma Study Group-32 (IELSG32) phase 2 trial. </w:t>
      </w:r>
      <w:r w:rsidRPr="00966346">
        <w:rPr>
          <w:rFonts w:ascii="Arial" w:hAnsi="Arial" w:cs="Arial"/>
          <w:i/>
          <w:iCs/>
          <w:lang w:val="en-US"/>
        </w:rPr>
        <w:t xml:space="preserve">Lancet Haematol </w:t>
      </w:r>
      <w:r w:rsidRPr="00966346">
        <w:rPr>
          <w:rFonts w:ascii="Arial" w:hAnsi="Arial" w:cs="Arial"/>
          <w:lang w:val="en-US"/>
        </w:rPr>
        <w:t xml:space="preserve">2016; </w:t>
      </w:r>
      <w:r w:rsidRPr="00966346">
        <w:rPr>
          <w:rFonts w:ascii="Arial" w:hAnsi="Arial" w:cs="Arial"/>
          <w:b/>
          <w:bCs/>
          <w:lang w:val="en-US"/>
        </w:rPr>
        <w:t>3</w:t>
      </w:r>
      <w:r w:rsidRPr="00966346">
        <w:rPr>
          <w:rFonts w:ascii="Arial" w:hAnsi="Arial" w:cs="Arial"/>
          <w:lang w:val="en-US"/>
        </w:rPr>
        <w:t>(5): e217-27.</w:t>
      </w:r>
    </w:p>
    <w:p w14:paraId="48AB9743" w14:textId="77777777" w:rsidR="00464CF3" w:rsidRPr="00966346" w:rsidRDefault="00464CF3" w:rsidP="00464CF3">
      <w:pPr>
        <w:pStyle w:val="NormaleWeb"/>
        <w:spacing w:before="0" w:beforeAutospacing="0" w:after="120" w:afterAutospacing="0" w:line="360" w:lineRule="auto"/>
        <w:jc w:val="both"/>
        <w:rPr>
          <w:rFonts w:ascii="Arial" w:hAnsi="Arial" w:cs="Arial"/>
        </w:rPr>
      </w:pPr>
      <w:r w:rsidRPr="00966346">
        <w:rPr>
          <w:rFonts w:ascii="Arial" w:hAnsi="Arial" w:cs="Arial"/>
          <w:lang w:val="en-US"/>
        </w:rPr>
        <w:t xml:space="preserve">7.     Rubenstein JL, Hsi ED, Johnson JL, et al. Intensive chemotherapy and immunotherapy in patients with newly diagnosed primary CNS lymphoma: CALGB 50202 (Alliance 50202). </w:t>
      </w:r>
      <w:r w:rsidRPr="00966346">
        <w:rPr>
          <w:rFonts w:ascii="Arial" w:hAnsi="Arial" w:cs="Arial"/>
          <w:i/>
          <w:iCs/>
        </w:rPr>
        <w:t xml:space="preserve">J Clin Oncol </w:t>
      </w:r>
      <w:r w:rsidRPr="00966346">
        <w:rPr>
          <w:rFonts w:ascii="Arial" w:hAnsi="Arial" w:cs="Arial"/>
        </w:rPr>
        <w:t xml:space="preserve">2013; </w:t>
      </w:r>
      <w:r w:rsidRPr="00966346">
        <w:rPr>
          <w:rFonts w:ascii="Arial" w:hAnsi="Arial" w:cs="Arial"/>
          <w:b/>
          <w:bCs/>
        </w:rPr>
        <w:t>31</w:t>
      </w:r>
      <w:r w:rsidRPr="00966346">
        <w:rPr>
          <w:rFonts w:ascii="Arial" w:hAnsi="Arial" w:cs="Arial"/>
        </w:rPr>
        <w:t>(25): 3061-8.</w:t>
      </w:r>
    </w:p>
    <w:p w14:paraId="79D6AEEB"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rPr>
        <w:t xml:space="preserve">8.     Omuro A, Correa DD, DeAngelis LM, et al. </w:t>
      </w:r>
      <w:r w:rsidRPr="00966346">
        <w:rPr>
          <w:rFonts w:ascii="Arial" w:hAnsi="Arial" w:cs="Arial"/>
          <w:lang w:val="en-US"/>
        </w:rPr>
        <w:t xml:space="preserve">R-MPV followed by high-dose chemotherapy with TBC and autologous stem-cell transplant for newly diagnosed primary CNS lymphoma. </w:t>
      </w:r>
      <w:r w:rsidRPr="00966346">
        <w:rPr>
          <w:rFonts w:ascii="Arial" w:hAnsi="Arial" w:cs="Arial"/>
          <w:i/>
          <w:iCs/>
          <w:lang w:val="en-US"/>
        </w:rPr>
        <w:t xml:space="preserve">Blood </w:t>
      </w:r>
      <w:r w:rsidRPr="00966346">
        <w:rPr>
          <w:rFonts w:ascii="Arial" w:hAnsi="Arial" w:cs="Arial"/>
          <w:lang w:val="en-US"/>
        </w:rPr>
        <w:t xml:space="preserve">2015; </w:t>
      </w:r>
      <w:r w:rsidRPr="00966346">
        <w:rPr>
          <w:rFonts w:ascii="Arial" w:hAnsi="Arial" w:cs="Arial"/>
          <w:b/>
          <w:bCs/>
          <w:lang w:val="en-US"/>
        </w:rPr>
        <w:t>125</w:t>
      </w:r>
      <w:r w:rsidRPr="00966346">
        <w:rPr>
          <w:rFonts w:ascii="Arial" w:hAnsi="Arial" w:cs="Arial"/>
          <w:lang w:val="en-US"/>
        </w:rPr>
        <w:t>(9): 1403-10.</w:t>
      </w:r>
    </w:p>
    <w:p w14:paraId="3C015572"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9.     Morris PG, Correa DD, Yahalom J, et al. Rituximab, methotrexate, procarbazine, and vincristine followed by consolidation reduced-dose whole-brain radiotherapy and cytarabine in newly diagnosed primary CNS lymphoma: final results and long-term outcome. </w:t>
      </w:r>
      <w:r w:rsidRPr="00966346">
        <w:rPr>
          <w:rFonts w:ascii="Arial" w:hAnsi="Arial" w:cs="Arial"/>
          <w:i/>
          <w:iCs/>
          <w:lang w:val="en-US"/>
        </w:rPr>
        <w:t xml:space="preserve">J Clin Oncol </w:t>
      </w:r>
      <w:r w:rsidRPr="00966346">
        <w:rPr>
          <w:rFonts w:ascii="Arial" w:hAnsi="Arial" w:cs="Arial"/>
          <w:lang w:val="en-US"/>
        </w:rPr>
        <w:t xml:space="preserve">2013; </w:t>
      </w:r>
      <w:r w:rsidRPr="00966346">
        <w:rPr>
          <w:rFonts w:ascii="Arial" w:hAnsi="Arial" w:cs="Arial"/>
          <w:b/>
          <w:bCs/>
          <w:lang w:val="en-US"/>
        </w:rPr>
        <w:t>31</w:t>
      </w:r>
      <w:r w:rsidRPr="00966346">
        <w:rPr>
          <w:rFonts w:ascii="Arial" w:hAnsi="Arial" w:cs="Arial"/>
          <w:lang w:val="en-US"/>
        </w:rPr>
        <w:t>(31): 3971-9.</w:t>
      </w:r>
    </w:p>
    <w:p w14:paraId="1A37DBCB"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lastRenderedPageBreak/>
        <w:t xml:space="preserve">10.     Correa DD, Shi W, Abrey LE, Deangelis LM, Omuro AM, Deutsch MB, Thaler HT. Cognitive functions in primary CNS lymphoma after single or combined modality regimens. </w:t>
      </w:r>
      <w:r w:rsidRPr="00966346">
        <w:rPr>
          <w:rFonts w:ascii="Arial" w:hAnsi="Arial" w:cs="Arial"/>
          <w:i/>
          <w:iCs/>
          <w:lang w:val="en-US"/>
        </w:rPr>
        <w:t xml:space="preserve">Neuro Oncol </w:t>
      </w:r>
      <w:r w:rsidRPr="00966346">
        <w:rPr>
          <w:rFonts w:ascii="Arial" w:hAnsi="Arial" w:cs="Arial"/>
          <w:lang w:val="en-US"/>
        </w:rPr>
        <w:t xml:space="preserve">2012; </w:t>
      </w:r>
      <w:r w:rsidRPr="00966346">
        <w:rPr>
          <w:rFonts w:ascii="Arial" w:hAnsi="Arial" w:cs="Arial"/>
          <w:b/>
          <w:bCs/>
          <w:lang w:val="en-US"/>
        </w:rPr>
        <w:t>14</w:t>
      </w:r>
      <w:r w:rsidRPr="00966346">
        <w:rPr>
          <w:rFonts w:ascii="Arial" w:hAnsi="Arial" w:cs="Arial"/>
          <w:lang w:val="en-US"/>
        </w:rPr>
        <w:t>(1): 101-8.</w:t>
      </w:r>
    </w:p>
    <w:p w14:paraId="6BF7CB5E"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11.     Correa D, Maron L, Harder H, et al. Cognitive functions in primary central nervous system lymphoma: literature review and assessment guidelines. </w:t>
      </w:r>
      <w:r w:rsidRPr="00966346">
        <w:rPr>
          <w:rFonts w:ascii="Arial" w:hAnsi="Arial" w:cs="Arial"/>
          <w:i/>
          <w:iCs/>
          <w:lang w:val="en-US"/>
        </w:rPr>
        <w:t xml:space="preserve">Ann Oncol </w:t>
      </w:r>
      <w:r w:rsidRPr="00966346">
        <w:rPr>
          <w:rFonts w:ascii="Arial" w:hAnsi="Arial" w:cs="Arial"/>
          <w:lang w:val="en-US"/>
        </w:rPr>
        <w:t xml:space="preserve">2007; </w:t>
      </w:r>
      <w:r w:rsidRPr="00966346">
        <w:rPr>
          <w:rFonts w:ascii="Arial" w:hAnsi="Arial" w:cs="Arial"/>
          <w:b/>
          <w:bCs/>
          <w:lang w:val="en-US"/>
        </w:rPr>
        <w:t>18</w:t>
      </w:r>
      <w:r w:rsidRPr="00966346">
        <w:rPr>
          <w:rFonts w:ascii="Arial" w:hAnsi="Arial" w:cs="Arial"/>
          <w:lang w:val="en-US"/>
        </w:rPr>
        <w:t>: 1145-51.</w:t>
      </w:r>
    </w:p>
    <w:p w14:paraId="1C41C013"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12.     Ferreri AJ, Illerhaus G. The role of autologous stem cell transplantation in primary central nervous system lymphoma. </w:t>
      </w:r>
      <w:r w:rsidRPr="00966346">
        <w:rPr>
          <w:rFonts w:ascii="Arial" w:hAnsi="Arial" w:cs="Arial"/>
          <w:i/>
          <w:iCs/>
          <w:lang w:val="en-US"/>
        </w:rPr>
        <w:t xml:space="preserve">Blood </w:t>
      </w:r>
      <w:r w:rsidRPr="00966346">
        <w:rPr>
          <w:rFonts w:ascii="Arial" w:hAnsi="Arial" w:cs="Arial"/>
          <w:lang w:val="en-US"/>
        </w:rPr>
        <w:t xml:space="preserve">2016; </w:t>
      </w:r>
      <w:r w:rsidRPr="00966346">
        <w:rPr>
          <w:rFonts w:ascii="Arial" w:hAnsi="Arial" w:cs="Arial"/>
          <w:b/>
          <w:bCs/>
          <w:lang w:val="en-US"/>
        </w:rPr>
        <w:t>127</w:t>
      </w:r>
      <w:r w:rsidRPr="00966346">
        <w:rPr>
          <w:rFonts w:ascii="Arial" w:hAnsi="Arial" w:cs="Arial"/>
          <w:lang w:val="en-US"/>
        </w:rPr>
        <w:t>(13): 1642-9.</w:t>
      </w:r>
    </w:p>
    <w:p w14:paraId="2172542C"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13.     Ferreri AJ, Blay JY, Reni M, et al. Prognostic scoring system for primary CNS lymphomas: the International Extranodal Lymphoma Study Group experience. </w:t>
      </w:r>
      <w:r w:rsidRPr="00966346">
        <w:rPr>
          <w:rFonts w:ascii="Arial" w:hAnsi="Arial" w:cs="Arial"/>
          <w:i/>
          <w:iCs/>
          <w:lang w:val="en-US"/>
        </w:rPr>
        <w:t xml:space="preserve">J Clin Oncol </w:t>
      </w:r>
      <w:r w:rsidRPr="00966346">
        <w:rPr>
          <w:rFonts w:ascii="Arial" w:hAnsi="Arial" w:cs="Arial"/>
          <w:lang w:val="en-US"/>
        </w:rPr>
        <w:t xml:space="preserve">2003; </w:t>
      </w:r>
      <w:r w:rsidRPr="00966346">
        <w:rPr>
          <w:rFonts w:ascii="Arial" w:hAnsi="Arial" w:cs="Arial"/>
          <w:b/>
          <w:bCs/>
          <w:lang w:val="en-US"/>
        </w:rPr>
        <w:t>21</w:t>
      </w:r>
      <w:r w:rsidRPr="00966346">
        <w:rPr>
          <w:rFonts w:ascii="Arial" w:hAnsi="Arial" w:cs="Arial"/>
          <w:lang w:val="en-US"/>
        </w:rPr>
        <w:t>(2): 266-72.</w:t>
      </w:r>
    </w:p>
    <w:p w14:paraId="3A13E976"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14.     Illerhaus G, Muller F, Feuerhake F, Schafer AO, Ostertag C, Finke J. High-dose chemotherapy and autologous stem-cell transplantation without consolidating radiotherapy as first-line treatment for primary lymphoma of the central nervous system. </w:t>
      </w:r>
      <w:r w:rsidRPr="00966346">
        <w:rPr>
          <w:rFonts w:ascii="Arial" w:hAnsi="Arial" w:cs="Arial"/>
          <w:i/>
          <w:iCs/>
          <w:lang w:val="en-US"/>
        </w:rPr>
        <w:t xml:space="preserve">Haematologica </w:t>
      </w:r>
      <w:r w:rsidRPr="00966346">
        <w:rPr>
          <w:rFonts w:ascii="Arial" w:hAnsi="Arial" w:cs="Arial"/>
          <w:lang w:val="en-US"/>
        </w:rPr>
        <w:t xml:space="preserve">2008; </w:t>
      </w:r>
      <w:r w:rsidRPr="00966346">
        <w:rPr>
          <w:rFonts w:ascii="Arial" w:hAnsi="Arial" w:cs="Arial"/>
          <w:b/>
          <w:bCs/>
          <w:lang w:val="en-US"/>
        </w:rPr>
        <w:t>93</w:t>
      </w:r>
      <w:r w:rsidRPr="00966346">
        <w:rPr>
          <w:rFonts w:ascii="Arial" w:hAnsi="Arial" w:cs="Arial"/>
          <w:lang w:val="en-US"/>
        </w:rPr>
        <w:t>(1): 147-8.</w:t>
      </w:r>
    </w:p>
    <w:p w14:paraId="28F026AA" w14:textId="77777777" w:rsidR="00464CF3" w:rsidRPr="00966346" w:rsidRDefault="00464CF3" w:rsidP="00464CF3">
      <w:pPr>
        <w:pStyle w:val="NormaleWeb"/>
        <w:spacing w:before="0" w:beforeAutospacing="0" w:after="120" w:afterAutospacing="0" w:line="360" w:lineRule="auto"/>
        <w:jc w:val="both"/>
        <w:rPr>
          <w:rFonts w:ascii="Arial" w:hAnsi="Arial" w:cs="Arial"/>
        </w:rPr>
      </w:pPr>
      <w:r w:rsidRPr="00966346">
        <w:rPr>
          <w:rFonts w:ascii="Arial" w:hAnsi="Arial" w:cs="Arial"/>
          <w:lang w:val="en-US"/>
        </w:rPr>
        <w:t xml:space="preserve">15.     Illerhaus G, Marks R, Ihorst G, et al. High-dose chemotherapy with autologous stem-cell transplantation and hyperfractionated radiotherapy as first-line treatment of primary CNS lymphoma. </w:t>
      </w:r>
      <w:r w:rsidRPr="00966346">
        <w:rPr>
          <w:rFonts w:ascii="Arial" w:hAnsi="Arial" w:cs="Arial"/>
          <w:i/>
          <w:iCs/>
        </w:rPr>
        <w:t xml:space="preserve">J Clin Oncol </w:t>
      </w:r>
      <w:r w:rsidRPr="00966346">
        <w:rPr>
          <w:rFonts w:ascii="Arial" w:hAnsi="Arial" w:cs="Arial"/>
        </w:rPr>
        <w:t xml:space="preserve">2006; </w:t>
      </w:r>
      <w:r w:rsidRPr="00966346">
        <w:rPr>
          <w:rFonts w:ascii="Arial" w:hAnsi="Arial" w:cs="Arial"/>
          <w:b/>
          <w:bCs/>
        </w:rPr>
        <w:t>24</w:t>
      </w:r>
      <w:r w:rsidRPr="00966346">
        <w:rPr>
          <w:rFonts w:ascii="Arial" w:hAnsi="Arial" w:cs="Arial"/>
        </w:rPr>
        <w:t>(24): 3865-70.</w:t>
      </w:r>
    </w:p>
    <w:p w14:paraId="20081696"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rPr>
        <w:t xml:space="preserve">16.     Ferreri AJ, Reni M, Foppoli M, et al. </w:t>
      </w:r>
      <w:r w:rsidRPr="00966346">
        <w:rPr>
          <w:rFonts w:ascii="Arial" w:hAnsi="Arial" w:cs="Arial"/>
          <w:lang w:val="en-US"/>
        </w:rPr>
        <w:t xml:space="preserve">High-dose cytarabine plus high-dose methotrexate versus high-dose methotrexate alone in patients with primary CNS lymphoma: a randomised phase 2 trial. </w:t>
      </w:r>
      <w:r w:rsidRPr="00966346">
        <w:rPr>
          <w:rFonts w:ascii="Arial" w:hAnsi="Arial" w:cs="Arial"/>
          <w:i/>
          <w:iCs/>
          <w:lang w:val="en-US"/>
        </w:rPr>
        <w:t xml:space="preserve">Lancet </w:t>
      </w:r>
      <w:r w:rsidRPr="00966346">
        <w:rPr>
          <w:rFonts w:ascii="Arial" w:hAnsi="Arial" w:cs="Arial"/>
          <w:lang w:val="en-US"/>
        </w:rPr>
        <w:t xml:space="preserve">2009; </w:t>
      </w:r>
      <w:r w:rsidRPr="00966346">
        <w:rPr>
          <w:rFonts w:ascii="Arial" w:hAnsi="Arial" w:cs="Arial"/>
          <w:b/>
          <w:bCs/>
          <w:lang w:val="en-US"/>
        </w:rPr>
        <w:t>374</w:t>
      </w:r>
      <w:r w:rsidRPr="00966346">
        <w:rPr>
          <w:rFonts w:ascii="Arial" w:hAnsi="Arial" w:cs="Arial"/>
          <w:lang w:val="en-US"/>
        </w:rPr>
        <w:t>: 1512-20.</w:t>
      </w:r>
    </w:p>
    <w:p w14:paraId="71572F43"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17.     Trotti A, Colevas AD, Setser A, et al. CTCAE v3.0: development of a comprehensive grading system for the adverse effects of cancer treatment. </w:t>
      </w:r>
      <w:r w:rsidRPr="00966346">
        <w:rPr>
          <w:rFonts w:ascii="Arial" w:hAnsi="Arial" w:cs="Arial"/>
          <w:i/>
          <w:iCs/>
          <w:lang w:val="en-US"/>
        </w:rPr>
        <w:t xml:space="preserve">Semin Radiat Oncol </w:t>
      </w:r>
      <w:r w:rsidRPr="00966346">
        <w:rPr>
          <w:rFonts w:ascii="Arial" w:hAnsi="Arial" w:cs="Arial"/>
          <w:lang w:val="en-US"/>
        </w:rPr>
        <w:t xml:space="preserve">2003; </w:t>
      </w:r>
      <w:r w:rsidRPr="00966346">
        <w:rPr>
          <w:rFonts w:ascii="Arial" w:hAnsi="Arial" w:cs="Arial"/>
          <w:b/>
          <w:bCs/>
          <w:lang w:val="en-US"/>
        </w:rPr>
        <w:t>13</w:t>
      </w:r>
      <w:r w:rsidRPr="00966346">
        <w:rPr>
          <w:rFonts w:ascii="Arial" w:hAnsi="Arial" w:cs="Arial"/>
          <w:lang w:val="en-US"/>
        </w:rPr>
        <w:t>(3): 176-81.</w:t>
      </w:r>
    </w:p>
    <w:p w14:paraId="38BD1513"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18.     Abrey LE, Batchelor TT, Ferreri AJ, et al. Report of an international workshop to standardize baseline evaluation and response criteria for primary CNS lymphoma. </w:t>
      </w:r>
      <w:r w:rsidRPr="00966346">
        <w:rPr>
          <w:rFonts w:ascii="Arial" w:hAnsi="Arial" w:cs="Arial"/>
          <w:i/>
          <w:iCs/>
          <w:lang w:val="en-US"/>
        </w:rPr>
        <w:t xml:space="preserve">J Clin Oncol </w:t>
      </w:r>
      <w:r w:rsidRPr="00966346">
        <w:rPr>
          <w:rFonts w:ascii="Arial" w:hAnsi="Arial" w:cs="Arial"/>
          <w:lang w:val="en-US"/>
        </w:rPr>
        <w:t xml:space="preserve">2005; </w:t>
      </w:r>
      <w:r w:rsidRPr="00966346">
        <w:rPr>
          <w:rFonts w:ascii="Arial" w:hAnsi="Arial" w:cs="Arial"/>
          <w:b/>
          <w:bCs/>
          <w:lang w:val="en-US"/>
        </w:rPr>
        <w:t>23</w:t>
      </w:r>
      <w:r w:rsidRPr="00966346">
        <w:rPr>
          <w:rFonts w:ascii="Arial" w:hAnsi="Arial" w:cs="Arial"/>
          <w:lang w:val="en-US"/>
        </w:rPr>
        <w:t>(22): 5034-43.</w:t>
      </w:r>
    </w:p>
    <w:p w14:paraId="48DE5DEE"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19.     Cheson BD, Pfistner B, Juweid ME, et al. Revised response criteria for malignant lymphoma. </w:t>
      </w:r>
      <w:r w:rsidRPr="00966346">
        <w:rPr>
          <w:rFonts w:ascii="Arial" w:hAnsi="Arial" w:cs="Arial"/>
          <w:i/>
          <w:iCs/>
          <w:lang w:val="en-US"/>
        </w:rPr>
        <w:t xml:space="preserve">J Clin Oncol </w:t>
      </w:r>
      <w:r w:rsidRPr="00966346">
        <w:rPr>
          <w:rFonts w:ascii="Arial" w:hAnsi="Arial" w:cs="Arial"/>
          <w:lang w:val="en-US"/>
        </w:rPr>
        <w:t xml:space="preserve">2007; </w:t>
      </w:r>
      <w:r w:rsidRPr="00966346">
        <w:rPr>
          <w:rFonts w:ascii="Arial" w:hAnsi="Arial" w:cs="Arial"/>
          <w:b/>
          <w:bCs/>
          <w:lang w:val="en-US"/>
        </w:rPr>
        <w:t>25</w:t>
      </w:r>
      <w:r w:rsidRPr="00966346">
        <w:rPr>
          <w:rFonts w:ascii="Arial" w:hAnsi="Arial" w:cs="Arial"/>
          <w:lang w:val="en-US"/>
        </w:rPr>
        <w:t>(5): 579-86.</w:t>
      </w:r>
    </w:p>
    <w:p w14:paraId="15C6601C"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lastRenderedPageBreak/>
        <w:t xml:space="preserve">20.     Thiel E, Korfel A, Martus P, et al. High-dose methotrexate with or without whole brain radiotherapy for primary CNS lymphoma (G-PCNSL-SG-1): a phase 3, randomised, non-inferiority trial. </w:t>
      </w:r>
      <w:r w:rsidRPr="00966346">
        <w:rPr>
          <w:rFonts w:ascii="Arial" w:hAnsi="Arial" w:cs="Arial"/>
          <w:i/>
          <w:iCs/>
          <w:lang w:val="en-US"/>
        </w:rPr>
        <w:t xml:space="preserve">Lancet Oncol </w:t>
      </w:r>
      <w:r w:rsidRPr="00966346">
        <w:rPr>
          <w:rFonts w:ascii="Arial" w:hAnsi="Arial" w:cs="Arial"/>
          <w:lang w:val="en-US"/>
        </w:rPr>
        <w:t xml:space="preserve">2010; </w:t>
      </w:r>
      <w:r w:rsidRPr="00966346">
        <w:rPr>
          <w:rFonts w:ascii="Arial" w:hAnsi="Arial" w:cs="Arial"/>
          <w:b/>
          <w:bCs/>
          <w:lang w:val="en-US"/>
        </w:rPr>
        <w:t>11</w:t>
      </w:r>
      <w:r w:rsidRPr="00966346">
        <w:rPr>
          <w:rFonts w:ascii="Arial" w:hAnsi="Arial" w:cs="Arial"/>
          <w:lang w:val="en-US"/>
        </w:rPr>
        <w:t>(11): 1036-47.</w:t>
      </w:r>
    </w:p>
    <w:p w14:paraId="7661D42E"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21.     Ferreri AJ, Deangelis L, Illerhaus G, O'Neill BP, Reni M, Soussain C, Yahalom J. Whole-brain radiotherapy in primary CNS lymphoma. </w:t>
      </w:r>
      <w:r w:rsidRPr="00966346">
        <w:rPr>
          <w:rFonts w:ascii="Arial" w:hAnsi="Arial" w:cs="Arial"/>
          <w:i/>
          <w:iCs/>
          <w:lang w:val="en-US"/>
        </w:rPr>
        <w:t xml:space="preserve">Lancet Oncol </w:t>
      </w:r>
      <w:r w:rsidRPr="00966346">
        <w:rPr>
          <w:rFonts w:ascii="Arial" w:hAnsi="Arial" w:cs="Arial"/>
          <w:lang w:val="en-US"/>
        </w:rPr>
        <w:t xml:space="preserve">2011; </w:t>
      </w:r>
      <w:r w:rsidRPr="00966346">
        <w:rPr>
          <w:rFonts w:ascii="Arial" w:hAnsi="Arial" w:cs="Arial"/>
          <w:b/>
          <w:bCs/>
          <w:lang w:val="en-US"/>
        </w:rPr>
        <w:t>12</w:t>
      </w:r>
      <w:r w:rsidRPr="00966346">
        <w:rPr>
          <w:rFonts w:ascii="Arial" w:hAnsi="Arial" w:cs="Arial"/>
          <w:lang w:val="en-US"/>
        </w:rPr>
        <w:t>(2): 118-9.</w:t>
      </w:r>
    </w:p>
    <w:p w14:paraId="2215E9E4"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22.     DeAngelis LM. Radiotherapy: has the role of WBRT in primary CNS lymphoma been settled? </w:t>
      </w:r>
      <w:r w:rsidRPr="00966346">
        <w:rPr>
          <w:rFonts w:ascii="Arial" w:hAnsi="Arial" w:cs="Arial"/>
          <w:i/>
          <w:iCs/>
          <w:lang w:val="en-US"/>
        </w:rPr>
        <w:t xml:space="preserve">Nat Rev Clin Oncol </w:t>
      </w:r>
      <w:r w:rsidRPr="00966346">
        <w:rPr>
          <w:rFonts w:ascii="Arial" w:hAnsi="Arial" w:cs="Arial"/>
          <w:lang w:val="en-US"/>
        </w:rPr>
        <w:t xml:space="preserve">2011; </w:t>
      </w:r>
      <w:r w:rsidRPr="00966346">
        <w:rPr>
          <w:rFonts w:ascii="Arial" w:hAnsi="Arial" w:cs="Arial"/>
          <w:b/>
          <w:bCs/>
          <w:lang w:val="en-US"/>
        </w:rPr>
        <w:t>8</w:t>
      </w:r>
      <w:r w:rsidRPr="00966346">
        <w:rPr>
          <w:rFonts w:ascii="Arial" w:hAnsi="Arial" w:cs="Arial"/>
          <w:lang w:val="en-US"/>
        </w:rPr>
        <w:t>(4): 196-8.</w:t>
      </w:r>
    </w:p>
    <w:p w14:paraId="3DBA8900"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23.     Lai R, Rosenblum MK, DeAngelis LM. Primary CNS lymphoma: a whole-brain disease? </w:t>
      </w:r>
      <w:r w:rsidRPr="00966346">
        <w:rPr>
          <w:rFonts w:ascii="Arial" w:hAnsi="Arial" w:cs="Arial"/>
          <w:i/>
          <w:iCs/>
          <w:lang w:val="en-US"/>
        </w:rPr>
        <w:t xml:space="preserve">Neurology </w:t>
      </w:r>
      <w:r w:rsidRPr="00966346">
        <w:rPr>
          <w:rFonts w:ascii="Arial" w:hAnsi="Arial" w:cs="Arial"/>
          <w:lang w:val="en-US"/>
        </w:rPr>
        <w:t xml:space="preserve">2002; </w:t>
      </w:r>
      <w:r w:rsidRPr="00966346">
        <w:rPr>
          <w:rFonts w:ascii="Arial" w:hAnsi="Arial" w:cs="Arial"/>
          <w:b/>
          <w:bCs/>
          <w:lang w:val="en-US"/>
        </w:rPr>
        <w:t>59</w:t>
      </w:r>
      <w:r w:rsidRPr="00966346">
        <w:rPr>
          <w:rFonts w:ascii="Arial" w:hAnsi="Arial" w:cs="Arial"/>
          <w:lang w:val="en-US"/>
        </w:rPr>
        <w:t>(10): 1557-62.</w:t>
      </w:r>
    </w:p>
    <w:p w14:paraId="38268F2E"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24.     Ferreri AJ, Blay JY, Reni M, et al. Relevance of intraocular involvement in the management of primary central nervous system lymphomas. </w:t>
      </w:r>
      <w:r w:rsidRPr="00966346">
        <w:rPr>
          <w:rFonts w:ascii="Arial" w:hAnsi="Arial" w:cs="Arial"/>
          <w:i/>
          <w:iCs/>
          <w:lang w:val="en-US"/>
        </w:rPr>
        <w:t xml:space="preserve">Ann Oncol </w:t>
      </w:r>
      <w:r w:rsidRPr="00966346">
        <w:rPr>
          <w:rFonts w:ascii="Arial" w:hAnsi="Arial" w:cs="Arial"/>
          <w:lang w:val="en-US"/>
        </w:rPr>
        <w:t xml:space="preserve">2002; </w:t>
      </w:r>
      <w:r w:rsidRPr="00966346">
        <w:rPr>
          <w:rFonts w:ascii="Arial" w:hAnsi="Arial" w:cs="Arial"/>
          <w:b/>
          <w:bCs/>
          <w:lang w:val="en-US"/>
        </w:rPr>
        <w:t>13</w:t>
      </w:r>
      <w:r w:rsidRPr="00966346">
        <w:rPr>
          <w:rFonts w:ascii="Arial" w:hAnsi="Arial" w:cs="Arial"/>
          <w:lang w:val="en-US"/>
        </w:rPr>
        <w:t>(4): 531-8.</w:t>
      </w:r>
    </w:p>
    <w:p w14:paraId="3A4FAACF"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25.     Ferreri AJ, Verona C, Politi L, Chiara A, Perna L, Villa E, Reni M. Consolidation radiotherapy in primary CNS lymphomas: impact on outcome of different fields and doses in patients in complete remission after upfront chemotherapy. </w:t>
      </w:r>
      <w:r w:rsidRPr="00966346">
        <w:rPr>
          <w:rFonts w:ascii="Arial" w:hAnsi="Arial" w:cs="Arial"/>
          <w:i/>
          <w:iCs/>
          <w:lang w:val="en-US"/>
        </w:rPr>
        <w:t xml:space="preserve">Int J Radiat Oncol Biol Phys </w:t>
      </w:r>
      <w:r w:rsidRPr="00966346">
        <w:rPr>
          <w:rFonts w:ascii="Arial" w:hAnsi="Arial" w:cs="Arial"/>
          <w:lang w:val="en-US"/>
        </w:rPr>
        <w:t xml:space="preserve">2011; </w:t>
      </w:r>
      <w:r w:rsidRPr="00966346">
        <w:rPr>
          <w:rFonts w:ascii="Arial" w:hAnsi="Arial" w:cs="Arial"/>
          <w:b/>
          <w:bCs/>
          <w:lang w:val="en-US"/>
        </w:rPr>
        <w:t>80</w:t>
      </w:r>
      <w:r w:rsidRPr="00966346">
        <w:rPr>
          <w:rFonts w:ascii="Arial" w:hAnsi="Arial" w:cs="Arial"/>
          <w:lang w:val="en-US"/>
        </w:rPr>
        <w:t>(1): 169-75.</w:t>
      </w:r>
    </w:p>
    <w:p w14:paraId="1D588B89"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26.     Illerhaus G, Kasenda B, Ihorst G, et al. High-dose chemotherapy with autologous haemopoietic stem cell transplantation for newly diagnosed primary CNS lymphoma: a prospective, single-arm, phase 2 trial. </w:t>
      </w:r>
      <w:r w:rsidRPr="00966346">
        <w:rPr>
          <w:rFonts w:ascii="Arial" w:hAnsi="Arial" w:cs="Arial"/>
          <w:i/>
          <w:iCs/>
          <w:lang w:val="en-US"/>
        </w:rPr>
        <w:t xml:space="preserve">Lancet Haematol </w:t>
      </w:r>
      <w:r w:rsidRPr="00966346">
        <w:rPr>
          <w:rFonts w:ascii="Arial" w:hAnsi="Arial" w:cs="Arial"/>
          <w:lang w:val="en-US"/>
        </w:rPr>
        <w:t xml:space="preserve">2016; </w:t>
      </w:r>
      <w:r w:rsidRPr="00966346">
        <w:rPr>
          <w:rFonts w:ascii="Arial" w:hAnsi="Arial" w:cs="Arial"/>
          <w:b/>
          <w:bCs/>
          <w:lang w:val="en-US"/>
        </w:rPr>
        <w:t>3</w:t>
      </w:r>
      <w:r w:rsidRPr="00966346">
        <w:rPr>
          <w:rFonts w:ascii="Arial" w:hAnsi="Arial" w:cs="Arial"/>
          <w:lang w:val="en-US"/>
        </w:rPr>
        <w:t>(8): e388-97.</w:t>
      </w:r>
    </w:p>
    <w:p w14:paraId="68EDD36B"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27.     Abrey LE, Moskowitz CH, Mason WP, et al. Intensive methotrexate and cytarabine followed by high-dose chemotherapy with autologous stem-cell rescue in patients with newly diagnosed primary CNS lymphoma: an intent-to-treat analysis. </w:t>
      </w:r>
      <w:r w:rsidRPr="00966346">
        <w:rPr>
          <w:rFonts w:ascii="Arial" w:hAnsi="Arial" w:cs="Arial"/>
          <w:i/>
          <w:iCs/>
          <w:lang w:val="en-US"/>
        </w:rPr>
        <w:t xml:space="preserve">J Clin Oncol </w:t>
      </w:r>
      <w:r w:rsidRPr="00966346">
        <w:rPr>
          <w:rFonts w:ascii="Arial" w:hAnsi="Arial" w:cs="Arial"/>
          <w:lang w:val="en-US"/>
        </w:rPr>
        <w:t xml:space="preserve">2003; </w:t>
      </w:r>
      <w:r w:rsidRPr="00966346">
        <w:rPr>
          <w:rFonts w:ascii="Arial" w:hAnsi="Arial" w:cs="Arial"/>
          <w:b/>
          <w:bCs/>
          <w:lang w:val="en-US"/>
        </w:rPr>
        <w:t>21</w:t>
      </w:r>
      <w:r w:rsidRPr="00966346">
        <w:rPr>
          <w:rFonts w:ascii="Arial" w:hAnsi="Arial" w:cs="Arial"/>
          <w:lang w:val="en-US"/>
        </w:rPr>
        <w:t>(22): 4151-6.</w:t>
      </w:r>
    </w:p>
    <w:p w14:paraId="06D4A91C"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28.     Colombat P, Lemevel A, Bertrand P, et al. High-dose chemotherapy with autologous stem cell transplantation as first-line therapy for primary CNS lymphoma in patients younger than 60 years: a multicenter phase II study of the GOELAMS group. </w:t>
      </w:r>
      <w:r w:rsidRPr="00966346">
        <w:rPr>
          <w:rFonts w:ascii="Arial" w:hAnsi="Arial" w:cs="Arial"/>
          <w:i/>
          <w:iCs/>
          <w:lang w:val="en-US"/>
        </w:rPr>
        <w:t xml:space="preserve">Bone Marrow Transplant </w:t>
      </w:r>
      <w:r w:rsidRPr="00966346">
        <w:rPr>
          <w:rFonts w:ascii="Arial" w:hAnsi="Arial" w:cs="Arial"/>
          <w:lang w:val="en-US"/>
        </w:rPr>
        <w:t xml:space="preserve">2006; </w:t>
      </w:r>
      <w:r w:rsidRPr="00966346">
        <w:rPr>
          <w:rFonts w:ascii="Arial" w:hAnsi="Arial" w:cs="Arial"/>
          <w:b/>
          <w:bCs/>
          <w:lang w:val="en-US"/>
        </w:rPr>
        <w:t>38</w:t>
      </w:r>
      <w:r w:rsidRPr="00966346">
        <w:rPr>
          <w:rFonts w:ascii="Arial" w:hAnsi="Arial" w:cs="Arial"/>
          <w:lang w:val="en-US"/>
        </w:rPr>
        <w:t>(6): 417-20.</w:t>
      </w:r>
    </w:p>
    <w:p w14:paraId="2768469A"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lastRenderedPageBreak/>
        <w:t xml:space="preserve">29.     Wiebe VJ, Smith BR, DeGregorio MW, Rappeport JM. Pharmacology of agents used in bone marrow transplant conditioning regimens. </w:t>
      </w:r>
      <w:r w:rsidRPr="00966346">
        <w:rPr>
          <w:rFonts w:ascii="Arial" w:hAnsi="Arial" w:cs="Arial"/>
          <w:i/>
          <w:iCs/>
          <w:lang w:val="en-US"/>
        </w:rPr>
        <w:t xml:space="preserve">Crit Rev Oncol Hematol </w:t>
      </w:r>
      <w:r w:rsidRPr="00966346">
        <w:rPr>
          <w:rFonts w:ascii="Arial" w:hAnsi="Arial" w:cs="Arial"/>
          <w:lang w:val="en-US"/>
        </w:rPr>
        <w:t xml:space="preserve">1992; </w:t>
      </w:r>
      <w:r w:rsidRPr="00966346">
        <w:rPr>
          <w:rFonts w:ascii="Arial" w:hAnsi="Arial" w:cs="Arial"/>
          <w:b/>
          <w:bCs/>
          <w:lang w:val="en-US"/>
        </w:rPr>
        <w:t>13</w:t>
      </w:r>
      <w:r w:rsidRPr="00966346">
        <w:rPr>
          <w:rFonts w:ascii="Arial" w:hAnsi="Arial" w:cs="Arial"/>
          <w:lang w:val="en-US"/>
        </w:rPr>
        <w:t>(3): 241-70.</w:t>
      </w:r>
    </w:p>
    <w:p w14:paraId="66695AF5"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30.     Kasenda B, Schorb E, Fritsch K, Finke J, Illerhaus G. Prognosis after high-dose chemotherapy followed by autologous stem-cell transplantation as first-line treatment in primary CNS lymphoma--a long-term follow-up study. </w:t>
      </w:r>
      <w:r w:rsidRPr="00966346">
        <w:rPr>
          <w:rFonts w:ascii="Arial" w:hAnsi="Arial" w:cs="Arial"/>
          <w:i/>
          <w:iCs/>
          <w:lang w:val="en-US"/>
        </w:rPr>
        <w:t xml:space="preserve">Ann Oncol </w:t>
      </w:r>
      <w:r w:rsidRPr="00966346">
        <w:rPr>
          <w:rFonts w:ascii="Arial" w:hAnsi="Arial" w:cs="Arial"/>
          <w:lang w:val="en-US"/>
        </w:rPr>
        <w:t xml:space="preserve">2012; </w:t>
      </w:r>
      <w:r w:rsidRPr="00966346">
        <w:rPr>
          <w:rFonts w:ascii="Arial" w:hAnsi="Arial" w:cs="Arial"/>
          <w:b/>
          <w:bCs/>
          <w:lang w:val="en-US"/>
        </w:rPr>
        <w:t>23</w:t>
      </w:r>
      <w:r w:rsidRPr="00966346">
        <w:rPr>
          <w:rFonts w:ascii="Arial" w:hAnsi="Arial" w:cs="Arial"/>
          <w:lang w:val="en-US"/>
        </w:rPr>
        <w:t>(10): 2670-5.</w:t>
      </w:r>
    </w:p>
    <w:p w14:paraId="72D3611C"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31.     Montemurro M, Kiefer T, Schuler F, et al. Primary central nervous system lymphoma treated with high-dose methotrexate, high-dose busulfan/thiotepa, autologous stem-cell transplantation and response-adapted whole-brain radiotherapy: results of the multicenter Ostdeutsche Studiengruppe Hamato-Onkologie OSHO-53 phase II study. </w:t>
      </w:r>
      <w:r w:rsidRPr="00966346">
        <w:rPr>
          <w:rFonts w:ascii="Arial" w:hAnsi="Arial" w:cs="Arial"/>
          <w:i/>
          <w:iCs/>
          <w:lang w:val="en-US"/>
        </w:rPr>
        <w:t xml:space="preserve">Ann Oncol </w:t>
      </w:r>
      <w:r w:rsidRPr="00966346">
        <w:rPr>
          <w:rFonts w:ascii="Arial" w:hAnsi="Arial" w:cs="Arial"/>
          <w:lang w:val="en-US"/>
        </w:rPr>
        <w:t xml:space="preserve">2007; </w:t>
      </w:r>
      <w:r w:rsidRPr="00966346">
        <w:rPr>
          <w:rFonts w:ascii="Arial" w:hAnsi="Arial" w:cs="Arial"/>
          <w:b/>
          <w:bCs/>
          <w:lang w:val="en-US"/>
        </w:rPr>
        <w:t>18</w:t>
      </w:r>
      <w:r w:rsidRPr="00966346">
        <w:rPr>
          <w:rFonts w:ascii="Arial" w:hAnsi="Arial" w:cs="Arial"/>
          <w:lang w:val="en-US"/>
        </w:rPr>
        <w:t>(4): 665-71.</w:t>
      </w:r>
    </w:p>
    <w:p w14:paraId="324175E5"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32.     Alimohamed N, Daly A, Owen C, Duggan P, Stewart DA. Upfront thiotepa, busulfan, cyclophosphamide, and autologous stem cell transplantation for primary CNS lymphoma: a single centre experience. </w:t>
      </w:r>
      <w:r w:rsidRPr="00966346">
        <w:rPr>
          <w:rFonts w:ascii="Arial" w:hAnsi="Arial" w:cs="Arial"/>
          <w:i/>
          <w:iCs/>
          <w:lang w:val="en-US"/>
        </w:rPr>
        <w:t xml:space="preserve">Leuk Lymphoma </w:t>
      </w:r>
      <w:r w:rsidRPr="00966346">
        <w:rPr>
          <w:rFonts w:ascii="Arial" w:hAnsi="Arial" w:cs="Arial"/>
          <w:lang w:val="en-US"/>
        </w:rPr>
        <w:t xml:space="preserve">2012; </w:t>
      </w:r>
      <w:r w:rsidRPr="00966346">
        <w:rPr>
          <w:rFonts w:ascii="Arial" w:hAnsi="Arial" w:cs="Arial"/>
          <w:b/>
          <w:bCs/>
          <w:lang w:val="en-US"/>
        </w:rPr>
        <w:t>53</w:t>
      </w:r>
      <w:r w:rsidRPr="00966346">
        <w:rPr>
          <w:rFonts w:ascii="Arial" w:hAnsi="Arial" w:cs="Arial"/>
          <w:lang w:val="en-US"/>
        </w:rPr>
        <w:t>(5): 862-7.</w:t>
      </w:r>
    </w:p>
    <w:p w14:paraId="14549C73" w14:textId="77777777" w:rsidR="00464CF3" w:rsidRPr="00966346" w:rsidRDefault="00464CF3" w:rsidP="00464CF3">
      <w:pPr>
        <w:pStyle w:val="NormaleWeb"/>
        <w:spacing w:before="0" w:beforeAutospacing="0" w:after="120" w:afterAutospacing="0" w:line="360" w:lineRule="auto"/>
        <w:jc w:val="both"/>
        <w:rPr>
          <w:rFonts w:ascii="Arial" w:hAnsi="Arial" w:cs="Arial"/>
          <w:lang w:val="en-US"/>
        </w:rPr>
      </w:pPr>
      <w:r w:rsidRPr="00966346">
        <w:rPr>
          <w:rFonts w:ascii="Arial" w:hAnsi="Arial" w:cs="Arial"/>
          <w:lang w:val="en-US"/>
        </w:rPr>
        <w:t xml:space="preserve">33.     Doolittle ND, Korfel A, Lubow MA, et al. Long-term cognitive function, neuroimaging, and quality of life in primary CNS lymphoma. </w:t>
      </w:r>
      <w:r w:rsidRPr="00966346">
        <w:rPr>
          <w:rFonts w:ascii="Arial" w:hAnsi="Arial" w:cs="Arial"/>
          <w:i/>
          <w:iCs/>
          <w:lang w:val="en-US"/>
        </w:rPr>
        <w:t xml:space="preserve">Neurology </w:t>
      </w:r>
      <w:r w:rsidRPr="00966346">
        <w:rPr>
          <w:rFonts w:ascii="Arial" w:hAnsi="Arial" w:cs="Arial"/>
          <w:lang w:val="en-US"/>
        </w:rPr>
        <w:t xml:space="preserve">2013; </w:t>
      </w:r>
      <w:r w:rsidRPr="00966346">
        <w:rPr>
          <w:rFonts w:ascii="Arial" w:hAnsi="Arial" w:cs="Arial"/>
          <w:b/>
          <w:bCs/>
          <w:lang w:val="en-US"/>
        </w:rPr>
        <w:t>81</w:t>
      </w:r>
      <w:r w:rsidRPr="00966346">
        <w:rPr>
          <w:rFonts w:ascii="Arial" w:hAnsi="Arial" w:cs="Arial"/>
          <w:lang w:val="en-US"/>
        </w:rPr>
        <w:t>(1): 84-92.</w:t>
      </w:r>
    </w:p>
    <w:p w14:paraId="0D029B7B" w14:textId="77777777" w:rsidR="00464CF3" w:rsidRPr="00966346" w:rsidRDefault="00464CF3" w:rsidP="00464CF3">
      <w:pPr>
        <w:pStyle w:val="NormaleWeb"/>
        <w:spacing w:before="0" w:beforeAutospacing="0" w:after="120" w:afterAutospacing="0" w:line="360" w:lineRule="auto"/>
        <w:jc w:val="both"/>
        <w:rPr>
          <w:rFonts w:ascii="Arial" w:hAnsi="Arial" w:cs="Arial"/>
        </w:rPr>
      </w:pPr>
      <w:r w:rsidRPr="00966346">
        <w:rPr>
          <w:rFonts w:ascii="Arial" w:hAnsi="Arial" w:cs="Arial"/>
          <w:lang w:val="en-US"/>
        </w:rPr>
        <w:t xml:space="preserve">34.     Houillier C, Taillandier L, Lamy T, et al. Whole Brain Radiotherapy (WBRT) Versus Intensive Chemotherapy with Haematopoietic Stem Cell Rescue (IC + HCR) for Primary Central Nervous System Lymphoma (PCNSL) in Young Patients: An Intergroup Anocef-Goelams Randomized Phase II Trial (PRECIS). </w:t>
      </w:r>
      <w:r w:rsidRPr="00966346">
        <w:rPr>
          <w:rFonts w:ascii="Arial" w:hAnsi="Arial" w:cs="Arial"/>
          <w:i/>
          <w:iCs/>
        </w:rPr>
        <w:t xml:space="preserve">Blood </w:t>
      </w:r>
      <w:r w:rsidRPr="00966346">
        <w:rPr>
          <w:rFonts w:ascii="Arial" w:hAnsi="Arial" w:cs="Arial"/>
        </w:rPr>
        <w:t xml:space="preserve">2016; </w:t>
      </w:r>
      <w:r w:rsidRPr="00966346">
        <w:rPr>
          <w:rFonts w:ascii="Arial" w:hAnsi="Arial" w:cs="Arial"/>
          <w:b/>
          <w:bCs/>
        </w:rPr>
        <w:t>128 (22)</w:t>
      </w:r>
      <w:r w:rsidRPr="00966346">
        <w:rPr>
          <w:rFonts w:ascii="Arial" w:hAnsi="Arial" w:cs="Arial"/>
        </w:rPr>
        <w:t>: Abstract #782.</w:t>
      </w:r>
    </w:p>
    <w:p w14:paraId="38137DE6" w14:textId="77777777" w:rsidR="00AA18F5" w:rsidRPr="003748E8" w:rsidRDefault="00464CF3" w:rsidP="00464CF3">
      <w:pPr>
        <w:rPr>
          <w:rFonts w:ascii="Arial" w:hAnsi="Arial" w:cs="Arial"/>
          <w:sz w:val="24"/>
          <w:szCs w:val="24"/>
        </w:rPr>
      </w:pPr>
      <w:r w:rsidRPr="00966346">
        <w:rPr>
          <w:rFonts w:ascii="Arial" w:eastAsia="Times New Roman" w:hAnsi="Arial" w:cs="Arial"/>
          <w:sz w:val="24"/>
        </w:rPr>
        <w:t> </w:t>
      </w:r>
      <w:r w:rsidR="00FA4AAE" w:rsidRPr="00966346">
        <w:rPr>
          <w:rFonts w:ascii="Arial" w:hAnsi="Arial" w:cs="Arial"/>
          <w:sz w:val="24"/>
          <w:szCs w:val="24"/>
        </w:rPr>
        <w:fldChar w:fldCharType="end"/>
      </w:r>
    </w:p>
    <w:p w14:paraId="5ED1AD94" w14:textId="77777777" w:rsidR="003748E8" w:rsidRPr="003748E8" w:rsidRDefault="003748E8" w:rsidP="001F791E">
      <w:pPr>
        <w:spacing w:after="0" w:line="360" w:lineRule="auto"/>
        <w:jc w:val="both"/>
        <w:rPr>
          <w:rFonts w:ascii="Arial" w:hAnsi="Arial" w:cs="Arial"/>
          <w:sz w:val="24"/>
          <w:szCs w:val="24"/>
        </w:rPr>
      </w:pPr>
    </w:p>
    <w:p w14:paraId="2CFCFC7B" w14:textId="77777777" w:rsidR="003748E8" w:rsidRPr="003748E8" w:rsidRDefault="003748E8" w:rsidP="001F791E">
      <w:pPr>
        <w:spacing w:after="0" w:line="360" w:lineRule="auto"/>
        <w:jc w:val="both"/>
        <w:rPr>
          <w:rFonts w:ascii="Arial" w:hAnsi="Arial" w:cs="Arial"/>
          <w:sz w:val="24"/>
          <w:szCs w:val="24"/>
        </w:rPr>
      </w:pPr>
    </w:p>
    <w:p w14:paraId="006EBBE0" w14:textId="77777777" w:rsidR="003748E8" w:rsidRPr="003748E8" w:rsidRDefault="003748E8" w:rsidP="001F791E">
      <w:pPr>
        <w:spacing w:after="0" w:line="360" w:lineRule="auto"/>
        <w:jc w:val="both"/>
        <w:rPr>
          <w:rFonts w:ascii="Arial" w:hAnsi="Arial" w:cs="Arial"/>
          <w:sz w:val="24"/>
          <w:szCs w:val="24"/>
        </w:rPr>
      </w:pPr>
    </w:p>
    <w:sectPr w:rsidR="003748E8" w:rsidRPr="003748E8" w:rsidSect="00341912">
      <w:headerReference w:type="default" r:id="rId13"/>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7BC36" w14:textId="77777777" w:rsidR="00754B32" w:rsidRDefault="00754B32" w:rsidP="00633CBB">
      <w:pPr>
        <w:spacing w:after="0" w:line="240" w:lineRule="auto"/>
      </w:pPr>
      <w:r>
        <w:separator/>
      </w:r>
    </w:p>
  </w:endnote>
  <w:endnote w:type="continuationSeparator" w:id="0">
    <w:p w14:paraId="0E2608ED" w14:textId="77777777" w:rsidR="00754B32" w:rsidRDefault="00754B32" w:rsidP="0063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Regular">
    <w:altName w:val="Cambria"/>
    <w:panose1 w:val="00000000000000000000"/>
    <w:charset w:val="00"/>
    <w:family w:val="roman"/>
    <w:notTrueType/>
    <w:pitch w:val="default"/>
    <w:sig w:usb0="00000003" w:usb1="00000000" w:usb2="00000000" w:usb3="00000000" w:csb0="00000001" w:csb1="00000000"/>
  </w:font>
  <w:font w:name="Source Sans Pro">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1FBAA" w14:textId="77777777" w:rsidR="00754B32" w:rsidRDefault="00754B32" w:rsidP="00633CBB">
      <w:pPr>
        <w:spacing w:after="0" w:line="240" w:lineRule="auto"/>
      </w:pPr>
      <w:r>
        <w:separator/>
      </w:r>
    </w:p>
  </w:footnote>
  <w:footnote w:type="continuationSeparator" w:id="0">
    <w:p w14:paraId="1C487AFF" w14:textId="77777777" w:rsidR="00754B32" w:rsidRDefault="00754B32" w:rsidP="00633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099254"/>
      <w:docPartObj>
        <w:docPartGallery w:val="Page Numbers (Top of Page)"/>
        <w:docPartUnique/>
      </w:docPartObj>
    </w:sdtPr>
    <w:sdtEndPr/>
    <w:sdtContent>
      <w:p w14:paraId="23D1CC2C" w14:textId="77777777" w:rsidR="008E7A2A" w:rsidRDefault="008E7A2A">
        <w:pPr>
          <w:pStyle w:val="Intestazione"/>
          <w:jc w:val="right"/>
        </w:pPr>
        <w:r>
          <w:fldChar w:fldCharType="begin"/>
        </w:r>
        <w:r>
          <w:instrText>PAGE   \* MERGEFORMAT</w:instrText>
        </w:r>
        <w:r>
          <w:fldChar w:fldCharType="separate"/>
        </w:r>
        <w:r w:rsidR="00817FD3" w:rsidRPr="00817FD3">
          <w:rPr>
            <w:noProof/>
            <w:lang w:val="it-IT"/>
          </w:rPr>
          <w:t>37</w:t>
        </w:r>
        <w:r>
          <w:rPr>
            <w:noProof/>
            <w:lang w:val="it-IT"/>
          </w:rPr>
          <w:fldChar w:fldCharType="end"/>
        </w:r>
      </w:p>
    </w:sdtContent>
  </w:sdt>
  <w:p w14:paraId="4292868E" w14:textId="77777777" w:rsidR="008E7A2A" w:rsidRDefault="008E7A2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28E7"/>
    <w:multiLevelType w:val="multilevel"/>
    <w:tmpl w:val="D84E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65DCB"/>
    <w:multiLevelType w:val="hybridMultilevel"/>
    <w:tmpl w:val="23B66968"/>
    <w:lvl w:ilvl="0" w:tplc="27820CB2">
      <w:start w:val="1"/>
      <w:numFmt w:val="bullet"/>
      <w:lvlText w:val="-"/>
      <w:lvlJc w:val="left"/>
      <w:pPr>
        <w:tabs>
          <w:tab w:val="num" w:pos="720"/>
        </w:tabs>
        <w:ind w:left="720" w:hanging="360"/>
      </w:pPr>
      <w:rPr>
        <w:rFonts w:ascii="Times New Roman" w:hAnsi="Times New Roman" w:hint="default"/>
      </w:rPr>
    </w:lvl>
    <w:lvl w:ilvl="1" w:tplc="7792AE0A" w:tentative="1">
      <w:start w:val="1"/>
      <w:numFmt w:val="bullet"/>
      <w:lvlText w:val="-"/>
      <w:lvlJc w:val="left"/>
      <w:pPr>
        <w:tabs>
          <w:tab w:val="num" w:pos="1440"/>
        </w:tabs>
        <w:ind w:left="1440" w:hanging="360"/>
      </w:pPr>
      <w:rPr>
        <w:rFonts w:ascii="Times New Roman" w:hAnsi="Times New Roman" w:hint="default"/>
      </w:rPr>
    </w:lvl>
    <w:lvl w:ilvl="2" w:tplc="35460D84" w:tentative="1">
      <w:start w:val="1"/>
      <w:numFmt w:val="bullet"/>
      <w:lvlText w:val="-"/>
      <w:lvlJc w:val="left"/>
      <w:pPr>
        <w:tabs>
          <w:tab w:val="num" w:pos="2160"/>
        </w:tabs>
        <w:ind w:left="2160" w:hanging="360"/>
      </w:pPr>
      <w:rPr>
        <w:rFonts w:ascii="Times New Roman" w:hAnsi="Times New Roman" w:hint="default"/>
      </w:rPr>
    </w:lvl>
    <w:lvl w:ilvl="3" w:tplc="C12A1D1E" w:tentative="1">
      <w:start w:val="1"/>
      <w:numFmt w:val="bullet"/>
      <w:lvlText w:val="-"/>
      <w:lvlJc w:val="left"/>
      <w:pPr>
        <w:tabs>
          <w:tab w:val="num" w:pos="2880"/>
        </w:tabs>
        <w:ind w:left="2880" w:hanging="360"/>
      </w:pPr>
      <w:rPr>
        <w:rFonts w:ascii="Times New Roman" w:hAnsi="Times New Roman" w:hint="default"/>
      </w:rPr>
    </w:lvl>
    <w:lvl w:ilvl="4" w:tplc="86C01942" w:tentative="1">
      <w:start w:val="1"/>
      <w:numFmt w:val="bullet"/>
      <w:lvlText w:val="-"/>
      <w:lvlJc w:val="left"/>
      <w:pPr>
        <w:tabs>
          <w:tab w:val="num" w:pos="3600"/>
        </w:tabs>
        <w:ind w:left="3600" w:hanging="360"/>
      </w:pPr>
      <w:rPr>
        <w:rFonts w:ascii="Times New Roman" w:hAnsi="Times New Roman" w:hint="default"/>
      </w:rPr>
    </w:lvl>
    <w:lvl w:ilvl="5" w:tplc="7CD0A122" w:tentative="1">
      <w:start w:val="1"/>
      <w:numFmt w:val="bullet"/>
      <w:lvlText w:val="-"/>
      <w:lvlJc w:val="left"/>
      <w:pPr>
        <w:tabs>
          <w:tab w:val="num" w:pos="4320"/>
        </w:tabs>
        <w:ind w:left="4320" w:hanging="360"/>
      </w:pPr>
      <w:rPr>
        <w:rFonts w:ascii="Times New Roman" w:hAnsi="Times New Roman" w:hint="default"/>
      </w:rPr>
    </w:lvl>
    <w:lvl w:ilvl="6" w:tplc="128A8D6C" w:tentative="1">
      <w:start w:val="1"/>
      <w:numFmt w:val="bullet"/>
      <w:lvlText w:val="-"/>
      <w:lvlJc w:val="left"/>
      <w:pPr>
        <w:tabs>
          <w:tab w:val="num" w:pos="5040"/>
        </w:tabs>
        <w:ind w:left="5040" w:hanging="360"/>
      </w:pPr>
      <w:rPr>
        <w:rFonts w:ascii="Times New Roman" w:hAnsi="Times New Roman" w:hint="default"/>
      </w:rPr>
    </w:lvl>
    <w:lvl w:ilvl="7" w:tplc="E794D854" w:tentative="1">
      <w:start w:val="1"/>
      <w:numFmt w:val="bullet"/>
      <w:lvlText w:val="-"/>
      <w:lvlJc w:val="left"/>
      <w:pPr>
        <w:tabs>
          <w:tab w:val="num" w:pos="5760"/>
        </w:tabs>
        <w:ind w:left="5760" w:hanging="360"/>
      </w:pPr>
      <w:rPr>
        <w:rFonts w:ascii="Times New Roman" w:hAnsi="Times New Roman" w:hint="default"/>
      </w:rPr>
    </w:lvl>
    <w:lvl w:ilvl="8" w:tplc="8CB0B39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DF8392A"/>
    <w:multiLevelType w:val="hybridMultilevel"/>
    <w:tmpl w:val="6D68A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99A5A86"/>
    <w:multiLevelType w:val="hybridMultilevel"/>
    <w:tmpl w:val="3D068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79"/>
    <w:rsid w:val="00002116"/>
    <w:rsid w:val="000023FD"/>
    <w:rsid w:val="00002409"/>
    <w:rsid w:val="0000275F"/>
    <w:rsid w:val="00002A80"/>
    <w:rsid w:val="00002ACB"/>
    <w:rsid w:val="00003A04"/>
    <w:rsid w:val="0000485D"/>
    <w:rsid w:val="00004C0A"/>
    <w:rsid w:val="00005943"/>
    <w:rsid w:val="0001141C"/>
    <w:rsid w:val="0001227B"/>
    <w:rsid w:val="0001522C"/>
    <w:rsid w:val="0002065C"/>
    <w:rsid w:val="00020D1B"/>
    <w:rsid w:val="00021DE6"/>
    <w:rsid w:val="000269D8"/>
    <w:rsid w:val="00030229"/>
    <w:rsid w:val="00030B3D"/>
    <w:rsid w:val="00033511"/>
    <w:rsid w:val="00040615"/>
    <w:rsid w:val="00041393"/>
    <w:rsid w:val="0004231A"/>
    <w:rsid w:val="000430CA"/>
    <w:rsid w:val="000439A1"/>
    <w:rsid w:val="0004795F"/>
    <w:rsid w:val="00051CAD"/>
    <w:rsid w:val="00051E50"/>
    <w:rsid w:val="00053603"/>
    <w:rsid w:val="00053766"/>
    <w:rsid w:val="00053EEB"/>
    <w:rsid w:val="00055282"/>
    <w:rsid w:val="0005588D"/>
    <w:rsid w:val="00056E25"/>
    <w:rsid w:val="00057A6C"/>
    <w:rsid w:val="00061BFD"/>
    <w:rsid w:val="00062326"/>
    <w:rsid w:val="000631EA"/>
    <w:rsid w:val="0006452C"/>
    <w:rsid w:val="00064D51"/>
    <w:rsid w:val="0006559C"/>
    <w:rsid w:val="00066A0A"/>
    <w:rsid w:val="000672D7"/>
    <w:rsid w:val="0007244B"/>
    <w:rsid w:val="000741F8"/>
    <w:rsid w:val="00080159"/>
    <w:rsid w:val="00080614"/>
    <w:rsid w:val="00081C60"/>
    <w:rsid w:val="000830F3"/>
    <w:rsid w:val="0008348D"/>
    <w:rsid w:val="00083D78"/>
    <w:rsid w:val="0008600B"/>
    <w:rsid w:val="00086C0D"/>
    <w:rsid w:val="00086FA6"/>
    <w:rsid w:val="000879C6"/>
    <w:rsid w:val="00090A95"/>
    <w:rsid w:val="00092CF8"/>
    <w:rsid w:val="000932CC"/>
    <w:rsid w:val="00096407"/>
    <w:rsid w:val="000A41B6"/>
    <w:rsid w:val="000A4958"/>
    <w:rsid w:val="000B05E9"/>
    <w:rsid w:val="000B14D2"/>
    <w:rsid w:val="000B3E62"/>
    <w:rsid w:val="000C00C5"/>
    <w:rsid w:val="000C06AE"/>
    <w:rsid w:val="000C3A2A"/>
    <w:rsid w:val="000C3A7B"/>
    <w:rsid w:val="000C6108"/>
    <w:rsid w:val="000D4104"/>
    <w:rsid w:val="000D5A7F"/>
    <w:rsid w:val="000D7DF6"/>
    <w:rsid w:val="000E0E2D"/>
    <w:rsid w:val="000E2A90"/>
    <w:rsid w:val="000E79DA"/>
    <w:rsid w:val="000F01B1"/>
    <w:rsid w:val="000F1761"/>
    <w:rsid w:val="000F26F1"/>
    <w:rsid w:val="000F2F73"/>
    <w:rsid w:val="000F3C97"/>
    <w:rsid w:val="000F4229"/>
    <w:rsid w:val="00100381"/>
    <w:rsid w:val="001013CD"/>
    <w:rsid w:val="001015E9"/>
    <w:rsid w:val="00103E22"/>
    <w:rsid w:val="001042E5"/>
    <w:rsid w:val="00104DF2"/>
    <w:rsid w:val="00105B26"/>
    <w:rsid w:val="0010779F"/>
    <w:rsid w:val="001120FB"/>
    <w:rsid w:val="001145E0"/>
    <w:rsid w:val="00114779"/>
    <w:rsid w:val="00116024"/>
    <w:rsid w:val="00117502"/>
    <w:rsid w:val="0011757B"/>
    <w:rsid w:val="00123217"/>
    <w:rsid w:val="00123ED7"/>
    <w:rsid w:val="00124D04"/>
    <w:rsid w:val="00126F7F"/>
    <w:rsid w:val="00130475"/>
    <w:rsid w:val="00132E7E"/>
    <w:rsid w:val="00132F94"/>
    <w:rsid w:val="00133893"/>
    <w:rsid w:val="00135B84"/>
    <w:rsid w:val="00135E33"/>
    <w:rsid w:val="00140555"/>
    <w:rsid w:val="00141921"/>
    <w:rsid w:val="001456F2"/>
    <w:rsid w:val="00147378"/>
    <w:rsid w:val="00150C4E"/>
    <w:rsid w:val="00154FF0"/>
    <w:rsid w:val="00156BBD"/>
    <w:rsid w:val="00157484"/>
    <w:rsid w:val="001615B7"/>
    <w:rsid w:val="001619B3"/>
    <w:rsid w:val="00161A63"/>
    <w:rsid w:val="001641E8"/>
    <w:rsid w:val="00164882"/>
    <w:rsid w:val="00164B6A"/>
    <w:rsid w:val="00166876"/>
    <w:rsid w:val="001709A5"/>
    <w:rsid w:val="001733FF"/>
    <w:rsid w:val="00173CA2"/>
    <w:rsid w:val="00174D96"/>
    <w:rsid w:val="001756B9"/>
    <w:rsid w:val="00175EFA"/>
    <w:rsid w:val="00176E7F"/>
    <w:rsid w:val="0017716E"/>
    <w:rsid w:val="00177B5F"/>
    <w:rsid w:val="001814A0"/>
    <w:rsid w:val="00183256"/>
    <w:rsid w:val="001846D8"/>
    <w:rsid w:val="00184725"/>
    <w:rsid w:val="0019246D"/>
    <w:rsid w:val="001930CC"/>
    <w:rsid w:val="001933E3"/>
    <w:rsid w:val="001966F9"/>
    <w:rsid w:val="00196CD7"/>
    <w:rsid w:val="001A3ECB"/>
    <w:rsid w:val="001A3F6B"/>
    <w:rsid w:val="001A667F"/>
    <w:rsid w:val="001B0A1E"/>
    <w:rsid w:val="001B2141"/>
    <w:rsid w:val="001B65AE"/>
    <w:rsid w:val="001C0DA3"/>
    <w:rsid w:val="001C1E82"/>
    <w:rsid w:val="001C2954"/>
    <w:rsid w:val="001C4F6B"/>
    <w:rsid w:val="001C72BD"/>
    <w:rsid w:val="001C7AB4"/>
    <w:rsid w:val="001D0066"/>
    <w:rsid w:val="001D08F2"/>
    <w:rsid w:val="001D2C0D"/>
    <w:rsid w:val="001D2EC5"/>
    <w:rsid w:val="001D3857"/>
    <w:rsid w:val="001D611B"/>
    <w:rsid w:val="001D657C"/>
    <w:rsid w:val="001E04F0"/>
    <w:rsid w:val="001E22F7"/>
    <w:rsid w:val="001E38DA"/>
    <w:rsid w:val="001E3C41"/>
    <w:rsid w:val="001E4CE5"/>
    <w:rsid w:val="001E614F"/>
    <w:rsid w:val="001F48FB"/>
    <w:rsid w:val="001F5822"/>
    <w:rsid w:val="001F791E"/>
    <w:rsid w:val="002004EF"/>
    <w:rsid w:val="00200643"/>
    <w:rsid w:val="0020154A"/>
    <w:rsid w:val="00202531"/>
    <w:rsid w:val="00204220"/>
    <w:rsid w:val="0020459E"/>
    <w:rsid w:val="00205BFC"/>
    <w:rsid w:val="00205EE6"/>
    <w:rsid w:val="0021233E"/>
    <w:rsid w:val="00214078"/>
    <w:rsid w:val="00216D6D"/>
    <w:rsid w:val="002215FE"/>
    <w:rsid w:val="0022171E"/>
    <w:rsid w:val="002222E7"/>
    <w:rsid w:val="00227C3C"/>
    <w:rsid w:val="0023114F"/>
    <w:rsid w:val="0023174D"/>
    <w:rsid w:val="00233C3C"/>
    <w:rsid w:val="0024192A"/>
    <w:rsid w:val="00244056"/>
    <w:rsid w:val="0025066A"/>
    <w:rsid w:val="00250BCF"/>
    <w:rsid w:val="002513A6"/>
    <w:rsid w:val="002518D9"/>
    <w:rsid w:val="002536C7"/>
    <w:rsid w:val="002565E3"/>
    <w:rsid w:val="0025692C"/>
    <w:rsid w:val="00257C3F"/>
    <w:rsid w:val="00260720"/>
    <w:rsid w:val="00260A2E"/>
    <w:rsid w:val="002622F7"/>
    <w:rsid w:val="00264F4A"/>
    <w:rsid w:val="00275B17"/>
    <w:rsid w:val="00276B84"/>
    <w:rsid w:val="0027739C"/>
    <w:rsid w:val="00282964"/>
    <w:rsid w:val="00283EB5"/>
    <w:rsid w:val="002844C2"/>
    <w:rsid w:val="00286253"/>
    <w:rsid w:val="00286687"/>
    <w:rsid w:val="00287BAC"/>
    <w:rsid w:val="00290518"/>
    <w:rsid w:val="00290DEF"/>
    <w:rsid w:val="0029126B"/>
    <w:rsid w:val="0029207B"/>
    <w:rsid w:val="002922C0"/>
    <w:rsid w:val="00294C31"/>
    <w:rsid w:val="0029516F"/>
    <w:rsid w:val="00295306"/>
    <w:rsid w:val="002954B2"/>
    <w:rsid w:val="00295924"/>
    <w:rsid w:val="00296AD2"/>
    <w:rsid w:val="00297B6D"/>
    <w:rsid w:val="00297D38"/>
    <w:rsid w:val="002A0818"/>
    <w:rsid w:val="002A0FA9"/>
    <w:rsid w:val="002A2D66"/>
    <w:rsid w:val="002A322B"/>
    <w:rsid w:val="002A6667"/>
    <w:rsid w:val="002A6A1A"/>
    <w:rsid w:val="002A6BB3"/>
    <w:rsid w:val="002A7D82"/>
    <w:rsid w:val="002B01D9"/>
    <w:rsid w:val="002B600F"/>
    <w:rsid w:val="002B6A4C"/>
    <w:rsid w:val="002C0D20"/>
    <w:rsid w:val="002C1706"/>
    <w:rsid w:val="002C1823"/>
    <w:rsid w:val="002C294D"/>
    <w:rsid w:val="002C2CF0"/>
    <w:rsid w:val="002C36BF"/>
    <w:rsid w:val="002C4851"/>
    <w:rsid w:val="002D223C"/>
    <w:rsid w:val="002D2565"/>
    <w:rsid w:val="002D3394"/>
    <w:rsid w:val="002D37FF"/>
    <w:rsid w:val="002D5F36"/>
    <w:rsid w:val="002D748C"/>
    <w:rsid w:val="002E24FE"/>
    <w:rsid w:val="002E6284"/>
    <w:rsid w:val="002E6D61"/>
    <w:rsid w:val="002E72A6"/>
    <w:rsid w:val="002E7477"/>
    <w:rsid w:val="002F13DB"/>
    <w:rsid w:val="002F1D0D"/>
    <w:rsid w:val="002F2813"/>
    <w:rsid w:val="002F4705"/>
    <w:rsid w:val="002F4E2F"/>
    <w:rsid w:val="002F71EE"/>
    <w:rsid w:val="002F7D39"/>
    <w:rsid w:val="002F7F08"/>
    <w:rsid w:val="002F7F52"/>
    <w:rsid w:val="003038EB"/>
    <w:rsid w:val="00306378"/>
    <w:rsid w:val="00313259"/>
    <w:rsid w:val="00314A2A"/>
    <w:rsid w:val="00315A2D"/>
    <w:rsid w:val="00315A53"/>
    <w:rsid w:val="00316D2F"/>
    <w:rsid w:val="003202BC"/>
    <w:rsid w:val="003214F9"/>
    <w:rsid w:val="0032301D"/>
    <w:rsid w:val="0032342B"/>
    <w:rsid w:val="00323DE5"/>
    <w:rsid w:val="003264A2"/>
    <w:rsid w:val="00327FE4"/>
    <w:rsid w:val="003304AF"/>
    <w:rsid w:val="00330B57"/>
    <w:rsid w:val="0033345C"/>
    <w:rsid w:val="003346AC"/>
    <w:rsid w:val="00334F4B"/>
    <w:rsid w:val="003375E9"/>
    <w:rsid w:val="00337E1E"/>
    <w:rsid w:val="00341912"/>
    <w:rsid w:val="0034238F"/>
    <w:rsid w:val="00345A61"/>
    <w:rsid w:val="00346FBC"/>
    <w:rsid w:val="0034750B"/>
    <w:rsid w:val="00351CA0"/>
    <w:rsid w:val="00351D04"/>
    <w:rsid w:val="003542E7"/>
    <w:rsid w:val="00356ECA"/>
    <w:rsid w:val="003605FB"/>
    <w:rsid w:val="003639C3"/>
    <w:rsid w:val="003641F0"/>
    <w:rsid w:val="003705D9"/>
    <w:rsid w:val="003748E8"/>
    <w:rsid w:val="003751AA"/>
    <w:rsid w:val="00376F2E"/>
    <w:rsid w:val="00380945"/>
    <w:rsid w:val="00381514"/>
    <w:rsid w:val="00381C74"/>
    <w:rsid w:val="00391DA9"/>
    <w:rsid w:val="00391EA6"/>
    <w:rsid w:val="00393621"/>
    <w:rsid w:val="003B37A9"/>
    <w:rsid w:val="003B3EA5"/>
    <w:rsid w:val="003B4A54"/>
    <w:rsid w:val="003C6A29"/>
    <w:rsid w:val="003C7C8A"/>
    <w:rsid w:val="003D0AA9"/>
    <w:rsid w:val="003D17D4"/>
    <w:rsid w:val="003E0D94"/>
    <w:rsid w:val="003F308E"/>
    <w:rsid w:val="003F337A"/>
    <w:rsid w:val="003F3D70"/>
    <w:rsid w:val="003F4232"/>
    <w:rsid w:val="003F575A"/>
    <w:rsid w:val="003F6D88"/>
    <w:rsid w:val="003F7CF2"/>
    <w:rsid w:val="00403245"/>
    <w:rsid w:val="00403E88"/>
    <w:rsid w:val="00405537"/>
    <w:rsid w:val="0041239F"/>
    <w:rsid w:val="004127EF"/>
    <w:rsid w:val="00413C75"/>
    <w:rsid w:val="004156EA"/>
    <w:rsid w:val="00423E79"/>
    <w:rsid w:val="00425AFE"/>
    <w:rsid w:val="00431FE7"/>
    <w:rsid w:val="00432C10"/>
    <w:rsid w:val="00435379"/>
    <w:rsid w:val="00435622"/>
    <w:rsid w:val="00441306"/>
    <w:rsid w:val="00444A3D"/>
    <w:rsid w:val="00447C22"/>
    <w:rsid w:val="004530EC"/>
    <w:rsid w:val="0046052A"/>
    <w:rsid w:val="00461626"/>
    <w:rsid w:val="00462825"/>
    <w:rsid w:val="004636C5"/>
    <w:rsid w:val="00463F18"/>
    <w:rsid w:val="004647AA"/>
    <w:rsid w:val="00464CF3"/>
    <w:rsid w:val="004660F8"/>
    <w:rsid w:val="004677E2"/>
    <w:rsid w:val="0047282A"/>
    <w:rsid w:val="004738EA"/>
    <w:rsid w:val="0047615C"/>
    <w:rsid w:val="00476D6D"/>
    <w:rsid w:val="00480E97"/>
    <w:rsid w:val="00481751"/>
    <w:rsid w:val="00481A91"/>
    <w:rsid w:val="00481AE5"/>
    <w:rsid w:val="00481E07"/>
    <w:rsid w:val="004833E2"/>
    <w:rsid w:val="0048370C"/>
    <w:rsid w:val="0048437F"/>
    <w:rsid w:val="00485577"/>
    <w:rsid w:val="00487CDD"/>
    <w:rsid w:val="00490EE6"/>
    <w:rsid w:val="00490F2E"/>
    <w:rsid w:val="004975E7"/>
    <w:rsid w:val="004A2B5D"/>
    <w:rsid w:val="004A32AA"/>
    <w:rsid w:val="004A50AC"/>
    <w:rsid w:val="004A560C"/>
    <w:rsid w:val="004A6749"/>
    <w:rsid w:val="004A6964"/>
    <w:rsid w:val="004A7EBD"/>
    <w:rsid w:val="004B152E"/>
    <w:rsid w:val="004B2446"/>
    <w:rsid w:val="004B4B0C"/>
    <w:rsid w:val="004B4C2A"/>
    <w:rsid w:val="004B6D8C"/>
    <w:rsid w:val="004B7367"/>
    <w:rsid w:val="004B771E"/>
    <w:rsid w:val="004C05BA"/>
    <w:rsid w:val="004C0A06"/>
    <w:rsid w:val="004C1932"/>
    <w:rsid w:val="004C3A23"/>
    <w:rsid w:val="004C44B5"/>
    <w:rsid w:val="004C50B5"/>
    <w:rsid w:val="004C7A23"/>
    <w:rsid w:val="004D0358"/>
    <w:rsid w:val="004D1CAD"/>
    <w:rsid w:val="004D20EB"/>
    <w:rsid w:val="004D2D60"/>
    <w:rsid w:val="004D3562"/>
    <w:rsid w:val="004D3CD1"/>
    <w:rsid w:val="004D4D8F"/>
    <w:rsid w:val="004D7042"/>
    <w:rsid w:val="004D7885"/>
    <w:rsid w:val="004E0F81"/>
    <w:rsid w:val="004E24BC"/>
    <w:rsid w:val="004E2716"/>
    <w:rsid w:val="004E47F7"/>
    <w:rsid w:val="004E4C79"/>
    <w:rsid w:val="004F07AD"/>
    <w:rsid w:val="004F0BFE"/>
    <w:rsid w:val="004F2CF0"/>
    <w:rsid w:val="0050051E"/>
    <w:rsid w:val="00501B7C"/>
    <w:rsid w:val="00501E26"/>
    <w:rsid w:val="00502E6A"/>
    <w:rsid w:val="00510D15"/>
    <w:rsid w:val="00511211"/>
    <w:rsid w:val="00511843"/>
    <w:rsid w:val="005119B5"/>
    <w:rsid w:val="005129B4"/>
    <w:rsid w:val="00515BDF"/>
    <w:rsid w:val="00516005"/>
    <w:rsid w:val="00516405"/>
    <w:rsid w:val="00517609"/>
    <w:rsid w:val="00517E87"/>
    <w:rsid w:val="00522AC8"/>
    <w:rsid w:val="00530330"/>
    <w:rsid w:val="00533B8E"/>
    <w:rsid w:val="0053469F"/>
    <w:rsid w:val="0053705F"/>
    <w:rsid w:val="00537790"/>
    <w:rsid w:val="00537799"/>
    <w:rsid w:val="00550DC4"/>
    <w:rsid w:val="005514B6"/>
    <w:rsid w:val="00551C7C"/>
    <w:rsid w:val="005563FB"/>
    <w:rsid w:val="00560BDF"/>
    <w:rsid w:val="00561B68"/>
    <w:rsid w:val="00561EBA"/>
    <w:rsid w:val="005625D2"/>
    <w:rsid w:val="00567D09"/>
    <w:rsid w:val="00574748"/>
    <w:rsid w:val="00577591"/>
    <w:rsid w:val="00585551"/>
    <w:rsid w:val="00587C1E"/>
    <w:rsid w:val="005905E7"/>
    <w:rsid w:val="00591FB1"/>
    <w:rsid w:val="0059349C"/>
    <w:rsid w:val="00593D7B"/>
    <w:rsid w:val="0059513D"/>
    <w:rsid w:val="005A03D4"/>
    <w:rsid w:val="005B0A9D"/>
    <w:rsid w:val="005B194B"/>
    <w:rsid w:val="005B2C4C"/>
    <w:rsid w:val="005B38B3"/>
    <w:rsid w:val="005B46E5"/>
    <w:rsid w:val="005B49EB"/>
    <w:rsid w:val="005B53D2"/>
    <w:rsid w:val="005B5723"/>
    <w:rsid w:val="005B6D55"/>
    <w:rsid w:val="005B76AF"/>
    <w:rsid w:val="005C037C"/>
    <w:rsid w:val="005C0720"/>
    <w:rsid w:val="005C175D"/>
    <w:rsid w:val="005C2293"/>
    <w:rsid w:val="005C25E6"/>
    <w:rsid w:val="005C59FC"/>
    <w:rsid w:val="005D0E6F"/>
    <w:rsid w:val="005D2130"/>
    <w:rsid w:val="005D5DD7"/>
    <w:rsid w:val="005D6A88"/>
    <w:rsid w:val="005E3136"/>
    <w:rsid w:val="005E3340"/>
    <w:rsid w:val="005E5386"/>
    <w:rsid w:val="005E55E8"/>
    <w:rsid w:val="005E5D81"/>
    <w:rsid w:val="005E6284"/>
    <w:rsid w:val="005E719A"/>
    <w:rsid w:val="005E784A"/>
    <w:rsid w:val="005E7C87"/>
    <w:rsid w:val="005F3895"/>
    <w:rsid w:val="005F45CC"/>
    <w:rsid w:val="005F592A"/>
    <w:rsid w:val="005F6155"/>
    <w:rsid w:val="006024EA"/>
    <w:rsid w:val="00605426"/>
    <w:rsid w:val="00606779"/>
    <w:rsid w:val="00611866"/>
    <w:rsid w:val="00614DA5"/>
    <w:rsid w:val="00615F97"/>
    <w:rsid w:val="00617016"/>
    <w:rsid w:val="0061759E"/>
    <w:rsid w:val="0061774D"/>
    <w:rsid w:val="00620514"/>
    <w:rsid w:val="00620CD2"/>
    <w:rsid w:val="00621FC4"/>
    <w:rsid w:val="006222CE"/>
    <w:rsid w:val="006229E7"/>
    <w:rsid w:val="00624BC2"/>
    <w:rsid w:val="00626AFA"/>
    <w:rsid w:val="00633CBB"/>
    <w:rsid w:val="00634CD7"/>
    <w:rsid w:val="00634DAF"/>
    <w:rsid w:val="0064021C"/>
    <w:rsid w:val="006405AD"/>
    <w:rsid w:val="00642A6B"/>
    <w:rsid w:val="00646F70"/>
    <w:rsid w:val="00650133"/>
    <w:rsid w:val="006502A6"/>
    <w:rsid w:val="006509BA"/>
    <w:rsid w:val="0065308B"/>
    <w:rsid w:val="006531BD"/>
    <w:rsid w:val="0065649C"/>
    <w:rsid w:val="0065670A"/>
    <w:rsid w:val="006567FB"/>
    <w:rsid w:val="00663A17"/>
    <w:rsid w:val="00664C69"/>
    <w:rsid w:val="00665418"/>
    <w:rsid w:val="00665A33"/>
    <w:rsid w:val="006665D8"/>
    <w:rsid w:val="00666771"/>
    <w:rsid w:val="00666E86"/>
    <w:rsid w:val="00667766"/>
    <w:rsid w:val="00667FB4"/>
    <w:rsid w:val="006708B8"/>
    <w:rsid w:val="00670AE8"/>
    <w:rsid w:val="006740A1"/>
    <w:rsid w:val="00674C82"/>
    <w:rsid w:val="006750D8"/>
    <w:rsid w:val="00675FC8"/>
    <w:rsid w:val="00676B61"/>
    <w:rsid w:val="00677E23"/>
    <w:rsid w:val="00677F72"/>
    <w:rsid w:val="00682DBB"/>
    <w:rsid w:val="006862CD"/>
    <w:rsid w:val="00686E63"/>
    <w:rsid w:val="00687DEC"/>
    <w:rsid w:val="006921B9"/>
    <w:rsid w:val="00693039"/>
    <w:rsid w:val="006933D2"/>
    <w:rsid w:val="00693DC4"/>
    <w:rsid w:val="006A1354"/>
    <w:rsid w:val="006A6271"/>
    <w:rsid w:val="006A718B"/>
    <w:rsid w:val="006B2EA9"/>
    <w:rsid w:val="006B364D"/>
    <w:rsid w:val="006B4EAC"/>
    <w:rsid w:val="006C099D"/>
    <w:rsid w:val="006C517E"/>
    <w:rsid w:val="006C60BA"/>
    <w:rsid w:val="006C6163"/>
    <w:rsid w:val="006C61F5"/>
    <w:rsid w:val="006D17D3"/>
    <w:rsid w:val="006D32E0"/>
    <w:rsid w:val="006D42AC"/>
    <w:rsid w:val="006D6102"/>
    <w:rsid w:val="006D6C33"/>
    <w:rsid w:val="006D7055"/>
    <w:rsid w:val="006E22A3"/>
    <w:rsid w:val="006E259D"/>
    <w:rsid w:val="006E48A9"/>
    <w:rsid w:val="006E5F11"/>
    <w:rsid w:val="006F20E8"/>
    <w:rsid w:val="006F24CB"/>
    <w:rsid w:val="006F3B2B"/>
    <w:rsid w:val="006F461C"/>
    <w:rsid w:val="006F5EF0"/>
    <w:rsid w:val="006F6EB5"/>
    <w:rsid w:val="006F7401"/>
    <w:rsid w:val="007002B2"/>
    <w:rsid w:val="007010B3"/>
    <w:rsid w:val="007012ED"/>
    <w:rsid w:val="00701E2F"/>
    <w:rsid w:val="007027FB"/>
    <w:rsid w:val="00703668"/>
    <w:rsid w:val="00704B42"/>
    <w:rsid w:val="00706FF4"/>
    <w:rsid w:val="00712CE9"/>
    <w:rsid w:val="00713E9E"/>
    <w:rsid w:val="00715B10"/>
    <w:rsid w:val="00720246"/>
    <w:rsid w:val="00722022"/>
    <w:rsid w:val="007232DE"/>
    <w:rsid w:val="0072354D"/>
    <w:rsid w:val="0072423D"/>
    <w:rsid w:val="007242FE"/>
    <w:rsid w:val="0072495A"/>
    <w:rsid w:val="00724CB6"/>
    <w:rsid w:val="00725388"/>
    <w:rsid w:val="007309B4"/>
    <w:rsid w:val="00733D01"/>
    <w:rsid w:val="00736599"/>
    <w:rsid w:val="00736DC8"/>
    <w:rsid w:val="00737CDD"/>
    <w:rsid w:val="007415BB"/>
    <w:rsid w:val="00743561"/>
    <w:rsid w:val="00745DFA"/>
    <w:rsid w:val="0074674E"/>
    <w:rsid w:val="007516BB"/>
    <w:rsid w:val="00753A51"/>
    <w:rsid w:val="00754851"/>
    <w:rsid w:val="00754B32"/>
    <w:rsid w:val="00760AC8"/>
    <w:rsid w:val="00766E62"/>
    <w:rsid w:val="00767A4C"/>
    <w:rsid w:val="00770C18"/>
    <w:rsid w:val="00770C2E"/>
    <w:rsid w:val="00772B4D"/>
    <w:rsid w:val="0077400E"/>
    <w:rsid w:val="0077588E"/>
    <w:rsid w:val="00776767"/>
    <w:rsid w:val="00777807"/>
    <w:rsid w:val="007813E4"/>
    <w:rsid w:val="007877DC"/>
    <w:rsid w:val="007923F0"/>
    <w:rsid w:val="007926DF"/>
    <w:rsid w:val="00792B48"/>
    <w:rsid w:val="007965DF"/>
    <w:rsid w:val="007A3655"/>
    <w:rsid w:val="007A708B"/>
    <w:rsid w:val="007B27AF"/>
    <w:rsid w:val="007B37E7"/>
    <w:rsid w:val="007C1397"/>
    <w:rsid w:val="007C28BD"/>
    <w:rsid w:val="007C4B0C"/>
    <w:rsid w:val="007C54C4"/>
    <w:rsid w:val="007C5C55"/>
    <w:rsid w:val="007C5E4B"/>
    <w:rsid w:val="007C62D4"/>
    <w:rsid w:val="007C6F8B"/>
    <w:rsid w:val="007C7F98"/>
    <w:rsid w:val="007D03C4"/>
    <w:rsid w:val="007D1132"/>
    <w:rsid w:val="007D2D51"/>
    <w:rsid w:val="007D60D3"/>
    <w:rsid w:val="007E7926"/>
    <w:rsid w:val="007F08F1"/>
    <w:rsid w:val="007F18FE"/>
    <w:rsid w:val="007F26B9"/>
    <w:rsid w:val="007F3E1C"/>
    <w:rsid w:val="007F5555"/>
    <w:rsid w:val="007F5667"/>
    <w:rsid w:val="007F59D7"/>
    <w:rsid w:val="00800C90"/>
    <w:rsid w:val="00802203"/>
    <w:rsid w:val="0080249F"/>
    <w:rsid w:val="0080365B"/>
    <w:rsid w:val="00803CD2"/>
    <w:rsid w:val="00805D23"/>
    <w:rsid w:val="00806756"/>
    <w:rsid w:val="00806A84"/>
    <w:rsid w:val="00807CED"/>
    <w:rsid w:val="00807F97"/>
    <w:rsid w:val="00812B86"/>
    <w:rsid w:val="00813739"/>
    <w:rsid w:val="00814F5D"/>
    <w:rsid w:val="008154DD"/>
    <w:rsid w:val="00817D1C"/>
    <w:rsid w:val="00817FD3"/>
    <w:rsid w:val="0082118D"/>
    <w:rsid w:val="008219C8"/>
    <w:rsid w:val="00822EE5"/>
    <w:rsid w:val="008247D2"/>
    <w:rsid w:val="00827DBD"/>
    <w:rsid w:val="00831CE4"/>
    <w:rsid w:val="00831FFC"/>
    <w:rsid w:val="008352EE"/>
    <w:rsid w:val="008359DF"/>
    <w:rsid w:val="008371F8"/>
    <w:rsid w:val="00840119"/>
    <w:rsid w:val="00841174"/>
    <w:rsid w:val="00841D76"/>
    <w:rsid w:val="0084402F"/>
    <w:rsid w:val="0084517F"/>
    <w:rsid w:val="00847C8C"/>
    <w:rsid w:val="00850FDB"/>
    <w:rsid w:val="00851220"/>
    <w:rsid w:val="0085258B"/>
    <w:rsid w:val="0085274F"/>
    <w:rsid w:val="00853770"/>
    <w:rsid w:val="00854EE3"/>
    <w:rsid w:val="00855143"/>
    <w:rsid w:val="00855573"/>
    <w:rsid w:val="00856BE9"/>
    <w:rsid w:val="00857C42"/>
    <w:rsid w:val="00861931"/>
    <w:rsid w:val="0086332F"/>
    <w:rsid w:val="00864F5C"/>
    <w:rsid w:val="008653A6"/>
    <w:rsid w:val="00866EA3"/>
    <w:rsid w:val="008719E1"/>
    <w:rsid w:val="00872860"/>
    <w:rsid w:val="00875881"/>
    <w:rsid w:val="00880084"/>
    <w:rsid w:val="00880CDD"/>
    <w:rsid w:val="00881E4C"/>
    <w:rsid w:val="0088280B"/>
    <w:rsid w:val="00883E07"/>
    <w:rsid w:val="008847EA"/>
    <w:rsid w:val="0089345A"/>
    <w:rsid w:val="008945FD"/>
    <w:rsid w:val="008946DB"/>
    <w:rsid w:val="008A00C9"/>
    <w:rsid w:val="008A1C19"/>
    <w:rsid w:val="008A1F07"/>
    <w:rsid w:val="008A1FFC"/>
    <w:rsid w:val="008A2F20"/>
    <w:rsid w:val="008A41F6"/>
    <w:rsid w:val="008A780F"/>
    <w:rsid w:val="008A7D01"/>
    <w:rsid w:val="008C08C7"/>
    <w:rsid w:val="008C2126"/>
    <w:rsid w:val="008C3DE6"/>
    <w:rsid w:val="008C404B"/>
    <w:rsid w:val="008C4CCF"/>
    <w:rsid w:val="008C6468"/>
    <w:rsid w:val="008C7A5B"/>
    <w:rsid w:val="008D3819"/>
    <w:rsid w:val="008D4B2F"/>
    <w:rsid w:val="008E18D8"/>
    <w:rsid w:val="008E1C1E"/>
    <w:rsid w:val="008E31EC"/>
    <w:rsid w:val="008E42D9"/>
    <w:rsid w:val="008E70BC"/>
    <w:rsid w:val="008E7A2A"/>
    <w:rsid w:val="008F409B"/>
    <w:rsid w:val="008F4D1A"/>
    <w:rsid w:val="008F57FC"/>
    <w:rsid w:val="008F637B"/>
    <w:rsid w:val="008F671E"/>
    <w:rsid w:val="00902016"/>
    <w:rsid w:val="0090355C"/>
    <w:rsid w:val="009039F6"/>
    <w:rsid w:val="009065F1"/>
    <w:rsid w:val="009070BC"/>
    <w:rsid w:val="00907453"/>
    <w:rsid w:val="009107F9"/>
    <w:rsid w:val="0091368B"/>
    <w:rsid w:val="00914111"/>
    <w:rsid w:val="009143CB"/>
    <w:rsid w:val="0091634E"/>
    <w:rsid w:val="00920530"/>
    <w:rsid w:val="00921BA6"/>
    <w:rsid w:val="00922ED2"/>
    <w:rsid w:val="00923828"/>
    <w:rsid w:val="009238EE"/>
    <w:rsid w:val="00926265"/>
    <w:rsid w:val="009278D6"/>
    <w:rsid w:val="00927903"/>
    <w:rsid w:val="00930371"/>
    <w:rsid w:val="00931B37"/>
    <w:rsid w:val="00931BC9"/>
    <w:rsid w:val="00932524"/>
    <w:rsid w:val="009330D5"/>
    <w:rsid w:val="00933408"/>
    <w:rsid w:val="00937860"/>
    <w:rsid w:val="00937D94"/>
    <w:rsid w:val="00942D6F"/>
    <w:rsid w:val="00942FB0"/>
    <w:rsid w:val="009456F4"/>
    <w:rsid w:val="00946C53"/>
    <w:rsid w:val="00946D29"/>
    <w:rsid w:val="00946E48"/>
    <w:rsid w:val="00950425"/>
    <w:rsid w:val="00951AA8"/>
    <w:rsid w:val="00952079"/>
    <w:rsid w:val="009526B1"/>
    <w:rsid w:val="00954948"/>
    <w:rsid w:val="00955B77"/>
    <w:rsid w:val="00956DE5"/>
    <w:rsid w:val="00962A55"/>
    <w:rsid w:val="00963266"/>
    <w:rsid w:val="009637C4"/>
    <w:rsid w:val="0096541C"/>
    <w:rsid w:val="00965B35"/>
    <w:rsid w:val="00966346"/>
    <w:rsid w:val="00973167"/>
    <w:rsid w:val="0098024D"/>
    <w:rsid w:val="009834E3"/>
    <w:rsid w:val="00983FA3"/>
    <w:rsid w:val="009852F4"/>
    <w:rsid w:val="00986890"/>
    <w:rsid w:val="0098702A"/>
    <w:rsid w:val="009879DD"/>
    <w:rsid w:val="00987C00"/>
    <w:rsid w:val="0099386F"/>
    <w:rsid w:val="00994A71"/>
    <w:rsid w:val="009955B5"/>
    <w:rsid w:val="00996118"/>
    <w:rsid w:val="009A3BCB"/>
    <w:rsid w:val="009A74AD"/>
    <w:rsid w:val="009B0790"/>
    <w:rsid w:val="009B0BE7"/>
    <w:rsid w:val="009B1F3F"/>
    <w:rsid w:val="009B25FE"/>
    <w:rsid w:val="009B27C5"/>
    <w:rsid w:val="009B37F8"/>
    <w:rsid w:val="009B61CC"/>
    <w:rsid w:val="009B7CDE"/>
    <w:rsid w:val="009C65DB"/>
    <w:rsid w:val="009D0C7C"/>
    <w:rsid w:val="009D12C3"/>
    <w:rsid w:val="009D1ED0"/>
    <w:rsid w:val="009D597A"/>
    <w:rsid w:val="009D7EFD"/>
    <w:rsid w:val="009E2B59"/>
    <w:rsid w:val="009E4994"/>
    <w:rsid w:val="009E4DA4"/>
    <w:rsid w:val="009E5F6C"/>
    <w:rsid w:val="009F10ED"/>
    <w:rsid w:val="009F2204"/>
    <w:rsid w:val="009F25D7"/>
    <w:rsid w:val="009F35CE"/>
    <w:rsid w:val="009F38BF"/>
    <w:rsid w:val="009F4B60"/>
    <w:rsid w:val="009F6E66"/>
    <w:rsid w:val="009F7CED"/>
    <w:rsid w:val="00A02168"/>
    <w:rsid w:val="00A03919"/>
    <w:rsid w:val="00A0494E"/>
    <w:rsid w:val="00A04AF3"/>
    <w:rsid w:val="00A07AAD"/>
    <w:rsid w:val="00A07EC9"/>
    <w:rsid w:val="00A1144B"/>
    <w:rsid w:val="00A1565F"/>
    <w:rsid w:val="00A209B7"/>
    <w:rsid w:val="00A21621"/>
    <w:rsid w:val="00A26EF5"/>
    <w:rsid w:val="00A3062C"/>
    <w:rsid w:val="00A310A0"/>
    <w:rsid w:val="00A339EC"/>
    <w:rsid w:val="00A3403B"/>
    <w:rsid w:val="00A347DB"/>
    <w:rsid w:val="00A37A5C"/>
    <w:rsid w:val="00A37DD2"/>
    <w:rsid w:val="00A411AE"/>
    <w:rsid w:val="00A4172E"/>
    <w:rsid w:val="00A44509"/>
    <w:rsid w:val="00A45B75"/>
    <w:rsid w:val="00A47D13"/>
    <w:rsid w:val="00A50FBD"/>
    <w:rsid w:val="00A511D7"/>
    <w:rsid w:val="00A55185"/>
    <w:rsid w:val="00A562FB"/>
    <w:rsid w:val="00A6006E"/>
    <w:rsid w:val="00A62A93"/>
    <w:rsid w:val="00A62D66"/>
    <w:rsid w:val="00A63D65"/>
    <w:rsid w:val="00A644AA"/>
    <w:rsid w:val="00A654CD"/>
    <w:rsid w:val="00A656EE"/>
    <w:rsid w:val="00A677C4"/>
    <w:rsid w:val="00A67D91"/>
    <w:rsid w:val="00A714E7"/>
    <w:rsid w:val="00A7441E"/>
    <w:rsid w:val="00A7720A"/>
    <w:rsid w:val="00A80349"/>
    <w:rsid w:val="00A80B92"/>
    <w:rsid w:val="00A8126D"/>
    <w:rsid w:val="00A82435"/>
    <w:rsid w:val="00A8618B"/>
    <w:rsid w:val="00A8659A"/>
    <w:rsid w:val="00A90665"/>
    <w:rsid w:val="00A94563"/>
    <w:rsid w:val="00AA103E"/>
    <w:rsid w:val="00AA18F5"/>
    <w:rsid w:val="00AA2912"/>
    <w:rsid w:val="00AA6615"/>
    <w:rsid w:val="00AB7208"/>
    <w:rsid w:val="00AC1582"/>
    <w:rsid w:val="00AC29AF"/>
    <w:rsid w:val="00AC5FDF"/>
    <w:rsid w:val="00AC6F2E"/>
    <w:rsid w:val="00AD082D"/>
    <w:rsid w:val="00AD0C75"/>
    <w:rsid w:val="00AD30E5"/>
    <w:rsid w:val="00AD6462"/>
    <w:rsid w:val="00AD6EBC"/>
    <w:rsid w:val="00AD7614"/>
    <w:rsid w:val="00AE2918"/>
    <w:rsid w:val="00AE3F4C"/>
    <w:rsid w:val="00AF120F"/>
    <w:rsid w:val="00AF1F4F"/>
    <w:rsid w:val="00AF32B2"/>
    <w:rsid w:val="00AF520C"/>
    <w:rsid w:val="00AF56CB"/>
    <w:rsid w:val="00AF7772"/>
    <w:rsid w:val="00B021EB"/>
    <w:rsid w:val="00B03002"/>
    <w:rsid w:val="00B0440E"/>
    <w:rsid w:val="00B07659"/>
    <w:rsid w:val="00B11E14"/>
    <w:rsid w:val="00B1222B"/>
    <w:rsid w:val="00B12AC0"/>
    <w:rsid w:val="00B12F00"/>
    <w:rsid w:val="00B13787"/>
    <w:rsid w:val="00B147B9"/>
    <w:rsid w:val="00B15275"/>
    <w:rsid w:val="00B20BC6"/>
    <w:rsid w:val="00B223D3"/>
    <w:rsid w:val="00B26D8D"/>
    <w:rsid w:val="00B30B0F"/>
    <w:rsid w:val="00B31183"/>
    <w:rsid w:val="00B3236E"/>
    <w:rsid w:val="00B33FFF"/>
    <w:rsid w:val="00B35944"/>
    <w:rsid w:val="00B374BF"/>
    <w:rsid w:val="00B403AE"/>
    <w:rsid w:val="00B43112"/>
    <w:rsid w:val="00B45D26"/>
    <w:rsid w:val="00B47194"/>
    <w:rsid w:val="00B47815"/>
    <w:rsid w:val="00B479CC"/>
    <w:rsid w:val="00B52722"/>
    <w:rsid w:val="00B542BE"/>
    <w:rsid w:val="00B54BD7"/>
    <w:rsid w:val="00B57ED5"/>
    <w:rsid w:val="00B607CB"/>
    <w:rsid w:val="00B60BAB"/>
    <w:rsid w:val="00B6665D"/>
    <w:rsid w:val="00B66FB4"/>
    <w:rsid w:val="00B75196"/>
    <w:rsid w:val="00B75E64"/>
    <w:rsid w:val="00B76BA0"/>
    <w:rsid w:val="00B779EA"/>
    <w:rsid w:val="00B8606F"/>
    <w:rsid w:val="00B86099"/>
    <w:rsid w:val="00B921B6"/>
    <w:rsid w:val="00BA1407"/>
    <w:rsid w:val="00BA2330"/>
    <w:rsid w:val="00BA5287"/>
    <w:rsid w:val="00BA742F"/>
    <w:rsid w:val="00BB01FE"/>
    <w:rsid w:val="00BB371B"/>
    <w:rsid w:val="00BB3D54"/>
    <w:rsid w:val="00BB3EA0"/>
    <w:rsid w:val="00BB4115"/>
    <w:rsid w:val="00BB5557"/>
    <w:rsid w:val="00BC3256"/>
    <w:rsid w:val="00BC3770"/>
    <w:rsid w:val="00BC39B7"/>
    <w:rsid w:val="00BC3FE0"/>
    <w:rsid w:val="00BD4EDE"/>
    <w:rsid w:val="00BD50EF"/>
    <w:rsid w:val="00BD5ECE"/>
    <w:rsid w:val="00BD63F7"/>
    <w:rsid w:val="00BD7210"/>
    <w:rsid w:val="00BD7B6D"/>
    <w:rsid w:val="00BE0AEA"/>
    <w:rsid w:val="00BE0CD8"/>
    <w:rsid w:val="00BE4006"/>
    <w:rsid w:val="00BE45BB"/>
    <w:rsid w:val="00BE7755"/>
    <w:rsid w:val="00BF05EE"/>
    <w:rsid w:val="00BF1211"/>
    <w:rsid w:val="00BF1C33"/>
    <w:rsid w:val="00BF248A"/>
    <w:rsid w:val="00BF6038"/>
    <w:rsid w:val="00BF6781"/>
    <w:rsid w:val="00BF6D8C"/>
    <w:rsid w:val="00BF7BB7"/>
    <w:rsid w:val="00C0187C"/>
    <w:rsid w:val="00C028B1"/>
    <w:rsid w:val="00C0493E"/>
    <w:rsid w:val="00C04972"/>
    <w:rsid w:val="00C059A1"/>
    <w:rsid w:val="00C07CCF"/>
    <w:rsid w:val="00C07E86"/>
    <w:rsid w:val="00C1035B"/>
    <w:rsid w:val="00C10912"/>
    <w:rsid w:val="00C10AC9"/>
    <w:rsid w:val="00C110D4"/>
    <w:rsid w:val="00C1118C"/>
    <w:rsid w:val="00C12915"/>
    <w:rsid w:val="00C16BA1"/>
    <w:rsid w:val="00C209E8"/>
    <w:rsid w:val="00C236FE"/>
    <w:rsid w:val="00C2370D"/>
    <w:rsid w:val="00C24997"/>
    <w:rsid w:val="00C26632"/>
    <w:rsid w:val="00C32DD0"/>
    <w:rsid w:val="00C3452E"/>
    <w:rsid w:val="00C345F4"/>
    <w:rsid w:val="00C349D6"/>
    <w:rsid w:val="00C35D8E"/>
    <w:rsid w:val="00C37702"/>
    <w:rsid w:val="00C405C0"/>
    <w:rsid w:val="00C40925"/>
    <w:rsid w:val="00C5058B"/>
    <w:rsid w:val="00C51322"/>
    <w:rsid w:val="00C55A41"/>
    <w:rsid w:val="00C56512"/>
    <w:rsid w:val="00C56B5D"/>
    <w:rsid w:val="00C60236"/>
    <w:rsid w:val="00C60AC5"/>
    <w:rsid w:val="00C6121F"/>
    <w:rsid w:val="00C614B1"/>
    <w:rsid w:val="00C624BA"/>
    <w:rsid w:val="00C62B4B"/>
    <w:rsid w:val="00C641E0"/>
    <w:rsid w:val="00C6672F"/>
    <w:rsid w:val="00C67499"/>
    <w:rsid w:val="00C67C41"/>
    <w:rsid w:val="00C70A19"/>
    <w:rsid w:val="00C70F52"/>
    <w:rsid w:val="00C711C3"/>
    <w:rsid w:val="00C726BD"/>
    <w:rsid w:val="00C733F0"/>
    <w:rsid w:val="00C73442"/>
    <w:rsid w:val="00C73FDD"/>
    <w:rsid w:val="00C77ED0"/>
    <w:rsid w:val="00C83013"/>
    <w:rsid w:val="00C84B68"/>
    <w:rsid w:val="00C862F2"/>
    <w:rsid w:val="00C87228"/>
    <w:rsid w:val="00CA269E"/>
    <w:rsid w:val="00CA2A46"/>
    <w:rsid w:val="00CA5EB8"/>
    <w:rsid w:val="00CA6882"/>
    <w:rsid w:val="00CB1981"/>
    <w:rsid w:val="00CB4957"/>
    <w:rsid w:val="00CB521A"/>
    <w:rsid w:val="00CB57CB"/>
    <w:rsid w:val="00CB687E"/>
    <w:rsid w:val="00CB7064"/>
    <w:rsid w:val="00CC57FF"/>
    <w:rsid w:val="00CC79EB"/>
    <w:rsid w:val="00CD11BA"/>
    <w:rsid w:val="00CD1FD0"/>
    <w:rsid w:val="00CD1FF2"/>
    <w:rsid w:val="00CD2835"/>
    <w:rsid w:val="00CD2E67"/>
    <w:rsid w:val="00CD5461"/>
    <w:rsid w:val="00CD5C0B"/>
    <w:rsid w:val="00CE0A59"/>
    <w:rsid w:val="00CE0FFC"/>
    <w:rsid w:val="00CE43CC"/>
    <w:rsid w:val="00CE5F1B"/>
    <w:rsid w:val="00CE6CCB"/>
    <w:rsid w:val="00CE71A8"/>
    <w:rsid w:val="00CE7CD7"/>
    <w:rsid w:val="00CF0E47"/>
    <w:rsid w:val="00CF124D"/>
    <w:rsid w:val="00CF16F4"/>
    <w:rsid w:val="00CF2A62"/>
    <w:rsid w:val="00D00186"/>
    <w:rsid w:val="00D0343A"/>
    <w:rsid w:val="00D0590A"/>
    <w:rsid w:val="00D06BC7"/>
    <w:rsid w:val="00D11391"/>
    <w:rsid w:val="00D1609E"/>
    <w:rsid w:val="00D161B3"/>
    <w:rsid w:val="00D17A68"/>
    <w:rsid w:val="00D22150"/>
    <w:rsid w:val="00D264AA"/>
    <w:rsid w:val="00D271EE"/>
    <w:rsid w:val="00D30C06"/>
    <w:rsid w:val="00D31A17"/>
    <w:rsid w:val="00D31E48"/>
    <w:rsid w:val="00D3348B"/>
    <w:rsid w:val="00D36F41"/>
    <w:rsid w:val="00D41A8B"/>
    <w:rsid w:val="00D41B0B"/>
    <w:rsid w:val="00D42105"/>
    <w:rsid w:val="00D43562"/>
    <w:rsid w:val="00D45827"/>
    <w:rsid w:val="00D46B16"/>
    <w:rsid w:val="00D50B0E"/>
    <w:rsid w:val="00D50C8B"/>
    <w:rsid w:val="00D5357A"/>
    <w:rsid w:val="00D5425E"/>
    <w:rsid w:val="00D54D76"/>
    <w:rsid w:val="00D64BC0"/>
    <w:rsid w:val="00D66455"/>
    <w:rsid w:val="00D7081C"/>
    <w:rsid w:val="00D70FB7"/>
    <w:rsid w:val="00D71614"/>
    <w:rsid w:val="00D71AC9"/>
    <w:rsid w:val="00D71F94"/>
    <w:rsid w:val="00D72AB2"/>
    <w:rsid w:val="00D747C3"/>
    <w:rsid w:val="00D748F8"/>
    <w:rsid w:val="00D7523E"/>
    <w:rsid w:val="00D75F13"/>
    <w:rsid w:val="00D761D0"/>
    <w:rsid w:val="00D77874"/>
    <w:rsid w:val="00D83839"/>
    <w:rsid w:val="00D8472C"/>
    <w:rsid w:val="00D84A23"/>
    <w:rsid w:val="00D853DB"/>
    <w:rsid w:val="00D85E4B"/>
    <w:rsid w:val="00D86954"/>
    <w:rsid w:val="00D91FD2"/>
    <w:rsid w:val="00D93512"/>
    <w:rsid w:val="00D938E0"/>
    <w:rsid w:val="00D9548E"/>
    <w:rsid w:val="00D9711D"/>
    <w:rsid w:val="00DA03A7"/>
    <w:rsid w:val="00DA5843"/>
    <w:rsid w:val="00DA70CD"/>
    <w:rsid w:val="00DB2561"/>
    <w:rsid w:val="00DB4475"/>
    <w:rsid w:val="00DB5581"/>
    <w:rsid w:val="00DB6716"/>
    <w:rsid w:val="00DB7F8F"/>
    <w:rsid w:val="00DC2013"/>
    <w:rsid w:val="00DC2617"/>
    <w:rsid w:val="00DC27F3"/>
    <w:rsid w:val="00DC5E55"/>
    <w:rsid w:val="00DC5E7B"/>
    <w:rsid w:val="00DD0FAF"/>
    <w:rsid w:val="00DD3967"/>
    <w:rsid w:val="00DD3E3F"/>
    <w:rsid w:val="00DD40D9"/>
    <w:rsid w:val="00DD5617"/>
    <w:rsid w:val="00DD71B2"/>
    <w:rsid w:val="00DD7762"/>
    <w:rsid w:val="00DE275D"/>
    <w:rsid w:val="00DE5997"/>
    <w:rsid w:val="00DE66D4"/>
    <w:rsid w:val="00DE6FAE"/>
    <w:rsid w:val="00DE7692"/>
    <w:rsid w:val="00DF358D"/>
    <w:rsid w:val="00DF7728"/>
    <w:rsid w:val="00E01A5A"/>
    <w:rsid w:val="00E03356"/>
    <w:rsid w:val="00E04D4D"/>
    <w:rsid w:val="00E04DA7"/>
    <w:rsid w:val="00E0534E"/>
    <w:rsid w:val="00E057B2"/>
    <w:rsid w:val="00E06D1E"/>
    <w:rsid w:val="00E07455"/>
    <w:rsid w:val="00E07A59"/>
    <w:rsid w:val="00E11E63"/>
    <w:rsid w:val="00E1359E"/>
    <w:rsid w:val="00E178DD"/>
    <w:rsid w:val="00E208F5"/>
    <w:rsid w:val="00E2636A"/>
    <w:rsid w:val="00E30353"/>
    <w:rsid w:val="00E316FE"/>
    <w:rsid w:val="00E331CE"/>
    <w:rsid w:val="00E3651F"/>
    <w:rsid w:val="00E4182C"/>
    <w:rsid w:val="00E44BB3"/>
    <w:rsid w:val="00E453D8"/>
    <w:rsid w:val="00E46D8C"/>
    <w:rsid w:val="00E46F9E"/>
    <w:rsid w:val="00E50FF8"/>
    <w:rsid w:val="00E54493"/>
    <w:rsid w:val="00E54E1B"/>
    <w:rsid w:val="00E55C1C"/>
    <w:rsid w:val="00E57BF2"/>
    <w:rsid w:val="00E60052"/>
    <w:rsid w:val="00E60B70"/>
    <w:rsid w:val="00E60D35"/>
    <w:rsid w:val="00E631EE"/>
    <w:rsid w:val="00E64593"/>
    <w:rsid w:val="00E66246"/>
    <w:rsid w:val="00E70DD4"/>
    <w:rsid w:val="00E74460"/>
    <w:rsid w:val="00E82BDE"/>
    <w:rsid w:val="00E83C71"/>
    <w:rsid w:val="00E861E0"/>
    <w:rsid w:val="00E867C3"/>
    <w:rsid w:val="00E9118B"/>
    <w:rsid w:val="00E91205"/>
    <w:rsid w:val="00E925DF"/>
    <w:rsid w:val="00E940CE"/>
    <w:rsid w:val="00E95A4C"/>
    <w:rsid w:val="00E96016"/>
    <w:rsid w:val="00E97CB7"/>
    <w:rsid w:val="00EA0CFF"/>
    <w:rsid w:val="00EA0D09"/>
    <w:rsid w:val="00EA1135"/>
    <w:rsid w:val="00EA184A"/>
    <w:rsid w:val="00EA473A"/>
    <w:rsid w:val="00EA5A39"/>
    <w:rsid w:val="00EA6981"/>
    <w:rsid w:val="00EA6ABF"/>
    <w:rsid w:val="00EA6FC7"/>
    <w:rsid w:val="00EA7154"/>
    <w:rsid w:val="00EA7E8B"/>
    <w:rsid w:val="00EB4073"/>
    <w:rsid w:val="00EB43D5"/>
    <w:rsid w:val="00EB6066"/>
    <w:rsid w:val="00EB667A"/>
    <w:rsid w:val="00EB72AE"/>
    <w:rsid w:val="00EB72C4"/>
    <w:rsid w:val="00EB73A3"/>
    <w:rsid w:val="00EB7844"/>
    <w:rsid w:val="00EC5011"/>
    <w:rsid w:val="00ED0012"/>
    <w:rsid w:val="00ED028B"/>
    <w:rsid w:val="00ED067B"/>
    <w:rsid w:val="00ED26BE"/>
    <w:rsid w:val="00ED3937"/>
    <w:rsid w:val="00ED662E"/>
    <w:rsid w:val="00ED6A53"/>
    <w:rsid w:val="00ED74CE"/>
    <w:rsid w:val="00EE118F"/>
    <w:rsid w:val="00EE1F63"/>
    <w:rsid w:val="00EE5006"/>
    <w:rsid w:val="00EE5F28"/>
    <w:rsid w:val="00EF11F3"/>
    <w:rsid w:val="00EF2B7B"/>
    <w:rsid w:val="00EF4CED"/>
    <w:rsid w:val="00EF5770"/>
    <w:rsid w:val="00EF7611"/>
    <w:rsid w:val="00EF7A77"/>
    <w:rsid w:val="00F05C9D"/>
    <w:rsid w:val="00F063C1"/>
    <w:rsid w:val="00F147F8"/>
    <w:rsid w:val="00F149D3"/>
    <w:rsid w:val="00F14B54"/>
    <w:rsid w:val="00F211CA"/>
    <w:rsid w:val="00F2252F"/>
    <w:rsid w:val="00F26A1B"/>
    <w:rsid w:val="00F313C0"/>
    <w:rsid w:val="00F32896"/>
    <w:rsid w:val="00F328E1"/>
    <w:rsid w:val="00F348DD"/>
    <w:rsid w:val="00F37D28"/>
    <w:rsid w:val="00F44DAA"/>
    <w:rsid w:val="00F457FC"/>
    <w:rsid w:val="00F5485F"/>
    <w:rsid w:val="00F6043A"/>
    <w:rsid w:val="00F623A7"/>
    <w:rsid w:val="00F63573"/>
    <w:rsid w:val="00F638BC"/>
    <w:rsid w:val="00F64684"/>
    <w:rsid w:val="00F65404"/>
    <w:rsid w:val="00F65B79"/>
    <w:rsid w:val="00F705C4"/>
    <w:rsid w:val="00F722F7"/>
    <w:rsid w:val="00F743E2"/>
    <w:rsid w:val="00F74830"/>
    <w:rsid w:val="00F76AA1"/>
    <w:rsid w:val="00F76EE6"/>
    <w:rsid w:val="00F835B7"/>
    <w:rsid w:val="00F83F3F"/>
    <w:rsid w:val="00F840DF"/>
    <w:rsid w:val="00F86BE8"/>
    <w:rsid w:val="00F91276"/>
    <w:rsid w:val="00F9183E"/>
    <w:rsid w:val="00F930FC"/>
    <w:rsid w:val="00F934E6"/>
    <w:rsid w:val="00F9746C"/>
    <w:rsid w:val="00FA0248"/>
    <w:rsid w:val="00FA0F64"/>
    <w:rsid w:val="00FA12F2"/>
    <w:rsid w:val="00FA4AAE"/>
    <w:rsid w:val="00FB0272"/>
    <w:rsid w:val="00FB1B32"/>
    <w:rsid w:val="00FB2D8D"/>
    <w:rsid w:val="00FC154A"/>
    <w:rsid w:val="00FC234F"/>
    <w:rsid w:val="00FC330C"/>
    <w:rsid w:val="00FC4356"/>
    <w:rsid w:val="00FC4BDD"/>
    <w:rsid w:val="00FC64F6"/>
    <w:rsid w:val="00FC6937"/>
    <w:rsid w:val="00FC6B7B"/>
    <w:rsid w:val="00FC72AE"/>
    <w:rsid w:val="00FC7524"/>
    <w:rsid w:val="00FD0871"/>
    <w:rsid w:val="00FD2B9F"/>
    <w:rsid w:val="00FD4DBB"/>
    <w:rsid w:val="00FD7D8A"/>
    <w:rsid w:val="00FE0451"/>
    <w:rsid w:val="00FE5CC0"/>
    <w:rsid w:val="00FE7063"/>
    <w:rsid w:val="00FE795F"/>
    <w:rsid w:val="00FF1309"/>
    <w:rsid w:val="00FF2700"/>
    <w:rsid w:val="00FF3579"/>
    <w:rsid w:val="00FF3901"/>
    <w:rsid w:val="00FF42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F8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10D4"/>
    <w:rPr>
      <w:lang w:val="en-US"/>
    </w:rPr>
  </w:style>
  <w:style w:type="paragraph" w:styleId="Titolo1">
    <w:name w:val="heading 1"/>
    <w:basedOn w:val="Normale"/>
    <w:link w:val="Titolo1Carattere"/>
    <w:uiPriority w:val="9"/>
    <w:qFormat/>
    <w:rsid w:val="004D4D8F"/>
    <w:pPr>
      <w:spacing w:before="240" w:after="120" w:line="240" w:lineRule="auto"/>
      <w:outlineLvl w:val="0"/>
    </w:pPr>
    <w:rPr>
      <w:rFonts w:ascii="Times New Roman" w:eastAsia="Times New Roman" w:hAnsi="Times New Roman" w:cs="Times New Roman"/>
      <w:b/>
      <w:bCs/>
      <w:color w:val="000000"/>
      <w:kern w:val="36"/>
      <w:sz w:val="33"/>
      <w:szCs w:val="33"/>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C1E82"/>
    <w:rPr>
      <w:color w:val="0000FF"/>
      <w:u w:val="single"/>
    </w:rPr>
  </w:style>
  <w:style w:type="paragraph" w:styleId="Intestazione">
    <w:name w:val="header"/>
    <w:basedOn w:val="Normale"/>
    <w:link w:val="IntestazioneCarattere"/>
    <w:uiPriority w:val="99"/>
    <w:unhideWhenUsed/>
    <w:rsid w:val="00633CBB"/>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633CBB"/>
    <w:rPr>
      <w:lang w:val="en-US"/>
    </w:rPr>
  </w:style>
  <w:style w:type="paragraph" w:styleId="Pidipagina">
    <w:name w:val="footer"/>
    <w:basedOn w:val="Normale"/>
    <w:link w:val="PidipaginaCarattere"/>
    <w:uiPriority w:val="99"/>
    <w:unhideWhenUsed/>
    <w:rsid w:val="00633CBB"/>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633CBB"/>
    <w:rPr>
      <w:lang w:val="en-US"/>
    </w:rPr>
  </w:style>
  <w:style w:type="table" w:styleId="Grigliatabella">
    <w:name w:val="Table Grid"/>
    <w:basedOn w:val="Tabellanormale"/>
    <w:uiPriority w:val="59"/>
    <w:rsid w:val="001D0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375E9"/>
    <w:rPr>
      <w:sz w:val="16"/>
      <w:szCs w:val="16"/>
    </w:rPr>
  </w:style>
  <w:style w:type="paragraph" w:styleId="Testocommento">
    <w:name w:val="annotation text"/>
    <w:basedOn w:val="Normale"/>
    <w:link w:val="TestocommentoCarattere"/>
    <w:uiPriority w:val="99"/>
    <w:unhideWhenUsed/>
    <w:rsid w:val="003375E9"/>
    <w:pPr>
      <w:spacing w:line="240" w:lineRule="auto"/>
    </w:pPr>
    <w:rPr>
      <w:sz w:val="20"/>
      <w:szCs w:val="20"/>
    </w:rPr>
  </w:style>
  <w:style w:type="character" w:customStyle="1" w:styleId="TestocommentoCarattere">
    <w:name w:val="Testo commento Carattere"/>
    <w:basedOn w:val="Carpredefinitoparagrafo"/>
    <w:link w:val="Testocommento"/>
    <w:uiPriority w:val="99"/>
    <w:rsid w:val="003375E9"/>
    <w:rPr>
      <w:sz w:val="20"/>
      <w:szCs w:val="20"/>
      <w:lang w:val="en-US"/>
    </w:rPr>
  </w:style>
  <w:style w:type="paragraph" w:styleId="Soggettocommento">
    <w:name w:val="annotation subject"/>
    <w:basedOn w:val="Testocommento"/>
    <w:next w:val="Testocommento"/>
    <w:link w:val="SoggettocommentoCarattere"/>
    <w:uiPriority w:val="99"/>
    <w:semiHidden/>
    <w:unhideWhenUsed/>
    <w:rsid w:val="003375E9"/>
    <w:rPr>
      <w:b/>
      <w:bCs/>
    </w:rPr>
  </w:style>
  <w:style w:type="character" w:customStyle="1" w:styleId="SoggettocommentoCarattere">
    <w:name w:val="Soggetto commento Carattere"/>
    <w:basedOn w:val="TestocommentoCarattere"/>
    <w:link w:val="Soggettocommento"/>
    <w:uiPriority w:val="99"/>
    <w:semiHidden/>
    <w:rsid w:val="003375E9"/>
    <w:rPr>
      <w:b/>
      <w:bCs/>
      <w:sz w:val="20"/>
      <w:szCs w:val="20"/>
      <w:lang w:val="en-US"/>
    </w:rPr>
  </w:style>
  <w:style w:type="paragraph" w:styleId="Testofumetto">
    <w:name w:val="Balloon Text"/>
    <w:basedOn w:val="Normale"/>
    <w:link w:val="TestofumettoCarattere"/>
    <w:uiPriority w:val="99"/>
    <w:semiHidden/>
    <w:unhideWhenUsed/>
    <w:rsid w:val="003375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75E9"/>
    <w:rPr>
      <w:rFonts w:ascii="Tahoma" w:hAnsi="Tahoma" w:cs="Tahoma"/>
      <w:sz w:val="16"/>
      <w:szCs w:val="16"/>
      <w:lang w:val="en-US"/>
    </w:rPr>
  </w:style>
  <w:style w:type="paragraph" w:styleId="NormaleWeb">
    <w:name w:val="Normal (Web)"/>
    <w:basedOn w:val="Normale"/>
    <w:uiPriority w:val="99"/>
    <w:unhideWhenUsed/>
    <w:rsid w:val="00FE795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Paragrafoelenco">
    <w:name w:val="List Paragraph"/>
    <w:basedOn w:val="Normale"/>
    <w:uiPriority w:val="34"/>
    <w:qFormat/>
    <w:rsid w:val="008359DF"/>
    <w:pPr>
      <w:ind w:left="720"/>
      <w:contextualSpacing/>
    </w:pPr>
  </w:style>
  <w:style w:type="character" w:customStyle="1" w:styleId="Titolo1Carattere">
    <w:name w:val="Titolo 1 Carattere"/>
    <w:basedOn w:val="Carpredefinitoparagrafo"/>
    <w:link w:val="Titolo1"/>
    <w:uiPriority w:val="9"/>
    <w:rsid w:val="004D4D8F"/>
    <w:rPr>
      <w:rFonts w:ascii="Times New Roman" w:eastAsia="Times New Roman" w:hAnsi="Times New Roman" w:cs="Times New Roman"/>
      <w:b/>
      <w:bCs/>
      <w:color w:val="000000"/>
      <w:kern w:val="36"/>
      <w:sz w:val="33"/>
      <w:szCs w:val="33"/>
      <w:lang w:val="en-GB" w:eastAsia="en-GB"/>
    </w:rPr>
  </w:style>
  <w:style w:type="character" w:customStyle="1" w:styleId="highlight2">
    <w:name w:val="highlight2"/>
    <w:basedOn w:val="Carpredefinitoparagrafo"/>
    <w:rsid w:val="004D4D8F"/>
  </w:style>
  <w:style w:type="paragraph" w:styleId="Revisione">
    <w:name w:val="Revision"/>
    <w:hidden/>
    <w:uiPriority w:val="99"/>
    <w:semiHidden/>
    <w:rsid w:val="00A67D91"/>
    <w:pPr>
      <w:spacing w:after="0" w:line="240" w:lineRule="auto"/>
    </w:pPr>
    <w:rPr>
      <w:lang w:val="en-US"/>
    </w:rPr>
  </w:style>
  <w:style w:type="paragraph" w:styleId="Testonormale">
    <w:name w:val="Plain Text"/>
    <w:basedOn w:val="Normale"/>
    <w:link w:val="TestonormaleCarattere"/>
    <w:uiPriority w:val="99"/>
    <w:semiHidden/>
    <w:unhideWhenUsed/>
    <w:rsid w:val="00621FC4"/>
    <w:pPr>
      <w:spacing w:after="0"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621FC4"/>
    <w:rPr>
      <w:rFonts w:ascii="Consolas" w:hAnsi="Consolas" w:cs="Consolas"/>
      <w:sz w:val="21"/>
      <w:szCs w:val="21"/>
      <w:lang w:val="en-US"/>
    </w:rPr>
  </w:style>
  <w:style w:type="table" w:customStyle="1" w:styleId="Grigliatabella1">
    <w:name w:val="Griglia tabella1"/>
    <w:basedOn w:val="Tabellanormale"/>
    <w:next w:val="Grigliatabella"/>
    <w:uiPriority w:val="39"/>
    <w:rsid w:val="00A6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10D4"/>
    <w:rPr>
      <w:lang w:val="en-US"/>
    </w:rPr>
  </w:style>
  <w:style w:type="paragraph" w:styleId="Titolo1">
    <w:name w:val="heading 1"/>
    <w:basedOn w:val="Normale"/>
    <w:link w:val="Titolo1Carattere"/>
    <w:uiPriority w:val="9"/>
    <w:qFormat/>
    <w:rsid w:val="004D4D8F"/>
    <w:pPr>
      <w:spacing w:before="240" w:after="120" w:line="240" w:lineRule="auto"/>
      <w:outlineLvl w:val="0"/>
    </w:pPr>
    <w:rPr>
      <w:rFonts w:ascii="Times New Roman" w:eastAsia="Times New Roman" w:hAnsi="Times New Roman" w:cs="Times New Roman"/>
      <w:b/>
      <w:bCs/>
      <w:color w:val="000000"/>
      <w:kern w:val="36"/>
      <w:sz w:val="33"/>
      <w:szCs w:val="33"/>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C1E82"/>
    <w:rPr>
      <w:color w:val="0000FF"/>
      <w:u w:val="single"/>
    </w:rPr>
  </w:style>
  <w:style w:type="paragraph" w:styleId="Intestazione">
    <w:name w:val="header"/>
    <w:basedOn w:val="Normale"/>
    <w:link w:val="IntestazioneCarattere"/>
    <w:uiPriority w:val="99"/>
    <w:unhideWhenUsed/>
    <w:rsid w:val="00633CBB"/>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633CBB"/>
    <w:rPr>
      <w:lang w:val="en-US"/>
    </w:rPr>
  </w:style>
  <w:style w:type="paragraph" w:styleId="Pidipagina">
    <w:name w:val="footer"/>
    <w:basedOn w:val="Normale"/>
    <w:link w:val="PidipaginaCarattere"/>
    <w:uiPriority w:val="99"/>
    <w:unhideWhenUsed/>
    <w:rsid w:val="00633CBB"/>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633CBB"/>
    <w:rPr>
      <w:lang w:val="en-US"/>
    </w:rPr>
  </w:style>
  <w:style w:type="table" w:styleId="Grigliatabella">
    <w:name w:val="Table Grid"/>
    <w:basedOn w:val="Tabellanormale"/>
    <w:uiPriority w:val="59"/>
    <w:rsid w:val="001D0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375E9"/>
    <w:rPr>
      <w:sz w:val="16"/>
      <w:szCs w:val="16"/>
    </w:rPr>
  </w:style>
  <w:style w:type="paragraph" w:styleId="Testocommento">
    <w:name w:val="annotation text"/>
    <w:basedOn w:val="Normale"/>
    <w:link w:val="TestocommentoCarattere"/>
    <w:uiPriority w:val="99"/>
    <w:unhideWhenUsed/>
    <w:rsid w:val="003375E9"/>
    <w:pPr>
      <w:spacing w:line="240" w:lineRule="auto"/>
    </w:pPr>
    <w:rPr>
      <w:sz w:val="20"/>
      <w:szCs w:val="20"/>
    </w:rPr>
  </w:style>
  <w:style w:type="character" w:customStyle="1" w:styleId="TestocommentoCarattere">
    <w:name w:val="Testo commento Carattere"/>
    <w:basedOn w:val="Carpredefinitoparagrafo"/>
    <w:link w:val="Testocommento"/>
    <w:uiPriority w:val="99"/>
    <w:rsid w:val="003375E9"/>
    <w:rPr>
      <w:sz w:val="20"/>
      <w:szCs w:val="20"/>
      <w:lang w:val="en-US"/>
    </w:rPr>
  </w:style>
  <w:style w:type="paragraph" w:styleId="Soggettocommento">
    <w:name w:val="annotation subject"/>
    <w:basedOn w:val="Testocommento"/>
    <w:next w:val="Testocommento"/>
    <w:link w:val="SoggettocommentoCarattere"/>
    <w:uiPriority w:val="99"/>
    <w:semiHidden/>
    <w:unhideWhenUsed/>
    <w:rsid w:val="003375E9"/>
    <w:rPr>
      <w:b/>
      <w:bCs/>
    </w:rPr>
  </w:style>
  <w:style w:type="character" w:customStyle="1" w:styleId="SoggettocommentoCarattere">
    <w:name w:val="Soggetto commento Carattere"/>
    <w:basedOn w:val="TestocommentoCarattere"/>
    <w:link w:val="Soggettocommento"/>
    <w:uiPriority w:val="99"/>
    <w:semiHidden/>
    <w:rsid w:val="003375E9"/>
    <w:rPr>
      <w:b/>
      <w:bCs/>
      <w:sz w:val="20"/>
      <w:szCs w:val="20"/>
      <w:lang w:val="en-US"/>
    </w:rPr>
  </w:style>
  <w:style w:type="paragraph" w:styleId="Testofumetto">
    <w:name w:val="Balloon Text"/>
    <w:basedOn w:val="Normale"/>
    <w:link w:val="TestofumettoCarattere"/>
    <w:uiPriority w:val="99"/>
    <w:semiHidden/>
    <w:unhideWhenUsed/>
    <w:rsid w:val="003375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75E9"/>
    <w:rPr>
      <w:rFonts w:ascii="Tahoma" w:hAnsi="Tahoma" w:cs="Tahoma"/>
      <w:sz w:val="16"/>
      <w:szCs w:val="16"/>
      <w:lang w:val="en-US"/>
    </w:rPr>
  </w:style>
  <w:style w:type="paragraph" w:styleId="NormaleWeb">
    <w:name w:val="Normal (Web)"/>
    <w:basedOn w:val="Normale"/>
    <w:uiPriority w:val="99"/>
    <w:unhideWhenUsed/>
    <w:rsid w:val="00FE795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Paragrafoelenco">
    <w:name w:val="List Paragraph"/>
    <w:basedOn w:val="Normale"/>
    <w:uiPriority w:val="34"/>
    <w:qFormat/>
    <w:rsid w:val="008359DF"/>
    <w:pPr>
      <w:ind w:left="720"/>
      <w:contextualSpacing/>
    </w:pPr>
  </w:style>
  <w:style w:type="character" w:customStyle="1" w:styleId="Titolo1Carattere">
    <w:name w:val="Titolo 1 Carattere"/>
    <w:basedOn w:val="Carpredefinitoparagrafo"/>
    <w:link w:val="Titolo1"/>
    <w:uiPriority w:val="9"/>
    <w:rsid w:val="004D4D8F"/>
    <w:rPr>
      <w:rFonts w:ascii="Times New Roman" w:eastAsia="Times New Roman" w:hAnsi="Times New Roman" w:cs="Times New Roman"/>
      <w:b/>
      <w:bCs/>
      <w:color w:val="000000"/>
      <w:kern w:val="36"/>
      <w:sz w:val="33"/>
      <w:szCs w:val="33"/>
      <w:lang w:val="en-GB" w:eastAsia="en-GB"/>
    </w:rPr>
  </w:style>
  <w:style w:type="character" w:customStyle="1" w:styleId="highlight2">
    <w:name w:val="highlight2"/>
    <w:basedOn w:val="Carpredefinitoparagrafo"/>
    <w:rsid w:val="004D4D8F"/>
  </w:style>
  <w:style w:type="paragraph" w:styleId="Revisione">
    <w:name w:val="Revision"/>
    <w:hidden/>
    <w:uiPriority w:val="99"/>
    <w:semiHidden/>
    <w:rsid w:val="00A67D91"/>
    <w:pPr>
      <w:spacing w:after="0" w:line="240" w:lineRule="auto"/>
    </w:pPr>
    <w:rPr>
      <w:lang w:val="en-US"/>
    </w:rPr>
  </w:style>
  <w:style w:type="paragraph" w:styleId="Testonormale">
    <w:name w:val="Plain Text"/>
    <w:basedOn w:val="Normale"/>
    <w:link w:val="TestonormaleCarattere"/>
    <w:uiPriority w:val="99"/>
    <w:semiHidden/>
    <w:unhideWhenUsed/>
    <w:rsid w:val="00621FC4"/>
    <w:pPr>
      <w:spacing w:after="0"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621FC4"/>
    <w:rPr>
      <w:rFonts w:ascii="Consolas" w:hAnsi="Consolas" w:cs="Consolas"/>
      <w:sz w:val="21"/>
      <w:szCs w:val="21"/>
      <w:lang w:val="en-US"/>
    </w:rPr>
  </w:style>
  <w:style w:type="table" w:customStyle="1" w:styleId="Grigliatabella1">
    <w:name w:val="Griglia tabella1"/>
    <w:basedOn w:val="Tabellanormale"/>
    <w:next w:val="Grigliatabella"/>
    <w:uiPriority w:val="39"/>
    <w:rsid w:val="00A6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9285">
      <w:bodyDiv w:val="1"/>
      <w:marLeft w:val="0"/>
      <w:marRight w:val="0"/>
      <w:marTop w:val="0"/>
      <w:marBottom w:val="0"/>
      <w:divBdr>
        <w:top w:val="none" w:sz="0" w:space="0" w:color="auto"/>
        <w:left w:val="none" w:sz="0" w:space="0" w:color="auto"/>
        <w:bottom w:val="none" w:sz="0" w:space="0" w:color="auto"/>
        <w:right w:val="none" w:sz="0" w:space="0" w:color="auto"/>
      </w:divBdr>
    </w:div>
    <w:div w:id="83697525">
      <w:bodyDiv w:val="1"/>
      <w:marLeft w:val="0"/>
      <w:marRight w:val="0"/>
      <w:marTop w:val="0"/>
      <w:marBottom w:val="0"/>
      <w:divBdr>
        <w:top w:val="none" w:sz="0" w:space="0" w:color="auto"/>
        <w:left w:val="none" w:sz="0" w:space="0" w:color="auto"/>
        <w:bottom w:val="none" w:sz="0" w:space="0" w:color="auto"/>
        <w:right w:val="none" w:sz="0" w:space="0" w:color="auto"/>
      </w:divBdr>
    </w:div>
    <w:div w:id="93088996">
      <w:bodyDiv w:val="1"/>
      <w:marLeft w:val="0"/>
      <w:marRight w:val="0"/>
      <w:marTop w:val="0"/>
      <w:marBottom w:val="0"/>
      <w:divBdr>
        <w:top w:val="none" w:sz="0" w:space="0" w:color="auto"/>
        <w:left w:val="none" w:sz="0" w:space="0" w:color="auto"/>
        <w:bottom w:val="none" w:sz="0" w:space="0" w:color="auto"/>
        <w:right w:val="none" w:sz="0" w:space="0" w:color="auto"/>
      </w:divBdr>
    </w:div>
    <w:div w:id="102849498">
      <w:bodyDiv w:val="1"/>
      <w:marLeft w:val="0"/>
      <w:marRight w:val="0"/>
      <w:marTop w:val="0"/>
      <w:marBottom w:val="0"/>
      <w:divBdr>
        <w:top w:val="none" w:sz="0" w:space="0" w:color="auto"/>
        <w:left w:val="none" w:sz="0" w:space="0" w:color="auto"/>
        <w:bottom w:val="none" w:sz="0" w:space="0" w:color="auto"/>
        <w:right w:val="none" w:sz="0" w:space="0" w:color="auto"/>
      </w:divBdr>
      <w:divsChild>
        <w:div w:id="1120683390">
          <w:marLeft w:val="0"/>
          <w:marRight w:val="0"/>
          <w:marTop w:val="0"/>
          <w:marBottom w:val="0"/>
          <w:divBdr>
            <w:top w:val="none" w:sz="0" w:space="0" w:color="auto"/>
            <w:left w:val="none" w:sz="0" w:space="0" w:color="auto"/>
            <w:bottom w:val="none" w:sz="0" w:space="0" w:color="auto"/>
            <w:right w:val="none" w:sz="0" w:space="0" w:color="auto"/>
          </w:divBdr>
          <w:divsChild>
            <w:div w:id="1283069915">
              <w:marLeft w:val="0"/>
              <w:marRight w:val="0"/>
              <w:marTop w:val="0"/>
              <w:marBottom w:val="0"/>
              <w:divBdr>
                <w:top w:val="none" w:sz="0" w:space="0" w:color="auto"/>
                <w:left w:val="none" w:sz="0" w:space="0" w:color="auto"/>
                <w:bottom w:val="none" w:sz="0" w:space="0" w:color="auto"/>
                <w:right w:val="none" w:sz="0" w:space="0" w:color="auto"/>
              </w:divBdr>
              <w:divsChild>
                <w:div w:id="1343124196">
                  <w:marLeft w:val="0"/>
                  <w:marRight w:val="0"/>
                  <w:marTop w:val="120"/>
                  <w:marBottom w:val="360"/>
                  <w:divBdr>
                    <w:top w:val="none" w:sz="0" w:space="0" w:color="auto"/>
                    <w:left w:val="none" w:sz="0" w:space="0" w:color="auto"/>
                    <w:bottom w:val="none" w:sz="0" w:space="0" w:color="auto"/>
                    <w:right w:val="none" w:sz="0" w:space="0" w:color="auto"/>
                  </w:divBdr>
                  <w:divsChild>
                    <w:div w:id="752897735">
                      <w:marLeft w:val="0"/>
                      <w:marRight w:val="0"/>
                      <w:marTop w:val="0"/>
                      <w:marBottom w:val="0"/>
                      <w:divBdr>
                        <w:top w:val="none" w:sz="0" w:space="0" w:color="auto"/>
                        <w:left w:val="none" w:sz="0" w:space="0" w:color="auto"/>
                        <w:bottom w:val="none" w:sz="0" w:space="0" w:color="auto"/>
                        <w:right w:val="none" w:sz="0" w:space="0" w:color="auto"/>
                      </w:divBdr>
                      <w:divsChild>
                        <w:div w:id="1628774553">
                          <w:marLeft w:val="0"/>
                          <w:marRight w:val="0"/>
                          <w:marTop w:val="0"/>
                          <w:marBottom w:val="0"/>
                          <w:divBdr>
                            <w:top w:val="none" w:sz="0" w:space="0" w:color="auto"/>
                            <w:left w:val="none" w:sz="0" w:space="0" w:color="auto"/>
                            <w:bottom w:val="none" w:sz="0" w:space="0" w:color="auto"/>
                            <w:right w:val="none" w:sz="0" w:space="0" w:color="auto"/>
                          </w:divBdr>
                          <w:divsChild>
                            <w:div w:id="1405299207">
                              <w:marLeft w:val="0"/>
                              <w:marRight w:val="0"/>
                              <w:marTop w:val="0"/>
                              <w:marBottom w:val="0"/>
                              <w:divBdr>
                                <w:top w:val="none" w:sz="0" w:space="0" w:color="auto"/>
                                <w:left w:val="none" w:sz="0" w:space="0" w:color="auto"/>
                                <w:bottom w:val="none" w:sz="0" w:space="0" w:color="auto"/>
                                <w:right w:val="none" w:sz="0" w:space="0" w:color="auto"/>
                              </w:divBdr>
                              <w:divsChild>
                                <w:div w:id="3154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36158">
      <w:bodyDiv w:val="1"/>
      <w:marLeft w:val="0"/>
      <w:marRight w:val="0"/>
      <w:marTop w:val="0"/>
      <w:marBottom w:val="0"/>
      <w:divBdr>
        <w:top w:val="none" w:sz="0" w:space="0" w:color="auto"/>
        <w:left w:val="none" w:sz="0" w:space="0" w:color="auto"/>
        <w:bottom w:val="none" w:sz="0" w:space="0" w:color="auto"/>
        <w:right w:val="none" w:sz="0" w:space="0" w:color="auto"/>
      </w:divBdr>
    </w:div>
    <w:div w:id="138885779">
      <w:bodyDiv w:val="1"/>
      <w:marLeft w:val="0"/>
      <w:marRight w:val="0"/>
      <w:marTop w:val="0"/>
      <w:marBottom w:val="0"/>
      <w:divBdr>
        <w:top w:val="none" w:sz="0" w:space="0" w:color="auto"/>
        <w:left w:val="none" w:sz="0" w:space="0" w:color="auto"/>
        <w:bottom w:val="none" w:sz="0" w:space="0" w:color="auto"/>
        <w:right w:val="none" w:sz="0" w:space="0" w:color="auto"/>
      </w:divBdr>
    </w:div>
    <w:div w:id="146241491">
      <w:bodyDiv w:val="1"/>
      <w:marLeft w:val="0"/>
      <w:marRight w:val="0"/>
      <w:marTop w:val="0"/>
      <w:marBottom w:val="0"/>
      <w:divBdr>
        <w:top w:val="none" w:sz="0" w:space="0" w:color="auto"/>
        <w:left w:val="none" w:sz="0" w:space="0" w:color="auto"/>
        <w:bottom w:val="none" w:sz="0" w:space="0" w:color="auto"/>
        <w:right w:val="none" w:sz="0" w:space="0" w:color="auto"/>
      </w:divBdr>
    </w:div>
    <w:div w:id="146483886">
      <w:bodyDiv w:val="1"/>
      <w:marLeft w:val="0"/>
      <w:marRight w:val="0"/>
      <w:marTop w:val="0"/>
      <w:marBottom w:val="0"/>
      <w:divBdr>
        <w:top w:val="none" w:sz="0" w:space="0" w:color="auto"/>
        <w:left w:val="none" w:sz="0" w:space="0" w:color="auto"/>
        <w:bottom w:val="none" w:sz="0" w:space="0" w:color="auto"/>
        <w:right w:val="none" w:sz="0" w:space="0" w:color="auto"/>
      </w:divBdr>
    </w:div>
    <w:div w:id="147866965">
      <w:bodyDiv w:val="1"/>
      <w:marLeft w:val="0"/>
      <w:marRight w:val="0"/>
      <w:marTop w:val="0"/>
      <w:marBottom w:val="0"/>
      <w:divBdr>
        <w:top w:val="none" w:sz="0" w:space="0" w:color="auto"/>
        <w:left w:val="none" w:sz="0" w:space="0" w:color="auto"/>
        <w:bottom w:val="none" w:sz="0" w:space="0" w:color="auto"/>
        <w:right w:val="none" w:sz="0" w:space="0" w:color="auto"/>
      </w:divBdr>
    </w:div>
    <w:div w:id="157310876">
      <w:bodyDiv w:val="1"/>
      <w:marLeft w:val="0"/>
      <w:marRight w:val="0"/>
      <w:marTop w:val="0"/>
      <w:marBottom w:val="0"/>
      <w:divBdr>
        <w:top w:val="none" w:sz="0" w:space="0" w:color="auto"/>
        <w:left w:val="none" w:sz="0" w:space="0" w:color="auto"/>
        <w:bottom w:val="none" w:sz="0" w:space="0" w:color="auto"/>
        <w:right w:val="none" w:sz="0" w:space="0" w:color="auto"/>
      </w:divBdr>
    </w:div>
    <w:div w:id="170066652">
      <w:bodyDiv w:val="1"/>
      <w:marLeft w:val="0"/>
      <w:marRight w:val="0"/>
      <w:marTop w:val="0"/>
      <w:marBottom w:val="0"/>
      <w:divBdr>
        <w:top w:val="none" w:sz="0" w:space="0" w:color="auto"/>
        <w:left w:val="none" w:sz="0" w:space="0" w:color="auto"/>
        <w:bottom w:val="none" w:sz="0" w:space="0" w:color="auto"/>
        <w:right w:val="none" w:sz="0" w:space="0" w:color="auto"/>
      </w:divBdr>
    </w:div>
    <w:div w:id="171998259">
      <w:bodyDiv w:val="1"/>
      <w:marLeft w:val="0"/>
      <w:marRight w:val="0"/>
      <w:marTop w:val="0"/>
      <w:marBottom w:val="0"/>
      <w:divBdr>
        <w:top w:val="none" w:sz="0" w:space="0" w:color="auto"/>
        <w:left w:val="none" w:sz="0" w:space="0" w:color="auto"/>
        <w:bottom w:val="none" w:sz="0" w:space="0" w:color="auto"/>
        <w:right w:val="none" w:sz="0" w:space="0" w:color="auto"/>
      </w:divBdr>
    </w:div>
    <w:div w:id="172694186">
      <w:bodyDiv w:val="1"/>
      <w:marLeft w:val="0"/>
      <w:marRight w:val="0"/>
      <w:marTop w:val="0"/>
      <w:marBottom w:val="0"/>
      <w:divBdr>
        <w:top w:val="none" w:sz="0" w:space="0" w:color="auto"/>
        <w:left w:val="none" w:sz="0" w:space="0" w:color="auto"/>
        <w:bottom w:val="none" w:sz="0" w:space="0" w:color="auto"/>
        <w:right w:val="none" w:sz="0" w:space="0" w:color="auto"/>
      </w:divBdr>
    </w:div>
    <w:div w:id="199440825">
      <w:bodyDiv w:val="1"/>
      <w:marLeft w:val="0"/>
      <w:marRight w:val="0"/>
      <w:marTop w:val="0"/>
      <w:marBottom w:val="0"/>
      <w:divBdr>
        <w:top w:val="none" w:sz="0" w:space="0" w:color="auto"/>
        <w:left w:val="none" w:sz="0" w:space="0" w:color="auto"/>
        <w:bottom w:val="none" w:sz="0" w:space="0" w:color="auto"/>
        <w:right w:val="none" w:sz="0" w:space="0" w:color="auto"/>
      </w:divBdr>
    </w:div>
    <w:div w:id="228805325">
      <w:bodyDiv w:val="1"/>
      <w:marLeft w:val="0"/>
      <w:marRight w:val="0"/>
      <w:marTop w:val="0"/>
      <w:marBottom w:val="0"/>
      <w:divBdr>
        <w:top w:val="none" w:sz="0" w:space="0" w:color="auto"/>
        <w:left w:val="none" w:sz="0" w:space="0" w:color="auto"/>
        <w:bottom w:val="none" w:sz="0" w:space="0" w:color="auto"/>
        <w:right w:val="none" w:sz="0" w:space="0" w:color="auto"/>
      </w:divBdr>
    </w:div>
    <w:div w:id="232813698">
      <w:bodyDiv w:val="1"/>
      <w:marLeft w:val="0"/>
      <w:marRight w:val="0"/>
      <w:marTop w:val="0"/>
      <w:marBottom w:val="0"/>
      <w:divBdr>
        <w:top w:val="none" w:sz="0" w:space="0" w:color="auto"/>
        <w:left w:val="none" w:sz="0" w:space="0" w:color="auto"/>
        <w:bottom w:val="none" w:sz="0" w:space="0" w:color="auto"/>
        <w:right w:val="none" w:sz="0" w:space="0" w:color="auto"/>
      </w:divBdr>
    </w:div>
    <w:div w:id="288630670">
      <w:bodyDiv w:val="1"/>
      <w:marLeft w:val="0"/>
      <w:marRight w:val="0"/>
      <w:marTop w:val="0"/>
      <w:marBottom w:val="0"/>
      <w:divBdr>
        <w:top w:val="none" w:sz="0" w:space="0" w:color="auto"/>
        <w:left w:val="none" w:sz="0" w:space="0" w:color="auto"/>
        <w:bottom w:val="none" w:sz="0" w:space="0" w:color="auto"/>
        <w:right w:val="none" w:sz="0" w:space="0" w:color="auto"/>
      </w:divBdr>
    </w:div>
    <w:div w:id="304244850">
      <w:bodyDiv w:val="1"/>
      <w:marLeft w:val="0"/>
      <w:marRight w:val="0"/>
      <w:marTop w:val="0"/>
      <w:marBottom w:val="0"/>
      <w:divBdr>
        <w:top w:val="none" w:sz="0" w:space="0" w:color="auto"/>
        <w:left w:val="none" w:sz="0" w:space="0" w:color="auto"/>
        <w:bottom w:val="none" w:sz="0" w:space="0" w:color="auto"/>
        <w:right w:val="none" w:sz="0" w:space="0" w:color="auto"/>
      </w:divBdr>
    </w:div>
    <w:div w:id="310911434">
      <w:bodyDiv w:val="1"/>
      <w:marLeft w:val="0"/>
      <w:marRight w:val="0"/>
      <w:marTop w:val="0"/>
      <w:marBottom w:val="0"/>
      <w:divBdr>
        <w:top w:val="none" w:sz="0" w:space="0" w:color="auto"/>
        <w:left w:val="none" w:sz="0" w:space="0" w:color="auto"/>
        <w:bottom w:val="none" w:sz="0" w:space="0" w:color="auto"/>
        <w:right w:val="none" w:sz="0" w:space="0" w:color="auto"/>
      </w:divBdr>
    </w:div>
    <w:div w:id="312635956">
      <w:bodyDiv w:val="1"/>
      <w:marLeft w:val="0"/>
      <w:marRight w:val="0"/>
      <w:marTop w:val="0"/>
      <w:marBottom w:val="0"/>
      <w:divBdr>
        <w:top w:val="none" w:sz="0" w:space="0" w:color="auto"/>
        <w:left w:val="none" w:sz="0" w:space="0" w:color="auto"/>
        <w:bottom w:val="none" w:sz="0" w:space="0" w:color="auto"/>
        <w:right w:val="none" w:sz="0" w:space="0" w:color="auto"/>
      </w:divBdr>
    </w:div>
    <w:div w:id="317731921">
      <w:bodyDiv w:val="1"/>
      <w:marLeft w:val="0"/>
      <w:marRight w:val="0"/>
      <w:marTop w:val="0"/>
      <w:marBottom w:val="0"/>
      <w:divBdr>
        <w:top w:val="none" w:sz="0" w:space="0" w:color="auto"/>
        <w:left w:val="none" w:sz="0" w:space="0" w:color="auto"/>
        <w:bottom w:val="none" w:sz="0" w:space="0" w:color="auto"/>
        <w:right w:val="none" w:sz="0" w:space="0" w:color="auto"/>
      </w:divBdr>
    </w:div>
    <w:div w:id="323975622">
      <w:bodyDiv w:val="1"/>
      <w:marLeft w:val="0"/>
      <w:marRight w:val="0"/>
      <w:marTop w:val="0"/>
      <w:marBottom w:val="0"/>
      <w:divBdr>
        <w:top w:val="none" w:sz="0" w:space="0" w:color="auto"/>
        <w:left w:val="none" w:sz="0" w:space="0" w:color="auto"/>
        <w:bottom w:val="none" w:sz="0" w:space="0" w:color="auto"/>
        <w:right w:val="none" w:sz="0" w:space="0" w:color="auto"/>
      </w:divBdr>
    </w:div>
    <w:div w:id="333727483">
      <w:bodyDiv w:val="1"/>
      <w:marLeft w:val="0"/>
      <w:marRight w:val="0"/>
      <w:marTop w:val="0"/>
      <w:marBottom w:val="0"/>
      <w:divBdr>
        <w:top w:val="none" w:sz="0" w:space="0" w:color="auto"/>
        <w:left w:val="none" w:sz="0" w:space="0" w:color="auto"/>
        <w:bottom w:val="none" w:sz="0" w:space="0" w:color="auto"/>
        <w:right w:val="none" w:sz="0" w:space="0" w:color="auto"/>
      </w:divBdr>
    </w:div>
    <w:div w:id="336006346">
      <w:bodyDiv w:val="1"/>
      <w:marLeft w:val="0"/>
      <w:marRight w:val="0"/>
      <w:marTop w:val="0"/>
      <w:marBottom w:val="0"/>
      <w:divBdr>
        <w:top w:val="none" w:sz="0" w:space="0" w:color="auto"/>
        <w:left w:val="none" w:sz="0" w:space="0" w:color="auto"/>
        <w:bottom w:val="none" w:sz="0" w:space="0" w:color="auto"/>
        <w:right w:val="none" w:sz="0" w:space="0" w:color="auto"/>
      </w:divBdr>
    </w:div>
    <w:div w:id="341708906">
      <w:bodyDiv w:val="1"/>
      <w:marLeft w:val="0"/>
      <w:marRight w:val="0"/>
      <w:marTop w:val="0"/>
      <w:marBottom w:val="0"/>
      <w:divBdr>
        <w:top w:val="none" w:sz="0" w:space="0" w:color="auto"/>
        <w:left w:val="none" w:sz="0" w:space="0" w:color="auto"/>
        <w:bottom w:val="none" w:sz="0" w:space="0" w:color="auto"/>
        <w:right w:val="none" w:sz="0" w:space="0" w:color="auto"/>
      </w:divBdr>
    </w:div>
    <w:div w:id="362361688">
      <w:bodyDiv w:val="1"/>
      <w:marLeft w:val="0"/>
      <w:marRight w:val="0"/>
      <w:marTop w:val="0"/>
      <w:marBottom w:val="0"/>
      <w:divBdr>
        <w:top w:val="none" w:sz="0" w:space="0" w:color="auto"/>
        <w:left w:val="none" w:sz="0" w:space="0" w:color="auto"/>
        <w:bottom w:val="none" w:sz="0" w:space="0" w:color="auto"/>
        <w:right w:val="none" w:sz="0" w:space="0" w:color="auto"/>
      </w:divBdr>
    </w:div>
    <w:div w:id="364255704">
      <w:bodyDiv w:val="1"/>
      <w:marLeft w:val="0"/>
      <w:marRight w:val="0"/>
      <w:marTop w:val="0"/>
      <w:marBottom w:val="0"/>
      <w:divBdr>
        <w:top w:val="none" w:sz="0" w:space="0" w:color="auto"/>
        <w:left w:val="none" w:sz="0" w:space="0" w:color="auto"/>
        <w:bottom w:val="none" w:sz="0" w:space="0" w:color="auto"/>
        <w:right w:val="none" w:sz="0" w:space="0" w:color="auto"/>
      </w:divBdr>
      <w:divsChild>
        <w:div w:id="2144031040">
          <w:marLeft w:val="0"/>
          <w:marRight w:val="0"/>
          <w:marTop w:val="100"/>
          <w:marBottom w:val="100"/>
          <w:divBdr>
            <w:top w:val="none" w:sz="0" w:space="0" w:color="auto"/>
            <w:left w:val="none" w:sz="0" w:space="0" w:color="auto"/>
            <w:bottom w:val="none" w:sz="0" w:space="0" w:color="auto"/>
            <w:right w:val="none" w:sz="0" w:space="0" w:color="auto"/>
          </w:divBdr>
          <w:divsChild>
            <w:div w:id="1840845755">
              <w:marLeft w:val="0"/>
              <w:marRight w:val="0"/>
              <w:marTop w:val="0"/>
              <w:marBottom w:val="0"/>
              <w:divBdr>
                <w:top w:val="none" w:sz="0" w:space="0" w:color="auto"/>
                <w:left w:val="none" w:sz="0" w:space="0" w:color="auto"/>
                <w:bottom w:val="none" w:sz="0" w:space="0" w:color="auto"/>
                <w:right w:val="none" w:sz="0" w:space="0" w:color="auto"/>
              </w:divBdr>
              <w:divsChild>
                <w:div w:id="2018843533">
                  <w:marLeft w:val="105"/>
                  <w:marRight w:val="105"/>
                  <w:marTop w:val="150"/>
                  <w:marBottom w:val="150"/>
                  <w:divBdr>
                    <w:top w:val="none" w:sz="0" w:space="0" w:color="auto"/>
                    <w:left w:val="none" w:sz="0" w:space="0" w:color="auto"/>
                    <w:bottom w:val="none" w:sz="0" w:space="0" w:color="auto"/>
                    <w:right w:val="none" w:sz="0" w:space="0" w:color="auto"/>
                  </w:divBdr>
                  <w:divsChild>
                    <w:div w:id="992368996">
                      <w:marLeft w:val="0"/>
                      <w:marRight w:val="0"/>
                      <w:marTop w:val="0"/>
                      <w:marBottom w:val="0"/>
                      <w:divBdr>
                        <w:top w:val="none" w:sz="0" w:space="0" w:color="auto"/>
                        <w:left w:val="none" w:sz="0" w:space="0" w:color="auto"/>
                        <w:bottom w:val="none" w:sz="0" w:space="0" w:color="auto"/>
                        <w:right w:val="none" w:sz="0" w:space="0" w:color="auto"/>
                      </w:divBdr>
                      <w:divsChild>
                        <w:div w:id="27530863">
                          <w:marLeft w:val="0"/>
                          <w:marRight w:val="0"/>
                          <w:marTop w:val="0"/>
                          <w:marBottom w:val="0"/>
                          <w:divBdr>
                            <w:top w:val="none" w:sz="0" w:space="0" w:color="auto"/>
                            <w:left w:val="none" w:sz="0" w:space="0" w:color="auto"/>
                            <w:bottom w:val="none" w:sz="0" w:space="0" w:color="auto"/>
                            <w:right w:val="none" w:sz="0" w:space="0" w:color="auto"/>
                          </w:divBdr>
                          <w:divsChild>
                            <w:div w:id="69039482">
                              <w:marLeft w:val="0"/>
                              <w:marRight w:val="0"/>
                              <w:marTop w:val="0"/>
                              <w:marBottom w:val="0"/>
                              <w:divBdr>
                                <w:top w:val="none" w:sz="0" w:space="0" w:color="auto"/>
                                <w:left w:val="none" w:sz="0" w:space="0" w:color="auto"/>
                                <w:bottom w:val="none" w:sz="0" w:space="0" w:color="auto"/>
                                <w:right w:val="none" w:sz="0" w:space="0" w:color="auto"/>
                              </w:divBdr>
                              <w:divsChild>
                                <w:div w:id="2117868469">
                                  <w:marLeft w:val="105"/>
                                  <w:marRight w:val="105"/>
                                  <w:marTop w:val="150"/>
                                  <w:marBottom w:val="150"/>
                                  <w:divBdr>
                                    <w:top w:val="none" w:sz="0" w:space="0" w:color="auto"/>
                                    <w:left w:val="none" w:sz="0" w:space="0" w:color="auto"/>
                                    <w:bottom w:val="none" w:sz="0" w:space="0" w:color="auto"/>
                                    <w:right w:val="none" w:sz="0" w:space="0" w:color="auto"/>
                                  </w:divBdr>
                                  <w:divsChild>
                                    <w:div w:id="98108326">
                                      <w:marLeft w:val="0"/>
                                      <w:marRight w:val="0"/>
                                      <w:marTop w:val="0"/>
                                      <w:marBottom w:val="0"/>
                                      <w:divBdr>
                                        <w:top w:val="none" w:sz="0" w:space="0" w:color="auto"/>
                                        <w:left w:val="none" w:sz="0" w:space="0" w:color="auto"/>
                                        <w:bottom w:val="none" w:sz="0" w:space="0" w:color="auto"/>
                                        <w:right w:val="none" w:sz="0" w:space="0" w:color="auto"/>
                                      </w:divBdr>
                                      <w:divsChild>
                                        <w:div w:id="427042232">
                                          <w:marLeft w:val="0"/>
                                          <w:marRight w:val="0"/>
                                          <w:marTop w:val="0"/>
                                          <w:marBottom w:val="0"/>
                                          <w:divBdr>
                                            <w:top w:val="none" w:sz="0" w:space="0" w:color="auto"/>
                                            <w:left w:val="none" w:sz="0" w:space="0" w:color="auto"/>
                                            <w:bottom w:val="none" w:sz="0" w:space="0" w:color="auto"/>
                                            <w:right w:val="none" w:sz="0" w:space="0" w:color="auto"/>
                                          </w:divBdr>
                                          <w:divsChild>
                                            <w:div w:id="862937466">
                                              <w:marLeft w:val="0"/>
                                              <w:marRight w:val="0"/>
                                              <w:marTop w:val="0"/>
                                              <w:marBottom w:val="0"/>
                                              <w:divBdr>
                                                <w:top w:val="none" w:sz="0" w:space="0" w:color="auto"/>
                                                <w:left w:val="none" w:sz="0" w:space="0" w:color="auto"/>
                                                <w:bottom w:val="none" w:sz="0" w:space="0" w:color="auto"/>
                                                <w:right w:val="none" w:sz="0" w:space="0" w:color="auto"/>
                                              </w:divBdr>
                                              <w:divsChild>
                                                <w:div w:id="257369282">
                                                  <w:marLeft w:val="0"/>
                                                  <w:marRight w:val="0"/>
                                                  <w:marTop w:val="0"/>
                                                  <w:marBottom w:val="0"/>
                                                  <w:divBdr>
                                                    <w:top w:val="none" w:sz="0" w:space="0" w:color="auto"/>
                                                    <w:left w:val="none" w:sz="0" w:space="0" w:color="auto"/>
                                                    <w:bottom w:val="none" w:sz="0" w:space="0" w:color="auto"/>
                                                    <w:right w:val="none" w:sz="0" w:space="0" w:color="auto"/>
                                                  </w:divBdr>
                                                  <w:divsChild>
                                                    <w:div w:id="366569710">
                                                      <w:marLeft w:val="105"/>
                                                      <w:marRight w:val="105"/>
                                                      <w:marTop w:val="150"/>
                                                      <w:marBottom w:val="150"/>
                                                      <w:divBdr>
                                                        <w:top w:val="none" w:sz="0" w:space="0" w:color="auto"/>
                                                        <w:left w:val="none" w:sz="0" w:space="0" w:color="auto"/>
                                                        <w:bottom w:val="none" w:sz="0" w:space="0" w:color="auto"/>
                                                        <w:right w:val="none" w:sz="0" w:space="0" w:color="auto"/>
                                                      </w:divBdr>
                                                      <w:divsChild>
                                                        <w:div w:id="1804927433">
                                                          <w:marLeft w:val="0"/>
                                                          <w:marRight w:val="0"/>
                                                          <w:marTop w:val="0"/>
                                                          <w:marBottom w:val="0"/>
                                                          <w:divBdr>
                                                            <w:top w:val="none" w:sz="0" w:space="0" w:color="auto"/>
                                                            <w:left w:val="none" w:sz="0" w:space="0" w:color="auto"/>
                                                            <w:bottom w:val="none" w:sz="0" w:space="0" w:color="auto"/>
                                                            <w:right w:val="none" w:sz="0" w:space="0" w:color="auto"/>
                                                          </w:divBdr>
                                                          <w:divsChild>
                                                            <w:div w:id="62215951">
                                                              <w:marLeft w:val="0"/>
                                                              <w:marRight w:val="0"/>
                                                              <w:marTop w:val="0"/>
                                                              <w:marBottom w:val="0"/>
                                                              <w:divBdr>
                                                                <w:top w:val="none" w:sz="0" w:space="0" w:color="auto"/>
                                                                <w:left w:val="none" w:sz="0" w:space="0" w:color="auto"/>
                                                                <w:bottom w:val="none" w:sz="0" w:space="0" w:color="auto"/>
                                                                <w:right w:val="none" w:sz="0" w:space="0" w:color="auto"/>
                                                              </w:divBdr>
                                                              <w:divsChild>
                                                                <w:div w:id="1066958303">
                                                                  <w:marLeft w:val="0"/>
                                                                  <w:marRight w:val="0"/>
                                                                  <w:marTop w:val="0"/>
                                                                  <w:marBottom w:val="0"/>
                                                                  <w:divBdr>
                                                                    <w:top w:val="none" w:sz="0" w:space="0" w:color="auto"/>
                                                                    <w:left w:val="none" w:sz="0" w:space="0" w:color="auto"/>
                                                                    <w:bottom w:val="none" w:sz="0" w:space="0" w:color="auto"/>
                                                                    <w:right w:val="none" w:sz="0" w:space="0" w:color="auto"/>
                                                                  </w:divBdr>
                                                                  <w:divsChild>
                                                                    <w:div w:id="1952009693">
                                                                      <w:marLeft w:val="0"/>
                                                                      <w:marRight w:val="0"/>
                                                                      <w:marTop w:val="0"/>
                                                                      <w:marBottom w:val="0"/>
                                                                      <w:divBdr>
                                                                        <w:top w:val="none" w:sz="0" w:space="0" w:color="auto"/>
                                                                        <w:left w:val="none" w:sz="0" w:space="0" w:color="auto"/>
                                                                        <w:bottom w:val="none" w:sz="0" w:space="0" w:color="auto"/>
                                                                        <w:right w:val="none" w:sz="0" w:space="0" w:color="auto"/>
                                                                      </w:divBdr>
                                                                      <w:divsChild>
                                                                        <w:div w:id="309940122">
                                                                          <w:marLeft w:val="105"/>
                                                                          <w:marRight w:val="105"/>
                                                                          <w:marTop w:val="150"/>
                                                                          <w:marBottom w:val="150"/>
                                                                          <w:divBdr>
                                                                            <w:top w:val="none" w:sz="0" w:space="0" w:color="auto"/>
                                                                            <w:left w:val="none" w:sz="0" w:space="0" w:color="auto"/>
                                                                            <w:bottom w:val="none" w:sz="0" w:space="0" w:color="auto"/>
                                                                            <w:right w:val="none" w:sz="0" w:space="0" w:color="auto"/>
                                                                          </w:divBdr>
                                                                          <w:divsChild>
                                                                            <w:div w:id="795683533">
                                                                              <w:marLeft w:val="0"/>
                                                                              <w:marRight w:val="0"/>
                                                                              <w:marTop w:val="0"/>
                                                                              <w:marBottom w:val="0"/>
                                                                              <w:divBdr>
                                                                                <w:top w:val="none" w:sz="0" w:space="0" w:color="auto"/>
                                                                                <w:left w:val="none" w:sz="0" w:space="0" w:color="auto"/>
                                                                                <w:bottom w:val="none" w:sz="0" w:space="0" w:color="auto"/>
                                                                                <w:right w:val="none" w:sz="0" w:space="0" w:color="auto"/>
                                                                              </w:divBdr>
                                                                              <w:divsChild>
                                                                                <w:div w:id="177235549">
                                                                                  <w:marLeft w:val="0"/>
                                                                                  <w:marRight w:val="0"/>
                                                                                  <w:marTop w:val="0"/>
                                                                                  <w:marBottom w:val="0"/>
                                                                                  <w:divBdr>
                                                                                    <w:top w:val="none" w:sz="0" w:space="0" w:color="auto"/>
                                                                                    <w:left w:val="none" w:sz="0" w:space="0" w:color="auto"/>
                                                                                    <w:bottom w:val="none" w:sz="0" w:space="0" w:color="auto"/>
                                                                                    <w:right w:val="none" w:sz="0" w:space="0" w:color="auto"/>
                                                                                  </w:divBdr>
                                                                                  <w:divsChild>
                                                                                    <w:div w:id="1143741776">
                                                                                      <w:marLeft w:val="0"/>
                                                                                      <w:marRight w:val="0"/>
                                                                                      <w:marTop w:val="0"/>
                                                                                      <w:marBottom w:val="0"/>
                                                                                      <w:divBdr>
                                                                                        <w:top w:val="none" w:sz="0" w:space="0" w:color="auto"/>
                                                                                        <w:left w:val="none" w:sz="0" w:space="0" w:color="auto"/>
                                                                                        <w:bottom w:val="none" w:sz="0" w:space="0" w:color="auto"/>
                                                                                        <w:right w:val="none" w:sz="0" w:space="0" w:color="auto"/>
                                                                                      </w:divBdr>
                                                                                      <w:divsChild>
                                                                                        <w:div w:id="284042678">
                                                                                          <w:marLeft w:val="105"/>
                                                                                          <w:marRight w:val="105"/>
                                                                                          <w:marTop w:val="150"/>
                                                                                          <w:marBottom w:val="150"/>
                                                                                          <w:divBdr>
                                                                                            <w:top w:val="none" w:sz="0" w:space="0" w:color="auto"/>
                                                                                            <w:left w:val="none" w:sz="0" w:space="0" w:color="auto"/>
                                                                                            <w:bottom w:val="none" w:sz="0" w:space="0" w:color="auto"/>
                                                                                            <w:right w:val="none" w:sz="0" w:space="0" w:color="auto"/>
                                                                                          </w:divBdr>
                                                                                          <w:divsChild>
                                                                                            <w:div w:id="455298067">
                                                                                              <w:marLeft w:val="0"/>
                                                                                              <w:marRight w:val="0"/>
                                                                                              <w:marTop w:val="0"/>
                                                                                              <w:marBottom w:val="0"/>
                                                                                              <w:divBdr>
                                                                                                <w:top w:val="none" w:sz="0" w:space="0" w:color="auto"/>
                                                                                                <w:left w:val="none" w:sz="0" w:space="0" w:color="auto"/>
                                                                                                <w:bottom w:val="none" w:sz="0" w:space="0" w:color="auto"/>
                                                                                                <w:right w:val="none" w:sz="0" w:space="0" w:color="auto"/>
                                                                                              </w:divBdr>
                                                                                              <w:divsChild>
                                                                                                <w:div w:id="1876775372">
                                                                                                  <w:marLeft w:val="0"/>
                                                                                                  <w:marRight w:val="0"/>
                                                                                                  <w:marTop w:val="0"/>
                                                                                                  <w:marBottom w:val="0"/>
                                                                                                  <w:divBdr>
                                                                                                    <w:top w:val="none" w:sz="0" w:space="0" w:color="auto"/>
                                                                                                    <w:left w:val="none" w:sz="0" w:space="0" w:color="auto"/>
                                                                                                    <w:bottom w:val="none" w:sz="0" w:space="0" w:color="auto"/>
                                                                                                    <w:right w:val="none" w:sz="0" w:space="0" w:color="auto"/>
                                                                                                  </w:divBdr>
                                                                                                  <w:divsChild>
                                                                                                    <w:div w:id="1930001550">
                                                                                                      <w:marLeft w:val="0"/>
                                                                                                      <w:marRight w:val="0"/>
                                                                                                      <w:marTop w:val="0"/>
                                                                                                      <w:marBottom w:val="0"/>
                                                                                                      <w:divBdr>
                                                                                                        <w:top w:val="none" w:sz="0" w:space="0" w:color="auto"/>
                                                                                                        <w:left w:val="none" w:sz="0" w:space="0" w:color="auto"/>
                                                                                                        <w:bottom w:val="none" w:sz="0" w:space="0" w:color="auto"/>
                                                                                                        <w:right w:val="none" w:sz="0" w:space="0" w:color="auto"/>
                                                                                                      </w:divBdr>
                                                                                                      <w:divsChild>
                                                                                                        <w:div w:id="1231310196">
                                                                                                          <w:marLeft w:val="0"/>
                                                                                                          <w:marRight w:val="0"/>
                                                                                                          <w:marTop w:val="0"/>
                                                                                                          <w:marBottom w:val="0"/>
                                                                                                          <w:divBdr>
                                                                                                            <w:top w:val="none" w:sz="0" w:space="0" w:color="auto"/>
                                                                                                            <w:left w:val="none" w:sz="0" w:space="0" w:color="auto"/>
                                                                                                            <w:bottom w:val="none" w:sz="0" w:space="0" w:color="auto"/>
                                                                                                            <w:right w:val="none" w:sz="0" w:space="0" w:color="auto"/>
                                                                                                          </w:divBdr>
                                                                                                          <w:divsChild>
                                                                                                            <w:div w:id="1874682789">
                                                                                                              <w:marLeft w:val="0"/>
                                                                                                              <w:marRight w:val="0"/>
                                                                                                              <w:marTop w:val="0"/>
                                                                                                              <w:marBottom w:val="0"/>
                                                                                                              <w:divBdr>
                                                                                                                <w:top w:val="none" w:sz="0" w:space="0" w:color="auto"/>
                                                                                                                <w:left w:val="none" w:sz="0" w:space="0" w:color="auto"/>
                                                                                                                <w:bottom w:val="none" w:sz="0" w:space="0" w:color="auto"/>
                                                                                                                <w:right w:val="none" w:sz="0" w:space="0" w:color="auto"/>
                                                                                                              </w:divBdr>
                                                                                                              <w:divsChild>
                                                                                                                <w:div w:id="247346936">
                                                                                                                  <w:marLeft w:val="105"/>
                                                                                                                  <w:marRight w:val="105"/>
                                                                                                                  <w:marTop w:val="150"/>
                                                                                                                  <w:marBottom w:val="150"/>
                                                                                                                  <w:divBdr>
                                                                                                                    <w:top w:val="none" w:sz="0" w:space="0" w:color="auto"/>
                                                                                                                    <w:left w:val="none" w:sz="0" w:space="0" w:color="auto"/>
                                                                                                                    <w:bottom w:val="none" w:sz="0" w:space="0" w:color="auto"/>
                                                                                                                    <w:right w:val="none" w:sz="0" w:space="0" w:color="auto"/>
                                                                                                                  </w:divBdr>
                                                                                                                  <w:divsChild>
                                                                                                                    <w:div w:id="1814058784">
                                                                                                                      <w:marLeft w:val="0"/>
                                                                                                                      <w:marRight w:val="0"/>
                                                                                                                      <w:marTop w:val="0"/>
                                                                                                                      <w:marBottom w:val="0"/>
                                                                                                                      <w:divBdr>
                                                                                                                        <w:top w:val="none" w:sz="0" w:space="0" w:color="auto"/>
                                                                                                                        <w:left w:val="none" w:sz="0" w:space="0" w:color="auto"/>
                                                                                                                        <w:bottom w:val="none" w:sz="0" w:space="0" w:color="auto"/>
                                                                                                                        <w:right w:val="none" w:sz="0" w:space="0" w:color="auto"/>
                                                                                                                      </w:divBdr>
                                                                                                                      <w:divsChild>
                                                                                                                        <w:div w:id="1376543654">
                                                                                                                          <w:marLeft w:val="0"/>
                                                                                                                          <w:marRight w:val="0"/>
                                                                                                                          <w:marTop w:val="0"/>
                                                                                                                          <w:marBottom w:val="0"/>
                                                                                                                          <w:divBdr>
                                                                                                                            <w:top w:val="none" w:sz="0" w:space="0" w:color="auto"/>
                                                                                                                            <w:left w:val="none" w:sz="0" w:space="0" w:color="auto"/>
                                                                                                                            <w:bottom w:val="none" w:sz="0" w:space="0" w:color="auto"/>
                                                                                                                            <w:right w:val="none" w:sz="0" w:space="0" w:color="auto"/>
                                                                                                                          </w:divBdr>
                                                                                                                          <w:divsChild>
                                                                                                                            <w:div w:id="1306423349">
                                                                                                                              <w:marLeft w:val="0"/>
                                                                                                                              <w:marRight w:val="0"/>
                                                                                                                              <w:marTop w:val="0"/>
                                                                                                                              <w:marBottom w:val="0"/>
                                                                                                                              <w:divBdr>
                                                                                                                                <w:top w:val="none" w:sz="0" w:space="0" w:color="auto"/>
                                                                                                                                <w:left w:val="none" w:sz="0" w:space="0" w:color="auto"/>
                                                                                                                                <w:bottom w:val="none" w:sz="0" w:space="0" w:color="auto"/>
                                                                                                                                <w:right w:val="none" w:sz="0" w:space="0" w:color="auto"/>
                                                                                                                              </w:divBdr>
                                                                                                                              <w:divsChild>
                                                                                                                                <w:div w:id="17528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382319">
      <w:bodyDiv w:val="1"/>
      <w:marLeft w:val="0"/>
      <w:marRight w:val="0"/>
      <w:marTop w:val="0"/>
      <w:marBottom w:val="0"/>
      <w:divBdr>
        <w:top w:val="none" w:sz="0" w:space="0" w:color="auto"/>
        <w:left w:val="none" w:sz="0" w:space="0" w:color="auto"/>
        <w:bottom w:val="none" w:sz="0" w:space="0" w:color="auto"/>
        <w:right w:val="none" w:sz="0" w:space="0" w:color="auto"/>
      </w:divBdr>
    </w:div>
    <w:div w:id="393284320">
      <w:bodyDiv w:val="1"/>
      <w:marLeft w:val="0"/>
      <w:marRight w:val="0"/>
      <w:marTop w:val="0"/>
      <w:marBottom w:val="0"/>
      <w:divBdr>
        <w:top w:val="none" w:sz="0" w:space="0" w:color="auto"/>
        <w:left w:val="none" w:sz="0" w:space="0" w:color="auto"/>
        <w:bottom w:val="none" w:sz="0" w:space="0" w:color="auto"/>
        <w:right w:val="none" w:sz="0" w:space="0" w:color="auto"/>
      </w:divBdr>
    </w:div>
    <w:div w:id="424762678">
      <w:bodyDiv w:val="1"/>
      <w:marLeft w:val="0"/>
      <w:marRight w:val="0"/>
      <w:marTop w:val="0"/>
      <w:marBottom w:val="0"/>
      <w:divBdr>
        <w:top w:val="none" w:sz="0" w:space="0" w:color="auto"/>
        <w:left w:val="none" w:sz="0" w:space="0" w:color="auto"/>
        <w:bottom w:val="none" w:sz="0" w:space="0" w:color="auto"/>
        <w:right w:val="none" w:sz="0" w:space="0" w:color="auto"/>
      </w:divBdr>
    </w:div>
    <w:div w:id="435710141">
      <w:bodyDiv w:val="1"/>
      <w:marLeft w:val="0"/>
      <w:marRight w:val="0"/>
      <w:marTop w:val="0"/>
      <w:marBottom w:val="0"/>
      <w:divBdr>
        <w:top w:val="none" w:sz="0" w:space="0" w:color="auto"/>
        <w:left w:val="none" w:sz="0" w:space="0" w:color="auto"/>
        <w:bottom w:val="none" w:sz="0" w:space="0" w:color="auto"/>
        <w:right w:val="none" w:sz="0" w:space="0" w:color="auto"/>
      </w:divBdr>
    </w:div>
    <w:div w:id="461191861">
      <w:bodyDiv w:val="1"/>
      <w:marLeft w:val="0"/>
      <w:marRight w:val="0"/>
      <w:marTop w:val="0"/>
      <w:marBottom w:val="0"/>
      <w:divBdr>
        <w:top w:val="none" w:sz="0" w:space="0" w:color="auto"/>
        <w:left w:val="none" w:sz="0" w:space="0" w:color="auto"/>
        <w:bottom w:val="none" w:sz="0" w:space="0" w:color="auto"/>
        <w:right w:val="none" w:sz="0" w:space="0" w:color="auto"/>
      </w:divBdr>
    </w:div>
    <w:div w:id="470831172">
      <w:bodyDiv w:val="1"/>
      <w:marLeft w:val="0"/>
      <w:marRight w:val="0"/>
      <w:marTop w:val="0"/>
      <w:marBottom w:val="0"/>
      <w:divBdr>
        <w:top w:val="none" w:sz="0" w:space="0" w:color="auto"/>
        <w:left w:val="none" w:sz="0" w:space="0" w:color="auto"/>
        <w:bottom w:val="none" w:sz="0" w:space="0" w:color="auto"/>
        <w:right w:val="none" w:sz="0" w:space="0" w:color="auto"/>
      </w:divBdr>
    </w:div>
    <w:div w:id="485826173">
      <w:bodyDiv w:val="1"/>
      <w:marLeft w:val="0"/>
      <w:marRight w:val="0"/>
      <w:marTop w:val="0"/>
      <w:marBottom w:val="0"/>
      <w:divBdr>
        <w:top w:val="none" w:sz="0" w:space="0" w:color="auto"/>
        <w:left w:val="none" w:sz="0" w:space="0" w:color="auto"/>
        <w:bottom w:val="none" w:sz="0" w:space="0" w:color="auto"/>
        <w:right w:val="none" w:sz="0" w:space="0" w:color="auto"/>
      </w:divBdr>
    </w:div>
    <w:div w:id="488833682">
      <w:bodyDiv w:val="1"/>
      <w:marLeft w:val="0"/>
      <w:marRight w:val="0"/>
      <w:marTop w:val="0"/>
      <w:marBottom w:val="0"/>
      <w:divBdr>
        <w:top w:val="none" w:sz="0" w:space="0" w:color="auto"/>
        <w:left w:val="none" w:sz="0" w:space="0" w:color="auto"/>
        <w:bottom w:val="none" w:sz="0" w:space="0" w:color="auto"/>
        <w:right w:val="none" w:sz="0" w:space="0" w:color="auto"/>
      </w:divBdr>
    </w:div>
    <w:div w:id="496113567">
      <w:bodyDiv w:val="1"/>
      <w:marLeft w:val="0"/>
      <w:marRight w:val="0"/>
      <w:marTop w:val="0"/>
      <w:marBottom w:val="0"/>
      <w:divBdr>
        <w:top w:val="none" w:sz="0" w:space="0" w:color="auto"/>
        <w:left w:val="none" w:sz="0" w:space="0" w:color="auto"/>
        <w:bottom w:val="none" w:sz="0" w:space="0" w:color="auto"/>
        <w:right w:val="none" w:sz="0" w:space="0" w:color="auto"/>
      </w:divBdr>
    </w:div>
    <w:div w:id="498810764">
      <w:bodyDiv w:val="1"/>
      <w:marLeft w:val="0"/>
      <w:marRight w:val="0"/>
      <w:marTop w:val="0"/>
      <w:marBottom w:val="0"/>
      <w:divBdr>
        <w:top w:val="none" w:sz="0" w:space="0" w:color="auto"/>
        <w:left w:val="none" w:sz="0" w:space="0" w:color="auto"/>
        <w:bottom w:val="none" w:sz="0" w:space="0" w:color="auto"/>
        <w:right w:val="none" w:sz="0" w:space="0" w:color="auto"/>
      </w:divBdr>
    </w:div>
    <w:div w:id="538249960">
      <w:bodyDiv w:val="1"/>
      <w:marLeft w:val="0"/>
      <w:marRight w:val="0"/>
      <w:marTop w:val="0"/>
      <w:marBottom w:val="0"/>
      <w:divBdr>
        <w:top w:val="none" w:sz="0" w:space="0" w:color="auto"/>
        <w:left w:val="none" w:sz="0" w:space="0" w:color="auto"/>
        <w:bottom w:val="none" w:sz="0" w:space="0" w:color="auto"/>
        <w:right w:val="none" w:sz="0" w:space="0" w:color="auto"/>
      </w:divBdr>
    </w:div>
    <w:div w:id="550383942">
      <w:bodyDiv w:val="1"/>
      <w:marLeft w:val="0"/>
      <w:marRight w:val="0"/>
      <w:marTop w:val="0"/>
      <w:marBottom w:val="0"/>
      <w:divBdr>
        <w:top w:val="none" w:sz="0" w:space="0" w:color="auto"/>
        <w:left w:val="none" w:sz="0" w:space="0" w:color="auto"/>
        <w:bottom w:val="none" w:sz="0" w:space="0" w:color="auto"/>
        <w:right w:val="none" w:sz="0" w:space="0" w:color="auto"/>
      </w:divBdr>
      <w:divsChild>
        <w:div w:id="818574969">
          <w:marLeft w:val="0"/>
          <w:marRight w:val="1"/>
          <w:marTop w:val="0"/>
          <w:marBottom w:val="0"/>
          <w:divBdr>
            <w:top w:val="none" w:sz="0" w:space="0" w:color="auto"/>
            <w:left w:val="none" w:sz="0" w:space="0" w:color="auto"/>
            <w:bottom w:val="none" w:sz="0" w:space="0" w:color="auto"/>
            <w:right w:val="none" w:sz="0" w:space="0" w:color="auto"/>
          </w:divBdr>
          <w:divsChild>
            <w:div w:id="269895830">
              <w:marLeft w:val="0"/>
              <w:marRight w:val="0"/>
              <w:marTop w:val="0"/>
              <w:marBottom w:val="0"/>
              <w:divBdr>
                <w:top w:val="none" w:sz="0" w:space="0" w:color="auto"/>
                <w:left w:val="none" w:sz="0" w:space="0" w:color="auto"/>
                <w:bottom w:val="none" w:sz="0" w:space="0" w:color="auto"/>
                <w:right w:val="none" w:sz="0" w:space="0" w:color="auto"/>
              </w:divBdr>
              <w:divsChild>
                <w:div w:id="675764387">
                  <w:marLeft w:val="0"/>
                  <w:marRight w:val="1"/>
                  <w:marTop w:val="0"/>
                  <w:marBottom w:val="0"/>
                  <w:divBdr>
                    <w:top w:val="none" w:sz="0" w:space="0" w:color="auto"/>
                    <w:left w:val="none" w:sz="0" w:space="0" w:color="auto"/>
                    <w:bottom w:val="none" w:sz="0" w:space="0" w:color="auto"/>
                    <w:right w:val="none" w:sz="0" w:space="0" w:color="auto"/>
                  </w:divBdr>
                  <w:divsChild>
                    <w:div w:id="488374900">
                      <w:marLeft w:val="0"/>
                      <w:marRight w:val="0"/>
                      <w:marTop w:val="0"/>
                      <w:marBottom w:val="0"/>
                      <w:divBdr>
                        <w:top w:val="none" w:sz="0" w:space="0" w:color="auto"/>
                        <w:left w:val="none" w:sz="0" w:space="0" w:color="auto"/>
                        <w:bottom w:val="none" w:sz="0" w:space="0" w:color="auto"/>
                        <w:right w:val="none" w:sz="0" w:space="0" w:color="auto"/>
                      </w:divBdr>
                      <w:divsChild>
                        <w:div w:id="1927226485">
                          <w:marLeft w:val="0"/>
                          <w:marRight w:val="0"/>
                          <w:marTop w:val="0"/>
                          <w:marBottom w:val="0"/>
                          <w:divBdr>
                            <w:top w:val="none" w:sz="0" w:space="0" w:color="auto"/>
                            <w:left w:val="none" w:sz="0" w:space="0" w:color="auto"/>
                            <w:bottom w:val="none" w:sz="0" w:space="0" w:color="auto"/>
                            <w:right w:val="none" w:sz="0" w:space="0" w:color="auto"/>
                          </w:divBdr>
                          <w:divsChild>
                            <w:div w:id="1103837561">
                              <w:marLeft w:val="0"/>
                              <w:marRight w:val="0"/>
                              <w:marTop w:val="120"/>
                              <w:marBottom w:val="360"/>
                              <w:divBdr>
                                <w:top w:val="none" w:sz="0" w:space="0" w:color="auto"/>
                                <w:left w:val="none" w:sz="0" w:space="0" w:color="auto"/>
                                <w:bottom w:val="none" w:sz="0" w:space="0" w:color="auto"/>
                                <w:right w:val="none" w:sz="0" w:space="0" w:color="auto"/>
                              </w:divBdr>
                              <w:divsChild>
                                <w:div w:id="810172896">
                                  <w:marLeft w:val="0"/>
                                  <w:marRight w:val="0"/>
                                  <w:marTop w:val="0"/>
                                  <w:marBottom w:val="0"/>
                                  <w:divBdr>
                                    <w:top w:val="none" w:sz="0" w:space="0" w:color="auto"/>
                                    <w:left w:val="none" w:sz="0" w:space="0" w:color="auto"/>
                                    <w:bottom w:val="none" w:sz="0" w:space="0" w:color="auto"/>
                                    <w:right w:val="none" w:sz="0" w:space="0" w:color="auto"/>
                                  </w:divBdr>
                                </w:div>
                                <w:div w:id="12257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731750">
      <w:bodyDiv w:val="1"/>
      <w:marLeft w:val="0"/>
      <w:marRight w:val="0"/>
      <w:marTop w:val="0"/>
      <w:marBottom w:val="0"/>
      <w:divBdr>
        <w:top w:val="none" w:sz="0" w:space="0" w:color="auto"/>
        <w:left w:val="none" w:sz="0" w:space="0" w:color="auto"/>
        <w:bottom w:val="none" w:sz="0" w:space="0" w:color="auto"/>
        <w:right w:val="none" w:sz="0" w:space="0" w:color="auto"/>
      </w:divBdr>
    </w:div>
    <w:div w:id="561794382">
      <w:bodyDiv w:val="1"/>
      <w:marLeft w:val="0"/>
      <w:marRight w:val="0"/>
      <w:marTop w:val="0"/>
      <w:marBottom w:val="0"/>
      <w:divBdr>
        <w:top w:val="none" w:sz="0" w:space="0" w:color="auto"/>
        <w:left w:val="none" w:sz="0" w:space="0" w:color="auto"/>
        <w:bottom w:val="none" w:sz="0" w:space="0" w:color="auto"/>
        <w:right w:val="none" w:sz="0" w:space="0" w:color="auto"/>
      </w:divBdr>
    </w:div>
    <w:div w:id="596210257">
      <w:bodyDiv w:val="1"/>
      <w:marLeft w:val="0"/>
      <w:marRight w:val="0"/>
      <w:marTop w:val="0"/>
      <w:marBottom w:val="0"/>
      <w:divBdr>
        <w:top w:val="none" w:sz="0" w:space="0" w:color="auto"/>
        <w:left w:val="none" w:sz="0" w:space="0" w:color="auto"/>
        <w:bottom w:val="none" w:sz="0" w:space="0" w:color="auto"/>
        <w:right w:val="none" w:sz="0" w:space="0" w:color="auto"/>
      </w:divBdr>
    </w:div>
    <w:div w:id="613102220">
      <w:bodyDiv w:val="1"/>
      <w:marLeft w:val="0"/>
      <w:marRight w:val="0"/>
      <w:marTop w:val="0"/>
      <w:marBottom w:val="0"/>
      <w:divBdr>
        <w:top w:val="none" w:sz="0" w:space="0" w:color="auto"/>
        <w:left w:val="none" w:sz="0" w:space="0" w:color="auto"/>
        <w:bottom w:val="none" w:sz="0" w:space="0" w:color="auto"/>
        <w:right w:val="none" w:sz="0" w:space="0" w:color="auto"/>
      </w:divBdr>
    </w:div>
    <w:div w:id="620572071">
      <w:bodyDiv w:val="1"/>
      <w:marLeft w:val="0"/>
      <w:marRight w:val="0"/>
      <w:marTop w:val="0"/>
      <w:marBottom w:val="0"/>
      <w:divBdr>
        <w:top w:val="none" w:sz="0" w:space="0" w:color="auto"/>
        <w:left w:val="none" w:sz="0" w:space="0" w:color="auto"/>
        <w:bottom w:val="none" w:sz="0" w:space="0" w:color="auto"/>
        <w:right w:val="none" w:sz="0" w:space="0" w:color="auto"/>
      </w:divBdr>
    </w:div>
    <w:div w:id="665783806">
      <w:bodyDiv w:val="1"/>
      <w:marLeft w:val="0"/>
      <w:marRight w:val="0"/>
      <w:marTop w:val="0"/>
      <w:marBottom w:val="0"/>
      <w:divBdr>
        <w:top w:val="none" w:sz="0" w:space="0" w:color="auto"/>
        <w:left w:val="none" w:sz="0" w:space="0" w:color="auto"/>
        <w:bottom w:val="none" w:sz="0" w:space="0" w:color="auto"/>
        <w:right w:val="none" w:sz="0" w:space="0" w:color="auto"/>
      </w:divBdr>
    </w:div>
    <w:div w:id="668407656">
      <w:bodyDiv w:val="1"/>
      <w:marLeft w:val="0"/>
      <w:marRight w:val="0"/>
      <w:marTop w:val="0"/>
      <w:marBottom w:val="0"/>
      <w:divBdr>
        <w:top w:val="none" w:sz="0" w:space="0" w:color="auto"/>
        <w:left w:val="none" w:sz="0" w:space="0" w:color="auto"/>
        <w:bottom w:val="none" w:sz="0" w:space="0" w:color="auto"/>
        <w:right w:val="none" w:sz="0" w:space="0" w:color="auto"/>
      </w:divBdr>
    </w:div>
    <w:div w:id="669140920">
      <w:bodyDiv w:val="1"/>
      <w:marLeft w:val="0"/>
      <w:marRight w:val="0"/>
      <w:marTop w:val="0"/>
      <w:marBottom w:val="0"/>
      <w:divBdr>
        <w:top w:val="none" w:sz="0" w:space="0" w:color="auto"/>
        <w:left w:val="none" w:sz="0" w:space="0" w:color="auto"/>
        <w:bottom w:val="none" w:sz="0" w:space="0" w:color="auto"/>
        <w:right w:val="none" w:sz="0" w:space="0" w:color="auto"/>
      </w:divBdr>
    </w:div>
    <w:div w:id="707804115">
      <w:bodyDiv w:val="1"/>
      <w:marLeft w:val="0"/>
      <w:marRight w:val="0"/>
      <w:marTop w:val="0"/>
      <w:marBottom w:val="0"/>
      <w:divBdr>
        <w:top w:val="none" w:sz="0" w:space="0" w:color="auto"/>
        <w:left w:val="none" w:sz="0" w:space="0" w:color="auto"/>
        <w:bottom w:val="none" w:sz="0" w:space="0" w:color="auto"/>
        <w:right w:val="none" w:sz="0" w:space="0" w:color="auto"/>
      </w:divBdr>
    </w:div>
    <w:div w:id="731074552">
      <w:bodyDiv w:val="1"/>
      <w:marLeft w:val="0"/>
      <w:marRight w:val="0"/>
      <w:marTop w:val="0"/>
      <w:marBottom w:val="0"/>
      <w:divBdr>
        <w:top w:val="none" w:sz="0" w:space="0" w:color="auto"/>
        <w:left w:val="none" w:sz="0" w:space="0" w:color="auto"/>
        <w:bottom w:val="none" w:sz="0" w:space="0" w:color="auto"/>
        <w:right w:val="none" w:sz="0" w:space="0" w:color="auto"/>
      </w:divBdr>
    </w:div>
    <w:div w:id="734745129">
      <w:bodyDiv w:val="1"/>
      <w:marLeft w:val="0"/>
      <w:marRight w:val="0"/>
      <w:marTop w:val="0"/>
      <w:marBottom w:val="0"/>
      <w:divBdr>
        <w:top w:val="none" w:sz="0" w:space="0" w:color="auto"/>
        <w:left w:val="none" w:sz="0" w:space="0" w:color="auto"/>
        <w:bottom w:val="none" w:sz="0" w:space="0" w:color="auto"/>
        <w:right w:val="none" w:sz="0" w:space="0" w:color="auto"/>
      </w:divBdr>
    </w:div>
    <w:div w:id="742407062">
      <w:bodyDiv w:val="1"/>
      <w:marLeft w:val="0"/>
      <w:marRight w:val="0"/>
      <w:marTop w:val="0"/>
      <w:marBottom w:val="0"/>
      <w:divBdr>
        <w:top w:val="none" w:sz="0" w:space="0" w:color="auto"/>
        <w:left w:val="none" w:sz="0" w:space="0" w:color="auto"/>
        <w:bottom w:val="none" w:sz="0" w:space="0" w:color="auto"/>
        <w:right w:val="none" w:sz="0" w:space="0" w:color="auto"/>
      </w:divBdr>
    </w:div>
    <w:div w:id="752706506">
      <w:bodyDiv w:val="1"/>
      <w:marLeft w:val="0"/>
      <w:marRight w:val="0"/>
      <w:marTop w:val="0"/>
      <w:marBottom w:val="0"/>
      <w:divBdr>
        <w:top w:val="none" w:sz="0" w:space="0" w:color="auto"/>
        <w:left w:val="none" w:sz="0" w:space="0" w:color="auto"/>
        <w:bottom w:val="none" w:sz="0" w:space="0" w:color="auto"/>
        <w:right w:val="none" w:sz="0" w:space="0" w:color="auto"/>
      </w:divBdr>
    </w:div>
    <w:div w:id="755250178">
      <w:bodyDiv w:val="1"/>
      <w:marLeft w:val="0"/>
      <w:marRight w:val="0"/>
      <w:marTop w:val="0"/>
      <w:marBottom w:val="0"/>
      <w:divBdr>
        <w:top w:val="none" w:sz="0" w:space="0" w:color="auto"/>
        <w:left w:val="none" w:sz="0" w:space="0" w:color="auto"/>
        <w:bottom w:val="none" w:sz="0" w:space="0" w:color="auto"/>
        <w:right w:val="none" w:sz="0" w:space="0" w:color="auto"/>
      </w:divBdr>
    </w:div>
    <w:div w:id="761030766">
      <w:bodyDiv w:val="1"/>
      <w:marLeft w:val="0"/>
      <w:marRight w:val="0"/>
      <w:marTop w:val="0"/>
      <w:marBottom w:val="0"/>
      <w:divBdr>
        <w:top w:val="none" w:sz="0" w:space="0" w:color="auto"/>
        <w:left w:val="none" w:sz="0" w:space="0" w:color="auto"/>
        <w:bottom w:val="none" w:sz="0" w:space="0" w:color="auto"/>
        <w:right w:val="none" w:sz="0" w:space="0" w:color="auto"/>
      </w:divBdr>
    </w:div>
    <w:div w:id="790830135">
      <w:bodyDiv w:val="1"/>
      <w:marLeft w:val="0"/>
      <w:marRight w:val="0"/>
      <w:marTop w:val="0"/>
      <w:marBottom w:val="0"/>
      <w:divBdr>
        <w:top w:val="none" w:sz="0" w:space="0" w:color="auto"/>
        <w:left w:val="none" w:sz="0" w:space="0" w:color="auto"/>
        <w:bottom w:val="none" w:sz="0" w:space="0" w:color="auto"/>
        <w:right w:val="none" w:sz="0" w:space="0" w:color="auto"/>
      </w:divBdr>
    </w:div>
    <w:div w:id="800685839">
      <w:bodyDiv w:val="1"/>
      <w:marLeft w:val="0"/>
      <w:marRight w:val="0"/>
      <w:marTop w:val="0"/>
      <w:marBottom w:val="0"/>
      <w:divBdr>
        <w:top w:val="none" w:sz="0" w:space="0" w:color="auto"/>
        <w:left w:val="none" w:sz="0" w:space="0" w:color="auto"/>
        <w:bottom w:val="none" w:sz="0" w:space="0" w:color="auto"/>
        <w:right w:val="none" w:sz="0" w:space="0" w:color="auto"/>
      </w:divBdr>
    </w:div>
    <w:div w:id="838347954">
      <w:bodyDiv w:val="1"/>
      <w:marLeft w:val="0"/>
      <w:marRight w:val="0"/>
      <w:marTop w:val="0"/>
      <w:marBottom w:val="0"/>
      <w:divBdr>
        <w:top w:val="none" w:sz="0" w:space="0" w:color="auto"/>
        <w:left w:val="none" w:sz="0" w:space="0" w:color="auto"/>
        <w:bottom w:val="none" w:sz="0" w:space="0" w:color="auto"/>
        <w:right w:val="none" w:sz="0" w:space="0" w:color="auto"/>
      </w:divBdr>
    </w:div>
    <w:div w:id="852230896">
      <w:bodyDiv w:val="1"/>
      <w:marLeft w:val="0"/>
      <w:marRight w:val="0"/>
      <w:marTop w:val="0"/>
      <w:marBottom w:val="0"/>
      <w:divBdr>
        <w:top w:val="none" w:sz="0" w:space="0" w:color="auto"/>
        <w:left w:val="none" w:sz="0" w:space="0" w:color="auto"/>
        <w:bottom w:val="none" w:sz="0" w:space="0" w:color="auto"/>
        <w:right w:val="none" w:sz="0" w:space="0" w:color="auto"/>
      </w:divBdr>
    </w:div>
    <w:div w:id="876771468">
      <w:bodyDiv w:val="1"/>
      <w:marLeft w:val="0"/>
      <w:marRight w:val="0"/>
      <w:marTop w:val="0"/>
      <w:marBottom w:val="0"/>
      <w:divBdr>
        <w:top w:val="none" w:sz="0" w:space="0" w:color="auto"/>
        <w:left w:val="none" w:sz="0" w:space="0" w:color="auto"/>
        <w:bottom w:val="none" w:sz="0" w:space="0" w:color="auto"/>
        <w:right w:val="none" w:sz="0" w:space="0" w:color="auto"/>
      </w:divBdr>
    </w:div>
    <w:div w:id="900100697">
      <w:bodyDiv w:val="1"/>
      <w:marLeft w:val="0"/>
      <w:marRight w:val="0"/>
      <w:marTop w:val="0"/>
      <w:marBottom w:val="0"/>
      <w:divBdr>
        <w:top w:val="none" w:sz="0" w:space="0" w:color="auto"/>
        <w:left w:val="none" w:sz="0" w:space="0" w:color="auto"/>
        <w:bottom w:val="none" w:sz="0" w:space="0" w:color="auto"/>
        <w:right w:val="none" w:sz="0" w:space="0" w:color="auto"/>
      </w:divBdr>
    </w:div>
    <w:div w:id="904147149">
      <w:bodyDiv w:val="1"/>
      <w:marLeft w:val="0"/>
      <w:marRight w:val="0"/>
      <w:marTop w:val="0"/>
      <w:marBottom w:val="0"/>
      <w:divBdr>
        <w:top w:val="none" w:sz="0" w:space="0" w:color="auto"/>
        <w:left w:val="none" w:sz="0" w:space="0" w:color="auto"/>
        <w:bottom w:val="none" w:sz="0" w:space="0" w:color="auto"/>
        <w:right w:val="none" w:sz="0" w:space="0" w:color="auto"/>
      </w:divBdr>
    </w:div>
    <w:div w:id="904337160">
      <w:bodyDiv w:val="1"/>
      <w:marLeft w:val="0"/>
      <w:marRight w:val="0"/>
      <w:marTop w:val="0"/>
      <w:marBottom w:val="0"/>
      <w:divBdr>
        <w:top w:val="none" w:sz="0" w:space="0" w:color="auto"/>
        <w:left w:val="none" w:sz="0" w:space="0" w:color="auto"/>
        <w:bottom w:val="none" w:sz="0" w:space="0" w:color="auto"/>
        <w:right w:val="none" w:sz="0" w:space="0" w:color="auto"/>
      </w:divBdr>
    </w:div>
    <w:div w:id="940726840">
      <w:bodyDiv w:val="1"/>
      <w:marLeft w:val="0"/>
      <w:marRight w:val="0"/>
      <w:marTop w:val="0"/>
      <w:marBottom w:val="0"/>
      <w:divBdr>
        <w:top w:val="none" w:sz="0" w:space="0" w:color="auto"/>
        <w:left w:val="none" w:sz="0" w:space="0" w:color="auto"/>
        <w:bottom w:val="none" w:sz="0" w:space="0" w:color="auto"/>
        <w:right w:val="none" w:sz="0" w:space="0" w:color="auto"/>
      </w:divBdr>
    </w:div>
    <w:div w:id="944968276">
      <w:bodyDiv w:val="1"/>
      <w:marLeft w:val="0"/>
      <w:marRight w:val="0"/>
      <w:marTop w:val="0"/>
      <w:marBottom w:val="0"/>
      <w:divBdr>
        <w:top w:val="none" w:sz="0" w:space="0" w:color="auto"/>
        <w:left w:val="none" w:sz="0" w:space="0" w:color="auto"/>
        <w:bottom w:val="none" w:sz="0" w:space="0" w:color="auto"/>
        <w:right w:val="none" w:sz="0" w:space="0" w:color="auto"/>
      </w:divBdr>
    </w:div>
    <w:div w:id="966005886">
      <w:bodyDiv w:val="1"/>
      <w:marLeft w:val="0"/>
      <w:marRight w:val="0"/>
      <w:marTop w:val="0"/>
      <w:marBottom w:val="0"/>
      <w:divBdr>
        <w:top w:val="none" w:sz="0" w:space="0" w:color="auto"/>
        <w:left w:val="none" w:sz="0" w:space="0" w:color="auto"/>
        <w:bottom w:val="none" w:sz="0" w:space="0" w:color="auto"/>
        <w:right w:val="none" w:sz="0" w:space="0" w:color="auto"/>
      </w:divBdr>
      <w:divsChild>
        <w:div w:id="19596346">
          <w:marLeft w:val="0"/>
          <w:marRight w:val="0"/>
          <w:marTop w:val="0"/>
          <w:marBottom w:val="0"/>
          <w:divBdr>
            <w:top w:val="none" w:sz="0" w:space="0" w:color="auto"/>
            <w:left w:val="none" w:sz="0" w:space="0" w:color="auto"/>
            <w:bottom w:val="none" w:sz="0" w:space="0" w:color="auto"/>
            <w:right w:val="none" w:sz="0" w:space="0" w:color="auto"/>
          </w:divBdr>
          <w:divsChild>
            <w:div w:id="973827023">
              <w:marLeft w:val="0"/>
              <w:marRight w:val="0"/>
              <w:marTop w:val="0"/>
              <w:marBottom w:val="0"/>
              <w:divBdr>
                <w:top w:val="none" w:sz="0" w:space="0" w:color="auto"/>
                <w:left w:val="none" w:sz="0" w:space="0" w:color="auto"/>
                <w:bottom w:val="none" w:sz="0" w:space="0" w:color="auto"/>
                <w:right w:val="none" w:sz="0" w:space="0" w:color="auto"/>
              </w:divBdr>
              <w:divsChild>
                <w:div w:id="469637670">
                  <w:marLeft w:val="0"/>
                  <w:marRight w:val="0"/>
                  <w:marTop w:val="120"/>
                  <w:marBottom w:val="360"/>
                  <w:divBdr>
                    <w:top w:val="none" w:sz="0" w:space="0" w:color="auto"/>
                    <w:left w:val="none" w:sz="0" w:space="0" w:color="auto"/>
                    <w:bottom w:val="none" w:sz="0" w:space="0" w:color="auto"/>
                    <w:right w:val="none" w:sz="0" w:space="0" w:color="auto"/>
                  </w:divBdr>
                  <w:divsChild>
                    <w:div w:id="348023669">
                      <w:marLeft w:val="0"/>
                      <w:marRight w:val="0"/>
                      <w:marTop w:val="0"/>
                      <w:marBottom w:val="0"/>
                      <w:divBdr>
                        <w:top w:val="none" w:sz="0" w:space="0" w:color="auto"/>
                        <w:left w:val="none" w:sz="0" w:space="0" w:color="auto"/>
                        <w:bottom w:val="none" w:sz="0" w:space="0" w:color="auto"/>
                        <w:right w:val="none" w:sz="0" w:space="0" w:color="auto"/>
                      </w:divBdr>
                      <w:divsChild>
                        <w:div w:id="776290599">
                          <w:marLeft w:val="0"/>
                          <w:marRight w:val="0"/>
                          <w:marTop w:val="0"/>
                          <w:marBottom w:val="0"/>
                          <w:divBdr>
                            <w:top w:val="none" w:sz="0" w:space="0" w:color="auto"/>
                            <w:left w:val="none" w:sz="0" w:space="0" w:color="auto"/>
                            <w:bottom w:val="none" w:sz="0" w:space="0" w:color="auto"/>
                            <w:right w:val="none" w:sz="0" w:space="0" w:color="auto"/>
                          </w:divBdr>
                          <w:divsChild>
                            <w:div w:id="42365884">
                              <w:marLeft w:val="0"/>
                              <w:marRight w:val="0"/>
                              <w:marTop w:val="0"/>
                              <w:marBottom w:val="0"/>
                              <w:divBdr>
                                <w:top w:val="none" w:sz="0" w:space="0" w:color="auto"/>
                                <w:left w:val="none" w:sz="0" w:space="0" w:color="auto"/>
                                <w:bottom w:val="none" w:sz="0" w:space="0" w:color="auto"/>
                                <w:right w:val="none" w:sz="0" w:space="0" w:color="auto"/>
                              </w:divBdr>
                              <w:divsChild>
                                <w:div w:id="17088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107356">
      <w:bodyDiv w:val="1"/>
      <w:marLeft w:val="0"/>
      <w:marRight w:val="0"/>
      <w:marTop w:val="0"/>
      <w:marBottom w:val="0"/>
      <w:divBdr>
        <w:top w:val="none" w:sz="0" w:space="0" w:color="auto"/>
        <w:left w:val="none" w:sz="0" w:space="0" w:color="auto"/>
        <w:bottom w:val="none" w:sz="0" w:space="0" w:color="auto"/>
        <w:right w:val="none" w:sz="0" w:space="0" w:color="auto"/>
      </w:divBdr>
    </w:div>
    <w:div w:id="984508107">
      <w:bodyDiv w:val="1"/>
      <w:marLeft w:val="0"/>
      <w:marRight w:val="0"/>
      <w:marTop w:val="0"/>
      <w:marBottom w:val="0"/>
      <w:divBdr>
        <w:top w:val="none" w:sz="0" w:space="0" w:color="auto"/>
        <w:left w:val="none" w:sz="0" w:space="0" w:color="auto"/>
        <w:bottom w:val="none" w:sz="0" w:space="0" w:color="auto"/>
        <w:right w:val="none" w:sz="0" w:space="0" w:color="auto"/>
      </w:divBdr>
    </w:div>
    <w:div w:id="984898472">
      <w:bodyDiv w:val="1"/>
      <w:marLeft w:val="0"/>
      <w:marRight w:val="0"/>
      <w:marTop w:val="0"/>
      <w:marBottom w:val="0"/>
      <w:divBdr>
        <w:top w:val="none" w:sz="0" w:space="0" w:color="auto"/>
        <w:left w:val="none" w:sz="0" w:space="0" w:color="auto"/>
        <w:bottom w:val="none" w:sz="0" w:space="0" w:color="auto"/>
        <w:right w:val="none" w:sz="0" w:space="0" w:color="auto"/>
      </w:divBdr>
    </w:div>
    <w:div w:id="1000277518">
      <w:bodyDiv w:val="1"/>
      <w:marLeft w:val="0"/>
      <w:marRight w:val="0"/>
      <w:marTop w:val="0"/>
      <w:marBottom w:val="0"/>
      <w:divBdr>
        <w:top w:val="none" w:sz="0" w:space="0" w:color="auto"/>
        <w:left w:val="none" w:sz="0" w:space="0" w:color="auto"/>
        <w:bottom w:val="none" w:sz="0" w:space="0" w:color="auto"/>
        <w:right w:val="none" w:sz="0" w:space="0" w:color="auto"/>
      </w:divBdr>
    </w:div>
    <w:div w:id="1001543554">
      <w:bodyDiv w:val="1"/>
      <w:marLeft w:val="0"/>
      <w:marRight w:val="0"/>
      <w:marTop w:val="0"/>
      <w:marBottom w:val="0"/>
      <w:divBdr>
        <w:top w:val="none" w:sz="0" w:space="0" w:color="auto"/>
        <w:left w:val="none" w:sz="0" w:space="0" w:color="auto"/>
        <w:bottom w:val="none" w:sz="0" w:space="0" w:color="auto"/>
        <w:right w:val="none" w:sz="0" w:space="0" w:color="auto"/>
      </w:divBdr>
    </w:div>
    <w:div w:id="1043748323">
      <w:bodyDiv w:val="1"/>
      <w:marLeft w:val="0"/>
      <w:marRight w:val="0"/>
      <w:marTop w:val="0"/>
      <w:marBottom w:val="0"/>
      <w:divBdr>
        <w:top w:val="none" w:sz="0" w:space="0" w:color="auto"/>
        <w:left w:val="none" w:sz="0" w:space="0" w:color="auto"/>
        <w:bottom w:val="none" w:sz="0" w:space="0" w:color="auto"/>
        <w:right w:val="none" w:sz="0" w:space="0" w:color="auto"/>
      </w:divBdr>
    </w:div>
    <w:div w:id="1044676170">
      <w:bodyDiv w:val="1"/>
      <w:marLeft w:val="0"/>
      <w:marRight w:val="0"/>
      <w:marTop w:val="0"/>
      <w:marBottom w:val="0"/>
      <w:divBdr>
        <w:top w:val="none" w:sz="0" w:space="0" w:color="auto"/>
        <w:left w:val="none" w:sz="0" w:space="0" w:color="auto"/>
        <w:bottom w:val="none" w:sz="0" w:space="0" w:color="auto"/>
        <w:right w:val="none" w:sz="0" w:space="0" w:color="auto"/>
      </w:divBdr>
    </w:div>
    <w:div w:id="1048265004">
      <w:bodyDiv w:val="1"/>
      <w:marLeft w:val="0"/>
      <w:marRight w:val="0"/>
      <w:marTop w:val="0"/>
      <w:marBottom w:val="0"/>
      <w:divBdr>
        <w:top w:val="none" w:sz="0" w:space="0" w:color="auto"/>
        <w:left w:val="none" w:sz="0" w:space="0" w:color="auto"/>
        <w:bottom w:val="none" w:sz="0" w:space="0" w:color="auto"/>
        <w:right w:val="none" w:sz="0" w:space="0" w:color="auto"/>
      </w:divBdr>
    </w:div>
    <w:div w:id="1052002539">
      <w:bodyDiv w:val="1"/>
      <w:marLeft w:val="0"/>
      <w:marRight w:val="0"/>
      <w:marTop w:val="0"/>
      <w:marBottom w:val="0"/>
      <w:divBdr>
        <w:top w:val="none" w:sz="0" w:space="0" w:color="auto"/>
        <w:left w:val="none" w:sz="0" w:space="0" w:color="auto"/>
        <w:bottom w:val="none" w:sz="0" w:space="0" w:color="auto"/>
        <w:right w:val="none" w:sz="0" w:space="0" w:color="auto"/>
      </w:divBdr>
    </w:div>
    <w:div w:id="1055540814">
      <w:bodyDiv w:val="1"/>
      <w:marLeft w:val="0"/>
      <w:marRight w:val="0"/>
      <w:marTop w:val="0"/>
      <w:marBottom w:val="0"/>
      <w:divBdr>
        <w:top w:val="none" w:sz="0" w:space="0" w:color="auto"/>
        <w:left w:val="none" w:sz="0" w:space="0" w:color="auto"/>
        <w:bottom w:val="none" w:sz="0" w:space="0" w:color="auto"/>
        <w:right w:val="none" w:sz="0" w:space="0" w:color="auto"/>
      </w:divBdr>
    </w:div>
    <w:div w:id="1058017398">
      <w:bodyDiv w:val="1"/>
      <w:marLeft w:val="0"/>
      <w:marRight w:val="0"/>
      <w:marTop w:val="0"/>
      <w:marBottom w:val="0"/>
      <w:divBdr>
        <w:top w:val="none" w:sz="0" w:space="0" w:color="auto"/>
        <w:left w:val="none" w:sz="0" w:space="0" w:color="auto"/>
        <w:bottom w:val="none" w:sz="0" w:space="0" w:color="auto"/>
        <w:right w:val="none" w:sz="0" w:space="0" w:color="auto"/>
      </w:divBdr>
    </w:div>
    <w:div w:id="1103691803">
      <w:bodyDiv w:val="1"/>
      <w:marLeft w:val="0"/>
      <w:marRight w:val="0"/>
      <w:marTop w:val="0"/>
      <w:marBottom w:val="0"/>
      <w:divBdr>
        <w:top w:val="none" w:sz="0" w:space="0" w:color="auto"/>
        <w:left w:val="none" w:sz="0" w:space="0" w:color="auto"/>
        <w:bottom w:val="none" w:sz="0" w:space="0" w:color="auto"/>
        <w:right w:val="none" w:sz="0" w:space="0" w:color="auto"/>
      </w:divBdr>
    </w:div>
    <w:div w:id="1108693140">
      <w:bodyDiv w:val="1"/>
      <w:marLeft w:val="0"/>
      <w:marRight w:val="0"/>
      <w:marTop w:val="0"/>
      <w:marBottom w:val="0"/>
      <w:divBdr>
        <w:top w:val="none" w:sz="0" w:space="0" w:color="auto"/>
        <w:left w:val="none" w:sz="0" w:space="0" w:color="auto"/>
        <w:bottom w:val="none" w:sz="0" w:space="0" w:color="auto"/>
        <w:right w:val="none" w:sz="0" w:space="0" w:color="auto"/>
      </w:divBdr>
    </w:div>
    <w:div w:id="1113399252">
      <w:bodyDiv w:val="1"/>
      <w:marLeft w:val="0"/>
      <w:marRight w:val="0"/>
      <w:marTop w:val="0"/>
      <w:marBottom w:val="0"/>
      <w:divBdr>
        <w:top w:val="none" w:sz="0" w:space="0" w:color="auto"/>
        <w:left w:val="none" w:sz="0" w:space="0" w:color="auto"/>
        <w:bottom w:val="none" w:sz="0" w:space="0" w:color="auto"/>
        <w:right w:val="none" w:sz="0" w:space="0" w:color="auto"/>
      </w:divBdr>
    </w:div>
    <w:div w:id="1120805083">
      <w:bodyDiv w:val="1"/>
      <w:marLeft w:val="0"/>
      <w:marRight w:val="0"/>
      <w:marTop w:val="0"/>
      <w:marBottom w:val="0"/>
      <w:divBdr>
        <w:top w:val="none" w:sz="0" w:space="0" w:color="auto"/>
        <w:left w:val="none" w:sz="0" w:space="0" w:color="auto"/>
        <w:bottom w:val="none" w:sz="0" w:space="0" w:color="auto"/>
        <w:right w:val="none" w:sz="0" w:space="0" w:color="auto"/>
      </w:divBdr>
    </w:div>
    <w:div w:id="1127894226">
      <w:bodyDiv w:val="1"/>
      <w:marLeft w:val="0"/>
      <w:marRight w:val="0"/>
      <w:marTop w:val="0"/>
      <w:marBottom w:val="0"/>
      <w:divBdr>
        <w:top w:val="none" w:sz="0" w:space="0" w:color="auto"/>
        <w:left w:val="none" w:sz="0" w:space="0" w:color="auto"/>
        <w:bottom w:val="none" w:sz="0" w:space="0" w:color="auto"/>
        <w:right w:val="none" w:sz="0" w:space="0" w:color="auto"/>
      </w:divBdr>
    </w:div>
    <w:div w:id="1131753333">
      <w:bodyDiv w:val="1"/>
      <w:marLeft w:val="0"/>
      <w:marRight w:val="0"/>
      <w:marTop w:val="0"/>
      <w:marBottom w:val="0"/>
      <w:divBdr>
        <w:top w:val="none" w:sz="0" w:space="0" w:color="auto"/>
        <w:left w:val="none" w:sz="0" w:space="0" w:color="auto"/>
        <w:bottom w:val="none" w:sz="0" w:space="0" w:color="auto"/>
        <w:right w:val="none" w:sz="0" w:space="0" w:color="auto"/>
      </w:divBdr>
    </w:div>
    <w:div w:id="1134323648">
      <w:bodyDiv w:val="1"/>
      <w:marLeft w:val="0"/>
      <w:marRight w:val="0"/>
      <w:marTop w:val="0"/>
      <w:marBottom w:val="0"/>
      <w:divBdr>
        <w:top w:val="none" w:sz="0" w:space="0" w:color="auto"/>
        <w:left w:val="none" w:sz="0" w:space="0" w:color="auto"/>
        <w:bottom w:val="none" w:sz="0" w:space="0" w:color="auto"/>
        <w:right w:val="none" w:sz="0" w:space="0" w:color="auto"/>
      </w:divBdr>
    </w:div>
    <w:div w:id="1155030561">
      <w:bodyDiv w:val="1"/>
      <w:marLeft w:val="0"/>
      <w:marRight w:val="0"/>
      <w:marTop w:val="0"/>
      <w:marBottom w:val="0"/>
      <w:divBdr>
        <w:top w:val="none" w:sz="0" w:space="0" w:color="auto"/>
        <w:left w:val="none" w:sz="0" w:space="0" w:color="auto"/>
        <w:bottom w:val="none" w:sz="0" w:space="0" w:color="auto"/>
        <w:right w:val="none" w:sz="0" w:space="0" w:color="auto"/>
      </w:divBdr>
    </w:div>
    <w:div w:id="1158107141">
      <w:bodyDiv w:val="1"/>
      <w:marLeft w:val="0"/>
      <w:marRight w:val="0"/>
      <w:marTop w:val="0"/>
      <w:marBottom w:val="0"/>
      <w:divBdr>
        <w:top w:val="none" w:sz="0" w:space="0" w:color="auto"/>
        <w:left w:val="none" w:sz="0" w:space="0" w:color="auto"/>
        <w:bottom w:val="none" w:sz="0" w:space="0" w:color="auto"/>
        <w:right w:val="none" w:sz="0" w:space="0" w:color="auto"/>
      </w:divBdr>
    </w:div>
    <w:div w:id="1205413428">
      <w:bodyDiv w:val="1"/>
      <w:marLeft w:val="0"/>
      <w:marRight w:val="0"/>
      <w:marTop w:val="0"/>
      <w:marBottom w:val="0"/>
      <w:divBdr>
        <w:top w:val="none" w:sz="0" w:space="0" w:color="auto"/>
        <w:left w:val="none" w:sz="0" w:space="0" w:color="auto"/>
        <w:bottom w:val="none" w:sz="0" w:space="0" w:color="auto"/>
        <w:right w:val="none" w:sz="0" w:space="0" w:color="auto"/>
      </w:divBdr>
    </w:div>
    <w:div w:id="1209995895">
      <w:bodyDiv w:val="1"/>
      <w:marLeft w:val="0"/>
      <w:marRight w:val="0"/>
      <w:marTop w:val="0"/>
      <w:marBottom w:val="0"/>
      <w:divBdr>
        <w:top w:val="none" w:sz="0" w:space="0" w:color="auto"/>
        <w:left w:val="none" w:sz="0" w:space="0" w:color="auto"/>
        <w:bottom w:val="none" w:sz="0" w:space="0" w:color="auto"/>
        <w:right w:val="none" w:sz="0" w:space="0" w:color="auto"/>
      </w:divBdr>
    </w:div>
    <w:div w:id="1246722055">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282153597">
      <w:bodyDiv w:val="1"/>
      <w:marLeft w:val="0"/>
      <w:marRight w:val="0"/>
      <w:marTop w:val="0"/>
      <w:marBottom w:val="0"/>
      <w:divBdr>
        <w:top w:val="none" w:sz="0" w:space="0" w:color="auto"/>
        <w:left w:val="none" w:sz="0" w:space="0" w:color="auto"/>
        <w:bottom w:val="none" w:sz="0" w:space="0" w:color="auto"/>
        <w:right w:val="none" w:sz="0" w:space="0" w:color="auto"/>
      </w:divBdr>
    </w:div>
    <w:div w:id="1310472932">
      <w:bodyDiv w:val="1"/>
      <w:marLeft w:val="0"/>
      <w:marRight w:val="0"/>
      <w:marTop w:val="0"/>
      <w:marBottom w:val="0"/>
      <w:divBdr>
        <w:top w:val="none" w:sz="0" w:space="0" w:color="auto"/>
        <w:left w:val="none" w:sz="0" w:space="0" w:color="auto"/>
        <w:bottom w:val="none" w:sz="0" w:space="0" w:color="auto"/>
        <w:right w:val="none" w:sz="0" w:space="0" w:color="auto"/>
      </w:divBdr>
    </w:div>
    <w:div w:id="1312248790">
      <w:bodyDiv w:val="1"/>
      <w:marLeft w:val="0"/>
      <w:marRight w:val="0"/>
      <w:marTop w:val="0"/>
      <w:marBottom w:val="0"/>
      <w:divBdr>
        <w:top w:val="none" w:sz="0" w:space="0" w:color="auto"/>
        <w:left w:val="none" w:sz="0" w:space="0" w:color="auto"/>
        <w:bottom w:val="none" w:sz="0" w:space="0" w:color="auto"/>
        <w:right w:val="none" w:sz="0" w:space="0" w:color="auto"/>
      </w:divBdr>
    </w:div>
    <w:div w:id="1319773438">
      <w:bodyDiv w:val="1"/>
      <w:marLeft w:val="0"/>
      <w:marRight w:val="0"/>
      <w:marTop w:val="0"/>
      <w:marBottom w:val="0"/>
      <w:divBdr>
        <w:top w:val="none" w:sz="0" w:space="0" w:color="auto"/>
        <w:left w:val="none" w:sz="0" w:space="0" w:color="auto"/>
        <w:bottom w:val="none" w:sz="0" w:space="0" w:color="auto"/>
        <w:right w:val="none" w:sz="0" w:space="0" w:color="auto"/>
      </w:divBdr>
    </w:div>
    <w:div w:id="1332948975">
      <w:bodyDiv w:val="1"/>
      <w:marLeft w:val="0"/>
      <w:marRight w:val="0"/>
      <w:marTop w:val="0"/>
      <w:marBottom w:val="0"/>
      <w:divBdr>
        <w:top w:val="none" w:sz="0" w:space="0" w:color="auto"/>
        <w:left w:val="none" w:sz="0" w:space="0" w:color="auto"/>
        <w:bottom w:val="none" w:sz="0" w:space="0" w:color="auto"/>
        <w:right w:val="none" w:sz="0" w:space="0" w:color="auto"/>
      </w:divBdr>
    </w:div>
    <w:div w:id="1340159112">
      <w:bodyDiv w:val="1"/>
      <w:marLeft w:val="0"/>
      <w:marRight w:val="0"/>
      <w:marTop w:val="0"/>
      <w:marBottom w:val="0"/>
      <w:divBdr>
        <w:top w:val="none" w:sz="0" w:space="0" w:color="auto"/>
        <w:left w:val="none" w:sz="0" w:space="0" w:color="auto"/>
        <w:bottom w:val="none" w:sz="0" w:space="0" w:color="auto"/>
        <w:right w:val="none" w:sz="0" w:space="0" w:color="auto"/>
      </w:divBdr>
      <w:divsChild>
        <w:div w:id="617833448">
          <w:marLeft w:val="547"/>
          <w:marRight w:val="0"/>
          <w:marTop w:val="0"/>
          <w:marBottom w:val="360"/>
          <w:divBdr>
            <w:top w:val="none" w:sz="0" w:space="0" w:color="auto"/>
            <w:left w:val="none" w:sz="0" w:space="0" w:color="auto"/>
            <w:bottom w:val="none" w:sz="0" w:space="0" w:color="auto"/>
            <w:right w:val="none" w:sz="0" w:space="0" w:color="auto"/>
          </w:divBdr>
        </w:div>
        <w:div w:id="685642219">
          <w:marLeft w:val="547"/>
          <w:marRight w:val="0"/>
          <w:marTop w:val="0"/>
          <w:marBottom w:val="360"/>
          <w:divBdr>
            <w:top w:val="none" w:sz="0" w:space="0" w:color="auto"/>
            <w:left w:val="none" w:sz="0" w:space="0" w:color="auto"/>
            <w:bottom w:val="none" w:sz="0" w:space="0" w:color="auto"/>
            <w:right w:val="none" w:sz="0" w:space="0" w:color="auto"/>
          </w:divBdr>
        </w:div>
        <w:div w:id="249386783">
          <w:marLeft w:val="547"/>
          <w:marRight w:val="0"/>
          <w:marTop w:val="0"/>
          <w:marBottom w:val="360"/>
          <w:divBdr>
            <w:top w:val="none" w:sz="0" w:space="0" w:color="auto"/>
            <w:left w:val="none" w:sz="0" w:space="0" w:color="auto"/>
            <w:bottom w:val="none" w:sz="0" w:space="0" w:color="auto"/>
            <w:right w:val="none" w:sz="0" w:space="0" w:color="auto"/>
          </w:divBdr>
        </w:div>
      </w:divsChild>
    </w:div>
    <w:div w:id="1366714563">
      <w:bodyDiv w:val="1"/>
      <w:marLeft w:val="0"/>
      <w:marRight w:val="0"/>
      <w:marTop w:val="0"/>
      <w:marBottom w:val="0"/>
      <w:divBdr>
        <w:top w:val="none" w:sz="0" w:space="0" w:color="auto"/>
        <w:left w:val="none" w:sz="0" w:space="0" w:color="auto"/>
        <w:bottom w:val="none" w:sz="0" w:space="0" w:color="auto"/>
        <w:right w:val="none" w:sz="0" w:space="0" w:color="auto"/>
      </w:divBdr>
    </w:div>
    <w:div w:id="1373266391">
      <w:bodyDiv w:val="1"/>
      <w:marLeft w:val="0"/>
      <w:marRight w:val="0"/>
      <w:marTop w:val="0"/>
      <w:marBottom w:val="0"/>
      <w:divBdr>
        <w:top w:val="none" w:sz="0" w:space="0" w:color="auto"/>
        <w:left w:val="none" w:sz="0" w:space="0" w:color="auto"/>
        <w:bottom w:val="none" w:sz="0" w:space="0" w:color="auto"/>
        <w:right w:val="none" w:sz="0" w:space="0" w:color="auto"/>
      </w:divBdr>
    </w:div>
    <w:div w:id="1387147091">
      <w:bodyDiv w:val="1"/>
      <w:marLeft w:val="0"/>
      <w:marRight w:val="0"/>
      <w:marTop w:val="0"/>
      <w:marBottom w:val="0"/>
      <w:divBdr>
        <w:top w:val="none" w:sz="0" w:space="0" w:color="auto"/>
        <w:left w:val="none" w:sz="0" w:space="0" w:color="auto"/>
        <w:bottom w:val="none" w:sz="0" w:space="0" w:color="auto"/>
        <w:right w:val="none" w:sz="0" w:space="0" w:color="auto"/>
      </w:divBdr>
    </w:div>
    <w:div w:id="1497303380">
      <w:bodyDiv w:val="1"/>
      <w:marLeft w:val="0"/>
      <w:marRight w:val="0"/>
      <w:marTop w:val="0"/>
      <w:marBottom w:val="0"/>
      <w:divBdr>
        <w:top w:val="none" w:sz="0" w:space="0" w:color="auto"/>
        <w:left w:val="none" w:sz="0" w:space="0" w:color="auto"/>
        <w:bottom w:val="none" w:sz="0" w:space="0" w:color="auto"/>
        <w:right w:val="none" w:sz="0" w:space="0" w:color="auto"/>
      </w:divBdr>
    </w:div>
    <w:div w:id="1502819856">
      <w:bodyDiv w:val="1"/>
      <w:marLeft w:val="0"/>
      <w:marRight w:val="0"/>
      <w:marTop w:val="0"/>
      <w:marBottom w:val="0"/>
      <w:divBdr>
        <w:top w:val="none" w:sz="0" w:space="0" w:color="auto"/>
        <w:left w:val="none" w:sz="0" w:space="0" w:color="auto"/>
        <w:bottom w:val="none" w:sz="0" w:space="0" w:color="auto"/>
        <w:right w:val="none" w:sz="0" w:space="0" w:color="auto"/>
      </w:divBdr>
    </w:div>
    <w:div w:id="1546529776">
      <w:bodyDiv w:val="1"/>
      <w:marLeft w:val="0"/>
      <w:marRight w:val="0"/>
      <w:marTop w:val="0"/>
      <w:marBottom w:val="0"/>
      <w:divBdr>
        <w:top w:val="none" w:sz="0" w:space="0" w:color="auto"/>
        <w:left w:val="none" w:sz="0" w:space="0" w:color="auto"/>
        <w:bottom w:val="none" w:sz="0" w:space="0" w:color="auto"/>
        <w:right w:val="none" w:sz="0" w:space="0" w:color="auto"/>
      </w:divBdr>
    </w:div>
    <w:div w:id="1584148121">
      <w:bodyDiv w:val="1"/>
      <w:marLeft w:val="0"/>
      <w:marRight w:val="0"/>
      <w:marTop w:val="0"/>
      <w:marBottom w:val="0"/>
      <w:divBdr>
        <w:top w:val="none" w:sz="0" w:space="0" w:color="auto"/>
        <w:left w:val="none" w:sz="0" w:space="0" w:color="auto"/>
        <w:bottom w:val="none" w:sz="0" w:space="0" w:color="auto"/>
        <w:right w:val="none" w:sz="0" w:space="0" w:color="auto"/>
      </w:divBdr>
    </w:div>
    <w:div w:id="1607422570">
      <w:bodyDiv w:val="1"/>
      <w:marLeft w:val="0"/>
      <w:marRight w:val="0"/>
      <w:marTop w:val="0"/>
      <w:marBottom w:val="0"/>
      <w:divBdr>
        <w:top w:val="none" w:sz="0" w:space="0" w:color="auto"/>
        <w:left w:val="none" w:sz="0" w:space="0" w:color="auto"/>
        <w:bottom w:val="none" w:sz="0" w:space="0" w:color="auto"/>
        <w:right w:val="none" w:sz="0" w:space="0" w:color="auto"/>
      </w:divBdr>
    </w:div>
    <w:div w:id="1632243858">
      <w:bodyDiv w:val="1"/>
      <w:marLeft w:val="0"/>
      <w:marRight w:val="0"/>
      <w:marTop w:val="0"/>
      <w:marBottom w:val="0"/>
      <w:divBdr>
        <w:top w:val="none" w:sz="0" w:space="0" w:color="auto"/>
        <w:left w:val="none" w:sz="0" w:space="0" w:color="auto"/>
        <w:bottom w:val="none" w:sz="0" w:space="0" w:color="auto"/>
        <w:right w:val="none" w:sz="0" w:space="0" w:color="auto"/>
      </w:divBdr>
    </w:div>
    <w:div w:id="1645969109">
      <w:bodyDiv w:val="1"/>
      <w:marLeft w:val="0"/>
      <w:marRight w:val="0"/>
      <w:marTop w:val="0"/>
      <w:marBottom w:val="0"/>
      <w:divBdr>
        <w:top w:val="none" w:sz="0" w:space="0" w:color="auto"/>
        <w:left w:val="none" w:sz="0" w:space="0" w:color="auto"/>
        <w:bottom w:val="none" w:sz="0" w:space="0" w:color="auto"/>
        <w:right w:val="none" w:sz="0" w:space="0" w:color="auto"/>
      </w:divBdr>
    </w:div>
    <w:div w:id="1680427130">
      <w:bodyDiv w:val="1"/>
      <w:marLeft w:val="0"/>
      <w:marRight w:val="0"/>
      <w:marTop w:val="0"/>
      <w:marBottom w:val="0"/>
      <w:divBdr>
        <w:top w:val="none" w:sz="0" w:space="0" w:color="auto"/>
        <w:left w:val="none" w:sz="0" w:space="0" w:color="auto"/>
        <w:bottom w:val="none" w:sz="0" w:space="0" w:color="auto"/>
        <w:right w:val="none" w:sz="0" w:space="0" w:color="auto"/>
      </w:divBdr>
    </w:div>
    <w:div w:id="1689675908">
      <w:bodyDiv w:val="1"/>
      <w:marLeft w:val="0"/>
      <w:marRight w:val="0"/>
      <w:marTop w:val="0"/>
      <w:marBottom w:val="0"/>
      <w:divBdr>
        <w:top w:val="none" w:sz="0" w:space="0" w:color="auto"/>
        <w:left w:val="none" w:sz="0" w:space="0" w:color="auto"/>
        <w:bottom w:val="none" w:sz="0" w:space="0" w:color="auto"/>
        <w:right w:val="none" w:sz="0" w:space="0" w:color="auto"/>
      </w:divBdr>
    </w:div>
    <w:div w:id="1700159766">
      <w:bodyDiv w:val="1"/>
      <w:marLeft w:val="0"/>
      <w:marRight w:val="0"/>
      <w:marTop w:val="0"/>
      <w:marBottom w:val="0"/>
      <w:divBdr>
        <w:top w:val="none" w:sz="0" w:space="0" w:color="auto"/>
        <w:left w:val="none" w:sz="0" w:space="0" w:color="auto"/>
        <w:bottom w:val="none" w:sz="0" w:space="0" w:color="auto"/>
        <w:right w:val="none" w:sz="0" w:space="0" w:color="auto"/>
      </w:divBdr>
    </w:div>
    <w:div w:id="1700207181">
      <w:bodyDiv w:val="1"/>
      <w:marLeft w:val="0"/>
      <w:marRight w:val="0"/>
      <w:marTop w:val="0"/>
      <w:marBottom w:val="0"/>
      <w:divBdr>
        <w:top w:val="none" w:sz="0" w:space="0" w:color="auto"/>
        <w:left w:val="none" w:sz="0" w:space="0" w:color="auto"/>
        <w:bottom w:val="none" w:sz="0" w:space="0" w:color="auto"/>
        <w:right w:val="none" w:sz="0" w:space="0" w:color="auto"/>
      </w:divBdr>
    </w:div>
    <w:div w:id="1717318010">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62292001">
      <w:bodyDiv w:val="1"/>
      <w:marLeft w:val="0"/>
      <w:marRight w:val="0"/>
      <w:marTop w:val="0"/>
      <w:marBottom w:val="0"/>
      <w:divBdr>
        <w:top w:val="none" w:sz="0" w:space="0" w:color="auto"/>
        <w:left w:val="none" w:sz="0" w:space="0" w:color="auto"/>
        <w:bottom w:val="none" w:sz="0" w:space="0" w:color="auto"/>
        <w:right w:val="none" w:sz="0" w:space="0" w:color="auto"/>
      </w:divBdr>
    </w:div>
    <w:div w:id="1762606266">
      <w:bodyDiv w:val="1"/>
      <w:marLeft w:val="0"/>
      <w:marRight w:val="0"/>
      <w:marTop w:val="0"/>
      <w:marBottom w:val="0"/>
      <w:divBdr>
        <w:top w:val="none" w:sz="0" w:space="0" w:color="auto"/>
        <w:left w:val="none" w:sz="0" w:space="0" w:color="auto"/>
        <w:bottom w:val="none" w:sz="0" w:space="0" w:color="auto"/>
        <w:right w:val="none" w:sz="0" w:space="0" w:color="auto"/>
      </w:divBdr>
    </w:div>
    <w:div w:id="1797525816">
      <w:bodyDiv w:val="1"/>
      <w:marLeft w:val="0"/>
      <w:marRight w:val="0"/>
      <w:marTop w:val="0"/>
      <w:marBottom w:val="0"/>
      <w:divBdr>
        <w:top w:val="none" w:sz="0" w:space="0" w:color="auto"/>
        <w:left w:val="none" w:sz="0" w:space="0" w:color="auto"/>
        <w:bottom w:val="none" w:sz="0" w:space="0" w:color="auto"/>
        <w:right w:val="none" w:sz="0" w:space="0" w:color="auto"/>
      </w:divBdr>
    </w:div>
    <w:div w:id="1802572780">
      <w:bodyDiv w:val="1"/>
      <w:marLeft w:val="0"/>
      <w:marRight w:val="0"/>
      <w:marTop w:val="0"/>
      <w:marBottom w:val="0"/>
      <w:divBdr>
        <w:top w:val="none" w:sz="0" w:space="0" w:color="auto"/>
        <w:left w:val="none" w:sz="0" w:space="0" w:color="auto"/>
        <w:bottom w:val="none" w:sz="0" w:space="0" w:color="auto"/>
        <w:right w:val="none" w:sz="0" w:space="0" w:color="auto"/>
      </w:divBdr>
    </w:div>
    <w:div w:id="1815678030">
      <w:bodyDiv w:val="1"/>
      <w:marLeft w:val="0"/>
      <w:marRight w:val="0"/>
      <w:marTop w:val="0"/>
      <w:marBottom w:val="0"/>
      <w:divBdr>
        <w:top w:val="none" w:sz="0" w:space="0" w:color="auto"/>
        <w:left w:val="none" w:sz="0" w:space="0" w:color="auto"/>
        <w:bottom w:val="none" w:sz="0" w:space="0" w:color="auto"/>
        <w:right w:val="none" w:sz="0" w:space="0" w:color="auto"/>
      </w:divBdr>
    </w:div>
    <w:div w:id="1840340522">
      <w:bodyDiv w:val="1"/>
      <w:marLeft w:val="0"/>
      <w:marRight w:val="0"/>
      <w:marTop w:val="0"/>
      <w:marBottom w:val="0"/>
      <w:divBdr>
        <w:top w:val="none" w:sz="0" w:space="0" w:color="auto"/>
        <w:left w:val="none" w:sz="0" w:space="0" w:color="auto"/>
        <w:bottom w:val="none" w:sz="0" w:space="0" w:color="auto"/>
        <w:right w:val="none" w:sz="0" w:space="0" w:color="auto"/>
      </w:divBdr>
    </w:div>
    <w:div w:id="1872186851">
      <w:bodyDiv w:val="1"/>
      <w:marLeft w:val="0"/>
      <w:marRight w:val="0"/>
      <w:marTop w:val="0"/>
      <w:marBottom w:val="0"/>
      <w:divBdr>
        <w:top w:val="none" w:sz="0" w:space="0" w:color="auto"/>
        <w:left w:val="none" w:sz="0" w:space="0" w:color="auto"/>
        <w:bottom w:val="none" w:sz="0" w:space="0" w:color="auto"/>
        <w:right w:val="none" w:sz="0" w:space="0" w:color="auto"/>
      </w:divBdr>
    </w:div>
    <w:div w:id="1880969172">
      <w:bodyDiv w:val="1"/>
      <w:marLeft w:val="0"/>
      <w:marRight w:val="0"/>
      <w:marTop w:val="0"/>
      <w:marBottom w:val="0"/>
      <w:divBdr>
        <w:top w:val="none" w:sz="0" w:space="0" w:color="auto"/>
        <w:left w:val="none" w:sz="0" w:space="0" w:color="auto"/>
        <w:bottom w:val="none" w:sz="0" w:space="0" w:color="auto"/>
        <w:right w:val="none" w:sz="0" w:space="0" w:color="auto"/>
      </w:divBdr>
    </w:div>
    <w:div w:id="1886485031">
      <w:bodyDiv w:val="1"/>
      <w:marLeft w:val="0"/>
      <w:marRight w:val="0"/>
      <w:marTop w:val="0"/>
      <w:marBottom w:val="0"/>
      <w:divBdr>
        <w:top w:val="none" w:sz="0" w:space="0" w:color="auto"/>
        <w:left w:val="none" w:sz="0" w:space="0" w:color="auto"/>
        <w:bottom w:val="none" w:sz="0" w:space="0" w:color="auto"/>
        <w:right w:val="none" w:sz="0" w:space="0" w:color="auto"/>
      </w:divBdr>
    </w:div>
    <w:div w:id="1889998694">
      <w:bodyDiv w:val="1"/>
      <w:marLeft w:val="0"/>
      <w:marRight w:val="0"/>
      <w:marTop w:val="0"/>
      <w:marBottom w:val="0"/>
      <w:divBdr>
        <w:top w:val="none" w:sz="0" w:space="0" w:color="auto"/>
        <w:left w:val="none" w:sz="0" w:space="0" w:color="auto"/>
        <w:bottom w:val="none" w:sz="0" w:space="0" w:color="auto"/>
        <w:right w:val="none" w:sz="0" w:space="0" w:color="auto"/>
      </w:divBdr>
    </w:div>
    <w:div w:id="1935093352">
      <w:bodyDiv w:val="1"/>
      <w:marLeft w:val="0"/>
      <w:marRight w:val="0"/>
      <w:marTop w:val="0"/>
      <w:marBottom w:val="0"/>
      <w:divBdr>
        <w:top w:val="none" w:sz="0" w:space="0" w:color="auto"/>
        <w:left w:val="none" w:sz="0" w:space="0" w:color="auto"/>
        <w:bottom w:val="none" w:sz="0" w:space="0" w:color="auto"/>
        <w:right w:val="none" w:sz="0" w:space="0" w:color="auto"/>
      </w:divBdr>
    </w:div>
    <w:div w:id="1935094441">
      <w:bodyDiv w:val="1"/>
      <w:marLeft w:val="0"/>
      <w:marRight w:val="0"/>
      <w:marTop w:val="0"/>
      <w:marBottom w:val="0"/>
      <w:divBdr>
        <w:top w:val="none" w:sz="0" w:space="0" w:color="auto"/>
        <w:left w:val="none" w:sz="0" w:space="0" w:color="auto"/>
        <w:bottom w:val="none" w:sz="0" w:space="0" w:color="auto"/>
        <w:right w:val="none" w:sz="0" w:space="0" w:color="auto"/>
      </w:divBdr>
    </w:div>
    <w:div w:id="1952282020">
      <w:bodyDiv w:val="1"/>
      <w:marLeft w:val="0"/>
      <w:marRight w:val="0"/>
      <w:marTop w:val="0"/>
      <w:marBottom w:val="0"/>
      <w:divBdr>
        <w:top w:val="none" w:sz="0" w:space="0" w:color="auto"/>
        <w:left w:val="none" w:sz="0" w:space="0" w:color="auto"/>
        <w:bottom w:val="none" w:sz="0" w:space="0" w:color="auto"/>
        <w:right w:val="none" w:sz="0" w:space="0" w:color="auto"/>
      </w:divBdr>
    </w:div>
    <w:div w:id="1982340290">
      <w:bodyDiv w:val="1"/>
      <w:marLeft w:val="0"/>
      <w:marRight w:val="0"/>
      <w:marTop w:val="0"/>
      <w:marBottom w:val="0"/>
      <w:divBdr>
        <w:top w:val="none" w:sz="0" w:space="0" w:color="auto"/>
        <w:left w:val="none" w:sz="0" w:space="0" w:color="auto"/>
        <w:bottom w:val="none" w:sz="0" w:space="0" w:color="auto"/>
        <w:right w:val="none" w:sz="0" w:space="0" w:color="auto"/>
      </w:divBdr>
    </w:div>
    <w:div w:id="2010014444">
      <w:bodyDiv w:val="1"/>
      <w:marLeft w:val="0"/>
      <w:marRight w:val="0"/>
      <w:marTop w:val="0"/>
      <w:marBottom w:val="0"/>
      <w:divBdr>
        <w:top w:val="none" w:sz="0" w:space="0" w:color="auto"/>
        <w:left w:val="none" w:sz="0" w:space="0" w:color="auto"/>
        <w:bottom w:val="none" w:sz="0" w:space="0" w:color="auto"/>
        <w:right w:val="none" w:sz="0" w:space="0" w:color="auto"/>
      </w:divBdr>
    </w:div>
    <w:div w:id="2022731516">
      <w:bodyDiv w:val="1"/>
      <w:marLeft w:val="0"/>
      <w:marRight w:val="0"/>
      <w:marTop w:val="0"/>
      <w:marBottom w:val="0"/>
      <w:divBdr>
        <w:top w:val="none" w:sz="0" w:space="0" w:color="auto"/>
        <w:left w:val="none" w:sz="0" w:space="0" w:color="auto"/>
        <w:bottom w:val="none" w:sz="0" w:space="0" w:color="auto"/>
        <w:right w:val="none" w:sz="0" w:space="0" w:color="auto"/>
      </w:divBdr>
    </w:div>
    <w:div w:id="2090350779">
      <w:bodyDiv w:val="1"/>
      <w:marLeft w:val="0"/>
      <w:marRight w:val="0"/>
      <w:marTop w:val="0"/>
      <w:marBottom w:val="0"/>
      <w:divBdr>
        <w:top w:val="none" w:sz="0" w:space="0" w:color="auto"/>
        <w:left w:val="none" w:sz="0" w:space="0" w:color="auto"/>
        <w:bottom w:val="none" w:sz="0" w:space="0" w:color="auto"/>
        <w:right w:val="none" w:sz="0" w:space="0" w:color="auto"/>
      </w:divBdr>
      <w:divsChild>
        <w:div w:id="1235775672">
          <w:marLeft w:val="0"/>
          <w:marRight w:val="0"/>
          <w:marTop w:val="0"/>
          <w:marBottom w:val="0"/>
          <w:divBdr>
            <w:top w:val="none" w:sz="0" w:space="0" w:color="auto"/>
            <w:left w:val="none" w:sz="0" w:space="0" w:color="auto"/>
            <w:bottom w:val="none" w:sz="0" w:space="0" w:color="auto"/>
            <w:right w:val="none" w:sz="0" w:space="0" w:color="auto"/>
          </w:divBdr>
          <w:divsChild>
            <w:div w:id="1944847075">
              <w:marLeft w:val="0"/>
              <w:marRight w:val="0"/>
              <w:marTop w:val="0"/>
              <w:marBottom w:val="0"/>
              <w:divBdr>
                <w:top w:val="none" w:sz="0" w:space="0" w:color="auto"/>
                <w:left w:val="none" w:sz="0" w:space="0" w:color="auto"/>
                <w:bottom w:val="none" w:sz="0" w:space="0" w:color="auto"/>
                <w:right w:val="none" w:sz="0" w:space="0" w:color="auto"/>
              </w:divBdr>
              <w:divsChild>
                <w:div w:id="837575707">
                  <w:marLeft w:val="0"/>
                  <w:marRight w:val="0"/>
                  <w:marTop w:val="120"/>
                  <w:marBottom w:val="360"/>
                  <w:divBdr>
                    <w:top w:val="none" w:sz="0" w:space="0" w:color="auto"/>
                    <w:left w:val="none" w:sz="0" w:space="0" w:color="auto"/>
                    <w:bottom w:val="none" w:sz="0" w:space="0" w:color="auto"/>
                    <w:right w:val="none" w:sz="0" w:space="0" w:color="auto"/>
                  </w:divBdr>
                  <w:divsChild>
                    <w:div w:id="532839254">
                      <w:marLeft w:val="0"/>
                      <w:marRight w:val="0"/>
                      <w:marTop w:val="0"/>
                      <w:marBottom w:val="0"/>
                      <w:divBdr>
                        <w:top w:val="none" w:sz="0" w:space="0" w:color="auto"/>
                        <w:left w:val="none" w:sz="0" w:space="0" w:color="auto"/>
                        <w:bottom w:val="none" w:sz="0" w:space="0" w:color="auto"/>
                        <w:right w:val="none" w:sz="0" w:space="0" w:color="auto"/>
                      </w:divBdr>
                      <w:divsChild>
                        <w:div w:id="829948659">
                          <w:marLeft w:val="0"/>
                          <w:marRight w:val="0"/>
                          <w:marTop w:val="0"/>
                          <w:marBottom w:val="0"/>
                          <w:divBdr>
                            <w:top w:val="none" w:sz="0" w:space="0" w:color="auto"/>
                            <w:left w:val="none" w:sz="0" w:space="0" w:color="auto"/>
                            <w:bottom w:val="none" w:sz="0" w:space="0" w:color="auto"/>
                            <w:right w:val="none" w:sz="0" w:space="0" w:color="auto"/>
                          </w:divBdr>
                          <w:divsChild>
                            <w:div w:id="667095286">
                              <w:marLeft w:val="0"/>
                              <w:marRight w:val="0"/>
                              <w:marTop w:val="0"/>
                              <w:marBottom w:val="0"/>
                              <w:divBdr>
                                <w:top w:val="none" w:sz="0" w:space="0" w:color="auto"/>
                                <w:left w:val="none" w:sz="0" w:space="0" w:color="auto"/>
                                <w:bottom w:val="none" w:sz="0" w:space="0" w:color="auto"/>
                                <w:right w:val="none" w:sz="0" w:space="0" w:color="auto"/>
                              </w:divBdr>
                              <w:divsChild>
                                <w:div w:id="21036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0646E-BD39-4D5F-A588-2C67AAA3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11002</Words>
  <Characters>62713</Characters>
  <Application>Microsoft Office Word</Application>
  <DocSecurity>0</DocSecurity>
  <Lines>522</Lines>
  <Paragraphs>147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_</vt:lpstr>
      <vt:lpstr>_</vt:lpstr>
    </vt:vector>
  </TitlesOfParts>
  <Company>Ospedale San Raffaele</Company>
  <LinksUpToDate>false</LinksUpToDate>
  <CharactersWithSpaces>73568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Andrés J. M. Ferreri</dc:creator>
  <cp:lastModifiedBy>Andrés J. M. Ferreri</cp:lastModifiedBy>
  <cp:revision>2</cp:revision>
  <cp:lastPrinted>2017-08-03T09:50:00Z</cp:lastPrinted>
  <dcterms:created xsi:type="dcterms:W3CDTF">2017-09-07T09:36:00Z</dcterms:created>
  <dcterms:modified xsi:type="dcterms:W3CDTF">2017-09-07T09:36:00Z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220</vt:lpwstr>
  </property>
  <property fmtid="{D5CDD505-2E9C-101B-9397-08002B2CF9AE}" pid="3" name="WnCSubscriberId">
    <vt:lpwstr>1427</vt:lpwstr>
  </property>
  <property fmtid="{D5CDD505-2E9C-101B-9397-08002B2CF9AE}" pid="4" name="WnCOutputStyleId">
    <vt:lpwstr>212</vt:lpwstr>
  </property>
  <property fmtid="{D5CDD505-2E9C-101B-9397-08002B2CF9AE}" pid="5" name="RWProductId">
    <vt:lpwstr>WnC</vt:lpwstr>
  </property>
  <property fmtid="{D5CDD505-2E9C-101B-9397-08002B2CF9AE}" pid="6" name="WnC4Folder">
    <vt:lpwstr/>
  </property>
</Properties>
</file>