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1D378" w14:textId="42E7A115" w:rsidR="00451DF7" w:rsidRPr="00BA66F3" w:rsidRDefault="00451DF7" w:rsidP="008D54D2">
      <w:pPr>
        <w:pStyle w:val="MDPI12title"/>
        <w:spacing w:line="240" w:lineRule="atLeast"/>
      </w:pPr>
      <w:bookmarkStart w:id="0" w:name="OLE_LINK1"/>
      <w:bookmarkStart w:id="1" w:name="OLE_LINK3"/>
      <w:bookmarkStart w:id="2" w:name="_GoBack"/>
      <w:bookmarkEnd w:id="2"/>
      <w:r w:rsidRPr="00BA66F3">
        <w:t xml:space="preserve">Knowledge and </w:t>
      </w:r>
      <w:r w:rsidR="008D54D2" w:rsidRPr="00BA66F3">
        <w:t xml:space="preserve">Attitudes </w:t>
      </w:r>
      <w:r w:rsidRPr="00BA66F3">
        <w:t xml:space="preserve">of </w:t>
      </w:r>
      <w:r w:rsidR="008D54D2" w:rsidRPr="00BA66F3">
        <w:t xml:space="preserve">General Practitioners </w:t>
      </w:r>
      <w:r w:rsidRPr="00BA66F3">
        <w:t xml:space="preserve">and </w:t>
      </w:r>
      <w:r w:rsidR="008D54D2" w:rsidRPr="00BA66F3">
        <w:t xml:space="preserve">Sexual Health Care Professionals Regarding Human Papillomavirus Vaccination </w:t>
      </w:r>
      <w:r w:rsidRPr="00BA66F3">
        <w:t xml:space="preserve">for </w:t>
      </w:r>
      <w:r w:rsidR="008D54D2" w:rsidRPr="00BA66F3">
        <w:t xml:space="preserve">Young </w:t>
      </w:r>
      <w:r w:rsidR="008D54D2" w:rsidRPr="00BA66F3">
        <w:rPr>
          <w:color w:val="auto"/>
        </w:rPr>
        <w:t>Men</w:t>
      </w:r>
      <w:r w:rsidR="00BD3765" w:rsidRPr="00BA66F3">
        <w:rPr>
          <w:color w:val="auto"/>
        </w:rPr>
        <w:t xml:space="preserve"> </w:t>
      </w:r>
      <w:r w:rsidR="008D54D2" w:rsidRPr="00BA66F3">
        <w:rPr>
          <w:color w:val="auto"/>
        </w:rPr>
        <w:t>Who</w:t>
      </w:r>
      <w:r w:rsidR="00BD3765" w:rsidRPr="00BA66F3">
        <w:rPr>
          <w:color w:val="auto"/>
        </w:rPr>
        <w:t xml:space="preserve"> </w:t>
      </w:r>
      <w:r w:rsidR="008D54D2" w:rsidRPr="00BA66F3">
        <w:rPr>
          <w:color w:val="auto"/>
        </w:rPr>
        <w:t>Have</w:t>
      </w:r>
      <w:r w:rsidR="00BD3765" w:rsidRPr="00BA66F3">
        <w:rPr>
          <w:color w:val="auto"/>
        </w:rPr>
        <w:t xml:space="preserve"> </w:t>
      </w:r>
      <w:r w:rsidR="008D54D2" w:rsidRPr="00BA66F3">
        <w:rPr>
          <w:color w:val="auto"/>
        </w:rPr>
        <w:t>Sex</w:t>
      </w:r>
      <w:r w:rsidR="00BD3765" w:rsidRPr="00BA66F3">
        <w:rPr>
          <w:color w:val="auto"/>
        </w:rPr>
        <w:t xml:space="preserve"> </w:t>
      </w:r>
      <w:r w:rsidR="00D37283" w:rsidRPr="00BA66F3">
        <w:rPr>
          <w:color w:val="auto"/>
        </w:rPr>
        <w:t xml:space="preserve">with </w:t>
      </w:r>
      <w:r w:rsidR="008D54D2" w:rsidRPr="00BA66F3">
        <w:rPr>
          <w:color w:val="auto"/>
        </w:rPr>
        <w:t>Men</w:t>
      </w:r>
      <w:bookmarkEnd w:id="0"/>
    </w:p>
    <w:p w14:paraId="39CA783D" w14:textId="2AC0C8E7" w:rsidR="00451DF7" w:rsidRPr="00BA66F3" w:rsidRDefault="00451DF7" w:rsidP="008D54D2">
      <w:pPr>
        <w:pStyle w:val="MDPI13authornames"/>
      </w:pPr>
      <w:r w:rsidRPr="00BA66F3">
        <w:t>Samuel W.</w:t>
      </w:r>
      <w:r w:rsidR="004D381D" w:rsidRPr="00BA66F3">
        <w:t xml:space="preserve"> </w:t>
      </w:r>
      <w:r w:rsidRPr="00BA66F3">
        <w:t xml:space="preserve">D. Merriel </w:t>
      </w:r>
      <w:r w:rsidRPr="00BA66F3">
        <w:rPr>
          <w:vertAlign w:val="superscript"/>
        </w:rPr>
        <w:t>1</w:t>
      </w:r>
      <w:r w:rsidR="008D54D2" w:rsidRPr="00BA66F3">
        <w:rPr>
          <w:vertAlign w:val="superscript"/>
        </w:rPr>
        <w:t>,</w:t>
      </w:r>
      <w:r w:rsidRPr="00BA66F3">
        <w:t xml:space="preserve">*, Carrie Flannagan </w:t>
      </w:r>
      <w:r w:rsidRPr="00BA66F3">
        <w:rPr>
          <w:vertAlign w:val="superscript"/>
        </w:rPr>
        <w:t>2</w:t>
      </w:r>
      <w:r w:rsidRPr="00BA66F3">
        <w:t xml:space="preserve">, Joanna M. Kesten </w:t>
      </w:r>
      <w:r w:rsidRPr="00BA66F3">
        <w:rPr>
          <w:vertAlign w:val="superscript"/>
        </w:rPr>
        <w:t>3</w:t>
      </w:r>
      <w:r w:rsidR="008D54D2" w:rsidRPr="00BA66F3">
        <w:rPr>
          <w:vertAlign w:val="superscript"/>
        </w:rPr>
        <w:t>,4,</w:t>
      </w:r>
      <w:r w:rsidRPr="00BA66F3">
        <w:rPr>
          <w:vertAlign w:val="superscript"/>
        </w:rPr>
        <w:t>5</w:t>
      </w:r>
      <w:r w:rsidR="008D54D2" w:rsidRPr="00BA66F3">
        <w:t>,</w:t>
      </w:r>
      <w:r w:rsidRPr="00BA66F3">
        <w:t xml:space="preserve"> Gilla K. Shapiro </w:t>
      </w:r>
      <w:r w:rsidRPr="00BA66F3">
        <w:rPr>
          <w:vertAlign w:val="superscript"/>
        </w:rPr>
        <w:t>6</w:t>
      </w:r>
      <w:r w:rsidRPr="00BA66F3">
        <w:t xml:space="preserve">, </w:t>
      </w:r>
      <w:r w:rsidR="008D54D2" w:rsidRPr="00BA66F3">
        <w:br/>
      </w:r>
      <w:r w:rsidRPr="00BA66F3">
        <w:t xml:space="preserve">Tom Nadarzynski </w:t>
      </w:r>
      <w:r w:rsidRPr="00BA66F3">
        <w:rPr>
          <w:vertAlign w:val="superscript"/>
        </w:rPr>
        <w:t>7</w:t>
      </w:r>
      <w:r w:rsidR="00BD3765" w:rsidRPr="00BA66F3">
        <w:t xml:space="preserve"> </w:t>
      </w:r>
      <w:r w:rsidRPr="00BA66F3">
        <w:t xml:space="preserve">and Gillian Prue </w:t>
      </w:r>
      <w:r w:rsidRPr="00BA66F3">
        <w:rPr>
          <w:vertAlign w:val="superscript"/>
        </w:rPr>
        <w:t>8</w:t>
      </w:r>
    </w:p>
    <w:p w14:paraId="2773873D" w14:textId="77777777" w:rsidR="00451DF7" w:rsidRPr="00BA66F3" w:rsidRDefault="00451DF7" w:rsidP="008D54D2">
      <w:pPr>
        <w:pStyle w:val="MDPI16affiliation"/>
      </w:pPr>
      <w:r w:rsidRPr="00BA66F3">
        <w:rPr>
          <w:vertAlign w:val="superscript"/>
        </w:rPr>
        <w:t>1</w:t>
      </w:r>
      <w:r w:rsidRPr="00BA66F3">
        <w:tab/>
        <w:t>Centre for Academic Primary Care, Bristol Medical School, University of Bristol, Bristol BS8 2PS, UK</w:t>
      </w:r>
    </w:p>
    <w:p w14:paraId="16180927" w14:textId="77777777" w:rsidR="00451DF7" w:rsidRPr="00BA66F3" w:rsidRDefault="00451DF7" w:rsidP="008D54D2">
      <w:pPr>
        <w:pStyle w:val="MDPI16affiliation"/>
      </w:pPr>
      <w:r w:rsidRPr="00BA66F3">
        <w:rPr>
          <w:vertAlign w:val="superscript"/>
        </w:rPr>
        <w:t>2</w:t>
      </w:r>
      <w:r w:rsidRPr="00BA66F3">
        <w:tab/>
        <w:t xml:space="preserve">Institute of Nursing and Health Research, Londonderry BT52 1SA, UK; </w:t>
      </w:r>
      <w:r w:rsidRPr="00BA66F3">
        <w:rPr>
          <w:szCs w:val="20"/>
        </w:rPr>
        <w:t>c.flannagan@ulster.ac.uk</w:t>
      </w:r>
    </w:p>
    <w:p w14:paraId="3323D66A" w14:textId="77777777" w:rsidR="00451DF7" w:rsidRPr="00BA66F3" w:rsidRDefault="00451DF7" w:rsidP="008D54D2">
      <w:pPr>
        <w:pStyle w:val="MDPI16affiliation"/>
      </w:pPr>
      <w:r w:rsidRPr="00BA66F3">
        <w:rPr>
          <w:vertAlign w:val="superscript"/>
        </w:rPr>
        <w:t>3</w:t>
      </w:r>
      <w:r w:rsidRPr="00BA66F3">
        <w:tab/>
        <w:t>Bristol Medical School, University of Bristol, Bristol BS8 2PS, UK</w:t>
      </w:r>
      <w:r w:rsidR="008D54D2" w:rsidRPr="00BA66F3">
        <w:t>; jo.kesten@bristol.ac.uk</w:t>
      </w:r>
    </w:p>
    <w:p w14:paraId="00E571A9" w14:textId="77777777" w:rsidR="00451DF7" w:rsidRPr="00BA66F3" w:rsidRDefault="00451DF7" w:rsidP="008D54D2">
      <w:pPr>
        <w:pStyle w:val="MDPI16affiliation"/>
      </w:pPr>
      <w:r w:rsidRPr="00BA66F3">
        <w:rPr>
          <w:vertAlign w:val="superscript"/>
        </w:rPr>
        <w:t>4</w:t>
      </w:r>
      <w:r w:rsidRPr="00BA66F3">
        <w:tab/>
        <w:t>The National Institute for Health Research Health Protection Research Unit in Evaluation of Interventions, Bristol Medical School, University of Bristol, Bristol BS8 2PS, UK</w:t>
      </w:r>
    </w:p>
    <w:p w14:paraId="7D460901" w14:textId="77777777" w:rsidR="00451DF7" w:rsidRPr="00BA66F3" w:rsidRDefault="00451DF7" w:rsidP="008D54D2">
      <w:pPr>
        <w:pStyle w:val="MDPI16affiliation"/>
      </w:pPr>
      <w:r w:rsidRPr="00BA66F3">
        <w:rPr>
          <w:vertAlign w:val="superscript"/>
        </w:rPr>
        <w:t>5</w:t>
      </w:r>
      <w:r w:rsidRPr="00BA66F3">
        <w:tab/>
        <w:t xml:space="preserve">The National Institute for Health Research Collaboration for Leadership in Applied Health Research </w:t>
      </w:r>
      <w:r w:rsidR="008D54D2" w:rsidRPr="00BA66F3">
        <w:br/>
      </w:r>
      <w:r w:rsidRPr="00BA66F3">
        <w:t xml:space="preserve">and Care West (NIHR CLAHRC West), University Hospitals Bristol NHS Foundation Trust, </w:t>
      </w:r>
      <w:r w:rsidR="008D54D2" w:rsidRPr="00BA66F3">
        <w:br/>
      </w:r>
      <w:r w:rsidRPr="00BA66F3">
        <w:t>Bristol BS1 2NT, UK</w:t>
      </w:r>
    </w:p>
    <w:p w14:paraId="02D45671" w14:textId="77777777" w:rsidR="00451DF7" w:rsidRPr="00BA66F3" w:rsidRDefault="00451DF7" w:rsidP="008D54D2">
      <w:pPr>
        <w:pStyle w:val="MDPI16affiliation"/>
      </w:pPr>
      <w:r w:rsidRPr="00BA66F3">
        <w:rPr>
          <w:vertAlign w:val="superscript"/>
        </w:rPr>
        <w:t>6</w:t>
      </w:r>
      <w:r w:rsidRPr="00BA66F3">
        <w:tab/>
        <w:t xml:space="preserve">Department of Psychology, McGill University, Montreal, </w:t>
      </w:r>
      <w:r w:rsidR="008D54D2" w:rsidRPr="00BA66F3">
        <w:t xml:space="preserve">QC </w:t>
      </w:r>
      <w:r w:rsidRPr="00BA66F3">
        <w:t xml:space="preserve">H3A 1A2, Canada; </w:t>
      </w:r>
      <w:r w:rsidRPr="00BA66F3">
        <w:rPr>
          <w:szCs w:val="20"/>
        </w:rPr>
        <w:t>gilla.shapiro@mail.mcgill.ca</w:t>
      </w:r>
    </w:p>
    <w:p w14:paraId="2704DB6F" w14:textId="77777777" w:rsidR="00451DF7" w:rsidRPr="00BA66F3" w:rsidRDefault="00451DF7" w:rsidP="008D54D2">
      <w:pPr>
        <w:pStyle w:val="MDPI16affiliation"/>
      </w:pPr>
      <w:r w:rsidRPr="00BA66F3">
        <w:rPr>
          <w:vertAlign w:val="superscript"/>
        </w:rPr>
        <w:t>7</w:t>
      </w:r>
      <w:r w:rsidRPr="00BA66F3">
        <w:tab/>
        <w:t xml:space="preserve">Department of Psychology, University of Southampton, Southampton SO17 1BJ, UK; </w:t>
      </w:r>
      <w:r w:rsidRPr="00BA66F3">
        <w:rPr>
          <w:szCs w:val="20"/>
        </w:rPr>
        <w:t>t.nadarzynski@soton.ac.uk</w:t>
      </w:r>
    </w:p>
    <w:p w14:paraId="0062F584" w14:textId="6B746864" w:rsidR="00451DF7" w:rsidRPr="00BA66F3" w:rsidRDefault="00451DF7" w:rsidP="008D54D2">
      <w:pPr>
        <w:pStyle w:val="MDPI16affiliation"/>
      </w:pPr>
      <w:r w:rsidRPr="00BA66F3">
        <w:rPr>
          <w:vertAlign w:val="superscript"/>
        </w:rPr>
        <w:t>8</w:t>
      </w:r>
      <w:r w:rsidRPr="00BA66F3">
        <w:tab/>
        <w:t xml:space="preserve">School of Nursing and Midwifery, Queens University, Belfast BT7 1NN, UK; </w:t>
      </w:r>
      <w:r w:rsidRPr="00BA66F3">
        <w:rPr>
          <w:szCs w:val="20"/>
        </w:rPr>
        <w:t>g.prue@qub.ac.uk</w:t>
      </w:r>
    </w:p>
    <w:p w14:paraId="6F71784E" w14:textId="77777777" w:rsidR="00451DF7" w:rsidRPr="00BA66F3" w:rsidRDefault="00451DF7" w:rsidP="008D54D2">
      <w:pPr>
        <w:pStyle w:val="Mdeck2authorcorrespondence"/>
        <w:rPr>
          <w:sz w:val="18"/>
        </w:rPr>
      </w:pPr>
      <w:r w:rsidRPr="00BA66F3">
        <w:rPr>
          <w:b/>
          <w:sz w:val="18"/>
        </w:rPr>
        <w:t>*</w:t>
      </w:r>
      <w:r w:rsidRPr="00BA66F3">
        <w:rPr>
          <w:sz w:val="18"/>
        </w:rPr>
        <w:tab/>
        <w:t>Correspondence: sam.merriel@bristol.ac.uk; Tel.: +44</w:t>
      </w:r>
      <w:r w:rsidR="008D54D2" w:rsidRPr="00BA66F3">
        <w:rPr>
          <w:sz w:val="18"/>
        </w:rPr>
        <w:t>-</w:t>
      </w:r>
      <w:r w:rsidRPr="00BA66F3">
        <w:rPr>
          <w:sz w:val="18"/>
        </w:rPr>
        <w:t>0117</w:t>
      </w:r>
      <w:r w:rsidR="008D54D2" w:rsidRPr="00BA66F3">
        <w:rPr>
          <w:sz w:val="18"/>
        </w:rPr>
        <w:t>-</w:t>
      </w:r>
      <w:r w:rsidRPr="00BA66F3">
        <w:rPr>
          <w:sz w:val="18"/>
        </w:rPr>
        <w:t>331</w:t>
      </w:r>
      <w:r w:rsidR="008D54D2" w:rsidRPr="00BA66F3">
        <w:rPr>
          <w:sz w:val="18"/>
        </w:rPr>
        <w:t>-</w:t>
      </w:r>
      <w:r w:rsidRPr="00BA66F3">
        <w:rPr>
          <w:sz w:val="18"/>
        </w:rPr>
        <w:t>4543</w:t>
      </w:r>
    </w:p>
    <w:p w14:paraId="69BDC3B7" w14:textId="7D4095E9" w:rsidR="00451DF7" w:rsidRPr="00BA66F3" w:rsidRDefault="00451DF7" w:rsidP="008D54D2">
      <w:pPr>
        <w:pStyle w:val="MDPI17abstract"/>
      </w:pPr>
      <w:r w:rsidRPr="00BA66F3">
        <w:rPr>
          <w:b/>
        </w:rPr>
        <w:t xml:space="preserve">Abstract: </w:t>
      </w:r>
      <w:r w:rsidRPr="00BA66F3">
        <w:t xml:space="preserve">Men who have sex with men (MSM) may be at higher risk for human papillomavirus (HPV)-associated cancers. Healthcare professionals’ recommendations can affect HPV vaccination uptake. Since 2016, MSM up to 45 years have been offered HPV vaccination at </w:t>
      </w:r>
      <w:r w:rsidR="00BD3765" w:rsidRPr="00BA66F3">
        <w:t xml:space="preserve">genitourinary medicine </w:t>
      </w:r>
      <w:r w:rsidRPr="00BA66F3">
        <w:t xml:space="preserve">(GUM) clinics in a pilot </w:t>
      </w:r>
      <w:proofErr w:type="spellStart"/>
      <w:r w:rsidRPr="00BA66F3">
        <w:t>programme</w:t>
      </w:r>
      <w:proofErr w:type="spellEnd"/>
      <w:r w:rsidRPr="00BA66F3">
        <w:t>, and primary care was recommended as a setting for opportunistic vaccination. Vaccination prior to potential exposure to the virus (</w:t>
      </w:r>
      <w:r w:rsidR="00C77758" w:rsidRPr="00BA66F3">
        <w:t xml:space="preserve">i.e. </w:t>
      </w:r>
      <w:r w:rsidRPr="00BA66F3">
        <w:t>sexual debut) is likely to be most efficacious</w:t>
      </w:r>
      <w:r w:rsidR="00BD3765" w:rsidRPr="00BA66F3">
        <w:t>,</w:t>
      </w:r>
      <w:r w:rsidRPr="00BA66F3">
        <w:t xml:space="preserve"> therefore a focus on young MSM (YMSM) is important. This study aimed to explore and compare the knowledge and attitudes </w:t>
      </w:r>
      <w:r w:rsidRPr="00BA66F3">
        <w:rPr>
          <w:color w:val="auto"/>
        </w:rPr>
        <w:t xml:space="preserve">of UK </w:t>
      </w:r>
      <w:r w:rsidR="00207822" w:rsidRPr="00BA66F3">
        <w:rPr>
          <w:color w:val="auto"/>
        </w:rPr>
        <w:t>General Practitioners</w:t>
      </w:r>
      <w:r w:rsidR="006F2777" w:rsidRPr="00BA66F3">
        <w:rPr>
          <w:color w:val="auto"/>
        </w:rPr>
        <w:t xml:space="preserve"> (GPs)</w:t>
      </w:r>
      <w:r w:rsidRPr="00BA66F3">
        <w:rPr>
          <w:color w:val="auto"/>
        </w:rPr>
        <w:t xml:space="preserve"> and </w:t>
      </w:r>
      <w:r w:rsidRPr="00BA66F3">
        <w:t>sexual healthcare professionals (SHCPs) regarding HPV vaccination for YMSM (age 16</w:t>
      </w:r>
      <w:r w:rsidR="00C77758" w:rsidRPr="00BA66F3">
        <w:t>–</w:t>
      </w:r>
      <w:r w:rsidRPr="00BA66F3">
        <w:t xml:space="preserve">24). A </w:t>
      </w:r>
      <w:r w:rsidR="00207822" w:rsidRPr="00BA66F3">
        <w:br/>
      </w:r>
      <w:r w:rsidRPr="00BA66F3">
        <w:t>cross-sectional study using an online questionnaire examined 38</w:t>
      </w:r>
      <w:r w:rsidRPr="00BA66F3" w:rsidDel="008B0CC2">
        <w:t xml:space="preserve"> </w:t>
      </w:r>
      <w:r w:rsidRPr="00BA66F3">
        <w:t xml:space="preserve">GPs and 49 SHCPs, including 59 (67.82%) females with a mean age of 40.71 years. </w:t>
      </w:r>
      <w:r w:rsidR="00BD3765" w:rsidRPr="00BA66F3">
        <w:t>Twenty-</w:t>
      </w:r>
      <w:r w:rsidRPr="00BA66F3">
        <w:t>two participants (</w:t>
      </w:r>
      <w:r w:rsidR="00BD3765" w:rsidRPr="00BA66F3">
        <w:t xml:space="preserve">20 </w:t>
      </w:r>
      <w:r w:rsidRPr="00BA66F3">
        <w:t xml:space="preserve">SHCPs, </w:t>
      </w:r>
      <w:r w:rsidRPr="00BA66F3">
        <w:rPr>
          <w:i/>
        </w:rPr>
        <w:t>p</w:t>
      </w:r>
      <w:r w:rsidR="00C77758" w:rsidRPr="00BA66F3">
        <w:rPr>
          <w:i/>
        </w:rPr>
        <w:t xml:space="preserve"> </w:t>
      </w:r>
      <w:r w:rsidRPr="00BA66F3">
        <w:t>&lt;</w:t>
      </w:r>
      <w:r w:rsidR="00C77758" w:rsidRPr="00BA66F3">
        <w:t xml:space="preserve"> </w:t>
      </w:r>
      <w:r w:rsidRPr="00BA66F3">
        <w:t>0.001) had vaccina</w:t>
      </w:r>
      <w:r w:rsidRPr="00BA66F3">
        <w:rPr>
          <w:color w:val="auto"/>
        </w:rPr>
        <w:t>ted a YMSM patient against HPV. GPs lack of time (25/38</w:t>
      </w:r>
      <w:r w:rsidR="004D381D" w:rsidRPr="00BA66F3">
        <w:rPr>
          <w:color w:val="auto"/>
        </w:rPr>
        <w:t xml:space="preserve">, </w:t>
      </w:r>
      <w:r w:rsidRPr="00BA66F3">
        <w:rPr>
          <w:color w:val="auto"/>
        </w:rPr>
        <w:t>65.79%) and SHCP staff availability (27/49</w:t>
      </w:r>
      <w:r w:rsidR="004D381D" w:rsidRPr="00BA66F3">
        <w:rPr>
          <w:color w:val="auto"/>
        </w:rPr>
        <w:t xml:space="preserve">, </w:t>
      </w:r>
      <w:r w:rsidRPr="00BA66F3">
        <w:rPr>
          <w:color w:val="auto"/>
        </w:rPr>
        <w:t xml:space="preserve">55.10%) were the main reported factors preventing YMSM HPV vaccination. GPs were less likely than </w:t>
      </w:r>
      <w:r w:rsidRPr="00BA66F3">
        <w:rPr>
          <w:color w:val="auto"/>
          <w:spacing w:val="-2"/>
        </w:rPr>
        <w:t>SHCPs to believe there was sufficient evidence for vaccinating YMSM (OR</w:t>
      </w:r>
      <w:r w:rsidR="00C77758" w:rsidRPr="00BA66F3">
        <w:rPr>
          <w:color w:val="auto"/>
          <w:spacing w:val="-2"/>
        </w:rPr>
        <w:t xml:space="preserve"> </w:t>
      </w:r>
      <w:r w:rsidRPr="00BA66F3">
        <w:rPr>
          <w:color w:val="auto"/>
          <w:spacing w:val="-2"/>
        </w:rPr>
        <w:t>=</w:t>
      </w:r>
      <w:r w:rsidR="00C77758" w:rsidRPr="00BA66F3">
        <w:rPr>
          <w:color w:val="auto"/>
          <w:spacing w:val="-2"/>
        </w:rPr>
        <w:t xml:space="preserve"> </w:t>
      </w:r>
      <w:r w:rsidRPr="00BA66F3">
        <w:rPr>
          <w:color w:val="auto"/>
          <w:spacing w:val="-2"/>
        </w:rPr>
        <w:t>0.02</w:t>
      </w:r>
      <w:r w:rsidR="00FA7091" w:rsidRPr="00BA66F3">
        <w:rPr>
          <w:color w:val="auto"/>
          <w:spacing w:val="-2"/>
        </w:rPr>
        <w:t>,</w:t>
      </w:r>
      <w:r w:rsidRPr="00BA66F3">
        <w:rPr>
          <w:color w:val="auto"/>
          <w:spacing w:val="-2"/>
        </w:rPr>
        <w:t xml:space="preserve"> 95%</w:t>
      </w:r>
      <w:r w:rsidR="00FA7091" w:rsidRPr="00BA66F3">
        <w:rPr>
          <w:color w:val="auto"/>
          <w:spacing w:val="-2"/>
        </w:rPr>
        <w:t xml:space="preserve"> </w:t>
      </w:r>
      <w:r w:rsidRPr="00BA66F3">
        <w:rPr>
          <w:color w:val="auto"/>
          <w:spacing w:val="-2"/>
        </w:rPr>
        <w:t>CI</w:t>
      </w:r>
      <w:r w:rsidR="00C77758" w:rsidRPr="00BA66F3">
        <w:rPr>
          <w:color w:val="auto"/>
          <w:spacing w:val="-2"/>
        </w:rPr>
        <w:t xml:space="preserve"> = </w:t>
      </w:r>
      <w:r w:rsidRPr="00BA66F3">
        <w:rPr>
          <w:color w:val="auto"/>
          <w:spacing w:val="-2"/>
        </w:rPr>
        <w:t>0.01,</w:t>
      </w:r>
      <w:r w:rsidR="00C77758" w:rsidRPr="00BA66F3">
        <w:rPr>
          <w:color w:val="auto"/>
          <w:spacing w:val="-2"/>
        </w:rPr>
        <w:t xml:space="preserve"> </w:t>
      </w:r>
      <w:r w:rsidRPr="00BA66F3">
        <w:rPr>
          <w:color w:val="auto"/>
          <w:spacing w:val="-2"/>
        </w:rPr>
        <w:t>0.47);</w:t>
      </w:r>
      <w:r w:rsidRPr="00BA66F3">
        <w:rPr>
          <w:color w:val="auto"/>
        </w:rPr>
        <w:t xml:space="preserve"> less likely to have skills to identify YMSM who may benefit from vaccination (OR</w:t>
      </w:r>
      <w:r w:rsidR="00C77758" w:rsidRPr="00BA66F3">
        <w:rPr>
          <w:color w:val="auto"/>
        </w:rPr>
        <w:t xml:space="preserve"> = </w:t>
      </w:r>
      <w:r w:rsidRPr="00BA66F3">
        <w:rPr>
          <w:color w:val="auto"/>
        </w:rPr>
        <w:t>0.03</w:t>
      </w:r>
      <w:r w:rsidR="00FA7091" w:rsidRPr="00BA66F3">
        <w:rPr>
          <w:color w:val="auto"/>
        </w:rPr>
        <w:t xml:space="preserve">, </w:t>
      </w:r>
      <w:r w:rsidRPr="00BA66F3">
        <w:rPr>
          <w:color w:val="auto"/>
        </w:rPr>
        <w:t>95%</w:t>
      </w:r>
      <w:r w:rsidR="00207822" w:rsidRPr="00BA66F3">
        <w:rPr>
          <w:color w:val="auto"/>
        </w:rPr>
        <w:t xml:space="preserve"> </w:t>
      </w:r>
      <w:r w:rsidRPr="00BA66F3">
        <w:rPr>
          <w:color w:val="auto"/>
          <w:spacing w:val="-2"/>
        </w:rPr>
        <w:t>CI</w:t>
      </w:r>
      <w:r w:rsidR="00C77758" w:rsidRPr="00BA66F3">
        <w:rPr>
          <w:color w:val="auto"/>
          <w:spacing w:val="-2"/>
        </w:rPr>
        <w:t xml:space="preserve"> = </w:t>
      </w:r>
      <w:r w:rsidRPr="00BA66F3">
        <w:rPr>
          <w:color w:val="auto"/>
          <w:spacing w:val="-2"/>
        </w:rPr>
        <w:t>0.01,</w:t>
      </w:r>
      <w:r w:rsidR="00C77758" w:rsidRPr="00BA66F3">
        <w:rPr>
          <w:color w:val="auto"/>
          <w:spacing w:val="-2"/>
        </w:rPr>
        <w:t xml:space="preserve"> </w:t>
      </w:r>
      <w:r w:rsidRPr="00BA66F3">
        <w:rPr>
          <w:color w:val="auto"/>
          <w:spacing w:val="-2"/>
        </w:rPr>
        <w:t>0.15); and less confident recommending YMSM vaccination (OR</w:t>
      </w:r>
      <w:r w:rsidR="00C77758" w:rsidRPr="00BA66F3">
        <w:rPr>
          <w:color w:val="auto"/>
          <w:spacing w:val="-2"/>
        </w:rPr>
        <w:t xml:space="preserve"> = </w:t>
      </w:r>
      <w:r w:rsidRPr="00BA66F3">
        <w:rPr>
          <w:color w:val="auto"/>
          <w:spacing w:val="-2"/>
        </w:rPr>
        <w:t>0.01</w:t>
      </w:r>
      <w:r w:rsidR="00FA7091" w:rsidRPr="00BA66F3">
        <w:rPr>
          <w:color w:val="auto"/>
          <w:spacing w:val="-2"/>
        </w:rPr>
        <w:t xml:space="preserve">, </w:t>
      </w:r>
      <w:r w:rsidR="00207822" w:rsidRPr="00BA66F3">
        <w:rPr>
          <w:color w:val="FF0000"/>
          <w:spacing w:val="-2"/>
        </w:rPr>
        <w:br/>
      </w:r>
      <w:r w:rsidRPr="00BA66F3">
        <w:rPr>
          <w:spacing w:val="-2"/>
        </w:rPr>
        <w:t>95%</w:t>
      </w:r>
      <w:r w:rsidR="00207822" w:rsidRPr="00BA66F3">
        <w:rPr>
          <w:spacing w:val="-2"/>
        </w:rPr>
        <w:t xml:space="preserve"> </w:t>
      </w:r>
      <w:r w:rsidRPr="00BA66F3">
        <w:rPr>
          <w:spacing w:val="-2"/>
        </w:rPr>
        <w:t>CI</w:t>
      </w:r>
      <w:r w:rsidR="00C77758" w:rsidRPr="00BA66F3">
        <w:rPr>
          <w:spacing w:val="-2"/>
        </w:rPr>
        <w:t xml:space="preserve"> = </w:t>
      </w:r>
      <w:r w:rsidRPr="00BA66F3">
        <w:rPr>
          <w:spacing w:val="-2"/>
        </w:rPr>
        <w:t>0.00,</w:t>
      </w:r>
      <w:r w:rsidR="00C77758" w:rsidRPr="00BA66F3">
        <w:rPr>
          <w:spacing w:val="-2"/>
        </w:rPr>
        <w:t xml:space="preserve"> </w:t>
      </w:r>
      <w:r w:rsidRPr="00BA66F3">
        <w:rPr>
          <w:spacing w:val="-2"/>
        </w:rPr>
        <w:t>0.01).</w:t>
      </w:r>
      <w:r w:rsidRPr="00BA66F3">
        <w:rPr>
          <w:i/>
        </w:rPr>
        <w:t xml:space="preserve"> </w:t>
      </w:r>
      <w:r w:rsidRPr="00BA66F3">
        <w:t>GPs appear to have different knowledge, attitudes, and skills regarding YMSM HPV vaccination when compared to SHCPs.</w:t>
      </w:r>
      <w:r w:rsidR="004D381D" w:rsidRPr="00BA66F3">
        <w:t xml:space="preserve"> </w:t>
      </w:r>
      <w:r w:rsidR="00207822" w:rsidRPr="00BA66F3">
        <w:rPr>
          <w:rFonts w:eastAsia="SimSun" w:cs="SimSun"/>
          <w:lang w:eastAsia="zh-CN"/>
        </w:rPr>
        <w:t>(Please confirm the explanation we added.)</w:t>
      </w:r>
    </w:p>
    <w:p w14:paraId="300A25B6" w14:textId="6943ABB0" w:rsidR="00451DF7" w:rsidRPr="00BA66F3" w:rsidRDefault="008D54D2" w:rsidP="008D54D2">
      <w:pPr>
        <w:pStyle w:val="MDPI18keywords"/>
      </w:pPr>
      <w:r w:rsidRPr="00BA66F3">
        <w:rPr>
          <w:b/>
        </w:rPr>
        <w:t>Keywords:</w:t>
      </w:r>
      <w:r w:rsidR="00451DF7" w:rsidRPr="00BA66F3">
        <w:rPr>
          <w:b/>
        </w:rPr>
        <w:t xml:space="preserve"> </w:t>
      </w:r>
      <w:r w:rsidR="00C77758" w:rsidRPr="00BA66F3">
        <w:t xml:space="preserve">vaccine </w:t>
      </w:r>
      <w:r w:rsidR="00451DF7" w:rsidRPr="00BA66F3">
        <w:t>uptake; vaccine communication; sexual minorities; papillomaviruses</w:t>
      </w:r>
    </w:p>
    <w:p w14:paraId="105595FB" w14:textId="77777777" w:rsidR="00451DF7" w:rsidRPr="00BA66F3" w:rsidRDefault="00451DF7" w:rsidP="008D54D2">
      <w:pPr>
        <w:pStyle w:val="MDPI19line"/>
        <w:pBdr>
          <w:bottom w:val="single" w:sz="4" w:space="1" w:color="auto"/>
        </w:pBdr>
        <w:spacing w:after="480"/>
      </w:pPr>
    </w:p>
    <w:p w14:paraId="289C2E47" w14:textId="77777777" w:rsidR="00BA2132" w:rsidRPr="00BA66F3" w:rsidRDefault="00BA2132">
      <w:pPr>
        <w:spacing w:line="240" w:lineRule="auto"/>
        <w:jc w:val="left"/>
        <w:rPr>
          <w:rFonts w:ascii="Palatino Linotype" w:hAnsi="Palatino Linotype"/>
          <w:b/>
          <w:snapToGrid w:val="0"/>
          <w:sz w:val="20"/>
          <w:szCs w:val="22"/>
          <w:lang w:eastAsia="zh-CN" w:bidi="en-US"/>
        </w:rPr>
      </w:pPr>
      <w:r w:rsidRPr="00BA66F3">
        <w:rPr>
          <w:lang w:eastAsia="zh-CN"/>
        </w:rPr>
        <w:br w:type="page"/>
      </w:r>
    </w:p>
    <w:p w14:paraId="3E677003" w14:textId="7D39AC84" w:rsidR="00451DF7" w:rsidRPr="00BA66F3" w:rsidRDefault="00451DF7" w:rsidP="008D54D2">
      <w:pPr>
        <w:pStyle w:val="MDPI21heading1"/>
      </w:pPr>
      <w:r w:rsidRPr="00BA66F3">
        <w:rPr>
          <w:lang w:eastAsia="zh-CN"/>
        </w:rPr>
        <w:lastRenderedPageBreak/>
        <w:t xml:space="preserve">1. </w:t>
      </w:r>
      <w:r w:rsidRPr="00BA66F3">
        <w:t>Introduction</w:t>
      </w:r>
    </w:p>
    <w:p w14:paraId="2140F4EA" w14:textId="5ADAC902" w:rsidR="00451DF7" w:rsidRPr="00BA66F3" w:rsidRDefault="00451DF7" w:rsidP="008D54D2">
      <w:pPr>
        <w:pStyle w:val="MDPI31text"/>
      </w:pPr>
      <w:r w:rsidRPr="00BA66F3">
        <w:rPr>
          <w:spacing w:val="-2"/>
        </w:rPr>
        <w:t xml:space="preserve">Human papillomavirus (HPV) vaccination of young men who have sex with men (YMSM) (age </w:t>
      </w:r>
      <w:r w:rsidR="007F786E" w:rsidRPr="00BA66F3">
        <w:rPr>
          <w:spacing w:val="-2"/>
        </w:rPr>
        <w:t>16–24</w:t>
      </w:r>
      <w:r w:rsidRPr="00BA66F3">
        <w:rPr>
          <w:spacing w:val="-2"/>
        </w:rPr>
        <w:t>)</w:t>
      </w:r>
      <w:r w:rsidRPr="00BA66F3">
        <w:t xml:space="preserve"> potentially has important implications for cancer prevention worldwide. HPV is one of the most common sexually transmitted infections</w:t>
      </w:r>
      <w:r w:rsidR="007F786E" w:rsidRPr="00BA66F3">
        <w:rPr>
          <w:b/>
        </w:rPr>
        <w:t xml:space="preserve"> </w:t>
      </w:r>
      <w:r w:rsidRPr="00BA66F3">
        <w:rPr>
          <w:b/>
        </w:rPr>
        <w:fldChar w:fldCharType="begin"/>
      </w:r>
      <w:r w:rsidR="00FB020F" w:rsidRPr="00BA66F3">
        <w:instrText xml:space="preserve"> ADDIN PAPERS2_CITATIONS &lt;citation&gt;&lt;priority&gt;0&lt;/priority&gt;&lt;uuid&gt;7BF282FC-6275-42DE-97CB-8810A83E04D3&lt;/uuid&gt;&lt;publications&gt;&lt;publication&gt;&lt;subtype&gt;400&lt;/subtype&gt;&lt;publisher&gt;Elsevier Ltd&lt;/publisher&gt;&lt;title&gt;Global Burden of Human Papillomavirus and Related Diseases&lt;/title&gt;&lt;url&gt;http://dx.doi.org/10.1016/j.vaccine.2012.07.055&lt;/url&gt;&lt;volume&gt;30&lt;/volume&gt;&lt;publication_date&gt;99201211201200000000222000&lt;/publication_date&gt;&lt;uuid&gt;481FB916-BD68-4E01-BAF3-49910194DD0D&lt;/uuid&gt;&lt;type&gt;400&lt;/type&gt;&lt;citekey&gt;Forman:2012ef&lt;/citekey&gt;&lt;doi&gt;10.1016/j.vaccine.2012.07.055&lt;/doi&gt;&lt;startpage&gt;F12&lt;/startpage&gt;&lt;endpage&gt;F23&lt;/endpage&gt;&lt;bundle&gt;&lt;publication&gt;&lt;title&gt;Vaccine&lt;/title&gt;&lt;uuid&gt;C03EC74C-C7EB-4B54-AF8E-2C394CCDD9D5&lt;/uuid&gt;&lt;subtype&gt;-100&lt;/subtype&gt;&lt;publisher&gt;Elsevier Ltd&lt;/publisher&gt;&lt;type&gt;-100&lt;/type&gt;&lt;/publication&gt;&lt;/bundle&gt;&lt;authors&gt;&lt;author&gt;&lt;lastName&gt;Forman&lt;/lastName&gt;&lt;firstName&gt;David&lt;/firstName&gt;&lt;/author&gt;&lt;author&gt;&lt;lastName&gt;Martel&lt;/lastName&gt;&lt;nonDroppingParticle&gt;de&lt;/nonDroppingParticle&gt;&lt;firstName&gt;Catherine&lt;/firstName&gt;&lt;/author&gt;&lt;author&gt;&lt;lastName&gt;Lacey&lt;/lastName&gt;&lt;firstName&gt;Charles&lt;/firstName&gt;&lt;middleNames&gt;J&lt;/middleNames&gt;&lt;/author&gt;&lt;author&gt;&lt;lastName&gt;Soerjomataram&lt;/lastName&gt;&lt;firstName&gt;Isabelle&lt;/firstName&gt;&lt;/author&gt;&lt;author&gt;&lt;lastName&gt;Lortet-Tieulent&lt;/lastName&gt;&lt;firstName&gt;Joannie&lt;/firstName&gt;&lt;/author&gt;&lt;author&gt;&lt;lastName&gt;Bruni&lt;/lastName&gt;&lt;firstName&gt;Laia&lt;/firstName&gt;&lt;/author&gt;&lt;author&gt;&lt;lastName&gt;Vignat&lt;/lastName&gt;&lt;firstName&gt;Jerome&lt;/firstName&gt;&lt;/author&gt;&lt;author&gt;&lt;lastName&gt;Ferlay&lt;/lastName&gt;&lt;firstName&gt;Jacques&lt;/firstName&gt;&lt;/author&gt;&lt;author&gt;&lt;lastName&gt;Bray&lt;/lastName&gt;&lt;firstName&gt;Freddie&lt;/firstName&gt;&lt;/author&gt;&lt;author&gt;&lt;lastName&gt;Plummer&lt;/lastName&gt;&lt;firstName&gt;Martyn&lt;/firstName&gt;&lt;/author&gt;&lt;author&gt;&lt;lastName&gt;Franceschi&lt;/lastName&gt;&lt;firstName&gt;Silvia&lt;/firstName&gt;&lt;/author&gt;&lt;/authors&gt;&lt;/publication&gt;&lt;/publications&gt;&lt;cites&gt;&lt;/cites&gt;&lt;/citation&gt;</w:instrText>
      </w:r>
      <w:r w:rsidRPr="00BA66F3">
        <w:rPr>
          <w:b/>
        </w:rPr>
        <w:fldChar w:fldCharType="separate"/>
      </w:r>
      <w:r w:rsidRPr="00BA66F3">
        <w:rPr>
          <w:rFonts w:eastAsia="SimSun" w:cs="Helvetica"/>
          <w:color w:val="auto"/>
          <w:lang w:eastAsia="zh-CN"/>
        </w:rPr>
        <w:t>[1]</w:t>
      </w:r>
      <w:r w:rsidRPr="00BA66F3">
        <w:rPr>
          <w:b/>
        </w:rPr>
        <w:fldChar w:fldCharType="end"/>
      </w:r>
      <w:r w:rsidR="007F786E" w:rsidRPr="00BA66F3">
        <w:t>.</w:t>
      </w:r>
      <w:r w:rsidRPr="00BA66F3">
        <w:t xml:space="preserve"> Over 70% of MSM are carriers of HPV</w:t>
      </w:r>
      <w:r w:rsidRPr="00BA66F3" w:rsidDel="0039652A">
        <w:t xml:space="preserve"> </w:t>
      </w:r>
      <w:r w:rsidRPr="00BA66F3">
        <w:rPr>
          <w:b/>
        </w:rPr>
        <w:fldChar w:fldCharType="begin"/>
      </w:r>
      <w:r w:rsidR="00FB020F" w:rsidRPr="00BA66F3">
        <w:instrText xml:space="preserve"> ADDIN PAPERS2_CITATIONS &lt;citation&gt;&lt;priority&gt;1&lt;/priority&gt;&lt;uuid&gt;8C8D5B1E-E4D0-4730-9986-556787C0B7DD&lt;/uuid&gt;&lt;publications&gt;&lt;publication&gt;&lt;subtype&gt;400&lt;/subtype&gt;&lt;publisher&gt;Nature Publishing Group&lt;/publisher&gt;&lt;title&gt;Human papillomavirus DNA in men who have sex with men: type-specific prevalence, risk factors and implications for vaccination strategies&lt;/title&gt;&lt;url&gt;http://dx.doi.org/10.1038/bjc.2015.90&lt;/url&gt;&lt;volume&gt;112&lt;/volume&gt;&lt;publication_date&gt;99201503191200000000222000&lt;/publication_date&gt;&lt;uuid&gt;FDC9487B-DAF4-4980-814C-E79CDD3BC920&lt;/uuid&gt;&lt;type&gt;400&lt;/type&gt;&lt;number&gt;9&lt;/number&gt;&lt;citekey&gt;King:2015fm&lt;/citekey&gt;&lt;doi&gt;10.1038/bjc.2015.90&lt;/doi&gt;&lt;startpage&gt;1585&lt;/startpage&gt;&lt;endpage&gt;1593&lt;/endpage&gt;&lt;bundle&gt;&lt;publication&gt;&lt;title&gt;British Journal of Cancer&lt;/title&gt;&lt;uuid&gt;D9E20D05-A2D4-4C28-A2FF-52DAD63F4639&lt;/uuid&gt;&lt;subtype&gt;-100&lt;/subtype&gt;&lt;publisher&gt;Nature Publishing Group&lt;/publisher&gt;&lt;type&gt;-100&lt;/type&gt;&lt;/publication&gt;&lt;/bundle&gt;&lt;authors&gt;&lt;author&gt;&lt;lastName&gt;King&lt;/lastName&gt;&lt;firstName&gt;E&lt;/firstName&gt;&lt;middleNames&gt;M&lt;/middleNames&gt;&lt;/author&gt;&lt;author&gt;&lt;lastName&gt;Gilson&lt;/lastName&gt;&lt;firstName&gt;R&lt;/firstName&gt;&lt;/author&gt;&lt;author&gt;&lt;lastName&gt;Beddows&lt;/lastName&gt;&lt;firstName&gt;S&lt;/firstName&gt;&lt;/author&gt;&lt;author&gt;&lt;lastName&gt;Soldan&lt;/lastName&gt;&lt;firstName&gt;K&lt;/firstName&gt;&lt;/author&gt;&lt;author&gt;&lt;lastName&gt;Panwar&lt;/lastName&gt;&lt;firstName&gt;K&lt;/firstName&gt;&lt;/author&gt;&lt;author&gt;&lt;lastName&gt;Young&lt;/lastName&gt;&lt;firstName&gt;C&lt;/firstName&gt;&lt;/author&gt;&lt;author&gt;&lt;lastName&gt;Prah&lt;/lastName&gt;&lt;firstName&gt;P&lt;/firstName&gt;&lt;/author&gt;&lt;author&gt;&lt;lastName&gt;Jit&lt;/lastName&gt;&lt;firstName&gt;M&lt;/firstName&gt;&lt;/author&gt;&lt;author&gt;&lt;lastName&gt;Edmunds&lt;/lastName&gt;&lt;firstName&gt;W&lt;/firstName&gt;&lt;middleNames&gt;J&lt;/middleNames&gt;&lt;/author&gt;&lt;author&gt;&lt;lastName&gt;Sonnenberg&lt;/lastName&gt;&lt;firstName&gt;P&lt;/firstName&gt;&lt;/author&gt;&lt;/authors&gt;&lt;/publication&gt;&lt;publication&gt;&lt;subtype&gt;400&lt;/subtype&gt;&lt;title&gt;Anal human papillomavirus infection and associated lesions in men who have sex with men: a systematic review and meta-analysis&lt;/title&gt;&lt;volume&gt;13&lt;/volume&gt;&lt;publication_date&gt;99201203231200000000222000&lt;/publication_date&gt;&lt;uuid&gt;7DFEE053-29C5-4C1F-AA0F-82A34DFAF337&lt;/uuid&gt;&lt;type&gt;400&lt;/type&gt;&lt;number&gt;5&lt;/number&gt;&lt;startpage&gt;487&lt;/startpage&gt;&lt;endpage&gt;500&lt;/endpage&gt;&lt;bundle&gt;&lt;publication&gt;&lt;title&gt;The Lancet Oncology&lt;/title&gt;&lt;uuid&gt;632B58BF-262D-408E-9F7A-69D0A1C43211&lt;/uuid&gt;&lt;subtype&gt;-100&lt;/subtype&gt;&lt;type&gt;-100&lt;/type&gt;&lt;/publication&gt;&lt;/bundle&gt;&lt;authors&gt;&lt;author&gt;&lt;lastName&gt;Machalek&lt;/lastName&gt;&lt;firstName&gt;D&lt;/firstName&gt;&lt;middleNames&gt;A&lt;/middleNames&gt;&lt;/author&gt;&lt;author&gt;&lt;lastName&gt;Poynten&lt;/lastName&gt;&lt;firstName&gt;M&lt;/firstName&gt;&lt;/author&gt;&lt;author&gt;&lt;lastName&gt;Jin&lt;/lastName&gt;&lt;firstName&gt;F&lt;/firstName&gt;&lt;/author&gt;&lt;author&gt;&lt;lastName&gt;Fairley&lt;/lastName&gt;&lt;firstName&gt;Christopher&lt;/firstName&gt;&lt;middleNames&gt;K&lt;/middleNames&gt;&lt;/author&gt;&lt;author&gt;&lt;lastName&gt;Farnsworth&lt;/lastName&gt;&lt;firstName&gt;A&lt;/firstName&gt;&lt;/author&gt;&lt;author&gt;&lt;lastName&gt;Garland&lt;/lastName&gt;&lt;firstName&gt;S&lt;/firstName&gt;&lt;middleNames&gt;M&lt;/middleNames&gt;&lt;/author&gt;&lt;author&gt;&lt;lastName&gt;Hillman&lt;/lastName&gt;&lt;firstName&gt;R&lt;/firstName&gt;&lt;middleNames&gt;J&lt;/middleNames&gt;&lt;/author&gt;&lt;author&gt;&lt;lastName&gt;Petoumenos&lt;/lastName&gt;&lt;firstName&gt;K&lt;/firstName&gt;&lt;/author&gt;&lt;author&gt;&lt;lastName&gt;Roberts&lt;/lastName&gt;&lt;firstName&gt;J&lt;/firstName&gt;&lt;/author&gt;&lt;author&gt;&lt;lastName&gt;Tabrizi&lt;/lastName&gt;&lt;firstName&gt;S&lt;/firstName&gt;&lt;middleNames&gt;N&lt;/middleNames&gt;&lt;/author&gt;&lt;author&gt;&lt;lastName&gt;Templeton&lt;/lastName&gt;&lt;firstName&gt;D&lt;/firstName&gt;&lt;middleNames&gt;J&lt;/middleNames&gt;&lt;/author&gt;&lt;author&gt;&lt;lastName&gt;Drulich&lt;/lastName&gt;&lt;firstName&gt;A&lt;/firstName&gt;&lt;middleNames&gt;E&lt;/middleNames&gt;&lt;/author&gt;&lt;/authors&gt;&lt;/publication&gt;&lt;/publications&gt;&lt;cites&gt;&lt;/cites&gt;&lt;/citation&gt;</w:instrText>
      </w:r>
      <w:r w:rsidRPr="00BA66F3">
        <w:rPr>
          <w:b/>
        </w:rPr>
        <w:fldChar w:fldCharType="separate"/>
      </w:r>
      <w:r w:rsidRPr="00BA66F3">
        <w:rPr>
          <w:rFonts w:eastAsia="SimSun" w:cs="Helvetica"/>
          <w:color w:val="auto"/>
          <w:szCs w:val="24"/>
          <w:lang w:eastAsia="zh-CN"/>
        </w:rPr>
        <w:t>[2,3]</w:t>
      </w:r>
      <w:r w:rsidRPr="00BA66F3">
        <w:rPr>
          <w:b/>
        </w:rPr>
        <w:fldChar w:fldCharType="end"/>
      </w:r>
      <w:r w:rsidR="007F786E" w:rsidRPr="00BA66F3">
        <w:t>.</w:t>
      </w:r>
      <w:r w:rsidRPr="00BA66F3">
        <w:t xml:space="preserve"> HPV infection is associated with other anogenital and oropharyngeal cancers</w:t>
      </w:r>
      <w:r w:rsidR="00BD3765" w:rsidRPr="00BA66F3">
        <w:t xml:space="preserve"> </w:t>
      </w:r>
      <w:r w:rsidRPr="00BA66F3">
        <w:rPr>
          <w:b/>
        </w:rPr>
        <w:fldChar w:fldCharType="begin"/>
      </w:r>
      <w:r w:rsidR="00FB020F" w:rsidRPr="00BA66F3">
        <w:instrText xml:space="preserve"> ADDIN PAPERS2_CITATIONS &lt;citation&gt;&lt;priority&gt;0&lt;/priority&gt;&lt;uuid&gt;3FF084C3-1ABB-4A96-B51F-B9F6A8026F2F&lt;/uuid&gt;&lt;publications&gt;&lt;publication&gt;&lt;subtype&gt;400&lt;/subtype&gt;&lt;publisher&gt;Elsevier Ltd&lt;/publisher&gt;&lt;title&gt;Acceptability of Human Papillomavirus Vaccine for Males: A Review of the Literature&lt;/title&gt;&lt;url&gt;http://dx.doi.org/10.1016/j.jadohealth.2009.11.199&lt;/url&gt;&lt;volume&gt;46&lt;/volume&gt;&lt;publication_date&gt;99201002011200000000222000&lt;/publication_date&gt;&lt;uuid&gt;5994C37E-5A62-453B-BDA6-E0D191B6A2D5&lt;/uuid&gt;&lt;type&gt;400&lt;/type&gt;&lt;number&gt;2&lt;/number&gt;&lt;citekey&gt;D:2010cy&lt;/citekey&gt;&lt;doi&gt;10.1016/j.jadohealth.2009.11.199&lt;/doi&gt;&lt;startpage&gt;113&lt;/startpage&gt;&lt;endpage&gt;123&lt;/endpage&gt;&lt;bundle&gt;&lt;publication&gt;&lt;title&gt;Journal of Adolescent Health&lt;/title&gt;&lt;uuid&gt;21906ED8-84A8-4936-B414-DA9E82C2D73A&lt;/uuid&gt;&lt;subtype&gt;-100&lt;/subtype&gt;&lt;publisher&gt;Elsevier Ltd&lt;/publisher&gt;&lt;type&gt;-100&lt;/type&gt;&lt;/publication&gt;&lt;/bundle&gt;&lt;authors&gt;&lt;author&gt;&lt;lastName&gt;Liddon&lt;/lastName&gt;&lt;firstName&gt;Nicole&lt;/firstName&gt;&lt;/author&gt;&lt;author&gt;&lt;lastName&gt;Hood&lt;/lastName&gt;&lt;firstName&gt;Julia&lt;/firstName&gt;&lt;/author&gt;&lt;author&gt;&lt;lastName&gt;Wynn&lt;/lastName&gt;&lt;firstName&gt;Bridget&lt;/firstName&gt;&lt;middleNames&gt;A&lt;/middleNames&gt;&lt;/author&gt;&lt;author&gt;&lt;lastName&gt;Markowitz&lt;/lastName&gt;&lt;firstName&gt;Lauri&lt;/firstName&gt;&lt;middleNames&gt;E&lt;/middleNames&gt;&lt;/author&gt;&lt;/authors&gt;&lt;/publication&gt;&lt;/publications&gt;&lt;cites&gt;&lt;/cites&gt;&lt;/citation&gt;</w:instrText>
      </w:r>
      <w:r w:rsidRPr="00BA66F3">
        <w:rPr>
          <w:b/>
        </w:rPr>
        <w:fldChar w:fldCharType="separate"/>
      </w:r>
      <w:r w:rsidRPr="00BA66F3">
        <w:rPr>
          <w:rFonts w:eastAsia="SimSun" w:cs="Helvetica"/>
          <w:color w:val="auto"/>
          <w:lang w:eastAsia="zh-CN"/>
        </w:rPr>
        <w:t>[4]</w:t>
      </w:r>
      <w:r w:rsidRPr="00BA66F3">
        <w:rPr>
          <w:b/>
        </w:rPr>
        <w:fldChar w:fldCharType="end"/>
      </w:r>
      <w:r w:rsidR="007F786E" w:rsidRPr="00BA66F3">
        <w:t>.</w:t>
      </w:r>
      <w:r w:rsidRPr="00BA66F3">
        <w:t xml:space="preserve"> Anal cancer incidence has increased rapidly in recent years</w:t>
      </w:r>
      <w:r w:rsidR="007F786E" w:rsidRPr="00BA66F3">
        <w:t xml:space="preserve"> </w:t>
      </w:r>
      <w:r w:rsidRPr="00BA66F3">
        <w:rPr>
          <w:b/>
        </w:rPr>
        <w:fldChar w:fldCharType="begin"/>
      </w:r>
      <w:r w:rsidR="00FB020F" w:rsidRPr="00BA66F3">
        <w:instrText xml:space="preserve"> ADDIN PAPERS2_CITATIONS &lt;citation&gt;&lt;priority&gt;0&lt;/priority&gt;&lt;uuid&gt;CA58B2B1-B9F8-4C74-A970-0CBF73F1DAC8&lt;/uuid&gt;&lt;publications&gt;&lt;publication&gt;&lt;subtype&gt;400&lt;/subtype&gt;&lt;title&gt;The rising incidence of anal cancer in England 1990-2010: a population-based study&lt;/title&gt;&lt;url&gt;http://doi.wiley.com/10.1111/codi.12553&lt;/url&gt;&lt;volume&gt;16&lt;/volume&gt;&lt;publication_date&gt;99201406121200000000222000&lt;/publication_date&gt;&lt;uuid&gt;2E380C47-69A3-49C9-991D-6A01749C447D&lt;/uuid&gt;&lt;type&gt;400&lt;/type&gt;&lt;number&gt;7&lt;/number&gt;&lt;citekey&gt;Wilkinson:2014eu&lt;/citekey&gt;&lt;doi&gt;10.1111/codi.12553&lt;/doi&gt;&lt;startpage&gt;O234&lt;/startpage&gt;&lt;endpage&gt;O239&lt;/endpage&gt;&lt;bundle&gt;&lt;publication&gt;&lt;title&gt;Colorectal Disease&lt;/title&gt;&lt;uuid&gt;C937865C-AF3A-4CAD-8D82-2DCE962396E1&lt;/uuid&gt;&lt;subtype&gt;-100&lt;/subtype&gt;&lt;type&gt;-100&lt;/type&gt;&lt;/publication&gt;&lt;/bundle&gt;&lt;authors&gt;&lt;author&gt;&lt;lastName&gt;Wilkinson&lt;/lastName&gt;&lt;firstName&gt;J&lt;/firstName&gt;&lt;middleNames&gt;R&lt;/middleNames&gt;&lt;/author&gt;&lt;author&gt;&lt;lastName&gt;Morris&lt;/lastName&gt;&lt;firstName&gt;E&lt;/firstName&gt;&lt;middleNames&gt;J A&lt;/middleNames&gt;&lt;/author&gt;&lt;author&gt;&lt;lastName&gt;Downing&lt;/lastName&gt;&lt;firstName&gt;A&lt;/firstName&gt;&lt;/author&gt;&lt;author&gt;&lt;lastName&gt;Finan&lt;/lastName&gt;&lt;firstName&gt;P&lt;/firstName&gt;&lt;middleNames&gt;J&lt;/middleNames&gt;&lt;/author&gt;&lt;author&gt;&lt;lastName&gt;Aravani&lt;/lastName&gt;&lt;firstName&gt;A&lt;/firstName&gt;&lt;/author&gt;&lt;author&gt;&lt;lastName&gt;Thomas&lt;/lastName&gt;&lt;firstName&gt;J&lt;/firstName&gt;&lt;middleNames&gt;D&lt;/middleNames&gt;&lt;/author&gt;&lt;author&gt;&lt;lastName&gt;Sebag-Montefiore&lt;/lastName&gt;&lt;firstName&gt;D&lt;/firstName&gt;&lt;/author&gt;&lt;/authors&gt;&lt;/publication&gt;&lt;/publications&gt;&lt;cites&gt;&lt;/cites&gt;&lt;/citation&gt;</w:instrText>
      </w:r>
      <w:r w:rsidRPr="00BA66F3">
        <w:rPr>
          <w:b/>
        </w:rPr>
        <w:fldChar w:fldCharType="separate"/>
      </w:r>
      <w:r w:rsidRPr="00BA66F3">
        <w:rPr>
          <w:rFonts w:eastAsia="SimSun" w:cs="Helvetica"/>
          <w:color w:val="auto"/>
          <w:lang w:eastAsia="zh-CN"/>
        </w:rPr>
        <w:t>[5]</w:t>
      </w:r>
      <w:r w:rsidRPr="00BA66F3">
        <w:rPr>
          <w:b/>
        </w:rPr>
        <w:fldChar w:fldCharType="end"/>
      </w:r>
      <w:r w:rsidR="007F786E" w:rsidRPr="00BA66F3">
        <w:t xml:space="preserve">, </w:t>
      </w:r>
      <w:r w:rsidRPr="00BA66F3">
        <w:t>with approximately 95% of anal cancers caused by HPV</w:t>
      </w:r>
      <w:r w:rsidR="007F786E" w:rsidRPr="00BA66F3">
        <w:t xml:space="preserve"> </w:t>
      </w:r>
      <w:r w:rsidRPr="00BA66F3">
        <w:rPr>
          <w:b/>
        </w:rPr>
        <w:fldChar w:fldCharType="begin"/>
      </w:r>
      <w:r w:rsidR="00FB020F" w:rsidRPr="00BA66F3">
        <w:instrText xml:space="preserve"> ADDIN PAPERS2_CITATIONS &lt;citation&gt;&lt;priority&gt;0&lt;/priority&gt;&lt;uuid&gt;36E9A3F7-3F95-4AA1-847B-F5E5B18FC404&lt;/uuid&gt;&lt;publications&gt;&lt;publication&gt;&lt;subtype&gt;400&lt;/subtype&gt;&lt;title&gt;HPV prophylactic vaccines and the potential prevention of noncervical cancers in both men and women&lt;/title&gt;&lt;url&gt;http://doi.wiley.com/10.1002/cncr.23764&lt;/url&gt;&lt;volume&gt;113&lt;/volume&gt;&lt;publication_date&gt;99200811031200000000222000&lt;/publication_date&gt;&lt;uuid&gt;9D773320-AA5B-4EEB-82BE-2486666DE4DC&lt;/uuid&gt;&lt;type&gt;400&lt;/type&gt;&lt;number&gt;S10&lt;/number&gt;&lt;citekey&gt;Gillison:2008jy&lt;/citekey&gt;&lt;doi&gt;10.1002/cncr.23764&lt;/doi&gt;&lt;startpage&gt;3036&lt;/startpage&gt;&lt;endpage&gt;3046&lt;/endpage&gt;&lt;bundle&gt;&lt;publication&gt;&lt;title&gt;Cancer&lt;/title&gt;&lt;uuid&gt;A2C2B357-0B7B-4B1F-86BD-2953ADDCCC35&lt;/uuid&gt;&lt;subtype&gt;-100&lt;/subtype&gt;&lt;type&gt;-100&lt;/type&gt;&lt;/publication&gt;&lt;/bundle&gt;&lt;authors&gt;&lt;author&gt;&lt;lastName&gt;Gillison&lt;/lastName&gt;&lt;firstName&gt;Maura&lt;/firstName&gt;&lt;middleNames&gt;L&lt;/middleNames&gt;&lt;/author&gt;&lt;author&gt;&lt;lastName&gt;Chaturvedi&lt;/lastName&gt;&lt;firstName&gt;Anil&lt;/firstName&gt;&lt;middleNames&gt;K&lt;/middleNames&gt;&lt;/author&gt;&lt;author&gt;&lt;lastName&gt;Lowy&lt;/lastName&gt;&lt;firstName&gt;Douglas&lt;/firstName&gt;&lt;middleNames&gt;R&lt;/middleNames&gt;&lt;/author&gt;&lt;/authors&gt;&lt;/publication&gt;&lt;/publications&gt;&lt;cites&gt;&lt;/cites&gt;&lt;/citation&gt;</w:instrText>
      </w:r>
      <w:r w:rsidRPr="00BA66F3">
        <w:rPr>
          <w:b/>
        </w:rPr>
        <w:fldChar w:fldCharType="separate"/>
      </w:r>
      <w:r w:rsidRPr="00BA66F3">
        <w:rPr>
          <w:rFonts w:eastAsia="SimSun" w:cs="Helvetica"/>
          <w:color w:val="auto"/>
          <w:lang w:eastAsia="zh-CN"/>
        </w:rPr>
        <w:t>[6]</w:t>
      </w:r>
      <w:r w:rsidRPr="00BA66F3">
        <w:rPr>
          <w:b/>
        </w:rPr>
        <w:fldChar w:fldCharType="end"/>
      </w:r>
      <w:r w:rsidR="007F786E" w:rsidRPr="00BA66F3">
        <w:t>.</w:t>
      </w:r>
      <w:r w:rsidRPr="00BA66F3">
        <w:t xml:space="preserve"> MSM </w:t>
      </w:r>
      <w:r w:rsidR="00EB5A58" w:rsidRPr="00BA66F3">
        <w:t xml:space="preserve">(men who have sex with men) </w:t>
      </w:r>
      <w:r w:rsidRPr="00BA66F3">
        <w:t>carry a disproportionate burden of anal cancer (15:1 compared with heterosexual men)</w:t>
      </w:r>
      <w:r w:rsidR="007F786E" w:rsidRPr="00BA66F3">
        <w:t xml:space="preserve"> </w:t>
      </w:r>
      <w:r w:rsidRPr="00BA66F3">
        <w:rPr>
          <w:b/>
        </w:rPr>
        <w:fldChar w:fldCharType="begin"/>
      </w:r>
      <w:r w:rsidR="00FB020F" w:rsidRPr="00BA66F3">
        <w:instrText xml:space="preserve"> ADDIN PAPERS2_CITATIONS &lt;citation&gt;&lt;priority&gt;0&lt;/priority&gt;&lt;uuid&gt;5E0F1E6E-6D69-4ABF-AAF4-2A4C0E96B42F&lt;/uuid&gt;&lt;publications&gt;&lt;publication&gt;&lt;subtype&gt;400&lt;/subtype&gt;&lt;title&gt;Human papillomavirus, smoking, and sexual practices in the etiology of anal cancer&lt;/title&gt;&lt;url&gt;http://doi.wiley.com/10.1002/cncr.20365&lt;/url&gt;&lt;volume&gt;101&lt;/volume&gt;&lt;publication_date&gt;99200400001200000000200000&lt;/publication_date&gt;&lt;uuid&gt;F6CC89E8-37C9-4D8C-9D12-CABC6881C96E&lt;/uuid&gt;&lt;type&gt;400&lt;/type&gt;&lt;number&gt;2&lt;/number&gt;&lt;citekey&gt;Daling:2004ew&lt;/citekey&gt;&lt;doi&gt;10.1002/cncr.20365&lt;/doi&gt;&lt;startpage&gt;270&lt;/startpage&gt;&lt;endpage&gt;280&lt;/endpage&gt;&lt;bundle&gt;&lt;publication&gt;&lt;title&gt;Cancer&lt;/title&gt;&lt;uuid&gt;A2C2B357-0B7B-4B1F-86BD-2953ADDCCC35&lt;/uuid&gt;&lt;subtype&gt;-100&lt;/subtype&gt;&lt;type&gt;-100&lt;/type&gt;&lt;/publication&gt;&lt;/bundle&gt;&lt;authors&gt;&lt;author&gt;&lt;lastName&gt;Daling&lt;/lastName&gt;&lt;firstName&gt;Janet&lt;/firstName&gt;&lt;middleNames&gt;R&lt;/middleNames&gt;&lt;/author&gt;&lt;author&gt;&lt;lastName&gt;Madeleine&lt;/lastName&gt;&lt;firstName&gt;Margaret&lt;/firstName&gt;&lt;middleNames&gt;M&lt;/middleNames&gt;&lt;/author&gt;&lt;author&gt;&lt;lastName&gt;Johnson&lt;/lastName&gt;&lt;firstName&gt;Lisa&lt;/firstName&gt;&lt;middleNames&gt;Godefroy&lt;/middleNames&gt;&lt;/author&gt;&lt;author&gt;&lt;lastName&gt;Schwartz&lt;/lastName&gt;&lt;firstName&gt;Stephen&lt;/firstName&gt;&lt;middleNames&gt;M&lt;/middleNames&gt;&lt;/author&gt;&lt;author&gt;&lt;lastName&gt;Shera&lt;/lastName&gt;&lt;firstName&gt;Katherine&lt;/firstName&gt;&lt;middleNames&gt;A&lt;/middleNames&gt;&lt;/author&gt;&lt;author&gt;&lt;lastName&gt;Wurscher&lt;/lastName&gt;&lt;firstName&gt;Michelle&lt;/firstName&gt;&lt;middleNames&gt;A&lt;/middleNames&gt;&lt;/author&gt;&lt;author&gt;&lt;lastName&gt;Carter&lt;/lastName&gt;&lt;firstName&gt;Joseph&lt;/firstName&gt;&lt;middleNames&gt;J&lt;/middleNames&gt;&lt;/author&gt;&lt;author&gt;&lt;lastName&gt;Porter&lt;/lastName&gt;&lt;firstName&gt;Peggy&lt;/firstName&gt;&lt;middleNames&gt;L&lt;/middleNames&gt;&lt;/author&gt;&lt;author&gt;&lt;lastName&gt;Galloway&lt;/lastName&gt;&lt;firstName&gt;Denise&lt;/firstName&gt;&lt;middleNames&gt;A&lt;/middleNames&gt;&lt;/author&gt;&lt;author&gt;&lt;lastName&gt;McDougall&lt;/lastName&gt;&lt;firstName&gt;James&lt;/firstName&gt;&lt;middleNames&gt;K&lt;/middleNames&gt;&lt;/author&gt;&lt;/authors&gt;&lt;/publication&gt;&lt;/publications&gt;&lt;cites&gt;&lt;/cites&gt;&lt;/citation&gt;</w:instrText>
      </w:r>
      <w:r w:rsidRPr="00BA66F3">
        <w:rPr>
          <w:b/>
        </w:rPr>
        <w:fldChar w:fldCharType="separate"/>
      </w:r>
      <w:r w:rsidRPr="00BA66F3">
        <w:rPr>
          <w:rFonts w:eastAsia="SimSun" w:cs="Helvetica"/>
          <w:color w:val="auto"/>
          <w:lang w:eastAsia="zh-CN"/>
        </w:rPr>
        <w:t>[7]</w:t>
      </w:r>
      <w:r w:rsidRPr="00BA66F3">
        <w:rPr>
          <w:b/>
        </w:rPr>
        <w:fldChar w:fldCharType="end"/>
      </w:r>
      <w:r w:rsidR="007F786E" w:rsidRPr="00BA66F3">
        <w:t>.</w:t>
      </w:r>
      <w:r w:rsidRPr="00BA66F3">
        <w:t xml:space="preserve"> </w:t>
      </w:r>
      <w:bookmarkStart w:id="3" w:name="_Hlk502327872"/>
      <w:r w:rsidRPr="00BA66F3">
        <w:t xml:space="preserve">Relative to </w:t>
      </w:r>
      <w:r w:rsidR="00BD3765" w:rsidRPr="00BA66F3">
        <w:t xml:space="preserve">human immunodeficiency virus </w:t>
      </w:r>
      <w:r w:rsidRPr="00BA66F3">
        <w:t xml:space="preserve">(HIV)-negative men or women, HIV-negative MSM have a </w:t>
      </w:r>
      <w:r w:rsidR="00BD3765" w:rsidRPr="00BA66F3">
        <w:t>4</w:t>
      </w:r>
      <w:r w:rsidRPr="00BA66F3">
        <w:t>-fold higher risk of developing anal cancer, and HIV-positive MSM have up to an 80-fold higher risk</w:t>
      </w:r>
      <w:bookmarkEnd w:id="3"/>
      <w:r w:rsidR="007F786E" w:rsidRPr="00BA66F3">
        <w:t xml:space="preserve"> </w:t>
      </w:r>
      <w:r w:rsidRPr="00BA66F3">
        <w:rPr>
          <w:b/>
        </w:rPr>
        <w:fldChar w:fldCharType="begin"/>
      </w:r>
      <w:r w:rsidR="00FB020F" w:rsidRPr="00BA66F3">
        <w:instrText xml:space="preserve"> ADDIN PAPERS2_CITATIONS &lt;citation&gt;&lt;priority&gt;0&lt;/priority&gt;&lt;uuid&gt;E8FB8EB5-C136-45FA-A5CD-DACB6A38FC9B&lt;/uuid&gt;&lt;publications&gt;&lt;publication&gt;&lt;subtype&gt;400&lt;/subtype&gt;&lt;title&gt;The increasing incidence of anal cancer: can it be explained by trends in risk groups?&lt;/title&gt;&lt;url&gt;http://www.njmonline.nl/getpdf.php?id=1355&lt;/url&gt;&lt;volume&gt;71&lt;/volume&gt;&lt;publication_date&gt;99201310141200000000222000&lt;/publication_date&gt;&lt;uuid&gt;7707BB53-775E-4ECB-A8AB-FABB3BFA3B08&lt;/uuid&gt;&lt;type&gt;400&lt;/type&gt;&lt;number&gt;7&lt;/number&gt;&lt;citekey&gt;vanderZee:2013vm&lt;/citekey&gt;&lt;startpage&gt;401&lt;/startpage&gt;&lt;endpage&gt;411&lt;/endpage&gt;&lt;bundle&gt;&lt;publication&gt;&lt;title&gt;The Netherlands Journal of Medicine&lt;/title&gt;&lt;uuid&gt;5F0368D2-FFE0-4170-A782-EDBB8260AC39&lt;/uuid&gt;&lt;subtype&gt;-100&lt;/subtype&gt;&lt;type&gt;-100&lt;/type&gt;&lt;/publication&gt;&lt;/bundle&gt;&lt;authors&gt;&lt;author&gt;&lt;lastName&gt;Zee&lt;/lastName&gt;&lt;nonDroppingParticle&gt;van der&lt;/nonDroppingParticle&gt;&lt;firstName&gt;R&lt;/firstName&gt;&lt;middleNames&gt;P&lt;/middleNames&gt;&lt;/author&gt;&lt;author&gt;&lt;lastName&gt;Richel&lt;/lastName&gt;&lt;firstName&gt;O&lt;/firstName&gt;&lt;/author&gt;&lt;author&gt;&lt;lastName&gt;Vries&lt;/lastName&gt;&lt;nonDroppingParticle&gt;de&lt;/nonDroppingParticle&gt;&lt;firstName&gt;Hein&lt;/firstName&gt;&lt;/author&gt;&lt;author&gt;&lt;lastName&gt;Prins&lt;/lastName&gt;&lt;firstName&gt;J&lt;/firstName&gt;&lt;middleNames&gt;M&lt;/middleNames&gt;&lt;/author&gt;&lt;/authors&gt;&lt;/publication&gt;&lt;/publications&gt;&lt;cites&gt;&lt;/cites&gt;&lt;/citation&gt;</w:instrText>
      </w:r>
      <w:r w:rsidRPr="00BA66F3">
        <w:rPr>
          <w:b/>
        </w:rPr>
        <w:fldChar w:fldCharType="separate"/>
      </w:r>
      <w:r w:rsidRPr="00BA66F3">
        <w:rPr>
          <w:rFonts w:eastAsia="SimSun" w:cs="Helvetica"/>
          <w:color w:val="auto"/>
          <w:lang w:eastAsia="zh-CN"/>
        </w:rPr>
        <w:t>[8]</w:t>
      </w:r>
      <w:r w:rsidRPr="00BA66F3">
        <w:rPr>
          <w:b/>
        </w:rPr>
        <w:fldChar w:fldCharType="end"/>
      </w:r>
      <w:r w:rsidR="007F786E" w:rsidRPr="00BA66F3">
        <w:t>.</w:t>
      </w:r>
      <w:r w:rsidRPr="00BA66F3">
        <w:t xml:space="preserve"> Approximately 72% of oropharyngeal cancer cases in the United States from </w:t>
      </w:r>
      <w:r w:rsidR="007F786E" w:rsidRPr="00BA66F3">
        <w:t>2008–2012</w:t>
      </w:r>
      <w:r w:rsidRPr="00BA66F3">
        <w:t xml:space="preserve"> was attributable to HPV, with an annual incidence rate of 7.6 per 100,000 population</w:t>
      </w:r>
      <w:r w:rsidR="003B32B5" w:rsidRPr="00BA66F3">
        <w:fldChar w:fldCharType="begin"/>
      </w:r>
      <w:r w:rsidR="00FB020F" w:rsidRPr="00BA66F3">
        <w:instrText xml:space="preserve"> ADDIN PAPERS2_CITATIONS &lt;citation&gt;&lt;priority&gt;0&lt;/priority&gt;&lt;uuid&gt;0260101E-39B8-418B-A92B-46B4074B5108&lt;/uuid&gt;&lt;publications&gt;&lt;publication&gt;&lt;subtype&gt;400&lt;/subtype&gt;&lt;title&gt;Human Papillomavirus–Associated Cancers — United States, 2008–2012&lt;/title&gt;&lt;url&gt;https://www.cdc.gov/mmwr/volumes/65/wr/mm6526a1.htm&lt;/url&gt;&lt;volume&gt;65&lt;/volume&gt;&lt;publication_date&gt;99201607081200000000222000&lt;/publication_date&gt;&lt;uuid&gt;37682B7E-E58E-4602-8304-7595CD29933D&lt;/uuid&gt;&lt;type&gt;400&lt;/type&gt;&lt;number&gt;26&lt;/number&gt;&lt;doi&gt;10.15585/mmwr.mm6526a1&lt;/doi&gt;&lt;startpage&gt;661&lt;/startpage&gt;&lt;endpage&gt;666&lt;/endpage&gt;&lt;bundle&gt;&lt;publication&gt;&lt;title&gt;MMWR. Morbidity and Mortality Weekly Report&lt;/title&gt;&lt;uuid&gt;118E7C01-8745-4BA2-B754-FAC715B67EF1&lt;/uuid&gt;&lt;subtype&gt;-100&lt;/subtype&gt;&lt;type&gt;-100&lt;/type&gt;&lt;/publication&gt;&lt;/bundle&gt;&lt;authors&gt;&lt;author&gt;&lt;lastName&gt;Viens&lt;/lastName&gt;&lt;firstName&gt;Laura&lt;/firstName&gt;&lt;middleNames&gt;J&lt;/middleNames&gt;&lt;/author&gt;&lt;author&gt;&lt;lastName&gt;Henley&lt;/lastName&gt;&lt;firstName&gt;S&lt;/firstName&gt;&lt;middleNames&gt;Jane&lt;/middleNames&gt;&lt;/author&gt;&lt;author&gt;&lt;lastName&gt;Watson&lt;/lastName&gt;&lt;firstName&gt;Meg&lt;/firstName&gt;&lt;/author&gt;&lt;author&gt;&lt;lastName&gt;Markowitz&lt;/lastName&gt;&lt;firstName&gt;Lauri&lt;/firstName&gt;&lt;middleNames&gt;E&lt;/middleNames&gt;&lt;/author&gt;&lt;author&gt;&lt;lastName&gt;Thomas&lt;/lastName&gt;&lt;firstName&gt;Cheryll&lt;/firstName&gt;&lt;middleNames&gt;C&lt;/middleNames&gt;&lt;/author&gt;&lt;author&gt;&lt;lastName&gt;Thompson&lt;/lastName&gt;&lt;firstName&gt;Trevor&lt;/firstName&gt;&lt;middleNames&gt;D&lt;/middleNames&gt;&lt;/author&gt;&lt;author&gt;&lt;lastName&gt;Razzaghi&lt;/lastName&gt;&lt;firstName&gt;Hilda&lt;/firstName&gt;&lt;/author&gt;&lt;author&gt;&lt;lastName&gt;Saraiya&lt;/lastName&gt;&lt;firstName&gt;Mona&lt;/firstName&gt;&lt;/author&gt;&lt;/authors&gt;&lt;/publication&gt;&lt;/publications&gt;&lt;cites&gt;&lt;/cites&gt;&lt;/citation&gt;</w:instrText>
      </w:r>
      <w:r w:rsidR="003B32B5" w:rsidRPr="00BA66F3">
        <w:fldChar w:fldCharType="separate"/>
      </w:r>
      <w:r w:rsidR="00FB020F" w:rsidRPr="00BA66F3">
        <w:rPr>
          <w:rFonts w:ascii="Helvetica" w:eastAsia="SimSun" w:hAnsi="Helvetica" w:cs="Helvetica"/>
          <w:color w:val="auto"/>
          <w:lang w:val="en-GB" w:eastAsia="zh-CN"/>
        </w:rPr>
        <w:t>[9]</w:t>
      </w:r>
      <w:r w:rsidR="003B32B5" w:rsidRPr="00BA66F3">
        <w:fldChar w:fldCharType="end"/>
      </w:r>
      <w:r w:rsidR="00BA66F3">
        <w:t>.</w:t>
      </w:r>
    </w:p>
    <w:p w14:paraId="540075F8" w14:textId="7B5C1A70" w:rsidR="00451DF7" w:rsidRPr="00BA66F3" w:rsidRDefault="00451DF7" w:rsidP="008D54D2">
      <w:pPr>
        <w:pStyle w:val="MDPI31text"/>
        <w:rPr>
          <w:b/>
        </w:rPr>
      </w:pPr>
      <w:r w:rsidRPr="00BA66F3">
        <w:t xml:space="preserve">Prevention of HPV-related disease is a key public health issue. The United Kingdom’s (UK) current strategy is to offer publicly funded vaccination only to girls aged </w:t>
      </w:r>
      <w:r w:rsidR="007F786E" w:rsidRPr="00BA66F3">
        <w:t>12–14</w:t>
      </w:r>
      <w:r w:rsidRPr="00BA66F3">
        <w:t xml:space="preserve"> (prior to the legal age of consent at 16 years), which is intended to protect males through herd immunity. This decision was made on the basis of cost effectiveness </w:t>
      </w:r>
      <w:r w:rsidRPr="00BA66F3">
        <w:rPr>
          <w:b/>
        </w:rPr>
        <w:fldChar w:fldCharType="begin"/>
      </w:r>
      <w:r w:rsidR="00FB020F" w:rsidRPr="00BA66F3">
        <w:instrText xml:space="preserve"> ADDIN PAPERS2_CITATIONS &lt;citation&gt;&lt;priority&gt;0&lt;/priority&gt;&lt;uuid&gt;B10897C0-9771-457A-BE6B-F744BB47B556&lt;/uuid&gt;&lt;publications&gt;&lt;publication&gt;&lt;subtype&gt;700&lt;/subtype&gt;&lt;publisher&gt;Department of Health&lt;/publisher&gt;&lt;title&gt;Human papillomavirus vaccines to protect against cervical cancer&lt;/title&gt;&lt;url&gt;http://webarchive.nationalarchives.gov.uk/20130107105354/http://www.dh.gov.uk/prod_consum_dh/groups/dh_digitalassets/@dh/@ab/documents/digitalasset/dh_094739.pdf&lt;/url&gt;&lt;publication_date&gt;99200807181200000000222000&lt;/publication_date&gt;&lt;uuid&gt;2895C652-0AC4-44D3-AFEB-99C6FB6AC58A&lt;/uuid&gt;&lt;type&gt;700&lt;/type&gt;&lt;citekey&gt;JCVI:2008ta&lt;/citekey&gt;&lt;startpage&gt;1&lt;/startpage&gt;&lt;endpage&gt;20&lt;/endpage&gt;&lt;authors&gt;&lt;author&gt;&lt;lastName&gt;JCVI&lt;/la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[10]</w:t>
      </w:r>
      <w:r w:rsidRPr="00BA66F3">
        <w:rPr>
          <w:b/>
        </w:rPr>
        <w:fldChar w:fldCharType="end"/>
      </w:r>
      <w:r w:rsidRPr="00BA66F3">
        <w:t xml:space="preserve">, although more recent studies have called this into </w:t>
      </w:r>
      <w:r w:rsidR="007F786E" w:rsidRPr="00BA66F3">
        <w:br/>
      </w:r>
      <w:r w:rsidRPr="00BA66F3">
        <w:t>question</w:t>
      </w:r>
      <w:r w:rsidR="007F786E" w:rsidRPr="00BA66F3">
        <w:t xml:space="preserve"> </w:t>
      </w:r>
      <w:r w:rsidRPr="00BA66F3">
        <w:rPr>
          <w:b/>
        </w:rPr>
        <w:fldChar w:fldCharType="begin"/>
      </w:r>
      <w:r w:rsidR="00FB020F" w:rsidRPr="00BA66F3">
        <w:instrText xml:space="preserve"> ADDIN PAPERS2_CITATIONS &lt;citation&gt;&lt;priority&gt;0&lt;/priority&gt;&lt;uuid&gt;788DCA3D-652E-4904-AF6D-B21CA30558DA&lt;/uuid&gt;&lt;publications&gt;&lt;publication&gt;&lt;subtype&gt;400&lt;/subtype&gt;&lt;title&gt;Revisiting the cost-effectiveness of universal HPV-vaccination in Denmark accounting for all potentially vaccine preventable HPV-related diseases in males and females&lt;/title&gt;&lt;url&gt;http://download.springer.com/static/pdf/779/art%253A10.1186%252Fs12962-015-0029-9.pdf?originUrl=http%3A%2F%2Fresource-allocation.biomedcentral.com%2Farticle%2F10.1186%2Fs12962-015-0029-9&amp;amp;token2=exp=1478776318~acl=%2Fstatic%2Fpdf%2F779%2Fart%25253A10.1186%25252Fs12962-015-0029-9.pdf*~hmac=a5f205f4f68d121d25df36d84fab70ab3cbc36c66f08c22214275f8cf38b31d4&lt;/url&gt;&lt;publication_date&gt;99201502141200000000222000&lt;/publication_date&gt;&lt;uuid&gt;11EC91A5-9367-4220-A057-AC6FF98E43A1&lt;/uuid&gt;&lt;type&gt;400&lt;/type&gt;&lt;citekey&gt;Olsen:2015ec&lt;/citekey&gt;&lt;doi&gt;10.1186/s12962-015-0029-9&lt;/doi&gt;&lt;startpage&gt;1&lt;/startpage&gt;&lt;endpage&gt;10&lt;/endpage&gt;&lt;authors&gt;&lt;author&gt;&lt;lastName&gt;Olsen&lt;/lastName&gt;&lt;firstName&gt;Jens&lt;/firstName&gt;&lt;/author&gt;&lt;author&gt;&lt;lastName&gt;rgensen&lt;/lastName&gt;&lt;firstName&gt;Tine&lt;/firstName&gt;&lt;middleNames&gt;Rikke J&lt;/middleNames&gt;&lt;/author&gt;&lt;/authors&gt;&lt;/publication&gt;&lt;/publications&gt;&lt;cites&gt;&lt;/cites&gt;&lt;/citation&gt;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[11]</w:t>
      </w:r>
      <w:r w:rsidRPr="00BA66F3">
        <w:rPr>
          <w:b/>
        </w:rPr>
        <w:fldChar w:fldCharType="end"/>
      </w:r>
      <w:r w:rsidR="007F786E" w:rsidRPr="00BA66F3">
        <w:t>.</w:t>
      </w:r>
      <w:r w:rsidRPr="00BA66F3">
        <w:t xml:space="preserve"> This benefit does not extend to MSM. Public Health England estimates that 3.2% of the UK population are lesbian, gay</w:t>
      </w:r>
      <w:r w:rsidR="00BD3765" w:rsidRPr="00BA66F3">
        <w:t>,</w:t>
      </w:r>
      <w:r w:rsidRPr="00BA66F3">
        <w:t xml:space="preserve"> or bisexual</w:t>
      </w:r>
      <w:r w:rsidR="007F786E" w:rsidRPr="00BA66F3">
        <w:t xml:space="preserve"> </w:t>
      </w:r>
      <w:r w:rsidRPr="00BA66F3">
        <w:rPr>
          <w:b/>
        </w:rPr>
        <w:fldChar w:fldCharType="begin"/>
      </w:r>
      <w:r w:rsidR="00FB020F" w:rsidRPr="00BA66F3">
        <w:instrText xml:space="preserve"> ADDIN PAPERS2_CITATIONS &lt;citation&gt;&lt;priority&gt;0&lt;/priority&gt;&lt;uuid&gt;B8BFD997-56F5-4B0E-ADA2-CF29455F35AD&lt;/uuid&gt;&lt;publications&gt;&lt;publication&gt;&lt;subtype&gt;700&lt;/subtype&gt;&lt;publisher&gt;Public Health England&lt;/publisher&gt;&lt;title&gt;Producing modelled estimates of the size of the lesbian, gay and bisexual (LGB) population of England&lt;/title&gt;&lt;url&gt;https://www.gov.uk/government/uploads/system/uploads/attachment_data/file/585349/PHE_Final_report_FINAL_DRAFT_14.12.2016NB230117v2.pdf&lt;/url&gt;&lt;publication_date&gt;99201701231200000000222000&lt;/publication_date&gt;&lt;uuid&gt;6D0BDC17-B596-4350-87BF-6C3B802D28DF&lt;/uuid&gt;&lt;type&gt;700&lt;/type&gt;&lt;citekey&gt;vanKampen:2017vy&lt;/citekey&gt;&lt;startpage&gt;1&lt;/startpage&gt;&lt;endpage&gt;40&lt;/endpage&gt;&lt;authors&gt;&lt;author&gt;&lt;lastName&gt;Kampen&lt;/lastName&gt;&lt;nonDroppingParticle&gt;van&lt;/nonDroppingParticle&gt;&lt;firstName&gt;Sanne&lt;/firstName&gt;&lt;/author&gt;&lt;author&gt;&lt;lastName&gt;Fornasiero&lt;/lastName&gt;&lt;firstName&gt;Mauro&lt;/firstName&gt;&lt;/author&gt;&lt;author&gt;&lt;lastName&gt;Lee&lt;/lastName&gt;&lt;firstName&gt;William&lt;/firstName&gt;&lt;/author&gt;&lt;author&gt;&lt;lastName&gt;Husk&lt;/lastName&gt;&lt;firstName&gt;Kerryn&lt;/fir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[12]</w:t>
      </w:r>
      <w:r w:rsidRPr="00BA66F3">
        <w:rPr>
          <w:b/>
        </w:rPr>
        <w:fldChar w:fldCharType="end"/>
      </w:r>
      <w:r w:rsidRPr="00BA66F3">
        <w:t xml:space="preserve">, which suggests that almost one million UK men may not protected from HPV-associated anogenital warts and cancers. In November 2015, the Joint Committee on Vaccination and </w:t>
      </w:r>
      <w:proofErr w:type="spellStart"/>
      <w:r w:rsidRPr="00BA66F3">
        <w:t>Immunisation</w:t>
      </w:r>
      <w:proofErr w:type="spellEnd"/>
      <w:r w:rsidRPr="00BA66F3">
        <w:t xml:space="preserve"> (JCVI) recommended the HPV vaccination </w:t>
      </w:r>
      <w:proofErr w:type="spellStart"/>
      <w:r w:rsidRPr="00BA66F3">
        <w:t>programme</w:t>
      </w:r>
      <w:proofErr w:type="spellEnd"/>
      <w:r w:rsidRPr="00BA66F3">
        <w:t xml:space="preserve"> be extended to MSM aged up to 45 years via genitourinary medicine (GUM) clinics, HIV clinics, or opportunistically through general practice clinics (GPs)</w:t>
      </w:r>
      <w:r w:rsidR="007F786E" w:rsidRPr="00BA66F3">
        <w:t xml:space="preserve"> </w:t>
      </w:r>
      <w:r w:rsidRPr="00BA66F3">
        <w:rPr>
          <w:b/>
        </w:rPr>
        <w:fldChar w:fldCharType="begin"/>
      </w:r>
      <w:r w:rsidR="00FB020F" w:rsidRPr="00BA66F3">
        <w:instrText xml:space="preserve"> ADDIN PAPERS2_CITATIONS &lt;citation&gt;&lt;priority&gt;0&lt;/priority&gt;&lt;uuid&gt;12CE5F7F-274F-46CA-84A4-92B65B2B5463&lt;/uuid&gt;&lt;publications&gt;&lt;publication&gt;&lt;subtype&gt;700&lt;/subtype&gt;&lt;publisher&gt;Department of Health&lt;/publisher&gt;&lt;title&gt;JCVI statement on HPV vaccination of men who have sex with men&lt;/title&gt;&lt;publication_date&gt;99201511181200000000222000&lt;/publication_date&gt;&lt;uuid&gt;E9403383-57B8-44E8-9B06-250B7419CFB2&lt;/uuid&gt;&lt;type&gt;700&lt;/type&gt;&lt;citekey&gt;JCVI:2015ub&lt;/citekey&gt;&lt;startpage&gt;1&lt;/startpage&gt;&lt;endpage&gt;8&lt;/endpage&gt;&lt;authors&gt;&lt;author&gt;&lt;lastName&gt;JCVI&lt;/la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[13]</w:t>
      </w:r>
      <w:r w:rsidRPr="00BA66F3">
        <w:rPr>
          <w:b/>
        </w:rPr>
        <w:fldChar w:fldCharType="end"/>
      </w:r>
      <w:r w:rsidR="007F786E" w:rsidRPr="00BA66F3">
        <w:t>.</w:t>
      </w:r>
      <w:r w:rsidRPr="00BA66F3">
        <w:t xml:space="preserve"> </w:t>
      </w:r>
    </w:p>
    <w:p w14:paraId="30BA9771" w14:textId="395D8172" w:rsidR="00451DF7" w:rsidRPr="00BA66F3" w:rsidRDefault="00451DF7" w:rsidP="008D54D2">
      <w:pPr>
        <w:pStyle w:val="MDPI31text"/>
        <w:rPr>
          <w:b/>
        </w:rPr>
      </w:pPr>
      <w:r w:rsidRPr="00BA66F3">
        <w:t>Vaccination is likely to be most efficacious before exposure to HPV</w:t>
      </w:r>
      <w:r w:rsidR="007F786E" w:rsidRPr="00BA66F3">
        <w:rPr>
          <w:b/>
        </w:rPr>
        <w:t xml:space="preserve"> </w:t>
      </w:r>
      <w:r w:rsidRPr="00BA66F3">
        <w:rPr>
          <w:b/>
        </w:rPr>
        <w:fldChar w:fldCharType="begin"/>
      </w:r>
      <w:r w:rsidR="00FB020F" w:rsidRPr="00BA66F3">
        <w:instrText xml:space="preserve"> ADDIN PAPERS2_CITATIONS &lt;citation&gt;&lt;priority&gt;0&lt;/priority&gt;&lt;uuid&gt;34C7B82D-C315-467C-8219-46092608F3AF&lt;/uuid&gt;&lt;publications&gt;&lt;publication&gt;&lt;subtype&gt;400&lt;/subtype&gt;&lt;title&gt;Recommendations on the Use of Quadrivalent Human Papillomavirus Vaccine in Males - Advisory Committee on Immunization Practices (ACIP), 2011&lt;/title&gt;&lt;url&gt;https://www.cdc.gov/mmwr/pdf/wk/mm6050.pdf&lt;/url&gt;&lt;volume&gt;60&lt;/volume&gt;&lt;publication_date&gt;99201112211200000000222000&lt;/publication_date&gt;&lt;uuid&gt;AD331F11-9C3E-4383-A3F8-4B2927CC1091&lt;/uuid&gt;&lt;type&gt;400&lt;/type&gt;&lt;number&gt;50&lt;/number&gt;&lt;citekey&gt;Dunne:2011tr&lt;/citekey&gt;&lt;startpage&gt;1705&lt;/startpage&gt;&lt;endpage&gt;1708&lt;/endpage&gt;&lt;bundle&gt;&lt;publication&gt;&lt;title&gt;CDC Morbidity and Mortality Weekly Report&lt;/title&gt;&lt;uuid&gt;C43861FB-CC0E-478B-8A52-AC83735F0B50&lt;/uuid&gt;&lt;subtype&gt;-100&lt;/subtype&gt;&lt;type&gt;-100&lt;/type&gt;&lt;/publication&gt;&lt;/bundle&gt;&lt;authors&gt;&lt;author&gt;&lt;lastName&gt;Dunne&lt;/lastName&gt;&lt;firstName&gt;Eileen&lt;/firstName&gt;&lt;middleNames&gt;F&lt;/middleNames&gt;&lt;/author&gt;&lt;author&gt;&lt;lastName&gt;Markowitz&lt;/lastName&gt;&lt;firstName&gt;Lauri&lt;/firstName&gt;&lt;middleNames&gt;E&lt;/middleNames&gt;&lt;/author&gt;&lt;author&gt;&lt;lastName&gt;Chesson&lt;/lastName&gt;&lt;firstName&gt;Harrell&lt;/firstName&gt;&lt;/author&gt;&lt;author&gt;&lt;lastName&gt;Curtis&lt;/lastName&gt;&lt;firstName&gt;C&lt;/firstName&gt;&lt;middleNames&gt;Robinette&lt;/middleNames&gt;&lt;/author&gt;&lt;author&gt;&lt;lastName&gt;Saraiya&lt;/lastName&gt;&lt;firstName&gt;Mona&lt;/firstName&gt;&lt;/author&gt;&lt;author&gt;&lt;lastName&gt;Gee&lt;/lastName&gt;&lt;firstName&gt;Julianne&lt;/fir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[14]</w:t>
      </w:r>
      <w:r w:rsidRPr="00BA66F3">
        <w:rPr>
          <w:b/>
        </w:rPr>
        <w:fldChar w:fldCharType="end"/>
      </w:r>
      <w:r w:rsidR="007F786E" w:rsidRPr="00BA66F3">
        <w:t>,</w:t>
      </w:r>
      <w:r w:rsidRPr="00BA66F3">
        <w:t xml:space="preserve"> however the majority of men do not identify as gay or bisexual before they engage in sexual contact with other men</w:t>
      </w:r>
      <w:r w:rsidR="007F786E" w:rsidRPr="00BA66F3">
        <w:t xml:space="preserve"> </w:t>
      </w:r>
      <w:r w:rsidRPr="00BA66F3">
        <w:rPr>
          <w:b/>
        </w:rPr>
        <w:fldChar w:fldCharType="begin"/>
      </w:r>
      <w:r w:rsidR="00FB020F" w:rsidRPr="00BA66F3">
        <w:instrText xml:space="preserve"> ADDIN PAPERS2_CITATIONS &lt;citation&gt;&lt;priority&gt;0&lt;/priority&gt;&lt;uuid&gt;AB3FB24B-1E5E-4748-AC68-F3EF55DC3EB8&lt;/uuid&gt;&lt;publications&gt;&lt;publication&gt;&lt;subtype&gt;400&lt;/subtype&gt;&lt;publisher&gt;Elsevier Ltd&lt;/publisher&gt;&lt;title&gt;Acceptability of human papillomavirus vaccination and sexual experience prior to disclosure to health care providers among men who have sex with men in Vancouver, Canada: Implications for targeted vaccination programs&lt;/title&gt;&lt;url&gt;http://dx.doi.org/10.1016/j.vaccine.2012.07.001&lt;/url&gt;&lt;volume&gt;30&lt;/volume&gt;&lt;publication_date&gt;99201208241200000000222000&lt;/publication_date&gt;&lt;uuid&gt;39AC3D78-D8F5-4FAA-8EFB-BD10B93E5B31&lt;/uuid&gt;&lt;type&gt;400&lt;/type&gt;&lt;number&gt;39&lt;/number&gt;&lt;citekey&gt;Rank:2012dt&lt;/citekey&gt;&lt;doi&gt;10.1016/j.vaccine.2012.07.001&lt;/doi&gt;&lt;startpage&gt;5755&lt;/startpage&gt;&lt;endpage&gt;5760&lt;/endpage&gt;&lt;bundle&gt;&lt;publication&gt;&lt;title&gt;Vaccine&lt;/title&gt;&lt;uuid&gt;C03EC74C-C7EB-4B54-AF8E-2C394CCDD9D5&lt;/uuid&gt;&lt;subtype&gt;-100&lt;/subtype&gt;&lt;publisher&gt;Elsevier Ltd&lt;/publisher&gt;&lt;type&gt;-100&lt;/type&gt;&lt;/publication&gt;&lt;/bundle&gt;&lt;authors&gt;&lt;author&gt;&lt;lastName&gt;Rank&lt;/lastName&gt;&lt;firstName&gt;Claudia&lt;/firstName&gt;&lt;/author&gt;&lt;author&gt;&lt;lastName&gt;Gilbert&lt;/lastName&gt;&lt;firstName&gt;Mark&lt;/firstName&gt;&lt;/author&gt;&lt;author&gt;&lt;lastName&gt;Ogilvie&lt;/lastName&gt;&lt;firstName&gt;Gina&lt;/firstName&gt;&lt;/author&gt;&lt;author&gt;&lt;lastName&gt;Jayaraman&lt;/lastName&gt;&lt;firstName&gt;Gayatri&lt;/firstName&gt;&lt;middleNames&gt;C&lt;/middleNames&gt;&lt;/author&gt;&lt;author&gt;&lt;lastName&gt;Marchand&lt;/lastName&gt;&lt;firstName&gt;Rick&lt;/firstName&gt;&lt;/author&gt;&lt;author&gt;&lt;lastName&gt;Trussler&lt;/lastName&gt;&lt;firstName&gt;Terry&lt;/firstName&gt;&lt;/author&gt;&lt;author&gt;&lt;lastName&gt;Hogg&lt;/lastName&gt;&lt;firstName&gt;Robert&lt;/firstName&gt;&lt;middleNames&gt;S&lt;/middleNames&gt;&lt;/author&gt;&lt;author&gt;&lt;lastName&gt;Gustafson&lt;/lastName&gt;&lt;firstName&gt;Reka&lt;/firstName&gt;&lt;/author&gt;&lt;author&gt;&lt;lastName&gt;Wong&lt;/lastName&gt;&lt;firstName&gt;Tom&lt;/firstName&gt;&lt;/author&gt;&lt;author&gt;&lt;lastName&gt;Team1&lt;/lastName&gt;&lt;firstName&gt;The&lt;/firstName&gt;&lt;middleNames&gt;ManCount Study&lt;/middleNames&gt;&lt;/author&gt;&lt;/authors&gt;&lt;/publication&gt;&lt;/publications&gt;&lt;cites&gt;&lt;/cites&gt;&lt;/citation&gt;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[15]</w:t>
      </w:r>
      <w:r w:rsidRPr="00BA66F3">
        <w:rPr>
          <w:b/>
        </w:rPr>
        <w:fldChar w:fldCharType="end"/>
      </w:r>
      <w:r w:rsidRPr="00BA66F3">
        <w:t xml:space="preserve">, and many men do not disclose their sexual identity and/or </w:t>
      </w:r>
      <w:proofErr w:type="spellStart"/>
      <w:r w:rsidRPr="00BA66F3">
        <w:t>behaviour</w:t>
      </w:r>
      <w:proofErr w:type="spellEnd"/>
      <w:r w:rsidRPr="00BA66F3">
        <w:t xml:space="preserve"> to their physician. In attempts to address this issue, UK healthcare professionals (HCP) have recently been issued guidance from NHS England recommending that they enquire about a patient’s sexual orientation at “every face to face contact with the patient, where no record of this data already exists”</w:t>
      </w:r>
      <w:r w:rsidR="007F786E" w:rsidRPr="00BA66F3">
        <w:rPr>
          <w:b/>
        </w:rPr>
        <w:t xml:space="preserve"> </w:t>
      </w:r>
      <w:r w:rsidRPr="00BA66F3">
        <w:rPr>
          <w:b/>
        </w:rPr>
        <w:fldChar w:fldCharType="begin"/>
      </w:r>
      <w:r w:rsidR="00FB020F" w:rsidRPr="00BA66F3">
        <w:instrText xml:space="preserve"> ADDIN PAPERS2_CITATIONS &lt;citation&gt;&lt;priority&gt;0&lt;/priority&gt;&lt;uuid&gt;CA03F5BE-35D4-4821-AD1F-7A9A86710EE7&lt;/uuid&gt;&lt;publications&gt;&lt;publication&gt;&lt;subtype&gt;700&lt;/subtype&gt;&lt;publisher&gt;NHS England&lt;/publisher&gt;&lt;title&gt;Implementation Guidance Fundamental Standard for Sexual Orientation Monitoring&lt;/title&gt;&lt;url&gt;https://www.england.nhs.uk/wp-content/uploads/2017/10/implementation-guidance-fundamental-standard-for-sexual-orientation-monitoring.pdf&lt;/url&gt;&lt;publication_date&gt;99201710041200000000222000&lt;/publication_date&gt;&lt;uuid&gt;83245F48-715B-480B-B32B-ECB0A331A085&lt;/uuid&gt;&lt;type&gt;700&lt;/type&gt;&lt;citekey&gt;NHSEnglandEqualityandHealthInequalitiesUnit:2017wh&lt;/citekey&gt;&lt;startpage&gt;1&lt;/startpage&gt;&lt;endpage&gt;9&lt;/endpage&gt;&lt;authors&gt;&lt;author&gt;&lt;lastName&gt;NHS England Equality and Health Inequalities Unit&lt;/lastName&gt;&lt;/author&gt;&lt;/authors&gt;&lt;/publication&gt;&lt;/publications&gt;&lt;cites&gt;&lt;/cites&gt;&lt;/citation&gt;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[16]</w:t>
      </w:r>
      <w:r w:rsidRPr="00BA66F3">
        <w:rPr>
          <w:b/>
        </w:rPr>
        <w:fldChar w:fldCharType="end"/>
      </w:r>
      <w:r w:rsidR="007F786E" w:rsidRPr="00BA66F3">
        <w:t>.</w:t>
      </w:r>
      <w:r w:rsidRPr="00BA66F3">
        <w:t xml:space="preserve"> Such policies have the potential to exacerbate </w:t>
      </w:r>
      <w:proofErr w:type="spellStart"/>
      <w:r w:rsidRPr="00BA66F3">
        <w:t>stigmatisation</w:t>
      </w:r>
      <w:proofErr w:type="spellEnd"/>
      <w:r w:rsidRPr="00BA66F3">
        <w:t xml:space="preserve"> of LGBTQ patients accessing healthcare services if they feel they will be asked to disclose their sexual orientation every time they access a service, whether it is relevant to their presenting complaint or not</w:t>
      </w:r>
      <w:r w:rsidR="007F786E" w:rsidRPr="00BA66F3">
        <w:rPr>
          <w:b/>
        </w:rPr>
        <w:t xml:space="preserve"> </w:t>
      </w:r>
      <w:r w:rsidRPr="00BA66F3">
        <w:rPr>
          <w:b/>
        </w:rPr>
        <w:fldChar w:fldCharType="begin"/>
      </w:r>
      <w:r w:rsidR="00FB020F" w:rsidRPr="00BA66F3">
        <w:instrText xml:space="preserve"> ADDIN PAPERS2_CITATIONS &lt;citation&gt;&lt;priority&gt;0&lt;/priority&gt;&lt;uuid&gt;7A63AA01-EE53-45A2-9443-46BBCBF8CE46&lt;/uuid&gt;&lt;publications&gt;&lt;publication&gt;&lt;subtype&gt;400&lt;/subtype&gt;&lt;title&gt;Including males in Canadian human papillomavirus vaccination programs: a policy analysis.&lt;/title&gt;&lt;url&gt;http://eutils.ncbi.nlm.nih.gov/entrez/eutils/elink.fcgi?dbfrom=pubmed&amp;amp;id=27114488&amp;amp;retmode=ref&amp;amp;cmd=prlinks&lt;/url&gt;&lt;volume&gt;188&lt;/volume&gt;&lt;publication_date&gt;99201609061200000000222000&lt;/publication_date&gt;&lt;uuid&gt;E2A32E95-B1C6-4ECE-A8D7-32618E7BFBC4&lt;/uuid&gt;&lt;type&gt;400&lt;/type&gt;&lt;number&gt;12&lt;/number&gt;&lt;citekey&gt;Shapiro:2016bg&lt;/citekey&gt;&lt;doi&gt;10.1503/cmaj.150451&lt;/doi&gt;&lt;institution&gt;Department of Psychology (Shapiro, Perez, Rosberger); Departments of Psychiatry and Oncology (Rosberger), McGill University; Lady Davis Institute for Medical Research (Shapiro, Perez, Rosberger), Jewish General Hospital, Montréal, Que. gilla.shapiro@mail.mcgill.ca.&lt;/institution&gt;&lt;startpage&gt;881&lt;/startpage&gt;&lt;endpage&gt;886&lt;/endpage&gt;&lt;bundle&gt;&lt;publication&gt;&lt;title&gt;CMAJ&lt;/title&gt;&lt;uuid&gt;973933E4-B803-4FCB-A46F-E5F0B2233970&lt;/uuid&gt;&lt;subtype&gt;-100&lt;/subtype&gt;&lt;type&gt;-100&lt;/type&gt;&lt;/publication&gt;&lt;/bundle&gt;&lt;authors&gt;&lt;author&gt;&lt;lastName&gt;Shapiro&lt;/lastName&gt;&lt;firstName&gt;Gilla&lt;/firstName&gt;&lt;middleNames&gt;K&lt;/middleNames&gt;&lt;/author&gt;&lt;author&gt;&lt;lastName&gt;Perez&lt;/lastName&gt;&lt;firstName&gt;Samara&lt;/firstName&gt;&lt;/author&gt;&lt;author&gt;&lt;lastName&gt;Rosberger&lt;/lastName&gt;&lt;firstName&gt;Zeev&lt;/fir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[17]</w:t>
      </w:r>
      <w:r w:rsidRPr="00BA66F3">
        <w:rPr>
          <w:b/>
        </w:rPr>
        <w:fldChar w:fldCharType="end"/>
      </w:r>
      <w:r w:rsidR="007F786E" w:rsidRPr="00BA66F3">
        <w:t>.</w:t>
      </w:r>
      <w:r w:rsidRPr="00BA66F3">
        <w:rPr>
          <w:b/>
        </w:rPr>
        <w:t xml:space="preserve"> </w:t>
      </w:r>
      <w:r w:rsidRPr="00BA66F3">
        <w:t xml:space="preserve">Best practice guidance for discussing sexual </w:t>
      </w:r>
      <w:proofErr w:type="spellStart"/>
      <w:r w:rsidRPr="00BA66F3">
        <w:t>behaviour</w:t>
      </w:r>
      <w:proofErr w:type="spellEnd"/>
      <w:r w:rsidRPr="00BA66F3">
        <w:t xml:space="preserve"> has been produced from UK charities, such as Stonewall</w:t>
      </w:r>
      <w:r w:rsidR="003B32B5" w:rsidRPr="00BA66F3">
        <w:fldChar w:fldCharType="begin"/>
      </w:r>
      <w:r w:rsidR="00FB020F" w:rsidRPr="00BA66F3">
        <w:instrText xml:space="preserve"> ADDIN PAPERS2_CITATIONS &lt;citation&gt;&lt;priority&gt;0&lt;/priority&gt;&lt;uuid&gt;82675CAD-806F-41DF-87F2-C18BEA4B712E&lt;/uuid&gt;&lt;publications&gt;&lt;publication&gt;&lt;subtype&gt;700&lt;/subtype&gt;&lt;place&gt;London&lt;/place&gt;&lt;publisher&gt;Stonewall&lt;/publisher&gt;&lt;title&gt;Sexual Orientation&lt;/title&gt;&lt;url&gt;https://www.stonewall.org.uk/sites/default/files/stonewall-guide-for-the-nhs-web.pdf&lt;/url&gt;&lt;publication_date&gt;99201204221200000000222000&lt;/publication_date&gt;&lt;uuid&gt;839EFC41-0400-498E-B048-AFBF7361C5B2&lt;/uuid&gt;&lt;type&gt;700&lt;/type&gt;&lt;citekey&gt;Stonewall:2012ww&lt;/citekey&gt;&lt;startpage&gt;1&lt;/startpage&gt;&lt;endpage&gt;23&lt;/endpage&gt;&lt;authors&gt;&lt;author&gt;&lt;lastName&gt;Stonewall&lt;/lastName&gt;&lt;/author&gt;&lt;/authors&gt;&lt;/publication&gt;&lt;/publications&gt;&lt;cites&gt;&lt;/cites&gt;&lt;/citation&gt;</w:instrText>
      </w:r>
      <w:r w:rsidR="003B32B5" w:rsidRPr="00BA66F3">
        <w:fldChar w:fldCharType="separate"/>
      </w:r>
      <w:r w:rsidR="00FB020F" w:rsidRPr="00BA66F3">
        <w:rPr>
          <w:rFonts w:ascii="Helvetica" w:eastAsia="SimSun" w:hAnsi="Helvetica" w:cs="Helvetica"/>
          <w:color w:val="auto"/>
          <w:lang w:val="en-GB" w:eastAsia="zh-CN"/>
        </w:rPr>
        <w:t>[18]</w:t>
      </w:r>
      <w:r w:rsidR="003B32B5" w:rsidRPr="00BA66F3">
        <w:fldChar w:fldCharType="end"/>
      </w:r>
      <w:r w:rsidR="007F786E" w:rsidRPr="00BA66F3">
        <w:t>.</w:t>
      </w:r>
    </w:p>
    <w:p w14:paraId="0150968F" w14:textId="09172EA7" w:rsidR="00451DF7" w:rsidRPr="00BA66F3" w:rsidRDefault="00451DF7" w:rsidP="008D54D2">
      <w:pPr>
        <w:pStyle w:val="MDPI31text"/>
        <w:rPr>
          <w:b/>
        </w:rPr>
      </w:pPr>
      <w:r w:rsidRPr="00BA66F3">
        <w:t>It is crucial to engage widely with HCPs expected to vaccinate YMSM against HPV. Patients and parents of younger children place a strong emphasis on the recommendations (or otherwise) of a HCP in decision-making regarding vaccinations</w:t>
      </w:r>
      <w:r w:rsidR="007F786E" w:rsidRPr="00BA66F3">
        <w:rPr>
          <w:b/>
        </w:rPr>
        <w:t xml:space="preserve"> </w:t>
      </w:r>
      <w:r w:rsidRPr="00BA66F3">
        <w:rPr>
          <w:b/>
        </w:rPr>
        <w:fldChar w:fldCharType="begin"/>
      </w:r>
      <w:r w:rsidR="00FB020F" w:rsidRPr="00BA66F3">
        <w:instrText xml:space="preserve"> ADDIN PAPERS2_CITATIONS &lt;citation&gt;&lt;priority&gt;0&lt;/priority&gt;&lt;uuid&gt;03F27CF7-5C67-4800-810C-C19913B10744&lt;/uuid&gt;&lt;publications&gt;&lt;publication&gt;&lt;subtype&gt;400&lt;/subtype&gt;&lt;title&gt;Predictors of Human Papillomavirus Vaccination Among Young Men Who Have Sex With Men&lt;/title&gt;&lt;url&gt;http://content.wkhealth.com/linkback/openurl?sid=WKPTLP:landingpage&amp;amp;an=00007435-201603000-00007&lt;/url&gt;&lt;volume&gt;43&lt;/volume&gt;&lt;publication_date&gt;99201603001200000000220000&lt;/publication_date&gt;&lt;uuid&gt;475D9FE6-C99A-48C6-B37B-0D7803C04E5E&lt;/uuid&gt;&lt;type&gt;400&lt;/type&gt;&lt;number&gt;3&lt;/number&gt;&lt;citekey&gt;Gerend:2016ic&lt;/citekey&gt;&lt;doi&gt;10.1097/OLQ.0000000000000408&lt;/doi&gt;&lt;startpage&gt;185&lt;/startpage&gt;&lt;endpage&gt;191&lt;/endpage&gt;&lt;bundle&gt;&lt;publication&gt;&lt;title&gt;Sexually Transmitted Diseases&lt;/title&gt;&lt;uuid&gt;BAF18844-8AC5-4DD4-A2CB-26E2648ED0E6&lt;/uuid&gt;&lt;subtype&gt;-100&lt;/subtype&gt;&lt;type&gt;-100&lt;/type&gt;&lt;/publication&gt;&lt;/bundle&gt;&lt;authors&gt;&lt;author&gt;&lt;lastName&gt;Gerend&lt;/lastName&gt;&lt;firstName&gt;Mary&lt;/firstName&gt;&lt;middleNames&gt;A&lt;/middleNames&gt;&lt;/author&gt;&lt;author&gt;&lt;lastName&gt;Madkins&lt;/lastName&gt;&lt;firstName&gt;Krystal&lt;/firstName&gt;&lt;/author&gt;&lt;author&gt;&lt;lastName&gt;Phillips&lt;/lastName&gt;&lt;firstName&gt;Gregory&lt;/firstName&gt;&lt;suffix&gt;II&lt;/suffix&gt;&lt;/author&gt;&lt;author&gt;&lt;lastName&gt;Mustanski&lt;/lastName&gt;&lt;firstName&gt;Brian&lt;/firstName&gt;&lt;/author&gt;&lt;/authors&gt;&lt;/publication&gt;&lt;publication&gt;&lt;subtype&gt;400&lt;/subtype&gt;&lt;publisher&gt;Elsevier Ltd&lt;/publisher&gt;&lt;title&gt;Factors associated with human papillomavirus vaccine-series initiation and healthcare provider recommendation in US adolescent females: 2007 National Survey of Children's Health&lt;/title&gt;&lt;url&gt;http://dx.doi.org/10.1016/j.vaccine.2012.02.034&lt;/url&gt;&lt;volume&gt;30&lt;/volume&gt;&lt;publication_date&gt;99201204261200000000222000&lt;/publication_date&gt;&lt;uuid&gt;D34FEF68-F12A-4EFB-B4CC-20A3F24DA0B5&lt;/uuid&gt;&lt;type&gt;400&lt;/type&gt;&lt;number&gt;20&lt;/number&gt;&lt;citekey&gt;Lau:2012cj&lt;/citekey&gt;&lt;doi&gt;10.1016/j.vaccine.2012.02.034&lt;/doi&gt;&lt;startpage&gt;3112&lt;/startpage&gt;&lt;endpage&gt;3118&lt;/endpage&gt;&lt;bundle&gt;&lt;publication&gt;&lt;title&gt;Vaccine&lt;/title&gt;&lt;uuid&gt;C03EC74C-C7EB-4B54-AF8E-2C394CCDD9D5&lt;/uuid&gt;&lt;subtype&gt;-100&lt;/subtype&gt;&lt;publisher&gt;Elsevier Ltd&lt;/publisher&gt;&lt;type&gt;-100&lt;/type&gt;&lt;/publication&gt;&lt;/bundle&gt;&lt;authors&gt;&lt;author&gt;&lt;lastName&gt;Lau&lt;/lastName&gt;&lt;firstName&gt;May&lt;/firstName&gt;&lt;/author&gt;&lt;author&gt;&lt;lastName&gt;Lin&lt;/lastName&gt;&lt;firstName&gt;Hua&lt;/firstName&gt;&lt;/author&gt;&lt;author&gt;&lt;lastName&gt;Flores&lt;/lastName&gt;&lt;firstName&gt;Glenn&lt;/firstName&gt;&lt;/author&gt;&lt;/authors&gt;&lt;/publication&gt;&lt;publication&gt;&lt;subtype&gt;400&lt;/subtype&gt;&lt;publisher&gt;Elsevier Ltd&lt;/publisher&gt;&lt;title&gt;Predictors of HPV vaccine uptake among women aged 19-26: Importance of a physician's recommendation&lt;/title&gt;&lt;url&gt;http://dx.doi.org/10.1016/j.vaccine.2009.12.063&lt;/url&gt;&lt;volume&gt;29&lt;/volume&gt;&lt;publication_date&gt;99201101291200000000222000&lt;/publication_date&gt;&lt;uuid&gt;B32C5CDE-3DD1-4588-B70E-C20AF3AD9F50&lt;/uuid&gt;&lt;type&gt;400&lt;/type&gt;&lt;number&gt;5&lt;/number&gt;&lt;citekey&gt;Rosenthal:2011kx&lt;/citekey&gt;&lt;doi&gt;10.1016/j.vaccine.2009.12.063&lt;/doi&gt;&lt;startpage&gt;890&lt;/startpage&gt;&lt;endpage&gt;895&lt;/endpage&gt;&lt;bundle&gt;&lt;publication&gt;&lt;title&gt;Vaccine&lt;/title&gt;&lt;uuid&gt;C03EC74C-C7EB-4B54-AF8E-2C394CCDD9D5&lt;/uuid&gt;&lt;subtype&gt;-100&lt;/subtype&gt;&lt;publisher&gt;Elsevier Ltd&lt;/publisher&gt;&lt;type&gt;-100&lt;/type&gt;&lt;/publication&gt;&lt;/bundle&gt;&lt;authors&gt;&lt;author&gt;&lt;lastName&gt;Rosenthal&lt;/lastName&gt;&lt;firstName&gt;S&lt;/firstName&gt;&lt;middleNames&gt;L&lt;/middleNames&gt;&lt;/author&gt;&lt;author&gt;&lt;lastName&gt;Weiss&lt;/lastName&gt;&lt;firstName&gt;T&lt;/firstName&gt;&lt;middleNames&gt;W&lt;/middleNames&gt;&lt;/author&gt;&lt;author&gt;&lt;lastName&gt;Zimet&lt;/lastName&gt;&lt;firstName&gt;G&lt;/firstName&gt;&lt;middleNames&gt;D&lt;/middleNames&gt;&lt;/author&gt;&lt;author&gt;&lt;lastName&gt;Ma&lt;/lastName&gt;&lt;firstName&gt;L&lt;/firstName&gt;&lt;/author&gt;&lt;author&gt;&lt;lastName&gt;Good&lt;/lastName&gt;&lt;firstName&gt;M&lt;/firstName&gt;&lt;middleNames&gt;B&lt;/middleNames&gt;&lt;/author&gt;&lt;author&gt;&lt;lastName&gt;Vichnin&lt;/lastName&gt;&lt;firstName&gt;M&lt;/firstName&gt;&lt;middleNames&gt;D&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[19-21]</w:t>
      </w:r>
      <w:r w:rsidRPr="00BA66F3">
        <w:rPr>
          <w:b/>
        </w:rPr>
        <w:fldChar w:fldCharType="end"/>
      </w:r>
      <w:r w:rsidR="007F786E" w:rsidRPr="00BA66F3">
        <w:t>.</w:t>
      </w:r>
      <w:r w:rsidRPr="00BA66F3">
        <w:t xml:space="preserve"> GPs will arguably have more opportunity to vaccinate men before sexual debut compared to GUM clinics, given that men are more likely to attend a GUM clinic after the first sexual encounter</w:t>
      </w:r>
      <w:r w:rsidR="007F786E" w:rsidRPr="00BA66F3">
        <w:rPr>
          <w:b/>
        </w:rPr>
        <w:t xml:space="preserve"> </w:t>
      </w:r>
      <w:r w:rsidRPr="00BA66F3">
        <w:rPr>
          <w:b/>
        </w:rPr>
        <w:fldChar w:fldCharType="begin"/>
      </w:r>
      <w:r w:rsidR="00FB020F" w:rsidRPr="00BA66F3">
        <w:instrText xml:space="preserve"> ADDIN PAPERS2_CITATIONS &lt;citation&gt;&lt;priority&gt;0&lt;/priority&gt;&lt;uuid&gt;BA859AF3-1A15-4ED5-AE16-B1CBD4CB21CB&lt;/uuid&gt;&lt;publications&gt;&lt;publication&gt;&lt;subtype&gt;400&lt;/subtype&gt;&lt;publisher&gt;Elsevier Ltd&lt;/publisher&gt;&lt;title&gt;Acceptability of human papillomavirus vaccination and sexual experience prior to disclosure to health care providers among men who have sex with men in Vancouver, Canada: Implications for targeted vaccination programs&lt;/title&gt;&lt;url&gt;http://dx.doi.org/10.1016/j.vaccine.2012.07.001&lt;/url&gt;&lt;volume&gt;30&lt;/volume&gt;&lt;publication_date&gt;99201208241200000000222000&lt;/publication_date&gt;&lt;uuid&gt;39AC3D78-D8F5-4FAA-8EFB-BD10B93E5B31&lt;/uuid&gt;&lt;type&gt;400&lt;/type&gt;&lt;number&gt;39&lt;/number&gt;&lt;citekey&gt;Rank:2012dt&lt;/citekey&gt;&lt;doi&gt;10.1016/j.vaccine.2012.07.001&lt;/doi&gt;&lt;startpage&gt;5755&lt;/startpage&gt;&lt;endpage&gt;5760&lt;/endpage&gt;&lt;bundle&gt;&lt;publication&gt;&lt;title&gt;Vaccine&lt;/title&gt;&lt;uuid&gt;C03EC74C-C7EB-4B54-AF8E-2C394CCDD9D5&lt;/uuid&gt;&lt;subtype&gt;-100&lt;/subtype&gt;&lt;publisher&gt;Elsevier Ltd&lt;/publisher&gt;&lt;type&gt;-100&lt;/type&gt;&lt;/publication&gt;&lt;/bundle&gt;&lt;authors&gt;&lt;author&gt;&lt;lastName&gt;Rank&lt;/lastName&gt;&lt;firstName&gt;Claudia&lt;/firstName&gt;&lt;/author&gt;&lt;author&gt;&lt;lastName&gt;Gilbert&lt;/lastName&gt;&lt;firstName&gt;Mark&lt;/firstName&gt;&lt;/author&gt;&lt;author&gt;&lt;lastName&gt;Ogilvie&lt;/lastName&gt;&lt;firstName&gt;Gina&lt;/firstName&gt;&lt;/author&gt;&lt;author&gt;&lt;lastName&gt;Jayaraman&lt;/lastName&gt;&lt;firstName&gt;Gayatri&lt;/firstName&gt;&lt;middleNames&gt;C&lt;/middleNames&gt;&lt;/author&gt;&lt;author&gt;&lt;lastName&gt;Marchand&lt;/lastName&gt;&lt;firstName&gt;Rick&lt;/firstName&gt;&lt;/author&gt;&lt;author&gt;&lt;lastName&gt;Trussler&lt;/lastName&gt;&lt;firstName&gt;Terry&lt;/firstName&gt;&lt;/author&gt;&lt;author&gt;&lt;lastName&gt;Hogg&lt;/lastName&gt;&lt;firstName&gt;Robert&lt;/firstName&gt;&lt;middleNames&gt;S&lt;/middleNames&gt;&lt;/author&gt;&lt;author&gt;&lt;lastName&gt;Gustafson&lt;/lastName&gt;&lt;firstName&gt;Reka&lt;/firstName&gt;&lt;/author&gt;&lt;author&gt;&lt;lastName&gt;Wong&lt;/lastName&gt;&lt;firstName&gt;Tom&lt;/firstName&gt;&lt;/author&gt;&lt;author&gt;&lt;lastName&gt;Team1&lt;/lastName&gt;&lt;firstName&gt;The&lt;/firstName&gt;&lt;middleNames&gt;ManCount Study&lt;/middleNames&gt;&lt;/author&gt;&lt;/authors&gt;&lt;/publication&gt;&lt;/publications&gt;&lt;cites&gt;&lt;/cites&gt;&lt;/citation&gt;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[15]</w:t>
      </w:r>
      <w:r w:rsidRPr="00BA66F3">
        <w:rPr>
          <w:b/>
        </w:rPr>
        <w:fldChar w:fldCharType="end"/>
      </w:r>
      <w:r w:rsidR="007F786E" w:rsidRPr="00BA66F3">
        <w:t>.</w:t>
      </w:r>
      <w:r w:rsidRPr="00BA66F3">
        <w:t xml:space="preserve"> It is also important to identify appropriate strategies to support any new HPV vaccination </w:t>
      </w:r>
      <w:proofErr w:type="spellStart"/>
      <w:r w:rsidRPr="00BA66F3">
        <w:t>programmes</w:t>
      </w:r>
      <w:proofErr w:type="spellEnd"/>
      <w:r w:rsidRPr="00BA66F3">
        <w:t xml:space="preserve"> in the future and highlight any barriers and facilitators to the </w:t>
      </w:r>
      <w:proofErr w:type="spellStart"/>
      <w:r w:rsidRPr="00BA66F3">
        <w:t>programmes’</w:t>
      </w:r>
      <w:proofErr w:type="spellEnd"/>
      <w:r w:rsidRPr="00BA66F3">
        <w:t xml:space="preserve"> effective implementation.</w:t>
      </w:r>
    </w:p>
    <w:p w14:paraId="0BAC8A86" w14:textId="596583EC" w:rsidR="00081329" w:rsidRPr="00BA66F3" w:rsidRDefault="00451DF7" w:rsidP="008D54D2">
      <w:pPr>
        <w:pStyle w:val="MDPI31text"/>
      </w:pPr>
      <w:r w:rsidRPr="00BA66F3">
        <w:t xml:space="preserve">In a survey of 131 sexual healthcare professionals (SHCPs), 95% of clinicians supported a targeted HPV vaccination </w:t>
      </w:r>
      <w:proofErr w:type="spellStart"/>
      <w:r w:rsidRPr="00BA66F3">
        <w:t>programme</w:t>
      </w:r>
      <w:proofErr w:type="spellEnd"/>
      <w:r w:rsidRPr="00BA66F3">
        <w:t xml:space="preserve"> in MSM within GUM services but expressed concern that alone this strategy was too late and too limited for most MSM</w:t>
      </w:r>
      <w:r w:rsidR="007F786E" w:rsidRPr="00BA66F3">
        <w:rPr>
          <w:b/>
        </w:rPr>
        <w:t xml:space="preserve"> </w:t>
      </w:r>
      <w:r w:rsidRPr="00BA66F3">
        <w:rPr>
          <w:b/>
        </w:rPr>
        <w:fldChar w:fldCharType="begin"/>
      </w:r>
      <w:r w:rsidR="00FB020F" w:rsidRPr="00BA66F3">
        <w:instrText xml:space="preserve"> ADDIN PAPERS2_CITATIONS &lt;citation&gt;&lt;priority&gt;0&lt;/priority&gt;&lt;uuid&gt;66881A87-FC13-4A6A-B0AF-712C8E461D4E&lt;/uuid&gt;&lt;publications&gt;&lt;publication&gt;&lt;subtype&gt;400&lt;/subtype&gt;&lt;title&gt;Attitudes towards HPV vaccination for boys among sexual health clinicians&lt;/title&gt;&lt;url&gt;https://www.google.co.uk/&lt;/url&gt;&lt;volume&gt;91&lt;/volume&gt;&lt;publication_date&gt;99201506251200000000222000&lt;/publication_date&gt;&lt;uuid&gt;9F852A60-F611-4D5E-BE2E-3818DD015487&lt;/uuid&gt;&lt;type&gt;400&lt;/type&gt;&lt;citekey&gt;Draeger:2015vy&lt;/citekey&gt;&lt;startpage&gt;1&lt;/startpage&gt;&lt;endpage&gt;16&lt;/endpage&gt;&lt;bundle&gt;&lt;publication&gt;&lt;title&gt;Sexually Transmitted Infections&lt;/title&gt;&lt;uuid&gt;6146E8D0-4BA4-4725-A3C7-142B42163D10&lt;/uuid&gt;&lt;subtype&gt;-100&lt;/subtype&gt;&lt;type&gt;-100&lt;/type&gt;&lt;/publication&gt;&lt;/bundle&gt;&lt;authors&gt;&lt;author&gt;&lt;lastName&gt;Draeger&lt;/lastName&gt;&lt;firstName&gt;E&lt;/firstName&gt;&lt;/author&gt;&lt;author&gt;&lt;lastName&gt;McSorley&lt;/lastName&gt;&lt;firstName&gt;J&lt;/firstName&gt;&lt;/author&gt;&lt;author&gt;&lt;lastName&gt;Greenhouse&lt;/lastName&gt;&lt;firstName&gt;P&lt;/firstName&gt;&lt;/author&gt;&lt;author&gt;&lt;lastName&gt;Clarke&lt;/lastName&gt;&lt;firstName&gt;J&lt;/fir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[22]</w:t>
      </w:r>
      <w:r w:rsidRPr="00BA66F3">
        <w:rPr>
          <w:b/>
        </w:rPr>
        <w:fldChar w:fldCharType="end"/>
      </w:r>
      <w:r w:rsidR="007F786E" w:rsidRPr="00BA66F3">
        <w:t>.</w:t>
      </w:r>
      <w:r w:rsidRPr="00BA66F3">
        <w:t xml:space="preserve"> This study was specific to clinicians with expertise in sexual health, and did not include other HCPs who may be involved in vaccination, such as GPs. It was also conducted prior to the recent JCVI recommendation. The aim of this study is to understand and compare the knowledge, perceptions</w:t>
      </w:r>
      <w:r w:rsidR="00BD3765" w:rsidRPr="00BA66F3">
        <w:t>,</w:t>
      </w:r>
      <w:r w:rsidRPr="00BA66F3">
        <w:t xml:space="preserve"> and attitudes of UK GPs and SHCPs regarding HPV vaccination for YMSM.</w:t>
      </w:r>
    </w:p>
    <w:p w14:paraId="0BC3D47A" w14:textId="77777777" w:rsidR="00081329" w:rsidRPr="00BA66F3" w:rsidRDefault="00081329">
      <w:pPr>
        <w:spacing w:line="240" w:lineRule="auto"/>
        <w:jc w:val="left"/>
        <w:rPr>
          <w:rFonts w:ascii="Palatino Linotype" w:hAnsi="Palatino Linotype"/>
          <w:snapToGrid w:val="0"/>
          <w:sz w:val="20"/>
          <w:szCs w:val="22"/>
          <w:lang w:bidi="en-US"/>
        </w:rPr>
      </w:pPr>
      <w:r w:rsidRPr="00BA66F3">
        <w:br w:type="page"/>
      </w:r>
    </w:p>
    <w:p w14:paraId="754AEE5A" w14:textId="3CFF3758" w:rsidR="00451DF7" w:rsidRPr="00BA66F3" w:rsidRDefault="00451DF7" w:rsidP="008D54D2">
      <w:pPr>
        <w:pStyle w:val="MDPI21heading1"/>
      </w:pPr>
      <w:r w:rsidRPr="00BA66F3">
        <w:rPr>
          <w:lang w:eastAsia="zh-CN"/>
        </w:rPr>
        <w:lastRenderedPageBreak/>
        <w:t xml:space="preserve">2. </w:t>
      </w:r>
      <w:r w:rsidR="007F786E" w:rsidRPr="00BA66F3">
        <w:t>Materials and Methods</w:t>
      </w:r>
    </w:p>
    <w:p w14:paraId="56A6D676" w14:textId="2682EAF9" w:rsidR="00451DF7" w:rsidRPr="00BA66F3" w:rsidRDefault="00451DF7" w:rsidP="008D54D2">
      <w:pPr>
        <w:pStyle w:val="MDPI31text"/>
        <w:rPr>
          <w:b/>
        </w:rPr>
      </w:pPr>
      <w:r w:rsidRPr="00BA66F3">
        <w:rPr>
          <w:spacing w:val="-4"/>
        </w:rPr>
        <w:t>An exploratory cross-sectional survey of GPs and SHCPs was conducted as part of a mixed-methods</w:t>
      </w:r>
      <w:r w:rsidRPr="00BA66F3">
        <w:t xml:space="preserve"> study. SCHPs included GUM consultants, doctors-in-training, and nurses working in sexual health clinics. Between September 2016 and January 2017, convenience sampling was used to recruit participants through an email invitation distributed by the Royal College of General Practitioners (RCGP), British HIV Association (BHIVA), British </w:t>
      </w:r>
      <w:r w:rsidR="00BD3765" w:rsidRPr="00BA66F3">
        <w:t xml:space="preserve">Association </w:t>
      </w:r>
      <w:r w:rsidRPr="00BA66F3">
        <w:t>for Sexual Health</w:t>
      </w:r>
      <w:r w:rsidR="00BD3765" w:rsidRPr="00BA66F3">
        <w:t xml:space="preserve"> and HIV</w:t>
      </w:r>
      <w:r w:rsidRPr="00BA66F3">
        <w:t xml:space="preserve"> (BASHH), Society of Sexual Health Advisors (SSHV), </w:t>
      </w:r>
      <w:r w:rsidR="00BD3765" w:rsidRPr="00BA66F3">
        <w:t>Society for the Study of Sexually Transmitted Diseases in Ireland (</w:t>
      </w:r>
      <w:r w:rsidRPr="00BA66F3">
        <w:t>SSSTDI</w:t>
      </w:r>
      <w:r w:rsidR="00BD3765" w:rsidRPr="00BA66F3">
        <w:t>)</w:t>
      </w:r>
      <w:r w:rsidRPr="00BA66F3">
        <w:t>, and the University of Bristol Centre for Academic Primary Care (CAPC). The email invitation included a link to the online survey and a participant information sheet which explained that participation implied consent. At the end of the anonymous survey</w:t>
      </w:r>
      <w:r w:rsidR="00BB62ED" w:rsidRPr="00BA66F3">
        <w:t>,</w:t>
      </w:r>
      <w:r w:rsidRPr="00BA66F3">
        <w:t xml:space="preserve"> GPs were invited to provide contact details if they wished to take part in a follow-up interview (findings not yet published). Similar to Nadarzynski et al.</w:t>
      </w:r>
      <w:r w:rsidR="007F786E" w:rsidRPr="00BA66F3">
        <w:t xml:space="preserve"> </w:t>
      </w:r>
      <w:r w:rsidRPr="00BA66F3">
        <w:rPr>
          <w:b/>
        </w:rPr>
        <w:fldChar w:fldCharType="begin"/>
      </w:r>
      <w:r w:rsidR="00FB020F" w:rsidRPr="00BA66F3">
        <w:instrText xml:space="preserve"> ADDIN PAPERS2_CITATIONS &lt;citation&gt;&lt;priority&gt;0&lt;/priority&gt;&lt;uuid&gt;DAA7CA90-FDA2-40BA-8B41-23A44D75C3E9&lt;/uuid&gt;&lt;publications&gt;&lt;publication&gt;&lt;subtype&gt;400&lt;/subtype&gt;&lt;publisher&gt;Nature Publishing Group&lt;/publisher&gt;&lt;title&gt;Sexual healthcare professionals' views on HPV vaccination for men in the UK&lt;/title&gt;&lt;url&gt;http://dx.doi.org/10.1038/bjc.2015.403&lt;/url&gt;&lt;publication_date&gt;99201511171200000000222000&lt;/publication_date&gt;&lt;uuid&gt;12FF9E8D-5080-482D-B253-DED7725B362D&lt;/uuid&gt;&lt;type&gt;400&lt;/type&gt;&lt;citekey&gt;Nadarzynski:2015ho&lt;/citekey&gt;&lt;doi&gt;10.1038/bjc.2015.403&lt;/doi&gt;&lt;startpage&gt;1&lt;/startpage&gt;&lt;endpage&gt;3&lt;/endpage&gt;&lt;bundle&gt;&lt;publication&gt;&lt;title&gt;British Journal of Cancer&lt;/title&gt;&lt;uuid&gt;D9E20D05-A2D4-4C28-A2FF-52DAD63F4639&lt;/uuid&gt;&lt;subtype&gt;-100&lt;/subtype&gt;&lt;publisher&gt;Nature Publishing Group&lt;/publisher&gt;&lt;type&gt;-100&lt;/type&gt;&lt;/publication&gt;&lt;/bundle&gt;&lt;authors&gt;&lt;author&gt;&lt;lastName&gt;Nadarzynski&lt;/lastName&gt;&lt;firstName&gt;Tom&lt;/firstName&gt;&lt;/author&gt;&lt;author&gt;&lt;lastName&gt;Smith&lt;/lastName&gt;&lt;firstName&gt;Helen&lt;/firstName&gt;&lt;middleNames&gt;E&lt;/middleNames&gt;&lt;/author&gt;&lt;author&gt;&lt;lastName&gt;Richardson&lt;/lastName&gt;&lt;firstName&gt;Daniel&lt;/firstName&gt;&lt;/author&gt;&lt;author&gt;&lt;lastName&gt;Ford&lt;/lastName&gt;&lt;firstName&gt;Elizabeth&lt;/firstName&gt;&lt;/author&gt;&lt;author&gt;&lt;lastName&gt;Llewellyn&lt;/lastName&gt;&lt;firstName&gt;Carrie&lt;/firstName&gt;&lt;middleNames&gt;D&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[23]</w:t>
      </w:r>
      <w:r w:rsidRPr="00BA66F3">
        <w:rPr>
          <w:b/>
        </w:rPr>
        <w:fldChar w:fldCharType="end"/>
      </w:r>
      <w:r w:rsidR="008C335D" w:rsidRPr="00BA66F3">
        <w:rPr>
          <w:b/>
        </w:rPr>
        <w:t>,</w:t>
      </w:r>
      <w:r w:rsidRPr="00BA66F3">
        <w:t xml:space="preserve"> participants were asked to distribute the e-survey to co-workers to increase the number of responses using snowballing techniques.</w:t>
      </w:r>
    </w:p>
    <w:p w14:paraId="597E5458" w14:textId="343DEC40" w:rsidR="00451DF7" w:rsidRPr="00BA66F3" w:rsidRDefault="00451DF7" w:rsidP="008D54D2">
      <w:pPr>
        <w:pStyle w:val="MDPI31text"/>
        <w:rPr>
          <w:b/>
        </w:rPr>
      </w:pPr>
      <w:r w:rsidRPr="00BA66F3">
        <w:t xml:space="preserve">The questionnaire aimed to capture knowledge and attitudes towards HPV vaccination for YMSM, as well as any barriers or facilitators. YMSM were chosen as the focus for this study as greater understanding of factors affecting HPV vaccination in this age group could improve the efficacy of HPV vaccination </w:t>
      </w:r>
      <w:proofErr w:type="spellStart"/>
      <w:r w:rsidRPr="00BA66F3">
        <w:t>programmes</w:t>
      </w:r>
      <w:proofErr w:type="spellEnd"/>
      <w:r w:rsidRPr="00BA66F3">
        <w:t xml:space="preserve"> for MSM by targeting younger men before they engage in sexual activity. Questionnaire content was informed by a study steering group comprising </w:t>
      </w:r>
      <w:r w:rsidR="00BB62ED" w:rsidRPr="00BA66F3">
        <w:t>two</w:t>
      </w:r>
      <w:r w:rsidR="00FE7ADF" w:rsidRPr="00BA66F3">
        <w:rPr>
          <w:color w:val="FF0000"/>
        </w:rPr>
        <w:t xml:space="preserve"> </w:t>
      </w:r>
      <w:r w:rsidR="00FE7ADF" w:rsidRPr="00BA66F3">
        <w:t>lesbian, gay, bisexual, transgender</w:t>
      </w:r>
      <w:r w:rsidR="00FB020F" w:rsidRPr="00BA66F3">
        <w:t xml:space="preserve"> and queer (LGBTQ)</w:t>
      </w:r>
      <w:r w:rsidRPr="00BA66F3">
        <w:t xml:space="preserve"> </w:t>
      </w:r>
      <w:r w:rsidR="00FB020F" w:rsidRPr="00BA66F3">
        <w:t xml:space="preserve">group </w:t>
      </w:r>
      <w:r w:rsidRPr="00BA66F3">
        <w:t xml:space="preserve">stakeholders and </w:t>
      </w:r>
      <w:r w:rsidR="00BB62ED" w:rsidRPr="00BA66F3">
        <w:t xml:space="preserve">three </w:t>
      </w:r>
      <w:r w:rsidRPr="00BA66F3">
        <w:t>MSM sexual health researchers from England and Northern Ireland, and piloted with HCPs prior to wider distribution. The questionnaire was adapted from a HCP HPV attitude scale developed by Nadarzynski et al.</w:t>
      </w:r>
      <w:r w:rsidR="007F786E" w:rsidRPr="00BA66F3">
        <w:rPr>
          <w:b/>
        </w:rPr>
        <w:t xml:space="preserve"> </w:t>
      </w:r>
      <w:r w:rsidRPr="00BA66F3">
        <w:rPr>
          <w:b/>
        </w:rPr>
        <w:fldChar w:fldCharType="begin"/>
      </w:r>
      <w:r w:rsidR="00FB020F" w:rsidRPr="00BA66F3">
        <w:instrText xml:space="preserve"> ADDIN PAPERS2_CITATIONS &lt;citation&gt;&lt;priority&gt;0&lt;/priority&gt;&lt;uuid&gt;BD8CE312-043C-4FC8-92A3-9B7952C2BCA7&lt;/uuid&gt;&lt;publications&gt;&lt;publication&gt;&lt;subtype&gt;400&lt;/subtype&gt;&lt;publisher&gt;Nature Publishing Group&lt;/publisher&gt;&lt;title&gt;Sexual healthcare professionals' views on HPV vaccination for men in the UK&lt;/title&gt;&lt;url&gt;http://dx.doi.org/10.1038/bjc.2015.403&lt;/url&gt;&lt;publication_date&gt;99201511171200000000222000&lt;/publication_date&gt;&lt;uuid&gt;12FF9E8D-5080-482D-B253-DED7725B362D&lt;/uuid&gt;&lt;type&gt;400&lt;/type&gt;&lt;citekey&gt;Nadarzynski:2015ho&lt;/citekey&gt;&lt;doi&gt;10.1038/bjc.2015.403&lt;/doi&gt;&lt;startpage&gt;1&lt;/startpage&gt;&lt;endpage&gt;3&lt;/endpage&gt;&lt;bundle&gt;&lt;publication&gt;&lt;title&gt;British Journal of Cancer&lt;/title&gt;&lt;uuid&gt;D9E20D05-A2D4-4C28-A2FF-52DAD63F4639&lt;/uuid&gt;&lt;subtype&gt;-100&lt;/subtype&gt;&lt;publisher&gt;Nature Publishing Group&lt;/publisher&gt;&lt;type&gt;-100&lt;/type&gt;&lt;/publication&gt;&lt;/bundle&gt;&lt;authors&gt;&lt;author&gt;&lt;lastName&gt;Nadarzynski&lt;/lastName&gt;&lt;firstName&gt;Tom&lt;/firstName&gt;&lt;/author&gt;&lt;author&gt;&lt;lastName&gt;Smith&lt;/lastName&gt;&lt;firstName&gt;Helen&lt;/firstName&gt;&lt;middleNames&gt;E&lt;/middleNames&gt;&lt;/author&gt;&lt;author&gt;&lt;lastName&gt;Richardson&lt;/lastName&gt;&lt;firstName&gt;Daniel&lt;/firstName&gt;&lt;/author&gt;&lt;author&gt;&lt;lastName&gt;Ford&lt;/lastName&gt;&lt;firstName&gt;Elizabeth&lt;/firstName&gt;&lt;/author&gt;&lt;author&gt;&lt;lastName&gt;Llewellyn&lt;/lastName&gt;&lt;firstName&gt;Carrie&lt;/firstName&gt;&lt;middleNames&gt;D&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[23]</w:t>
      </w:r>
      <w:r w:rsidRPr="00BA66F3">
        <w:rPr>
          <w:b/>
        </w:rPr>
        <w:fldChar w:fldCharType="end"/>
      </w:r>
      <w:r w:rsidR="008C335D" w:rsidRPr="00BA66F3">
        <w:rPr>
          <w:b/>
        </w:rPr>
        <w:t>,</w:t>
      </w:r>
      <w:r w:rsidRPr="00BA66F3">
        <w:t xml:space="preserve"> and a HCP pre-exposure prophylaxis (</w:t>
      </w:r>
      <w:proofErr w:type="spellStart"/>
      <w:r w:rsidRPr="00BA66F3">
        <w:t>PrEP</w:t>
      </w:r>
      <w:proofErr w:type="spellEnd"/>
      <w:r w:rsidRPr="00BA66F3">
        <w:t>) knowledge and attitude scale</w:t>
      </w:r>
      <w:r w:rsidR="003B32B5" w:rsidRPr="00BA66F3">
        <w:fldChar w:fldCharType="begin"/>
      </w:r>
      <w:r w:rsidR="00FB020F" w:rsidRPr="00BA66F3">
        <w:instrText xml:space="preserve"> ADDIN PAPERS2_CITATIONS &lt;citation&gt;&lt;priority&gt;0&lt;/priority&gt;&lt;uuid&gt;A19E040F-65EF-406D-A738-E36C241D160A&lt;/uuid&gt;&lt;publications&gt;&lt;publication&gt;&lt;subtype&gt;400&lt;/subtype&gt;&lt;title&gt;Healthcare providers' knowledge of, attitudes to and practice of pre-exposure prophylaxis for HIV infection&lt;/title&gt;&lt;url&gt;http://doi.wiley.com/10.1111/hiv.12285&lt;/url&gt;&lt;volume&gt;17&lt;/volume&gt;&lt;publication_date&gt;99201507141200000000222000&lt;/publication_date&gt;&lt;uuid&gt;9FFAAF0A-1140-4537-95B8-E0C3FBF05588&lt;/uuid&gt;&lt;type&gt;400&lt;/type&gt;&lt;number&gt;2&lt;/number&gt;&lt;citekey&gt;Desai:2015eq&lt;/citekey&gt;&lt;subtitle&gt;HCP knowledge of, attitudes to and practice of PrEP&lt;/subtitle&gt;&lt;doi&gt;10.1111/hiv.12285&lt;/doi&gt;&lt;startpage&gt;133&lt;/startpage&gt;&lt;endpage&gt;142&lt;/endpage&gt;&lt;bundle&gt;&lt;publication&gt;&lt;title&gt;HIV Medicine&lt;/title&gt;&lt;uuid&gt;00F4C1B0-8626-44A7-B8A1-5C5DA88B3F34&lt;/uuid&gt;&lt;subtype&gt;-100&lt;/subtype&gt;&lt;type&gt;-100&lt;/type&gt;&lt;/publication&gt;&lt;/bundle&gt;&lt;authors&gt;&lt;author&gt;&lt;lastName&gt;Desai&lt;/lastName&gt;&lt;firstName&gt;M&lt;/firstName&gt;&lt;/author&gt;&lt;author&gt;&lt;lastName&gt;Gafos&lt;/lastName&gt;&lt;firstName&gt;M&lt;/firstName&gt;&lt;/author&gt;&lt;author&gt;&lt;lastName&gt;Dolling&lt;/lastName&gt;&lt;firstName&gt;D&lt;/firstName&gt;&lt;/author&gt;&lt;author&gt;&lt;lastName&gt;McCormack&lt;/lastName&gt;&lt;firstName&gt;S&lt;/firstName&gt;&lt;/author&gt;&lt;author&gt;&lt;lastName&gt;Nardone&lt;/lastName&gt;&lt;firstName&gt;A&lt;/firstName&gt;&lt;/author&gt;&lt;author&gt;&lt;lastName&gt;PROUD study&lt;/lastName&gt;&lt;/author&gt;&lt;/authors&gt;&lt;/publication&gt;&lt;/publications&gt;&lt;cites&gt;&lt;/cites&gt;&lt;/citation&gt;</w:instrText>
      </w:r>
      <w:r w:rsidR="003B32B5" w:rsidRPr="00BA66F3">
        <w:fldChar w:fldCharType="separate"/>
      </w:r>
      <w:r w:rsidR="00FB020F" w:rsidRPr="00BA66F3">
        <w:rPr>
          <w:rFonts w:ascii="Helvetica" w:eastAsia="SimSun" w:hAnsi="Helvetica" w:cs="Helvetica"/>
          <w:color w:val="auto"/>
          <w:lang w:val="en-GB" w:eastAsia="zh-CN"/>
        </w:rPr>
        <w:t>[24]</w:t>
      </w:r>
      <w:r w:rsidR="003B32B5" w:rsidRPr="00BA66F3">
        <w:fldChar w:fldCharType="end"/>
      </w:r>
      <w:r w:rsidR="007F786E" w:rsidRPr="00BA66F3">
        <w:t>.</w:t>
      </w:r>
      <w:r w:rsidRPr="00BA66F3">
        <w:t xml:space="preserve"> Question items focused on the barriers and facilitators to vaccinating YMSM provided pre-specified options based on existing literature, with an option for free text responses. Individual questionnaire items used either binary (</w:t>
      </w:r>
      <w:r w:rsidR="008C335D" w:rsidRPr="00BA66F3">
        <w:t>“</w:t>
      </w:r>
      <w:r w:rsidRPr="00BA66F3">
        <w:t>yes</w:t>
      </w:r>
      <w:r w:rsidR="008C335D" w:rsidRPr="00BA66F3">
        <w:t>”</w:t>
      </w:r>
      <w:r w:rsidRPr="00BA66F3">
        <w:t xml:space="preserve"> or </w:t>
      </w:r>
      <w:r w:rsidR="008C335D" w:rsidRPr="00BA66F3">
        <w:t>“</w:t>
      </w:r>
      <w:r w:rsidRPr="00BA66F3">
        <w:t>no</w:t>
      </w:r>
      <w:r w:rsidR="008C335D" w:rsidRPr="00BA66F3">
        <w:t>”</w:t>
      </w:r>
      <w:r w:rsidRPr="00BA66F3">
        <w:t>) or ordinal (</w:t>
      </w:r>
      <w:r w:rsidR="008C335D" w:rsidRPr="00BA66F3">
        <w:t>“</w:t>
      </w:r>
      <w:r w:rsidRPr="00BA66F3">
        <w:t>high</w:t>
      </w:r>
      <w:r w:rsidR="008C335D" w:rsidRPr="00BA66F3">
        <w:t>”</w:t>
      </w:r>
      <w:r w:rsidRPr="00BA66F3">
        <w:t xml:space="preserve">, </w:t>
      </w:r>
      <w:r w:rsidR="008C335D" w:rsidRPr="00BA66F3">
        <w:t>“</w:t>
      </w:r>
      <w:r w:rsidRPr="00BA66F3">
        <w:t>medium</w:t>
      </w:r>
      <w:r w:rsidR="008C335D" w:rsidRPr="00BA66F3">
        <w:t>”</w:t>
      </w:r>
      <w:r w:rsidRPr="00BA66F3">
        <w:t xml:space="preserve">, </w:t>
      </w:r>
      <w:r w:rsidR="008C335D" w:rsidRPr="00BA66F3">
        <w:t>“</w:t>
      </w:r>
      <w:r w:rsidRPr="00BA66F3">
        <w:t>low</w:t>
      </w:r>
      <w:r w:rsidR="008C335D" w:rsidRPr="00BA66F3">
        <w:t>”</w:t>
      </w:r>
      <w:r w:rsidRPr="00BA66F3">
        <w:t>) response measures for knowledge questions. Basic demographic information, including participant age, gender, clinical role</w:t>
      </w:r>
      <w:r w:rsidR="00BB62ED" w:rsidRPr="00BA66F3">
        <w:t>,</w:t>
      </w:r>
      <w:r w:rsidRPr="00BA66F3">
        <w:t xml:space="preserve"> and years of experience were gathered.</w:t>
      </w:r>
    </w:p>
    <w:p w14:paraId="5E7687E3" w14:textId="6C54D33C" w:rsidR="00451DF7" w:rsidRPr="00BA66F3" w:rsidRDefault="00451DF7" w:rsidP="008D54D2">
      <w:pPr>
        <w:pStyle w:val="MDPI31text"/>
      </w:pPr>
      <w:r w:rsidRPr="00BA66F3">
        <w:t xml:space="preserve">Descriptive statistics </w:t>
      </w:r>
      <w:proofErr w:type="spellStart"/>
      <w:r w:rsidRPr="00BA66F3">
        <w:t>summarised</w:t>
      </w:r>
      <w:proofErr w:type="spellEnd"/>
      <w:r w:rsidRPr="00BA66F3">
        <w:t xml:space="preserve"> demographic, attitude</w:t>
      </w:r>
      <w:r w:rsidR="00BB62ED" w:rsidRPr="00BA66F3">
        <w:t>,</w:t>
      </w:r>
      <w:r w:rsidRPr="00BA66F3">
        <w:t xml:space="preserve"> and knowledge data. Fisher’s exact testing and unpaired </w:t>
      </w:r>
      <w:r w:rsidRPr="00BA66F3">
        <w:rPr>
          <w:i/>
        </w:rPr>
        <w:t>t</w:t>
      </w:r>
      <w:r w:rsidRPr="00BA66F3">
        <w:t xml:space="preserve">-tests were </w:t>
      </w:r>
      <w:proofErr w:type="spellStart"/>
      <w:r w:rsidRPr="00BA66F3">
        <w:t>utilised</w:t>
      </w:r>
      <w:proofErr w:type="spellEnd"/>
      <w:r w:rsidRPr="00BA66F3">
        <w:t xml:space="preserve"> for comparison of demographics. Due to null responses for some categories, sexual orientation was converted to a binary variable (</w:t>
      </w:r>
      <w:r w:rsidR="008C335D" w:rsidRPr="00BA66F3">
        <w:t>“</w:t>
      </w:r>
      <w:r w:rsidR="00BB62ED" w:rsidRPr="00BA66F3">
        <w:t xml:space="preserve">heterosexual </w:t>
      </w:r>
      <w:r w:rsidRPr="00BA66F3">
        <w:t xml:space="preserve">or </w:t>
      </w:r>
      <w:r w:rsidR="00BB62ED" w:rsidRPr="00BA66F3">
        <w:t>straight</w:t>
      </w:r>
      <w:r w:rsidR="008C335D" w:rsidRPr="00BA66F3">
        <w:t>”</w:t>
      </w:r>
      <w:r w:rsidR="00BB62ED" w:rsidRPr="00BA66F3">
        <w:t xml:space="preserve"> </w:t>
      </w:r>
      <w:r w:rsidR="006B4EA6" w:rsidRPr="00BA66F3">
        <w:br/>
      </w:r>
      <w:r w:rsidR="00B01E0B" w:rsidRPr="00BA66F3">
        <w:t xml:space="preserve">vs. </w:t>
      </w:r>
      <w:r w:rsidR="008C335D" w:rsidRPr="00BA66F3">
        <w:t>“</w:t>
      </w:r>
      <w:r w:rsidR="00BB62ED" w:rsidRPr="00BA66F3">
        <w:t>gay</w:t>
      </w:r>
      <w:r w:rsidRPr="00BA66F3">
        <w:t xml:space="preserve">, </w:t>
      </w:r>
      <w:r w:rsidR="00BB62ED" w:rsidRPr="00BA66F3">
        <w:t xml:space="preserve">lesbian, </w:t>
      </w:r>
      <w:r w:rsidRPr="00BA66F3">
        <w:t>or bisexual</w:t>
      </w:r>
      <w:r w:rsidR="008C335D" w:rsidRPr="00BA66F3">
        <w:t>”</w:t>
      </w:r>
      <w:r w:rsidRPr="00BA66F3">
        <w:t>) for the analysis. Ordinal knowledge variables were converted to binary responses (</w:t>
      </w:r>
      <w:r w:rsidR="008C335D" w:rsidRPr="00BA66F3">
        <w:t>“</w:t>
      </w:r>
      <w:r w:rsidR="00BB62ED" w:rsidRPr="00BA66F3">
        <w:t>high</w:t>
      </w:r>
      <w:r w:rsidRPr="00BA66F3">
        <w:t>/</w:t>
      </w:r>
      <w:r w:rsidR="00BB62ED" w:rsidRPr="00BA66F3">
        <w:t>medium</w:t>
      </w:r>
      <w:r w:rsidR="008C335D" w:rsidRPr="00BA66F3">
        <w:t>”</w:t>
      </w:r>
      <w:r w:rsidR="00BB62ED" w:rsidRPr="00BA66F3">
        <w:t xml:space="preserve"> </w:t>
      </w:r>
      <w:r w:rsidRPr="00BA66F3">
        <w:t>vs</w:t>
      </w:r>
      <w:r w:rsidR="007F786E" w:rsidRPr="00BA66F3">
        <w:t>.</w:t>
      </w:r>
      <w:r w:rsidRPr="00BA66F3">
        <w:t xml:space="preserve"> </w:t>
      </w:r>
      <w:r w:rsidR="008C335D" w:rsidRPr="00BA66F3">
        <w:t>“</w:t>
      </w:r>
      <w:r w:rsidR="00BB62ED" w:rsidRPr="00BA66F3">
        <w:t>low</w:t>
      </w:r>
      <w:r w:rsidRPr="00BA66F3">
        <w:t>/</w:t>
      </w:r>
      <w:r w:rsidR="00BB62ED" w:rsidRPr="00BA66F3">
        <w:t>none</w:t>
      </w:r>
      <w:r w:rsidR="008C335D" w:rsidRPr="00BA66F3">
        <w:t>”</w:t>
      </w:r>
      <w:r w:rsidRPr="00BA66F3">
        <w:t>). Attitudinal responses were converted into positive (</w:t>
      </w:r>
      <w:r w:rsidR="008C335D" w:rsidRPr="00BA66F3">
        <w:t>“</w:t>
      </w:r>
      <w:r w:rsidRPr="00BA66F3">
        <w:t>yes</w:t>
      </w:r>
      <w:r w:rsidR="008C335D" w:rsidRPr="00BA66F3">
        <w:t>”</w:t>
      </w:r>
      <w:r w:rsidRPr="00BA66F3">
        <w:t>) or negative (</w:t>
      </w:r>
      <w:r w:rsidR="008C335D" w:rsidRPr="00BA66F3">
        <w:t>“</w:t>
      </w:r>
      <w:r w:rsidRPr="00BA66F3">
        <w:t>unsure</w:t>
      </w:r>
      <w:r w:rsidR="008C335D" w:rsidRPr="00BA66F3">
        <w:t>”</w:t>
      </w:r>
      <w:r w:rsidRPr="00BA66F3">
        <w:t xml:space="preserve"> or </w:t>
      </w:r>
      <w:r w:rsidR="008C335D" w:rsidRPr="00BA66F3">
        <w:t>“</w:t>
      </w:r>
      <w:r w:rsidRPr="00BA66F3">
        <w:t>no</w:t>
      </w:r>
      <w:r w:rsidR="008C335D" w:rsidRPr="00BA66F3">
        <w:t>”</w:t>
      </w:r>
      <w:r w:rsidRPr="00BA66F3">
        <w:t xml:space="preserve">) binary variables. Simple and multiple logistic regression techniques were </w:t>
      </w:r>
      <w:proofErr w:type="spellStart"/>
      <w:r w:rsidRPr="00BA66F3">
        <w:t>utilised</w:t>
      </w:r>
      <w:proofErr w:type="spellEnd"/>
      <w:r w:rsidRPr="00BA66F3">
        <w:t xml:space="preserve"> to compare the responses of GPs and SHCPs to the knowledge and attitude questions. Adjusted analysis controlled for the effects of participant age, gender, sexual orientation, and years of experience. Hosmer</w:t>
      </w:r>
      <w:r w:rsidR="00BB62ED" w:rsidRPr="00BA66F3">
        <w:t>–</w:t>
      </w:r>
      <w:proofErr w:type="spellStart"/>
      <w:r w:rsidRPr="00BA66F3">
        <w:t>Lemeshow</w:t>
      </w:r>
      <w:proofErr w:type="spellEnd"/>
      <w:r w:rsidRPr="00BA66F3">
        <w:t xml:space="preserve"> goodness of fit testing was performed to assess accuracy of multiple logistic regression models. All analysis was conducted using Stata version 14 (</w:t>
      </w:r>
      <w:proofErr w:type="spellStart"/>
      <w:r w:rsidRPr="00BA66F3">
        <w:t>StataCorp</w:t>
      </w:r>
      <w:proofErr w:type="spellEnd"/>
      <w:r w:rsidRPr="00BA66F3">
        <w:t>. 2015.</w:t>
      </w:r>
      <w:r w:rsidR="008D54D2" w:rsidRPr="00BA66F3">
        <w:t xml:space="preserve"> </w:t>
      </w:r>
      <w:r w:rsidRPr="00BA66F3">
        <w:rPr>
          <w:i/>
          <w:iCs/>
        </w:rPr>
        <w:t>Stata Statistical Software</w:t>
      </w:r>
      <w:bookmarkStart w:id="4" w:name="OLE_LINK2"/>
      <w:r w:rsidRPr="00BA66F3">
        <w:rPr>
          <w:i/>
          <w:iCs/>
        </w:rPr>
        <w:t>: Release 14</w:t>
      </w:r>
      <w:r w:rsidRPr="00BA66F3">
        <w:rPr>
          <w:i/>
        </w:rPr>
        <w:t>.</w:t>
      </w:r>
      <w:r w:rsidRPr="00BA66F3">
        <w:t xml:space="preserve"> College Station, TX</w:t>
      </w:r>
      <w:r w:rsidR="007F786E" w:rsidRPr="00BA66F3">
        <w:t>, USA</w:t>
      </w:r>
      <w:bookmarkEnd w:id="4"/>
      <w:r w:rsidRPr="00BA66F3">
        <w:t xml:space="preserve">: </w:t>
      </w:r>
      <w:proofErr w:type="spellStart"/>
      <w:r w:rsidRPr="00BA66F3">
        <w:t>StataCorp</w:t>
      </w:r>
      <w:proofErr w:type="spellEnd"/>
      <w:r w:rsidRPr="00BA66F3">
        <w:t xml:space="preserve"> LP.)</w:t>
      </w:r>
      <w:r w:rsidR="00BF0952" w:rsidRPr="00BA66F3">
        <w:t>.</w:t>
      </w:r>
    </w:p>
    <w:p w14:paraId="456A3637" w14:textId="3F8F68DD" w:rsidR="006235B1" w:rsidRPr="00BA66F3" w:rsidRDefault="006235B1" w:rsidP="006235B1">
      <w:pPr>
        <w:pStyle w:val="MDPI22heading2"/>
      </w:pPr>
      <w:r w:rsidRPr="00BA66F3">
        <w:t>Ethical Approval</w:t>
      </w:r>
    </w:p>
    <w:p w14:paraId="08B78C6E" w14:textId="3925DF21" w:rsidR="006235B1" w:rsidRPr="00BA66F3" w:rsidRDefault="006235B1" w:rsidP="006235B1">
      <w:pPr>
        <w:pStyle w:val="MDPI31text"/>
        <w:rPr>
          <w:b/>
        </w:rPr>
      </w:pPr>
      <w:r w:rsidRPr="00BA66F3">
        <w:t>This study received ethical approval from the Queens University (Belfast) School of Nursing and Midwifery Research Ethics Committee</w:t>
      </w:r>
      <w:r w:rsidRPr="00BA66F3">
        <w:rPr>
          <w:color w:val="FF0000"/>
        </w:rPr>
        <w:t xml:space="preserve"> </w:t>
      </w:r>
      <w:r w:rsidRPr="00BA66F3">
        <w:rPr>
          <w:color w:val="auto"/>
        </w:rPr>
        <w:t>(ref. 39.GPrue.05.16.M8.V2).</w:t>
      </w:r>
    </w:p>
    <w:p w14:paraId="0447FA17" w14:textId="77777777" w:rsidR="00451DF7" w:rsidRPr="00BA66F3" w:rsidRDefault="00451DF7" w:rsidP="008D54D2">
      <w:pPr>
        <w:pStyle w:val="MDPI21heading1"/>
      </w:pPr>
      <w:r w:rsidRPr="00BA66F3">
        <w:t>3. Results</w:t>
      </w:r>
    </w:p>
    <w:p w14:paraId="58520A0A" w14:textId="65A4DCA2" w:rsidR="00451DF7" w:rsidRPr="00BA66F3" w:rsidRDefault="00451DF7" w:rsidP="008D54D2">
      <w:pPr>
        <w:pStyle w:val="MDPI31text"/>
      </w:pPr>
      <w:r w:rsidRPr="00BA66F3">
        <w:t>In total, 87 participants completed the survey. Demographic data was incomplete for three SHCPs, but overall individual question response rates were high (range: 94.25</w:t>
      </w:r>
      <w:r w:rsidR="007F786E" w:rsidRPr="00BA66F3">
        <w:t>–</w:t>
      </w:r>
      <w:r w:rsidRPr="00BA66F3">
        <w:t xml:space="preserve">100%). Thirty-eight GPs and </w:t>
      </w:r>
      <w:r w:rsidR="00BB62ED" w:rsidRPr="00BA66F3">
        <w:t>49</w:t>
      </w:r>
      <w:r w:rsidRPr="00BA66F3">
        <w:t xml:space="preserve"> SHCPs (35 GUM specialists, 8 specialist nurses, 3 hospital sexual health specialists, and 3 other) completed the questionnaire. Participants included 59 females (67.82%), with a mean age of 40.71 years, and a median 14 years</w:t>
      </w:r>
      <w:r w:rsidR="00BB62ED" w:rsidRPr="00BA66F3">
        <w:t xml:space="preserve"> of</w:t>
      </w:r>
      <w:r w:rsidRPr="00BA66F3">
        <w:t xml:space="preserve"> experience (</w:t>
      </w:r>
      <w:r w:rsidRPr="00BA66F3">
        <w:rPr>
          <w:color w:val="auto"/>
        </w:rPr>
        <w:t xml:space="preserve">IQR </w:t>
      </w:r>
      <w:r w:rsidRPr="00BA66F3">
        <w:t>8, 24). There were no significant differences between GPs and SHCPs. Further demographics are shown in Table 1.</w:t>
      </w:r>
      <w:r w:rsidR="00E11F4B" w:rsidRPr="00BA66F3">
        <w:t xml:space="preserve"> (Please explain the abbreviation “IQR”.)</w:t>
      </w:r>
    </w:p>
    <w:p w14:paraId="5E57F89F" w14:textId="40781A21" w:rsidR="00451DF7" w:rsidRPr="00BA66F3" w:rsidRDefault="00451DF7" w:rsidP="00E11F4B">
      <w:pPr>
        <w:pStyle w:val="MDPI41tablecaption"/>
        <w:jc w:val="center"/>
        <w:rPr>
          <w:b/>
        </w:rPr>
      </w:pPr>
      <w:r w:rsidRPr="00BA66F3" w:rsidDel="00B81729">
        <w:rPr>
          <w:b/>
        </w:rPr>
        <w:lastRenderedPageBreak/>
        <w:t>Table 1</w:t>
      </w:r>
      <w:r w:rsidR="008D54D2" w:rsidRPr="00BA66F3">
        <w:rPr>
          <w:b/>
        </w:rPr>
        <w:t>.</w:t>
      </w:r>
      <w:r w:rsidRPr="00BA66F3" w:rsidDel="00B81729">
        <w:t xml:space="preserve"> Survey participant demographics</w:t>
      </w:r>
      <w:r w:rsidR="00BA66F3">
        <w:t>.</w:t>
      </w:r>
    </w:p>
    <w:tbl>
      <w:tblPr>
        <w:tblStyle w:val="Mdeck5tablebodythreelines"/>
        <w:tblW w:w="0" w:type="auto"/>
        <w:tblLook w:val="04A0" w:firstRow="1" w:lastRow="0" w:firstColumn="1" w:lastColumn="0" w:noHBand="0" w:noVBand="1"/>
      </w:tblPr>
      <w:tblGrid>
        <w:gridCol w:w="1955"/>
        <w:gridCol w:w="1930"/>
        <w:gridCol w:w="1083"/>
        <w:gridCol w:w="1296"/>
        <w:gridCol w:w="496"/>
      </w:tblGrid>
      <w:tr w:rsidR="00451DF7" w:rsidRPr="00BA66F3" w14:paraId="25D5FB58" w14:textId="77777777" w:rsidTr="008D54D2">
        <w:trPr>
          <w:cnfStyle w:val="100000000000" w:firstRow="1" w:lastRow="0" w:firstColumn="0" w:lastColumn="0" w:oddVBand="0" w:evenVBand="0" w:oddHBand="0" w:evenHBand="0" w:firstRowFirstColumn="0" w:firstRowLastColumn="0" w:lastRowFirstColumn="0" w:lastRowLastColumn="0"/>
        </w:trPr>
        <w:tc>
          <w:tcPr>
            <w:tcW w:w="0" w:type="auto"/>
            <w:gridSpan w:val="2"/>
          </w:tcPr>
          <w:p w14:paraId="6FE9E78A" w14:textId="469D32A2" w:rsidR="00451DF7" w:rsidRPr="00BA66F3" w:rsidRDefault="00FB020F" w:rsidP="00E11F4B">
            <w:pPr>
              <w:pStyle w:val="MDPI42tablebody"/>
              <w:spacing w:line="240" w:lineRule="auto"/>
              <w:rPr>
                <w:rFonts w:eastAsiaTheme="minorEastAsia"/>
                <w:b/>
                <w:sz w:val="16"/>
                <w:szCs w:val="16"/>
                <w:lang w:val="en-US" w:eastAsia="zh-CN"/>
              </w:rPr>
            </w:pPr>
            <w:r w:rsidRPr="00BA66F3">
              <w:rPr>
                <w:rFonts w:eastAsiaTheme="minorEastAsia"/>
                <w:b/>
                <w:color w:val="auto"/>
                <w:sz w:val="16"/>
                <w:szCs w:val="16"/>
                <w:lang w:val="en-US" w:eastAsia="zh-CN"/>
              </w:rPr>
              <w:t>Demographics</w:t>
            </w:r>
          </w:p>
        </w:tc>
        <w:tc>
          <w:tcPr>
            <w:tcW w:w="0" w:type="auto"/>
          </w:tcPr>
          <w:p w14:paraId="7B649C07" w14:textId="5FC8AD62" w:rsidR="00451DF7" w:rsidRPr="00BA66F3" w:rsidRDefault="00207822" w:rsidP="00E11F4B">
            <w:pPr>
              <w:pStyle w:val="MDPI42tablebody"/>
              <w:spacing w:line="240" w:lineRule="auto"/>
              <w:rPr>
                <w:b/>
                <w:sz w:val="16"/>
                <w:szCs w:val="16"/>
                <w:lang w:val="en-US"/>
              </w:rPr>
            </w:pPr>
            <w:r w:rsidRPr="00BA66F3">
              <w:rPr>
                <w:b/>
                <w:sz w:val="16"/>
                <w:szCs w:val="16"/>
                <w:lang w:val="en-US"/>
              </w:rPr>
              <w:t>GPs</w:t>
            </w:r>
            <w:r w:rsidR="00451DF7" w:rsidRPr="00BA66F3">
              <w:rPr>
                <w:b/>
                <w:sz w:val="16"/>
                <w:szCs w:val="16"/>
                <w:lang w:val="en-US"/>
              </w:rPr>
              <w:t xml:space="preserve"> (n = 38)</w:t>
            </w:r>
          </w:p>
        </w:tc>
        <w:tc>
          <w:tcPr>
            <w:tcW w:w="0" w:type="auto"/>
          </w:tcPr>
          <w:p w14:paraId="5DC2C555" w14:textId="77777777" w:rsidR="00451DF7" w:rsidRPr="00BA66F3" w:rsidRDefault="00451DF7" w:rsidP="00E11F4B">
            <w:pPr>
              <w:pStyle w:val="MDPI42tablebody"/>
              <w:spacing w:line="240" w:lineRule="auto"/>
              <w:rPr>
                <w:b/>
                <w:sz w:val="16"/>
                <w:szCs w:val="16"/>
                <w:lang w:val="en-US"/>
              </w:rPr>
            </w:pPr>
            <w:r w:rsidRPr="00BA66F3">
              <w:rPr>
                <w:b/>
                <w:sz w:val="16"/>
                <w:szCs w:val="16"/>
                <w:lang w:val="en-US"/>
              </w:rPr>
              <w:t>SHCPs (n = 49)</w:t>
            </w:r>
          </w:p>
        </w:tc>
        <w:tc>
          <w:tcPr>
            <w:tcW w:w="0" w:type="auto"/>
          </w:tcPr>
          <w:p w14:paraId="14193369" w14:textId="77777777" w:rsidR="00451DF7" w:rsidRPr="00BA66F3" w:rsidRDefault="00451DF7" w:rsidP="00E11F4B">
            <w:pPr>
              <w:pStyle w:val="MDPI42tablebody"/>
              <w:spacing w:line="240" w:lineRule="auto"/>
              <w:rPr>
                <w:b/>
                <w:i/>
                <w:sz w:val="16"/>
                <w:szCs w:val="16"/>
                <w:lang w:val="en-US"/>
              </w:rPr>
            </w:pPr>
            <w:r w:rsidRPr="00BA66F3">
              <w:rPr>
                <w:b/>
                <w:i/>
                <w:sz w:val="16"/>
                <w:szCs w:val="16"/>
                <w:lang w:val="en-US"/>
              </w:rPr>
              <w:t>p</w:t>
            </w:r>
          </w:p>
        </w:tc>
      </w:tr>
      <w:tr w:rsidR="00451DF7" w:rsidRPr="00BA66F3" w14:paraId="55CA814F" w14:textId="77777777" w:rsidTr="00B01E0B">
        <w:tc>
          <w:tcPr>
            <w:tcW w:w="0" w:type="auto"/>
            <w:gridSpan w:val="2"/>
            <w:tcBorders>
              <w:bottom w:val="single" w:sz="4" w:space="0" w:color="auto"/>
            </w:tcBorders>
          </w:tcPr>
          <w:p w14:paraId="1D181B4A" w14:textId="77777777" w:rsidR="00451DF7" w:rsidRPr="00BA66F3" w:rsidRDefault="00451DF7" w:rsidP="00E11F4B">
            <w:pPr>
              <w:pStyle w:val="MDPI42tablebody"/>
              <w:spacing w:line="240" w:lineRule="auto"/>
              <w:rPr>
                <w:sz w:val="16"/>
                <w:szCs w:val="16"/>
                <w:lang w:val="en-US"/>
              </w:rPr>
            </w:pPr>
            <w:r w:rsidRPr="00BA66F3">
              <w:rPr>
                <w:sz w:val="16"/>
                <w:szCs w:val="16"/>
                <w:lang w:val="en-US"/>
              </w:rPr>
              <w:t>Age (mean years, SD)</w:t>
            </w:r>
          </w:p>
        </w:tc>
        <w:tc>
          <w:tcPr>
            <w:tcW w:w="0" w:type="auto"/>
            <w:tcBorders>
              <w:bottom w:val="single" w:sz="4" w:space="0" w:color="auto"/>
            </w:tcBorders>
          </w:tcPr>
          <w:p w14:paraId="40DBA1D3" w14:textId="77777777" w:rsidR="00451DF7" w:rsidRPr="00BA66F3" w:rsidRDefault="00451DF7" w:rsidP="00E11F4B">
            <w:pPr>
              <w:pStyle w:val="MDPI42tablebody"/>
              <w:spacing w:line="240" w:lineRule="auto"/>
              <w:rPr>
                <w:sz w:val="16"/>
                <w:szCs w:val="16"/>
                <w:lang w:val="en-US"/>
              </w:rPr>
            </w:pPr>
            <w:r w:rsidRPr="00BA66F3">
              <w:rPr>
                <w:sz w:val="16"/>
                <w:szCs w:val="16"/>
                <w:lang w:val="en-US"/>
              </w:rPr>
              <w:t>39.84 (9.02)</w:t>
            </w:r>
          </w:p>
        </w:tc>
        <w:tc>
          <w:tcPr>
            <w:tcW w:w="0" w:type="auto"/>
            <w:tcBorders>
              <w:bottom w:val="single" w:sz="4" w:space="0" w:color="auto"/>
            </w:tcBorders>
          </w:tcPr>
          <w:p w14:paraId="44DC017B" w14:textId="77777777" w:rsidR="00451DF7" w:rsidRPr="00BA66F3" w:rsidRDefault="00451DF7" w:rsidP="00E11F4B">
            <w:pPr>
              <w:pStyle w:val="MDPI42tablebody"/>
              <w:spacing w:line="240" w:lineRule="auto"/>
              <w:rPr>
                <w:sz w:val="16"/>
                <w:szCs w:val="16"/>
                <w:lang w:val="en-US"/>
              </w:rPr>
            </w:pPr>
            <w:r w:rsidRPr="00BA66F3">
              <w:rPr>
                <w:sz w:val="16"/>
                <w:szCs w:val="16"/>
                <w:lang w:val="en-US"/>
              </w:rPr>
              <w:t>41.02 (10.72)</w:t>
            </w:r>
          </w:p>
        </w:tc>
        <w:tc>
          <w:tcPr>
            <w:tcW w:w="0" w:type="auto"/>
            <w:tcBorders>
              <w:bottom w:val="single" w:sz="4" w:space="0" w:color="auto"/>
            </w:tcBorders>
          </w:tcPr>
          <w:p w14:paraId="47319FC1" w14:textId="77777777" w:rsidR="00451DF7" w:rsidRPr="00BA66F3" w:rsidRDefault="00451DF7" w:rsidP="00E11F4B">
            <w:pPr>
              <w:pStyle w:val="MDPI42tablebody"/>
              <w:spacing w:line="240" w:lineRule="auto"/>
              <w:rPr>
                <w:sz w:val="16"/>
                <w:szCs w:val="16"/>
                <w:lang w:val="en-US"/>
              </w:rPr>
            </w:pPr>
            <w:r w:rsidRPr="00BA66F3">
              <w:rPr>
                <w:sz w:val="16"/>
                <w:szCs w:val="16"/>
                <w:lang w:val="en-US"/>
              </w:rPr>
              <w:t>0.59</w:t>
            </w:r>
          </w:p>
        </w:tc>
      </w:tr>
      <w:tr w:rsidR="00451DF7" w:rsidRPr="00BA66F3" w14:paraId="37894670" w14:textId="77777777" w:rsidTr="00B01E0B">
        <w:tc>
          <w:tcPr>
            <w:tcW w:w="0" w:type="auto"/>
            <w:gridSpan w:val="2"/>
            <w:tcBorders>
              <w:top w:val="single" w:sz="4" w:space="0" w:color="auto"/>
              <w:bottom w:val="single" w:sz="4" w:space="0" w:color="auto"/>
            </w:tcBorders>
          </w:tcPr>
          <w:p w14:paraId="54CF9781" w14:textId="77777777" w:rsidR="00451DF7" w:rsidRPr="00BA66F3" w:rsidRDefault="00451DF7" w:rsidP="00E11F4B">
            <w:pPr>
              <w:pStyle w:val="MDPI42tablebody"/>
              <w:spacing w:line="240" w:lineRule="auto"/>
              <w:rPr>
                <w:sz w:val="16"/>
                <w:szCs w:val="16"/>
                <w:lang w:val="en-US"/>
              </w:rPr>
            </w:pPr>
            <w:r w:rsidRPr="00BA66F3">
              <w:rPr>
                <w:sz w:val="16"/>
                <w:szCs w:val="16"/>
                <w:lang w:val="en-US"/>
              </w:rPr>
              <w:t>Female gender (n, %)</w:t>
            </w:r>
          </w:p>
        </w:tc>
        <w:tc>
          <w:tcPr>
            <w:tcW w:w="0" w:type="auto"/>
            <w:tcBorders>
              <w:top w:val="single" w:sz="4" w:space="0" w:color="auto"/>
              <w:bottom w:val="single" w:sz="4" w:space="0" w:color="auto"/>
            </w:tcBorders>
          </w:tcPr>
          <w:p w14:paraId="3AF4079B" w14:textId="77777777" w:rsidR="00451DF7" w:rsidRPr="00BA66F3" w:rsidRDefault="00451DF7" w:rsidP="00E11F4B">
            <w:pPr>
              <w:pStyle w:val="MDPI42tablebody"/>
              <w:spacing w:line="240" w:lineRule="auto"/>
              <w:rPr>
                <w:sz w:val="16"/>
                <w:szCs w:val="16"/>
                <w:lang w:val="en-US"/>
              </w:rPr>
            </w:pPr>
            <w:r w:rsidRPr="00BA66F3">
              <w:rPr>
                <w:sz w:val="16"/>
                <w:szCs w:val="16"/>
                <w:lang w:val="en-US"/>
              </w:rPr>
              <w:t>26 (68.42%)</w:t>
            </w:r>
          </w:p>
        </w:tc>
        <w:tc>
          <w:tcPr>
            <w:tcW w:w="0" w:type="auto"/>
            <w:tcBorders>
              <w:top w:val="single" w:sz="4" w:space="0" w:color="auto"/>
              <w:bottom w:val="single" w:sz="4" w:space="0" w:color="auto"/>
            </w:tcBorders>
          </w:tcPr>
          <w:p w14:paraId="3ED493AF" w14:textId="77777777" w:rsidR="00451DF7" w:rsidRPr="00BA66F3" w:rsidRDefault="00451DF7" w:rsidP="00E11F4B">
            <w:pPr>
              <w:pStyle w:val="MDPI42tablebody"/>
              <w:spacing w:line="240" w:lineRule="auto"/>
              <w:rPr>
                <w:sz w:val="16"/>
                <w:szCs w:val="16"/>
                <w:lang w:val="en-US"/>
              </w:rPr>
            </w:pPr>
            <w:r w:rsidRPr="00BA66F3">
              <w:rPr>
                <w:sz w:val="16"/>
                <w:szCs w:val="16"/>
                <w:lang w:val="en-US"/>
              </w:rPr>
              <w:t>33 (67.35%)</w:t>
            </w:r>
          </w:p>
        </w:tc>
        <w:tc>
          <w:tcPr>
            <w:tcW w:w="0" w:type="auto"/>
            <w:tcBorders>
              <w:top w:val="single" w:sz="4" w:space="0" w:color="auto"/>
              <w:bottom w:val="single" w:sz="4" w:space="0" w:color="auto"/>
            </w:tcBorders>
          </w:tcPr>
          <w:p w14:paraId="7C327A43" w14:textId="77777777" w:rsidR="00451DF7" w:rsidRPr="00BA66F3" w:rsidRDefault="00451DF7" w:rsidP="00E11F4B">
            <w:pPr>
              <w:pStyle w:val="MDPI42tablebody"/>
              <w:spacing w:line="240" w:lineRule="auto"/>
              <w:rPr>
                <w:sz w:val="16"/>
                <w:szCs w:val="16"/>
                <w:lang w:val="en-US"/>
              </w:rPr>
            </w:pPr>
            <w:r w:rsidRPr="00BA66F3">
              <w:rPr>
                <w:sz w:val="16"/>
                <w:szCs w:val="16"/>
                <w:lang w:val="en-US"/>
              </w:rPr>
              <w:t>0.46</w:t>
            </w:r>
          </w:p>
        </w:tc>
      </w:tr>
      <w:tr w:rsidR="00451DF7" w:rsidRPr="00BA66F3" w14:paraId="36BB9455" w14:textId="77777777" w:rsidTr="00B01E0B">
        <w:tc>
          <w:tcPr>
            <w:tcW w:w="0" w:type="auto"/>
            <w:vMerge w:val="restart"/>
            <w:tcBorders>
              <w:top w:val="single" w:sz="4" w:space="0" w:color="auto"/>
              <w:bottom w:val="nil"/>
            </w:tcBorders>
          </w:tcPr>
          <w:p w14:paraId="28601852" w14:textId="77777777" w:rsidR="00451DF7" w:rsidRPr="00BA66F3" w:rsidRDefault="00451DF7" w:rsidP="00E11F4B">
            <w:pPr>
              <w:pStyle w:val="MDPI42tablebody"/>
              <w:spacing w:line="240" w:lineRule="auto"/>
              <w:rPr>
                <w:sz w:val="16"/>
                <w:szCs w:val="16"/>
                <w:lang w:val="en-US"/>
              </w:rPr>
            </w:pPr>
            <w:r w:rsidRPr="00BA66F3">
              <w:rPr>
                <w:sz w:val="16"/>
                <w:szCs w:val="16"/>
                <w:lang w:val="en-US"/>
              </w:rPr>
              <w:t>Sexual orientation (n, %)</w:t>
            </w:r>
          </w:p>
        </w:tc>
        <w:tc>
          <w:tcPr>
            <w:tcW w:w="0" w:type="auto"/>
            <w:tcBorders>
              <w:top w:val="single" w:sz="4" w:space="0" w:color="auto"/>
              <w:bottom w:val="nil"/>
            </w:tcBorders>
          </w:tcPr>
          <w:p w14:paraId="0991CF45" w14:textId="1FB55E3F" w:rsidR="00451DF7" w:rsidRPr="00BA66F3" w:rsidRDefault="00451DF7" w:rsidP="00E11F4B">
            <w:pPr>
              <w:pStyle w:val="MDPI42tablebody"/>
              <w:spacing w:line="240" w:lineRule="auto"/>
              <w:rPr>
                <w:sz w:val="16"/>
                <w:szCs w:val="16"/>
                <w:lang w:val="en-US"/>
              </w:rPr>
            </w:pPr>
            <w:r w:rsidRPr="00BA66F3">
              <w:rPr>
                <w:sz w:val="16"/>
                <w:szCs w:val="16"/>
                <w:lang w:val="en-US"/>
              </w:rPr>
              <w:t xml:space="preserve">Heterosexual or </w:t>
            </w:r>
            <w:r w:rsidR="00BB62ED" w:rsidRPr="00BA66F3">
              <w:rPr>
                <w:sz w:val="16"/>
                <w:szCs w:val="16"/>
                <w:lang w:val="en-US"/>
              </w:rPr>
              <w:t>straight</w:t>
            </w:r>
          </w:p>
        </w:tc>
        <w:tc>
          <w:tcPr>
            <w:tcW w:w="0" w:type="auto"/>
            <w:tcBorders>
              <w:top w:val="single" w:sz="4" w:space="0" w:color="auto"/>
              <w:bottom w:val="nil"/>
            </w:tcBorders>
          </w:tcPr>
          <w:p w14:paraId="39C93680" w14:textId="77777777" w:rsidR="00451DF7" w:rsidRPr="00BA66F3" w:rsidRDefault="00451DF7" w:rsidP="00E11F4B">
            <w:pPr>
              <w:pStyle w:val="MDPI42tablebody"/>
              <w:spacing w:line="240" w:lineRule="auto"/>
              <w:rPr>
                <w:sz w:val="16"/>
                <w:szCs w:val="16"/>
                <w:lang w:val="en-US"/>
              </w:rPr>
            </w:pPr>
            <w:r w:rsidRPr="00BA66F3">
              <w:rPr>
                <w:sz w:val="16"/>
                <w:szCs w:val="16"/>
                <w:lang w:val="en-US"/>
              </w:rPr>
              <w:t>37 (97.37%)</w:t>
            </w:r>
          </w:p>
        </w:tc>
        <w:tc>
          <w:tcPr>
            <w:tcW w:w="0" w:type="auto"/>
            <w:tcBorders>
              <w:top w:val="single" w:sz="4" w:space="0" w:color="auto"/>
              <w:bottom w:val="nil"/>
            </w:tcBorders>
          </w:tcPr>
          <w:p w14:paraId="773C9B52" w14:textId="77777777" w:rsidR="00451DF7" w:rsidRPr="00BA66F3" w:rsidRDefault="00451DF7" w:rsidP="00E11F4B">
            <w:pPr>
              <w:pStyle w:val="MDPI42tablebody"/>
              <w:spacing w:line="240" w:lineRule="auto"/>
              <w:rPr>
                <w:sz w:val="16"/>
                <w:szCs w:val="16"/>
                <w:lang w:val="en-US"/>
              </w:rPr>
            </w:pPr>
            <w:r w:rsidRPr="00BA66F3">
              <w:rPr>
                <w:sz w:val="16"/>
                <w:szCs w:val="16"/>
                <w:lang w:val="en-US"/>
              </w:rPr>
              <w:t>38 (77.55%)</w:t>
            </w:r>
          </w:p>
        </w:tc>
        <w:tc>
          <w:tcPr>
            <w:tcW w:w="0" w:type="auto"/>
            <w:vMerge w:val="restart"/>
            <w:tcBorders>
              <w:top w:val="single" w:sz="4" w:space="0" w:color="auto"/>
              <w:bottom w:val="nil"/>
            </w:tcBorders>
          </w:tcPr>
          <w:p w14:paraId="6B1F9C49" w14:textId="77777777" w:rsidR="00451DF7" w:rsidRPr="00BA66F3" w:rsidRDefault="00451DF7" w:rsidP="00E11F4B">
            <w:pPr>
              <w:pStyle w:val="MDPI42tablebody"/>
              <w:spacing w:line="240" w:lineRule="auto"/>
              <w:rPr>
                <w:sz w:val="16"/>
                <w:szCs w:val="16"/>
                <w:lang w:val="en-US"/>
              </w:rPr>
            </w:pPr>
            <w:r w:rsidRPr="00BA66F3">
              <w:rPr>
                <w:sz w:val="16"/>
                <w:szCs w:val="16"/>
                <w:lang w:val="en-US"/>
              </w:rPr>
              <w:t>0.06</w:t>
            </w:r>
          </w:p>
        </w:tc>
      </w:tr>
      <w:tr w:rsidR="00451DF7" w:rsidRPr="00BA66F3" w14:paraId="3AEAD7EB" w14:textId="77777777" w:rsidTr="00B01E0B">
        <w:tc>
          <w:tcPr>
            <w:tcW w:w="0" w:type="auto"/>
            <w:vMerge/>
            <w:tcBorders>
              <w:top w:val="nil"/>
            </w:tcBorders>
          </w:tcPr>
          <w:p w14:paraId="55364570" w14:textId="77777777" w:rsidR="00451DF7" w:rsidRPr="00BA66F3" w:rsidRDefault="00451DF7" w:rsidP="00E11F4B">
            <w:pPr>
              <w:pStyle w:val="MDPI42tablebody"/>
              <w:spacing w:line="240" w:lineRule="auto"/>
              <w:rPr>
                <w:sz w:val="16"/>
                <w:szCs w:val="16"/>
                <w:lang w:val="en-US"/>
              </w:rPr>
            </w:pPr>
          </w:p>
        </w:tc>
        <w:tc>
          <w:tcPr>
            <w:tcW w:w="0" w:type="auto"/>
            <w:tcBorders>
              <w:top w:val="nil"/>
            </w:tcBorders>
          </w:tcPr>
          <w:p w14:paraId="1E12BB3F" w14:textId="77777777" w:rsidR="00451DF7" w:rsidRPr="00BA66F3" w:rsidRDefault="00451DF7" w:rsidP="00E11F4B">
            <w:pPr>
              <w:pStyle w:val="MDPI42tablebody"/>
              <w:spacing w:line="240" w:lineRule="auto"/>
              <w:rPr>
                <w:sz w:val="16"/>
                <w:szCs w:val="16"/>
                <w:lang w:val="en-US"/>
              </w:rPr>
            </w:pPr>
            <w:r w:rsidRPr="00BA66F3">
              <w:rPr>
                <w:sz w:val="16"/>
                <w:szCs w:val="16"/>
                <w:lang w:val="en-US"/>
              </w:rPr>
              <w:t>Gay or lesbian</w:t>
            </w:r>
          </w:p>
        </w:tc>
        <w:tc>
          <w:tcPr>
            <w:tcW w:w="0" w:type="auto"/>
            <w:tcBorders>
              <w:top w:val="nil"/>
            </w:tcBorders>
          </w:tcPr>
          <w:p w14:paraId="4FA62665" w14:textId="77777777" w:rsidR="00451DF7" w:rsidRPr="00BA66F3" w:rsidRDefault="00451DF7" w:rsidP="00E11F4B">
            <w:pPr>
              <w:pStyle w:val="MDPI42tablebody"/>
              <w:spacing w:line="240" w:lineRule="auto"/>
              <w:rPr>
                <w:sz w:val="16"/>
                <w:szCs w:val="16"/>
                <w:lang w:val="en-US"/>
              </w:rPr>
            </w:pPr>
            <w:r w:rsidRPr="00BA66F3">
              <w:rPr>
                <w:sz w:val="16"/>
                <w:szCs w:val="16"/>
                <w:lang w:val="en-US"/>
              </w:rPr>
              <w:t>1 (2.63%)</w:t>
            </w:r>
          </w:p>
        </w:tc>
        <w:tc>
          <w:tcPr>
            <w:tcW w:w="0" w:type="auto"/>
            <w:tcBorders>
              <w:top w:val="nil"/>
            </w:tcBorders>
          </w:tcPr>
          <w:p w14:paraId="341BC79C" w14:textId="77777777" w:rsidR="00451DF7" w:rsidRPr="00BA66F3" w:rsidRDefault="00451DF7" w:rsidP="00E11F4B">
            <w:pPr>
              <w:pStyle w:val="MDPI42tablebody"/>
              <w:spacing w:line="240" w:lineRule="auto"/>
              <w:rPr>
                <w:sz w:val="16"/>
                <w:szCs w:val="16"/>
                <w:lang w:val="en-US"/>
              </w:rPr>
            </w:pPr>
            <w:r w:rsidRPr="00BA66F3">
              <w:rPr>
                <w:sz w:val="16"/>
                <w:szCs w:val="16"/>
                <w:lang w:val="en-US"/>
              </w:rPr>
              <w:t>9 (18.37%)</w:t>
            </w:r>
          </w:p>
        </w:tc>
        <w:tc>
          <w:tcPr>
            <w:tcW w:w="0" w:type="auto"/>
            <w:vMerge/>
            <w:tcBorders>
              <w:top w:val="nil"/>
            </w:tcBorders>
          </w:tcPr>
          <w:p w14:paraId="28C57A20" w14:textId="77777777" w:rsidR="00451DF7" w:rsidRPr="00BA66F3" w:rsidRDefault="00451DF7" w:rsidP="00E11F4B">
            <w:pPr>
              <w:pStyle w:val="MDPI42tablebody"/>
              <w:spacing w:line="240" w:lineRule="auto"/>
              <w:rPr>
                <w:sz w:val="16"/>
                <w:szCs w:val="16"/>
                <w:lang w:val="en-US"/>
              </w:rPr>
            </w:pPr>
          </w:p>
        </w:tc>
      </w:tr>
      <w:tr w:rsidR="00451DF7" w:rsidRPr="00BA66F3" w14:paraId="5188E1D7" w14:textId="77777777" w:rsidTr="008D54D2">
        <w:tc>
          <w:tcPr>
            <w:tcW w:w="0" w:type="auto"/>
            <w:vMerge/>
          </w:tcPr>
          <w:p w14:paraId="5E6A3859" w14:textId="77777777" w:rsidR="00451DF7" w:rsidRPr="00BA66F3" w:rsidRDefault="00451DF7" w:rsidP="00E11F4B">
            <w:pPr>
              <w:pStyle w:val="MDPI42tablebody"/>
              <w:spacing w:line="240" w:lineRule="auto"/>
              <w:rPr>
                <w:sz w:val="16"/>
                <w:szCs w:val="16"/>
                <w:lang w:val="en-US"/>
              </w:rPr>
            </w:pPr>
          </w:p>
        </w:tc>
        <w:tc>
          <w:tcPr>
            <w:tcW w:w="0" w:type="auto"/>
          </w:tcPr>
          <w:p w14:paraId="2C009057" w14:textId="77777777" w:rsidR="00451DF7" w:rsidRPr="00BA66F3" w:rsidRDefault="00451DF7" w:rsidP="00E11F4B">
            <w:pPr>
              <w:pStyle w:val="MDPI42tablebody"/>
              <w:spacing w:line="240" w:lineRule="auto"/>
              <w:rPr>
                <w:sz w:val="16"/>
                <w:szCs w:val="16"/>
                <w:lang w:val="en-US"/>
              </w:rPr>
            </w:pPr>
            <w:r w:rsidRPr="00BA66F3">
              <w:rPr>
                <w:sz w:val="16"/>
                <w:szCs w:val="16"/>
                <w:lang w:val="en-US"/>
              </w:rPr>
              <w:t>Bisexual</w:t>
            </w:r>
          </w:p>
        </w:tc>
        <w:tc>
          <w:tcPr>
            <w:tcW w:w="0" w:type="auto"/>
          </w:tcPr>
          <w:p w14:paraId="2CAE2390" w14:textId="77777777" w:rsidR="00451DF7" w:rsidRPr="00BA66F3" w:rsidRDefault="00451DF7" w:rsidP="00E11F4B">
            <w:pPr>
              <w:pStyle w:val="MDPI42tablebody"/>
              <w:spacing w:line="240" w:lineRule="auto"/>
              <w:rPr>
                <w:sz w:val="16"/>
                <w:szCs w:val="16"/>
                <w:lang w:val="en-US"/>
              </w:rPr>
            </w:pPr>
            <w:r w:rsidRPr="00BA66F3">
              <w:rPr>
                <w:sz w:val="16"/>
                <w:szCs w:val="16"/>
                <w:lang w:val="en-US"/>
              </w:rPr>
              <w:t>0</w:t>
            </w:r>
          </w:p>
        </w:tc>
        <w:tc>
          <w:tcPr>
            <w:tcW w:w="0" w:type="auto"/>
          </w:tcPr>
          <w:p w14:paraId="2F970981" w14:textId="77777777" w:rsidR="00451DF7" w:rsidRPr="00BA66F3" w:rsidRDefault="00451DF7" w:rsidP="00E11F4B">
            <w:pPr>
              <w:pStyle w:val="MDPI42tablebody"/>
              <w:spacing w:line="240" w:lineRule="auto"/>
              <w:rPr>
                <w:sz w:val="16"/>
                <w:szCs w:val="16"/>
                <w:lang w:val="en-US"/>
              </w:rPr>
            </w:pPr>
            <w:r w:rsidRPr="00BA66F3">
              <w:rPr>
                <w:sz w:val="16"/>
                <w:szCs w:val="16"/>
                <w:lang w:val="en-US"/>
              </w:rPr>
              <w:t>1 (2.04%)</w:t>
            </w:r>
          </w:p>
        </w:tc>
        <w:tc>
          <w:tcPr>
            <w:tcW w:w="0" w:type="auto"/>
            <w:vMerge/>
          </w:tcPr>
          <w:p w14:paraId="50546A8F" w14:textId="77777777" w:rsidR="00451DF7" w:rsidRPr="00BA66F3" w:rsidRDefault="00451DF7" w:rsidP="00E11F4B">
            <w:pPr>
              <w:pStyle w:val="MDPI42tablebody"/>
              <w:spacing w:line="240" w:lineRule="auto"/>
              <w:rPr>
                <w:sz w:val="16"/>
                <w:szCs w:val="16"/>
                <w:lang w:val="en-US"/>
              </w:rPr>
            </w:pPr>
          </w:p>
        </w:tc>
      </w:tr>
      <w:tr w:rsidR="00451DF7" w:rsidRPr="00BA66F3" w14:paraId="6919CE8D" w14:textId="77777777" w:rsidTr="00B01E0B">
        <w:tc>
          <w:tcPr>
            <w:tcW w:w="0" w:type="auto"/>
            <w:vMerge/>
            <w:tcBorders>
              <w:bottom w:val="single" w:sz="4" w:space="0" w:color="auto"/>
            </w:tcBorders>
          </w:tcPr>
          <w:p w14:paraId="0B4CD28B" w14:textId="77777777" w:rsidR="00451DF7" w:rsidRPr="00BA66F3" w:rsidRDefault="00451DF7" w:rsidP="00E11F4B">
            <w:pPr>
              <w:pStyle w:val="MDPI42tablebody"/>
              <w:spacing w:line="240" w:lineRule="auto"/>
              <w:rPr>
                <w:sz w:val="16"/>
                <w:szCs w:val="16"/>
                <w:lang w:val="en-US"/>
              </w:rPr>
            </w:pPr>
          </w:p>
        </w:tc>
        <w:tc>
          <w:tcPr>
            <w:tcW w:w="0" w:type="auto"/>
            <w:tcBorders>
              <w:bottom w:val="single" w:sz="4" w:space="0" w:color="auto"/>
            </w:tcBorders>
          </w:tcPr>
          <w:p w14:paraId="1D35E561" w14:textId="77777777" w:rsidR="00451DF7" w:rsidRPr="00BA66F3" w:rsidRDefault="00451DF7" w:rsidP="00E11F4B">
            <w:pPr>
              <w:pStyle w:val="MDPI42tablebody"/>
              <w:spacing w:line="240" w:lineRule="auto"/>
              <w:rPr>
                <w:sz w:val="16"/>
                <w:szCs w:val="16"/>
                <w:lang w:val="en-US"/>
              </w:rPr>
            </w:pPr>
            <w:r w:rsidRPr="00BA66F3">
              <w:rPr>
                <w:sz w:val="16"/>
                <w:szCs w:val="16"/>
                <w:lang w:val="en-US"/>
              </w:rPr>
              <w:t>Prefer not to say</w:t>
            </w:r>
          </w:p>
        </w:tc>
        <w:tc>
          <w:tcPr>
            <w:tcW w:w="0" w:type="auto"/>
            <w:tcBorders>
              <w:bottom w:val="single" w:sz="4" w:space="0" w:color="auto"/>
            </w:tcBorders>
          </w:tcPr>
          <w:p w14:paraId="37AD8DA2" w14:textId="77777777" w:rsidR="00451DF7" w:rsidRPr="00BA66F3" w:rsidRDefault="00451DF7" w:rsidP="00E11F4B">
            <w:pPr>
              <w:pStyle w:val="MDPI42tablebody"/>
              <w:spacing w:line="240" w:lineRule="auto"/>
              <w:rPr>
                <w:sz w:val="16"/>
                <w:szCs w:val="16"/>
                <w:lang w:val="en-US"/>
              </w:rPr>
            </w:pPr>
            <w:r w:rsidRPr="00BA66F3">
              <w:rPr>
                <w:sz w:val="16"/>
                <w:szCs w:val="16"/>
                <w:lang w:val="en-US"/>
              </w:rPr>
              <w:t>0</w:t>
            </w:r>
          </w:p>
        </w:tc>
        <w:tc>
          <w:tcPr>
            <w:tcW w:w="0" w:type="auto"/>
            <w:tcBorders>
              <w:bottom w:val="single" w:sz="4" w:space="0" w:color="auto"/>
            </w:tcBorders>
          </w:tcPr>
          <w:p w14:paraId="181F6010" w14:textId="77777777" w:rsidR="00451DF7" w:rsidRPr="00BA66F3" w:rsidRDefault="00451DF7" w:rsidP="00E11F4B">
            <w:pPr>
              <w:pStyle w:val="MDPI42tablebody"/>
              <w:spacing w:line="240" w:lineRule="auto"/>
              <w:rPr>
                <w:sz w:val="16"/>
                <w:szCs w:val="16"/>
                <w:lang w:val="en-US"/>
              </w:rPr>
            </w:pPr>
            <w:r w:rsidRPr="00BA66F3">
              <w:rPr>
                <w:sz w:val="16"/>
                <w:szCs w:val="16"/>
                <w:lang w:val="en-US"/>
              </w:rPr>
              <w:t>1 (2.04%)</w:t>
            </w:r>
          </w:p>
        </w:tc>
        <w:tc>
          <w:tcPr>
            <w:tcW w:w="0" w:type="auto"/>
            <w:vMerge/>
            <w:tcBorders>
              <w:bottom w:val="single" w:sz="4" w:space="0" w:color="auto"/>
            </w:tcBorders>
          </w:tcPr>
          <w:p w14:paraId="06B501FC" w14:textId="77777777" w:rsidR="00451DF7" w:rsidRPr="00BA66F3" w:rsidRDefault="00451DF7" w:rsidP="00E11F4B">
            <w:pPr>
              <w:pStyle w:val="MDPI42tablebody"/>
              <w:spacing w:line="240" w:lineRule="auto"/>
              <w:rPr>
                <w:sz w:val="16"/>
                <w:szCs w:val="16"/>
                <w:lang w:val="en-US"/>
              </w:rPr>
            </w:pPr>
          </w:p>
        </w:tc>
      </w:tr>
      <w:tr w:rsidR="00451DF7" w:rsidRPr="00BA66F3" w14:paraId="1EE49264" w14:textId="77777777" w:rsidTr="00B01E0B">
        <w:tc>
          <w:tcPr>
            <w:tcW w:w="0" w:type="auto"/>
            <w:gridSpan w:val="2"/>
            <w:tcBorders>
              <w:top w:val="single" w:sz="4" w:space="0" w:color="auto"/>
              <w:bottom w:val="single" w:sz="8" w:space="0" w:color="auto"/>
            </w:tcBorders>
          </w:tcPr>
          <w:p w14:paraId="1E15E54B" w14:textId="77777777" w:rsidR="00451DF7" w:rsidRPr="00BA66F3" w:rsidRDefault="00451DF7" w:rsidP="00E11F4B">
            <w:pPr>
              <w:pStyle w:val="MDPI42tablebody"/>
              <w:spacing w:line="240" w:lineRule="auto"/>
              <w:rPr>
                <w:sz w:val="16"/>
                <w:szCs w:val="16"/>
                <w:lang w:val="en-US"/>
              </w:rPr>
            </w:pPr>
            <w:r w:rsidRPr="00BA66F3">
              <w:rPr>
                <w:sz w:val="16"/>
                <w:szCs w:val="16"/>
                <w:lang w:val="en-US"/>
              </w:rPr>
              <w:t>Years of experience (mean, SD)</w:t>
            </w:r>
          </w:p>
        </w:tc>
        <w:tc>
          <w:tcPr>
            <w:tcW w:w="0" w:type="auto"/>
            <w:tcBorders>
              <w:top w:val="single" w:sz="4" w:space="0" w:color="auto"/>
              <w:bottom w:val="single" w:sz="8" w:space="0" w:color="auto"/>
            </w:tcBorders>
          </w:tcPr>
          <w:p w14:paraId="490A4191" w14:textId="77777777" w:rsidR="00451DF7" w:rsidRPr="00BA66F3" w:rsidRDefault="00451DF7" w:rsidP="00E11F4B">
            <w:pPr>
              <w:pStyle w:val="MDPI42tablebody"/>
              <w:spacing w:line="240" w:lineRule="auto"/>
              <w:rPr>
                <w:sz w:val="16"/>
                <w:szCs w:val="16"/>
                <w:lang w:val="en-US"/>
              </w:rPr>
            </w:pPr>
            <w:r w:rsidRPr="00BA66F3">
              <w:rPr>
                <w:sz w:val="16"/>
                <w:szCs w:val="16"/>
                <w:lang w:val="en-US"/>
              </w:rPr>
              <w:t>15.13 (9.10)</w:t>
            </w:r>
          </w:p>
        </w:tc>
        <w:tc>
          <w:tcPr>
            <w:tcW w:w="0" w:type="auto"/>
            <w:tcBorders>
              <w:top w:val="single" w:sz="4" w:space="0" w:color="auto"/>
              <w:bottom w:val="single" w:sz="8" w:space="0" w:color="auto"/>
            </w:tcBorders>
          </w:tcPr>
          <w:p w14:paraId="298230EB" w14:textId="77777777" w:rsidR="00451DF7" w:rsidRPr="00BA66F3" w:rsidRDefault="00451DF7" w:rsidP="00E11F4B">
            <w:pPr>
              <w:pStyle w:val="MDPI42tablebody"/>
              <w:spacing w:line="240" w:lineRule="auto"/>
              <w:rPr>
                <w:sz w:val="16"/>
                <w:szCs w:val="16"/>
                <w:lang w:val="en-US"/>
              </w:rPr>
            </w:pPr>
            <w:r w:rsidRPr="00BA66F3">
              <w:rPr>
                <w:sz w:val="16"/>
                <w:szCs w:val="16"/>
                <w:lang w:val="en-US"/>
              </w:rPr>
              <w:t>16.84 (11.56)</w:t>
            </w:r>
          </w:p>
        </w:tc>
        <w:tc>
          <w:tcPr>
            <w:tcW w:w="0" w:type="auto"/>
            <w:tcBorders>
              <w:top w:val="single" w:sz="4" w:space="0" w:color="auto"/>
              <w:bottom w:val="single" w:sz="8" w:space="0" w:color="auto"/>
            </w:tcBorders>
          </w:tcPr>
          <w:p w14:paraId="029B67AA" w14:textId="77777777" w:rsidR="00451DF7" w:rsidRPr="00BA66F3" w:rsidRDefault="00451DF7" w:rsidP="00E11F4B">
            <w:pPr>
              <w:pStyle w:val="MDPI42tablebody"/>
              <w:spacing w:line="240" w:lineRule="auto"/>
              <w:rPr>
                <w:sz w:val="16"/>
                <w:szCs w:val="16"/>
                <w:lang w:val="en-US"/>
              </w:rPr>
            </w:pPr>
            <w:r w:rsidRPr="00BA66F3">
              <w:rPr>
                <w:sz w:val="16"/>
                <w:szCs w:val="16"/>
                <w:lang w:val="en-US"/>
              </w:rPr>
              <w:t>0.46</w:t>
            </w:r>
          </w:p>
        </w:tc>
      </w:tr>
    </w:tbl>
    <w:p w14:paraId="625C2D88" w14:textId="79F90391" w:rsidR="00207822" w:rsidRPr="00BA66F3" w:rsidRDefault="00207822" w:rsidP="00207822">
      <w:pPr>
        <w:pStyle w:val="MDPI43tablefooter"/>
        <w:jc w:val="center"/>
        <w:rPr>
          <w:color w:val="auto"/>
          <w:szCs w:val="18"/>
        </w:rPr>
      </w:pPr>
      <w:r w:rsidRPr="00BA66F3">
        <w:rPr>
          <w:color w:val="auto"/>
          <w:szCs w:val="18"/>
        </w:rPr>
        <w:t>GPs: General Practitioners; SHCPs: sexual healthcare professionals.</w:t>
      </w:r>
    </w:p>
    <w:p w14:paraId="41D0D18F" w14:textId="41BA1CEA" w:rsidR="00451DF7" w:rsidRPr="00BA66F3" w:rsidRDefault="00451DF7" w:rsidP="008D54D2">
      <w:pPr>
        <w:pStyle w:val="MDPI31text"/>
        <w:spacing w:before="240"/>
        <w:rPr>
          <w:b/>
          <w:color w:val="auto"/>
        </w:rPr>
      </w:pPr>
      <w:r w:rsidRPr="00BA66F3">
        <w:t xml:space="preserve">SHCPS were more likely than GPs to have vaccinated a YMSM patient against HPV (20/49 </w:t>
      </w:r>
      <w:r w:rsidR="00B01E0B" w:rsidRPr="00BA66F3">
        <w:t>(</w:t>
      </w:r>
      <w:r w:rsidRPr="00BA66F3">
        <w:t>47.83%</w:t>
      </w:r>
      <w:r w:rsidR="00B01E0B" w:rsidRPr="00BA66F3">
        <w:t>)</w:t>
      </w:r>
      <w:r w:rsidRPr="00BA66F3">
        <w:t xml:space="preserve"> </w:t>
      </w:r>
      <w:r w:rsidR="00B01E0B" w:rsidRPr="00BA66F3">
        <w:t xml:space="preserve">vs. </w:t>
      </w:r>
      <w:r w:rsidRPr="00BA66F3">
        <w:t xml:space="preserve">2/38 </w:t>
      </w:r>
      <w:r w:rsidR="00B01E0B" w:rsidRPr="00BA66F3">
        <w:t>(</w:t>
      </w:r>
      <w:r w:rsidRPr="00BA66F3">
        <w:t>5.6%</w:t>
      </w:r>
      <w:r w:rsidR="00B01E0B" w:rsidRPr="00BA66F3">
        <w:t>)</w:t>
      </w:r>
      <w:r w:rsidRPr="00BA66F3">
        <w:t xml:space="preserve">, </w:t>
      </w:r>
      <w:r w:rsidRPr="00BA66F3">
        <w:rPr>
          <w:i/>
        </w:rPr>
        <w:t xml:space="preserve">p </w:t>
      </w:r>
      <w:r w:rsidRPr="00BA66F3">
        <w:t>&lt;</w:t>
      </w:r>
      <w:r w:rsidR="00B01E0B" w:rsidRPr="00BA66F3">
        <w:t xml:space="preserve"> </w:t>
      </w:r>
      <w:r w:rsidRPr="00BA66F3">
        <w:t xml:space="preserve">0.001), more likely to be aware of the recent JCVI recommendations </w:t>
      </w:r>
      <w:r w:rsidRPr="00BA66F3">
        <w:rPr>
          <w:color w:val="auto"/>
        </w:rPr>
        <w:t>(</w:t>
      </w:r>
      <w:r w:rsidR="00900F92" w:rsidRPr="00BA66F3">
        <w:rPr>
          <w:color w:val="auto"/>
        </w:rPr>
        <w:t xml:space="preserve">adjusted </w:t>
      </w:r>
      <w:r w:rsidRPr="00BA66F3">
        <w:rPr>
          <w:color w:val="auto"/>
        </w:rPr>
        <w:t>OR</w:t>
      </w:r>
      <w:r w:rsidR="00207822" w:rsidRPr="00BA66F3">
        <w:rPr>
          <w:color w:val="auto"/>
        </w:rPr>
        <w:t xml:space="preserve"> = </w:t>
      </w:r>
      <w:r w:rsidRPr="00BA66F3">
        <w:rPr>
          <w:color w:val="auto"/>
        </w:rPr>
        <w:t>0.03</w:t>
      </w:r>
      <w:r w:rsidR="00900F92" w:rsidRPr="00BA66F3">
        <w:rPr>
          <w:color w:val="auto"/>
        </w:rPr>
        <w:t xml:space="preserve">, </w:t>
      </w:r>
      <w:r w:rsidRPr="00BA66F3">
        <w:rPr>
          <w:color w:val="auto"/>
        </w:rPr>
        <w:t>95% CI</w:t>
      </w:r>
      <w:r w:rsidR="00900F92" w:rsidRPr="00BA66F3">
        <w:rPr>
          <w:color w:val="auto"/>
        </w:rPr>
        <w:t xml:space="preserve"> = </w:t>
      </w:r>
      <w:r w:rsidRPr="00BA66F3">
        <w:rPr>
          <w:color w:val="auto"/>
        </w:rPr>
        <w:t>0.01, 0.11), and more likely to report they knew enough to have an informed discussion with MSM about HPV vaccination (</w:t>
      </w:r>
      <w:r w:rsidR="00900F92" w:rsidRPr="00BA66F3">
        <w:rPr>
          <w:color w:val="auto"/>
        </w:rPr>
        <w:t xml:space="preserve">adjusted </w:t>
      </w:r>
      <w:r w:rsidRPr="00BA66F3">
        <w:rPr>
          <w:color w:val="auto"/>
        </w:rPr>
        <w:t>OR</w:t>
      </w:r>
      <w:r w:rsidR="00900F92" w:rsidRPr="00BA66F3">
        <w:rPr>
          <w:color w:val="auto"/>
        </w:rPr>
        <w:t xml:space="preserve"> = </w:t>
      </w:r>
      <w:r w:rsidRPr="00BA66F3">
        <w:rPr>
          <w:color w:val="auto"/>
        </w:rPr>
        <w:t>0.04</w:t>
      </w:r>
      <w:r w:rsidR="00900F92" w:rsidRPr="00BA66F3">
        <w:rPr>
          <w:color w:val="auto"/>
        </w:rPr>
        <w:t>,</w:t>
      </w:r>
      <w:r w:rsidRPr="00BA66F3">
        <w:rPr>
          <w:color w:val="auto"/>
        </w:rPr>
        <w:t xml:space="preserve"> 95% CI</w:t>
      </w:r>
      <w:r w:rsidR="00900F92" w:rsidRPr="00BA66F3">
        <w:rPr>
          <w:color w:val="auto"/>
        </w:rPr>
        <w:t xml:space="preserve"> =</w:t>
      </w:r>
      <w:r w:rsidRPr="00BA66F3">
        <w:rPr>
          <w:color w:val="auto"/>
        </w:rPr>
        <w:t xml:space="preserve"> 0.01, 0.14). Thirty GPs (78.95%) stated they have a “low level of knowledge” or “no knowledge” of HPV vaccination for YMSM, compared to 6 (12.24%) SHCPs (</w:t>
      </w:r>
      <w:r w:rsidR="00900F92" w:rsidRPr="00BA66F3">
        <w:rPr>
          <w:color w:val="auto"/>
        </w:rPr>
        <w:t xml:space="preserve">adjusted </w:t>
      </w:r>
      <w:r w:rsidRPr="00BA66F3">
        <w:rPr>
          <w:color w:val="auto"/>
        </w:rPr>
        <w:t xml:space="preserve">OR </w:t>
      </w:r>
      <w:r w:rsidR="00900F92" w:rsidRPr="00BA66F3">
        <w:rPr>
          <w:color w:val="auto"/>
        </w:rPr>
        <w:t xml:space="preserve">= </w:t>
      </w:r>
      <w:r w:rsidRPr="00BA66F3">
        <w:rPr>
          <w:color w:val="auto"/>
        </w:rPr>
        <w:t>0.02</w:t>
      </w:r>
      <w:r w:rsidR="00001437" w:rsidRPr="00BA66F3">
        <w:rPr>
          <w:color w:val="auto"/>
        </w:rPr>
        <w:t xml:space="preserve">, </w:t>
      </w:r>
      <w:r w:rsidRPr="00BA66F3">
        <w:rPr>
          <w:color w:val="auto"/>
        </w:rPr>
        <w:t>95% CI</w:t>
      </w:r>
      <w:r w:rsidR="00900F92" w:rsidRPr="00BA66F3">
        <w:rPr>
          <w:color w:val="auto"/>
        </w:rPr>
        <w:t xml:space="preserve"> =</w:t>
      </w:r>
      <w:r w:rsidRPr="00BA66F3">
        <w:rPr>
          <w:color w:val="auto"/>
        </w:rPr>
        <w:t xml:space="preserve"> 0.00, 0.10), b</w:t>
      </w:r>
      <w:r w:rsidRPr="00BA66F3">
        <w:t>ut there were no significant differences in knowledge ratings regarding overall HPV knowledge or HPV in females (See Table 2).</w:t>
      </w:r>
    </w:p>
    <w:p w14:paraId="03043385" w14:textId="0604C7A3" w:rsidR="00451DF7" w:rsidRPr="00BA66F3" w:rsidRDefault="00451DF7" w:rsidP="008D54D2">
      <w:pPr>
        <w:pStyle w:val="MDPI31text"/>
        <w:rPr>
          <w:b/>
        </w:rPr>
      </w:pPr>
      <w:r w:rsidRPr="00BA66F3">
        <w:rPr>
          <w:color w:val="auto"/>
        </w:rPr>
        <w:t xml:space="preserve">GPs attitudes towards HPV vaccination in YMSM differed from SHCPs (see Table 3). GPs were less likely to agree that HPV vaccination should be widely available for both genders (Adjusted </w:t>
      </w:r>
      <w:r w:rsidR="00900F92" w:rsidRPr="00BA66F3">
        <w:rPr>
          <w:color w:val="auto"/>
        </w:rPr>
        <w:br/>
      </w:r>
      <w:r w:rsidRPr="00BA66F3">
        <w:rPr>
          <w:color w:val="auto"/>
        </w:rPr>
        <w:t>OR</w:t>
      </w:r>
      <w:r w:rsidR="00900F92" w:rsidRPr="00BA66F3">
        <w:rPr>
          <w:color w:val="auto"/>
        </w:rPr>
        <w:t xml:space="preserve"> =</w:t>
      </w:r>
      <w:r w:rsidRPr="00BA66F3">
        <w:rPr>
          <w:color w:val="auto"/>
        </w:rPr>
        <w:t xml:space="preserve"> 0.30</w:t>
      </w:r>
      <w:r w:rsidR="00001437" w:rsidRPr="00BA66F3">
        <w:rPr>
          <w:color w:val="auto"/>
        </w:rPr>
        <w:t xml:space="preserve">, </w:t>
      </w:r>
      <w:r w:rsidRPr="00BA66F3">
        <w:rPr>
          <w:color w:val="auto"/>
        </w:rPr>
        <w:t xml:space="preserve">95% CI </w:t>
      </w:r>
      <w:r w:rsidR="00900F92" w:rsidRPr="00BA66F3">
        <w:rPr>
          <w:color w:val="auto"/>
        </w:rPr>
        <w:t xml:space="preserve">= </w:t>
      </w:r>
      <w:r w:rsidRPr="00BA66F3">
        <w:rPr>
          <w:color w:val="auto"/>
        </w:rPr>
        <w:t>0.09, 0.98) or MSM (</w:t>
      </w:r>
      <w:r w:rsidR="00900F92" w:rsidRPr="00BA66F3">
        <w:rPr>
          <w:color w:val="auto"/>
        </w:rPr>
        <w:t xml:space="preserve">adjusted </w:t>
      </w:r>
      <w:r w:rsidRPr="00BA66F3">
        <w:rPr>
          <w:color w:val="auto"/>
        </w:rPr>
        <w:t xml:space="preserve">OR </w:t>
      </w:r>
      <w:r w:rsidR="00900F92" w:rsidRPr="00BA66F3">
        <w:rPr>
          <w:color w:val="auto"/>
        </w:rPr>
        <w:t xml:space="preserve">= </w:t>
      </w:r>
      <w:r w:rsidRPr="00BA66F3">
        <w:rPr>
          <w:color w:val="auto"/>
        </w:rPr>
        <w:t>0.30</w:t>
      </w:r>
      <w:r w:rsidR="00900F92" w:rsidRPr="00BA66F3">
        <w:rPr>
          <w:color w:val="auto"/>
        </w:rPr>
        <w:t xml:space="preserve">, </w:t>
      </w:r>
      <w:r w:rsidRPr="00BA66F3">
        <w:rPr>
          <w:color w:val="auto"/>
        </w:rPr>
        <w:t xml:space="preserve">95% CI </w:t>
      </w:r>
      <w:r w:rsidR="00900F92" w:rsidRPr="00BA66F3">
        <w:rPr>
          <w:color w:val="auto"/>
        </w:rPr>
        <w:t xml:space="preserve">= </w:t>
      </w:r>
      <w:r w:rsidRPr="00BA66F3">
        <w:rPr>
          <w:color w:val="auto"/>
        </w:rPr>
        <w:t xml:space="preserve">0.09, 0.98) based on current evidence. Even if a gender-neutral </w:t>
      </w:r>
      <w:proofErr w:type="spellStart"/>
      <w:r w:rsidRPr="00BA66F3">
        <w:rPr>
          <w:color w:val="auto"/>
        </w:rPr>
        <w:t>programme</w:t>
      </w:r>
      <w:proofErr w:type="spellEnd"/>
      <w:r w:rsidRPr="00BA66F3">
        <w:rPr>
          <w:color w:val="auto"/>
        </w:rPr>
        <w:t xml:space="preserve"> existed in the UK, GPs were less likely to recommend HPV vaccination to MSM (</w:t>
      </w:r>
      <w:r w:rsidR="00900F92" w:rsidRPr="00BA66F3">
        <w:rPr>
          <w:color w:val="auto"/>
        </w:rPr>
        <w:t xml:space="preserve">adjusted </w:t>
      </w:r>
      <w:r w:rsidRPr="00BA66F3">
        <w:rPr>
          <w:color w:val="auto"/>
        </w:rPr>
        <w:t>OR</w:t>
      </w:r>
      <w:r w:rsidR="00B01E0B" w:rsidRPr="00BA66F3">
        <w:rPr>
          <w:color w:val="auto"/>
        </w:rPr>
        <w:t xml:space="preserve"> </w:t>
      </w:r>
      <w:r w:rsidRPr="00BA66F3">
        <w:rPr>
          <w:color w:val="auto"/>
        </w:rPr>
        <w:t>=</w:t>
      </w:r>
      <w:r w:rsidR="00B01E0B" w:rsidRPr="00BA66F3">
        <w:rPr>
          <w:color w:val="auto"/>
        </w:rPr>
        <w:t xml:space="preserve"> </w:t>
      </w:r>
      <w:r w:rsidRPr="00BA66F3">
        <w:rPr>
          <w:color w:val="auto"/>
        </w:rPr>
        <w:t>0.33</w:t>
      </w:r>
      <w:r w:rsidR="00001437" w:rsidRPr="00BA66F3">
        <w:rPr>
          <w:color w:val="auto"/>
        </w:rPr>
        <w:t xml:space="preserve">, </w:t>
      </w:r>
      <w:r w:rsidRPr="00BA66F3">
        <w:rPr>
          <w:color w:val="auto"/>
        </w:rPr>
        <w:t>95% CI</w:t>
      </w:r>
      <w:r w:rsidR="00900F92" w:rsidRPr="00BA66F3">
        <w:rPr>
          <w:color w:val="auto"/>
        </w:rPr>
        <w:t xml:space="preserve"> =</w:t>
      </w:r>
      <w:r w:rsidRPr="00BA66F3">
        <w:rPr>
          <w:color w:val="auto"/>
        </w:rPr>
        <w:t xml:space="preserve"> 0.13, 0.88) and they were less likely to believe </w:t>
      </w:r>
      <w:r w:rsidRPr="00BA66F3">
        <w:rPr>
          <w:color w:val="auto"/>
          <w:spacing w:val="-2"/>
        </w:rPr>
        <w:t>the majority of YMSM would be willing to receive the vaccine (</w:t>
      </w:r>
      <w:r w:rsidR="00900F92" w:rsidRPr="00BA66F3">
        <w:rPr>
          <w:color w:val="auto"/>
          <w:spacing w:val="-2"/>
        </w:rPr>
        <w:t xml:space="preserve">adjusted </w:t>
      </w:r>
      <w:r w:rsidRPr="00BA66F3">
        <w:rPr>
          <w:color w:val="auto"/>
          <w:spacing w:val="-2"/>
        </w:rPr>
        <w:t xml:space="preserve">OR </w:t>
      </w:r>
      <w:r w:rsidR="00900F92" w:rsidRPr="00BA66F3">
        <w:rPr>
          <w:color w:val="auto"/>
          <w:spacing w:val="-2"/>
        </w:rPr>
        <w:t xml:space="preserve">= </w:t>
      </w:r>
      <w:r w:rsidRPr="00BA66F3">
        <w:rPr>
          <w:color w:val="auto"/>
          <w:spacing w:val="-2"/>
        </w:rPr>
        <w:t>0.13</w:t>
      </w:r>
      <w:r w:rsidR="00900F92" w:rsidRPr="00BA66F3">
        <w:rPr>
          <w:color w:val="auto"/>
          <w:spacing w:val="-2"/>
        </w:rPr>
        <w:t xml:space="preserve">, </w:t>
      </w:r>
      <w:r w:rsidRPr="00BA66F3">
        <w:rPr>
          <w:color w:val="auto"/>
          <w:spacing w:val="-2"/>
        </w:rPr>
        <w:t>95% CI</w:t>
      </w:r>
      <w:r w:rsidR="00900F92" w:rsidRPr="00BA66F3">
        <w:rPr>
          <w:color w:val="auto"/>
          <w:spacing w:val="-2"/>
        </w:rPr>
        <w:t xml:space="preserve"> = </w:t>
      </w:r>
      <w:r w:rsidRPr="00BA66F3">
        <w:rPr>
          <w:color w:val="auto"/>
          <w:spacing w:val="-2"/>
        </w:rPr>
        <w:t>0.04, 0.41).</w:t>
      </w:r>
      <w:r w:rsidRPr="00BA66F3">
        <w:rPr>
          <w:color w:val="auto"/>
        </w:rPr>
        <w:t xml:space="preserve"> </w:t>
      </w:r>
      <w:r w:rsidRPr="00BA66F3">
        <w:t>Paradoxically, there was no significant difference in the numbers of GPs who would recommend the HPV vaccination to their own son (33/38</w:t>
      </w:r>
      <w:r w:rsidR="00FB035A" w:rsidRPr="00BA66F3">
        <w:t xml:space="preserve">, </w:t>
      </w:r>
      <w:r w:rsidRPr="00BA66F3">
        <w:t>86.84%) compared to SHCPs (49/49</w:t>
      </w:r>
      <w:r w:rsidR="00FB035A" w:rsidRPr="00BA66F3">
        <w:t xml:space="preserve">, </w:t>
      </w:r>
      <w:r w:rsidRPr="00BA66F3">
        <w:t>100%</w:t>
      </w:r>
      <w:r w:rsidR="00FB035A" w:rsidRPr="00BA66F3">
        <w:t>,</w:t>
      </w:r>
      <w:r w:rsidRPr="00BA66F3">
        <w:t xml:space="preserve"> </w:t>
      </w:r>
      <w:r w:rsidRPr="00BA66F3">
        <w:rPr>
          <w:i/>
        </w:rPr>
        <w:t>p</w:t>
      </w:r>
      <w:r w:rsidRPr="00BA66F3">
        <w:t xml:space="preserve"> = 0.36).</w:t>
      </w:r>
    </w:p>
    <w:p w14:paraId="53391D41" w14:textId="575E0B99" w:rsidR="00451DF7" w:rsidRPr="00BA66F3" w:rsidRDefault="00451DF7" w:rsidP="008D54D2">
      <w:pPr>
        <w:pStyle w:val="MDPI31text"/>
        <w:rPr>
          <w:b/>
        </w:rPr>
      </w:pPr>
      <w:r w:rsidRPr="00BA66F3">
        <w:t xml:space="preserve">When asked about whether they ask patients about sexual orientation </w:t>
      </w:r>
      <w:r w:rsidR="006D2A77" w:rsidRPr="00BA66F3">
        <w:t>“</w:t>
      </w:r>
      <w:r w:rsidRPr="00BA66F3">
        <w:t>if it is relevant to the consultation</w:t>
      </w:r>
      <w:r w:rsidR="006D2A77" w:rsidRPr="00BA66F3">
        <w:t>”</w:t>
      </w:r>
      <w:r w:rsidRPr="00BA66F3">
        <w:t xml:space="preserve">, there was no difference between the responses of GPs (31/38, 81.58%) and SHCPs (40/46, 86.96%, </w:t>
      </w:r>
      <w:r w:rsidRPr="00BA66F3">
        <w:rPr>
          <w:i/>
        </w:rPr>
        <w:t>p</w:t>
      </w:r>
      <w:r w:rsidRPr="00BA66F3">
        <w:t xml:space="preserve"> = 0.57). GPs were much less likely to believe that a young person would disclose their sexual orientation to them (</w:t>
      </w:r>
      <w:r w:rsidR="00BB62ED" w:rsidRPr="00BA66F3">
        <w:t xml:space="preserve">adjusted </w:t>
      </w:r>
      <w:r w:rsidRPr="00BA66F3">
        <w:t xml:space="preserve">OR 0.17 95% CI 0.06, 0.50), less confident that they had the </w:t>
      </w:r>
      <w:r w:rsidRPr="00BA66F3">
        <w:rPr>
          <w:color w:val="auto"/>
          <w:spacing w:val="-4"/>
        </w:rPr>
        <w:t>skills to identify YMSM who may benefit from HPV vaccination (</w:t>
      </w:r>
      <w:r w:rsidR="00001437" w:rsidRPr="00BA66F3">
        <w:rPr>
          <w:color w:val="auto"/>
          <w:spacing w:val="-4"/>
        </w:rPr>
        <w:t xml:space="preserve">adjusted </w:t>
      </w:r>
      <w:r w:rsidRPr="00BA66F3">
        <w:rPr>
          <w:color w:val="auto"/>
          <w:spacing w:val="-4"/>
        </w:rPr>
        <w:t>OR</w:t>
      </w:r>
      <w:r w:rsidR="00B01E0B" w:rsidRPr="00BA66F3">
        <w:rPr>
          <w:color w:val="auto"/>
          <w:spacing w:val="-4"/>
        </w:rPr>
        <w:t xml:space="preserve"> </w:t>
      </w:r>
      <w:r w:rsidRPr="00BA66F3">
        <w:rPr>
          <w:color w:val="auto"/>
          <w:spacing w:val="-4"/>
        </w:rPr>
        <w:t>=</w:t>
      </w:r>
      <w:r w:rsidR="00B01E0B" w:rsidRPr="00BA66F3">
        <w:rPr>
          <w:color w:val="auto"/>
          <w:spacing w:val="-4"/>
        </w:rPr>
        <w:t xml:space="preserve"> </w:t>
      </w:r>
      <w:r w:rsidRPr="00BA66F3">
        <w:rPr>
          <w:color w:val="auto"/>
          <w:spacing w:val="-4"/>
        </w:rPr>
        <w:t>0.03</w:t>
      </w:r>
      <w:r w:rsidR="00001437" w:rsidRPr="00BA66F3">
        <w:rPr>
          <w:color w:val="auto"/>
          <w:spacing w:val="-4"/>
        </w:rPr>
        <w:t xml:space="preserve">, </w:t>
      </w:r>
      <w:r w:rsidRPr="00BA66F3">
        <w:rPr>
          <w:color w:val="auto"/>
          <w:spacing w:val="-4"/>
        </w:rPr>
        <w:t xml:space="preserve">95% CI </w:t>
      </w:r>
      <w:r w:rsidR="00001437" w:rsidRPr="00BA66F3">
        <w:rPr>
          <w:color w:val="auto"/>
          <w:spacing w:val="-4"/>
        </w:rPr>
        <w:t xml:space="preserve">= </w:t>
      </w:r>
      <w:r w:rsidRPr="00BA66F3">
        <w:rPr>
          <w:color w:val="auto"/>
          <w:spacing w:val="-4"/>
        </w:rPr>
        <w:t>0.01, 0.15),</w:t>
      </w:r>
      <w:r w:rsidRPr="00BA66F3">
        <w:rPr>
          <w:color w:val="auto"/>
        </w:rPr>
        <w:t xml:space="preserve"> and they reported lower levels of confidence in recommending HPV vaccination for YMSM (</w:t>
      </w:r>
      <w:r w:rsidR="00001437" w:rsidRPr="00BA66F3">
        <w:rPr>
          <w:color w:val="auto"/>
        </w:rPr>
        <w:t xml:space="preserve">adjusted </w:t>
      </w:r>
      <w:r w:rsidRPr="00BA66F3">
        <w:rPr>
          <w:color w:val="auto"/>
        </w:rPr>
        <w:t>OR</w:t>
      </w:r>
      <w:r w:rsidR="00001437" w:rsidRPr="00BA66F3">
        <w:rPr>
          <w:color w:val="auto"/>
        </w:rPr>
        <w:t xml:space="preserve"> = </w:t>
      </w:r>
      <w:r w:rsidRPr="00BA66F3">
        <w:rPr>
          <w:color w:val="auto"/>
        </w:rPr>
        <w:t>0.04</w:t>
      </w:r>
      <w:r w:rsidR="00001437" w:rsidRPr="00BA66F3">
        <w:rPr>
          <w:color w:val="auto"/>
        </w:rPr>
        <w:t xml:space="preserve">, </w:t>
      </w:r>
      <w:r w:rsidRPr="00BA66F3">
        <w:rPr>
          <w:color w:val="auto"/>
        </w:rPr>
        <w:t xml:space="preserve">95% CI </w:t>
      </w:r>
      <w:r w:rsidR="00001437" w:rsidRPr="00BA66F3">
        <w:rPr>
          <w:color w:val="auto"/>
        </w:rPr>
        <w:t xml:space="preserve">= </w:t>
      </w:r>
      <w:r w:rsidRPr="00BA66F3">
        <w:rPr>
          <w:color w:val="auto"/>
        </w:rPr>
        <w:t>0.01, 0.18).</w:t>
      </w:r>
    </w:p>
    <w:p w14:paraId="51241956" w14:textId="36003D81" w:rsidR="00451DF7" w:rsidRPr="00BA66F3" w:rsidRDefault="00451DF7" w:rsidP="008D54D2">
      <w:pPr>
        <w:pStyle w:val="MDPI31text"/>
      </w:pPr>
      <w:r w:rsidRPr="00BA66F3">
        <w:t xml:space="preserve">GPs and SCHPs reported different factors that would most affect their ability to deliver HPV vaccination for young MSM (see Table 4). GPs highlighted </w:t>
      </w:r>
      <w:r w:rsidR="009E222E" w:rsidRPr="00BA66F3">
        <w:t>“</w:t>
      </w:r>
      <w:r w:rsidRPr="00BA66F3">
        <w:t>no time</w:t>
      </w:r>
      <w:r w:rsidR="009E222E" w:rsidRPr="00BA66F3">
        <w:t>”</w:t>
      </w:r>
      <w:r w:rsidRPr="00BA66F3">
        <w:t xml:space="preserve"> as a key limiting factor (25/38, 65.79%), while SCHPs felt </w:t>
      </w:r>
      <w:r w:rsidR="009E222E" w:rsidRPr="00BA66F3">
        <w:t>“</w:t>
      </w:r>
      <w:r w:rsidRPr="00BA66F3">
        <w:t>staff availability</w:t>
      </w:r>
      <w:r w:rsidR="009E222E" w:rsidRPr="00BA66F3">
        <w:t>”</w:t>
      </w:r>
      <w:r w:rsidRPr="00BA66F3">
        <w:t xml:space="preserve"> (27/49, 55.10%) was the most important limitation. The majority of GPs (28/38, 73.68%) felt that additional training was needed to support HPV vaccination for MSM in primary care, while SHCPs felt computer prompts would be most useful (18/35, 51.43%) (see Table 5).</w:t>
      </w:r>
    </w:p>
    <w:p w14:paraId="5289A2C9" w14:textId="77777777" w:rsidR="00C77758" w:rsidRPr="00BA66F3" w:rsidRDefault="00C77758" w:rsidP="008D54D2">
      <w:pPr>
        <w:pStyle w:val="MDPI41tablecaption"/>
        <w:jc w:val="center"/>
        <w:rPr>
          <w:b/>
        </w:rPr>
        <w:sectPr w:rsidR="00C77758" w:rsidRPr="00BA66F3" w:rsidSect="008D54D2">
          <w:headerReference w:type="even" r:id="rId8"/>
          <w:headerReference w:type="default" r:id="rId9"/>
          <w:footerReference w:type="default" r:id="rId10"/>
          <w:headerReference w:type="first" r:id="rId11"/>
          <w:footerReference w:type="first" r:id="rId12"/>
          <w:type w:val="continuous"/>
          <w:pgSz w:w="11906" w:h="16838" w:code="9"/>
          <w:pgMar w:top="1417" w:right="1531" w:bottom="1077" w:left="1531" w:header="1020" w:footer="850" w:gutter="0"/>
          <w:pgNumType w:start="1"/>
          <w:cols w:space="425"/>
          <w:titlePg/>
          <w:docGrid w:type="lines" w:linePitch="326"/>
        </w:sectPr>
      </w:pPr>
    </w:p>
    <w:p w14:paraId="70ECD719" w14:textId="5530D17D" w:rsidR="00451DF7" w:rsidRPr="00BA66F3" w:rsidRDefault="00451DF7" w:rsidP="00D14204">
      <w:pPr>
        <w:pStyle w:val="MDPI41tablecaption"/>
      </w:pPr>
      <w:r w:rsidRPr="00BA66F3">
        <w:rPr>
          <w:b/>
        </w:rPr>
        <w:lastRenderedPageBreak/>
        <w:t>Table 2</w:t>
      </w:r>
      <w:r w:rsidR="008D54D2" w:rsidRPr="00BA66F3">
        <w:rPr>
          <w:b/>
        </w:rPr>
        <w:t>.</w:t>
      </w:r>
      <w:r w:rsidR="008D54D2" w:rsidRPr="00BA66F3">
        <w:t xml:space="preserve"> </w:t>
      </w:r>
      <w:r w:rsidRPr="00BA66F3">
        <w:t>GPs and SHCPs knowledge regarding HPV vaccination</w:t>
      </w:r>
      <w:r w:rsidR="00207822" w:rsidRPr="00BA66F3">
        <w:t>.</w:t>
      </w:r>
    </w:p>
    <w:tbl>
      <w:tblPr>
        <w:tblStyle w:val="Mdeck5tablebodythreelines"/>
        <w:tblW w:w="14459" w:type="dxa"/>
        <w:tblBorders>
          <w:top w:val="single" w:sz="8" w:space="0" w:color="auto"/>
          <w:insideH w:val="single" w:sz="4" w:space="0" w:color="auto"/>
        </w:tblBorders>
        <w:tblLayout w:type="fixed"/>
        <w:tblLook w:val="04A0" w:firstRow="1" w:lastRow="0" w:firstColumn="1" w:lastColumn="0" w:noHBand="0" w:noVBand="1"/>
      </w:tblPr>
      <w:tblGrid>
        <w:gridCol w:w="4962"/>
        <w:gridCol w:w="1426"/>
        <w:gridCol w:w="1080"/>
        <w:gridCol w:w="1463"/>
        <w:gridCol w:w="1275"/>
        <w:gridCol w:w="1134"/>
        <w:gridCol w:w="1134"/>
        <w:gridCol w:w="851"/>
        <w:gridCol w:w="1134"/>
      </w:tblGrid>
      <w:tr w:rsidR="003B32B5" w:rsidRPr="00BA66F3" w14:paraId="33EE803E" w14:textId="77777777" w:rsidTr="00BA66F3">
        <w:trPr>
          <w:cnfStyle w:val="100000000000" w:firstRow="1" w:lastRow="0" w:firstColumn="0" w:lastColumn="0" w:oddVBand="0" w:evenVBand="0" w:oddHBand="0" w:evenHBand="0" w:firstRowFirstColumn="0" w:firstRowLastColumn="0" w:lastRowFirstColumn="0" w:lastRowLastColumn="0"/>
        </w:trPr>
        <w:tc>
          <w:tcPr>
            <w:tcW w:w="4962" w:type="dxa"/>
          </w:tcPr>
          <w:p w14:paraId="4904D8A3" w14:textId="77777777" w:rsidR="00451DF7" w:rsidRPr="00BA66F3" w:rsidRDefault="00451DF7" w:rsidP="00B01E0B">
            <w:pPr>
              <w:pStyle w:val="MDPI41tablecaption"/>
              <w:spacing w:before="0" w:after="0" w:line="240" w:lineRule="auto"/>
              <w:ind w:left="0" w:right="0"/>
              <w:jc w:val="left"/>
              <w:rPr>
                <w:b/>
                <w:szCs w:val="18"/>
                <w:lang w:val="en-US"/>
              </w:rPr>
            </w:pPr>
            <w:r w:rsidRPr="00BA66F3">
              <w:rPr>
                <w:b/>
                <w:szCs w:val="18"/>
                <w:lang w:val="en-US"/>
              </w:rPr>
              <w:t>Statement</w:t>
            </w:r>
          </w:p>
        </w:tc>
        <w:tc>
          <w:tcPr>
            <w:tcW w:w="2506" w:type="dxa"/>
            <w:gridSpan w:val="2"/>
          </w:tcPr>
          <w:p w14:paraId="59F7B71C"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GPs (n = 38)</w:t>
            </w:r>
          </w:p>
        </w:tc>
        <w:tc>
          <w:tcPr>
            <w:tcW w:w="2738" w:type="dxa"/>
            <w:gridSpan w:val="2"/>
          </w:tcPr>
          <w:p w14:paraId="0F389B78"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SHCPs (n = 49)</w:t>
            </w:r>
          </w:p>
        </w:tc>
        <w:tc>
          <w:tcPr>
            <w:tcW w:w="1134" w:type="dxa"/>
            <w:vMerge w:val="restart"/>
          </w:tcPr>
          <w:p w14:paraId="09B10C76" w14:textId="77777777" w:rsidR="00451DF7" w:rsidRPr="00BA66F3" w:rsidRDefault="00451DF7" w:rsidP="00B01E0B">
            <w:pPr>
              <w:pStyle w:val="MDPI41tablecaption"/>
              <w:spacing w:before="0" w:after="0" w:line="240" w:lineRule="auto"/>
              <w:ind w:left="0" w:right="0"/>
              <w:jc w:val="center"/>
              <w:rPr>
                <w:b/>
                <w:szCs w:val="18"/>
                <w:lang w:val="en-US"/>
              </w:rPr>
            </w:pPr>
            <w:proofErr w:type="spellStart"/>
            <w:r w:rsidRPr="00BA66F3">
              <w:rPr>
                <w:b/>
                <w:color w:val="auto"/>
                <w:szCs w:val="18"/>
                <w:lang w:val="en-US"/>
              </w:rPr>
              <w:t>Unadj</w:t>
            </w:r>
            <w:proofErr w:type="spellEnd"/>
            <w:r w:rsidRPr="00BA66F3">
              <w:rPr>
                <w:b/>
                <w:color w:val="auto"/>
                <w:szCs w:val="18"/>
                <w:lang w:val="en-US"/>
              </w:rPr>
              <w:t xml:space="preserve"> </w:t>
            </w:r>
            <w:r w:rsidRPr="00BA66F3">
              <w:rPr>
                <w:b/>
                <w:szCs w:val="18"/>
                <w:lang w:val="en-US"/>
              </w:rPr>
              <w:t>OR</w:t>
            </w:r>
          </w:p>
        </w:tc>
        <w:tc>
          <w:tcPr>
            <w:tcW w:w="1134" w:type="dxa"/>
            <w:vMerge w:val="restart"/>
          </w:tcPr>
          <w:p w14:paraId="6837B161"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95% CI</w:t>
            </w:r>
          </w:p>
        </w:tc>
        <w:tc>
          <w:tcPr>
            <w:tcW w:w="851" w:type="dxa"/>
            <w:vMerge w:val="restart"/>
          </w:tcPr>
          <w:p w14:paraId="3B9CBE04" w14:textId="77777777" w:rsidR="00451DF7" w:rsidRPr="00BA66F3" w:rsidRDefault="00451DF7" w:rsidP="00B01E0B">
            <w:pPr>
              <w:pStyle w:val="MDPI41tablecaption"/>
              <w:spacing w:before="0" w:after="0" w:line="240" w:lineRule="auto"/>
              <w:ind w:left="0" w:right="0"/>
              <w:jc w:val="center"/>
              <w:rPr>
                <w:b/>
                <w:szCs w:val="18"/>
                <w:lang w:val="en-US"/>
              </w:rPr>
            </w:pPr>
            <w:proofErr w:type="spellStart"/>
            <w:r w:rsidRPr="00BA66F3">
              <w:rPr>
                <w:b/>
                <w:szCs w:val="18"/>
                <w:lang w:val="en-US"/>
              </w:rPr>
              <w:t>Adj</w:t>
            </w:r>
            <w:proofErr w:type="spellEnd"/>
            <w:r w:rsidRPr="00BA66F3">
              <w:rPr>
                <w:b/>
                <w:szCs w:val="18"/>
                <w:lang w:val="en-US"/>
              </w:rPr>
              <w:t xml:space="preserve"> OR</w:t>
            </w:r>
          </w:p>
        </w:tc>
        <w:tc>
          <w:tcPr>
            <w:tcW w:w="1134" w:type="dxa"/>
            <w:vMerge w:val="restart"/>
          </w:tcPr>
          <w:p w14:paraId="073268E3"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95% CI</w:t>
            </w:r>
          </w:p>
        </w:tc>
      </w:tr>
      <w:tr w:rsidR="003B32B5" w:rsidRPr="00BA66F3" w14:paraId="1E799882" w14:textId="77777777" w:rsidTr="00BA66F3">
        <w:tc>
          <w:tcPr>
            <w:tcW w:w="4962" w:type="dxa"/>
          </w:tcPr>
          <w:p w14:paraId="5FBA91B4" w14:textId="77777777" w:rsidR="00451DF7" w:rsidRPr="00BA66F3" w:rsidRDefault="00451DF7" w:rsidP="00B01E0B">
            <w:pPr>
              <w:pStyle w:val="MDPI41tablecaption"/>
              <w:spacing w:before="0" w:after="0" w:line="240" w:lineRule="auto"/>
              <w:ind w:left="0" w:right="0"/>
              <w:jc w:val="left"/>
              <w:rPr>
                <w:b/>
                <w:szCs w:val="18"/>
                <w:lang w:val="en-US"/>
              </w:rPr>
            </w:pPr>
            <w:r w:rsidRPr="00BA66F3">
              <w:rPr>
                <w:b/>
                <w:szCs w:val="18"/>
                <w:lang w:val="en-US"/>
              </w:rPr>
              <w:t>n (%)</w:t>
            </w:r>
          </w:p>
        </w:tc>
        <w:tc>
          <w:tcPr>
            <w:tcW w:w="1426" w:type="dxa"/>
          </w:tcPr>
          <w:p w14:paraId="137495AA" w14:textId="2CF831DC" w:rsidR="00451DF7" w:rsidRPr="00BA66F3" w:rsidRDefault="00451DF7" w:rsidP="00B01E0B">
            <w:pPr>
              <w:pStyle w:val="MDPI41tablecaption"/>
              <w:spacing w:before="0" w:after="0" w:line="240" w:lineRule="auto"/>
              <w:ind w:left="0" w:right="0"/>
              <w:jc w:val="center"/>
              <w:rPr>
                <w:b/>
                <w:color w:val="auto"/>
                <w:szCs w:val="18"/>
                <w:lang w:val="en-US"/>
              </w:rPr>
            </w:pPr>
            <w:r w:rsidRPr="00BA66F3">
              <w:rPr>
                <w:b/>
                <w:color w:val="auto"/>
                <w:szCs w:val="18"/>
                <w:lang w:val="en-US"/>
              </w:rPr>
              <w:t>High/Med</w:t>
            </w:r>
            <w:r w:rsidR="003B32B5" w:rsidRPr="00BA66F3">
              <w:rPr>
                <w:b/>
                <w:color w:val="auto"/>
                <w:szCs w:val="18"/>
                <w:lang w:val="en-US"/>
              </w:rPr>
              <w:t>ium</w:t>
            </w:r>
          </w:p>
        </w:tc>
        <w:tc>
          <w:tcPr>
            <w:tcW w:w="1080" w:type="dxa"/>
          </w:tcPr>
          <w:p w14:paraId="7A9E441D" w14:textId="77777777" w:rsidR="00451DF7" w:rsidRPr="00BA66F3" w:rsidRDefault="00451DF7" w:rsidP="00B01E0B">
            <w:pPr>
              <w:pStyle w:val="MDPI41tablecaption"/>
              <w:spacing w:before="0" w:after="0" w:line="240" w:lineRule="auto"/>
              <w:ind w:left="0" w:right="0"/>
              <w:jc w:val="center"/>
              <w:rPr>
                <w:b/>
                <w:color w:val="auto"/>
                <w:szCs w:val="18"/>
                <w:lang w:val="en-US"/>
              </w:rPr>
            </w:pPr>
            <w:r w:rsidRPr="00BA66F3">
              <w:rPr>
                <w:b/>
                <w:color w:val="auto"/>
                <w:szCs w:val="18"/>
                <w:lang w:val="en-US"/>
              </w:rPr>
              <w:t>Low/None</w:t>
            </w:r>
          </w:p>
        </w:tc>
        <w:tc>
          <w:tcPr>
            <w:tcW w:w="1463" w:type="dxa"/>
          </w:tcPr>
          <w:p w14:paraId="24A816EE" w14:textId="489D9D90" w:rsidR="00451DF7" w:rsidRPr="00BA66F3" w:rsidRDefault="00451DF7" w:rsidP="00B01E0B">
            <w:pPr>
              <w:pStyle w:val="MDPI41tablecaption"/>
              <w:spacing w:before="0" w:after="0" w:line="240" w:lineRule="auto"/>
              <w:ind w:left="0" w:right="0"/>
              <w:jc w:val="center"/>
              <w:rPr>
                <w:b/>
                <w:color w:val="auto"/>
                <w:szCs w:val="18"/>
                <w:lang w:val="en-US"/>
              </w:rPr>
            </w:pPr>
            <w:r w:rsidRPr="00BA66F3">
              <w:rPr>
                <w:b/>
                <w:color w:val="auto"/>
                <w:szCs w:val="18"/>
                <w:lang w:val="en-US"/>
              </w:rPr>
              <w:t>High/Med</w:t>
            </w:r>
            <w:r w:rsidR="003B32B5" w:rsidRPr="00BA66F3">
              <w:rPr>
                <w:b/>
                <w:color w:val="auto"/>
                <w:szCs w:val="18"/>
                <w:lang w:val="en-US"/>
              </w:rPr>
              <w:t>ium</w:t>
            </w:r>
          </w:p>
        </w:tc>
        <w:tc>
          <w:tcPr>
            <w:tcW w:w="1275" w:type="dxa"/>
          </w:tcPr>
          <w:p w14:paraId="5F846ED1"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Low/None</w:t>
            </w:r>
          </w:p>
        </w:tc>
        <w:tc>
          <w:tcPr>
            <w:tcW w:w="1134" w:type="dxa"/>
            <w:vMerge/>
          </w:tcPr>
          <w:p w14:paraId="769C3744" w14:textId="77777777" w:rsidR="00451DF7" w:rsidRPr="00BA66F3" w:rsidRDefault="00451DF7" w:rsidP="00B01E0B">
            <w:pPr>
              <w:pStyle w:val="MDPI41tablecaption"/>
              <w:spacing w:before="0" w:after="0" w:line="240" w:lineRule="auto"/>
              <w:ind w:left="0" w:right="0"/>
              <w:jc w:val="center"/>
              <w:rPr>
                <w:b/>
                <w:szCs w:val="18"/>
                <w:lang w:val="en-US"/>
              </w:rPr>
            </w:pPr>
          </w:p>
        </w:tc>
        <w:tc>
          <w:tcPr>
            <w:tcW w:w="1134" w:type="dxa"/>
            <w:vMerge/>
          </w:tcPr>
          <w:p w14:paraId="620128C2" w14:textId="77777777" w:rsidR="00451DF7" w:rsidRPr="00BA66F3" w:rsidRDefault="00451DF7" w:rsidP="00B01E0B">
            <w:pPr>
              <w:pStyle w:val="MDPI41tablecaption"/>
              <w:spacing w:before="0" w:after="0" w:line="240" w:lineRule="auto"/>
              <w:ind w:left="0" w:right="0"/>
              <w:jc w:val="center"/>
              <w:rPr>
                <w:b/>
                <w:szCs w:val="18"/>
                <w:lang w:val="en-US"/>
              </w:rPr>
            </w:pPr>
          </w:p>
        </w:tc>
        <w:tc>
          <w:tcPr>
            <w:tcW w:w="851" w:type="dxa"/>
            <w:vMerge/>
          </w:tcPr>
          <w:p w14:paraId="61857A75" w14:textId="77777777" w:rsidR="00451DF7" w:rsidRPr="00BA66F3" w:rsidRDefault="00451DF7" w:rsidP="00B01E0B">
            <w:pPr>
              <w:pStyle w:val="MDPI41tablecaption"/>
              <w:spacing w:before="0" w:after="0" w:line="240" w:lineRule="auto"/>
              <w:ind w:left="0" w:right="0"/>
              <w:jc w:val="center"/>
              <w:rPr>
                <w:b/>
                <w:szCs w:val="18"/>
                <w:lang w:val="en-US"/>
              </w:rPr>
            </w:pPr>
          </w:p>
        </w:tc>
        <w:tc>
          <w:tcPr>
            <w:tcW w:w="1134" w:type="dxa"/>
            <w:vMerge/>
          </w:tcPr>
          <w:p w14:paraId="58B7CE7E" w14:textId="77777777" w:rsidR="00451DF7" w:rsidRPr="00BA66F3" w:rsidRDefault="00451DF7" w:rsidP="00B01E0B">
            <w:pPr>
              <w:pStyle w:val="MDPI41tablecaption"/>
              <w:spacing w:before="0" w:after="0" w:line="240" w:lineRule="auto"/>
              <w:ind w:left="0" w:right="0"/>
              <w:jc w:val="center"/>
              <w:rPr>
                <w:b/>
                <w:szCs w:val="18"/>
                <w:lang w:val="en-US"/>
              </w:rPr>
            </w:pPr>
          </w:p>
        </w:tc>
      </w:tr>
      <w:tr w:rsidR="003B32B5" w:rsidRPr="00BA66F3" w14:paraId="50CA4AB4" w14:textId="77777777" w:rsidTr="00BA66F3">
        <w:tc>
          <w:tcPr>
            <w:tcW w:w="4962" w:type="dxa"/>
          </w:tcPr>
          <w:p w14:paraId="39DC79CF" w14:textId="77777777" w:rsidR="00451DF7" w:rsidRPr="00BA66F3" w:rsidRDefault="00451DF7" w:rsidP="00B01E0B">
            <w:pPr>
              <w:pStyle w:val="MDPI41tablecaption"/>
              <w:spacing w:before="0" w:after="0" w:line="240" w:lineRule="auto"/>
              <w:ind w:left="0" w:right="0"/>
              <w:jc w:val="left"/>
              <w:rPr>
                <w:szCs w:val="18"/>
                <w:lang w:val="en-US"/>
              </w:rPr>
            </w:pPr>
            <w:r w:rsidRPr="00BA66F3">
              <w:rPr>
                <w:szCs w:val="18"/>
                <w:lang w:val="en-US"/>
              </w:rPr>
              <w:t>How would you rate your knowledge of HPV? *</w:t>
            </w:r>
          </w:p>
        </w:tc>
        <w:tc>
          <w:tcPr>
            <w:tcW w:w="1426" w:type="dxa"/>
          </w:tcPr>
          <w:p w14:paraId="5A39D815"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34 (89.47%)</w:t>
            </w:r>
          </w:p>
        </w:tc>
        <w:tc>
          <w:tcPr>
            <w:tcW w:w="1080" w:type="dxa"/>
          </w:tcPr>
          <w:p w14:paraId="78238E51"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4 (10.53%)</w:t>
            </w:r>
          </w:p>
        </w:tc>
        <w:tc>
          <w:tcPr>
            <w:tcW w:w="1463" w:type="dxa"/>
          </w:tcPr>
          <w:p w14:paraId="0717C0D3"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47 (95.92%)</w:t>
            </w:r>
          </w:p>
        </w:tc>
        <w:tc>
          <w:tcPr>
            <w:tcW w:w="1275" w:type="dxa"/>
          </w:tcPr>
          <w:p w14:paraId="354D1AD2"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1 (2.04%)</w:t>
            </w:r>
          </w:p>
        </w:tc>
        <w:tc>
          <w:tcPr>
            <w:tcW w:w="1134" w:type="dxa"/>
          </w:tcPr>
          <w:p w14:paraId="6A0ABEA8"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0.19</w:t>
            </w:r>
          </w:p>
        </w:tc>
        <w:tc>
          <w:tcPr>
            <w:tcW w:w="1134" w:type="dxa"/>
          </w:tcPr>
          <w:p w14:paraId="3941211A"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0.02, 1.81</w:t>
            </w:r>
          </w:p>
        </w:tc>
        <w:tc>
          <w:tcPr>
            <w:tcW w:w="851" w:type="dxa"/>
          </w:tcPr>
          <w:p w14:paraId="129FB5C5"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0.22</w:t>
            </w:r>
          </w:p>
        </w:tc>
        <w:tc>
          <w:tcPr>
            <w:tcW w:w="1134" w:type="dxa"/>
          </w:tcPr>
          <w:p w14:paraId="140CF972"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0.02, 2.44</w:t>
            </w:r>
          </w:p>
        </w:tc>
      </w:tr>
      <w:tr w:rsidR="003B32B5" w:rsidRPr="00BA66F3" w14:paraId="5B38FEBC" w14:textId="77777777" w:rsidTr="00BA66F3">
        <w:tc>
          <w:tcPr>
            <w:tcW w:w="4962" w:type="dxa"/>
          </w:tcPr>
          <w:p w14:paraId="7BA0AF62" w14:textId="77777777" w:rsidR="00451DF7" w:rsidRPr="00BA66F3" w:rsidRDefault="00451DF7" w:rsidP="00B01E0B">
            <w:pPr>
              <w:pStyle w:val="MDPI41tablecaption"/>
              <w:spacing w:before="0" w:after="0" w:line="240" w:lineRule="auto"/>
              <w:ind w:left="0" w:right="0"/>
              <w:jc w:val="left"/>
              <w:rPr>
                <w:szCs w:val="18"/>
                <w:lang w:val="en-US"/>
              </w:rPr>
            </w:pPr>
            <w:r w:rsidRPr="00BA66F3">
              <w:rPr>
                <w:szCs w:val="18"/>
                <w:lang w:val="en-US"/>
              </w:rPr>
              <w:t>How would you rate your knowledge of HPV vaccination for females? **</w:t>
            </w:r>
          </w:p>
        </w:tc>
        <w:tc>
          <w:tcPr>
            <w:tcW w:w="1426" w:type="dxa"/>
          </w:tcPr>
          <w:p w14:paraId="5E753431"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37 (97.39%)</w:t>
            </w:r>
          </w:p>
        </w:tc>
        <w:tc>
          <w:tcPr>
            <w:tcW w:w="1080" w:type="dxa"/>
          </w:tcPr>
          <w:p w14:paraId="516023BA"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1 (2.63%)</w:t>
            </w:r>
          </w:p>
        </w:tc>
        <w:tc>
          <w:tcPr>
            <w:tcW w:w="1463" w:type="dxa"/>
          </w:tcPr>
          <w:p w14:paraId="70476DEF"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46 (93.88%)</w:t>
            </w:r>
          </w:p>
        </w:tc>
        <w:tc>
          <w:tcPr>
            <w:tcW w:w="1275" w:type="dxa"/>
          </w:tcPr>
          <w:p w14:paraId="7F516215"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1(2.04%)</w:t>
            </w:r>
          </w:p>
        </w:tc>
        <w:tc>
          <w:tcPr>
            <w:tcW w:w="1134" w:type="dxa"/>
          </w:tcPr>
          <w:p w14:paraId="702CADFF"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0.86</w:t>
            </w:r>
          </w:p>
        </w:tc>
        <w:tc>
          <w:tcPr>
            <w:tcW w:w="1134" w:type="dxa"/>
          </w:tcPr>
          <w:p w14:paraId="7D1BFEE7"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0.52, 14.24</w:t>
            </w:r>
          </w:p>
        </w:tc>
        <w:tc>
          <w:tcPr>
            <w:tcW w:w="851" w:type="dxa"/>
          </w:tcPr>
          <w:p w14:paraId="360EDA15"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1.77</w:t>
            </w:r>
          </w:p>
        </w:tc>
        <w:tc>
          <w:tcPr>
            <w:tcW w:w="1134" w:type="dxa"/>
          </w:tcPr>
          <w:p w14:paraId="72D11C56"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0.05, 64.14</w:t>
            </w:r>
          </w:p>
        </w:tc>
      </w:tr>
      <w:tr w:rsidR="003B32B5" w:rsidRPr="00BA66F3" w14:paraId="74A94E39" w14:textId="77777777" w:rsidTr="00BA66F3">
        <w:tc>
          <w:tcPr>
            <w:tcW w:w="4962" w:type="dxa"/>
          </w:tcPr>
          <w:p w14:paraId="349156ED" w14:textId="77777777" w:rsidR="00451DF7" w:rsidRPr="00BA66F3" w:rsidRDefault="00451DF7" w:rsidP="00B01E0B">
            <w:pPr>
              <w:pStyle w:val="MDPI41tablecaption"/>
              <w:spacing w:before="0" w:after="0" w:line="240" w:lineRule="auto"/>
              <w:ind w:left="0" w:right="0"/>
              <w:jc w:val="left"/>
              <w:rPr>
                <w:szCs w:val="18"/>
                <w:lang w:val="en-US"/>
              </w:rPr>
            </w:pPr>
            <w:r w:rsidRPr="00BA66F3">
              <w:rPr>
                <w:szCs w:val="18"/>
                <w:lang w:val="en-US"/>
              </w:rPr>
              <w:t>How would you rate your knowledge of HPV vaccination for MSM? ***</w:t>
            </w:r>
          </w:p>
        </w:tc>
        <w:tc>
          <w:tcPr>
            <w:tcW w:w="1426" w:type="dxa"/>
          </w:tcPr>
          <w:p w14:paraId="46C099C3"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7 (18.42%)</w:t>
            </w:r>
          </w:p>
        </w:tc>
        <w:tc>
          <w:tcPr>
            <w:tcW w:w="1080" w:type="dxa"/>
          </w:tcPr>
          <w:p w14:paraId="65D7BB9C"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30 (78.95%)</w:t>
            </w:r>
          </w:p>
        </w:tc>
        <w:tc>
          <w:tcPr>
            <w:tcW w:w="1463" w:type="dxa"/>
          </w:tcPr>
          <w:p w14:paraId="20452D7C"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42 (85.71%)</w:t>
            </w:r>
          </w:p>
        </w:tc>
        <w:tc>
          <w:tcPr>
            <w:tcW w:w="1275" w:type="dxa"/>
          </w:tcPr>
          <w:p w14:paraId="18EEB169"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6 (12.24%)</w:t>
            </w:r>
          </w:p>
        </w:tc>
        <w:tc>
          <w:tcPr>
            <w:tcW w:w="1134" w:type="dxa"/>
          </w:tcPr>
          <w:p w14:paraId="1818C7F0"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0.04</w:t>
            </w:r>
          </w:p>
        </w:tc>
        <w:tc>
          <w:tcPr>
            <w:tcW w:w="1134" w:type="dxa"/>
          </w:tcPr>
          <w:p w14:paraId="09BAFDE9"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0.01, 0.12</w:t>
            </w:r>
          </w:p>
        </w:tc>
        <w:tc>
          <w:tcPr>
            <w:tcW w:w="851" w:type="dxa"/>
          </w:tcPr>
          <w:p w14:paraId="65AB7E34"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0.02</w:t>
            </w:r>
          </w:p>
        </w:tc>
        <w:tc>
          <w:tcPr>
            <w:tcW w:w="1134" w:type="dxa"/>
          </w:tcPr>
          <w:p w14:paraId="7F157152"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0.00, 0.10</w:t>
            </w:r>
          </w:p>
        </w:tc>
      </w:tr>
      <w:tr w:rsidR="003B32B5" w:rsidRPr="00BA66F3" w14:paraId="51AB0DDC" w14:textId="77777777" w:rsidTr="00BA66F3">
        <w:tc>
          <w:tcPr>
            <w:tcW w:w="4962" w:type="dxa"/>
          </w:tcPr>
          <w:p w14:paraId="1E2ACF3B" w14:textId="1BF4210A" w:rsidR="00451DF7" w:rsidRPr="00BA66F3" w:rsidRDefault="00451DF7" w:rsidP="00B01E0B">
            <w:pPr>
              <w:pStyle w:val="MDPI41tablecaption"/>
              <w:spacing w:before="0" w:after="0" w:line="240" w:lineRule="auto"/>
              <w:ind w:left="0" w:right="0"/>
              <w:jc w:val="left"/>
              <w:rPr>
                <w:rFonts w:eastAsiaTheme="minorEastAsia"/>
                <w:b/>
                <w:color w:val="FF0000"/>
                <w:szCs w:val="18"/>
                <w:lang w:val="en-US" w:eastAsia="zh-CN"/>
              </w:rPr>
            </w:pPr>
          </w:p>
        </w:tc>
        <w:tc>
          <w:tcPr>
            <w:tcW w:w="1426" w:type="dxa"/>
          </w:tcPr>
          <w:p w14:paraId="6B5CBAE9"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Yes</w:t>
            </w:r>
          </w:p>
        </w:tc>
        <w:tc>
          <w:tcPr>
            <w:tcW w:w="1080" w:type="dxa"/>
          </w:tcPr>
          <w:p w14:paraId="5F7B6A7D"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No</w:t>
            </w:r>
          </w:p>
        </w:tc>
        <w:tc>
          <w:tcPr>
            <w:tcW w:w="1463" w:type="dxa"/>
          </w:tcPr>
          <w:p w14:paraId="1CB12257"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Yes</w:t>
            </w:r>
          </w:p>
        </w:tc>
        <w:tc>
          <w:tcPr>
            <w:tcW w:w="1275" w:type="dxa"/>
          </w:tcPr>
          <w:p w14:paraId="527F30C8" w14:textId="77777777" w:rsidR="00451DF7" w:rsidRPr="00BA66F3" w:rsidRDefault="00451DF7" w:rsidP="00B01E0B">
            <w:pPr>
              <w:pStyle w:val="MDPI41tablecaption"/>
              <w:spacing w:before="0" w:after="0" w:line="240" w:lineRule="auto"/>
              <w:ind w:left="0" w:right="0"/>
              <w:jc w:val="center"/>
              <w:rPr>
                <w:b/>
                <w:szCs w:val="18"/>
                <w:lang w:val="en-US"/>
              </w:rPr>
            </w:pPr>
            <w:r w:rsidRPr="00BA66F3">
              <w:rPr>
                <w:b/>
                <w:szCs w:val="18"/>
                <w:lang w:val="en-US"/>
              </w:rPr>
              <w:t>No</w:t>
            </w:r>
          </w:p>
        </w:tc>
        <w:tc>
          <w:tcPr>
            <w:tcW w:w="4253" w:type="dxa"/>
            <w:gridSpan w:val="4"/>
          </w:tcPr>
          <w:p w14:paraId="747F45F0" w14:textId="77777777" w:rsidR="00451DF7" w:rsidRPr="00BA66F3" w:rsidRDefault="00451DF7" w:rsidP="00B01E0B">
            <w:pPr>
              <w:pStyle w:val="MDPI41tablecaption"/>
              <w:spacing w:before="0" w:after="0" w:line="240" w:lineRule="auto"/>
              <w:ind w:left="0" w:right="0"/>
              <w:jc w:val="center"/>
              <w:rPr>
                <w:b/>
                <w:szCs w:val="18"/>
                <w:lang w:val="en-US"/>
              </w:rPr>
            </w:pPr>
          </w:p>
        </w:tc>
      </w:tr>
      <w:tr w:rsidR="003B32B5" w:rsidRPr="00BA66F3" w14:paraId="59C5094D" w14:textId="77777777" w:rsidTr="00BA66F3">
        <w:tc>
          <w:tcPr>
            <w:tcW w:w="4962" w:type="dxa"/>
          </w:tcPr>
          <w:p w14:paraId="2A3F8C90" w14:textId="77777777" w:rsidR="00451DF7" w:rsidRPr="00BA66F3" w:rsidRDefault="00451DF7" w:rsidP="00B01E0B">
            <w:pPr>
              <w:pStyle w:val="MDPI41tablecaption"/>
              <w:spacing w:before="0" w:after="0" w:line="240" w:lineRule="auto"/>
              <w:ind w:left="0" w:right="0"/>
              <w:jc w:val="left"/>
              <w:rPr>
                <w:szCs w:val="18"/>
                <w:lang w:val="en-US"/>
              </w:rPr>
            </w:pPr>
            <w:r w:rsidRPr="00BA66F3">
              <w:rPr>
                <w:szCs w:val="18"/>
                <w:lang w:val="en-US"/>
              </w:rPr>
              <w:t>Are you aware of the recent JCVI recommendation for HPV and MSM?</w:t>
            </w:r>
          </w:p>
        </w:tc>
        <w:tc>
          <w:tcPr>
            <w:tcW w:w="1426" w:type="dxa"/>
          </w:tcPr>
          <w:p w14:paraId="63002968"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6 (15.79%)</w:t>
            </w:r>
          </w:p>
        </w:tc>
        <w:tc>
          <w:tcPr>
            <w:tcW w:w="1080" w:type="dxa"/>
          </w:tcPr>
          <w:p w14:paraId="1841645C"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32 (84.21%)</w:t>
            </w:r>
          </w:p>
        </w:tc>
        <w:tc>
          <w:tcPr>
            <w:tcW w:w="1463" w:type="dxa"/>
          </w:tcPr>
          <w:p w14:paraId="1FB3CE47"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41 (83.67%)</w:t>
            </w:r>
          </w:p>
        </w:tc>
        <w:tc>
          <w:tcPr>
            <w:tcW w:w="1275" w:type="dxa"/>
          </w:tcPr>
          <w:p w14:paraId="4FFD3DC1"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8 (16.33%)</w:t>
            </w:r>
          </w:p>
        </w:tc>
        <w:tc>
          <w:tcPr>
            <w:tcW w:w="1134" w:type="dxa"/>
          </w:tcPr>
          <w:p w14:paraId="4136E549"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0.04</w:t>
            </w:r>
          </w:p>
        </w:tc>
        <w:tc>
          <w:tcPr>
            <w:tcW w:w="1134" w:type="dxa"/>
          </w:tcPr>
          <w:p w14:paraId="720708FE"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0.01, 0.13</w:t>
            </w:r>
          </w:p>
        </w:tc>
        <w:tc>
          <w:tcPr>
            <w:tcW w:w="851" w:type="dxa"/>
          </w:tcPr>
          <w:p w14:paraId="12F0F28F"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0.03</w:t>
            </w:r>
          </w:p>
        </w:tc>
        <w:tc>
          <w:tcPr>
            <w:tcW w:w="1134" w:type="dxa"/>
          </w:tcPr>
          <w:p w14:paraId="40961C36"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0.01, 0.11</w:t>
            </w:r>
          </w:p>
        </w:tc>
      </w:tr>
      <w:tr w:rsidR="003B32B5" w:rsidRPr="00BA66F3" w14:paraId="38F5E82D" w14:textId="77777777" w:rsidTr="00BA66F3">
        <w:tc>
          <w:tcPr>
            <w:tcW w:w="4962" w:type="dxa"/>
          </w:tcPr>
          <w:p w14:paraId="7702A5F6" w14:textId="77777777" w:rsidR="00451DF7" w:rsidRPr="00BA66F3" w:rsidRDefault="00451DF7" w:rsidP="00B01E0B">
            <w:pPr>
              <w:pStyle w:val="MDPI41tablecaption"/>
              <w:spacing w:before="0" w:after="0" w:line="240" w:lineRule="auto"/>
              <w:ind w:left="0" w:right="0"/>
              <w:jc w:val="left"/>
              <w:rPr>
                <w:szCs w:val="18"/>
                <w:lang w:val="en-US"/>
              </w:rPr>
            </w:pPr>
            <w:r w:rsidRPr="00BA66F3">
              <w:rPr>
                <w:szCs w:val="18"/>
                <w:lang w:val="en-US"/>
              </w:rPr>
              <w:t>Do you know enough about HPV and HPV vaccination to have an informed discussion with MSM patients?</w:t>
            </w:r>
          </w:p>
        </w:tc>
        <w:tc>
          <w:tcPr>
            <w:tcW w:w="1426" w:type="dxa"/>
          </w:tcPr>
          <w:p w14:paraId="3BA5CA26"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10 (26.32%)</w:t>
            </w:r>
          </w:p>
        </w:tc>
        <w:tc>
          <w:tcPr>
            <w:tcW w:w="1080" w:type="dxa"/>
          </w:tcPr>
          <w:p w14:paraId="6248F057"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28 (73.68%)</w:t>
            </w:r>
          </w:p>
        </w:tc>
        <w:tc>
          <w:tcPr>
            <w:tcW w:w="1463" w:type="dxa"/>
          </w:tcPr>
          <w:p w14:paraId="23391FF6"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44 (89.80%)</w:t>
            </w:r>
          </w:p>
        </w:tc>
        <w:tc>
          <w:tcPr>
            <w:tcW w:w="1275" w:type="dxa"/>
          </w:tcPr>
          <w:p w14:paraId="618BD87D"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5 (10.20%)</w:t>
            </w:r>
          </w:p>
        </w:tc>
        <w:tc>
          <w:tcPr>
            <w:tcW w:w="1134" w:type="dxa"/>
          </w:tcPr>
          <w:p w14:paraId="4CFD0F1F"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0.04</w:t>
            </w:r>
          </w:p>
        </w:tc>
        <w:tc>
          <w:tcPr>
            <w:tcW w:w="1134" w:type="dxa"/>
          </w:tcPr>
          <w:p w14:paraId="2339FEB1"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0.01, 0.14</w:t>
            </w:r>
          </w:p>
        </w:tc>
        <w:tc>
          <w:tcPr>
            <w:tcW w:w="851" w:type="dxa"/>
          </w:tcPr>
          <w:p w14:paraId="02EC8B65"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0.04</w:t>
            </w:r>
          </w:p>
        </w:tc>
        <w:tc>
          <w:tcPr>
            <w:tcW w:w="1134" w:type="dxa"/>
          </w:tcPr>
          <w:p w14:paraId="47AC52EB" w14:textId="77777777" w:rsidR="00451DF7" w:rsidRPr="00BA66F3" w:rsidRDefault="00451DF7" w:rsidP="00B01E0B">
            <w:pPr>
              <w:pStyle w:val="MDPI41tablecaption"/>
              <w:spacing w:before="0" w:after="0" w:line="240" w:lineRule="auto"/>
              <w:ind w:left="0" w:right="0"/>
              <w:jc w:val="center"/>
              <w:rPr>
                <w:szCs w:val="18"/>
                <w:lang w:val="en-US"/>
              </w:rPr>
            </w:pPr>
            <w:r w:rsidRPr="00BA66F3">
              <w:rPr>
                <w:szCs w:val="18"/>
                <w:lang w:val="en-US"/>
              </w:rPr>
              <w:t>0.01, 0.14</w:t>
            </w:r>
          </w:p>
        </w:tc>
      </w:tr>
    </w:tbl>
    <w:p w14:paraId="4CD8D8EB" w14:textId="0878FBEB" w:rsidR="00451DF7" w:rsidRPr="00BA66F3" w:rsidRDefault="00451DF7" w:rsidP="00C77758">
      <w:pPr>
        <w:pStyle w:val="MDPI15academiceditor"/>
        <w:spacing w:after="240" w:line="260" w:lineRule="atLeast"/>
        <w:ind w:left="425" w:right="425"/>
        <w:jc w:val="both"/>
      </w:pPr>
      <w:r w:rsidRPr="00BA66F3">
        <w:t>* Missing responses from one SHCP; ** Missing responses from two SHCPs; *** Missing responses from one GP and one SHCP</w:t>
      </w:r>
      <w:r w:rsidR="008D54D2" w:rsidRPr="00BA66F3">
        <w:t xml:space="preserve">. </w:t>
      </w:r>
      <w:r w:rsidRPr="00BA66F3">
        <w:t>Note</w:t>
      </w:r>
      <w:r w:rsidR="00B01E0B" w:rsidRPr="00BA66F3">
        <w:t>—</w:t>
      </w:r>
      <w:r w:rsidRPr="00BA66F3">
        <w:t>Hosmer-</w:t>
      </w:r>
      <w:proofErr w:type="spellStart"/>
      <w:r w:rsidRPr="00BA66F3">
        <w:t>Lemeshow</w:t>
      </w:r>
      <w:proofErr w:type="spellEnd"/>
      <w:r w:rsidRPr="00BA66F3">
        <w:t xml:space="preserve"> testing for goodness-of-fit </w:t>
      </w:r>
      <w:r w:rsidRPr="00BA66F3">
        <w:rPr>
          <w:i/>
        </w:rPr>
        <w:t>p</w:t>
      </w:r>
      <w:r w:rsidR="00B01E0B" w:rsidRPr="00BA66F3">
        <w:t xml:space="preserve"> </w:t>
      </w:r>
      <w:r w:rsidRPr="00BA66F3">
        <w:t>&gt;</w:t>
      </w:r>
      <w:r w:rsidR="00B01E0B" w:rsidRPr="00BA66F3">
        <w:t xml:space="preserve"> </w:t>
      </w:r>
      <w:r w:rsidRPr="00BA66F3">
        <w:t>0.05</w:t>
      </w:r>
      <w:r w:rsidR="00097C7E" w:rsidRPr="00BA66F3">
        <w:t>; HPV: human papillomavirus</w:t>
      </w:r>
      <w:r w:rsidR="00B234EF" w:rsidRPr="00BA66F3">
        <w:t xml:space="preserve">; </w:t>
      </w:r>
      <w:r w:rsidR="00B234EF" w:rsidRPr="00BA66F3">
        <w:rPr>
          <w:szCs w:val="18"/>
        </w:rPr>
        <w:t>JCVI:</w:t>
      </w:r>
      <w:r w:rsidR="00B234EF" w:rsidRPr="00BA66F3">
        <w:t xml:space="preserve"> Joint Committee on Vaccination and </w:t>
      </w:r>
      <w:proofErr w:type="spellStart"/>
      <w:r w:rsidR="00B234EF" w:rsidRPr="00BA66F3">
        <w:t>Immunisation</w:t>
      </w:r>
      <w:proofErr w:type="spellEnd"/>
      <w:r w:rsidR="00B234EF" w:rsidRPr="00BA66F3">
        <w:rPr>
          <w:szCs w:val="18"/>
        </w:rPr>
        <w:t xml:space="preserve">; MSM: </w:t>
      </w:r>
      <w:r w:rsidR="00B234EF" w:rsidRPr="00BA66F3">
        <w:t>Men who have sex with me</w:t>
      </w:r>
      <w:r w:rsidR="00C72254" w:rsidRPr="00BA66F3">
        <w:t xml:space="preserve">; </w:t>
      </w:r>
      <w:proofErr w:type="spellStart"/>
      <w:r w:rsidR="00C72254" w:rsidRPr="00BA66F3">
        <w:rPr>
          <w:szCs w:val="16"/>
        </w:rPr>
        <w:t>Unadj</w:t>
      </w:r>
      <w:proofErr w:type="spellEnd"/>
      <w:r w:rsidR="00C72254" w:rsidRPr="00BA66F3">
        <w:rPr>
          <w:szCs w:val="16"/>
        </w:rPr>
        <w:t xml:space="preserve"> OR</w:t>
      </w:r>
      <w:r w:rsidR="007C0FA2" w:rsidRPr="00BA66F3">
        <w:rPr>
          <w:szCs w:val="16"/>
        </w:rPr>
        <w:t xml:space="preserve">: </w:t>
      </w:r>
      <w:r w:rsidR="00C72254" w:rsidRPr="00BA66F3">
        <w:rPr>
          <w:szCs w:val="16"/>
        </w:rPr>
        <w:t>unadjusted odds ratios</w:t>
      </w:r>
      <w:r w:rsidR="007C0FA2" w:rsidRPr="00BA66F3">
        <w:rPr>
          <w:szCs w:val="16"/>
        </w:rPr>
        <w:t xml:space="preserve">; </w:t>
      </w:r>
      <w:proofErr w:type="spellStart"/>
      <w:r w:rsidR="007C0FA2" w:rsidRPr="00BA66F3">
        <w:rPr>
          <w:szCs w:val="16"/>
        </w:rPr>
        <w:t>Adj</w:t>
      </w:r>
      <w:proofErr w:type="spellEnd"/>
      <w:r w:rsidR="007C0FA2" w:rsidRPr="00BA66F3">
        <w:rPr>
          <w:szCs w:val="16"/>
        </w:rPr>
        <w:t xml:space="preserve"> OR: adjusted odds ratios. </w:t>
      </w:r>
    </w:p>
    <w:p w14:paraId="36068FA8" w14:textId="42F11F66" w:rsidR="00451DF7" w:rsidRPr="00BA66F3" w:rsidRDefault="00451DF7" w:rsidP="00C77758">
      <w:pPr>
        <w:pStyle w:val="MDPI41tablecaption"/>
        <w:jc w:val="center"/>
        <w:rPr>
          <w:b/>
        </w:rPr>
      </w:pPr>
      <w:r w:rsidRPr="00BA66F3">
        <w:rPr>
          <w:b/>
        </w:rPr>
        <w:t>Table 3</w:t>
      </w:r>
      <w:r w:rsidR="008D54D2" w:rsidRPr="00BA66F3">
        <w:rPr>
          <w:b/>
        </w:rPr>
        <w:t>.</w:t>
      </w:r>
      <w:r w:rsidRPr="00BA66F3">
        <w:t xml:space="preserve"> GPs and SHCPs attitudes towards HPV vaccination for YMSM</w:t>
      </w:r>
      <w:r w:rsidR="00CC2AA4" w:rsidRPr="00BA66F3">
        <w:t>.</w:t>
      </w:r>
    </w:p>
    <w:tbl>
      <w:tblPr>
        <w:tblStyle w:val="Mdeck5tablebodythreelines"/>
        <w:tblW w:w="0" w:type="auto"/>
        <w:tblBorders>
          <w:top w:val="single" w:sz="8" w:space="0" w:color="auto"/>
          <w:insideH w:val="single" w:sz="4" w:space="0" w:color="auto"/>
        </w:tblBorders>
        <w:tblLayout w:type="fixed"/>
        <w:tblLook w:val="04A0" w:firstRow="1" w:lastRow="0" w:firstColumn="1" w:lastColumn="0" w:noHBand="0" w:noVBand="1"/>
      </w:tblPr>
      <w:tblGrid>
        <w:gridCol w:w="4536"/>
        <w:gridCol w:w="1134"/>
        <w:gridCol w:w="1134"/>
        <w:gridCol w:w="1134"/>
        <w:gridCol w:w="1134"/>
        <w:gridCol w:w="993"/>
        <w:gridCol w:w="992"/>
        <w:gridCol w:w="850"/>
        <w:gridCol w:w="1046"/>
      </w:tblGrid>
      <w:tr w:rsidR="00451DF7" w:rsidRPr="00BA66F3" w14:paraId="58EAB1F1" w14:textId="77777777" w:rsidTr="00B01E0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C1E32B" w14:textId="77777777" w:rsidR="00451DF7" w:rsidRPr="00BA66F3" w:rsidRDefault="00451DF7" w:rsidP="00B01E0B">
            <w:pPr>
              <w:pStyle w:val="MDPI12title"/>
              <w:spacing w:after="0" w:line="240" w:lineRule="auto"/>
              <w:jc w:val="left"/>
              <w:rPr>
                <w:sz w:val="16"/>
                <w:szCs w:val="16"/>
                <w:lang w:val="en-US"/>
              </w:rPr>
            </w:pPr>
            <w:r w:rsidRPr="00BA66F3">
              <w:rPr>
                <w:sz w:val="16"/>
                <w:szCs w:val="16"/>
                <w:lang w:val="en-US"/>
              </w:rPr>
              <w:t>Statement</w:t>
            </w:r>
          </w:p>
        </w:tc>
        <w:tc>
          <w:tcPr>
            <w:tcW w:w="226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34B8DF" w14:textId="77777777" w:rsidR="00451DF7" w:rsidRPr="00BA66F3" w:rsidRDefault="00451DF7" w:rsidP="00C77758">
            <w:pPr>
              <w:pStyle w:val="MDPI12title"/>
              <w:spacing w:after="0" w:line="240" w:lineRule="auto"/>
              <w:rPr>
                <w:sz w:val="16"/>
                <w:szCs w:val="16"/>
                <w:lang w:val="en-US"/>
              </w:rPr>
            </w:pPr>
            <w:r w:rsidRPr="00BA66F3">
              <w:rPr>
                <w:sz w:val="16"/>
                <w:szCs w:val="16"/>
                <w:lang w:val="en-US"/>
              </w:rPr>
              <w:t>GPs (n = 38)</w:t>
            </w:r>
          </w:p>
        </w:tc>
        <w:tc>
          <w:tcPr>
            <w:tcW w:w="226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A50B18" w14:textId="77777777" w:rsidR="00451DF7" w:rsidRPr="00BA66F3" w:rsidRDefault="00451DF7" w:rsidP="00C77758">
            <w:pPr>
              <w:pStyle w:val="MDPI12title"/>
              <w:spacing w:after="0" w:line="240" w:lineRule="auto"/>
              <w:rPr>
                <w:sz w:val="16"/>
                <w:szCs w:val="16"/>
                <w:lang w:val="en-US"/>
              </w:rPr>
            </w:pPr>
            <w:r w:rsidRPr="00BA66F3">
              <w:rPr>
                <w:sz w:val="16"/>
                <w:szCs w:val="16"/>
                <w:lang w:val="en-US"/>
              </w:rPr>
              <w:t>SHCPs (n = 49)</w:t>
            </w:r>
          </w:p>
        </w:tc>
        <w:tc>
          <w:tcPr>
            <w:tcW w:w="993"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A76784" w14:textId="77777777" w:rsidR="00451DF7" w:rsidRPr="00BA66F3" w:rsidRDefault="00451DF7" w:rsidP="00C77758">
            <w:pPr>
              <w:pStyle w:val="MDPI12title"/>
              <w:spacing w:after="0" w:line="240" w:lineRule="auto"/>
              <w:rPr>
                <w:sz w:val="16"/>
                <w:szCs w:val="16"/>
                <w:lang w:val="en-US"/>
              </w:rPr>
            </w:pPr>
            <w:proofErr w:type="spellStart"/>
            <w:r w:rsidRPr="00BA66F3">
              <w:rPr>
                <w:sz w:val="16"/>
                <w:szCs w:val="16"/>
                <w:lang w:val="en-US"/>
              </w:rPr>
              <w:t>Unadj</w:t>
            </w:r>
            <w:proofErr w:type="spellEnd"/>
            <w:r w:rsidRPr="00BA66F3">
              <w:rPr>
                <w:sz w:val="16"/>
                <w:szCs w:val="16"/>
                <w:lang w:val="en-US"/>
              </w:rPr>
              <w:t xml:space="preserve"> OR</w:t>
            </w:r>
          </w:p>
        </w:tc>
        <w:tc>
          <w:tcPr>
            <w:tcW w:w="992"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3B1DF3" w14:textId="77777777" w:rsidR="00451DF7" w:rsidRPr="00BA66F3" w:rsidRDefault="00451DF7" w:rsidP="00C77758">
            <w:pPr>
              <w:pStyle w:val="MDPI12title"/>
              <w:spacing w:after="0" w:line="240" w:lineRule="auto"/>
              <w:rPr>
                <w:sz w:val="16"/>
                <w:szCs w:val="16"/>
                <w:lang w:val="en-US"/>
              </w:rPr>
            </w:pPr>
            <w:r w:rsidRPr="00BA66F3">
              <w:rPr>
                <w:sz w:val="16"/>
                <w:szCs w:val="16"/>
                <w:lang w:val="en-US"/>
              </w:rPr>
              <w:t>95% CI</w:t>
            </w:r>
          </w:p>
        </w:tc>
        <w:tc>
          <w:tcPr>
            <w:tcW w:w="850"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F8DBCD" w14:textId="77777777" w:rsidR="00451DF7" w:rsidRPr="00BA66F3" w:rsidRDefault="00451DF7" w:rsidP="00C77758">
            <w:pPr>
              <w:pStyle w:val="MDPI12title"/>
              <w:spacing w:after="0" w:line="240" w:lineRule="auto"/>
              <w:rPr>
                <w:sz w:val="16"/>
                <w:szCs w:val="16"/>
                <w:lang w:val="en-US"/>
              </w:rPr>
            </w:pPr>
            <w:proofErr w:type="spellStart"/>
            <w:r w:rsidRPr="00BA66F3">
              <w:rPr>
                <w:sz w:val="16"/>
                <w:szCs w:val="16"/>
                <w:lang w:val="en-US"/>
              </w:rPr>
              <w:t>Adj</w:t>
            </w:r>
            <w:proofErr w:type="spellEnd"/>
            <w:r w:rsidRPr="00BA66F3">
              <w:rPr>
                <w:sz w:val="16"/>
                <w:szCs w:val="16"/>
                <w:lang w:val="en-US"/>
              </w:rPr>
              <w:t xml:space="preserve"> OR</w:t>
            </w:r>
          </w:p>
        </w:tc>
        <w:tc>
          <w:tcPr>
            <w:tcW w:w="1046"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15304C" w14:textId="77777777" w:rsidR="00451DF7" w:rsidRPr="00BA66F3" w:rsidRDefault="00451DF7" w:rsidP="00C77758">
            <w:pPr>
              <w:pStyle w:val="MDPI12title"/>
              <w:spacing w:after="0" w:line="240" w:lineRule="auto"/>
              <w:rPr>
                <w:sz w:val="16"/>
                <w:szCs w:val="16"/>
                <w:lang w:val="en-US"/>
              </w:rPr>
            </w:pPr>
            <w:r w:rsidRPr="00BA66F3">
              <w:rPr>
                <w:sz w:val="16"/>
                <w:szCs w:val="16"/>
                <w:lang w:val="en-US"/>
              </w:rPr>
              <w:t>95% CI</w:t>
            </w:r>
          </w:p>
        </w:tc>
      </w:tr>
      <w:tr w:rsidR="00451DF7" w:rsidRPr="00BA66F3" w14:paraId="78D9745F" w14:textId="77777777" w:rsidTr="00B01E0B">
        <w:tc>
          <w:tcPr>
            <w:tcW w:w="4536" w:type="dxa"/>
          </w:tcPr>
          <w:p w14:paraId="3EB95EB1" w14:textId="77777777" w:rsidR="00451DF7" w:rsidRPr="00BA66F3" w:rsidRDefault="00451DF7" w:rsidP="00B01E0B">
            <w:pPr>
              <w:pStyle w:val="MDPI12title"/>
              <w:spacing w:after="0" w:line="240" w:lineRule="auto"/>
              <w:jc w:val="left"/>
              <w:rPr>
                <w:sz w:val="16"/>
                <w:szCs w:val="16"/>
                <w:lang w:val="en-US"/>
              </w:rPr>
            </w:pPr>
            <w:r w:rsidRPr="00BA66F3">
              <w:rPr>
                <w:sz w:val="16"/>
                <w:szCs w:val="16"/>
                <w:lang w:val="en-US"/>
              </w:rPr>
              <w:t>n (%)</w:t>
            </w:r>
          </w:p>
        </w:tc>
        <w:tc>
          <w:tcPr>
            <w:tcW w:w="1134" w:type="dxa"/>
          </w:tcPr>
          <w:p w14:paraId="6872749B" w14:textId="77777777" w:rsidR="00451DF7" w:rsidRPr="00BA66F3" w:rsidRDefault="00451DF7" w:rsidP="00C77758">
            <w:pPr>
              <w:pStyle w:val="MDPI12title"/>
              <w:spacing w:after="0" w:line="240" w:lineRule="auto"/>
              <w:rPr>
                <w:sz w:val="16"/>
                <w:szCs w:val="16"/>
                <w:lang w:val="en-US"/>
              </w:rPr>
            </w:pPr>
            <w:r w:rsidRPr="00BA66F3">
              <w:rPr>
                <w:sz w:val="16"/>
                <w:szCs w:val="16"/>
                <w:lang w:val="en-US"/>
              </w:rPr>
              <w:t>Yes</w:t>
            </w:r>
          </w:p>
        </w:tc>
        <w:tc>
          <w:tcPr>
            <w:tcW w:w="1134" w:type="dxa"/>
          </w:tcPr>
          <w:p w14:paraId="09F04304" w14:textId="77777777" w:rsidR="00451DF7" w:rsidRPr="00BA66F3" w:rsidRDefault="00451DF7" w:rsidP="00C77758">
            <w:pPr>
              <w:pStyle w:val="MDPI12title"/>
              <w:spacing w:after="0" w:line="240" w:lineRule="auto"/>
              <w:rPr>
                <w:sz w:val="16"/>
                <w:szCs w:val="16"/>
                <w:lang w:val="en-US"/>
              </w:rPr>
            </w:pPr>
            <w:r w:rsidRPr="00BA66F3">
              <w:rPr>
                <w:sz w:val="16"/>
                <w:szCs w:val="16"/>
                <w:lang w:val="en-US"/>
              </w:rPr>
              <w:t>No/Unsure</w:t>
            </w:r>
          </w:p>
        </w:tc>
        <w:tc>
          <w:tcPr>
            <w:tcW w:w="1134" w:type="dxa"/>
          </w:tcPr>
          <w:p w14:paraId="6147A8B9" w14:textId="77777777" w:rsidR="00451DF7" w:rsidRPr="00BA66F3" w:rsidRDefault="00451DF7" w:rsidP="00C77758">
            <w:pPr>
              <w:pStyle w:val="MDPI12title"/>
              <w:spacing w:after="0" w:line="240" w:lineRule="auto"/>
              <w:rPr>
                <w:sz w:val="16"/>
                <w:szCs w:val="16"/>
                <w:lang w:val="en-US"/>
              </w:rPr>
            </w:pPr>
            <w:r w:rsidRPr="00BA66F3">
              <w:rPr>
                <w:sz w:val="16"/>
                <w:szCs w:val="16"/>
                <w:lang w:val="en-US"/>
              </w:rPr>
              <w:t>Yes</w:t>
            </w:r>
          </w:p>
        </w:tc>
        <w:tc>
          <w:tcPr>
            <w:tcW w:w="1134" w:type="dxa"/>
          </w:tcPr>
          <w:p w14:paraId="1520AADC" w14:textId="77777777" w:rsidR="00451DF7" w:rsidRPr="00BA66F3" w:rsidRDefault="00451DF7" w:rsidP="00C77758">
            <w:pPr>
              <w:pStyle w:val="MDPI12title"/>
              <w:spacing w:after="0" w:line="240" w:lineRule="auto"/>
              <w:rPr>
                <w:sz w:val="16"/>
                <w:szCs w:val="16"/>
                <w:lang w:val="en-US"/>
              </w:rPr>
            </w:pPr>
            <w:r w:rsidRPr="00BA66F3">
              <w:rPr>
                <w:sz w:val="16"/>
                <w:szCs w:val="16"/>
                <w:lang w:val="en-US"/>
              </w:rPr>
              <w:t>No/Unsure</w:t>
            </w:r>
          </w:p>
        </w:tc>
        <w:tc>
          <w:tcPr>
            <w:tcW w:w="993" w:type="dxa"/>
            <w:vMerge/>
          </w:tcPr>
          <w:p w14:paraId="214771BF" w14:textId="77777777" w:rsidR="00451DF7" w:rsidRPr="00BA66F3" w:rsidRDefault="00451DF7" w:rsidP="00C77758">
            <w:pPr>
              <w:pStyle w:val="MDPI12title"/>
              <w:spacing w:after="0" w:line="240" w:lineRule="auto"/>
              <w:rPr>
                <w:sz w:val="16"/>
                <w:szCs w:val="16"/>
                <w:lang w:val="en-US"/>
              </w:rPr>
            </w:pPr>
          </w:p>
        </w:tc>
        <w:tc>
          <w:tcPr>
            <w:tcW w:w="992" w:type="dxa"/>
            <w:vMerge/>
          </w:tcPr>
          <w:p w14:paraId="4CE36C3A" w14:textId="77777777" w:rsidR="00451DF7" w:rsidRPr="00BA66F3" w:rsidRDefault="00451DF7" w:rsidP="00C77758">
            <w:pPr>
              <w:pStyle w:val="MDPI12title"/>
              <w:spacing w:after="0" w:line="240" w:lineRule="auto"/>
              <w:rPr>
                <w:sz w:val="16"/>
                <w:szCs w:val="16"/>
                <w:lang w:val="en-US"/>
              </w:rPr>
            </w:pPr>
          </w:p>
        </w:tc>
        <w:tc>
          <w:tcPr>
            <w:tcW w:w="850" w:type="dxa"/>
            <w:vMerge/>
          </w:tcPr>
          <w:p w14:paraId="4BBBBD9E" w14:textId="77777777" w:rsidR="00451DF7" w:rsidRPr="00BA66F3" w:rsidRDefault="00451DF7" w:rsidP="00C77758">
            <w:pPr>
              <w:pStyle w:val="MDPI12title"/>
              <w:spacing w:after="0" w:line="240" w:lineRule="auto"/>
              <w:rPr>
                <w:sz w:val="16"/>
                <w:szCs w:val="16"/>
                <w:lang w:val="en-US"/>
              </w:rPr>
            </w:pPr>
          </w:p>
        </w:tc>
        <w:tc>
          <w:tcPr>
            <w:tcW w:w="1046" w:type="dxa"/>
            <w:vMerge/>
          </w:tcPr>
          <w:p w14:paraId="7C663A59" w14:textId="77777777" w:rsidR="00451DF7" w:rsidRPr="00BA66F3" w:rsidRDefault="00451DF7" w:rsidP="00C77758">
            <w:pPr>
              <w:pStyle w:val="MDPI12title"/>
              <w:spacing w:after="0" w:line="240" w:lineRule="auto"/>
              <w:rPr>
                <w:sz w:val="16"/>
                <w:szCs w:val="16"/>
                <w:lang w:val="en-US"/>
              </w:rPr>
            </w:pPr>
          </w:p>
        </w:tc>
      </w:tr>
      <w:tr w:rsidR="00451DF7" w:rsidRPr="00BA66F3" w14:paraId="4AD8D649" w14:textId="77777777" w:rsidTr="00B01E0B">
        <w:tc>
          <w:tcPr>
            <w:tcW w:w="4536" w:type="dxa"/>
          </w:tcPr>
          <w:p w14:paraId="49524D15" w14:textId="110BCA1D"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HPV vaccination should be widely available for both sexes based on current evidence</w:t>
            </w:r>
            <w:r w:rsidR="00BB62ED" w:rsidRPr="00BA66F3">
              <w:rPr>
                <w:b w:val="0"/>
                <w:sz w:val="16"/>
                <w:szCs w:val="16"/>
                <w:lang w:val="en-US"/>
              </w:rPr>
              <w:t>.</w:t>
            </w:r>
          </w:p>
        </w:tc>
        <w:tc>
          <w:tcPr>
            <w:tcW w:w="1134" w:type="dxa"/>
          </w:tcPr>
          <w:p w14:paraId="7564001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25 (65.79%)</w:t>
            </w:r>
          </w:p>
        </w:tc>
        <w:tc>
          <w:tcPr>
            <w:tcW w:w="1134" w:type="dxa"/>
          </w:tcPr>
          <w:p w14:paraId="18651814" w14:textId="77777777" w:rsidR="00451DF7" w:rsidRPr="00BA66F3" w:rsidRDefault="00451DF7" w:rsidP="00C77758">
            <w:pPr>
              <w:pStyle w:val="MDPI12title"/>
              <w:spacing w:after="0" w:line="240" w:lineRule="auto"/>
              <w:rPr>
                <w:sz w:val="16"/>
                <w:szCs w:val="16"/>
                <w:lang w:val="en-US"/>
              </w:rPr>
            </w:pPr>
            <w:r w:rsidRPr="00BA66F3">
              <w:rPr>
                <w:b w:val="0"/>
                <w:sz w:val="16"/>
                <w:szCs w:val="16"/>
                <w:lang w:val="en-US"/>
              </w:rPr>
              <w:t>13 (34.21%)</w:t>
            </w:r>
          </w:p>
        </w:tc>
        <w:tc>
          <w:tcPr>
            <w:tcW w:w="1134" w:type="dxa"/>
          </w:tcPr>
          <w:p w14:paraId="79596BF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43 (87.76%)</w:t>
            </w:r>
          </w:p>
        </w:tc>
        <w:tc>
          <w:tcPr>
            <w:tcW w:w="1134" w:type="dxa"/>
          </w:tcPr>
          <w:p w14:paraId="768ECAA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6 (12.24%)</w:t>
            </w:r>
          </w:p>
        </w:tc>
        <w:tc>
          <w:tcPr>
            <w:tcW w:w="993" w:type="dxa"/>
          </w:tcPr>
          <w:p w14:paraId="5F004074"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0.29</w:t>
            </w:r>
          </w:p>
        </w:tc>
        <w:tc>
          <w:tcPr>
            <w:tcW w:w="992" w:type="dxa"/>
          </w:tcPr>
          <w:p w14:paraId="27B5846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0.10, 0.86</w:t>
            </w:r>
          </w:p>
        </w:tc>
        <w:tc>
          <w:tcPr>
            <w:tcW w:w="850" w:type="dxa"/>
          </w:tcPr>
          <w:p w14:paraId="79A40F5E"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0.30</w:t>
            </w:r>
          </w:p>
        </w:tc>
        <w:tc>
          <w:tcPr>
            <w:tcW w:w="1046" w:type="dxa"/>
          </w:tcPr>
          <w:p w14:paraId="25EE87B4"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0.09, 0.98</w:t>
            </w:r>
          </w:p>
        </w:tc>
      </w:tr>
      <w:tr w:rsidR="00451DF7" w:rsidRPr="00BA66F3" w14:paraId="6CFF8095" w14:textId="77777777" w:rsidTr="00B01E0B">
        <w:tc>
          <w:tcPr>
            <w:tcW w:w="4536" w:type="dxa"/>
          </w:tcPr>
          <w:p w14:paraId="7BA19CD0" w14:textId="0C556ED7"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HPV vaccination should be widely available to MSM based on current evidence</w:t>
            </w:r>
            <w:r w:rsidR="00BB62ED" w:rsidRPr="00BA66F3">
              <w:rPr>
                <w:b w:val="0"/>
                <w:sz w:val="16"/>
                <w:szCs w:val="16"/>
                <w:lang w:val="en-US"/>
              </w:rPr>
              <w:t>.</w:t>
            </w:r>
            <w:r w:rsidRPr="00BA66F3">
              <w:rPr>
                <w:b w:val="0"/>
                <w:sz w:val="16"/>
                <w:szCs w:val="16"/>
                <w:lang w:val="en-US"/>
              </w:rPr>
              <w:t xml:space="preserve"> ^</w:t>
            </w:r>
          </w:p>
        </w:tc>
        <w:tc>
          <w:tcPr>
            <w:tcW w:w="1134" w:type="dxa"/>
          </w:tcPr>
          <w:p w14:paraId="0209BFCB"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27 (71.05%)</w:t>
            </w:r>
          </w:p>
        </w:tc>
        <w:tc>
          <w:tcPr>
            <w:tcW w:w="1134" w:type="dxa"/>
          </w:tcPr>
          <w:p w14:paraId="4B0F7555"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11 (28.95%)</w:t>
            </w:r>
          </w:p>
        </w:tc>
        <w:tc>
          <w:tcPr>
            <w:tcW w:w="1134" w:type="dxa"/>
          </w:tcPr>
          <w:p w14:paraId="2B152CA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48 (97.96%)</w:t>
            </w:r>
          </w:p>
        </w:tc>
        <w:tc>
          <w:tcPr>
            <w:tcW w:w="1134" w:type="dxa"/>
          </w:tcPr>
          <w:p w14:paraId="665DD26F"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 (2.04%)</w:t>
            </w:r>
          </w:p>
        </w:tc>
        <w:tc>
          <w:tcPr>
            <w:tcW w:w="993" w:type="dxa"/>
          </w:tcPr>
          <w:p w14:paraId="385EE423"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0.05</w:t>
            </w:r>
          </w:p>
        </w:tc>
        <w:tc>
          <w:tcPr>
            <w:tcW w:w="992" w:type="dxa"/>
          </w:tcPr>
          <w:p w14:paraId="2B62D733"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0.01, 0.45</w:t>
            </w:r>
          </w:p>
        </w:tc>
        <w:tc>
          <w:tcPr>
            <w:tcW w:w="850" w:type="dxa"/>
          </w:tcPr>
          <w:p w14:paraId="09E69A1F"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0.30</w:t>
            </w:r>
          </w:p>
        </w:tc>
        <w:tc>
          <w:tcPr>
            <w:tcW w:w="1046" w:type="dxa"/>
          </w:tcPr>
          <w:p w14:paraId="6EB33B8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0.09, 0.98</w:t>
            </w:r>
          </w:p>
        </w:tc>
      </w:tr>
      <w:tr w:rsidR="00451DF7" w:rsidRPr="00BA66F3" w14:paraId="77354E88" w14:textId="77777777" w:rsidTr="00B01E0B">
        <w:tc>
          <w:tcPr>
            <w:tcW w:w="4536" w:type="dxa"/>
          </w:tcPr>
          <w:p w14:paraId="20F4CC8A" w14:textId="77777777"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 xml:space="preserve">If there was a gender neutral HPV vaccination </w:t>
            </w:r>
            <w:proofErr w:type="spellStart"/>
            <w:r w:rsidRPr="00BA66F3">
              <w:rPr>
                <w:b w:val="0"/>
                <w:sz w:val="16"/>
                <w:szCs w:val="16"/>
                <w:lang w:val="en-US"/>
              </w:rPr>
              <w:t>programme</w:t>
            </w:r>
            <w:proofErr w:type="spellEnd"/>
            <w:r w:rsidRPr="00BA66F3">
              <w:rPr>
                <w:b w:val="0"/>
                <w:sz w:val="16"/>
                <w:szCs w:val="16"/>
                <w:lang w:val="en-US"/>
              </w:rPr>
              <w:t xml:space="preserve"> in the UK, would you still recommend targeted HPV vaccination?</w:t>
            </w:r>
          </w:p>
        </w:tc>
        <w:tc>
          <w:tcPr>
            <w:tcW w:w="1134" w:type="dxa"/>
          </w:tcPr>
          <w:p w14:paraId="6A57A013"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16 (42.11%)</w:t>
            </w:r>
          </w:p>
        </w:tc>
        <w:tc>
          <w:tcPr>
            <w:tcW w:w="1134" w:type="dxa"/>
          </w:tcPr>
          <w:p w14:paraId="3EA4DFDB"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22 (57.89%)</w:t>
            </w:r>
          </w:p>
        </w:tc>
        <w:tc>
          <w:tcPr>
            <w:tcW w:w="1134" w:type="dxa"/>
          </w:tcPr>
          <w:p w14:paraId="562C9E1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34 (69.39%)</w:t>
            </w:r>
          </w:p>
        </w:tc>
        <w:tc>
          <w:tcPr>
            <w:tcW w:w="1134" w:type="dxa"/>
          </w:tcPr>
          <w:p w14:paraId="08B8ACE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15 (30.61%)</w:t>
            </w:r>
          </w:p>
        </w:tc>
        <w:tc>
          <w:tcPr>
            <w:tcW w:w="993" w:type="dxa"/>
          </w:tcPr>
          <w:p w14:paraId="2FCE9CC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0.32</w:t>
            </w:r>
          </w:p>
        </w:tc>
        <w:tc>
          <w:tcPr>
            <w:tcW w:w="992" w:type="dxa"/>
          </w:tcPr>
          <w:p w14:paraId="24620764"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0.13, 0.78</w:t>
            </w:r>
          </w:p>
        </w:tc>
        <w:tc>
          <w:tcPr>
            <w:tcW w:w="850" w:type="dxa"/>
          </w:tcPr>
          <w:p w14:paraId="5FC25387"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0.33</w:t>
            </w:r>
          </w:p>
        </w:tc>
        <w:tc>
          <w:tcPr>
            <w:tcW w:w="1046" w:type="dxa"/>
          </w:tcPr>
          <w:p w14:paraId="3D0B57D5"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0.13, 0.88</w:t>
            </w:r>
          </w:p>
        </w:tc>
      </w:tr>
      <w:tr w:rsidR="00451DF7" w:rsidRPr="00BA66F3" w14:paraId="2280A7F4" w14:textId="77777777" w:rsidTr="00B01E0B">
        <w:tc>
          <w:tcPr>
            <w:tcW w:w="4536" w:type="dxa"/>
          </w:tcPr>
          <w:p w14:paraId="5312B489" w14:textId="4489D957"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Targeted HPV vaccination should be based on individual assessment of each MSM</w:t>
            </w:r>
            <w:r w:rsidR="00BB62ED" w:rsidRPr="00BA66F3">
              <w:rPr>
                <w:b w:val="0"/>
                <w:sz w:val="16"/>
                <w:szCs w:val="16"/>
                <w:lang w:val="en-US"/>
              </w:rPr>
              <w:t>.</w:t>
            </w:r>
          </w:p>
        </w:tc>
        <w:tc>
          <w:tcPr>
            <w:tcW w:w="1134" w:type="dxa"/>
          </w:tcPr>
          <w:p w14:paraId="0FA4D2CD"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16 (42.11%)</w:t>
            </w:r>
          </w:p>
        </w:tc>
        <w:tc>
          <w:tcPr>
            <w:tcW w:w="1134" w:type="dxa"/>
          </w:tcPr>
          <w:p w14:paraId="4137AC95"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22 (57.89%)</w:t>
            </w:r>
          </w:p>
        </w:tc>
        <w:tc>
          <w:tcPr>
            <w:tcW w:w="1134" w:type="dxa"/>
          </w:tcPr>
          <w:p w14:paraId="0FE4AD1E"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15 (30.61%)</w:t>
            </w:r>
          </w:p>
        </w:tc>
        <w:tc>
          <w:tcPr>
            <w:tcW w:w="1134" w:type="dxa"/>
          </w:tcPr>
          <w:p w14:paraId="52D21B55"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34 (69.39%)</w:t>
            </w:r>
          </w:p>
        </w:tc>
        <w:tc>
          <w:tcPr>
            <w:tcW w:w="993" w:type="dxa"/>
          </w:tcPr>
          <w:p w14:paraId="616F780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1.74</w:t>
            </w:r>
          </w:p>
        </w:tc>
        <w:tc>
          <w:tcPr>
            <w:tcW w:w="992" w:type="dxa"/>
          </w:tcPr>
          <w:p w14:paraId="0C5B75F7"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0.71, 4.30</w:t>
            </w:r>
          </w:p>
        </w:tc>
        <w:tc>
          <w:tcPr>
            <w:tcW w:w="850" w:type="dxa"/>
          </w:tcPr>
          <w:p w14:paraId="2BC92FAA"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1.91</w:t>
            </w:r>
          </w:p>
        </w:tc>
        <w:tc>
          <w:tcPr>
            <w:tcW w:w="1046" w:type="dxa"/>
          </w:tcPr>
          <w:p w14:paraId="603669AB"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0.70, 5.19</w:t>
            </w:r>
          </w:p>
        </w:tc>
      </w:tr>
      <w:tr w:rsidR="00451DF7" w:rsidRPr="00BA66F3" w14:paraId="366C9858" w14:textId="77777777" w:rsidTr="00B01E0B">
        <w:tc>
          <w:tcPr>
            <w:tcW w:w="4536" w:type="dxa"/>
          </w:tcPr>
          <w:p w14:paraId="3CB80585" w14:textId="7763B106"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HPV causes too few cancers among MSM to make it worthwhile to offer vaccination</w:t>
            </w:r>
            <w:r w:rsidR="00BB62ED" w:rsidRPr="00BA66F3">
              <w:rPr>
                <w:b w:val="0"/>
                <w:sz w:val="16"/>
                <w:szCs w:val="16"/>
                <w:lang w:val="en-US"/>
              </w:rPr>
              <w:t>.</w:t>
            </w:r>
            <w:r w:rsidR="00B01E0B" w:rsidRPr="00BA66F3">
              <w:rPr>
                <w:b w:val="0"/>
                <w:sz w:val="16"/>
                <w:szCs w:val="16"/>
                <w:lang w:val="en-US"/>
              </w:rPr>
              <w:t xml:space="preserve"> </w:t>
            </w:r>
            <w:r w:rsidRPr="00BA66F3">
              <w:rPr>
                <w:b w:val="0"/>
                <w:sz w:val="16"/>
                <w:szCs w:val="16"/>
                <w:lang w:val="en-US"/>
              </w:rPr>
              <w:t>*</w:t>
            </w:r>
          </w:p>
        </w:tc>
        <w:tc>
          <w:tcPr>
            <w:tcW w:w="1134" w:type="dxa"/>
          </w:tcPr>
          <w:p w14:paraId="7AB89CE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 (2.63%)</w:t>
            </w:r>
          </w:p>
        </w:tc>
        <w:tc>
          <w:tcPr>
            <w:tcW w:w="1134" w:type="dxa"/>
          </w:tcPr>
          <w:p w14:paraId="17681EBD"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36 (94.74%)</w:t>
            </w:r>
          </w:p>
        </w:tc>
        <w:tc>
          <w:tcPr>
            <w:tcW w:w="1134" w:type="dxa"/>
          </w:tcPr>
          <w:p w14:paraId="107003D1"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w:t>
            </w:r>
          </w:p>
        </w:tc>
        <w:tc>
          <w:tcPr>
            <w:tcW w:w="1134" w:type="dxa"/>
          </w:tcPr>
          <w:p w14:paraId="344F2385"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49 (100%)</w:t>
            </w:r>
          </w:p>
        </w:tc>
        <w:tc>
          <w:tcPr>
            <w:tcW w:w="993" w:type="dxa"/>
          </w:tcPr>
          <w:p w14:paraId="5B1280CD"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N/A</w:t>
            </w:r>
          </w:p>
        </w:tc>
        <w:tc>
          <w:tcPr>
            <w:tcW w:w="992" w:type="dxa"/>
          </w:tcPr>
          <w:p w14:paraId="6FE4305B" w14:textId="77777777" w:rsidR="00451DF7" w:rsidRPr="00BA66F3" w:rsidRDefault="00451DF7" w:rsidP="00C77758">
            <w:pPr>
              <w:pStyle w:val="MDPI12title"/>
              <w:spacing w:after="0" w:line="240" w:lineRule="auto"/>
              <w:rPr>
                <w:b w:val="0"/>
                <w:sz w:val="16"/>
                <w:szCs w:val="16"/>
                <w:lang w:val="en-US"/>
              </w:rPr>
            </w:pPr>
          </w:p>
        </w:tc>
        <w:tc>
          <w:tcPr>
            <w:tcW w:w="850" w:type="dxa"/>
          </w:tcPr>
          <w:p w14:paraId="202004E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N/A</w:t>
            </w:r>
          </w:p>
        </w:tc>
        <w:tc>
          <w:tcPr>
            <w:tcW w:w="1046" w:type="dxa"/>
          </w:tcPr>
          <w:p w14:paraId="0767DBEC" w14:textId="77777777" w:rsidR="00451DF7" w:rsidRPr="00BA66F3" w:rsidRDefault="00451DF7" w:rsidP="00C77758">
            <w:pPr>
              <w:pStyle w:val="MDPI12title"/>
              <w:spacing w:after="0" w:line="240" w:lineRule="auto"/>
              <w:rPr>
                <w:b w:val="0"/>
                <w:sz w:val="16"/>
                <w:szCs w:val="16"/>
                <w:lang w:val="en-US"/>
              </w:rPr>
            </w:pPr>
          </w:p>
        </w:tc>
      </w:tr>
      <w:tr w:rsidR="00451DF7" w:rsidRPr="00BA66F3" w14:paraId="08A9E790" w14:textId="77777777" w:rsidTr="00B01E0B">
        <w:tc>
          <w:tcPr>
            <w:tcW w:w="4536" w:type="dxa"/>
          </w:tcPr>
          <w:p w14:paraId="7F1D36DD" w14:textId="468B2BE4"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HPV causes too few cancer among HIV-positive MSM to make it worthwhile to offer vaccination</w:t>
            </w:r>
            <w:proofErr w:type="gramStart"/>
            <w:r w:rsidR="00BB62ED" w:rsidRPr="00BA66F3">
              <w:rPr>
                <w:b w:val="0"/>
                <w:sz w:val="16"/>
                <w:szCs w:val="16"/>
                <w:lang w:val="en-US"/>
              </w:rPr>
              <w:t>.</w:t>
            </w:r>
            <w:r w:rsidR="00B01E0B" w:rsidRPr="00BA66F3">
              <w:rPr>
                <w:b w:val="0"/>
                <w:sz w:val="16"/>
                <w:szCs w:val="16"/>
                <w:lang w:val="en-US"/>
              </w:rPr>
              <w:t xml:space="preserve"> </w:t>
            </w:r>
            <w:proofErr w:type="gramEnd"/>
            <w:r w:rsidRPr="00BA66F3">
              <w:rPr>
                <w:b w:val="0"/>
                <w:sz w:val="16"/>
                <w:szCs w:val="16"/>
                <w:lang w:val="en-US"/>
              </w:rPr>
              <w:t>**</w:t>
            </w:r>
          </w:p>
        </w:tc>
        <w:tc>
          <w:tcPr>
            <w:tcW w:w="1134" w:type="dxa"/>
          </w:tcPr>
          <w:p w14:paraId="1ECEC6C1"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 (2.63%)</w:t>
            </w:r>
          </w:p>
        </w:tc>
        <w:tc>
          <w:tcPr>
            <w:tcW w:w="1134" w:type="dxa"/>
          </w:tcPr>
          <w:p w14:paraId="7DABA75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36 (94.74%)</w:t>
            </w:r>
          </w:p>
        </w:tc>
        <w:tc>
          <w:tcPr>
            <w:tcW w:w="1134" w:type="dxa"/>
          </w:tcPr>
          <w:p w14:paraId="3D407F0A"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w:t>
            </w:r>
          </w:p>
        </w:tc>
        <w:tc>
          <w:tcPr>
            <w:tcW w:w="1134" w:type="dxa"/>
          </w:tcPr>
          <w:p w14:paraId="6E567DF8"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48 (97.83%)</w:t>
            </w:r>
          </w:p>
        </w:tc>
        <w:tc>
          <w:tcPr>
            <w:tcW w:w="993" w:type="dxa"/>
          </w:tcPr>
          <w:p w14:paraId="072B7D0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N/A</w:t>
            </w:r>
          </w:p>
        </w:tc>
        <w:tc>
          <w:tcPr>
            <w:tcW w:w="992" w:type="dxa"/>
          </w:tcPr>
          <w:p w14:paraId="2A68E2D8" w14:textId="77777777" w:rsidR="00451DF7" w:rsidRPr="00BA66F3" w:rsidRDefault="00451DF7" w:rsidP="00C77758">
            <w:pPr>
              <w:pStyle w:val="MDPI12title"/>
              <w:spacing w:after="0" w:line="240" w:lineRule="auto"/>
              <w:rPr>
                <w:b w:val="0"/>
                <w:sz w:val="16"/>
                <w:szCs w:val="16"/>
                <w:lang w:val="en-US"/>
              </w:rPr>
            </w:pPr>
          </w:p>
        </w:tc>
        <w:tc>
          <w:tcPr>
            <w:tcW w:w="850" w:type="dxa"/>
          </w:tcPr>
          <w:p w14:paraId="14D335C3"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N/A</w:t>
            </w:r>
          </w:p>
        </w:tc>
        <w:tc>
          <w:tcPr>
            <w:tcW w:w="1046" w:type="dxa"/>
          </w:tcPr>
          <w:p w14:paraId="05C243A6" w14:textId="77777777" w:rsidR="00451DF7" w:rsidRPr="00BA66F3" w:rsidRDefault="00451DF7" w:rsidP="00C77758">
            <w:pPr>
              <w:pStyle w:val="MDPI12title"/>
              <w:spacing w:after="0" w:line="240" w:lineRule="auto"/>
              <w:rPr>
                <w:b w:val="0"/>
                <w:sz w:val="16"/>
                <w:szCs w:val="16"/>
                <w:lang w:val="en-US"/>
              </w:rPr>
            </w:pPr>
          </w:p>
        </w:tc>
      </w:tr>
      <w:tr w:rsidR="00451DF7" w:rsidRPr="00BA66F3" w14:paraId="1A10ACF9" w14:textId="77777777" w:rsidTr="00B01E0B">
        <w:tc>
          <w:tcPr>
            <w:tcW w:w="4536" w:type="dxa"/>
          </w:tcPr>
          <w:p w14:paraId="792531E3" w14:textId="641F9547"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The majority of MSM would be willing to receive the HPV vaccine</w:t>
            </w:r>
            <w:r w:rsidR="00BB62ED" w:rsidRPr="00BA66F3">
              <w:rPr>
                <w:b w:val="0"/>
                <w:sz w:val="16"/>
                <w:szCs w:val="16"/>
                <w:lang w:val="en-US"/>
              </w:rPr>
              <w:t>.</w:t>
            </w:r>
          </w:p>
        </w:tc>
        <w:tc>
          <w:tcPr>
            <w:tcW w:w="1134" w:type="dxa"/>
          </w:tcPr>
          <w:p w14:paraId="22F7C29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16 (42.11%)</w:t>
            </w:r>
          </w:p>
        </w:tc>
        <w:tc>
          <w:tcPr>
            <w:tcW w:w="1134" w:type="dxa"/>
          </w:tcPr>
          <w:p w14:paraId="15F198F1"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22 (57.89%)</w:t>
            </w:r>
          </w:p>
        </w:tc>
        <w:tc>
          <w:tcPr>
            <w:tcW w:w="1134" w:type="dxa"/>
          </w:tcPr>
          <w:p w14:paraId="708506DA"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41 (83.67%)</w:t>
            </w:r>
          </w:p>
        </w:tc>
        <w:tc>
          <w:tcPr>
            <w:tcW w:w="1134" w:type="dxa"/>
          </w:tcPr>
          <w:p w14:paraId="3A64C6F7"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8 (16.33%)</w:t>
            </w:r>
          </w:p>
        </w:tc>
        <w:tc>
          <w:tcPr>
            <w:tcW w:w="993" w:type="dxa"/>
          </w:tcPr>
          <w:p w14:paraId="4731CF9E"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0.16</w:t>
            </w:r>
          </w:p>
        </w:tc>
        <w:tc>
          <w:tcPr>
            <w:tcW w:w="992" w:type="dxa"/>
          </w:tcPr>
          <w:p w14:paraId="5CF6AABA"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0.06, 0.44</w:t>
            </w:r>
          </w:p>
        </w:tc>
        <w:tc>
          <w:tcPr>
            <w:tcW w:w="850" w:type="dxa"/>
          </w:tcPr>
          <w:p w14:paraId="7E008299"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0.13</w:t>
            </w:r>
          </w:p>
        </w:tc>
        <w:tc>
          <w:tcPr>
            <w:tcW w:w="1046" w:type="dxa"/>
          </w:tcPr>
          <w:p w14:paraId="749F306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0.04, 0.41</w:t>
            </w:r>
          </w:p>
        </w:tc>
      </w:tr>
      <w:tr w:rsidR="00451DF7" w:rsidRPr="00BA66F3" w14:paraId="289BB779" w14:textId="77777777" w:rsidTr="00B01E0B">
        <w:tc>
          <w:tcPr>
            <w:tcW w:w="4536" w:type="dxa"/>
          </w:tcPr>
          <w:p w14:paraId="0CC87FF0" w14:textId="2AAEC1A0"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lastRenderedPageBreak/>
              <w:t>The majority of young MSM (&lt;24 years) would be willing to receive the HPV vaccine</w:t>
            </w:r>
            <w:r w:rsidR="00BB62ED" w:rsidRPr="00BA66F3">
              <w:rPr>
                <w:b w:val="0"/>
                <w:sz w:val="16"/>
                <w:szCs w:val="16"/>
                <w:lang w:val="en-US"/>
              </w:rPr>
              <w:t>.</w:t>
            </w:r>
          </w:p>
        </w:tc>
        <w:tc>
          <w:tcPr>
            <w:tcW w:w="1134" w:type="dxa"/>
          </w:tcPr>
          <w:p w14:paraId="02E0C58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21 (55.26%)</w:t>
            </w:r>
          </w:p>
        </w:tc>
        <w:tc>
          <w:tcPr>
            <w:tcW w:w="1134" w:type="dxa"/>
          </w:tcPr>
          <w:p w14:paraId="04057288"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17 (44.74%)</w:t>
            </w:r>
          </w:p>
        </w:tc>
        <w:tc>
          <w:tcPr>
            <w:tcW w:w="1134" w:type="dxa"/>
          </w:tcPr>
          <w:p w14:paraId="60077345"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41 (83.67%)</w:t>
            </w:r>
          </w:p>
        </w:tc>
        <w:tc>
          <w:tcPr>
            <w:tcW w:w="1134" w:type="dxa"/>
          </w:tcPr>
          <w:p w14:paraId="18DE00D1"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8 (16.33%)</w:t>
            </w:r>
          </w:p>
        </w:tc>
        <w:tc>
          <w:tcPr>
            <w:tcW w:w="993" w:type="dxa"/>
          </w:tcPr>
          <w:p w14:paraId="17D2058E"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0.28</w:t>
            </w:r>
          </w:p>
        </w:tc>
        <w:tc>
          <w:tcPr>
            <w:tcW w:w="992" w:type="dxa"/>
          </w:tcPr>
          <w:p w14:paraId="6F2BD1D4"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0.10, 0.75</w:t>
            </w:r>
          </w:p>
        </w:tc>
        <w:tc>
          <w:tcPr>
            <w:tcW w:w="850" w:type="dxa"/>
          </w:tcPr>
          <w:p w14:paraId="7F1DA98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0.14</w:t>
            </w:r>
          </w:p>
        </w:tc>
        <w:tc>
          <w:tcPr>
            <w:tcW w:w="1046" w:type="dxa"/>
          </w:tcPr>
          <w:p w14:paraId="2FFD6F18"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0.04, 0.49</w:t>
            </w:r>
          </w:p>
        </w:tc>
      </w:tr>
      <w:tr w:rsidR="00451DF7" w:rsidRPr="00BA66F3" w14:paraId="326C39B0" w14:textId="77777777" w:rsidTr="00B01E0B">
        <w:tc>
          <w:tcPr>
            <w:tcW w:w="4536" w:type="dxa"/>
          </w:tcPr>
          <w:p w14:paraId="78DA68EE" w14:textId="0D46E222"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HPV vaccination would encourage MSM to engage with sexual health services</w:t>
            </w:r>
            <w:r w:rsidR="00BB62ED" w:rsidRPr="00BA66F3">
              <w:rPr>
                <w:b w:val="0"/>
                <w:sz w:val="16"/>
                <w:szCs w:val="16"/>
                <w:lang w:val="en-US"/>
              </w:rPr>
              <w:t>.</w:t>
            </w:r>
          </w:p>
        </w:tc>
        <w:tc>
          <w:tcPr>
            <w:tcW w:w="1134" w:type="dxa"/>
          </w:tcPr>
          <w:p w14:paraId="6DF879B4"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17 (44.74%)</w:t>
            </w:r>
          </w:p>
        </w:tc>
        <w:tc>
          <w:tcPr>
            <w:tcW w:w="1134" w:type="dxa"/>
          </w:tcPr>
          <w:p w14:paraId="7061E958"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21 (55.26%)</w:t>
            </w:r>
          </w:p>
        </w:tc>
        <w:tc>
          <w:tcPr>
            <w:tcW w:w="1134" w:type="dxa"/>
          </w:tcPr>
          <w:p w14:paraId="7741D804"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33 (67.35%)</w:t>
            </w:r>
          </w:p>
        </w:tc>
        <w:tc>
          <w:tcPr>
            <w:tcW w:w="1134" w:type="dxa"/>
          </w:tcPr>
          <w:p w14:paraId="340905D1"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16 (32.65)</w:t>
            </w:r>
          </w:p>
        </w:tc>
        <w:tc>
          <w:tcPr>
            <w:tcW w:w="993" w:type="dxa"/>
          </w:tcPr>
          <w:p w14:paraId="5931003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0.45</w:t>
            </w:r>
          </w:p>
        </w:tc>
        <w:tc>
          <w:tcPr>
            <w:tcW w:w="992" w:type="dxa"/>
          </w:tcPr>
          <w:p w14:paraId="47E1F6ED"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0.19, 1.10</w:t>
            </w:r>
          </w:p>
        </w:tc>
        <w:tc>
          <w:tcPr>
            <w:tcW w:w="850" w:type="dxa"/>
          </w:tcPr>
          <w:p w14:paraId="42CABDB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0.42</w:t>
            </w:r>
          </w:p>
        </w:tc>
        <w:tc>
          <w:tcPr>
            <w:tcW w:w="1046" w:type="dxa"/>
          </w:tcPr>
          <w:p w14:paraId="76DDB4C1"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0.16, 1.11</w:t>
            </w:r>
          </w:p>
        </w:tc>
      </w:tr>
      <w:tr w:rsidR="00451DF7" w:rsidRPr="00BA66F3" w14:paraId="56C0DB62" w14:textId="77777777" w:rsidTr="00B01E0B">
        <w:tc>
          <w:tcPr>
            <w:tcW w:w="4536" w:type="dxa"/>
          </w:tcPr>
          <w:p w14:paraId="7CEDEC3A" w14:textId="735DDF02"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Vaccinating MSM could increase the likelihood of unsafe sex</w:t>
            </w:r>
            <w:r w:rsidR="00BB62ED" w:rsidRPr="00BA66F3">
              <w:rPr>
                <w:b w:val="0"/>
                <w:sz w:val="16"/>
                <w:szCs w:val="16"/>
                <w:lang w:val="en-US"/>
              </w:rPr>
              <w:t>.</w:t>
            </w:r>
          </w:p>
        </w:tc>
        <w:tc>
          <w:tcPr>
            <w:tcW w:w="1134" w:type="dxa"/>
          </w:tcPr>
          <w:p w14:paraId="4E8C5E5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 (7.89%)</w:t>
            </w:r>
          </w:p>
        </w:tc>
        <w:tc>
          <w:tcPr>
            <w:tcW w:w="1134" w:type="dxa"/>
          </w:tcPr>
          <w:p w14:paraId="7A0CE1D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35 (92.11%)</w:t>
            </w:r>
          </w:p>
        </w:tc>
        <w:tc>
          <w:tcPr>
            <w:tcW w:w="1134" w:type="dxa"/>
          </w:tcPr>
          <w:p w14:paraId="5B40B697"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 (2.17%)</w:t>
            </w:r>
          </w:p>
        </w:tc>
        <w:tc>
          <w:tcPr>
            <w:tcW w:w="1134" w:type="dxa"/>
          </w:tcPr>
          <w:p w14:paraId="5CA9B5C4"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48 (97.83%)</w:t>
            </w:r>
          </w:p>
        </w:tc>
        <w:tc>
          <w:tcPr>
            <w:tcW w:w="993" w:type="dxa"/>
          </w:tcPr>
          <w:p w14:paraId="75AF0428"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3.97</w:t>
            </w:r>
          </w:p>
        </w:tc>
        <w:tc>
          <w:tcPr>
            <w:tcW w:w="992" w:type="dxa"/>
          </w:tcPr>
          <w:p w14:paraId="563F5835"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0.40, 39.86</w:t>
            </w:r>
          </w:p>
        </w:tc>
        <w:tc>
          <w:tcPr>
            <w:tcW w:w="850" w:type="dxa"/>
          </w:tcPr>
          <w:p w14:paraId="5727D5D3"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3.34</w:t>
            </w:r>
          </w:p>
        </w:tc>
        <w:tc>
          <w:tcPr>
            <w:tcW w:w="1046" w:type="dxa"/>
          </w:tcPr>
          <w:p w14:paraId="2E42E10F"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0.32, 35.02</w:t>
            </w:r>
          </w:p>
        </w:tc>
      </w:tr>
      <w:tr w:rsidR="00451DF7" w:rsidRPr="00BA66F3" w14:paraId="0C0361D0" w14:textId="77777777" w:rsidTr="00B01E0B">
        <w:tc>
          <w:tcPr>
            <w:tcW w:w="4536" w:type="dxa"/>
          </w:tcPr>
          <w:p w14:paraId="3FAD1DC3" w14:textId="73413374"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I have the skills to identify MSM that would benefit from the HPV vaccine</w:t>
            </w:r>
            <w:r w:rsidR="00BB62ED" w:rsidRPr="00BA66F3">
              <w:rPr>
                <w:b w:val="0"/>
                <w:sz w:val="16"/>
                <w:szCs w:val="16"/>
                <w:lang w:val="en-US"/>
              </w:rPr>
              <w:t>.</w:t>
            </w:r>
          </w:p>
        </w:tc>
        <w:tc>
          <w:tcPr>
            <w:tcW w:w="1134" w:type="dxa"/>
          </w:tcPr>
          <w:p w14:paraId="6F5B8F8A"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 (7.89%)</w:t>
            </w:r>
          </w:p>
        </w:tc>
        <w:tc>
          <w:tcPr>
            <w:tcW w:w="1134" w:type="dxa"/>
          </w:tcPr>
          <w:p w14:paraId="269E88D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35 (92.11%)</w:t>
            </w:r>
          </w:p>
        </w:tc>
        <w:tc>
          <w:tcPr>
            <w:tcW w:w="1134" w:type="dxa"/>
          </w:tcPr>
          <w:p w14:paraId="2AF43C35"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34 (69.39%)</w:t>
            </w:r>
          </w:p>
        </w:tc>
        <w:tc>
          <w:tcPr>
            <w:tcW w:w="1134" w:type="dxa"/>
          </w:tcPr>
          <w:p w14:paraId="76B6752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15 (30.61%)</w:t>
            </w:r>
          </w:p>
        </w:tc>
        <w:tc>
          <w:tcPr>
            <w:tcW w:w="993" w:type="dxa"/>
          </w:tcPr>
          <w:p w14:paraId="50B91FF9"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0.04</w:t>
            </w:r>
          </w:p>
        </w:tc>
        <w:tc>
          <w:tcPr>
            <w:tcW w:w="992" w:type="dxa"/>
          </w:tcPr>
          <w:p w14:paraId="690C8652"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0.01, 0.16</w:t>
            </w:r>
          </w:p>
        </w:tc>
        <w:tc>
          <w:tcPr>
            <w:tcW w:w="850" w:type="dxa"/>
          </w:tcPr>
          <w:p w14:paraId="2089E317"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0.03</w:t>
            </w:r>
          </w:p>
        </w:tc>
        <w:tc>
          <w:tcPr>
            <w:tcW w:w="1046" w:type="dxa"/>
          </w:tcPr>
          <w:p w14:paraId="64D9A10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0.01, 0.15</w:t>
            </w:r>
          </w:p>
        </w:tc>
      </w:tr>
      <w:tr w:rsidR="00451DF7" w:rsidRPr="00BA66F3" w14:paraId="71C1ACDC" w14:textId="77777777" w:rsidTr="00B01E0B">
        <w:tc>
          <w:tcPr>
            <w:tcW w:w="4536" w:type="dxa"/>
          </w:tcPr>
          <w:p w14:paraId="78CC1AFC" w14:textId="275FE05A"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I am confident in recommending HPV vaccination for young MSM (&lt;24 years)</w:t>
            </w:r>
            <w:r w:rsidR="00BB62ED" w:rsidRPr="00BA66F3">
              <w:rPr>
                <w:b w:val="0"/>
                <w:sz w:val="16"/>
                <w:szCs w:val="16"/>
                <w:lang w:val="en-US"/>
              </w:rPr>
              <w:t>.</w:t>
            </w:r>
          </w:p>
        </w:tc>
        <w:tc>
          <w:tcPr>
            <w:tcW w:w="1134" w:type="dxa"/>
          </w:tcPr>
          <w:p w14:paraId="49343F1D"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12 (31.58%)</w:t>
            </w:r>
          </w:p>
        </w:tc>
        <w:tc>
          <w:tcPr>
            <w:tcW w:w="1134" w:type="dxa"/>
          </w:tcPr>
          <w:p w14:paraId="74662841"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26 (68.42%)</w:t>
            </w:r>
          </w:p>
        </w:tc>
        <w:tc>
          <w:tcPr>
            <w:tcW w:w="1134" w:type="dxa"/>
          </w:tcPr>
          <w:p w14:paraId="0E2334F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43 (87.76%)</w:t>
            </w:r>
          </w:p>
        </w:tc>
        <w:tc>
          <w:tcPr>
            <w:tcW w:w="1134" w:type="dxa"/>
          </w:tcPr>
          <w:p w14:paraId="77B371D8"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6 (12.24%)</w:t>
            </w:r>
          </w:p>
        </w:tc>
        <w:tc>
          <w:tcPr>
            <w:tcW w:w="993" w:type="dxa"/>
          </w:tcPr>
          <w:p w14:paraId="3A235950"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0.06</w:t>
            </w:r>
          </w:p>
        </w:tc>
        <w:tc>
          <w:tcPr>
            <w:tcW w:w="992" w:type="dxa"/>
          </w:tcPr>
          <w:p w14:paraId="792636FD"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0.02, 0.19</w:t>
            </w:r>
          </w:p>
        </w:tc>
        <w:tc>
          <w:tcPr>
            <w:tcW w:w="850" w:type="dxa"/>
          </w:tcPr>
          <w:p w14:paraId="4A187B73"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0.04</w:t>
            </w:r>
          </w:p>
        </w:tc>
        <w:tc>
          <w:tcPr>
            <w:tcW w:w="1046" w:type="dxa"/>
          </w:tcPr>
          <w:p w14:paraId="2844C837"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0.01, 0.18</w:t>
            </w:r>
          </w:p>
        </w:tc>
      </w:tr>
      <w:tr w:rsidR="00451DF7" w:rsidRPr="00BA66F3" w14:paraId="4B7D3D5D" w14:textId="77777777" w:rsidTr="00B01E0B">
        <w:tc>
          <w:tcPr>
            <w:tcW w:w="4536" w:type="dxa"/>
          </w:tcPr>
          <w:p w14:paraId="2E116DAF" w14:textId="242EB63D" w:rsidR="00451DF7" w:rsidRPr="00BA66F3" w:rsidRDefault="00451DF7" w:rsidP="00B01E0B">
            <w:pPr>
              <w:pStyle w:val="MDPI12title"/>
              <w:spacing w:after="0" w:line="240" w:lineRule="auto"/>
              <w:jc w:val="left"/>
              <w:rPr>
                <w:b w:val="0"/>
                <w:sz w:val="16"/>
                <w:szCs w:val="16"/>
                <w:lang w:val="en-US"/>
              </w:rPr>
            </w:pPr>
            <w:r w:rsidRPr="00BA66F3">
              <w:rPr>
                <w:b w:val="0"/>
                <w:sz w:val="16"/>
                <w:szCs w:val="16"/>
                <w:lang w:val="en-US"/>
              </w:rPr>
              <w:t>I am confident that a young person would disclose their sexual orientation to me</w:t>
            </w:r>
            <w:r w:rsidR="00BB62ED" w:rsidRPr="00BA66F3">
              <w:rPr>
                <w:b w:val="0"/>
                <w:sz w:val="16"/>
                <w:szCs w:val="16"/>
                <w:lang w:val="en-US"/>
              </w:rPr>
              <w:t>.</w:t>
            </w:r>
          </w:p>
        </w:tc>
        <w:tc>
          <w:tcPr>
            <w:tcW w:w="1134" w:type="dxa"/>
          </w:tcPr>
          <w:p w14:paraId="6DA98C7E"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15 (39.47%)</w:t>
            </w:r>
          </w:p>
        </w:tc>
        <w:tc>
          <w:tcPr>
            <w:tcW w:w="1134" w:type="dxa"/>
          </w:tcPr>
          <w:p w14:paraId="1C7FA746"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23 (60.53%)</w:t>
            </w:r>
          </w:p>
        </w:tc>
        <w:tc>
          <w:tcPr>
            <w:tcW w:w="1134" w:type="dxa"/>
          </w:tcPr>
          <w:p w14:paraId="6840F8AD"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38 (77.55%)</w:t>
            </w:r>
          </w:p>
        </w:tc>
        <w:tc>
          <w:tcPr>
            <w:tcW w:w="1134" w:type="dxa"/>
          </w:tcPr>
          <w:p w14:paraId="1F90F34B"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11 (22.45%)</w:t>
            </w:r>
          </w:p>
        </w:tc>
        <w:tc>
          <w:tcPr>
            <w:tcW w:w="993" w:type="dxa"/>
          </w:tcPr>
          <w:p w14:paraId="16D2540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0.21</w:t>
            </w:r>
          </w:p>
        </w:tc>
        <w:tc>
          <w:tcPr>
            <w:tcW w:w="992" w:type="dxa"/>
          </w:tcPr>
          <w:p w14:paraId="1DEF14FF"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0.08, 0.55</w:t>
            </w:r>
          </w:p>
        </w:tc>
        <w:tc>
          <w:tcPr>
            <w:tcW w:w="850" w:type="dxa"/>
          </w:tcPr>
          <w:p w14:paraId="78053CCC"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0.17</w:t>
            </w:r>
          </w:p>
        </w:tc>
        <w:tc>
          <w:tcPr>
            <w:tcW w:w="1046" w:type="dxa"/>
          </w:tcPr>
          <w:p w14:paraId="7BFA46DB" w14:textId="77777777" w:rsidR="00451DF7" w:rsidRPr="00BA66F3" w:rsidRDefault="00451DF7" w:rsidP="00C77758">
            <w:pPr>
              <w:pStyle w:val="MDPI12title"/>
              <w:spacing w:after="0" w:line="240" w:lineRule="auto"/>
              <w:rPr>
                <w:b w:val="0"/>
                <w:sz w:val="16"/>
                <w:szCs w:val="16"/>
                <w:lang w:val="en-US"/>
              </w:rPr>
            </w:pPr>
            <w:r w:rsidRPr="00BA66F3">
              <w:rPr>
                <w:b w:val="0"/>
                <w:sz w:val="16"/>
                <w:szCs w:val="16"/>
                <w:lang w:val="en-US"/>
              </w:rPr>
              <w:t>0.06, 0.50</w:t>
            </w:r>
          </w:p>
        </w:tc>
      </w:tr>
    </w:tbl>
    <w:p w14:paraId="2BF1375A" w14:textId="4AD1EE09" w:rsidR="00451DF7" w:rsidRPr="00BA66F3" w:rsidRDefault="00451DF7" w:rsidP="00C77758">
      <w:pPr>
        <w:pStyle w:val="MDPI13authornames"/>
        <w:spacing w:after="240"/>
        <w:ind w:left="425" w:right="425"/>
        <w:jc w:val="both"/>
        <w:rPr>
          <w:b w:val="0"/>
          <w:sz w:val="18"/>
          <w:szCs w:val="18"/>
        </w:rPr>
      </w:pPr>
      <w:proofErr w:type="spellStart"/>
      <w:r w:rsidRPr="00BA66F3">
        <w:rPr>
          <w:b w:val="0"/>
          <w:sz w:val="18"/>
          <w:szCs w:val="16"/>
        </w:rPr>
        <w:t>Unadj</w:t>
      </w:r>
      <w:proofErr w:type="spellEnd"/>
      <w:r w:rsidRPr="00BA66F3">
        <w:rPr>
          <w:b w:val="0"/>
          <w:sz w:val="18"/>
          <w:szCs w:val="16"/>
        </w:rPr>
        <w:t xml:space="preserve"> OR</w:t>
      </w:r>
      <w:r w:rsidR="007C0FA2" w:rsidRPr="00BA66F3">
        <w:rPr>
          <w:b w:val="0"/>
          <w:sz w:val="18"/>
          <w:szCs w:val="16"/>
        </w:rPr>
        <w:t xml:space="preserve">: </w:t>
      </w:r>
      <w:r w:rsidR="00BB62ED" w:rsidRPr="00BA66F3">
        <w:rPr>
          <w:b w:val="0"/>
          <w:sz w:val="18"/>
          <w:szCs w:val="16"/>
        </w:rPr>
        <w:t xml:space="preserve">unadjusted </w:t>
      </w:r>
      <w:r w:rsidRPr="00BA66F3">
        <w:rPr>
          <w:b w:val="0"/>
          <w:sz w:val="18"/>
          <w:szCs w:val="16"/>
        </w:rPr>
        <w:t xml:space="preserve">odds ratios; </w:t>
      </w:r>
      <w:bookmarkStart w:id="5" w:name="OLE_LINK4"/>
      <w:proofErr w:type="spellStart"/>
      <w:r w:rsidRPr="00BA66F3">
        <w:rPr>
          <w:b w:val="0"/>
          <w:sz w:val="18"/>
          <w:szCs w:val="16"/>
        </w:rPr>
        <w:t>Adj</w:t>
      </w:r>
      <w:proofErr w:type="spellEnd"/>
      <w:r w:rsidRPr="00BA66F3">
        <w:rPr>
          <w:b w:val="0"/>
          <w:sz w:val="18"/>
          <w:szCs w:val="16"/>
        </w:rPr>
        <w:t xml:space="preserve"> OR</w:t>
      </w:r>
      <w:r w:rsidR="007C0FA2" w:rsidRPr="00BA66F3">
        <w:rPr>
          <w:b w:val="0"/>
          <w:sz w:val="18"/>
          <w:szCs w:val="16"/>
        </w:rPr>
        <w:t xml:space="preserve">: </w:t>
      </w:r>
      <w:r w:rsidR="00BB62ED" w:rsidRPr="00BA66F3">
        <w:rPr>
          <w:b w:val="0"/>
          <w:sz w:val="18"/>
          <w:szCs w:val="16"/>
        </w:rPr>
        <w:t xml:space="preserve">adjusted </w:t>
      </w:r>
      <w:r w:rsidRPr="00BA66F3">
        <w:rPr>
          <w:b w:val="0"/>
          <w:sz w:val="18"/>
          <w:szCs w:val="16"/>
        </w:rPr>
        <w:t>odds ratios</w:t>
      </w:r>
      <w:bookmarkEnd w:id="5"/>
      <w:r w:rsidRPr="00BA66F3">
        <w:rPr>
          <w:b w:val="0"/>
          <w:sz w:val="18"/>
          <w:szCs w:val="16"/>
        </w:rPr>
        <w:t>;</w:t>
      </w:r>
      <w:r w:rsidR="006235B1" w:rsidRPr="00BA66F3">
        <w:rPr>
          <w:b w:val="0"/>
          <w:sz w:val="18"/>
          <w:szCs w:val="16"/>
        </w:rPr>
        <w:t xml:space="preserve"> </w:t>
      </w:r>
      <w:r w:rsidRPr="00BA66F3">
        <w:rPr>
          <w:b w:val="0"/>
          <w:sz w:val="18"/>
          <w:szCs w:val="16"/>
        </w:rPr>
        <w:t>* Miss</w:t>
      </w:r>
      <w:r w:rsidR="00B01E0B" w:rsidRPr="00BA66F3">
        <w:rPr>
          <w:b w:val="0"/>
          <w:sz w:val="18"/>
          <w:szCs w:val="16"/>
        </w:rPr>
        <w:t>ing responses from one SHCP; **</w:t>
      </w:r>
      <w:r w:rsidRPr="00BA66F3">
        <w:rPr>
          <w:b w:val="0"/>
          <w:sz w:val="18"/>
          <w:szCs w:val="16"/>
        </w:rPr>
        <w:t xml:space="preserve"> Missing responses from one SHCP and one GP; N</w:t>
      </w:r>
      <w:r w:rsidRPr="00BA66F3">
        <w:rPr>
          <w:b w:val="0"/>
          <w:sz w:val="18"/>
        </w:rPr>
        <w:t>/A</w:t>
      </w:r>
      <w:r w:rsidR="00E531F5" w:rsidRPr="00BA66F3">
        <w:rPr>
          <w:b w:val="0"/>
          <w:sz w:val="18"/>
        </w:rPr>
        <w:t xml:space="preserve">: </w:t>
      </w:r>
      <w:r w:rsidR="00BB62ED" w:rsidRPr="00BA66F3">
        <w:rPr>
          <w:b w:val="0"/>
          <w:sz w:val="18"/>
        </w:rPr>
        <w:t xml:space="preserve">unable </w:t>
      </w:r>
      <w:r w:rsidRPr="00BA66F3">
        <w:rPr>
          <w:b w:val="0"/>
          <w:sz w:val="18"/>
        </w:rPr>
        <w:t>to calculate OR</w:t>
      </w:r>
      <w:r w:rsidR="00C77758" w:rsidRPr="00BA66F3">
        <w:rPr>
          <w:b w:val="0"/>
          <w:sz w:val="18"/>
        </w:rPr>
        <w:t>.</w:t>
      </w:r>
      <w:r w:rsidR="00C77758" w:rsidRPr="00BA66F3">
        <w:rPr>
          <w:b w:val="0"/>
          <w:sz w:val="18"/>
          <w:szCs w:val="16"/>
        </w:rPr>
        <w:t xml:space="preserve"> </w:t>
      </w:r>
      <w:r w:rsidRPr="00BA66F3">
        <w:rPr>
          <w:b w:val="0"/>
          <w:sz w:val="18"/>
        </w:rPr>
        <w:t>^ Hosmer</w:t>
      </w:r>
      <w:r w:rsidR="00E531F5" w:rsidRPr="00BA66F3">
        <w:rPr>
          <w:b w:val="0"/>
          <w:sz w:val="18"/>
        </w:rPr>
        <w:t xml:space="preserve">: </w:t>
      </w:r>
      <w:proofErr w:type="spellStart"/>
      <w:r w:rsidRPr="00BA66F3">
        <w:rPr>
          <w:b w:val="0"/>
          <w:sz w:val="18"/>
        </w:rPr>
        <w:t>Lemeshow</w:t>
      </w:r>
      <w:proofErr w:type="spellEnd"/>
      <w:r w:rsidRPr="00BA66F3">
        <w:rPr>
          <w:b w:val="0"/>
          <w:sz w:val="18"/>
        </w:rPr>
        <w:t xml:space="preserve"> goodness-of-fit test </w:t>
      </w:r>
      <w:r w:rsidRPr="00BA66F3">
        <w:rPr>
          <w:b w:val="0"/>
          <w:i/>
          <w:sz w:val="18"/>
        </w:rPr>
        <w:t>p</w:t>
      </w:r>
      <w:r w:rsidR="00B01E0B" w:rsidRPr="00BA66F3">
        <w:rPr>
          <w:b w:val="0"/>
          <w:sz w:val="18"/>
        </w:rPr>
        <w:t xml:space="preserve"> </w:t>
      </w:r>
      <w:r w:rsidRPr="00BA66F3">
        <w:rPr>
          <w:b w:val="0"/>
          <w:sz w:val="18"/>
        </w:rPr>
        <w:t>&lt; 0.</w:t>
      </w:r>
      <w:r w:rsidRPr="00BA66F3">
        <w:rPr>
          <w:b w:val="0"/>
          <w:sz w:val="18"/>
          <w:szCs w:val="18"/>
        </w:rPr>
        <w:t>05.</w:t>
      </w:r>
    </w:p>
    <w:p w14:paraId="596C1248" w14:textId="77777777" w:rsidR="00C77758" w:rsidRPr="00BA66F3" w:rsidRDefault="00C77758" w:rsidP="008D54D2">
      <w:pPr>
        <w:pStyle w:val="MDPI41tablecaption"/>
        <w:rPr>
          <w:b/>
        </w:rPr>
        <w:sectPr w:rsidR="00C77758" w:rsidRPr="00BA66F3" w:rsidSect="00C77758">
          <w:headerReference w:type="default" r:id="rId13"/>
          <w:headerReference w:type="first" r:id="rId14"/>
          <w:footerReference w:type="first" r:id="rId15"/>
          <w:type w:val="continuous"/>
          <w:pgSz w:w="16838" w:h="11906" w:orient="landscape" w:code="9"/>
          <w:pgMar w:top="1531" w:right="1418" w:bottom="1531" w:left="1077" w:header="1021" w:footer="851" w:gutter="0"/>
          <w:cols w:space="425"/>
          <w:titlePg/>
          <w:docGrid w:type="linesAndChars" w:linePitch="326"/>
        </w:sectPr>
      </w:pPr>
    </w:p>
    <w:p w14:paraId="5FE535CF" w14:textId="44BD4FFE" w:rsidR="00451DF7" w:rsidRPr="00BA66F3" w:rsidRDefault="00451DF7" w:rsidP="007829AE">
      <w:pPr>
        <w:pStyle w:val="MDPI41tablecaption"/>
        <w:rPr>
          <w:rFonts w:eastAsiaTheme="minorEastAsia"/>
          <w:szCs w:val="18"/>
          <w:lang w:eastAsia="zh-CN"/>
        </w:rPr>
      </w:pPr>
      <w:r w:rsidRPr="00BA66F3">
        <w:rPr>
          <w:b/>
        </w:rPr>
        <w:lastRenderedPageBreak/>
        <w:t>Table 4</w:t>
      </w:r>
      <w:r w:rsidR="008D54D2" w:rsidRPr="00BA66F3">
        <w:rPr>
          <w:b/>
        </w:rPr>
        <w:t>.</w:t>
      </w:r>
      <w:r w:rsidRPr="00BA66F3">
        <w:t xml:space="preserve"> Most frequently ranked factors preventing GPs and SHCPs vaccinating YMSM against HPV</w:t>
      </w:r>
      <w:r w:rsidR="007829AE" w:rsidRPr="00BA66F3">
        <w:t>.</w:t>
      </w:r>
    </w:p>
    <w:tbl>
      <w:tblPr>
        <w:tblStyle w:val="Mdeck5tablebodythreelines"/>
        <w:tblW w:w="0" w:type="auto"/>
        <w:tblLook w:val="04A0" w:firstRow="1" w:lastRow="0" w:firstColumn="1" w:lastColumn="0" w:noHBand="0" w:noVBand="1"/>
      </w:tblPr>
      <w:tblGrid>
        <w:gridCol w:w="2357"/>
        <w:gridCol w:w="1461"/>
        <w:gridCol w:w="606"/>
        <w:gridCol w:w="1674"/>
        <w:gridCol w:w="606"/>
      </w:tblGrid>
      <w:tr w:rsidR="00D200CA" w:rsidRPr="00BA66F3" w14:paraId="02F2E5AF" w14:textId="77777777" w:rsidTr="008D54D2">
        <w:trPr>
          <w:cnfStyle w:val="100000000000" w:firstRow="1" w:lastRow="0" w:firstColumn="0" w:lastColumn="0" w:oddVBand="0" w:evenVBand="0" w:oddHBand="0" w:evenHBand="0" w:firstRowFirstColumn="0" w:firstRowLastColumn="0" w:lastRowFirstColumn="0" w:lastRowLastColumn="0"/>
        </w:trPr>
        <w:tc>
          <w:tcPr>
            <w:tcW w:w="0" w:type="auto"/>
          </w:tcPr>
          <w:p w14:paraId="774E364A" w14:textId="77777777" w:rsidR="00451DF7" w:rsidRPr="00BA66F3" w:rsidRDefault="00451DF7" w:rsidP="008D54D2">
            <w:pPr>
              <w:pStyle w:val="MDPI42tablebody"/>
              <w:spacing w:line="240" w:lineRule="auto"/>
              <w:rPr>
                <w:b/>
                <w:color w:val="auto"/>
                <w:sz w:val="16"/>
                <w:szCs w:val="16"/>
                <w:lang w:val="en-US"/>
              </w:rPr>
            </w:pPr>
            <w:r w:rsidRPr="00BA66F3">
              <w:rPr>
                <w:b/>
                <w:color w:val="auto"/>
                <w:sz w:val="16"/>
                <w:szCs w:val="16"/>
                <w:lang w:val="en-US"/>
              </w:rPr>
              <w:t>Factor</w:t>
            </w:r>
          </w:p>
        </w:tc>
        <w:tc>
          <w:tcPr>
            <w:tcW w:w="0" w:type="auto"/>
          </w:tcPr>
          <w:p w14:paraId="0E85AAE6" w14:textId="28BEB5BC" w:rsidR="00451DF7" w:rsidRPr="00BA66F3" w:rsidRDefault="00451DF7" w:rsidP="008D54D2">
            <w:pPr>
              <w:pStyle w:val="MDPI42tablebody"/>
              <w:spacing w:line="240" w:lineRule="auto"/>
              <w:rPr>
                <w:b/>
                <w:color w:val="auto"/>
                <w:sz w:val="16"/>
                <w:szCs w:val="16"/>
                <w:lang w:val="en-US"/>
              </w:rPr>
            </w:pPr>
            <w:r w:rsidRPr="00BA66F3">
              <w:rPr>
                <w:b/>
                <w:color w:val="auto"/>
                <w:sz w:val="16"/>
                <w:szCs w:val="16"/>
                <w:lang w:val="en-US"/>
              </w:rPr>
              <w:t xml:space="preserve">GPs </w:t>
            </w:r>
            <w:r w:rsidR="00B01E0B" w:rsidRPr="00BA66F3">
              <w:rPr>
                <w:b/>
                <w:color w:val="auto"/>
                <w:sz w:val="16"/>
                <w:szCs w:val="16"/>
                <w:lang w:val="en-US"/>
              </w:rPr>
              <w:t xml:space="preserve">Agree </w:t>
            </w:r>
            <w:r w:rsidRPr="00BA66F3">
              <w:rPr>
                <w:b/>
                <w:color w:val="auto"/>
                <w:sz w:val="16"/>
                <w:szCs w:val="16"/>
                <w:lang w:val="en-US"/>
              </w:rPr>
              <w:t>(n, %)</w:t>
            </w:r>
          </w:p>
        </w:tc>
        <w:tc>
          <w:tcPr>
            <w:tcW w:w="0" w:type="auto"/>
          </w:tcPr>
          <w:p w14:paraId="38F9F054" w14:textId="77777777" w:rsidR="00451DF7" w:rsidRPr="00BA66F3" w:rsidRDefault="00451DF7" w:rsidP="008D54D2">
            <w:pPr>
              <w:pStyle w:val="MDPI42tablebody"/>
              <w:spacing w:line="240" w:lineRule="auto"/>
              <w:rPr>
                <w:b/>
                <w:color w:val="auto"/>
                <w:sz w:val="16"/>
                <w:szCs w:val="16"/>
                <w:lang w:val="en-US"/>
              </w:rPr>
            </w:pPr>
            <w:r w:rsidRPr="00BA66F3">
              <w:rPr>
                <w:b/>
                <w:color w:val="auto"/>
                <w:sz w:val="16"/>
                <w:szCs w:val="16"/>
                <w:lang w:val="en-US"/>
              </w:rPr>
              <w:t>Rank</w:t>
            </w:r>
          </w:p>
        </w:tc>
        <w:tc>
          <w:tcPr>
            <w:tcW w:w="0" w:type="auto"/>
          </w:tcPr>
          <w:p w14:paraId="678597E3" w14:textId="64543A39" w:rsidR="00451DF7" w:rsidRPr="00BA66F3" w:rsidRDefault="00451DF7" w:rsidP="008D54D2">
            <w:pPr>
              <w:pStyle w:val="MDPI42tablebody"/>
              <w:spacing w:line="240" w:lineRule="auto"/>
              <w:rPr>
                <w:b/>
                <w:color w:val="auto"/>
                <w:sz w:val="16"/>
                <w:szCs w:val="16"/>
                <w:lang w:val="en-US"/>
              </w:rPr>
            </w:pPr>
            <w:r w:rsidRPr="00BA66F3">
              <w:rPr>
                <w:b/>
                <w:color w:val="auto"/>
                <w:sz w:val="16"/>
                <w:szCs w:val="16"/>
                <w:lang w:val="en-US"/>
              </w:rPr>
              <w:t xml:space="preserve">SHCPs </w:t>
            </w:r>
            <w:r w:rsidR="00B01E0B" w:rsidRPr="00BA66F3">
              <w:rPr>
                <w:b/>
                <w:color w:val="auto"/>
                <w:sz w:val="16"/>
                <w:szCs w:val="16"/>
                <w:lang w:val="en-US"/>
              </w:rPr>
              <w:t xml:space="preserve">Agree </w:t>
            </w:r>
            <w:r w:rsidRPr="00BA66F3">
              <w:rPr>
                <w:b/>
                <w:color w:val="auto"/>
                <w:sz w:val="16"/>
                <w:szCs w:val="16"/>
                <w:lang w:val="en-US"/>
              </w:rPr>
              <w:t>(n, %)</w:t>
            </w:r>
          </w:p>
        </w:tc>
        <w:tc>
          <w:tcPr>
            <w:tcW w:w="0" w:type="auto"/>
          </w:tcPr>
          <w:p w14:paraId="0B20C359" w14:textId="77777777" w:rsidR="00451DF7" w:rsidRPr="00BA66F3" w:rsidRDefault="00451DF7" w:rsidP="008D54D2">
            <w:pPr>
              <w:pStyle w:val="MDPI42tablebody"/>
              <w:spacing w:line="240" w:lineRule="auto"/>
              <w:rPr>
                <w:b/>
                <w:color w:val="auto"/>
                <w:sz w:val="16"/>
                <w:szCs w:val="16"/>
                <w:lang w:val="en-US"/>
              </w:rPr>
            </w:pPr>
            <w:r w:rsidRPr="00BA66F3">
              <w:rPr>
                <w:b/>
                <w:color w:val="auto"/>
                <w:sz w:val="16"/>
                <w:szCs w:val="16"/>
                <w:lang w:val="en-US"/>
              </w:rPr>
              <w:t>Rank</w:t>
            </w:r>
          </w:p>
        </w:tc>
      </w:tr>
      <w:tr w:rsidR="00D200CA" w:rsidRPr="00BA66F3" w14:paraId="408A049F" w14:textId="77777777" w:rsidTr="008D54D2">
        <w:tc>
          <w:tcPr>
            <w:tcW w:w="0" w:type="auto"/>
          </w:tcPr>
          <w:p w14:paraId="3B620E77"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Lack of time in consultation</w:t>
            </w:r>
          </w:p>
        </w:tc>
        <w:tc>
          <w:tcPr>
            <w:tcW w:w="0" w:type="auto"/>
          </w:tcPr>
          <w:p w14:paraId="3BD1C54C"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25 (65.79%)</w:t>
            </w:r>
          </w:p>
        </w:tc>
        <w:tc>
          <w:tcPr>
            <w:tcW w:w="0" w:type="auto"/>
          </w:tcPr>
          <w:p w14:paraId="798ACBD3"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1</w:t>
            </w:r>
          </w:p>
        </w:tc>
        <w:tc>
          <w:tcPr>
            <w:tcW w:w="0" w:type="auto"/>
          </w:tcPr>
          <w:p w14:paraId="5CBA47F9"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12 (24.49%)</w:t>
            </w:r>
          </w:p>
        </w:tc>
        <w:tc>
          <w:tcPr>
            <w:tcW w:w="0" w:type="auto"/>
          </w:tcPr>
          <w:p w14:paraId="71681211"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3</w:t>
            </w:r>
          </w:p>
        </w:tc>
      </w:tr>
      <w:tr w:rsidR="00D200CA" w:rsidRPr="00BA66F3" w14:paraId="24C012D1" w14:textId="77777777" w:rsidTr="008D54D2">
        <w:tc>
          <w:tcPr>
            <w:tcW w:w="0" w:type="auto"/>
          </w:tcPr>
          <w:p w14:paraId="09E017B7"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Do not see MSM frequently</w:t>
            </w:r>
          </w:p>
        </w:tc>
        <w:tc>
          <w:tcPr>
            <w:tcW w:w="0" w:type="auto"/>
          </w:tcPr>
          <w:p w14:paraId="74FA73AF"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20 (52.63%)</w:t>
            </w:r>
          </w:p>
        </w:tc>
        <w:tc>
          <w:tcPr>
            <w:tcW w:w="0" w:type="auto"/>
          </w:tcPr>
          <w:p w14:paraId="47350738"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2</w:t>
            </w:r>
          </w:p>
        </w:tc>
        <w:tc>
          <w:tcPr>
            <w:tcW w:w="0" w:type="auto"/>
          </w:tcPr>
          <w:p w14:paraId="5862D8EB"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3 (6.12%)</w:t>
            </w:r>
          </w:p>
        </w:tc>
        <w:tc>
          <w:tcPr>
            <w:tcW w:w="0" w:type="auto"/>
          </w:tcPr>
          <w:p w14:paraId="63288696"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5</w:t>
            </w:r>
          </w:p>
        </w:tc>
      </w:tr>
      <w:tr w:rsidR="00D200CA" w:rsidRPr="00BA66F3" w14:paraId="7FC2C4BA" w14:textId="77777777" w:rsidTr="008D54D2">
        <w:tc>
          <w:tcPr>
            <w:tcW w:w="0" w:type="auto"/>
          </w:tcPr>
          <w:p w14:paraId="779EAC19"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Limited access to vaccine</w:t>
            </w:r>
          </w:p>
        </w:tc>
        <w:tc>
          <w:tcPr>
            <w:tcW w:w="0" w:type="auto"/>
          </w:tcPr>
          <w:p w14:paraId="1D3D228F"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14 (36.84%)</w:t>
            </w:r>
          </w:p>
        </w:tc>
        <w:tc>
          <w:tcPr>
            <w:tcW w:w="0" w:type="auto"/>
          </w:tcPr>
          <w:p w14:paraId="4D639BF1"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3</w:t>
            </w:r>
          </w:p>
        </w:tc>
        <w:tc>
          <w:tcPr>
            <w:tcW w:w="0" w:type="auto"/>
          </w:tcPr>
          <w:p w14:paraId="01625E25"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16 (32.65%)</w:t>
            </w:r>
          </w:p>
        </w:tc>
        <w:tc>
          <w:tcPr>
            <w:tcW w:w="0" w:type="auto"/>
          </w:tcPr>
          <w:p w14:paraId="35C27301"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2</w:t>
            </w:r>
          </w:p>
        </w:tc>
      </w:tr>
      <w:tr w:rsidR="00D200CA" w:rsidRPr="00BA66F3" w14:paraId="4DB5F2DA" w14:textId="77777777" w:rsidTr="008D54D2">
        <w:tc>
          <w:tcPr>
            <w:tcW w:w="0" w:type="auto"/>
          </w:tcPr>
          <w:p w14:paraId="6E02174B"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Limited availability of vaccine</w:t>
            </w:r>
          </w:p>
        </w:tc>
        <w:tc>
          <w:tcPr>
            <w:tcW w:w="0" w:type="auto"/>
          </w:tcPr>
          <w:p w14:paraId="61447EAC"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9 (23.68%)</w:t>
            </w:r>
          </w:p>
        </w:tc>
        <w:tc>
          <w:tcPr>
            <w:tcW w:w="0" w:type="auto"/>
          </w:tcPr>
          <w:p w14:paraId="1BBC7204"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5</w:t>
            </w:r>
          </w:p>
        </w:tc>
        <w:tc>
          <w:tcPr>
            <w:tcW w:w="0" w:type="auto"/>
          </w:tcPr>
          <w:p w14:paraId="276EBBA7"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34 (69.39%)</w:t>
            </w:r>
          </w:p>
        </w:tc>
        <w:tc>
          <w:tcPr>
            <w:tcW w:w="0" w:type="auto"/>
          </w:tcPr>
          <w:p w14:paraId="5E21B1FC" w14:textId="77777777" w:rsidR="00451DF7" w:rsidRPr="00BA66F3" w:rsidRDefault="00451DF7" w:rsidP="008D54D2">
            <w:pPr>
              <w:pStyle w:val="MDPI42tablebody"/>
              <w:spacing w:line="240" w:lineRule="auto"/>
              <w:rPr>
                <w:b/>
                <w:color w:val="auto"/>
                <w:sz w:val="16"/>
                <w:szCs w:val="16"/>
                <w:lang w:val="en-US"/>
              </w:rPr>
            </w:pPr>
            <w:r w:rsidRPr="00BA66F3">
              <w:rPr>
                <w:color w:val="auto"/>
                <w:sz w:val="16"/>
                <w:szCs w:val="16"/>
                <w:lang w:val="en-US"/>
              </w:rPr>
              <w:t>1</w:t>
            </w:r>
          </w:p>
        </w:tc>
      </w:tr>
    </w:tbl>
    <w:p w14:paraId="58327B06" w14:textId="08A69163" w:rsidR="00451DF7" w:rsidRPr="00BA66F3" w:rsidRDefault="00451DF7" w:rsidP="008D54D2">
      <w:pPr>
        <w:pStyle w:val="MDPI41tablecaption"/>
        <w:rPr>
          <w:b/>
        </w:rPr>
      </w:pPr>
      <w:r w:rsidRPr="00BA66F3">
        <w:rPr>
          <w:b/>
        </w:rPr>
        <w:t>Table 5</w:t>
      </w:r>
      <w:r w:rsidR="008D54D2" w:rsidRPr="00BA66F3">
        <w:rPr>
          <w:b/>
        </w:rPr>
        <w:t>.</w:t>
      </w:r>
      <w:r w:rsidRPr="00BA66F3">
        <w:t xml:space="preserve"> Most frequently ranked factors supporting GPs and SHCPs vaccinating YMSM against HPV</w:t>
      </w:r>
      <w:r w:rsidR="00D200CA" w:rsidRPr="00BA66F3">
        <w:t>.</w:t>
      </w:r>
    </w:p>
    <w:tbl>
      <w:tblPr>
        <w:tblStyle w:val="Mdeck5tablebodythreelines"/>
        <w:tblW w:w="0" w:type="auto"/>
        <w:tblLook w:val="04A0" w:firstRow="1" w:lastRow="0" w:firstColumn="1" w:lastColumn="0" w:noHBand="0" w:noVBand="1"/>
      </w:tblPr>
      <w:tblGrid>
        <w:gridCol w:w="2225"/>
        <w:gridCol w:w="1461"/>
        <w:gridCol w:w="606"/>
        <w:gridCol w:w="1674"/>
        <w:gridCol w:w="606"/>
      </w:tblGrid>
      <w:tr w:rsidR="00451DF7" w:rsidRPr="00BA66F3" w14:paraId="0B9F28B6" w14:textId="77777777" w:rsidTr="007F786E">
        <w:trPr>
          <w:cnfStyle w:val="100000000000" w:firstRow="1" w:lastRow="0" w:firstColumn="0" w:lastColumn="0" w:oddVBand="0" w:evenVBand="0" w:oddHBand="0" w:evenHBand="0" w:firstRowFirstColumn="0" w:firstRowLastColumn="0" w:lastRowFirstColumn="0" w:lastRowLastColumn="0"/>
        </w:trPr>
        <w:tc>
          <w:tcPr>
            <w:tcW w:w="0" w:type="auto"/>
          </w:tcPr>
          <w:p w14:paraId="23A66940" w14:textId="77777777" w:rsidR="00451DF7" w:rsidRPr="00BA66F3" w:rsidRDefault="00451DF7" w:rsidP="00C61A27">
            <w:pPr>
              <w:pStyle w:val="MDPI42tablebody"/>
              <w:spacing w:line="240" w:lineRule="auto"/>
              <w:rPr>
                <w:b/>
                <w:sz w:val="16"/>
                <w:szCs w:val="16"/>
                <w:lang w:val="en-US"/>
              </w:rPr>
            </w:pPr>
            <w:r w:rsidRPr="00BA66F3">
              <w:rPr>
                <w:b/>
                <w:sz w:val="16"/>
                <w:szCs w:val="16"/>
                <w:lang w:val="en-US"/>
              </w:rPr>
              <w:t>Factor</w:t>
            </w:r>
          </w:p>
        </w:tc>
        <w:tc>
          <w:tcPr>
            <w:tcW w:w="0" w:type="auto"/>
          </w:tcPr>
          <w:p w14:paraId="42208E72" w14:textId="6F99D93F" w:rsidR="00451DF7" w:rsidRPr="00BA66F3" w:rsidRDefault="00451DF7" w:rsidP="00C61A27">
            <w:pPr>
              <w:pStyle w:val="MDPI42tablebody"/>
              <w:spacing w:line="240" w:lineRule="auto"/>
              <w:rPr>
                <w:b/>
                <w:sz w:val="16"/>
                <w:szCs w:val="16"/>
                <w:lang w:val="en-US"/>
              </w:rPr>
            </w:pPr>
            <w:r w:rsidRPr="00BA66F3">
              <w:rPr>
                <w:b/>
                <w:sz w:val="16"/>
                <w:szCs w:val="16"/>
                <w:lang w:val="en-US"/>
              </w:rPr>
              <w:t xml:space="preserve">GPs </w:t>
            </w:r>
            <w:r w:rsidR="00B01E0B" w:rsidRPr="00BA66F3">
              <w:rPr>
                <w:b/>
                <w:sz w:val="16"/>
                <w:szCs w:val="16"/>
                <w:lang w:val="en-US"/>
              </w:rPr>
              <w:t xml:space="preserve">Agree </w:t>
            </w:r>
            <w:r w:rsidRPr="00BA66F3">
              <w:rPr>
                <w:b/>
                <w:sz w:val="16"/>
                <w:szCs w:val="16"/>
                <w:lang w:val="en-US"/>
              </w:rPr>
              <w:t>(n, %)</w:t>
            </w:r>
          </w:p>
        </w:tc>
        <w:tc>
          <w:tcPr>
            <w:tcW w:w="0" w:type="auto"/>
          </w:tcPr>
          <w:p w14:paraId="76058F37" w14:textId="77777777" w:rsidR="00451DF7" w:rsidRPr="00BA66F3" w:rsidRDefault="00451DF7" w:rsidP="00C61A27">
            <w:pPr>
              <w:pStyle w:val="MDPI42tablebody"/>
              <w:spacing w:line="240" w:lineRule="auto"/>
              <w:rPr>
                <w:b/>
                <w:sz w:val="16"/>
                <w:szCs w:val="16"/>
                <w:lang w:val="en-US"/>
              </w:rPr>
            </w:pPr>
            <w:r w:rsidRPr="00BA66F3">
              <w:rPr>
                <w:b/>
                <w:sz w:val="16"/>
                <w:szCs w:val="16"/>
                <w:lang w:val="en-US"/>
              </w:rPr>
              <w:t>Rank</w:t>
            </w:r>
          </w:p>
        </w:tc>
        <w:tc>
          <w:tcPr>
            <w:tcW w:w="0" w:type="auto"/>
          </w:tcPr>
          <w:p w14:paraId="4E542F16" w14:textId="622EBB69" w:rsidR="00451DF7" w:rsidRPr="00BA66F3" w:rsidRDefault="00451DF7" w:rsidP="00C61A27">
            <w:pPr>
              <w:pStyle w:val="MDPI42tablebody"/>
              <w:spacing w:line="240" w:lineRule="auto"/>
              <w:rPr>
                <w:b/>
                <w:sz w:val="16"/>
                <w:szCs w:val="16"/>
                <w:lang w:val="en-US"/>
              </w:rPr>
            </w:pPr>
            <w:r w:rsidRPr="00BA66F3">
              <w:rPr>
                <w:b/>
                <w:sz w:val="16"/>
                <w:szCs w:val="16"/>
                <w:lang w:val="en-US"/>
              </w:rPr>
              <w:t xml:space="preserve">SHCPs </w:t>
            </w:r>
            <w:r w:rsidR="00B01E0B" w:rsidRPr="00BA66F3">
              <w:rPr>
                <w:b/>
                <w:sz w:val="16"/>
                <w:szCs w:val="16"/>
                <w:lang w:val="en-US"/>
              </w:rPr>
              <w:t xml:space="preserve">Agree </w:t>
            </w:r>
            <w:r w:rsidRPr="00BA66F3">
              <w:rPr>
                <w:b/>
                <w:sz w:val="16"/>
                <w:szCs w:val="16"/>
                <w:lang w:val="en-US"/>
              </w:rPr>
              <w:t>(n, %)</w:t>
            </w:r>
          </w:p>
        </w:tc>
        <w:tc>
          <w:tcPr>
            <w:tcW w:w="0" w:type="auto"/>
          </w:tcPr>
          <w:p w14:paraId="0E9F2D72" w14:textId="77777777" w:rsidR="00451DF7" w:rsidRPr="00BA66F3" w:rsidRDefault="00451DF7" w:rsidP="00C61A27">
            <w:pPr>
              <w:pStyle w:val="MDPI42tablebody"/>
              <w:spacing w:line="240" w:lineRule="auto"/>
              <w:rPr>
                <w:b/>
                <w:sz w:val="16"/>
                <w:szCs w:val="16"/>
                <w:lang w:val="en-US"/>
              </w:rPr>
            </w:pPr>
            <w:r w:rsidRPr="00BA66F3">
              <w:rPr>
                <w:b/>
                <w:sz w:val="16"/>
                <w:szCs w:val="16"/>
                <w:lang w:val="en-US"/>
              </w:rPr>
              <w:t>Rank</w:t>
            </w:r>
          </w:p>
        </w:tc>
      </w:tr>
      <w:tr w:rsidR="00451DF7" w:rsidRPr="00BA66F3" w14:paraId="25BAE592" w14:textId="77777777" w:rsidTr="007F786E">
        <w:tc>
          <w:tcPr>
            <w:tcW w:w="0" w:type="auto"/>
          </w:tcPr>
          <w:p w14:paraId="73E98DBA"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More time in consultation</w:t>
            </w:r>
          </w:p>
        </w:tc>
        <w:tc>
          <w:tcPr>
            <w:tcW w:w="0" w:type="auto"/>
          </w:tcPr>
          <w:p w14:paraId="61EF20F0"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30 (78.95%)</w:t>
            </w:r>
          </w:p>
        </w:tc>
        <w:tc>
          <w:tcPr>
            <w:tcW w:w="0" w:type="auto"/>
          </w:tcPr>
          <w:p w14:paraId="2DCF8782"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1</w:t>
            </w:r>
          </w:p>
        </w:tc>
        <w:tc>
          <w:tcPr>
            <w:tcW w:w="0" w:type="auto"/>
          </w:tcPr>
          <w:p w14:paraId="0D8E446C"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21 (42.86%)</w:t>
            </w:r>
          </w:p>
        </w:tc>
        <w:tc>
          <w:tcPr>
            <w:tcW w:w="0" w:type="auto"/>
          </w:tcPr>
          <w:p w14:paraId="25E38D92"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1</w:t>
            </w:r>
          </w:p>
        </w:tc>
      </w:tr>
      <w:tr w:rsidR="00451DF7" w:rsidRPr="00BA66F3" w14:paraId="6CA54BB7" w14:textId="77777777" w:rsidTr="007F786E">
        <w:tc>
          <w:tcPr>
            <w:tcW w:w="0" w:type="auto"/>
          </w:tcPr>
          <w:p w14:paraId="0E05C91D"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Training about HPV vaccine</w:t>
            </w:r>
          </w:p>
        </w:tc>
        <w:tc>
          <w:tcPr>
            <w:tcW w:w="0" w:type="auto"/>
          </w:tcPr>
          <w:p w14:paraId="0F01246C"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24 (63.16%)</w:t>
            </w:r>
          </w:p>
        </w:tc>
        <w:tc>
          <w:tcPr>
            <w:tcW w:w="0" w:type="auto"/>
          </w:tcPr>
          <w:p w14:paraId="39DEF044"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2</w:t>
            </w:r>
          </w:p>
        </w:tc>
        <w:tc>
          <w:tcPr>
            <w:tcW w:w="0" w:type="auto"/>
          </w:tcPr>
          <w:p w14:paraId="38B440E9"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14 (28.57%)</w:t>
            </w:r>
          </w:p>
        </w:tc>
        <w:tc>
          <w:tcPr>
            <w:tcW w:w="0" w:type="auto"/>
          </w:tcPr>
          <w:p w14:paraId="762B0D2C"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2</w:t>
            </w:r>
          </w:p>
        </w:tc>
      </w:tr>
      <w:tr w:rsidR="00451DF7" w:rsidRPr="00BA66F3" w14:paraId="066187D8" w14:textId="77777777" w:rsidTr="007F786E">
        <w:tc>
          <w:tcPr>
            <w:tcW w:w="0" w:type="auto"/>
          </w:tcPr>
          <w:p w14:paraId="1C5699B4"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Computer prompts</w:t>
            </w:r>
          </w:p>
        </w:tc>
        <w:tc>
          <w:tcPr>
            <w:tcW w:w="0" w:type="auto"/>
          </w:tcPr>
          <w:p w14:paraId="4153495C"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21 (55.26%)</w:t>
            </w:r>
          </w:p>
        </w:tc>
        <w:tc>
          <w:tcPr>
            <w:tcW w:w="0" w:type="auto"/>
          </w:tcPr>
          <w:p w14:paraId="33322664"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3</w:t>
            </w:r>
          </w:p>
        </w:tc>
        <w:tc>
          <w:tcPr>
            <w:tcW w:w="0" w:type="auto"/>
          </w:tcPr>
          <w:p w14:paraId="25F7873F"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21 (42.86%)</w:t>
            </w:r>
          </w:p>
        </w:tc>
        <w:tc>
          <w:tcPr>
            <w:tcW w:w="0" w:type="auto"/>
          </w:tcPr>
          <w:p w14:paraId="240C4937" w14:textId="77777777" w:rsidR="00451DF7" w:rsidRPr="00BA66F3" w:rsidRDefault="00451DF7" w:rsidP="00C61A27">
            <w:pPr>
              <w:pStyle w:val="MDPI42tablebody"/>
              <w:spacing w:line="240" w:lineRule="auto"/>
              <w:rPr>
                <w:b/>
                <w:sz w:val="16"/>
                <w:szCs w:val="16"/>
                <w:lang w:val="en-US"/>
              </w:rPr>
            </w:pPr>
            <w:r w:rsidRPr="00BA66F3">
              <w:rPr>
                <w:sz w:val="16"/>
                <w:szCs w:val="16"/>
                <w:lang w:val="en-US"/>
              </w:rPr>
              <w:t>1</w:t>
            </w:r>
          </w:p>
        </w:tc>
      </w:tr>
    </w:tbl>
    <w:p w14:paraId="66A51A2C" w14:textId="77777777" w:rsidR="00451DF7" w:rsidRPr="00BA66F3" w:rsidRDefault="00451DF7" w:rsidP="008D54D2">
      <w:pPr>
        <w:pStyle w:val="MDPI21heading1"/>
      </w:pPr>
      <w:r w:rsidRPr="00BA66F3">
        <w:t>4. Discussion</w:t>
      </w:r>
    </w:p>
    <w:p w14:paraId="66E9E65E" w14:textId="7FBE3121" w:rsidR="00451DF7" w:rsidRPr="00BA66F3" w:rsidRDefault="00451DF7" w:rsidP="008D54D2">
      <w:pPr>
        <w:pStyle w:val="MDPI31text"/>
        <w:rPr>
          <w:b/>
        </w:rPr>
      </w:pPr>
      <w:r w:rsidRPr="00BA66F3">
        <w:t>This is the first UK-based study to examine the knowledge, perceptions</w:t>
      </w:r>
      <w:r w:rsidR="00BB62ED" w:rsidRPr="00BA66F3">
        <w:t>,</w:t>
      </w:r>
      <w:r w:rsidRPr="00BA66F3">
        <w:t xml:space="preserve"> and attitudes of GPs and SHCPs since the JCVI updated its recommendations to include offering HPV vaccination for MSM for men under 45 years opportunistically in GUM and primary care. The survey findings suggest that compared to SHCPs, GPs were less aware of the evidence for HPV vaccination for MSM, and reported less confidence in recommending HPV vaccination to YMSM. GPs felt that lack of time and training were the main barriers to HPV vaccination for YMSM, whereas SHCPs had greater concerns about vaccine availability.</w:t>
      </w:r>
    </w:p>
    <w:p w14:paraId="3637A2EE" w14:textId="44A8A0C8" w:rsidR="00451DF7" w:rsidRPr="00BA66F3" w:rsidRDefault="00451DF7" w:rsidP="008D54D2">
      <w:pPr>
        <w:pStyle w:val="MDPI31text"/>
        <w:rPr>
          <w:b/>
        </w:rPr>
      </w:pPr>
      <w:r w:rsidRPr="00BA66F3">
        <w:t xml:space="preserve">A similar survey targeting SHCPs was conducted prior to the JCVI recommendation of a targeted vaccination </w:t>
      </w:r>
      <w:proofErr w:type="spellStart"/>
      <w:r w:rsidRPr="00BA66F3">
        <w:t>programme</w:t>
      </w:r>
      <w:proofErr w:type="spellEnd"/>
      <w:r w:rsidRPr="00BA66F3">
        <w:t xml:space="preserve"> for MSM</w:t>
      </w:r>
      <w:r w:rsidR="00B01E0B" w:rsidRPr="00BA66F3">
        <w:rPr>
          <w:b/>
        </w:rPr>
        <w:t xml:space="preserve"> </w:t>
      </w:r>
      <w:r w:rsidRPr="00BA66F3">
        <w:rPr>
          <w:b/>
        </w:rPr>
        <w:fldChar w:fldCharType="begin"/>
      </w:r>
      <w:r w:rsidR="00FB020F" w:rsidRPr="00BA66F3">
        <w:instrText xml:space="preserve"> ADDIN PAPERS2_CITATIONS &lt;citation&gt;&lt;priority&gt;0&lt;/priority&gt;&lt;uuid&gt;565F07FD-1876-40BB-A543-F25549402C0E&lt;/uuid&gt;&lt;publications&gt;&lt;publication&gt;&lt;subtype&gt;400&lt;/subtype&gt;&lt;publisher&gt;Nature Publishing Group&lt;/publisher&gt;&lt;title&gt;Sexual healthcare professionals' views on HPV vaccination for men in the UK&lt;/title&gt;&lt;url&gt;http://dx.doi.org/10.1038/bjc.2015.403&lt;/url&gt;&lt;publication_date&gt;99201511171200000000222000&lt;/publication_date&gt;&lt;uuid&gt;12FF9E8D-5080-482D-B253-DED7725B362D&lt;/uuid&gt;&lt;type&gt;400&lt;/type&gt;&lt;citekey&gt;Nadarzynski:2015ho&lt;/citekey&gt;&lt;doi&gt;10.1038/bjc.2015.403&lt;/doi&gt;&lt;startpage&gt;1&lt;/startpage&gt;&lt;endpage&gt;3&lt;/endpage&gt;&lt;bundle&gt;&lt;publication&gt;&lt;title&gt;British Journal of Cancer&lt;/title&gt;&lt;uuid&gt;D9E20D05-A2D4-4C28-A2FF-52DAD63F4639&lt;/uuid&gt;&lt;subtype&gt;-100&lt;/subtype&gt;&lt;publisher&gt;Nature Publishing Group&lt;/publisher&gt;&lt;type&gt;-100&lt;/type&gt;&lt;/publication&gt;&lt;/bundle&gt;&lt;authors&gt;&lt;author&gt;&lt;lastName&gt;Nadarzynski&lt;/lastName&gt;&lt;firstName&gt;Tom&lt;/firstName&gt;&lt;/author&gt;&lt;author&gt;&lt;lastName&gt;Smith&lt;/lastName&gt;&lt;firstName&gt;Helen&lt;/firstName&gt;&lt;middleNames&gt;E&lt;/middleNames&gt;&lt;/author&gt;&lt;author&gt;&lt;lastName&gt;Richardson&lt;/lastName&gt;&lt;firstName&gt;Daniel&lt;/firstName&gt;&lt;/author&gt;&lt;author&gt;&lt;lastName&gt;Ford&lt;/lastName&gt;&lt;firstName&gt;Elizabeth&lt;/firstName&gt;&lt;/author&gt;&lt;author&gt;&lt;lastName&gt;Llewellyn&lt;/lastName&gt;&lt;firstName&gt;Carrie&lt;/firstName&gt;&lt;middleNames&gt;D&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[23]</w:t>
      </w:r>
      <w:r w:rsidRPr="00BA66F3">
        <w:rPr>
          <w:b/>
        </w:rPr>
        <w:fldChar w:fldCharType="end"/>
      </w:r>
      <w:r w:rsidR="00B01E0B" w:rsidRPr="00BA66F3">
        <w:t>.</w:t>
      </w:r>
      <w:r w:rsidRPr="00BA66F3">
        <w:t xml:space="preserve"> SHCP attitudes around perceived value, health </w:t>
      </w:r>
      <w:proofErr w:type="spellStart"/>
      <w:r w:rsidRPr="00BA66F3">
        <w:t>behaviours</w:t>
      </w:r>
      <w:proofErr w:type="spellEnd"/>
      <w:r w:rsidR="00BB62ED" w:rsidRPr="00BA66F3">
        <w:t>,</w:t>
      </w:r>
      <w:r w:rsidRPr="00BA66F3">
        <w:t xml:space="preserve"> and capabilities are consistent across the two studies, and there are no clear changes following the JCVI recommendation. This is probably not surprising given their clinical interest in preventing the spread of HPV and exposure to MSM with sexual health problems in clinical practice. Interestingly, 74% of respondents in that study </w:t>
      </w:r>
      <w:r w:rsidR="00D200CA" w:rsidRPr="00BA66F3">
        <w:t>“</w:t>
      </w:r>
      <w:r w:rsidRPr="00BA66F3">
        <w:t>agreed</w:t>
      </w:r>
      <w:r w:rsidR="00D200CA" w:rsidRPr="00BA66F3">
        <w:t>”</w:t>
      </w:r>
      <w:r w:rsidRPr="00BA66F3">
        <w:t xml:space="preserve"> or </w:t>
      </w:r>
      <w:r w:rsidR="00D200CA" w:rsidRPr="00BA66F3">
        <w:t>“</w:t>
      </w:r>
      <w:r w:rsidRPr="00BA66F3">
        <w:t>strongly agreed</w:t>
      </w:r>
      <w:r w:rsidR="00D200CA" w:rsidRPr="00BA66F3">
        <w:t>”</w:t>
      </w:r>
      <w:r w:rsidRPr="00BA66F3">
        <w:t xml:space="preserve"> that </w:t>
      </w:r>
      <w:r w:rsidR="00D200CA" w:rsidRPr="00BA66F3">
        <w:t>“</w:t>
      </w:r>
      <w:r w:rsidRPr="00BA66F3">
        <w:t>HPV vaccination should be offered to MSM in alternative settings such as GP practices or pharmacies</w:t>
      </w:r>
      <w:r w:rsidR="00D200CA" w:rsidRPr="00BA66F3">
        <w:t>”</w:t>
      </w:r>
      <w:r w:rsidR="00B01E0B" w:rsidRPr="00BA66F3">
        <w:rPr>
          <w:b/>
        </w:rPr>
        <w:t xml:space="preserve"> </w:t>
      </w:r>
      <w:r w:rsidRPr="00BA66F3">
        <w:rPr>
          <w:b/>
        </w:rPr>
        <w:fldChar w:fldCharType="begin"/>
      </w:r>
      <w:r w:rsidR="00FB020F" w:rsidRPr="00BA66F3">
        <w:instrText xml:space="preserve"> ADDIN PAPERS2_CITATIONS &lt;citation&gt;&lt;priority&gt;0&lt;/priority&gt;&lt;uuid&gt;C351FE75-B97B-4105-B2EE-72B437AAF39C&lt;/uuid&gt;&lt;publications&gt;&lt;publication&gt;&lt;subtype&gt;400&lt;/subtype&gt;&lt;publisher&gt;Nature Publishing Group&lt;/publisher&gt;&lt;title&gt;Sexual healthcare professionals' views on HPV vaccination for men in the UK&lt;/title&gt;&lt;url&gt;http://dx.doi.org/10.1038/bjc.2015.403&lt;/url&gt;&lt;publication_date&gt;99201511171200000000222000&lt;/publication_date&gt;&lt;uuid&gt;12FF9E8D-5080-482D-B253-DED7725B362D&lt;/uuid&gt;&lt;type&gt;400&lt;/type&gt;&lt;citekey&gt;Nadarzynski:2015ho&lt;/citekey&gt;&lt;doi&gt;10.1038/bjc.2015.403&lt;/doi&gt;&lt;startpage&gt;1&lt;/startpage&gt;&lt;endpage&gt;3&lt;/endpage&gt;&lt;bundle&gt;&lt;publication&gt;&lt;title&gt;British Journal of Cancer&lt;/title&gt;&lt;uuid&gt;D9E20D05-A2D4-4C28-A2FF-52DAD63F4639&lt;/uuid&gt;&lt;subtype&gt;-100&lt;/subtype&gt;&lt;publisher&gt;Nature Publishing Group&lt;/publisher&gt;&lt;type&gt;-100&lt;/type&gt;&lt;/publication&gt;&lt;/bundle&gt;&lt;authors&gt;&lt;author&gt;&lt;lastName&gt;Nadarzynski&lt;/lastName&gt;&lt;firstName&gt;Tom&lt;/firstName&gt;&lt;/author&gt;&lt;author&gt;&lt;lastName&gt;Smith&lt;/lastName&gt;&lt;firstName&gt;Helen&lt;/firstName&gt;&lt;middleNames&gt;E&lt;/middleNames&gt;&lt;/author&gt;&lt;author&gt;&lt;lastName&gt;Richardson&lt;/lastName&gt;&lt;firstName&gt;Daniel&lt;/firstName&gt;&lt;/author&gt;&lt;author&gt;&lt;lastName&gt;Ford&lt;/lastName&gt;&lt;firstName&gt;Elizabeth&lt;/firstName&gt;&lt;/author&gt;&lt;author&gt;&lt;lastName&gt;Llewellyn&lt;/lastName&gt;&lt;firstName&gt;Carrie&lt;/firstName&gt;&lt;middleNames&gt;D&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[23]</w:t>
      </w:r>
      <w:r w:rsidRPr="00BA66F3">
        <w:rPr>
          <w:b/>
        </w:rPr>
        <w:fldChar w:fldCharType="end"/>
      </w:r>
      <w:r w:rsidR="00B01E0B" w:rsidRPr="00BA66F3">
        <w:t>.</w:t>
      </w:r>
      <w:r w:rsidRPr="00BA66F3">
        <w:t xml:space="preserve"> Disparities in knowledge and attitudes towards HPV vaccination for YMSM between SHCPs and GPs, as suggested in this study’s findings, may lead to differences in treatment and HPV prevention depending on where YMSM seek sexual health advice. Our findings indicate GPs may have a low level of knowledge regarding HPV vaccination </w:t>
      </w:r>
      <w:r w:rsidR="00BB62ED" w:rsidRPr="00BA66F3">
        <w:t xml:space="preserve">among </w:t>
      </w:r>
      <w:r w:rsidRPr="00BA66F3">
        <w:t xml:space="preserve">young MSM, and implementing a targeted HPV vaccination </w:t>
      </w:r>
      <w:proofErr w:type="spellStart"/>
      <w:r w:rsidRPr="00BA66F3">
        <w:t>programme</w:t>
      </w:r>
      <w:proofErr w:type="spellEnd"/>
      <w:r w:rsidRPr="00BA66F3">
        <w:t xml:space="preserve"> for YMSM prior to exposure to HPV to </w:t>
      </w:r>
      <w:proofErr w:type="spellStart"/>
      <w:r w:rsidRPr="00BA66F3">
        <w:t>maximise</w:t>
      </w:r>
      <w:proofErr w:type="spellEnd"/>
      <w:r w:rsidRPr="00BA66F3">
        <w:t xml:space="preserve"> the cancer prevention potential that involved GPs would need investment in clinician education, training</w:t>
      </w:r>
      <w:r w:rsidR="00BB62ED" w:rsidRPr="00BA66F3">
        <w:t>,</w:t>
      </w:r>
      <w:r w:rsidRPr="00BA66F3">
        <w:t xml:space="preserve"> and support.</w:t>
      </w:r>
    </w:p>
    <w:p w14:paraId="0F7244D4" w14:textId="1AC1AAED" w:rsidR="00451DF7" w:rsidRPr="00BA66F3" w:rsidRDefault="00451DF7" w:rsidP="008D54D2">
      <w:pPr>
        <w:pStyle w:val="MDPI31text"/>
        <w:rPr>
          <w:b/>
        </w:rPr>
      </w:pPr>
      <w:r w:rsidRPr="00BA66F3">
        <w:t xml:space="preserve">Studies in the United States of America explored reasons behind the low uptake of HPV vaccination for adolescent boys, where access varies on a state by state basis. In a national survey, </w:t>
      </w:r>
      <w:proofErr w:type="spellStart"/>
      <w:r w:rsidRPr="00BA66F3">
        <w:t>Gilkey</w:t>
      </w:r>
      <w:proofErr w:type="spellEnd"/>
      <w:r w:rsidRPr="00BA66F3">
        <w:t xml:space="preserve"> et al</w:t>
      </w:r>
      <w:r w:rsidR="00C77758" w:rsidRPr="00BA66F3">
        <w:t>.</w:t>
      </w:r>
      <w:r w:rsidRPr="00BA66F3">
        <w:t xml:space="preserve"> found that </w:t>
      </w:r>
      <w:proofErr w:type="spellStart"/>
      <w:r w:rsidRPr="00BA66F3">
        <w:t>paediatricians</w:t>
      </w:r>
      <w:proofErr w:type="spellEnd"/>
      <w:r w:rsidRPr="00BA66F3">
        <w:t xml:space="preserve"> and family physicians delivered their recommendations for HPV vaccination in children inconsistently, sometimes not in a timely manner or with strong endorsement</w:t>
      </w:r>
      <w:r w:rsidR="00B01E0B" w:rsidRPr="00BA66F3">
        <w:rPr>
          <w:b/>
        </w:rPr>
        <w:t xml:space="preserve"> </w:t>
      </w:r>
      <w:r w:rsidRPr="00BA66F3">
        <w:rPr>
          <w:b/>
        </w:rPr>
        <w:fldChar w:fldCharType="begin"/>
      </w:r>
      <w:r w:rsidR="00FB020F" w:rsidRPr="00BA66F3">
        <w:instrText xml:space="preserve"> ADDIN PAPERS2_CITATIONS &lt;citation&gt;&lt;priority&gt;0&lt;/priority&gt;&lt;uuid&gt;E808F2D9-A24D-414C-9065-4366ECBFAAD9&lt;/uuid&gt;&lt;publications&gt;&lt;publication&gt;&lt;subtype&gt;400&lt;/subtype&gt;&lt;title&gt;Quality of physician communication about human papillomavirus vaccine: findings from a national survey.&lt;/title&gt;&lt;url&gt;http://cebp.aacrjournals.org/cgi/doi/10.1158/1055-9965.EPI-15-0326&lt;/url&gt;&lt;volume&gt;24&lt;/volume&gt;&lt;publication_date&gt;99201511001200000000220000&lt;/publication_date&gt;&lt;uuid&gt;8E25A3C7-54F2-4160-AFE0-5AA2FFCA7F82&lt;/uuid&gt;&lt;type&gt;400&lt;/type&gt;&lt;accepted_date&gt;99201506231200000000222000&lt;/accepted_date&gt;&lt;number&gt;11&lt;/number&gt;&lt;citekey&gt;Gilkey:2015hq&lt;/citekey&gt;&lt;submission_date&gt;99201503261200000000222000&lt;/submission_date&gt;&lt;doi&gt;10.1158/1055-9965.EPI-15-0326&lt;/doi&gt;&lt;institution&gt;Department of Population Medicine, Harvard Medical School and Harvard Pilgrim Health Care Institute, Boston, Massachusetts. gilkey@email.unc.edu.&lt;/institution&gt;&lt;startpage&gt;1673&lt;/startpage&gt;&lt;endpage&gt;1679&lt;/endpage&gt;&lt;bundle&gt;&lt;publication&gt;&lt;title&gt;Cancer epidemiology, biomarkers &amp;amp; prevention : a publication of the American Association for Cancer Research, cosponsored by the American Society of Preventive Oncology&lt;/title&gt;&lt;uuid&gt;5AB5F043-6F4A-424C-85DB-68A1E9EE7F90&lt;/uuid&gt;&lt;subtype&gt;-100&lt;/subtype&gt;&lt;type&gt;-100&lt;/type&gt;&lt;/publication&gt;&lt;/bundle&gt;&lt;authors&gt;&lt;author&gt;&lt;lastName&gt;Gilkey&lt;/lastName&gt;&lt;firstName&gt;Melissa&lt;/firstName&gt;&lt;middleNames&gt;B&lt;/middleNames&gt;&lt;/author&gt;&lt;author&gt;&lt;lastName&gt;Malo&lt;/lastName&gt;&lt;firstName&gt;Teri&lt;/firstName&gt;&lt;middleNames&gt;L&lt;/middleNames&gt;&lt;/author&gt;&lt;author&gt;&lt;lastName&gt;Shah&lt;/lastName&gt;&lt;firstName&gt;Parth&lt;/firstName&gt;&lt;middleNames&gt;D&lt;/middleNames&gt;&lt;/author&gt;&lt;author&gt;&lt;lastName&gt;Hall&lt;/lastName&gt;&lt;firstName&gt;Megan&lt;/firstName&gt;&lt;middleNames&gt;E&lt;/middleNames&gt;&lt;/author&gt;&lt;author&gt;&lt;lastName&gt;Brewer&lt;/lastName&gt;&lt;firstName&gt;Noel&lt;/firstName&gt;&lt;middleNames&gt;T&lt;/middleNames&gt;&lt;/author&gt;&lt;/authors&gt;&lt;/publication&gt;&lt;publication&gt;&lt;subtype&gt;400&lt;/subtype&gt;&lt;title&gt;Predictors of Human Papillomavirus Vaccination Among Young Men Who Have Sex With Men&lt;/title&gt;&lt;url&gt;http://content.wkhealth.com/linkback/openurl?sid=WKPTLP:landingpage&amp;amp;an=00007435-201603000-00007&lt;/url&gt;&lt;volume&gt;43&lt;/volume&gt;&lt;publication_date&gt;99201603001200000000220000&lt;/publication_date&gt;&lt;uuid&gt;475D9FE6-C99A-48C6-B37B-0D7803C04E5E&lt;/uuid&gt;&lt;type&gt;400&lt;/type&gt;&lt;number&gt;3&lt;/number&gt;&lt;citekey&gt;Gerend:2016ic&lt;/citekey&gt;&lt;doi&gt;10.1097/OLQ.0000000000000408&lt;/doi&gt;&lt;startpage&gt;185&lt;/startpage&gt;&lt;endpage&gt;191&lt;/endpage&gt;&lt;bundle&gt;&lt;publication&gt;&lt;title&gt;Sexually Transmitted Diseases&lt;/title&gt;&lt;uuid&gt;BAF18844-8AC5-4DD4-A2CB-26E2648ED0E6&lt;/uuid&gt;&lt;subtype&gt;-100&lt;/subtype&gt;&lt;type&gt;-100&lt;/type&gt;&lt;/publication&gt;&lt;/bundle&gt;&lt;authors&gt;&lt;author&gt;&lt;lastName&gt;Gerend&lt;/lastName&gt;&lt;firstName&gt;Mary&lt;/firstName&gt;&lt;middleNames&gt;A&lt;/middleNames&gt;&lt;/author&gt;&lt;author&gt;&lt;lastName&gt;Madkins&lt;/lastName&gt;&lt;firstName&gt;Krystal&lt;/firstName&gt;&lt;/author&gt;&lt;author&gt;&lt;lastName&gt;Phillips&lt;/lastName&gt;&lt;firstName&gt;Gregory&lt;/firstName&gt;&lt;suffix&gt;II&lt;/suffix&gt;&lt;/author&gt;&lt;author&gt;&lt;lastName&gt;Mustanski&lt;/lastName&gt;&lt;firstName&gt;Brian&lt;/fir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[19,25]</w:t>
      </w:r>
      <w:r w:rsidRPr="00BA66F3">
        <w:rPr>
          <w:b/>
        </w:rPr>
        <w:fldChar w:fldCharType="end"/>
      </w:r>
      <w:r w:rsidR="00B01E0B" w:rsidRPr="00BA66F3">
        <w:t>.</w:t>
      </w:r>
      <w:r w:rsidRPr="00BA66F3">
        <w:t xml:space="preserve"> Alexander et al. also found variation in physicians’ recommendations of the HPV vaccine to young males, citing the “newness” and sexual nature of the vaccine as barriers</w:t>
      </w:r>
      <w:r w:rsidR="00B01E0B" w:rsidRPr="00BA66F3">
        <w:rPr>
          <w:b/>
        </w:rPr>
        <w:t xml:space="preserve"> </w:t>
      </w:r>
      <w:r w:rsidRPr="00BA66F3">
        <w:rPr>
          <w:b/>
        </w:rPr>
        <w:fldChar w:fldCharType="begin"/>
      </w:r>
      <w:r w:rsidR="00FB020F" w:rsidRPr="00BA66F3">
        <w:instrText xml:space="preserve"> ADDIN PAPERS2_CITATIONS &lt;citation&gt;&lt;priority&gt;0&lt;/priority&gt;&lt;uuid&gt;A9020098-9677-447B-9C44-A15E9D5FD3BE&lt;/uuid&gt;&lt;publications&gt;&lt;publication&gt;&lt;subtype&gt;400&lt;/subtype&gt;&lt;publisher&gt;Elsevier Ltd&lt;/publisher&gt;&lt;title&gt;A model of health care provider decision making about HPV vaccination in adolescent males&lt;/title&gt;&lt;url&gt;http://dx.doi.org/10.1016/j.vaccine.2015.06.085&lt;/url&gt;&lt;volume&gt;33&lt;/volume&gt;&lt;publication_date&gt;99201508071200000000222000&lt;/publication_date&gt;&lt;uuid&gt;C00CBB23-EC5F-4FF2-BB27-C79789EDB8C2&lt;/uuid&gt;&lt;type&gt;400&lt;/type&gt;&lt;number&gt;33&lt;/number&gt;&lt;citekey&gt;Alexander:2015cn&lt;/citekey&gt;&lt;doi&gt;10.1016/j.vaccine.2015.06.085&lt;/doi&gt;&lt;startpage&gt;4081&lt;/startpage&gt;&lt;endpage&gt;4086&lt;/endpage&gt;&lt;bundle&gt;&lt;publication&gt;&lt;title&gt;Vaccine&lt;/title&gt;&lt;uuid&gt;C03EC74C-C7EB-4B54-AF8E-2C394CCDD9D5&lt;/uuid&gt;&lt;subtype&gt;-100&lt;/subtype&gt;&lt;publisher&gt;Elsevier Ltd&lt;/publisher&gt;&lt;type&gt;-100&lt;/type&gt;&lt;/publication&gt;&lt;/bundle&gt;&lt;authors&gt;&lt;author&gt;&lt;lastName&gt;Alexander&lt;/lastName&gt;&lt;firstName&gt;Andreia&lt;/firstName&gt;&lt;middleNames&gt;B&lt;/middleNames&gt;&lt;/author&gt;&lt;author&gt;&lt;lastName&gt;Best&lt;/lastName&gt;&lt;firstName&gt;Candace&lt;/firstName&gt;&lt;/author&gt;&lt;author&gt;&lt;lastName&gt;Stupiansky&lt;/lastName&gt;&lt;firstName&gt;Nathan&lt;/firstName&gt;&lt;/author&gt;&lt;author&gt;&lt;lastName&gt;Zimet&lt;/lastName&gt;&lt;firstName&gt;Gregory&lt;/firstName&gt;&lt;middleNames&gt;D&lt;/middleNames&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[26]</w:t>
      </w:r>
      <w:r w:rsidRPr="00BA66F3">
        <w:rPr>
          <w:b/>
        </w:rPr>
        <w:fldChar w:fldCharType="end"/>
      </w:r>
      <w:r w:rsidR="00B01E0B" w:rsidRPr="00BA66F3">
        <w:t>.</w:t>
      </w:r>
      <w:r w:rsidRPr="00BA66F3">
        <w:t xml:space="preserve"> The study authors suggest American family physicians do not feel they have the time or knowledge to counsel YMSM about the vaccine, and they </w:t>
      </w:r>
      <w:r w:rsidR="00BB62ED" w:rsidRPr="00BA66F3">
        <w:t xml:space="preserve">do not </w:t>
      </w:r>
      <w:r w:rsidRPr="00BA66F3">
        <w:t>believe they see them frequently. These findings are consistent with our results, providing further evidence of the need for extra support and training for GPs to help them identify YMSM and raise their awareness about the potential health benefits of HPV vaccination in this high-risk group.</w:t>
      </w:r>
    </w:p>
    <w:p w14:paraId="2DC72D9E" w14:textId="12C6F59B" w:rsidR="00451DF7" w:rsidRPr="00BA66F3" w:rsidRDefault="00451DF7" w:rsidP="008D54D2">
      <w:pPr>
        <w:pStyle w:val="MDPI31text"/>
        <w:rPr>
          <w:b/>
        </w:rPr>
      </w:pPr>
      <w:r w:rsidRPr="00BA66F3">
        <w:t xml:space="preserve">This study </w:t>
      </w:r>
      <w:proofErr w:type="spellStart"/>
      <w:r w:rsidRPr="00BA66F3">
        <w:t>utilised</w:t>
      </w:r>
      <w:proofErr w:type="spellEnd"/>
      <w:r w:rsidRPr="00BA66F3">
        <w:t xml:space="preserve"> an adapted version of a validated survey instrument that has been delivered to SHCPs previously. There was minimal missing questionnaire data. Obtaining and comparing GP and SHCP knowledge, perceptions</w:t>
      </w:r>
      <w:r w:rsidR="00BB62ED" w:rsidRPr="00BA66F3">
        <w:t>,</w:t>
      </w:r>
      <w:r w:rsidRPr="00BA66F3">
        <w:t xml:space="preserve"> and attitudes towards HPV vaccination for MSM (including young MSM) has proved insightful, given the JCVI recommendations that both settings could be used to deliver the vaccine. The lower levels of confidence and knowledge among GPs may help to explain the low uptake of HPV vaccination for MSM in the current pilot </w:t>
      </w:r>
      <w:proofErr w:type="spellStart"/>
      <w:r w:rsidRPr="00BA66F3">
        <w:t>programme</w:t>
      </w:r>
      <w:proofErr w:type="spellEnd"/>
      <w:r w:rsidRPr="00BA66F3">
        <w:t xml:space="preserve"> to date</w:t>
      </w:r>
      <w:r w:rsidR="00B01E0B" w:rsidRPr="00BA66F3">
        <w:rPr>
          <w:b/>
        </w:rPr>
        <w:t xml:space="preserve"> </w:t>
      </w:r>
      <w:r w:rsidRPr="00BA66F3">
        <w:rPr>
          <w:b/>
        </w:rPr>
        <w:fldChar w:fldCharType="begin"/>
      </w:r>
      <w:r w:rsidR="00FB020F" w:rsidRPr="00BA66F3">
        <w:instrText xml:space="preserve"> ADDIN PAPERS2_CITATIONS &lt;citation&gt;&lt;priority&gt;0&lt;/priority&gt;&lt;uuid&gt;42277F00-E871-4243-ABB8-9E2AD6A4591C&lt;/uuid&gt;&lt;publications&gt;&lt;publication&gt;&lt;subtype&gt;522&lt;/subtype&gt;&lt;publisher&gt;Public Health England&lt;/publisher&gt;&lt;title&gt;JCVI Interim Statement on Extending HPV Vaccination to Adolescent Boys&lt;/title&gt;&lt;url&gt;https://www.gov.uk/government/uploads/system/uploads/attachment_data/file/630125/Extending_HPV_Vaccination.pdf&lt;/url&gt;&lt;publication_date&gt;99201707181200000000222000&lt;/publication_date&gt;&lt;uuid&gt;E4010CDF-6C0C-4BA6-8A69-2313C59C6322&lt;/uuid&gt;&lt;type&gt;500&lt;/type&gt;&lt;startpage&gt;1&lt;/startpage&gt;&lt;endpage&gt;21&lt;/endpage&gt;&lt;authors&gt;&lt;author&gt;&lt;lastName&gt;JCVI&lt;/lastName&gt;&lt;/author&gt;&lt;/authors&gt;&lt;/publication&gt;&lt;/publications&gt;&lt;cites&gt;&lt;/cites&gt;&lt;/citation&gt;</w:instrText>
      </w:r>
      <w:r w:rsidRPr="00BA66F3">
        <w:rPr>
          <w:b/>
        </w:rPr>
        <w:fldChar w:fldCharType="separate"/>
      </w:r>
      <w:r w:rsidR="00FB020F" w:rsidRPr="00BA66F3">
        <w:rPr>
          <w:rFonts w:ascii="Helvetica" w:eastAsia="SimSun" w:hAnsi="Helvetica" w:cs="Helvetica"/>
          <w:color w:val="auto"/>
          <w:szCs w:val="24"/>
          <w:lang w:val="en-GB" w:eastAsia="zh-CN"/>
        </w:rPr>
        <w:t>[27]</w:t>
      </w:r>
      <w:r w:rsidRPr="00BA66F3">
        <w:rPr>
          <w:b/>
        </w:rPr>
        <w:fldChar w:fldCharType="end"/>
      </w:r>
      <w:r w:rsidR="00B01E0B" w:rsidRPr="00BA66F3">
        <w:t>.</w:t>
      </w:r>
    </w:p>
    <w:p w14:paraId="4D2DCD81" w14:textId="517C9AE3" w:rsidR="00451DF7" w:rsidRPr="00BA66F3" w:rsidRDefault="00451DF7" w:rsidP="008D54D2">
      <w:pPr>
        <w:pStyle w:val="MDPI31text"/>
        <w:rPr>
          <w:b/>
        </w:rPr>
      </w:pPr>
      <w:r w:rsidRPr="00BA66F3">
        <w:lastRenderedPageBreak/>
        <w:t xml:space="preserve">There are a number of limitations that be considered in the interpretation of this study’s findings. </w:t>
      </w:r>
      <w:r w:rsidRPr="00BA66F3">
        <w:rPr>
          <w:spacing w:val="-4"/>
        </w:rPr>
        <w:t>The cross-sectional design, convenience sampling approach</w:t>
      </w:r>
      <w:r w:rsidR="00BB62ED" w:rsidRPr="00BA66F3">
        <w:rPr>
          <w:spacing w:val="-4"/>
        </w:rPr>
        <w:t>,</w:t>
      </w:r>
      <w:r w:rsidRPr="00BA66F3">
        <w:rPr>
          <w:spacing w:val="-4"/>
        </w:rPr>
        <w:t xml:space="preserve"> and exploratory nature of the study</w:t>
      </w:r>
      <w:r w:rsidR="00BB62ED" w:rsidRPr="00BA66F3">
        <w:rPr>
          <w:spacing w:val="-4"/>
        </w:rPr>
        <w:t>—</w:t>
      </w:r>
      <w:r w:rsidRPr="00BA66F3">
        <w:rPr>
          <w:spacing w:val="-4"/>
        </w:rPr>
        <w:t>using</w:t>
      </w:r>
      <w:r w:rsidRPr="00BA66F3">
        <w:t xml:space="preserve"> pre-determined survey statements</w:t>
      </w:r>
      <w:r w:rsidR="00BB62ED" w:rsidRPr="00BA66F3">
        <w:t>—</w:t>
      </w:r>
      <w:r w:rsidRPr="00BA66F3">
        <w:t xml:space="preserve">limits the ability to draw sound inferences about the reasons behind participant responses. The sample size is small, and while a response rate cannot be accurately calculated it is presumably quite poor considering the RCGP has over 50,000 members and BASHH has over 1000 members (some of whom are not based in the UK). There were no incentives offered for participation; a practice which is known to raise study participation rates in similar studies. Interviews with GPs who participated in this survey will provide more in-depth insight into their views and opinions regarding HPV vaccination for YMSM. </w:t>
      </w:r>
    </w:p>
    <w:p w14:paraId="7131B629" w14:textId="77777777" w:rsidR="00451DF7" w:rsidRPr="00BA66F3" w:rsidRDefault="00451DF7" w:rsidP="008D54D2">
      <w:pPr>
        <w:pStyle w:val="MDPI21heading1"/>
      </w:pPr>
      <w:r w:rsidRPr="00BA66F3">
        <w:t>5. Conclusions</w:t>
      </w:r>
    </w:p>
    <w:p w14:paraId="1B263D1B" w14:textId="54F60C5E" w:rsidR="00451DF7" w:rsidRPr="00BA66F3" w:rsidRDefault="00451DF7" w:rsidP="008D54D2">
      <w:pPr>
        <w:pStyle w:val="MDPI31text"/>
        <w:rPr>
          <w:b/>
        </w:rPr>
      </w:pPr>
      <w:r w:rsidRPr="00BA66F3">
        <w:t xml:space="preserve">GPs can potentially play a crucial role in the prevention of HPV-related diseases in YMSM. In order to implement the JCVI recommendation regarding HPV vaccination for MSM most effectively, YMSM should be identified early and offered the HPV vaccine with clear information. However, barriers to such implementation in primary care appear to still remain. If the findings of this exploratory work were confirmed in future research, interventions could be developed to raise awareness and educate GPs about the benefits of HPV vaccination for MSM, and to improve the skills </w:t>
      </w:r>
      <w:r w:rsidRPr="00BA66F3">
        <w:rPr>
          <w:spacing w:val="-2"/>
        </w:rPr>
        <w:t xml:space="preserve">of GPs in sensitively eliciting a patient’s sexual orientation to benefit the consultation and the </w:t>
      </w:r>
      <w:r w:rsidR="000631EC" w:rsidRPr="00BA66F3">
        <w:rPr>
          <w:spacing w:val="-2"/>
        </w:rPr>
        <w:br/>
      </w:r>
      <w:r w:rsidRPr="00BA66F3">
        <w:rPr>
          <w:spacing w:val="-2"/>
        </w:rPr>
        <w:t>patient</w:t>
      </w:r>
      <w:r w:rsidR="00BB62ED" w:rsidRPr="00BA66F3">
        <w:rPr>
          <w:spacing w:val="-2"/>
        </w:rPr>
        <w:t>–</w:t>
      </w:r>
      <w:r w:rsidRPr="00BA66F3">
        <w:rPr>
          <w:spacing w:val="-2"/>
        </w:rPr>
        <w:t>doctor</w:t>
      </w:r>
      <w:r w:rsidRPr="00BA66F3">
        <w:t xml:space="preserve"> relationship. There are also other potential settings for delivering HPV vaccination to YMSM to improve access, such as pharmacies and schools, which have not yet been explored.</w:t>
      </w:r>
    </w:p>
    <w:p w14:paraId="7D11791E" w14:textId="6A48F8A5" w:rsidR="00451DF7" w:rsidRPr="00BA66F3" w:rsidRDefault="00451DF7" w:rsidP="00FE7888">
      <w:pPr>
        <w:pStyle w:val="MDPI62Acknowledgments"/>
        <w:spacing w:before="240"/>
        <w:rPr>
          <w:szCs w:val="18"/>
        </w:rPr>
      </w:pPr>
      <w:r w:rsidRPr="00BA66F3">
        <w:rPr>
          <w:b/>
          <w:szCs w:val="18"/>
        </w:rPr>
        <w:t>Acknowledgments:</w:t>
      </w:r>
      <w:r w:rsidRPr="00BA66F3">
        <w:rPr>
          <w:szCs w:val="18"/>
        </w:rPr>
        <w:t xml:space="preserve"> This study was funded by an Innovation award (#22091) from Cancer </w:t>
      </w:r>
      <w:r w:rsidRPr="00BA66F3">
        <w:rPr>
          <w:color w:val="auto"/>
          <w:szCs w:val="18"/>
        </w:rPr>
        <w:t>Research UK/</w:t>
      </w:r>
      <w:bookmarkStart w:id="6" w:name="OLE_LINK5"/>
      <w:r w:rsidRPr="00BA66F3">
        <w:rPr>
          <w:color w:val="auto"/>
          <w:szCs w:val="18"/>
        </w:rPr>
        <w:t>B</w:t>
      </w:r>
      <w:r w:rsidR="00FB020F" w:rsidRPr="00BA66F3">
        <w:rPr>
          <w:color w:val="auto"/>
          <w:szCs w:val="18"/>
        </w:rPr>
        <w:t>upa</w:t>
      </w:r>
      <w:bookmarkEnd w:id="6"/>
      <w:r w:rsidRPr="00BA66F3">
        <w:rPr>
          <w:color w:val="auto"/>
          <w:szCs w:val="18"/>
        </w:rPr>
        <w:t xml:space="preserve"> </w:t>
      </w:r>
      <w:r w:rsidRPr="00BA66F3">
        <w:rPr>
          <w:spacing w:val="-2"/>
          <w:szCs w:val="18"/>
        </w:rPr>
        <w:t xml:space="preserve">Foundation. </w:t>
      </w:r>
      <w:r w:rsidR="00356D94" w:rsidRPr="00BA66F3">
        <w:rPr>
          <w:spacing w:val="-2"/>
        </w:rPr>
        <w:t xml:space="preserve">Samuel W. D. </w:t>
      </w:r>
      <w:r w:rsidR="00356D94" w:rsidRPr="00BA66F3">
        <w:rPr>
          <w:bCs/>
          <w:spacing w:val="-2"/>
        </w:rPr>
        <w:t>Merriel</w:t>
      </w:r>
      <w:r w:rsidR="00356D94" w:rsidRPr="00BA66F3">
        <w:rPr>
          <w:spacing w:val="-2"/>
          <w:szCs w:val="18"/>
        </w:rPr>
        <w:t xml:space="preserve"> </w:t>
      </w:r>
      <w:r w:rsidRPr="00BA66F3">
        <w:rPr>
          <w:spacing w:val="-2"/>
          <w:szCs w:val="18"/>
        </w:rPr>
        <w:t xml:space="preserve">is the recipient of an academic clinical fellowship from NIHR. </w:t>
      </w:r>
      <w:r w:rsidR="00356D94" w:rsidRPr="00BA66F3">
        <w:rPr>
          <w:spacing w:val="-2"/>
        </w:rPr>
        <w:t xml:space="preserve">Joanna M. </w:t>
      </w:r>
      <w:r w:rsidR="00356D94" w:rsidRPr="00BA66F3">
        <w:rPr>
          <w:bCs/>
          <w:spacing w:val="-2"/>
        </w:rPr>
        <w:t>Kesten</w:t>
      </w:r>
      <w:r w:rsidR="00356D94" w:rsidRPr="00BA66F3">
        <w:rPr>
          <w:szCs w:val="18"/>
        </w:rPr>
        <w:t xml:space="preserve"> </w:t>
      </w:r>
      <w:r w:rsidRPr="00BA66F3">
        <w:rPr>
          <w:szCs w:val="18"/>
        </w:rPr>
        <w:t>is partly funded by National Institute for Health Research (NIHR) Collaboration for Leadership in Applied Health Research and Care West (CLAHRC West) at University Hospitals Bristol N</w:t>
      </w:r>
      <w:r w:rsidR="00FB020F" w:rsidRPr="00BA66F3">
        <w:rPr>
          <w:szCs w:val="18"/>
        </w:rPr>
        <w:t xml:space="preserve">ational </w:t>
      </w:r>
      <w:r w:rsidRPr="00BA66F3">
        <w:rPr>
          <w:szCs w:val="18"/>
        </w:rPr>
        <w:t>H</w:t>
      </w:r>
      <w:r w:rsidR="00FB020F" w:rsidRPr="00BA66F3">
        <w:rPr>
          <w:szCs w:val="18"/>
        </w:rPr>
        <w:t xml:space="preserve">ealth </w:t>
      </w:r>
      <w:r w:rsidRPr="00BA66F3">
        <w:rPr>
          <w:szCs w:val="18"/>
        </w:rPr>
        <w:t>S</w:t>
      </w:r>
      <w:r w:rsidR="00FB020F" w:rsidRPr="00BA66F3">
        <w:rPr>
          <w:szCs w:val="18"/>
        </w:rPr>
        <w:t>ervice</w:t>
      </w:r>
      <w:r w:rsidRPr="00BA66F3">
        <w:rPr>
          <w:szCs w:val="18"/>
        </w:rPr>
        <w:t xml:space="preserve"> Foundation Trust and NIHR Health Protection Research Unit in Evaluation of Interventions. </w:t>
      </w:r>
      <w:r w:rsidR="00356D94" w:rsidRPr="00BA66F3">
        <w:t xml:space="preserve">Gilla K. </w:t>
      </w:r>
      <w:r w:rsidR="00356D94" w:rsidRPr="00BA66F3">
        <w:rPr>
          <w:bCs/>
        </w:rPr>
        <w:t>Shapiro</w:t>
      </w:r>
      <w:r w:rsidR="00356D94" w:rsidRPr="00BA66F3">
        <w:rPr>
          <w:szCs w:val="18"/>
        </w:rPr>
        <w:t xml:space="preserve"> </w:t>
      </w:r>
      <w:r w:rsidRPr="00BA66F3">
        <w:rPr>
          <w:szCs w:val="18"/>
        </w:rPr>
        <w:t>was supported by the Vanier Canada Graduate Scholarship and Queen Elizabeth II Diamond Jubilee Scholarship programs.</w:t>
      </w:r>
    </w:p>
    <w:p w14:paraId="22606CC3" w14:textId="290CD68E" w:rsidR="00451DF7" w:rsidRPr="00BA66F3" w:rsidRDefault="00451DF7" w:rsidP="008D54D2">
      <w:pPr>
        <w:pStyle w:val="MDPI62Acknowledgments"/>
        <w:rPr>
          <w:szCs w:val="18"/>
        </w:rPr>
      </w:pPr>
      <w:r w:rsidRPr="00BA66F3">
        <w:rPr>
          <w:b/>
          <w:szCs w:val="18"/>
        </w:rPr>
        <w:t>Author Contributions:</w:t>
      </w:r>
      <w:r w:rsidR="00E4455A" w:rsidRPr="00BA66F3">
        <w:t xml:space="preserve"> Samuel W. D. </w:t>
      </w:r>
      <w:r w:rsidR="00E4455A" w:rsidRPr="00BA66F3">
        <w:rPr>
          <w:bCs/>
        </w:rPr>
        <w:t>Merriel</w:t>
      </w:r>
      <w:r w:rsidRPr="00BA66F3">
        <w:rPr>
          <w:szCs w:val="18"/>
        </w:rPr>
        <w:t xml:space="preserve">, </w:t>
      </w:r>
      <w:r w:rsidR="00E4455A" w:rsidRPr="00BA66F3">
        <w:t xml:space="preserve">Joanna M. </w:t>
      </w:r>
      <w:r w:rsidR="00E4455A" w:rsidRPr="00BA66F3">
        <w:rPr>
          <w:bCs/>
        </w:rPr>
        <w:t>Kesten,</w:t>
      </w:r>
      <w:r w:rsidRPr="00BA66F3">
        <w:rPr>
          <w:szCs w:val="18"/>
        </w:rPr>
        <w:t xml:space="preserve"> </w:t>
      </w:r>
      <w:r w:rsidR="00E4455A" w:rsidRPr="00BA66F3">
        <w:t xml:space="preserve">Carrie </w:t>
      </w:r>
      <w:r w:rsidR="00E4455A" w:rsidRPr="00BA66F3">
        <w:rPr>
          <w:bCs/>
        </w:rPr>
        <w:t>Flannagan</w:t>
      </w:r>
      <w:r w:rsidR="00E4455A" w:rsidRPr="00BA66F3">
        <w:rPr>
          <w:szCs w:val="18"/>
        </w:rPr>
        <w:t xml:space="preserve"> </w:t>
      </w:r>
      <w:r w:rsidRPr="00BA66F3">
        <w:rPr>
          <w:szCs w:val="18"/>
        </w:rPr>
        <w:t xml:space="preserve">and </w:t>
      </w:r>
      <w:r w:rsidR="00E4455A" w:rsidRPr="00BA66F3">
        <w:t xml:space="preserve">Gillian </w:t>
      </w:r>
      <w:r w:rsidR="00E4455A" w:rsidRPr="00BA66F3">
        <w:rPr>
          <w:bCs/>
        </w:rPr>
        <w:t>Prue</w:t>
      </w:r>
      <w:r w:rsidR="00E4455A" w:rsidRPr="00BA66F3">
        <w:rPr>
          <w:szCs w:val="18"/>
        </w:rPr>
        <w:t xml:space="preserve"> </w:t>
      </w:r>
      <w:r w:rsidRPr="00BA66F3">
        <w:rPr>
          <w:szCs w:val="18"/>
        </w:rPr>
        <w:t xml:space="preserve">conceived the research question and wrote the study protocol, reviewed by </w:t>
      </w:r>
      <w:r w:rsidR="00E4455A" w:rsidRPr="00BA66F3">
        <w:t xml:space="preserve">Tom </w:t>
      </w:r>
      <w:r w:rsidR="00E4455A" w:rsidRPr="00BA66F3">
        <w:rPr>
          <w:bCs/>
        </w:rPr>
        <w:t>Nadarzynski</w:t>
      </w:r>
      <w:r w:rsidR="00E4455A" w:rsidRPr="00BA66F3">
        <w:t xml:space="preserve"> </w:t>
      </w:r>
      <w:r w:rsidRPr="00BA66F3">
        <w:rPr>
          <w:szCs w:val="18"/>
        </w:rPr>
        <w:t xml:space="preserve">and </w:t>
      </w:r>
      <w:r w:rsidR="00E4455A" w:rsidRPr="00BA66F3">
        <w:t xml:space="preserve">Gilla K. </w:t>
      </w:r>
      <w:r w:rsidR="00E4455A" w:rsidRPr="00BA66F3">
        <w:rPr>
          <w:bCs/>
        </w:rPr>
        <w:t>Shapiro,</w:t>
      </w:r>
      <w:r w:rsidRPr="00BA66F3">
        <w:rPr>
          <w:szCs w:val="18"/>
        </w:rPr>
        <w:t xml:space="preserve"> </w:t>
      </w:r>
      <w:r w:rsidR="00E4455A" w:rsidRPr="00BA66F3">
        <w:rPr>
          <w:szCs w:val="18"/>
        </w:rPr>
        <w:br/>
      </w:r>
      <w:r w:rsidR="00E4455A" w:rsidRPr="00BA66F3">
        <w:t xml:space="preserve">Tom </w:t>
      </w:r>
      <w:r w:rsidR="00E4455A" w:rsidRPr="00BA66F3">
        <w:rPr>
          <w:bCs/>
        </w:rPr>
        <w:t>Nadarzynski</w:t>
      </w:r>
      <w:r w:rsidRPr="00BA66F3">
        <w:rPr>
          <w:szCs w:val="18"/>
        </w:rPr>
        <w:t xml:space="preserve"> developed the original knowledge and attitude survey questionnaire, and assisted with adapting it for this study. </w:t>
      </w:r>
      <w:r w:rsidR="00E4455A" w:rsidRPr="00BA66F3">
        <w:t xml:space="preserve">Carrie </w:t>
      </w:r>
      <w:r w:rsidR="00E4455A" w:rsidRPr="00BA66F3">
        <w:rPr>
          <w:bCs/>
        </w:rPr>
        <w:t>Flannagan</w:t>
      </w:r>
      <w:r w:rsidRPr="00BA66F3">
        <w:rPr>
          <w:szCs w:val="18"/>
        </w:rPr>
        <w:t xml:space="preserve">, </w:t>
      </w:r>
      <w:r w:rsidR="00E4455A" w:rsidRPr="00BA66F3">
        <w:t xml:space="preserve">Joanna M. </w:t>
      </w:r>
      <w:r w:rsidR="00E4455A" w:rsidRPr="00BA66F3">
        <w:rPr>
          <w:bCs/>
        </w:rPr>
        <w:t>Kesten</w:t>
      </w:r>
      <w:r w:rsidR="001D1724" w:rsidRPr="00BA66F3">
        <w:rPr>
          <w:szCs w:val="18"/>
        </w:rPr>
        <w:t>,</w:t>
      </w:r>
      <w:r w:rsidRPr="00BA66F3">
        <w:rPr>
          <w:szCs w:val="18"/>
        </w:rPr>
        <w:t xml:space="preserve"> and </w:t>
      </w:r>
      <w:r w:rsidR="00E4455A" w:rsidRPr="00BA66F3">
        <w:t xml:space="preserve">Gillian </w:t>
      </w:r>
      <w:r w:rsidR="00E4455A" w:rsidRPr="00BA66F3">
        <w:rPr>
          <w:bCs/>
        </w:rPr>
        <w:t>Prue</w:t>
      </w:r>
      <w:r w:rsidR="00E4455A" w:rsidRPr="00BA66F3">
        <w:rPr>
          <w:szCs w:val="18"/>
        </w:rPr>
        <w:t xml:space="preserve"> </w:t>
      </w:r>
      <w:r w:rsidRPr="00BA66F3">
        <w:rPr>
          <w:szCs w:val="18"/>
        </w:rPr>
        <w:t xml:space="preserve">undertook study recruitment. </w:t>
      </w:r>
      <w:r w:rsidR="00E4455A" w:rsidRPr="00BA66F3">
        <w:t xml:space="preserve">Samuel W. D. </w:t>
      </w:r>
      <w:r w:rsidR="00E4455A" w:rsidRPr="00BA66F3">
        <w:rPr>
          <w:bCs/>
        </w:rPr>
        <w:t>Merriel</w:t>
      </w:r>
      <w:r w:rsidR="00E4455A" w:rsidRPr="00BA66F3">
        <w:rPr>
          <w:szCs w:val="18"/>
        </w:rPr>
        <w:t xml:space="preserve"> </w:t>
      </w:r>
      <w:proofErr w:type="spellStart"/>
      <w:r w:rsidRPr="00BA66F3">
        <w:rPr>
          <w:szCs w:val="18"/>
        </w:rPr>
        <w:t>analysed</w:t>
      </w:r>
      <w:proofErr w:type="spellEnd"/>
      <w:r w:rsidRPr="00BA66F3">
        <w:rPr>
          <w:szCs w:val="18"/>
        </w:rPr>
        <w:t xml:space="preserve"> the data and wrote the draft manuscript. All authors have reviewed, edited</w:t>
      </w:r>
      <w:r w:rsidR="001D1724" w:rsidRPr="00BA66F3">
        <w:rPr>
          <w:szCs w:val="18"/>
        </w:rPr>
        <w:t>,</w:t>
      </w:r>
      <w:r w:rsidRPr="00BA66F3">
        <w:rPr>
          <w:szCs w:val="18"/>
        </w:rPr>
        <w:t xml:space="preserve"> and approved the final submitted manuscript. </w:t>
      </w:r>
    </w:p>
    <w:p w14:paraId="683927DD" w14:textId="77777777" w:rsidR="00451DF7" w:rsidRPr="00BA66F3" w:rsidRDefault="00451DF7" w:rsidP="008D54D2">
      <w:pPr>
        <w:pStyle w:val="MDPI62Acknowledgments"/>
        <w:rPr>
          <w:szCs w:val="18"/>
        </w:rPr>
      </w:pPr>
      <w:r w:rsidRPr="00BA66F3">
        <w:rPr>
          <w:b/>
          <w:szCs w:val="18"/>
        </w:rPr>
        <w:t>Conflicts of Interest:</w:t>
      </w:r>
      <w:r w:rsidRPr="00BA66F3">
        <w:rPr>
          <w:szCs w:val="18"/>
        </w:rPr>
        <w:t xml:space="preserve"> The authors declare no conflict of interest. The funding sponsors had no role in the design of the study; in the collection, analyses, or interpretation of data; in the writing of the manuscript, and in the decision to publish the results.</w:t>
      </w:r>
    </w:p>
    <w:p w14:paraId="1F8864A4" w14:textId="77777777" w:rsidR="00612807" w:rsidRPr="00BA66F3" w:rsidRDefault="00612807" w:rsidP="00612807">
      <w:pPr>
        <w:pStyle w:val="MDPI21heading1"/>
      </w:pPr>
      <w:r w:rsidRPr="00BA66F3">
        <w:t>References</w:t>
      </w:r>
    </w:p>
    <w:p w14:paraId="2D108484" w14:textId="77777777" w:rsidR="00FB020F" w:rsidRPr="00BA66F3" w:rsidRDefault="00612807"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Theme="minorEastAsia" w:hAnsi="Palatino Linotype"/>
          <w:sz w:val="18"/>
          <w:szCs w:val="18"/>
        </w:rPr>
        <w:fldChar w:fldCharType="begin"/>
      </w:r>
      <w:r w:rsidRPr="00BA66F3">
        <w:rPr>
          <w:rFonts w:ascii="Palatino Linotype" w:eastAsiaTheme="minorEastAsia" w:hAnsi="Palatino Linotype"/>
          <w:sz w:val="18"/>
          <w:szCs w:val="18"/>
        </w:rPr>
        <w:instrText xml:space="preserve"> ADDIN PAPERS2_CITATIONS &lt;papers2_bibliography/&gt;</w:instrText>
      </w:r>
      <w:r w:rsidRPr="00BA66F3">
        <w:rPr>
          <w:rFonts w:ascii="Palatino Linotype" w:eastAsiaTheme="minorEastAsia" w:hAnsi="Palatino Linotype"/>
          <w:sz w:val="18"/>
          <w:szCs w:val="18"/>
        </w:rPr>
        <w:fldChar w:fldCharType="separate"/>
      </w:r>
      <w:r w:rsidR="00FB020F" w:rsidRPr="00BA66F3">
        <w:rPr>
          <w:rFonts w:ascii="Palatino Linotype" w:eastAsia="SimSun" w:hAnsi="Palatino Linotype" w:cs="Helvetica"/>
          <w:color w:val="auto"/>
          <w:sz w:val="18"/>
          <w:szCs w:val="18"/>
          <w:lang w:val="en-GB" w:eastAsia="zh-CN"/>
        </w:rPr>
        <w:t xml:space="preserve">1. Forman, D.; de Martel, C.; Lacey, C. J.; Soerjomataram, I.; Lortet-Tieulent, J.; Bruni, L.; Vignat, J.; Ferlay, J.; Bray, F.; Plummer, M.; Franceschi, S. Global Burden of Human Papillomavirus and Related Diseases. </w:t>
      </w:r>
      <w:r w:rsidR="00FB020F" w:rsidRPr="00BA66F3">
        <w:rPr>
          <w:rFonts w:ascii="Palatino Linotype" w:eastAsia="SimSun" w:hAnsi="Palatino Linotype" w:cs="Helvetica Neue"/>
          <w:i/>
          <w:iCs/>
          <w:color w:val="auto"/>
          <w:sz w:val="18"/>
          <w:szCs w:val="18"/>
          <w:lang w:val="en-GB" w:eastAsia="zh-CN"/>
        </w:rPr>
        <w:t>Vaccine</w:t>
      </w:r>
      <w:r w:rsidR="00FB020F" w:rsidRPr="00BA66F3">
        <w:rPr>
          <w:rFonts w:ascii="Palatino Linotype" w:eastAsia="SimSun" w:hAnsi="Palatino Linotype" w:cs="Helvetica"/>
          <w:color w:val="auto"/>
          <w:sz w:val="18"/>
          <w:szCs w:val="18"/>
          <w:lang w:val="en-GB" w:eastAsia="zh-CN"/>
        </w:rPr>
        <w:t xml:space="preserve"> </w:t>
      </w:r>
      <w:r w:rsidR="00FB020F" w:rsidRPr="00BA66F3">
        <w:rPr>
          <w:rFonts w:ascii="Palatino Linotype" w:eastAsia="SimSun" w:hAnsi="Palatino Linotype" w:cs="Helvetica Neue"/>
          <w:b/>
          <w:bCs/>
          <w:color w:val="auto"/>
          <w:sz w:val="18"/>
          <w:szCs w:val="18"/>
          <w:lang w:val="en-GB" w:eastAsia="zh-CN"/>
        </w:rPr>
        <w:t>2012</w:t>
      </w:r>
      <w:r w:rsidR="00FB020F" w:rsidRPr="00BA66F3">
        <w:rPr>
          <w:rFonts w:ascii="Palatino Linotype" w:eastAsia="SimSun" w:hAnsi="Palatino Linotype" w:cs="Helvetica"/>
          <w:color w:val="auto"/>
          <w:sz w:val="18"/>
          <w:szCs w:val="18"/>
          <w:lang w:val="en-GB" w:eastAsia="zh-CN"/>
        </w:rPr>
        <w:t xml:space="preserve">, </w:t>
      </w:r>
      <w:r w:rsidR="00FB020F" w:rsidRPr="00BA66F3">
        <w:rPr>
          <w:rFonts w:ascii="Palatino Linotype" w:eastAsia="SimSun" w:hAnsi="Palatino Linotype" w:cs="Helvetica Neue"/>
          <w:i/>
          <w:iCs/>
          <w:color w:val="auto"/>
          <w:sz w:val="18"/>
          <w:szCs w:val="18"/>
          <w:lang w:val="en-GB" w:eastAsia="zh-CN"/>
        </w:rPr>
        <w:t>30</w:t>
      </w:r>
      <w:r w:rsidR="00FB020F" w:rsidRPr="00BA66F3">
        <w:rPr>
          <w:rFonts w:ascii="Palatino Linotype" w:eastAsia="SimSun" w:hAnsi="Palatino Linotype" w:cs="Helvetica"/>
          <w:color w:val="auto"/>
          <w:sz w:val="18"/>
          <w:szCs w:val="18"/>
          <w:lang w:val="en-GB" w:eastAsia="zh-CN"/>
        </w:rPr>
        <w:t>, F12–F23.</w:t>
      </w:r>
    </w:p>
    <w:p w14:paraId="6DB88CE9"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2. King, E. M.; Gilson, R.; Beddows, S.; Soldan, K.; Panwar, K.; Young, C.; Prah, P.; Jit, M.; Edmunds, W. J.; Sonnenberg, P. Human papillomavirus DNA in men who have sex with men: type-specific prevalence, risk factors and implications for vaccination strategies. </w:t>
      </w:r>
      <w:r w:rsidRPr="00BA66F3">
        <w:rPr>
          <w:rFonts w:ascii="Palatino Linotype" w:eastAsia="SimSun" w:hAnsi="Palatino Linotype" w:cs="Helvetica Neue"/>
          <w:i/>
          <w:iCs/>
          <w:color w:val="auto"/>
          <w:sz w:val="18"/>
          <w:szCs w:val="18"/>
          <w:lang w:val="en-GB" w:eastAsia="zh-CN"/>
        </w:rPr>
        <w:t>British Journal of Cancer</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2015</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112</w:t>
      </w:r>
      <w:r w:rsidRPr="00BA66F3">
        <w:rPr>
          <w:rFonts w:ascii="Palatino Linotype" w:eastAsia="SimSun" w:hAnsi="Palatino Linotype" w:cs="Helvetica"/>
          <w:color w:val="auto"/>
          <w:sz w:val="18"/>
          <w:szCs w:val="18"/>
          <w:lang w:val="en-GB" w:eastAsia="zh-CN"/>
        </w:rPr>
        <w:t>, 1585–1593.</w:t>
      </w:r>
    </w:p>
    <w:p w14:paraId="5C02BDBE"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3. Machalek, D. A.; Poynten, M.; Jin, F.; Fairley, C. K.; Farnsworth, A.; Garland, S. M.; Hillman, R. J.; Petoumenos, K.; Roberts, J.; Tabrizi, S. N.; Templeton, D. J.; Drulich, A. E. Anal human papillomavirus infection and associated lesions in men who have sex with men: a systematic review and meta-analysis. </w:t>
      </w:r>
      <w:r w:rsidRPr="00BA66F3">
        <w:rPr>
          <w:rFonts w:ascii="Palatino Linotype" w:eastAsia="SimSun" w:hAnsi="Palatino Linotype" w:cs="Helvetica Neue"/>
          <w:i/>
          <w:iCs/>
          <w:color w:val="auto"/>
          <w:sz w:val="18"/>
          <w:szCs w:val="18"/>
          <w:lang w:val="en-GB" w:eastAsia="zh-CN"/>
        </w:rPr>
        <w:t>The Lancet Oncology</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2012</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13</w:t>
      </w:r>
      <w:r w:rsidRPr="00BA66F3">
        <w:rPr>
          <w:rFonts w:ascii="Palatino Linotype" w:eastAsia="SimSun" w:hAnsi="Palatino Linotype" w:cs="Helvetica"/>
          <w:color w:val="auto"/>
          <w:sz w:val="18"/>
          <w:szCs w:val="18"/>
          <w:lang w:val="en-GB" w:eastAsia="zh-CN"/>
        </w:rPr>
        <w:t>, 487–500.</w:t>
      </w:r>
    </w:p>
    <w:p w14:paraId="70360440"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4. Liddon, N.; Hood, J.; Wynn, B. A.; Markowitz, L. E. Acceptability of Human Papillomavirus Vaccine for </w:t>
      </w:r>
      <w:r w:rsidRPr="00BA66F3">
        <w:rPr>
          <w:rFonts w:ascii="Palatino Linotype" w:eastAsia="SimSun" w:hAnsi="Palatino Linotype" w:cs="Helvetica"/>
          <w:color w:val="auto"/>
          <w:sz w:val="18"/>
          <w:szCs w:val="18"/>
          <w:lang w:val="en-GB" w:eastAsia="zh-CN"/>
        </w:rPr>
        <w:lastRenderedPageBreak/>
        <w:t xml:space="preserve">Males: A Review of the Literature. </w:t>
      </w:r>
      <w:r w:rsidRPr="00BA66F3">
        <w:rPr>
          <w:rFonts w:ascii="Palatino Linotype" w:eastAsia="SimSun" w:hAnsi="Palatino Linotype" w:cs="Helvetica Neue"/>
          <w:i/>
          <w:iCs/>
          <w:color w:val="auto"/>
          <w:sz w:val="18"/>
          <w:szCs w:val="18"/>
          <w:lang w:val="en-GB" w:eastAsia="zh-CN"/>
        </w:rPr>
        <w:t>Journal of Adolescent Health</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2010</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46</w:t>
      </w:r>
      <w:r w:rsidRPr="00BA66F3">
        <w:rPr>
          <w:rFonts w:ascii="Palatino Linotype" w:eastAsia="SimSun" w:hAnsi="Palatino Linotype" w:cs="Helvetica"/>
          <w:color w:val="auto"/>
          <w:sz w:val="18"/>
          <w:szCs w:val="18"/>
          <w:lang w:val="en-GB" w:eastAsia="zh-CN"/>
        </w:rPr>
        <w:t>, 113–123.</w:t>
      </w:r>
    </w:p>
    <w:p w14:paraId="634E1078"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5. Wilkinson, J. R.; Morris, E. J. A.; Downing, A.; Finan, P. J.; Aravani, A.; Thomas, J. D.; Sebag-Montefiore, D. The rising incidence of anal cancer in England 1990-2010: a population-based study. </w:t>
      </w:r>
      <w:r w:rsidRPr="00BA66F3">
        <w:rPr>
          <w:rFonts w:ascii="Palatino Linotype" w:eastAsia="SimSun" w:hAnsi="Palatino Linotype" w:cs="Helvetica Neue"/>
          <w:i/>
          <w:iCs/>
          <w:color w:val="auto"/>
          <w:sz w:val="18"/>
          <w:szCs w:val="18"/>
          <w:lang w:val="en-GB" w:eastAsia="zh-CN"/>
        </w:rPr>
        <w:t>Colorectal Disease</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2014</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16</w:t>
      </w:r>
      <w:r w:rsidRPr="00BA66F3">
        <w:rPr>
          <w:rFonts w:ascii="Palatino Linotype" w:eastAsia="SimSun" w:hAnsi="Palatino Linotype" w:cs="Helvetica"/>
          <w:color w:val="auto"/>
          <w:sz w:val="18"/>
          <w:szCs w:val="18"/>
          <w:lang w:val="en-GB" w:eastAsia="zh-CN"/>
        </w:rPr>
        <w:t>, O234–O239.</w:t>
      </w:r>
    </w:p>
    <w:p w14:paraId="44DACA4C"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6. Gillison, M. L.; Chaturvedi, A. K.; Lowy, D. R. HPV prophylactic vaccines and the potential prevention of noncervical cancers in both men and women. </w:t>
      </w:r>
      <w:r w:rsidRPr="00BA66F3">
        <w:rPr>
          <w:rFonts w:ascii="Palatino Linotype" w:eastAsia="SimSun" w:hAnsi="Palatino Linotype" w:cs="Helvetica Neue"/>
          <w:i/>
          <w:iCs/>
          <w:color w:val="auto"/>
          <w:sz w:val="18"/>
          <w:szCs w:val="18"/>
          <w:lang w:val="en-GB" w:eastAsia="zh-CN"/>
        </w:rPr>
        <w:t>Cancer</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2008</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113</w:t>
      </w:r>
      <w:r w:rsidRPr="00BA66F3">
        <w:rPr>
          <w:rFonts w:ascii="Palatino Linotype" w:eastAsia="SimSun" w:hAnsi="Palatino Linotype" w:cs="Helvetica"/>
          <w:color w:val="auto"/>
          <w:sz w:val="18"/>
          <w:szCs w:val="18"/>
          <w:lang w:val="en-GB" w:eastAsia="zh-CN"/>
        </w:rPr>
        <w:t>, 3036–3046.</w:t>
      </w:r>
    </w:p>
    <w:p w14:paraId="188FA55F"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7. Daling, J. R.; Madeleine, M. M.; Johnson, L. G.; Schwartz, S. M.; Shera, K. A.; Wurscher, M. A.; Carter, J. J.; Porter, P. L.; Galloway, D. A.; McDougall, J. K. Human papillomavirus, smoking, and sexual practices in the etiology of anal cancer. </w:t>
      </w:r>
      <w:r w:rsidRPr="00BA66F3">
        <w:rPr>
          <w:rFonts w:ascii="Palatino Linotype" w:eastAsia="SimSun" w:hAnsi="Palatino Linotype" w:cs="Helvetica Neue"/>
          <w:i/>
          <w:iCs/>
          <w:color w:val="auto"/>
          <w:sz w:val="18"/>
          <w:szCs w:val="18"/>
          <w:lang w:val="en-GB" w:eastAsia="zh-CN"/>
        </w:rPr>
        <w:t>Cancer</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2004</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101</w:t>
      </w:r>
      <w:r w:rsidRPr="00BA66F3">
        <w:rPr>
          <w:rFonts w:ascii="Palatino Linotype" w:eastAsia="SimSun" w:hAnsi="Palatino Linotype" w:cs="Helvetica"/>
          <w:color w:val="auto"/>
          <w:sz w:val="18"/>
          <w:szCs w:val="18"/>
          <w:lang w:val="en-GB" w:eastAsia="zh-CN"/>
        </w:rPr>
        <w:t>, 270–280.</w:t>
      </w:r>
    </w:p>
    <w:p w14:paraId="59C7E63B"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8. van der Zee, R. P.; Richel, O.; de Vries, H.; Prins, J. M. The increasing incidence of anal cancer: can it be explained by trends in risk groups? </w:t>
      </w:r>
      <w:r w:rsidRPr="00BA66F3">
        <w:rPr>
          <w:rFonts w:ascii="Palatino Linotype" w:eastAsia="SimSun" w:hAnsi="Palatino Linotype" w:cs="Helvetica Neue"/>
          <w:i/>
          <w:iCs/>
          <w:color w:val="auto"/>
          <w:sz w:val="18"/>
          <w:szCs w:val="18"/>
          <w:lang w:val="en-GB" w:eastAsia="zh-CN"/>
        </w:rPr>
        <w:t>The Netherlands Journal of Medicine</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2013</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71</w:t>
      </w:r>
      <w:r w:rsidRPr="00BA66F3">
        <w:rPr>
          <w:rFonts w:ascii="Palatino Linotype" w:eastAsia="SimSun" w:hAnsi="Palatino Linotype" w:cs="Helvetica"/>
          <w:color w:val="auto"/>
          <w:sz w:val="18"/>
          <w:szCs w:val="18"/>
          <w:lang w:val="en-GB" w:eastAsia="zh-CN"/>
        </w:rPr>
        <w:t>, 401–411.</w:t>
      </w:r>
    </w:p>
    <w:p w14:paraId="64D85287"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9. Viens, L. J.; Henley, S. J.; Watson, M.; Markowitz, L. E.; Thomas, C. C.; Thompson, T. D.; Razzaghi, H.; Saraiya, M. Human Papillomavirus–Associated Cancers — United States, 2008–2012. </w:t>
      </w:r>
      <w:r w:rsidRPr="00BA66F3">
        <w:rPr>
          <w:rFonts w:ascii="Palatino Linotype" w:eastAsia="SimSun" w:hAnsi="Palatino Linotype" w:cs="Helvetica Neue"/>
          <w:i/>
          <w:iCs/>
          <w:color w:val="auto"/>
          <w:sz w:val="18"/>
          <w:szCs w:val="18"/>
          <w:lang w:val="en-GB" w:eastAsia="zh-CN"/>
        </w:rPr>
        <w:t>MMWR Morb. Mortal. Wkly. Rep.</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2016</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65</w:t>
      </w:r>
      <w:r w:rsidRPr="00BA66F3">
        <w:rPr>
          <w:rFonts w:ascii="Palatino Linotype" w:eastAsia="SimSun" w:hAnsi="Palatino Linotype" w:cs="Helvetica"/>
          <w:color w:val="auto"/>
          <w:sz w:val="18"/>
          <w:szCs w:val="18"/>
          <w:lang w:val="en-GB" w:eastAsia="zh-CN"/>
        </w:rPr>
        <w:t>, 661–666.</w:t>
      </w:r>
    </w:p>
    <w:p w14:paraId="59E2F0DD"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10. JCVI </w:t>
      </w:r>
      <w:r w:rsidRPr="00BA66F3">
        <w:rPr>
          <w:rFonts w:ascii="Palatino Linotype" w:eastAsia="SimSun" w:hAnsi="Palatino Linotype" w:cs="Helvetica Neue"/>
          <w:i/>
          <w:iCs/>
          <w:color w:val="auto"/>
          <w:sz w:val="18"/>
          <w:szCs w:val="18"/>
          <w:lang w:val="en-GB" w:eastAsia="zh-CN"/>
        </w:rPr>
        <w:t>Human papillomavirus vaccines to protect against cervical cancer</w:t>
      </w:r>
      <w:r w:rsidRPr="00BA66F3">
        <w:rPr>
          <w:rFonts w:ascii="Palatino Linotype" w:eastAsia="SimSun" w:hAnsi="Palatino Linotype" w:cs="Helvetica"/>
          <w:color w:val="auto"/>
          <w:sz w:val="18"/>
          <w:szCs w:val="18"/>
          <w:lang w:val="en-GB" w:eastAsia="zh-CN"/>
        </w:rPr>
        <w:t>; Department of Health, 2008; pp. 1–20.</w:t>
      </w:r>
    </w:p>
    <w:p w14:paraId="723F36BC"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11. Olsen, J.; rgensen, T. R. J. Revisiting the cost-effectiveness of universal HPV-vaccination in Denmark accounting for all potentially vaccine preventable HPV-related diseases in males and females. </w:t>
      </w:r>
      <w:r w:rsidRPr="00BA66F3">
        <w:rPr>
          <w:rFonts w:ascii="Palatino Linotype" w:eastAsia="SimSun" w:hAnsi="Palatino Linotype" w:cs="Helvetica Neue"/>
          <w:b/>
          <w:bCs/>
          <w:color w:val="auto"/>
          <w:sz w:val="18"/>
          <w:szCs w:val="18"/>
          <w:lang w:val="en-GB" w:eastAsia="zh-CN"/>
        </w:rPr>
        <w:t>2015</w:t>
      </w:r>
      <w:r w:rsidRPr="00BA66F3">
        <w:rPr>
          <w:rFonts w:ascii="Palatino Linotype" w:eastAsia="SimSun" w:hAnsi="Palatino Linotype" w:cs="Helvetica"/>
          <w:color w:val="auto"/>
          <w:sz w:val="18"/>
          <w:szCs w:val="18"/>
          <w:lang w:val="en-GB" w:eastAsia="zh-CN"/>
        </w:rPr>
        <w:t>, 1–10.</w:t>
      </w:r>
    </w:p>
    <w:p w14:paraId="7E23AC13"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12. van Kampen, S.; Fornasiero, M.; Lee, W.; Husk, K. </w:t>
      </w:r>
      <w:r w:rsidRPr="00BA66F3">
        <w:rPr>
          <w:rFonts w:ascii="Palatino Linotype" w:eastAsia="SimSun" w:hAnsi="Palatino Linotype" w:cs="Helvetica Neue"/>
          <w:i/>
          <w:iCs/>
          <w:color w:val="auto"/>
          <w:sz w:val="18"/>
          <w:szCs w:val="18"/>
          <w:lang w:val="en-GB" w:eastAsia="zh-CN"/>
        </w:rPr>
        <w:t>Producing modelled estimates of the size of the lesbian, gay and bisexual (LGB) population of England</w:t>
      </w:r>
      <w:r w:rsidRPr="00BA66F3">
        <w:rPr>
          <w:rFonts w:ascii="Palatino Linotype" w:eastAsia="SimSun" w:hAnsi="Palatino Linotype" w:cs="Helvetica"/>
          <w:color w:val="auto"/>
          <w:sz w:val="18"/>
          <w:szCs w:val="18"/>
          <w:lang w:val="en-GB" w:eastAsia="zh-CN"/>
        </w:rPr>
        <w:t>; Public Health England, 2017; pp. 1–40.</w:t>
      </w:r>
    </w:p>
    <w:p w14:paraId="398D56C1"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13. JCVI </w:t>
      </w:r>
      <w:r w:rsidRPr="00BA66F3">
        <w:rPr>
          <w:rFonts w:ascii="Palatino Linotype" w:eastAsia="SimSun" w:hAnsi="Palatino Linotype" w:cs="Helvetica Neue"/>
          <w:i/>
          <w:iCs/>
          <w:color w:val="auto"/>
          <w:sz w:val="18"/>
          <w:szCs w:val="18"/>
          <w:lang w:val="en-GB" w:eastAsia="zh-CN"/>
        </w:rPr>
        <w:t>JCVI statement on HPV vaccination of men who have sex with men</w:t>
      </w:r>
      <w:r w:rsidRPr="00BA66F3">
        <w:rPr>
          <w:rFonts w:ascii="Palatino Linotype" w:eastAsia="SimSun" w:hAnsi="Palatino Linotype" w:cs="Helvetica"/>
          <w:color w:val="auto"/>
          <w:sz w:val="18"/>
          <w:szCs w:val="18"/>
          <w:lang w:val="en-GB" w:eastAsia="zh-CN"/>
        </w:rPr>
        <w:t>; Department of Health, 2015; pp. 1–8.</w:t>
      </w:r>
    </w:p>
    <w:p w14:paraId="7E45FBB5"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14. Dunne, E. F.; Markowitz, L. E.; Chesson, H.; Curtis, C. R.; Saraiya, M.; Gee, J. Recommendations on the Use of Quadrivalent Human Papillomavirus Vaccine in Males - Advisory Committee on Immunization Practices (ACIP), 2011. </w:t>
      </w:r>
      <w:r w:rsidRPr="00BA66F3">
        <w:rPr>
          <w:rFonts w:ascii="Palatino Linotype" w:eastAsia="SimSun" w:hAnsi="Palatino Linotype" w:cs="Helvetica Neue"/>
          <w:i/>
          <w:iCs/>
          <w:color w:val="auto"/>
          <w:sz w:val="18"/>
          <w:szCs w:val="18"/>
          <w:lang w:val="en-GB" w:eastAsia="zh-CN"/>
        </w:rPr>
        <w:t>CDC Morbidity and Mortality Weekly Report</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2011</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60</w:t>
      </w:r>
      <w:r w:rsidRPr="00BA66F3">
        <w:rPr>
          <w:rFonts w:ascii="Palatino Linotype" w:eastAsia="SimSun" w:hAnsi="Palatino Linotype" w:cs="Helvetica"/>
          <w:color w:val="auto"/>
          <w:sz w:val="18"/>
          <w:szCs w:val="18"/>
          <w:lang w:val="en-GB" w:eastAsia="zh-CN"/>
        </w:rPr>
        <w:t>, 1705–1708.</w:t>
      </w:r>
    </w:p>
    <w:p w14:paraId="5DD64789"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15. Rank, C.; Gilbert, M.; Ogilvie, G.; Jayaraman, G. C.; Marchand, R.; Trussler, T.; Hogg, R. S.; Gustafson, R.; Wong, T.; Team1, T. M. S. Acceptability of human papillomavirus vaccination and sexual experience prior to disclosure to health care providers among men who have sex with men in Vancouver, Canada: Implications for targeted vaccination programs. </w:t>
      </w:r>
      <w:r w:rsidRPr="00BA66F3">
        <w:rPr>
          <w:rFonts w:ascii="Palatino Linotype" w:eastAsia="SimSun" w:hAnsi="Palatino Linotype" w:cs="Helvetica Neue"/>
          <w:i/>
          <w:iCs/>
          <w:color w:val="auto"/>
          <w:sz w:val="18"/>
          <w:szCs w:val="18"/>
          <w:lang w:val="en-GB" w:eastAsia="zh-CN"/>
        </w:rPr>
        <w:t>Vaccine</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2012</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30</w:t>
      </w:r>
      <w:r w:rsidRPr="00BA66F3">
        <w:rPr>
          <w:rFonts w:ascii="Palatino Linotype" w:eastAsia="SimSun" w:hAnsi="Palatino Linotype" w:cs="Helvetica"/>
          <w:color w:val="auto"/>
          <w:sz w:val="18"/>
          <w:szCs w:val="18"/>
          <w:lang w:val="en-GB" w:eastAsia="zh-CN"/>
        </w:rPr>
        <w:t>, 5755–5760.</w:t>
      </w:r>
    </w:p>
    <w:p w14:paraId="00834B7C"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16. NHS England Equality and Health Inequalities Unit </w:t>
      </w:r>
      <w:r w:rsidRPr="00BA66F3">
        <w:rPr>
          <w:rFonts w:ascii="Palatino Linotype" w:eastAsia="SimSun" w:hAnsi="Palatino Linotype" w:cs="Helvetica Neue"/>
          <w:i/>
          <w:iCs/>
          <w:color w:val="auto"/>
          <w:sz w:val="18"/>
          <w:szCs w:val="18"/>
          <w:lang w:val="en-GB" w:eastAsia="zh-CN"/>
        </w:rPr>
        <w:t>Implementation Guidance Fundamental Standard for Sexual Orientation Monitoring</w:t>
      </w:r>
      <w:r w:rsidRPr="00BA66F3">
        <w:rPr>
          <w:rFonts w:ascii="Palatino Linotype" w:eastAsia="SimSun" w:hAnsi="Palatino Linotype" w:cs="Helvetica"/>
          <w:color w:val="auto"/>
          <w:sz w:val="18"/>
          <w:szCs w:val="18"/>
          <w:lang w:val="en-GB" w:eastAsia="zh-CN"/>
        </w:rPr>
        <w:t>; NHS England, 2017; pp. 1–9.</w:t>
      </w:r>
    </w:p>
    <w:p w14:paraId="47F37910"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17. Shapiro, G. K.; Perez, S.; Rosberger, Z. Including males in Canadian human papillomavirus vaccination programs: a policy analysis. </w:t>
      </w:r>
      <w:r w:rsidRPr="00BA66F3">
        <w:rPr>
          <w:rFonts w:ascii="Palatino Linotype" w:eastAsia="SimSun" w:hAnsi="Palatino Linotype" w:cs="Helvetica Neue"/>
          <w:i/>
          <w:iCs/>
          <w:color w:val="auto"/>
          <w:sz w:val="18"/>
          <w:szCs w:val="18"/>
          <w:lang w:val="en-GB" w:eastAsia="zh-CN"/>
        </w:rPr>
        <w:t>CMAJ</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2016</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188</w:t>
      </w:r>
      <w:r w:rsidRPr="00BA66F3">
        <w:rPr>
          <w:rFonts w:ascii="Palatino Linotype" w:eastAsia="SimSun" w:hAnsi="Palatino Linotype" w:cs="Helvetica"/>
          <w:color w:val="auto"/>
          <w:sz w:val="18"/>
          <w:szCs w:val="18"/>
          <w:lang w:val="en-GB" w:eastAsia="zh-CN"/>
        </w:rPr>
        <w:t>, 881–886.</w:t>
      </w:r>
    </w:p>
    <w:p w14:paraId="62782A50"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18. Stonewall </w:t>
      </w:r>
      <w:r w:rsidRPr="00BA66F3">
        <w:rPr>
          <w:rFonts w:ascii="Palatino Linotype" w:eastAsia="SimSun" w:hAnsi="Palatino Linotype" w:cs="Helvetica Neue"/>
          <w:i/>
          <w:iCs/>
          <w:color w:val="auto"/>
          <w:sz w:val="18"/>
          <w:szCs w:val="18"/>
          <w:lang w:val="en-GB" w:eastAsia="zh-CN"/>
        </w:rPr>
        <w:t>Sexual Orientation</w:t>
      </w:r>
      <w:r w:rsidRPr="00BA66F3">
        <w:rPr>
          <w:rFonts w:ascii="Palatino Linotype" w:eastAsia="SimSun" w:hAnsi="Palatino Linotype" w:cs="Helvetica"/>
          <w:color w:val="auto"/>
          <w:sz w:val="18"/>
          <w:szCs w:val="18"/>
          <w:lang w:val="en-GB" w:eastAsia="zh-CN"/>
        </w:rPr>
        <w:t>; Stonewall: London, 2012; pp. 1–23.</w:t>
      </w:r>
    </w:p>
    <w:p w14:paraId="36FC19A7"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19. Gerend, M. A.; Madkins, K.; Phillips, G., II; Mustanski, B. Predictors of Human Papillomavirus Vaccination Among Young Men Who Have Sex With Men. </w:t>
      </w:r>
      <w:r w:rsidRPr="00BA66F3">
        <w:rPr>
          <w:rFonts w:ascii="Palatino Linotype" w:eastAsia="SimSun" w:hAnsi="Palatino Linotype" w:cs="Helvetica Neue"/>
          <w:i/>
          <w:iCs/>
          <w:color w:val="auto"/>
          <w:sz w:val="18"/>
          <w:szCs w:val="18"/>
          <w:lang w:val="en-GB" w:eastAsia="zh-CN"/>
        </w:rPr>
        <w:t>Sexually Transmitted Diseases</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2016</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43</w:t>
      </w:r>
      <w:r w:rsidRPr="00BA66F3">
        <w:rPr>
          <w:rFonts w:ascii="Palatino Linotype" w:eastAsia="SimSun" w:hAnsi="Palatino Linotype" w:cs="Helvetica"/>
          <w:color w:val="auto"/>
          <w:sz w:val="18"/>
          <w:szCs w:val="18"/>
          <w:lang w:val="en-GB" w:eastAsia="zh-CN"/>
        </w:rPr>
        <w:t>, 185–191.</w:t>
      </w:r>
    </w:p>
    <w:p w14:paraId="0070E64D"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20. Lau, M.; Lin, H.; Flores, G. Factors associated with human papillomavirus vaccine-series initiation and healthcare provider recommendation in US adolescent females: 2007 National Survey of Children's Health. </w:t>
      </w:r>
      <w:r w:rsidRPr="00BA66F3">
        <w:rPr>
          <w:rFonts w:ascii="Palatino Linotype" w:eastAsia="SimSun" w:hAnsi="Palatino Linotype" w:cs="Helvetica Neue"/>
          <w:i/>
          <w:iCs/>
          <w:color w:val="auto"/>
          <w:sz w:val="18"/>
          <w:szCs w:val="18"/>
          <w:lang w:val="en-GB" w:eastAsia="zh-CN"/>
        </w:rPr>
        <w:t>Vaccine</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2012</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30</w:t>
      </w:r>
      <w:r w:rsidRPr="00BA66F3">
        <w:rPr>
          <w:rFonts w:ascii="Palatino Linotype" w:eastAsia="SimSun" w:hAnsi="Palatino Linotype" w:cs="Helvetica"/>
          <w:color w:val="auto"/>
          <w:sz w:val="18"/>
          <w:szCs w:val="18"/>
          <w:lang w:val="en-GB" w:eastAsia="zh-CN"/>
        </w:rPr>
        <w:t>, 3112–3118.</w:t>
      </w:r>
    </w:p>
    <w:p w14:paraId="063FC828"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21. Rosenthal, S. L.; Weiss, T. W.; Zimet, G. D.; Ma, L.; Good, M. B.; Vichnin, M. D. Predictors of HPV vaccine uptake among women aged 19-26: Importance of a physician's recommendation. </w:t>
      </w:r>
      <w:r w:rsidRPr="00BA66F3">
        <w:rPr>
          <w:rFonts w:ascii="Palatino Linotype" w:eastAsia="SimSun" w:hAnsi="Palatino Linotype" w:cs="Helvetica Neue"/>
          <w:i/>
          <w:iCs/>
          <w:color w:val="auto"/>
          <w:sz w:val="18"/>
          <w:szCs w:val="18"/>
          <w:lang w:val="en-GB" w:eastAsia="zh-CN"/>
        </w:rPr>
        <w:t>Vaccine</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2011</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29</w:t>
      </w:r>
      <w:r w:rsidRPr="00BA66F3">
        <w:rPr>
          <w:rFonts w:ascii="Palatino Linotype" w:eastAsia="SimSun" w:hAnsi="Palatino Linotype" w:cs="Helvetica"/>
          <w:color w:val="auto"/>
          <w:sz w:val="18"/>
          <w:szCs w:val="18"/>
          <w:lang w:val="en-GB" w:eastAsia="zh-CN"/>
        </w:rPr>
        <w:t>, 890–895.</w:t>
      </w:r>
    </w:p>
    <w:p w14:paraId="57EE5224"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22. Draeger, E.; McSorley, J.; Greenhouse, P.; Clarke, J. Attitudes towards HPV vaccination for boys among sexual health clinicians. </w:t>
      </w:r>
      <w:r w:rsidRPr="00BA66F3">
        <w:rPr>
          <w:rFonts w:ascii="Palatino Linotype" w:eastAsia="SimSun" w:hAnsi="Palatino Linotype" w:cs="Helvetica Neue"/>
          <w:i/>
          <w:iCs/>
          <w:color w:val="auto"/>
          <w:sz w:val="18"/>
          <w:szCs w:val="18"/>
          <w:lang w:val="en-GB" w:eastAsia="zh-CN"/>
        </w:rPr>
        <w:t>Sexually Transmitted Infections</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2015</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91</w:t>
      </w:r>
      <w:r w:rsidRPr="00BA66F3">
        <w:rPr>
          <w:rFonts w:ascii="Palatino Linotype" w:eastAsia="SimSun" w:hAnsi="Palatino Linotype" w:cs="Helvetica"/>
          <w:color w:val="auto"/>
          <w:sz w:val="18"/>
          <w:szCs w:val="18"/>
          <w:lang w:val="en-GB" w:eastAsia="zh-CN"/>
        </w:rPr>
        <w:t>, 1–16.</w:t>
      </w:r>
    </w:p>
    <w:p w14:paraId="6CD20979"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23. Nadarzynski, T.; Smith, H. E.; Richardson, D.; Ford, E.; Llewellyn, C. D. Sexual healthcare professionals' views on HPV vaccination for men in the UK. </w:t>
      </w:r>
      <w:r w:rsidRPr="00BA66F3">
        <w:rPr>
          <w:rFonts w:ascii="Palatino Linotype" w:eastAsia="SimSun" w:hAnsi="Palatino Linotype" w:cs="Helvetica Neue"/>
          <w:i/>
          <w:iCs/>
          <w:color w:val="auto"/>
          <w:sz w:val="18"/>
          <w:szCs w:val="18"/>
          <w:lang w:val="en-GB" w:eastAsia="zh-CN"/>
        </w:rPr>
        <w:t>British Journal of Cancer</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2015</w:t>
      </w:r>
      <w:r w:rsidRPr="00BA66F3">
        <w:rPr>
          <w:rFonts w:ascii="Palatino Linotype" w:eastAsia="SimSun" w:hAnsi="Palatino Linotype" w:cs="Helvetica"/>
          <w:color w:val="auto"/>
          <w:sz w:val="18"/>
          <w:szCs w:val="18"/>
          <w:lang w:val="en-GB" w:eastAsia="zh-CN"/>
        </w:rPr>
        <w:t>, 1–3.</w:t>
      </w:r>
    </w:p>
    <w:p w14:paraId="50C2521B" w14:textId="5D0D1F99"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lastRenderedPageBreak/>
        <w:t xml:space="preserve">24. Desai, M.; Gafos, M.; Dolling, D.; McCormack, S.; Nardone, A. PROUD study: Healthcare providers' knowledge of, attitudes to and practice of pre-exposure prophylaxis for HIV infection. </w:t>
      </w:r>
      <w:r w:rsidRPr="00BA66F3">
        <w:rPr>
          <w:rFonts w:ascii="Palatino Linotype" w:eastAsia="SimSun" w:hAnsi="Palatino Linotype" w:cs="Helvetica Neue"/>
          <w:i/>
          <w:iCs/>
          <w:color w:val="auto"/>
          <w:sz w:val="18"/>
          <w:szCs w:val="18"/>
          <w:lang w:val="en-GB" w:eastAsia="zh-CN"/>
        </w:rPr>
        <w:t>HIV Med</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2015</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17</w:t>
      </w:r>
      <w:r w:rsidRPr="00BA66F3">
        <w:rPr>
          <w:rFonts w:ascii="Palatino Linotype" w:eastAsia="SimSun" w:hAnsi="Palatino Linotype" w:cs="Helvetica"/>
          <w:color w:val="auto"/>
          <w:sz w:val="18"/>
          <w:szCs w:val="18"/>
          <w:lang w:val="en-GB" w:eastAsia="zh-CN"/>
        </w:rPr>
        <w:t>, 133–142.</w:t>
      </w:r>
    </w:p>
    <w:p w14:paraId="49D4A60E"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25. Gilkey, M. B.; Malo, T. L.; Shah, P. D.; Hall, M. E.; Brewer, N. T. Quality of physician communication about human papillomavirus vaccine: findings from a national survey. </w:t>
      </w:r>
      <w:r w:rsidRPr="00BA66F3">
        <w:rPr>
          <w:rFonts w:ascii="Palatino Linotype" w:eastAsia="SimSun" w:hAnsi="Palatino Linotype" w:cs="Helvetica Neue"/>
          <w:i/>
          <w:iCs/>
          <w:color w:val="auto"/>
          <w:sz w:val="18"/>
          <w:szCs w:val="18"/>
          <w:lang w:val="en-GB" w:eastAsia="zh-CN"/>
        </w:rPr>
        <w:t>Cancer Epidemiol. Biomarkers Prev.</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2015</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24</w:t>
      </w:r>
      <w:r w:rsidRPr="00BA66F3">
        <w:rPr>
          <w:rFonts w:ascii="Palatino Linotype" w:eastAsia="SimSun" w:hAnsi="Palatino Linotype" w:cs="Helvetica"/>
          <w:color w:val="auto"/>
          <w:sz w:val="18"/>
          <w:szCs w:val="18"/>
          <w:lang w:val="en-GB" w:eastAsia="zh-CN"/>
        </w:rPr>
        <w:t>, 1673–1679.</w:t>
      </w:r>
    </w:p>
    <w:p w14:paraId="7DF35587"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26. Alexander, A. B.; Best, C.; Stupiansky, N.; Zimet, G. D. A model of health care provider decision making about HPV vaccination in adolescent males. </w:t>
      </w:r>
      <w:r w:rsidRPr="00BA66F3">
        <w:rPr>
          <w:rFonts w:ascii="Palatino Linotype" w:eastAsia="SimSun" w:hAnsi="Palatino Linotype" w:cs="Helvetica Neue"/>
          <w:i/>
          <w:iCs/>
          <w:color w:val="auto"/>
          <w:sz w:val="18"/>
          <w:szCs w:val="18"/>
          <w:lang w:val="en-GB" w:eastAsia="zh-CN"/>
        </w:rPr>
        <w:t>Vaccine</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b/>
          <w:bCs/>
          <w:color w:val="auto"/>
          <w:sz w:val="18"/>
          <w:szCs w:val="18"/>
          <w:lang w:val="en-GB" w:eastAsia="zh-CN"/>
        </w:rPr>
        <w:t>2015</w:t>
      </w:r>
      <w:r w:rsidRPr="00BA66F3">
        <w:rPr>
          <w:rFonts w:ascii="Palatino Linotype" w:eastAsia="SimSun" w:hAnsi="Palatino Linotype" w:cs="Helvetica"/>
          <w:color w:val="auto"/>
          <w:sz w:val="18"/>
          <w:szCs w:val="18"/>
          <w:lang w:val="en-GB" w:eastAsia="zh-CN"/>
        </w:rPr>
        <w:t xml:space="preserve">, </w:t>
      </w:r>
      <w:r w:rsidRPr="00BA66F3">
        <w:rPr>
          <w:rFonts w:ascii="Palatino Linotype" w:eastAsia="SimSun" w:hAnsi="Palatino Linotype" w:cs="Helvetica Neue"/>
          <w:i/>
          <w:iCs/>
          <w:color w:val="auto"/>
          <w:sz w:val="18"/>
          <w:szCs w:val="18"/>
          <w:lang w:val="en-GB" w:eastAsia="zh-CN"/>
        </w:rPr>
        <w:t>33</w:t>
      </w:r>
      <w:r w:rsidRPr="00BA66F3">
        <w:rPr>
          <w:rFonts w:ascii="Palatino Linotype" w:eastAsia="SimSun" w:hAnsi="Palatino Linotype" w:cs="Helvetica"/>
          <w:color w:val="auto"/>
          <w:sz w:val="18"/>
          <w:szCs w:val="18"/>
          <w:lang w:val="en-GB" w:eastAsia="zh-CN"/>
        </w:rPr>
        <w:t>, 4081–4086.</w:t>
      </w:r>
    </w:p>
    <w:p w14:paraId="7B251234" w14:textId="77777777" w:rsidR="00FB020F" w:rsidRPr="00BA66F3" w:rsidRDefault="00FB020F" w:rsidP="00FB02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Palatino Linotype" w:eastAsia="SimSun" w:hAnsi="Palatino Linotype" w:cs="Helvetica"/>
          <w:color w:val="auto"/>
          <w:sz w:val="18"/>
          <w:szCs w:val="18"/>
          <w:lang w:val="en-GB" w:eastAsia="zh-CN"/>
        </w:rPr>
      </w:pPr>
      <w:r w:rsidRPr="00BA66F3">
        <w:rPr>
          <w:rFonts w:ascii="Palatino Linotype" w:eastAsia="SimSun" w:hAnsi="Palatino Linotype" w:cs="Helvetica"/>
          <w:color w:val="auto"/>
          <w:sz w:val="18"/>
          <w:szCs w:val="18"/>
          <w:lang w:val="en-GB" w:eastAsia="zh-CN"/>
        </w:rPr>
        <w:t xml:space="preserve">27. JCVI </w:t>
      </w:r>
      <w:r w:rsidRPr="00BA66F3">
        <w:rPr>
          <w:rFonts w:ascii="Palatino Linotype" w:eastAsia="SimSun" w:hAnsi="Palatino Linotype" w:cs="Helvetica Neue"/>
          <w:i/>
          <w:iCs/>
          <w:color w:val="auto"/>
          <w:sz w:val="18"/>
          <w:szCs w:val="18"/>
          <w:lang w:val="en-GB" w:eastAsia="zh-CN"/>
        </w:rPr>
        <w:t>JCVI Interim Statement on Extending HPV Vaccination to Adolescent Boys</w:t>
      </w:r>
      <w:r w:rsidRPr="00BA66F3">
        <w:rPr>
          <w:rFonts w:ascii="Palatino Linotype" w:eastAsia="SimSun" w:hAnsi="Palatino Linotype" w:cs="Helvetica"/>
          <w:color w:val="auto"/>
          <w:sz w:val="18"/>
          <w:szCs w:val="18"/>
          <w:lang w:val="en-GB" w:eastAsia="zh-CN"/>
        </w:rPr>
        <w:t>; Public Health England, 2017; pp. 1–21.</w:t>
      </w:r>
    </w:p>
    <w:p w14:paraId="3C31EDBC" w14:textId="0995C902" w:rsidR="00612807" w:rsidRPr="0042225A" w:rsidRDefault="00612807" w:rsidP="00612807">
      <w:pPr>
        <w:pStyle w:val="ListParagraph"/>
        <w:adjustRightInd w:val="0"/>
        <w:snapToGrid w:val="0"/>
        <w:spacing w:before="240" w:line="260" w:lineRule="atLeast"/>
        <w:ind w:firstLineChars="0" w:firstLine="0"/>
        <w:rPr>
          <w:rFonts w:ascii="Palatino Linotype" w:eastAsiaTheme="minorEastAsia" w:hAnsi="Palatino Linotype"/>
          <w:sz w:val="20"/>
        </w:rPr>
      </w:pPr>
      <w:r w:rsidRPr="00BA66F3">
        <w:rPr>
          <w:rFonts w:ascii="Palatino Linotype" w:eastAsiaTheme="minorEastAsia" w:hAnsi="Palatino Linotype"/>
          <w:sz w:val="18"/>
          <w:szCs w:val="18"/>
        </w:rPr>
        <w:fldChar w:fldCharType="end"/>
      </w:r>
      <w:bookmarkEnd w:id="1"/>
    </w:p>
    <w:sectPr w:rsidR="00612807" w:rsidRPr="0042225A" w:rsidSect="00C77758">
      <w:headerReference w:type="default" r:id="rId16"/>
      <w:headerReference w:type="first" r:id="rId17"/>
      <w:type w:val="continuous"/>
      <w:pgSz w:w="11906" w:h="16838" w:code="9"/>
      <w:pgMar w:top="1418" w:right="1531" w:bottom="1077" w:left="1531" w:header="1021" w:footer="85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EEFFD" w14:textId="77777777" w:rsidR="00022FEC" w:rsidRDefault="00022FEC" w:rsidP="00C1340D">
      <w:r>
        <w:separator/>
      </w:r>
    </w:p>
  </w:endnote>
  <w:endnote w:type="continuationSeparator" w:id="0">
    <w:p w14:paraId="4EA28CD5" w14:textId="77777777" w:rsidR="00022FEC" w:rsidRDefault="00022FEC"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06EDF" w14:textId="77777777" w:rsidR="00C12F29" w:rsidRPr="00590BF9" w:rsidRDefault="00C12F29" w:rsidP="00590BF9">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B075A" w14:textId="109F692A" w:rsidR="00C12F29" w:rsidRPr="008B308E" w:rsidRDefault="00C12F29" w:rsidP="00EA1763">
    <w:pPr>
      <w:pStyle w:val="MDPIfooterfirstpage"/>
      <w:spacing w:line="240" w:lineRule="auto"/>
      <w:jc w:val="both"/>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F2278" w14:textId="01DB1C73" w:rsidR="00C12F29" w:rsidRPr="008B308E" w:rsidRDefault="00C12F29" w:rsidP="00EA1763">
    <w:pPr>
      <w:pStyle w:val="MDPIfooterfirstpage"/>
      <w:spacing w:line="240" w:lineRule="auto"/>
      <w:jc w:val="both"/>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C8674" w14:textId="77777777" w:rsidR="00022FEC" w:rsidRDefault="00022FEC" w:rsidP="00C1340D">
      <w:r>
        <w:separator/>
      </w:r>
    </w:p>
  </w:footnote>
  <w:footnote w:type="continuationSeparator" w:id="0">
    <w:p w14:paraId="600F4BC7" w14:textId="77777777" w:rsidR="00022FEC" w:rsidRDefault="00022FEC"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8027" w14:textId="77777777" w:rsidR="00C12F29" w:rsidRDefault="00C12F29"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41589" w14:textId="4E922562" w:rsidR="00C12F29" w:rsidRPr="00305CED" w:rsidRDefault="00C12F29" w:rsidP="00305CED">
    <w:pPr>
      <w:adjustRightInd w:val="0"/>
      <w:snapToGrid w:val="0"/>
      <w:spacing w:after="240" w:line="240" w:lineRule="auto"/>
      <w:rPr>
        <w:rFonts w:ascii="Palatino Linotype" w:hAnsi="Palatino Linotype"/>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A8281" w14:textId="6AAA391F" w:rsidR="00C12F29" w:rsidRDefault="00C12F29" w:rsidP="008810B3">
    <w:pPr>
      <w:pStyle w:val="MDPIheaderjournallogo"/>
    </w:pPr>
    <w:r>
      <w:rPr>
        <w:i w:val="0"/>
        <w:noProof/>
        <w:szCs w:val="16"/>
        <w:lang w:val="en-GB" w:eastAsia="en-GB"/>
      </w:rPr>
      <mc:AlternateContent>
        <mc:Choice Requires="wps">
          <w:drawing>
            <wp:anchor distT="45720" distB="45720" distL="114300" distR="114300" simplePos="0" relativeHeight="251657728" behindDoc="1" locked="0" layoutInCell="1" allowOverlap="1" wp14:anchorId="6D61E480" wp14:editId="5F87F477">
              <wp:simplePos x="0" y="0"/>
              <wp:positionH relativeFrom="rightMargin">
                <wp:posOffset>-558165</wp:posOffset>
              </wp:positionH>
              <wp:positionV relativeFrom="paragraph">
                <wp:posOffset>0</wp:posOffset>
              </wp:positionV>
              <wp:extent cx="123825" cy="70929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709295"/>
                      </a:xfrm>
                      <a:prstGeom prst="rect">
                        <a:avLst/>
                      </a:prstGeom>
                      <a:solidFill>
                        <a:srgbClr val="FFFFFF"/>
                      </a:solidFill>
                      <a:ln w="9525">
                        <a:noFill/>
                        <a:miter lim="800000"/>
                        <a:headEnd/>
                        <a:tailEnd/>
                      </a:ln>
                    </wps:spPr>
                    <wps:txbx>
                      <w:txbxContent>
                        <w:p w14:paraId="016B3015" w14:textId="1BC899F0" w:rsidR="00C12F29" w:rsidRDefault="00C12F29" w:rsidP="007F786E">
                          <w:pPr>
                            <w:pStyle w:val="MDPIheaderjournallogo"/>
                            <w:jc w:val="center"/>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D61E480" id="_x0000_t202" coordsize="21600,21600" o:spt="202" path="m0,0l0,21600,21600,21600,21600,0xe">
              <v:stroke joinstyle="miter"/>
              <v:path gradientshapeok="t" o:connecttype="rect"/>
            </v:shapetype>
            <v:shape id="Text Box 2" o:spid="_x0000_s1026" type="#_x0000_t202" style="position:absolute;margin-left:-43.95pt;margin-top:0;width:9.75pt;height:55.85pt;z-index:-25165875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" stroked="f">
              <v:textbox inset="0,0,0,0">
                <w:txbxContent>
                  <w:p w14:paraId="016B3015" w14:textId="1BC899F0" w:rsidR="00C12F29" w:rsidRDefault="00C12F29" w:rsidP="007F786E">
                    <w:pPr>
                      <w:pStyle w:val="MDPIheaderjournallogo"/>
                      <w:jc w:val="center"/>
                      <w:rPr>
                        <w:i w:val="0"/>
                        <w:szCs w:val="16"/>
                      </w:rPr>
                    </w:pPr>
                  </w:p>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97D99" w14:textId="3A458114" w:rsidR="00C12F29" w:rsidRPr="00305CED" w:rsidRDefault="00C12F29" w:rsidP="00C77758">
    <w:pPr>
      <w:adjustRightInd w:val="0"/>
      <w:snapToGrid w:val="0"/>
      <w:spacing w:after="240" w:line="240" w:lineRule="auto"/>
      <w:rPr>
        <w:rFonts w:ascii="Palatino Linotype" w:hAnsi="Palatino Linotype"/>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7CD24" w14:textId="57B0F21F" w:rsidR="00C12F29" w:rsidRPr="00305CED" w:rsidRDefault="00C12F29" w:rsidP="00C77758">
    <w:pPr>
      <w:adjustRightInd w:val="0"/>
      <w:snapToGrid w:val="0"/>
      <w:spacing w:after="240" w:line="240" w:lineRule="auto"/>
      <w:rPr>
        <w:rFonts w:ascii="Palatino Linotype" w:hAnsi="Palatino Linotype"/>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07CCE" w14:textId="1956A14E" w:rsidR="00C12F29" w:rsidRPr="00305CED" w:rsidRDefault="00C12F29" w:rsidP="00C77758">
    <w:pPr>
      <w:adjustRightInd w:val="0"/>
      <w:snapToGrid w:val="0"/>
      <w:spacing w:after="240" w:line="240" w:lineRule="auto"/>
      <w:rPr>
        <w:rFonts w:ascii="Palatino Linotype" w:hAnsi="Palatino Linotype"/>
        <w:sz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C97F" w14:textId="1775B2BC" w:rsidR="00C12F29" w:rsidRPr="00305CED" w:rsidRDefault="00C12F29" w:rsidP="00C77758">
    <w:pPr>
      <w:adjustRightInd w:val="0"/>
      <w:snapToGrid w:val="0"/>
      <w:spacing w:after="240" w:line="240" w:lineRule="aut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00F54"/>
    <w:multiLevelType w:val="hybridMultilevel"/>
    <w:tmpl w:val="064E27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F140ED14"/>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C370A"/>
    <w:multiLevelType w:val="hybridMultilevel"/>
    <w:tmpl w:val="EC3AEE96"/>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6DB20A64"/>
    <w:multiLevelType w:val="hybridMultilevel"/>
    <w:tmpl w:val="B43CDC7A"/>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 w:numId="8">
    <w:abstractNumId w:val="5"/>
  </w:num>
  <w:num w:numId="9">
    <w:abstractNumId w:val="6"/>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SwNDY2trQwMjS1MLBQ0lEKTi0uzszPAykwrAUAFxF4RiwAAAA="/>
  </w:docVars>
  <w:rsids>
    <w:rsidRoot w:val="00451DF7"/>
    <w:rsid w:val="00000637"/>
    <w:rsid w:val="000006F8"/>
    <w:rsid w:val="00001437"/>
    <w:rsid w:val="00004544"/>
    <w:rsid w:val="000046B6"/>
    <w:rsid w:val="00004BA7"/>
    <w:rsid w:val="00005FC2"/>
    <w:rsid w:val="00011BC3"/>
    <w:rsid w:val="0001283B"/>
    <w:rsid w:val="0002090C"/>
    <w:rsid w:val="00022FEC"/>
    <w:rsid w:val="00024621"/>
    <w:rsid w:val="0002467B"/>
    <w:rsid w:val="00025A91"/>
    <w:rsid w:val="00025C56"/>
    <w:rsid w:val="000319B8"/>
    <w:rsid w:val="0003351A"/>
    <w:rsid w:val="00034840"/>
    <w:rsid w:val="00034BF8"/>
    <w:rsid w:val="000361F7"/>
    <w:rsid w:val="00037CEA"/>
    <w:rsid w:val="00037F00"/>
    <w:rsid w:val="00041A10"/>
    <w:rsid w:val="0004245C"/>
    <w:rsid w:val="00042C12"/>
    <w:rsid w:val="000439F3"/>
    <w:rsid w:val="00043F91"/>
    <w:rsid w:val="00044417"/>
    <w:rsid w:val="0004473F"/>
    <w:rsid w:val="00045898"/>
    <w:rsid w:val="00046FE3"/>
    <w:rsid w:val="00050716"/>
    <w:rsid w:val="00050C65"/>
    <w:rsid w:val="000520E3"/>
    <w:rsid w:val="000551E0"/>
    <w:rsid w:val="000554E4"/>
    <w:rsid w:val="000562B9"/>
    <w:rsid w:val="00056DBB"/>
    <w:rsid w:val="000578BD"/>
    <w:rsid w:val="000602E4"/>
    <w:rsid w:val="000605CD"/>
    <w:rsid w:val="000631EC"/>
    <w:rsid w:val="00063A6A"/>
    <w:rsid w:val="0006467F"/>
    <w:rsid w:val="00066489"/>
    <w:rsid w:val="000668DA"/>
    <w:rsid w:val="00071D03"/>
    <w:rsid w:val="00073BD9"/>
    <w:rsid w:val="00077A9D"/>
    <w:rsid w:val="00077B09"/>
    <w:rsid w:val="00081329"/>
    <w:rsid w:val="00082D78"/>
    <w:rsid w:val="000833FA"/>
    <w:rsid w:val="000848F9"/>
    <w:rsid w:val="00094176"/>
    <w:rsid w:val="00097C7E"/>
    <w:rsid w:val="000A04DD"/>
    <w:rsid w:val="000A0E49"/>
    <w:rsid w:val="000A0F29"/>
    <w:rsid w:val="000A3155"/>
    <w:rsid w:val="000A411D"/>
    <w:rsid w:val="000A45A9"/>
    <w:rsid w:val="000A5FAE"/>
    <w:rsid w:val="000B05D0"/>
    <w:rsid w:val="000B2BEC"/>
    <w:rsid w:val="000B38AC"/>
    <w:rsid w:val="000B529D"/>
    <w:rsid w:val="000B5482"/>
    <w:rsid w:val="000B7EF6"/>
    <w:rsid w:val="000C299D"/>
    <w:rsid w:val="000C4A82"/>
    <w:rsid w:val="000C4B5D"/>
    <w:rsid w:val="000C4FB6"/>
    <w:rsid w:val="000D0305"/>
    <w:rsid w:val="000D0745"/>
    <w:rsid w:val="000D0874"/>
    <w:rsid w:val="000D093A"/>
    <w:rsid w:val="000D166F"/>
    <w:rsid w:val="000D2842"/>
    <w:rsid w:val="000D2F06"/>
    <w:rsid w:val="000D5554"/>
    <w:rsid w:val="000D7A36"/>
    <w:rsid w:val="000E08FD"/>
    <w:rsid w:val="000E35F5"/>
    <w:rsid w:val="000E35FE"/>
    <w:rsid w:val="000E37D1"/>
    <w:rsid w:val="000E7A5D"/>
    <w:rsid w:val="000F0E85"/>
    <w:rsid w:val="000F0F9F"/>
    <w:rsid w:val="000F4E0E"/>
    <w:rsid w:val="00100B2F"/>
    <w:rsid w:val="00100FE2"/>
    <w:rsid w:val="00103634"/>
    <w:rsid w:val="001170CF"/>
    <w:rsid w:val="0011779E"/>
    <w:rsid w:val="0012125D"/>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6C51"/>
    <w:rsid w:val="0016702F"/>
    <w:rsid w:val="001732EE"/>
    <w:rsid w:val="001739FB"/>
    <w:rsid w:val="00173FC0"/>
    <w:rsid w:val="001763AE"/>
    <w:rsid w:val="00176BBA"/>
    <w:rsid w:val="00176DC5"/>
    <w:rsid w:val="00176E73"/>
    <w:rsid w:val="0017709E"/>
    <w:rsid w:val="001812DE"/>
    <w:rsid w:val="00184B65"/>
    <w:rsid w:val="00184ECF"/>
    <w:rsid w:val="001854A7"/>
    <w:rsid w:val="001860DD"/>
    <w:rsid w:val="00192141"/>
    <w:rsid w:val="001929BE"/>
    <w:rsid w:val="00193EBD"/>
    <w:rsid w:val="00194DCB"/>
    <w:rsid w:val="001A0D5B"/>
    <w:rsid w:val="001A103B"/>
    <w:rsid w:val="001A1E12"/>
    <w:rsid w:val="001A2D5C"/>
    <w:rsid w:val="001A3926"/>
    <w:rsid w:val="001A4A0E"/>
    <w:rsid w:val="001A5074"/>
    <w:rsid w:val="001A7D08"/>
    <w:rsid w:val="001B09F9"/>
    <w:rsid w:val="001B22D3"/>
    <w:rsid w:val="001B2E32"/>
    <w:rsid w:val="001B396D"/>
    <w:rsid w:val="001B3A0F"/>
    <w:rsid w:val="001B446E"/>
    <w:rsid w:val="001C0136"/>
    <w:rsid w:val="001C2A2E"/>
    <w:rsid w:val="001C3B86"/>
    <w:rsid w:val="001C6374"/>
    <w:rsid w:val="001D0A2E"/>
    <w:rsid w:val="001D0BD8"/>
    <w:rsid w:val="001D1724"/>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1E28"/>
    <w:rsid w:val="002021CF"/>
    <w:rsid w:val="002026F5"/>
    <w:rsid w:val="00206B4D"/>
    <w:rsid w:val="00207822"/>
    <w:rsid w:val="0021202D"/>
    <w:rsid w:val="00214190"/>
    <w:rsid w:val="00216FA9"/>
    <w:rsid w:val="00220209"/>
    <w:rsid w:val="002220D5"/>
    <w:rsid w:val="00223198"/>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23FD"/>
    <w:rsid w:val="00263890"/>
    <w:rsid w:val="0026479E"/>
    <w:rsid w:val="002665A2"/>
    <w:rsid w:val="00271978"/>
    <w:rsid w:val="00272574"/>
    <w:rsid w:val="00273440"/>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0797"/>
    <w:rsid w:val="002F1F90"/>
    <w:rsid w:val="002F2BED"/>
    <w:rsid w:val="002F30E0"/>
    <w:rsid w:val="002F3A40"/>
    <w:rsid w:val="002F6006"/>
    <w:rsid w:val="002F667B"/>
    <w:rsid w:val="002F6728"/>
    <w:rsid w:val="002F6FC8"/>
    <w:rsid w:val="00300F39"/>
    <w:rsid w:val="0030282D"/>
    <w:rsid w:val="0030286C"/>
    <w:rsid w:val="0030379B"/>
    <w:rsid w:val="003053D7"/>
    <w:rsid w:val="00305668"/>
    <w:rsid w:val="00305CED"/>
    <w:rsid w:val="003066AC"/>
    <w:rsid w:val="00306771"/>
    <w:rsid w:val="0030792C"/>
    <w:rsid w:val="00307DAD"/>
    <w:rsid w:val="00312344"/>
    <w:rsid w:val="00312F5B"/>
    <w:rsid w:val="0031308C"/>
    <w:rsid w:val="0031392A"/>
    <w:rsid w:val="003167AC"/>
    <w:rsid w:val="00321655"/>
    <w:rsid w:val="0032250E"/>
    <w:rsid w:val="00322580"/>
    <w:rsid w:val="0032279F"/>
    <w:rsid w:val="003229FD"/>
    <w:rsid w:val="003246E2"/>
    <w:rsid w:val="0032589B"/>
    <w:rsid w:val="003260DD"/>
    <w:rsid w:val="0033124F"/>
    <w:rsid w:val="003315AA"/>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6D94"/>
    <w:rsid w:val="00357207"/>
    <w:rsid w:val="003630DE"/>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A5E59"/>
    <w:rsid w:val="003B2A22"/>
    <w:rsid w:val="003B32B5"/>
    <w:rsid w:val="003B3A7C"/>
    <w:rsid w:val="003B4E63"/>
    <w:rsid w:val="003B559A"/>
    <w:rsid w:val="003B65E3"/>
    <w:rsid w:val="003B6F7D"/>
    <w:rsid w:val="003C014C"/>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3153"/>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1DF7"/>
    <w:rsid w:val="0045289B"/>
    <w:rsid w:val="004539D4"/>
    <w:rsid w:val="00453CFB"/>
    <w:rsid w:val="0045405C"/>
    <w:rsid w:val="00455021"/>
    <w:rsid w:val="00456BA6"/>
    <w:rsid w:val="00460393"/>
    <w:rsid w:val="00461413"/>
    <w:rsid w:val="004614D9"/>
    <w:rsid w:val="00461DA2"/>
    <w:rsid w:val="00462789"/>
    <w:rsid w:val="00462F89"/>
    <w:rsid w:val="004638D9"/>
    <w:rsid w:val="00467F33"/>
    <w:rsid w:val="00471859"/>
    <w:rsid w:val="00475F95"/>
    <w:rsid w:val="00476172"/>
    <w:rsid w:val="00477487"/>
    <w:rsid w:val="0048098C"/>
    <w:rsid w:val="00480BAE"/>
    <w:rsid w:val="00480E4E"/>
    <w:rsid w:val="00481ADA"/>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6E3D"/>
    <w:rsid w:val="004A7C02"/>
    <w:rsid w:val="004B1516"/>
    <w:rsid w:val="004B38D8"/>
    <w:rsid w:val="004B637A"/>
    <w:rsid w:val="004B664F"/>
    <w:rsid w:val="004C16C9"/>
    <w:rsid w:val="004C1961"/>
    <w:rsid w:val="004C1A82"/>
    <w:rsid w:val="004C1AB7"/>
    <w:rsid w:val="004C1B70"/>
    <w:rsid w:val="004C3D4B"/>
    <w:rsid w:val="004C6EE2"/>
    <w:rsid w:val="004C71C5"/>
    <w:rsid w:val="004D0408"/>
    <w:rsid w:val="004D381D"/>
    <w:rsid w:val="004D3D30"/>
    <w:rsid w:val="004D464D"/>
    <w:rsid w:val="004D50E0"/>
    <w:rsid w:val="004D6828"/>
    <w:rsid w:val="004E16F5"/>
    <w:rsid w:val="004E290F"/>
    <w:rsid w:val="004E70CE"/>
    <w:rsid w:val="004F1511"/>
    <w:rsid w:val="004F41A3"/>
    <w:rsid w:val="004F7B5B"/>
    <w:rsid w:val="00505235"/>
    <w:rsid w:val="005052F4"/>
    <w:rsid w:val="005055B1"/>
    <w:rsid w:val="0050609E"/>
    <w:rsid w:val="00514D19"/>
    <w:rsid w:val="00516DB6"/>
    <w:rsid w:val="00516FD5"/>
    <w:rsid w:val="005173DA"/>
    <w:rsid w:val="00520C33"/>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0831"/>
    <w:rsid w:val="005620F2"/>
    <w:rsid w:val="0056451B"/>
    <w:rsid w:val="00565398"/>
    <w:rsid w:val="00565B1B"/>
    <w:rsid w:val="005665B7"/>
    <w:rsid w:val="0056676E"/>
    <w:rsid w:val="00566825"/>
    <w:rsid w:val="00566C4A"/>
    <w:rsid w:val="0056718A"/>
    <w:rsid w:val="00567455"/>
    <w:rsid w:val="00570518"/>
    <w:rsid w:val="00571422"/>
    <w:rsid w:val="00580739"/>
    <w:rsid w:val="00583478"/>
    <w:rsid w:val="00587918"/>
    <w:rsid w:val="005879FB"/>
    <w:rsid w:val="005904F3"/>
    <w:rsid w:val="00590BF9"/>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E1274"/>
    <w:rsid w:val="005E13E0"/>
    <w:rsid w:val="005E36A0"/>
    <w:rsid w:val="005E4EC3"/>
    <w:rsid w:val="005E64B5"/>
    <w:rsid w:val="005E7457"/>
    <w:rsid w:val="005E74D7"/>
    <w:rsid w:val="005E790B"/>
    <w:rsid w:val="005F092A"/>
    <w:rsid w:val="005F1258"/>
    <w:rsid w:val="005F256A"/>
    <w:rsid w:val="005F3117"/>
    <w:rsid w:val="005F69DB"/>
    <w:rsid w:val="0060191C"/>
    <w:rsid w:val="00603D46"/>
    <w:rsid w:val="0060502A"/>
    <w:rsid w:val="006054D8"/>
    <w:rsid w:val="00607C65"/>
    <w:rsid w:val="00610143"/>
    <w:rsid w:val="006101B1"/>
    <w:rsid w:val="00610C2F"/>
    <w:rsid w:val="006118C4"/>
    <w:rsid w:val="00612526"/>
    <w:rsid w:val="00612807"/>
    <w:rsid w:val="00612FD7"/>
    <w:rsid w:val="00613A94"/>
    <w:rsid w:val="00614AE8"/>
    <w:rsid w:val="0061522B"/>
    <w:rsid w:val="0061539D"/>
    <w:rsid w:val="0061583B"/>
    <w:rsid w:val="00615B18"/>
    <w:rsid w:val="00621703"/>
    <w:rsid w:val="00621836"/>
    <w:rsid w:val="00621F58"/>
    <w:rsid w:val="00622325"/>
    <w:rsid w:val="00622348"/>
    <w:rsid w:val="006235B1"/>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3E4D"/>
    <w:rsid w:val="00645862"/>
    <w:rsid w:val="006458D8"/>
    <w:rsid w:val="00647753"/>
    <w:rsid w:val="0065221D"/>
    <w:rsid w:val="00652887"/>
    <w:rsid w:val="00653B88"/>
    <w:rsid w:val="00654659"/>
    <w:rsid w:val="00655087"/>
    <w:rsid w:val="00655D54"/>
    <w:rsid w:val="00655F4C"/>
    <w:rsid w:val="0065777B"/>
    <w:rsid w:val="00657C86"/>
    <w:rsid w:val="00661780"/>
    <w:rsid w:val="00663D7F"/>
    <w:rsid w:val="00663FED"/>
    <w:rsid w:val="00667F99"/>
    <w:rsid w:val="006719DE"/>
    <w:rsid w:val="00673C97"/>
    <w:rsid w:val="00674566"/>
    <w:rsid w:val="006746B1"/>
    <w:rsid w:val="006808E8"/>
    <w:rsid w:val="00682FE2"/>
    <w:rsid w:val="00684284"/>
    <w:rsid w:val="00684579"/>
    <w:rsid w:val="00686750"/>
    <w:rsid w:val="00686CBD"/>
    <w:rsid w:val="00686CC5"/>
    <w:rsid w:val="0068700B"/>
    <w:rsid w:val="0069559D"/>
    <w:rsid w:val="006958DF"/>
    <w:rsid w:val="0069597D"/>
    <w:rsid w:val="00695D67"/>
    <w:rsid w:val="00696F8C"/>
    <w:rsid w:val="0069700C"/>
    <w:rsid w:val="00697037"/>
    <w:rsid w:val="00697801"/>
    <w:rsid w:val="006A074F"/>
    <w:rsid w:val="006A32E6"/>
    <w:rsid w:val="006A54E3"/>
    <w:rsid w:val="006A55D7"/>
    <w:rsid w:val="006A7AD1"/>
    <w:rsid w:val="006B20CA"/>
    <w:rsid w:val="006B440B"/>
    <w:rsid w:val="006B4EA6"/>
    <w:rsid w:val="006B5189"/>
    <w:rsid w:val="006C09DE"/>
    <w:rsid w:val="006C1055"/>
    <w:rsid w:val="006C3E9D"/>
    <w:rsid w:val="006C44B9"/>
    <w:rsid w:val="006C4FA4"/>
    <w:rsid w:val="006C51D6"/>
    <w:rsid w:val="006C6552"/>
    <w:rsid w:val="006C67DC"/>
    <w:rsid w:val="006C6E85"/>
    <w:rsid w:val="006C7D91"/>
    <w:rsid w:val="006C7FED"/>
    <w:rsid w:val="006D0C85"/>
    <w:rsid w:val="006D15EB"/>
    <w:rsid w:val="006D2A77"/>
    <w:rsid w:val="006D2ED9"/>
    <w:rsid w:val="006D4052"/>
    <w:rsid w:val="006D425B"/>
    <w:rsid w:val="006D6F56"/>
    <w:rsid w:val="006D7D80"/>
    <w:rsid w:val="006E17AC"/>
    <w:rsid w:val="006E24C6"/>
    <w:rsid w:val="006E32F6"/>
    <w:rsid w:val="006E60D8"/>
    <w:rsid w:val="006E60E5"/>
    <w:rsid w:val="006F0B83"/>
    <w:rsid w:val="006F2777"/>
    <w:rsid w:val="00701836"/>
    <w:rsid w:val="00701F70"/>
    <w:rsid w:val="00702650"/>
    <w:rsid w:val="007062E3"/>
    <w:rsid w:val="00706936"/>
    <w:rsid w:val="0070769C"/>
    <w:rsid w:val="0071004F"/>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1A70"/>
    <w:rsid w:val="0075223F"/>
    <w:rsid w:val="00752DCE"/>
    <w:rsid w:val="00753727"/>
    <w:rsid w:val="00755404"/>
    <w:rsid w:val="00755676"/>
    <w:rsid w:val="0075682F"/>
    <w:rsid w:val="00760E65"/>
    <w:rsid w:val="00763B07"/>
    <w:rsid w:val="00763D41"/>
    <w:rsid w:val="00766CD4"/>
    <w:rsid w:val="0077147D"/>
    <w:rsid w:val="00772085"/>
    <w:rsid w:val="0077280A"/>
    <w:rsid w:val="007814A1"/>
    <w:rsid w:val="007829AE"/>
    <w:rsid w:val="00786C6C"/>
    <w:rsid w:val="00790072"/>
    <w:rsid w:val="00791FB2"/>
    <w:rsid w:val="00792569"/>
    <w:rsid w:val="007936E5"/>
    <w:rsid w:val="00793A96"/>
    <w:rsid w:val="007A29C5"/>
    <w:rsid w:val="007B0185"/>
    <w:rsid w:val="007B0A56"/>
    <w:rsid w:val="007B4B9B"/>
    <w:rsid w:val="007B7493"/>
    <w:rsid w:val="007C0FA2"/>
    <w:rsid w:val="007C425D"/>
    <w:rsid w:val="007C431E"/>
    <w:rsid w:val="007C6084"/>
    <w:rsid w:val="007C7E77"/>
    <w:rsid w:val="007D3CF3"/>
    <w:rsid w:val="007D40E6"/>
    <w:rsid w:val="007D58E2"/>
    <w:rsid w:val="007D6401"/>
    <w:rsid w:val="007D76D3"/>
    <w:rsid w:val="007D7ECD"/>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5437"/>
    <w:rsid w:val="007F5BE2"/>
    <w:rsid w:val="007F75E1"/>
    <w:rsid w:val="007F7723"/>
    <w:rsid w:val="007F786E"/>
    <w:rsid w:val="0080057F"/>
    <w:rsid w:val="008005B3"/>
    <w:rsid w:val="0080262B"/>
    <w:rsid w:val="008027F5"/>
    <w:rsid w:val="0080381D"/>
    <w:rsid w:val="00803BBF"/>
    <w:rsid w:val="008045A7"/>
    <w:rsid w:val="00804F2A"/>
    <w:rsid w:val="00806F80"/>
    <w:rsid w:val="008111C0"/>
    <w:rsid w:val="00811217"/>
    <w:rsid w:val="00814E34"/>
    <w:rsid w:val="008156EB"/>
    <w:rsid w:val="008158EE"/>
    <w:rsid w:val="0081603E"/>
    <w:rsid w:val="00816EB3"/>
    <w:rsid w:val="00824389"/>
    <w:rsid w:val="008252B3"/>
    <w:rsid w:val="00826339"/>
    <w:rsid w:val="00826661"/>
    <w:rsid w:val="008277BB"/>
    <w:rsid w:val="00831D40"/>
    <w:rsid w:val="00832530"/>
    <w:rsid w:val="0083491C"/>
    <w:rsid w:val="00834DFD"/>
    <w:rsid w:val="00835FDF"/>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2E0D"/>
    <w:rsid w:val="00894D12"/>
    <w:rsid w:val="00894E26"/>
    <w:rsid w:val="008951D4"/>
    <w:rsid w:val="00895D2A"/>
    <w:rsid w:val="00896C4C"/>
    <w:rsid w:val="008A1923"/>
    <w:rsid w:val="008A20CD"/>
    <w:rsid w:val="008A26D8"/>
    <w:rsid w:val="008A37CD"/>
    <w:rsid w:val="008A5B8F"/>
    <w:rsid w:val="008A5EC4"/>
    <w:rsid w:val="008A6BDF"/>
    <w:rsid w:val="008A716B"/>
    <w:rsid w:val="008B5B4F"/>
    <w:rsid w:val="008B7538"/>
    <w:rsid w:val="008C0E13"/>
    <w:rsid w:val="008C2CAB"/>
    <w:rsid w:val="008C335D"/>
    <w:rsid w:val="008C3CC7"/>
    <w:rsid w:val="008C5A60"/>
    <w:rsid w:val="008D2721"/>
    <w:rsid w:val="008D4222"/>
    <w:rsid w:val="008D448D"/>
    <w:rsid w:val="008D48DD"/>
    <w:rsid w:val="008D54D2"/>
    <w:rsid w:val="008D5B12"/>
    <w:rsid w:val="008D5E3B"/>
    <w:rsid w:val="008E114F"/>
    <w:rsid w:val="008E7A56"/>
    <w:rsid w:val="008E7C63"/>
    <w:rsid w:val="008F1A68"/>
    <w:rsid w:val="008F2DEE"/>
    <w:rsid w:val="008F33FE"/>
    <w:rsid w:val="008F3A92"/>
    <w:rsid w:val="008F5F39"/>
    <w:rsid w:val="008F71EA"/>
    <w:rsid w:val="00900F5C"/>
    <w:rsid w:val="00900F92"/>
    <w:rsid w:val="0090278A"/>
    <w:rsid w:val="009029A5"/>
    <w:rsid w:val="00910A12"/>
    <w:rsid w:val="009136F9"/>
    <w:rsid w:val="00916274"/>
    <w:rsid w:val="00917AB1"/>
    <w:rsid w:val="0092016B"/>
    <w:rsid w:val="0092078E"/>
    <w:rsid w:val="00921161"/>
    <w:rsid w:val="00922F79"/>
    <w:rsid w:val="00923692"/>
    <w:rsid w:val="00923729"/>
    <w:rsid w:val="00923D04"/>
    <w:rsid w:val="00924154"/>
    <w:rsid w:val="00924749"/>
    <w:rsid w:val="0092599A"/>
    <w:rsid w:val="00926435"/>
    <w:rsid w:val="00930D40"/>
    <w:rsid w:val="009320BE"/>
    <w:rsid w:val="0093245D"/>
    <w:rsid w:val="00932DF7"/>
    <w:rsid w:val="00935FFF"/>
    <w:rsid w:val="00936873"/>
    <w:rsid w:val="00937630"/>
    <w:rsid w:val="00937AFB"/>
    <w:rsid w:val="00941A38"/>
    <w:rsid w:val="00943DB0"/>
    <w:rsid w:val="009445C2"/>
    <w:rsid w:val="00945ABF"/>
    <w:rsid w:val="00947508"/>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6BB9"/>
    <w:rsid w:val="0098796E"/>
    <w:rsid w:val="0099115A"/>
    <w:rsid w:val="00991BB0"/>
    <w:rsid w:val="00992FA0"/>
    <w:rsid w:val="0099449B"/>
    <w:rsid w:val="009947DB"/>
    <w:rsid w:val="00994916"/>
    <w:rsid w:val="00994E48"/>
    <w:rsid w:val="0099601C"/>
    <w:rsid w:val="00997702"/>
    <w:rsid w:val="009A21C5"/>
    <w:rsid w:val="009A2D1C"/>
    <w:rsid w:val="009A428D"/>
    <w:rsid w:val="009A453D"/>
    <w:rsid w:val="009A4639"/>
    <w:rsid w:val="009A656B"/>
    <w:rsid w:val="009A73A9"/>
    <w:rsid w:val="009A7DE1"/>
    <w:rsid w:val="009B1383"/>
    <w:rsid w:val="009B75D1"/>
    <w:rsid w:val="009B7F09"/>
    <w:rsid w:val="009C1EA0"/>
    <w:rsid w:val="009C3A17"/>
    <w:rsid w:val="009C47DE"/>
    <w:rsid w:val="009C4D38"/>
    <w:rsid w:val="009C501E"/>
    <w:rsid w:val="009C50FC"/>
    <w:rsid w:val="009D0479"/>
    <w:rsid w:val="009D0924"/>
    <w:rsid w:val="009D2B1E"/>
    <w:rsid w:val="009D34D2"/>
    <w:rsid w:val="009D55DE"/>
    <w:rsid w:val="009D56B4"/>
    <w:rsid w:val="009E222E"/>
    <w:rsid w:val="009E2755"/>
    <w:rsid w:val="009E43C3"/>
    <w:rsid w:val="009E50FD"/>
    <w:rsid w:val="009E5D13"/>
    <w:rsid w:val="009E5FB2"/>
    <w:rsid w:val="009E61C0"/>
    <w:rsid w:val="009E7648"/>
    <w:rsid w:val="009F017C"/>
    <w:rsid w:val="009F1081"/>
    <w:rsid w:val="009F245B"/>
    <w:rsid w:val="009F3C30"/>
    <w:rsid w:val="009F4C77"/>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E38"/>
    <w:rsid w:val="00A33216"/>
    <w:rsid w:val="00A34A3A"/>
    <w:rsid w:val="00A34AC3"/>
    <w:rsid w:val="00A37CE5"/>
    <w:rsid w:val="00A404B1"/>
    <w:rsid w:val="00A434D9"/>
    <w:rsid w:val="00A44129"/>
    <w:rsid w:val="00A44FB7"/>
    <w:rsid w:val="00A46EC6"/>
    <w:rsid w:val="00A46FB9"/>
    <w:rsid w:val="00A47071"/>
    <w:rsid w:val="00A51E43"/>
    <w:rsid w:val="00A55A64"/>
    <w:rsid w:val="00A61DE2"/>
    <w:rsid w:val="00A65372"/>
    <w:rsid w:val="00A66446"/>
    <w:rsid w:val="00A67762"/>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A2CBC"/>
    <w:rsid w:val="00AA4CDC"/>
    <w:rsid w:val="00AA534C"/>
    <w:rsid w:val="00AA6D33"/>
    <w:rsid w:val="00AA6D42"/>
    <w:rsid w:val="00AA7D47"/>
    <w:rsid w:val="00AB118B"/>
    <w:rsid w:val="00AB1A49"/>
    <w:rsid w:val="00AB3B2F"/>
    <w:rsid w:val="00AB4374"/>
    <w:rsid w:val="00AB5F5D"/>
    <w:rsid w:val="00AB7823"/>
    <w:rsid w:val="00AC0F37"/>
    <w:rsid w:val="00AC1CB6"/>
    <w:rsid w:val="00AC2E74"/>
    <w:rsid w:val="00AC37B2"/>
    <w:rsid w:val="00AD1980"/>
    <w:rsid w:val="00AD323F"/>
    <w:rsid w:val="00AD414A"/>
    <w:rsid w:val="00AD419B"/>
    <w:rsid w:val="00AD452E"/>
    <w:rsid w:val="00AD595E"/>
    <w:rsid w:val="00AD5DDA"/>
    <w:rsid w:val="00AE1FC9"/>
    <w:rsid w:val="00AE26B0"/>
    <w:rsid w:val="00AE481D"/>
    <w:rsid w:val="00AE737B"/>
    <w:rsid w:val="00AF319E"/>
    <w:rsid w:val="00AF3647"/>
    <w:rsid w:val="00AF41F2"/>
    <w:rsid w:val="00AF69A6"/>
    <w:rsid w:val="00AF6B00"/>
    <w:rsid w:val="00AF6F96"/>
    <w:rsid w:val="00AF75FB"/>
    <w:rsid w:val="00AF7D31"/>
    <w:rsid w:val="00B00435"/>
    <w:rsid w:val="00B00829"/>
    <w:rsid w:val="00B01E0B"/>
    <w:rsid w:val="00B04A30"/>
    <w:rsid w:val="00B062AD"/>
    <w:rsid w:val="00B06C8B"/>
    <w:rsid w:val="00B075B0"/>
    <w:rsid w:val="00B110B4"/>
    <w:rsid w:val="00B11CEA"/>
    <w:rsid w:val="00B17C8F"/>
    <w:rsid w:val="00B2055D"/>
    <w:rsid w:val="00B21A85"/>
    <w:rsid w:val="00B21C2D"/>
    <w:rsid w:val="00B225D6"/>
    <w:rsid w:val="00B234EF"/>
    <w:rsid w:val="00B23DA4"/>
    <w:rsid w:val="00B243FE"/>
    <w:rsid w:val="00B24904"/>
    <w:rsid w:val="00B24CBA"/>
    <w:rsid w:val="00B2666F"/>
    <w:rsid w:val="00B26F93"/>
    <w:rsid w:val="00B27BFC"/>
    <w:rsid w:val="00B306A5"/>
    <w:rsid w:val="00B3096E"/>
    <w:rsid w:val="00B3205D"/>
    <w:rsid w:val="00B32A73"/>
    <w:rsid w:val="00B36FA1"/>
    <w:rsid w:val="00B37511"/>
    <w:rsid w:val="00B40DFC"/>
    <w:rsid w:val="00B427FF"/>
    <w:rsid w:val="00B451AE"/>
    <w:rsid w:val="00B52973"/>
    <w:rsid w:val="00B52EB1"/>
    <w:rsid w:val="00B53218"/>
    <w:rsid w:val="00B5455D"/>
    <w:rsid w:val="00B56B51"/>
    <w:rsid w:val="00B6121E"/>
    <w:rsid w:val="00B61A5C"/>
    <w:rsid w:val="00B62B2E"/>
    <w:rsid w:val="00B637D3"/>
    <w:rsid w:val="00B65A10"/>
    <w:rsid w:val="00B66F4D"/>
    <w:rsid w:val="00B6732B"/>
    <w:rsid w:val="00B74786"/>
    <w:rsid w:val="00B757FD"/>
    <w:rsid w:val="00B770CF"/>
    <w:rsid w:val="00B80F65"/>
    <w:rsid w:val="00B81556"/>
    <w:rsid w:val="00B82878"/>
    <w:rsid w:val="00B832AE"/>
    <w:rsid w:val="00B83B50"/>
    <w:rsid w:val="00B85C83"/>
    <w:rsid w:val="00B8797E"/>
    <w:rsid w:val="00B90965"/>
    <w:rsid w:val="00B92E82"/>
    <w:rsid w:val="00B93A28"/>
    <w:rsid w:val="00B93F30"/>
    <w:rsid w:val="00B94B25"/>
    <w:rsid w:val="00B958A6"/>
    <w:rsid w:val="00B96FBF"/>
    <w:rsid w:val="00BA1537"/>
    <w:rsid w:val="00BA2132"/>
    <w:rsid w:val="00BA2636"/>
    <w:rsid w:val="00BA5987"/>
    <w:rsid w:val="00BA66F3"/>
    <w:rsid w:val="00BA6755"/>
    <w:rsid w:val="00BA745B"/>
    <w:rsid w:val="00BB349D"/>
    <w:rsid w:val="00BB5110"/>
    <w:rsid w:val="00BB514E"/>
    <w:rsid w:val="00BB62ED"/>
    <w:rsid w:val="00BC0793"/>
    <w:rsid w:val="00BC092A"/>
    <w:rsid w:val="00BC2E11"/>
    <w:rsid w:val="00BC33F8"/>
    <w:rsid w:val="00BC61FC"/>
    <w:rsid w:val="00BD30B2"/>
    <w:rsid w:val="00BD3765"/>
    <w:rsid w:val="00BD3F58"/>
    <w:rsid w:val="00BD583E"/>
    <w:rsid w:val="00BE0ADB"/>
    <w:rsid w:val="00BE0EB9"/>
    <w:rsid w:val="00BE10C7"/>
    <w:rsid w:val="00BE6469"/>
    <w:rsid w:val="00BE7A85"/>
    <w:rsid w:val="00BE7D4C"/>
    <w:rsid w:val="00BF0952"/>
    <w:rsid w:val="00BF1568"/>
    <w:rsid w:val="00BF321E"/>
    <w:rsid w:val="00BF4E44"/>
    <w:rsid w:val="00BF602D"/>
    <w:rsid w:val="00BF7B4F"/>
    <w:rsid w:val="00C00218"/>
    <w:rsid w:val="00C01305"/>
    <w:rsid w:val="00C01849"/>
    <w:rsid w:val="00C0532A"/>
    <w:rsid w:val="00C05F9F"/>
    <w:rsid w:val="00C06CF0"/>
    <w:rsid w:val="00C07D01"/>
    <w:rsid w:val="00C11FEA"/>
    <w:rsid w:val="00C124C6"/>
    <w:rsid w:val="00C12F29"/>
    <w:rsid w:val="00C1340D"/>
    <w:rsid w:val="00C14AF9"/>
    <w:rsid w:val="00C152AD"/>
    <w:rsid w:val="00C221B1"/>
    <w:rsid w:val="00C22FF7"/>
    <w:rsid w:val="00C232C0"/>
    <w:rsid w:val="00C236E0"/>
    <w:rsid w:val="00C23CA1"/>
    <w:rsid w:val="00C23F3D"/>
    <w:rsid w:val="00C258E4"/>
    <w:rsid w:val="00C25FEE"/>
    <w:rsid w:val="00C31793"/>
    <w:rsid w:val="00C32AC9"/>
    <w:rsid w:val="00C373FE"/>
    <w:rsid w:val="00C37F15"/>
    <w:rsid w:val="00C4329A"/>
    <w:rsid w:val="00C45687"/>
    <w:rsid w:val="00C45730"/>
    <w:rsid w:val="00C45A45"/>
    <w:rsid w:val="00C47CCD"/>
    <w:rsid w:val="00C50174"/>
    <w:rsid w:val="00C504B1"/>
    <w:rsid w:val="00C5213B"/>
    <w:rsid w:val="00C52AF1"/>
    <w:rsid w:val="00C53638"/>
    <w:rsid w:val="00C541C4"/>
    <w:rsid w:val="00C54255"/>
    <w:rsid w:val="00C55BA4"/>
    <w:rsid w:val="00C57E9A"/>
    <w:rsid w:val="00C61A27"/>
    <w:rsid w:val="00C62E0E"/>
    <w:rsid w:val="00C64ACC"/>
    <w:rsid w:val="00C6573A"/>
    <w:rsid w:val="00C66CC4"/>
    <w:rsid w:val="00C70D7F"/>
    <w:rsid w:val="00C715CB"/>
    <w:rsid w:val="00C7209A"/>
    <w:rsid w:val="00C721BC"/>
    <w:rsid w:val="00C72254"/>
    <w:rsid w:val="00C7237E"/>
    <w:rsid w:val="00C77758"/>
    <w:rsid w:val="00C77BDE"/>
    <w:rsid w:val="00C77C78"/>
    <w:rsid w:val="00C804DA"/>
    <w:rsid w:val="00C80FCB"/>
    <w:rsid w:val="00C814C8"/>
    <w:rsid w:val="00C819D0"/>
    <w:rsid w:val="00C81B6C"/>
    <w:rsid w:val="00C8206B"/>
    <w:rsid w:val="00C86511"/>
    <w:rsid w:val="00C874D2"/>
    <w:rsid w:val="00C9168E"/>
    <w:rsid w:val="00C930E0"/>
    <w:rsid w:val="00C937F4"/>
    <w:rsid w:val="00C93855"/>
    <w:rsid w:val="00C94ADE"/>
    <w:rsid w:val="00C96464"/>
    <w:rsid w:val="00CA464D"/>
    <w:rsid w:val="00CA538C"/>
    <w:rsid w:val="00CA54B4"/>
    <w:rsid w:val="00CA70EC"/>
    <w:rsid w:val="00CB06D6"/>
    <w:rsid w:val="00CB21A9"/>
    <w:rsid w:val="00CB275A"/>
    <w:rsid w:val="00CB2FA0"/>
    <w:rsid w:val="00CB5825"/>
    <w:rsid w:val="00CB5C91"/>
    <w:rsid w:val="00CB6330"/>
    <w:rsid w:val="00CC0829"/>
    <w:rsid w:val="00CC1B4D"/>
    <w:rsid w:val="00CC2405"/>
    <w:rsid w:val="00CC28F1"/>
    <w:rsid w:val="00CC2AA4"/>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E5F79"/>
    <w:rsid w:val="00CE7ECB"/>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289B"/>
    <w:rsid w:val="00D12CA8"/>
    <w:rsid w:val="00D13D95"/>
    <w:rsid w:val="00D14204"/>
    <w:rsid w:val="00D1653A"/>
    <w:rsid w:val="00D17DF2"/>
    <w:rsid w:val="00D200CA"/>
    <w:rsid w:val="00D21550"/>
    <w:rsid w:val="00D222AD"/>
    <w:rsid w:val="00D22B5B"/>
    <w:rsid w:val="00D22C3A"/>
    <w:rsid w:val="00D22E1E"/>
    <w:rsid w:val="00D24178"/>
    <w:rsid w:val="00D24A1C"/>
    <w:rsid w:val="00D2504A"/>
    <w:rsid w:val="00D250E6"/>
    <w:rsid w:val="00D31166"/>
    <w:rsid w:val="00D32ECC"/>
    <w:rsid w:val="00D37283"/>
    <w:rsid w:val="00D4012B"/>
    <w:rsid w:val="00D4065E"/>
    <w:rsid w:val="00D427F0"/>
    <w:rsid w:val="00D43C23"/>
    <w:rsid w:val="00D4756A"/>
    <w:rsid w:val="00D51EC8"/>
    <w:rsid w:val="00D525A8"/>
    <w:rsid w:val="00D52ACF"/>
    <w:rsid w:val="00D53787"/>
    <w:rsid w:val="00D539AF"/>
    <w:rsid w:val="00D5468C"/>
    <w:rsid w:val="00D558C8"/>
    <w:rsid w:val="00D56DA9"/>
    <w:rsid w:val="00D60119"/>
    <w:rsid w:val="00D624EC"/>
    <w:rsid w:val="00D625D4"/>
    <w:rsid w:val="00D64261"/>
    <w:rsid w:val="00D6520A"/>
    <w:rsid w:val="00D66692"/>
    <w:rsid w:val="00D70AE3"/>
    <w:rsid w:val="00D713E4"/>
    <w:rsid w:val="00D727FB"/>
    <w:rsid w:val="00D73B65"/>
    <w:rsid w:val="00D73B8E"/>
    <w:rsid w:val="00D73D41"/>
    <w:rsid w:val="00D751EB"/>
    <w:rsid w:val="00D75A89"/>
    <w:rsid w:val="00D77608"/>
    <w:rsid w:val="00D80609"/>
    <w:rsid w:val="00D807CB"/>
    <w:rsid w:val="00D82A79"/>
    <w:rsid w:val="00D84033"/>
    <w:rsid w:val="00D8426C"/>
    <w:rsid w:val="00D87983"/>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51EC"/>
    <w:rsid w:val="00DF6DF2"/>
    <w:rsid w:val="00DF6E6A"/>
    <w:rsid w:val="00DF7BE7"/>
    <w:rsid w:val="00E00EE7"/>
    <w:rsid w:val="00E01097"/>
    <w:rsid w:val="00E014CB"/>
    <w:rsid w:val="00E1004D"/>
    <w:rsid w:val="00E104D3"/>
    <w:rsid w:val="00E11F4B"/>
    <w:rsid w:val="00E125E4"/>
    <w:rsid w:val="00E12963"/>
    <w:rsid w:val="00E13FF8"/>
    <w:rsid w:val="00E1428A"/>
    <w:rsid w:val="00E145C4"/>
    <w:rsid w:val="00E14BB3"/>
    <w:rsid w:val="00E169AA"/>
    <w:rsid w:val="00E16D8E"/>
    <w:rsid w:val="00E17883"/>
    <w:rsid w:val="00E20C0F"/>
    <w:rsid w:val="00E2458B"/>
    <w:rsid w:val="00E2468A"/>
    <w:rsid w:val="00E32DAA"/>
    <w:rsid w:val="00E36E4C"/>
    <w:rsid w:val="00E3769D"/>
    <w:rsid w:val="00E4022E"/>
    <w:rsid w:val="00E4455A"/>
    <w:rsid w:val="00E4488A"/>
    <w:rsid w:val="00E52F4A"/>
    <w:rsid w:val="00E531F5"/>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43BD"/>
    <w:rsid w:val="00EA1763"/>
    <w:rsid w:val="00EA186E"/>
    <w:rsid w:val="00EA3851"/>
    <w:rsid w:val="00EA5F8F"/>
    <w:rsid w:val="00EA6423"/>
    <w:rsid w:val="00EB214B"/>
    <w:rsid w:val="00EB30B4"/>
    <w:rsid w:val="00EB5A58"/>
    <w:rsid w:val="00EB6AC4"/>
    <w:rsid w:val="00EB7428"/>
    <w:rsid w:val="00EC0025"/>
    <w:rsid w:val="00EC1380"/>
    <w:rsid w:val="00EC1463"/>
    <w:rsid w:val="00EC3E6A"/>
    <w:rsid w:val="00EC456D"/>
    <w:rsid w:val="00EC5027"/>
    <w:rsid w:val="00EC5E32"/>
    <w:rsid w:val="00EC6A76"/>
    <w:rsid w:val="00EC7ADC"/>
    <w:rsid w:val="00ED2D8B"/>
    <w:rsid w:val="00ED3981"/>
    <w:rsid w:val="00ED40B7"/>
    <w:rsid w:val="00ED42A7"/>
    <w:rsid w:val="00ED51FC"/>
    <w:rsid w:val="00ED7F7F"/>
    <w:rsid w:val="00EE0626"/>
    <w:rsid w:val="00EE120F"/>
    <w:rsid w:val="00EF0C73"/>
    <w:rsid w:val="00EF36CB"/>
    <w:rsid w:val="00EF5129"/>
    <w:rsid w:val="00EF56B2"/>
    <w:rsid w:val="00EF5F2E"/>
    <w:rsid w:val="00F010A9"/>
    <w:rsid w:val="00F0347B"/>
    <w:rsid w:val="00F119E2"/>
    <w:rsid w:val="00F11AA2"/>
    <w:rsid w:val="00F13393"/>
    <w:rsid w:val="00F144F4"/>
    <w:rsid w:val="00F156AC"/>
    <w:rsid w:val="00F21CAD"/>
    <w:rsid w:val="00F228FA"/>
    <w:rsid w:val="00F22B53"/>
    <w:rsid w:val="00F23BCE"/>
    <w:rsid w:val="00F2598F"/>
    <w:rsid w:val="00F272DC"/>
    <w:rsid w:val="00F31901"/>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0D63"/>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53FA"/>
    <w:rsid w:val="00FA6901"/>
    <w:rsid w:val="00FA6BAD"/>
    <w:rsid w:val="00FA7091"/>
    <w:rsid w:val="00FB020F"/>
    <w:rsid w:val="00FB035A"/>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3C23"/>
    <w:rsid w:val="00FD4174"/>
    <w:rsid w:val="00FD438B"/>
    <w:rsid w:val="00FE07B4"/>
    <w:rsid w:val="00FE1979"/>
    <w:rsid w:val="00FE1F09"/>
    <w:rsid w:val="00FE39FA"/>
    <w:rsid w:val="00FE43F1"/>
    <w:rsid w:val="00FE44E3"/>
    <w:rsid w:val="00FE7888"/>
    <w:rsid w:val="00FE7ADF"/>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86D24"/>
  <w15:docId w15:val="{DB4F531F-FC24-4F4A-A729-8B532A0D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D54D2"/>
    <w:pPr>
      <w:kinsoku w:val="0"/>
      <w:overflowPunct w:val="0"/>
      <w:autoSpaceDE w:val="0"/>
      <w:autoSpaceDN w:val="0"/>
      <w:adjustRightInd w:val="0"/>
      <w:snapToGrid w:val="0"/>
      <w:spacing w:after="240" w:line="400" w:lineRule="exact"/>
      <w:jc w:val="both"/>
    </w:pPr>
    <w:rPr>
      <w:rFonts w:ascii="Minion Pro" w:eastAsia="Times New Roman" w:hAnsi="Minion Pro" w:cs="Times New Roman"/>
      <w:b/>
      <w:snapToGrid w:val="0"/>
      <w:color w:val="000000"/>
      <w:kern w:val="0"/>
      <w:sz w:val="36"/>
      <w:lang w:eastAsia="de-DE" w:bidi="en-US"/>
    </w:rPr>
  </w:style>
  <w:style w:type="paragraph" w:customStyle="1" w:styleId="Mdeck1articletype">
    <w:name w:val="M_deck_1_article_type"/>
    <w:basedOn w:val="Mdeck4text"/>
    <w:next w:val="Mdeck1articletitle"/>
    <w:qFormat/>
    <w:rsid w:val="008D54D2"/>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8D54D2"/>
    <w:pPr>
      <w:widowControl w:val="0"/>
      <w:kinsoku w:val="0"/>
      <w:overflowPunct w:val="0"/>
      <w:autoSpaceDE w:val="0"/>
      <w:autoSpaceDN w:val="0"/>
      <w:adjustRightInd w:val="0"/>
      <w:snapToGrid w:val="0"/>
      <w:spacing w:line="340" w:lineRule="atLeast"/>
      <w:ind w:left="311" w:hanging="198"/>
      <w:jc w:val="both"/>
    </w:pPr>
    <w:rPr>
      <w:rFonts w:ascii="Palatino Linotype" w:eastAsia="Times New Roman" w:hAnsi="Palatino Linotype" w:cs="Times New Roman"/>
      <w:snapToGrid w:val="0"/>
      <w:color w:val="000000"/>
      <w:kern w:val="0"/>
      <w:sz w:val="24"/>
      <w:lang w:eastAsia="de-DE" w:bidi="en-US"/>
    </w:rPr>
  </w:style>
  <w:style w:type="paragraph" w:customStyle="1" w:styleId="Mdeck2authorcorrespondence">
    <w:name w:val="M_deck_2_author_correspondence"/>
    <w:qFormat/>
    <w:rsid w:val="008D54D2"/>
    <w:pPr>
      <w:kinsoku w:val="0"/>
      <w:overflowPunct w:val="0"/>
      <w:autoSpaceDE w:val="0"/>
      <w:autoSpaceDN w:val="0"/>
      <w:adjustRightInd w:val="0"/>
      <w:snapToGrid w:val="0"/>
      <w:spacing w:line="200" w:lineRule="atLeast"/>
      <w:ind w:left="311" w:hanging="198"/>
      <w:jc w:val="both"/>
    </w:pPr>
    <w:rPr>
      <w:rFonts w:ascii="Palatino Linotype" w:eastAsia="Times New Roman" w:hAnsi="Palatino Linotype" w:cs="Times New Roman"/>
      <w:snapToGrid w:val="0"/>
      <w:color w:val="000000"/>
      <w:kern w:val="0"/>
      <w:lang w:eastAsia="de-DE" w:bidi="en-US"/>
    </w:rPr>
  </w:style>
  <w:style w:type="paragraph" w:customStyle="1" w:styleId="Mdeck2authorname">
    <w:name w:val="M_deck_2_author_name"/>
    <w:next w:val="Mdeck3publcationhistory"/>
    <w:qFormat/>
    <w:rsid w:val="008D54D2"/>
    <w:pPr>
      <w:kinsoku w:val="0"/>
      <w:overflowPunct w:val="0"/>
      <w:autoSpaceDE w:val="0"/>
      <w:autoSpaceDN w:val="0"/>
      <w:adjustRightInd w:val="0"/>
      <w:snapToGrid w:val="0"/>
      <w:spacing w:before="240" w:after="120" w:line="320" w:lineRule="atLeast"/>
      <w:jc w:val="both"/>
    </w:pPr>
    <w:rPr>
      <w:rFonts w:ascii="Palatino Linotype" w:eastAsia="Times New Roman" w:hAnsi="Palatino Linotype" w:cs="Times New Roman"/>
      <w:b/>
      <w:snapToGrid w:val="0"/>
      <w:color w:val="000000"/>
      <w:kern w:val="0"/>
      <w:sz w:val="22"/>
      <w:lang w:eastAsia="de-DE" w:bidi="en-US"/>
    </w:rPr>
  </w:style>
  <w:style w:type="paragraph" w:customStyle="1" w:styleId="Mdeck3abstract">
    <w:name w:val="M_deck_3_abstract"/>
    <w:basedOn w:val="Mdeck4text"/>
    <w:next w:val="Mdeck3keywords"/>
    <w:qFormat/>
    <w:rsid w:val="008D54D2"/>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8D54D2"/>
    <w:pPr>
      <w:spacing w:before="240"/>
      <w:ind w:left="113" w:firstLine="0"/>
    </w:pPr>
  </w:style>
  <w:style w:type="paragraph" w:customStyle="1" w:styleId="Mdeck3publcationhistory">
    <w:name w:val="M_deck_3_publcation_history"/>
    <w:next w:val="Normal"/>
    <w:qFormat/>
    <w:rsid w:val="008D54D2"/>
    <w:pPr>
      <w:widowControl w:val="0"/>
      <w:kinsoku w:val="0"/>
      <w:overflowPunct w:val="0"/>
      <w:autoSpaceDE w:val="0"/>
      <w:autoSpaceDN w:val="0"/>
      <w:adjustRightInd w:val="0"/>
      <w:snapToGrid w:val="0"/>
      <w:spacing w:before="240" w:line="340" w:lineRule="atLeast"/>
      <w:ind w:left="113"/>
      <w:jc w:val="both"/>
    </w:pPr>
    <w:rPr>
      <w:rFonts w:ascii="Palatino Linotype" w:eastAsia="Times New Roman" w:hAnsi="Palatino Linotype" w:cs="Times New Roman"/>
      <w:i/>
      <w:snapToGrid w:val="0"/>
      <w:color w:val="000000"/>
      <w:kern w:val="0"/>
      <w:sz w:val="24"/>
      <w:lang w:eastAsia="de-DE" w:bidi="en-US"/>
    </w:rPr>
  </w:style>
  <w:style w:type="paragraph" w:customStyle="1" w:styleId="Mdeck4heading1">
    <w:name w:val="M_deck_4_heading_1"/>
    <w:basedOn w:val="MHeading3"/>
    <w:next w:val="Normal"/>
    <w:qFormat/>
    <w:rsid w:val="008D54D2"/>
    <w:pPr>
      <w:spacing w:line="340" w:lineRule="atLeast"/>
      <w:outlineLvl w:val="0"/>
    </w:pPr>
    <w:rPr>
      <w:b/>
      <w:snapToGrid/>
    </w:rPr>
  </w:style>
  <w:style w:type="paragraph" w:customStyle="1" w:styleId="Mdeck4heading2">
    <w:name w:val="M_deck_4_heading_2"/>
    <w:basedOn w:val="MHeading3"/>
    <w:next w:val="Normal"/>
    <w:qFormat/>
    <w:rsid w:val="008D54D2"/>
    <w:pPr>
      <w:outlineLvl w:val="1"/>
    </w:pPr>
    <w:rPr>
      <w:i/>
      <w:snapToGrid/>
    </w:rPr>
  </w:style>
  <w:style w:type="paragraph" w:customStyle="1" w:styleId="Mdeck4heading3">
    <w:name w:val="M_deck_4_heading_3"/>
    <w:basedOn w:val="Mdeck4text"/>
    <w:next w:val="Normal"/>
    <w:qFormat/>
    <w:rsid w:val="008D54D2"/>
    <w:pPr>
      <w:spacing w:before="240" w:after="120" w:line="340" w:lineRule="atLeast"/>
      <w:ind w:firstLineChars="50" w:firstLine="50"/>
      <w:outlineLvl w:val="2"/>
    </w:pPr>
    <w:rPr>
      <w:snapToGrid/>
    </w:rPr>
  </w:style>
  <w:style w:type="paragraph" w:customStyle="1" w:styleId="Mdeck4text">
    <w:name w:val="M_deck_4_text"/>
    <w:qFormat/>
    <w:rsid w:val="008D54D2"/>
    <w:pPr>
      <w:kinsoku w:val="0"/>
      <w:overflowPunct w:val="0"/>
      <w:autoSpaceDE w:val="0"/>
      <w:autoSpaceDN w:val="0"/>
      <w:adjustRightInd w:val="0"/>
      <w:snapToGrid w:val="0"/>
      <w:spacing w:line="320" w:lineRule="atLeast"/>
      <w:ind w:firstLine="425"/>
      <w:jc w:val="both"/>
    </w:pPr>
    <w:rPr>
      <w:rFonts w:ascii="Minion Pro" w:eastAsia="Times New Roman" w:hAnsi="Minion Pro" w:cs="Times New Roman"/>
      <w:snapToGrid w:val="0"/>
      <w:color w:val="000000"/>
      <w:kern w:val="0"/>
      <w:sz w:val="24"/>
      <w:lang w:eastAsia="de-DE" w:bidi="en-US"/>
    </w:rPr>
  </w:style>
  <w:style w:type="paragraph" w:customStyle="1" w:styleId="Mdeck4textbulletlist">
    <w:name w:val="M_deck_4_text_bullet_list"/>
    <w:basedOn w:val="Mdeck4text"/>
    <w:qFormat/>
    <w:rsid w:val="008D54D2"/>
    <w:pPr>
      <w:numPr>
        <w:numId w:val="8"/>
      </w:numPr>
      <w:spacing w:before="120" w:after="120" w:line="340" w:lineRule="atLeast"/>
    </w:pPr>
    <w:rPr>
      <w:snapToGrid/>
    </w:rPr>
  </w:style>
  <w:style w:type="paragraph" w:customStyle="1" w:styleId="Mdeck4textfirstlinezero">
    <w:name w:val="M_deck_4_text_firstline_zero"/>
    <w:basedOn w:val="Mdeck4text"/>
    <w:next w:val="Mdeck4text"/>
    <w:qFormat/>
    <w:rsid w:val="008D54D2"/>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D54D2"/>
    <w:pPr>
      <w:spacing w:line="260" w:lineRule="atLeast"/>
    </w:pPr>
    <w:rPr>
      <w:rFonts w:cs="Times New Roman"/>
      <w:i/>
      <w:kern w:val="0"/>
    </w:rPr>
  </w:style>
  <w:style w:type="paragraph" w:customStyle="1" w:styleId="Mdeck4textlrindent">
    <w:name w:val="M_deck_4_text_lr_indent"/>
    <w:basedOn w:val="Mdeck4text"/>
    <w:qFormat/>
    <w:rsid w:val="008D54D2"/>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8D54D2"/>
    <w:pPr>
      <w:numPr>
        <w:numId w:val="9"/>
      </w:numPr>
      <w:spacing w:before="120" w:after="120" w:line="340" w:lineRule="atLeast"/>
    </w:pPr>
    <w:rPr>
      <w:snapToGrid/>
    </w:rPr>
  </w:style>
  <w:style w:type="paragraph" w:customStyle="1" w:styleId="Mdeck5tablebody">
    <w:name w:val="M_deck_5_table_body"/>
    <w:qFormat/>
    <w:rsid w:val="008D54D2"/>
    <w:pPr>
      <w:kinsoku w:val="0"/>
      <w:overflowPunct w:val="0"/>
      <w:autoSpaceDE w:val="0"/>
      <w:autoSpaceDN w:val="0"/>
      <w:adjustRightInd w:val="0"/>
      <w:snapToGrid w:val="0"/>
      <w:spacing w:line="260" w:lineRule="atLeast"/>
      <w:jc w:val="center"/>
    </w:pPr>
    <w:rPr>
      <w:rFonts w:ascii="Minion Pro" w:eastAsia="Times New Roman" w:hAnsi="Minion Pro" w:cs="Times New Roman"/>
      <w:snapToGrid w:val="0"/>
      <w:color w:val="000000"/>
      <w:kern w:val="0"/>
      <w:lang w:eastAsia="de-DE" w:bidi="en-US"/>
    </w:rPr>
  </w:style>
  <w:style w:type="table" w:customStyle="1" w:styleId="Mdeck5tablebodythreelines">
    <w:name w:val="M_deck_5_table_body_three_lines"/>
    <w:basedOn w:val="TableNormal"/>
    <w:uiPriority w:val="99"/>
    <w:rsid w:val="008D54D2"/>
    <w:pPr>
      <w:adjustRightInd w:val="0"/>
      <w:snapToGrid w:val="0"/>
      <w:spacing w:line="300" w:lineRule="exact"/>
      <w:jc w:val="center"/>
    </w:pPr>
    <w:rPr>
      <w:rFonts w:ascii="Palatino Linotype" w:eastAsiaTheme="minorEastAsia" w:hAnsi="Palatino Linotype" w:cs="Times New Roman"/>
      <w:color w:val="000000"/>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D54D2"/>
    <w:pPr>
      <w:kinsoku w:val="0"/>
      <w:overflowPunct w:val="0"/>
      <w:autoSpaceDE w:val="0"/>
      <w:autoSpaceDN w:val="0"/>
      <w:adjustRightInd w:val="0"/>
      <w:snapToGrid w:val="0"/>
      <w:spacing w:after="120" w:line="260" w:lineRule="atLeast"/>
      <w:jc w:val="both"/>
    </w:pPr>
    <w:rPr>
      <w:rFonts w:ascii="Palatino Linotype" w:eastAsia="Times New Roman" w:hAnsi="Palatino Linotype" w:cs="Times New Roman"/>
      <w:snapToGrid w:val="0"/>
      <w:color w:val="000000"/>
      <w:kern w:val="0"/>
      <w:lang w:eastAsia="de-DE" w:bidi="en-US"/>
    </w:rPr>
  </w:style>
  <w:style w:type="paragraph" w:customStyle="1" w:styleId="Mdeck5tablefooter">
    <w:name w:val="M_deck_5_table_footer"/>
    <w:basedOn w:val="Mdeck5tablecaption"/>
    <w:next w:val="Mdeck4text"/>
    <w:qFormat/>
    <w:rsid w:val="008D54D2"/>
    <w:pPr>
      <w:spacing w:line="300" w:lineRule="exact"/>
    </w:pPr>
  </w:style>
  <w:style w:type="paragraph" w:customStyle="1" w:styleId="Mdeck5tableheader">
    <w:name w:val="M_deck_5_table_header"/>
    <w:basedOn w:val="Mdeck5tablefooter"/>
    <w:rsid w:val="008D54D2"/>
  </w:style>
  <w:style w:type="paragraph" w:customStyle="1" w:styleId="Mdeck6figurebody">
    <w:name w:val="M_deck_6_figure_body"/>
    <w:qFormat/>
    <w:rsid w:val="008D54D2"/>
    <w:pPr>
      <w:widowControl w:val="0"/>
      <w:kinsoku w:val="0"/>
      <w:overflowPunct w:val="0"/>
      <w:autoSpaceDE w:val="0"/>
      <w:autoSpaceDN w:val="0"/>
      <w:adjustRightInd w:val="0"/>
      <w:snapToGrid w:val="0"/>
      <w:spacing w:line="340" w:lineRule="atLeast"/>
      <w:jc w:val="center"/>
    </w:pPr>
    <w:rPr>
      <w:rFonts w:ascii="Palatino Linotype" w:eastAsia="Times New Roman" w:hAnsi="Palatino Linotype" w:cs="Times New Roman"/>
      <w:snapToGrid w:val="0"/>
      <w:color w:val="000000"/>
      <w:kern w:val="0"/>
      <w:sz w:val="24"/>
      <w:lang w:eastAsia="de-DE" w:bidi="en-US"/>
    </w:rPr>
  </w:style>
  <w:style w:type="paragraph" w:customStyle="1" w:styleId="Mdeck6figurecaption">
    <w:name w:val="M_deck_6_figure_caption"/>
    <w:next w:val="Mdeck4text"/>
    <w:qFormat/>
    <w:rsid w:val="008D54D2"/>
    <w:pPr>
      <w:adjustRightInd w:val="0"/>
      <w:snapToGrid w:val="0"/>
      <w:spacing w:before="120" w:line="260" w:lineRule="atLeast"/>
      <w:jc w:val="both"/>
    </w:pPr>
    <w:rPr>
      <w:rFonts w:ascii="Palatino Linotype" w:eastAsia="Times New Roman" w:hAnsi="Palatino Linotype" w:cs="Times New Roman"/>
      <w:snapToGrid w:val="0"/>
      <w:color w:val="000000"/>
      <w:kern w:val="0"/>
      <w:lang w:eastAsia="de-DE" w:bidi="en-US"/>
    </w:rPr>
  </w:style>
  <w:style w:type="paragraph" w:customStyle="1" w:styleId="Mdeck7equation">
    <w:name w:val="M_deck_7_equation"/>
    <w:basedOn w:val="Mdeck4text"/>
    <w:qFormat/>
    <w:rsid w:val="008D54D2"/>
    <w:pPr>
      <w:spacing w:before="120" w:after="120"/>
      <w:ind w:left="709" w:firstLine="0"/>
      <w:jc w:val="center"/>
    </w:pPr>
    <w:rPr>
      <w:i/>
      <w:snapToGrid/>
      <w:szCs w:val="24"/>
      <w:lang w:eastAsia="en-US"/>
    </w:rPr>
  </w:style>
  <w:style w:type="paragraph" w:customStyle="1" w:styleId="Mdeck8references">
    <w:name w:val="M_deck_8_references"/>
    <w:qFormat/>
    <w:rsid w:val="008D54D2"/>
    <w:pPr>
      <w:numPr>
        <w:numId w:val="10"/>
      </w:numPr>
      <w:kinsoku w:val="0"/>
      <w:overflowPunct w:val="0"/>
      <w:autoSpaceDE w:val="0"/>
      <w:autoSpaceDN w:val="0"/>
      <w:adjustRightInd w:val="0"/>
      <w:snapToGrid w:val="0"/>
      <w:spacing w:line="260" w:lineRule="atLeast"/>
      <w:jc w:val="both"/>
    </w:pPr>
    <w:rPr>
      <w:rFonts w:ascii="Palatino Linotype" w:eastAsia="Times New Roman" w:hAnsi="Palatino Linotype" w:cs="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8D54D2"/>
    <w:pPr>
      <w:adjustRightInd w:val="0"/>
      <w:snapToGrid w:val="0"/>
      <w:spacing w:line="260" w:lineRule="atLeast"/>
      <w:ind w:left="850" w:hanging="425"/>
      <w:jc w:val="both"/>
    </w:pPr>
    <w:rPr>
      <w:rFonts w:ascii="Palatino Linotype" w:eastAsia="Times New Roman" w:hAnsi="Palatino Linotype" w:cs="Times New Roman"/>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Revision">
    <w:name w:val="Revision"/>
    <w:hidden/>
    <w:uiPriority w:val="99"/>
    <w:semiHidden/>
    <w:rsid w:val="00451DF7"/>
    <w:rPr>
      <w:rFonts w:eastAsia="Times New Roman" w:cs="Times New Roman"/>
      <w:color w:val="000000"/>
      <w:kern w:val="0"/>
      <w:sz w:val="24"/>
      <w:lang w:eastAsia="de-DE"/>
    </w:rPr>
  </w:style>
  <w:style w:type="paragraph" w:customStyle="1" w:styleId="Mdeck4ref-citation">
    <w:name w:val="M_deck_4_ref-citation"/>
    <w:basedOn w:val="BodyText"/>
    <w:qFormat/>
    <w:rsid w:val="008D54D2"/>
    <w:pPr>
      <w:kinsoku w:val="0"/>
      <w:overflowPunct w:val="0"/>
      <w:autoSpaceDE w:val="0"/>
      <w:autoSpaceDN w:val="0"/>
      <w:adjustRightInd w:val="0"/>
      <w:snapToGrid w:val="0"/>
      <w:spacing w:line="320" w:lineRule="atLeast"/>
      <w:ind w:firstLine="425"/>
    </w:pPr>
    <w:rPr>
      <w:rFonts w:ascii="Palatino Linotype" w:eastAsia="Times New Roman" w:hAnsi="Palatino Linotype"/>
      <w:snapToGrid w:val="0"/>
      <w:sz w:val="20"/>
      <w:lang w:bidi="en-US"/>
    </w:rPr>
  </w:style>
  <w:style w:type="paragraph" w:customStyle="1" w:styleId="Mdeck4ref-citation-red">
    <w:name w:val="M_deck_4_ref-citation-red"/>
    <w:basedOn w:val="BodyText"/>
    <w:qFormat/>
    <w:rsid w:val="008D54D2"/>
    <w:pPr>
      <w:kinsoku w:val="0"/>
      <w:overflowPunct w:val="0"/>
      <w:autoSpaceDE w:val="0"/>
      <w:autoSpaceDN w:val="0"/>
      <w:adjustRightInd w:val="0"/>
      <w:snapToGrid w:val="0"/>
      <w:spacing w:line="320" w:lineRule="atLeast"/>
      <w:ind w:firstLine="425"/>
    </w:pPr>
    <w:rPr>
      <w:rFonts w:ascii="Palatino Linotype" w:eastAsia="Times New Roman" w:hAnsi="Palatino Linotype"/>
      <w:snapToGrid w:val="0"/>
      <w:sz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12702">
      <w:bodyDiv w:val="1"/>
      <w:marLeft w:val="0"/>
      <w:marRight w:val="0"/>
      <w:marTop w:val="0"/>
      <w:marBottom w:val="0"/>
      <w:divBdr>
        <w:top w:val="none" w:sz="0" w:space="0" w:color="auto"/>
        <w:left w:val="none" w:sz="0" w:space="0" w:color="auto"/>
        <w:bottom w:val="none" w:sz="0" w:space="0" w:color="auto"/>
        <w:right w:val="none" w:sz="0" w:space="0" w:color="auto"/>
      </w:divBdr>
    </w:div>
    <w:div w:id="652683795">
      <w:bodyDiv w:val="1"/>
      <w:marLeft w:val="0"/>
      <w:marRight w:val="0"/>
      <w:marTop w:val="0"/>
      <w:marBottom w:val="0"/>
      <w:divBdr>
        <w:top w:val="none" w:sz="0" w:space="0" w:color="auto"/>
        <w:left w:val="none" w:sz="0" w:space="0" w:color="auto"/>
        <w:bottom w:val="none" w:sz="0" w:space="0" w:color="auto"/>
        <w:right w:val="none" w:sz="0" w:space="0" w:color="auto"/>
      </w:divBdr>
    </w:div>
    <w:div w:id="1714771323">
      <w:bodyDiv w:val="1"/>
      <w:marLeft w:val="0"/>
      <w:marRight w:val="0"/>
      <w:marTop w:val="0"/>
      <w:marBottom w:val="0"/>
      <w:divBdr>
        <w:top w:val="none" w:sz="0" w:space="0" w:color="auto"/>
        <w:left w:val="none" w:sz="0" w:space="0" w:color="auto"/>
        <w:bottom w:val="none" w:sz="0" w:space="0" w:color="auto"/>
        <w:right w:val="none" w:sz="0" w:space="0" w:color="auto"/>
      </w:divBdr>
    </w:div>
    <w:div w:id="17647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B136B-7F58-43F2-83CB-3C185803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10836</Words>
  <Characters>61769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72461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MDPI</dc:creator>
  <cp:keywords/>
  <dc:description/>
  <cp:lastModifiedBy>Marker</cp:lastModifiedBy>
  <cp:revision>3</cp:revision>
  <cp:lastPrinted>2018-01-16T07:37:00Z</cp:lastPrinted>
  <dcterms:created xsi:type="dcterms:W3CDTF">2018-01-22T11:17:00Z</dcterms:created>
  <dcterms:modified xsi:type="dcterms:W3CDTF">2018-01-22T11:17:00Z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id="http://www.zotero.org/styles/international-journal-of-environmental-research-and-public-health"/&gt;&lt;hasBiblio/&gt;&lt;format class="21"/&gt;&lt;count citations="28" publications="27"/&gt;&lt;/info&gt;PAPERS2_INFO_END</vt:lpwstr>
  </property>
</Properties>
</file>