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47A0E" w14:textId="77777777" w:rsidR="001B520F" w:rsidRDefault="001B520F" w:rsidP="004B6CFD">
      <w:pPr>
        <w:spacing w:line="360" w:lineRule="auto"/>
        <w:rPr>
          <w:b/>
          <w:bCs/>
        </w:rPr>
      </w:pPr>
      <w:bookmarkStart w:id="0" w:name="_GoBack"/>
      <w:bookmarkEnd w:id="0"/>
    </w:p>
    <w:p w14:paraId="6BBB26BA" w14:textId="77777777" w:rsidR="001B520F" w:rsidRDefault="001B520F" w:rsidP="004B6CFD">
      <w:pPr>
        <w:spacing w:line="360" w:lineRule="auto"/>
        <w:rPr>
          <w:b/>
          <w:bCs/>
        </w:rPr>
      </w:pPr>
    </w:p>
    <w:p w14:paraId="05C99DE4" w14:textId="77777777" w:rsidR="001B520F" w:rsidRPr="008D3BA7" w:rsidRDefault="001B520F" w:rsidP="004B6CFD">
      <w:pPr>
        <w:spacing w:line="360" w:lineRule="auto"/>
        <w:rPr>
          <w:b/>
          <w:bCs/>
          <w:caps/>
        </w:rPr>
      </w:pPr>
      <w:r w:rsidRPr="008D3BA7">
        <w:rPr>
          <w:b/>
          <w:bCs/>
          <w:caps/>
        </w:rPr>
        <w:t xml:space="preserve">Phase I-III Development of the EORTC QLQ-ANL27, a health-related quality of life questionnaire for anal cancer </w:t>
      </w:r>
    </w:p>
    <w:p w14:paraId="22BAF218" w14:textId="77777777" w:rsidR="001B520F" w:rsidRDefault="001B520F" w:rsidP="004B6CFD">
      <w:pPr>
        <w:spacing w:line="360" w:lineRule="auto"/>
        <w:rPr>
          <w:b/>
          <w:bCs/>
        </w:rPr>
      </w:pPr>
    </w:p>
    <w:p w14:paraId="78E65A62" w14:textId="77777777" w:rsidR="001B520F" w:rsidRDefault="001B520F" w:rsidP="004B6CFD">
      <w:pPr>
        <w:spacing w:line="360" w:lineRule="auto"/>
        <w:rPr>
          <w:b/>
          <w:bCs/>
        </w:rPr>
      </w:pPr>
      <w:r>
        <w:rPr>
          <w:b/>
          <w:bCs/>
        </w:rPr>
        <w:t>Running title</w:t>
      </w:r>
    </w:p>
    <w:p w14:paraId="38264F5F" w14:textId="77777777" w:rsidR="001B520F" w:rsidRPr="004D7854" w:rsidRDefault="001B520F" w:rsidP="004B6CFD">
      <w:pPr>
        <w:spacing w:line="360" w:lineRule="auto"/>
        <w:rPr>
          <w:bCs/>
        </w:rPr>
      </w:pPr>
      <w:r>
        <w:rPr>
          <w:bCs/>
        </w:rPr>
        <w:t>Development of the EORTC QLQ-ANL27</w:t>
      </w:r>
    </w:p>
    <w:p w14:paraId="30BFCD66" w14:textId="77777777" w:rsidR="001B520F" w:rsidRDefault="001B520F" w:rsidP="004B6CFD">
      <w:pPr>
        <w:spacing w:line="360" w:lineRule="auto"/>
        <w:rPr>
          <w:b/>
          <w:bCs/>
        </w:rPr>
      </w:pPr>
    </w:p>
    <w:p w14:paraId="49378C62" w14:textId="77777777" w:rsidR="001B520F" w:rsidRPr="004D7854" w:rsidRDefault="001B520F" w:rsidP="004B6CFD">
      <w:pPr>
        <w:spacing w:line="360" w:lineRule="auto"/>
        <w:rPr>
          <w:rFonts w:cs="Calibri"/>
        </w:rPr>
      </w:pPr>
      <w:r>
        <w:rPr>
          <w:rFonts w:cs="Calibri"/>
        </w:rPr>
        <w:t>Samantha C Sodergren</w:t>
      </w:r>
      <w:r>
        <w:rPr>
          <w:rFonts w:cs="Calibri"/>
          <w:vertAlign w:val="superscript"/>
        </w:rPr>
        <w:t>1</w:t>
      </w:r>
      <w:r>
        <w:rPr>
          <w:rFonts w:cs="Calibri"/>
        </w:rPr>
        <w:t xml:space="preserve">, Colin D </w:t>
      </w:r>
      <w:r w:rsidRPr="00AC38A1">
        <w:rPr>
          <w:rFonts w:cs="Calibri"/>
        </w:rPr>
        <w:t>Johnson</w:t>
      </w:r>
      <w:r>
        <w:rPr>
          <w:rFonts w:cs="Calibri"/>
          <w:vertAlign w:val="superscript"/>
        </w:rPr>
        <w:t>2</w:t>
      </w:r>
      <w:r>
        <w:rPr>
          <w:rFonts w:cs="Calibri"/>
        </w:rPr>
        <w:t xml:space="preserve">, Alexandra </w:t>
      </w:r>
      <w:r w:rsidRPr="005F3163">
        <w:rPr>
          <w:rFonts w:cs="Calibri"/>
        </w:rPr>
        <w:t>Gilbert</w:t>
      </w:r>
      <w:r w:rsidRPr="005F3163">
        <w:rPr>
          <w:rFonts w:cs="Calibri"/>
          <w:vertAlign w:val="superscript"/>
        </w:rPr>
        <w:t>3</w:t>
      </w:r>
      <w:r>
        <w:rPr>
          <w:rFonts w:cs="Calibri"/>
        </w:rPr>
        <w:t xml:space="preserve">, </w:t>
      </w:r>
      <w:r>
        <w:rPr>
          <w:rFonts w:ascii="Tahoma" w:hAnsi="Tahoma" w:cs="Tahoma"/>
          <w:color w:val="000000"/>
          <w:sz w:val="20"/>
          <w:szCs w:val="20"/>
        </w:rPr>
        <w:t xml:space="preserve">Krzysztof A </w:t>
      </w:r>
      <w:r w:rsidRPr="005F3163">
        <w:rPr>
          <w:rFonts w:ascii="Tahoma" w:hAnsi="Tahoma" w:cs="Tahoma"/>
          <w:color w:val="000000"/>
          <w:sz w:val="20"/>
          <w:szCs w:val="20"/>
        </w:rPr>
        <w:t>Tomaszewski</w:t>
      </w:r>
      <w:r w:rsidRPr="005F3163">
        <w:rPr>
          <w:rFonts w:ascii="Tahoma" w:hAnsi="Tahoma" w:cs="Tahoma"/>
          <w:color w:val="000000"/>
          <w:sz w:val="20"/>
          <w:szCs w:val="20"/>
          <w:vertAlign w:val="superscript"/>
        </w:rPr>
        <w:t>4</w:t>
      </w:r>
      <w:r>
        <w:rPr>
          <w:rFonts w:ascii="Tahoma" w:hAnsi="Tahoma" w:cs="Tahoma"/>
          <w:color w:val="000000"/>
          <w:sz w:val="20"/>
          <w:szCs w:val="20"/>
        </w:rPr>
        <w:t>, William Chu</w:t>
      </w:r>
      <w:r>
        <w:rPr>
          <w:rFonts w:ascii="Tahoma" w:hAnsi="Tahoma" w:cs="Tahoma"/>
          <w:color w:val="000000"/>
          <w:sz w:val="20"/>
          <w:szCs w:val="20"/>
          <w:vertAlign w:val="superscript"/>
        </w:rPr>
        <w:t>5</w:t>
      </w:r>
      <w:r>
        <w:rPr>
          <w:rFonts w:ascii="Tahoma" w:hAnsi="Tahoma" w:cs="Tahoma"/>
          <w:color w:val="000000"/>
          <w:sz w:val="20"/>
          <w:szCs w:val="20"/>
        </w:rPr>
        <w:t>, Hans T Chung</w:t>
      </w:r>
      <w:r>
        <w:rPr>
          <w:rFonts w:ascii="Tahoma" w:hAnsi="Tahoma" w:cs="Tahoma"/>
          <w:color w:val="000000"/>
          <w:sz w:val="20"/>
          <w:szCs w:val="20"/>
          <w:vertAlign w:val="superscript"/>
        </w:rPr>
        <w:t>5</w:t>
      </w:r>
      <w:r>
        <w:rPr>
          <w:rFonts w:ascii="Tahoma" w:hAnsi="Tahoma" w:cs="Tahoma"/>
          <w:color w:val="000000"/>
          <w:sz w:val="20"/>
          <w:szCs w:val="20"/>
        </w:rPr>
        <w:t xml:space="preserve">, </w:t>
      </w:r>
      <w:r w:rsidRPr="005F3163">
        <w:rPr>
          <w:rFonts w:cs="Calibri"/>
        </w:rPr>
        <w:t>Kristopher</w:t>
      </w:r>
      <w:r>
        <w:rPr>
          <w:rFonts w:cs="Calibri"/>
        </w:rPr>
        <w:t xml:space="preserve"> Dennis</w:t>
      </w:r>
      <w:r>
        <w:rPr>
          <w:rFonts w:cs="Calibri"/>
          <w:vertAlign w:val="superscript"/>
        </w:rPr>
        <w:t>6</w:t>
      </w:r>
      <w:r>
        <w:rPr>
          <w:rFonts w:ascii="Tahoma" w:hAnsi="Tahoma" w:cs="Tahoma"/>
          <w:color w:val="000000"/>
          <w:sz w:val="20"/>
          <w:szCs w:val="20"/>
        </w:rPr>
        <w:t>, Isacco Desideri</w:t>
      </w:r>
      <w:r>
        <w:rPr>
          <w:rFonts w:ascii="Tahoma" w:hAnsi="Tahoma" w:cs="Tahoma"/>
          <w:color w:val="000000"/>
          <w:sz w:val="20"/>
          <w:szCs w:val="20"/>
          <w:vertAlign w:val="superscript"/>
        </w:rPr>
        <w:t>7</w:t>
      </w:r>
      <w:r>
        <w:rPr>
          <w:rFonts w:ascii="Tahoma" w:hAnsi="Tahoma" w:cs="Tahoma"/>
          <w:color w:val="000000"/>
          <w:sz w:val="20"/>
          <w:szCs w:val="20"/>
        </w:rPr>
        <w:t xml:space="preserve">, </w:t>
      </w:r>
      <w:r>
        <w:rPr>
          <w:rFonts w:cs="Calibri"/>
        </w:rPr>
        <w:t>Robert Glynne-Jones</w:t>
      </w:r>
      <w:r>
        <w:rPr>
          <w:rFonts w:cs="Calibri"/>
          <w:vertAlign w:val="superscript"/>
        </w:rPr>
        <w:t>8</w:t>
      </w:r>
      <w:r>
        <w:rPr>
          <w:rFonts w:cs="Calibri"/>
        </w:rPr>
        <w:t xml:space="preserve">, </w:t>
      </w:r>
      <w:r>
        <w:rPr>
          <w:rFonts w:cs="Arial"/>
        </w:rPr>
        <w:t>Marianne Grønlie Guren</w:t>
      </w:r>
      <w:r>
        <w:rPr>
          <w:rFonts w:cs="Arial"/>
          <w:vertAlign w:val="superscript"/>
        </w:rPr>
        <w:t>9</w:t>
      </w:r>
      <w:r>
        <w:rPr>
          <w:rFonts w:cs="Arial"/>
        </w:rPr>
        <w:t>,</w:t>
      </w:r>
      <w:r>
        <w:rPr>
          <w:rFonts w:cs="Calibri"/>
        </w:rPr>
        <w:t xml:space="preserve"> </w:t>
      </w:r>
      <w:proofErr w:type="spellStart"/>
      <w:r>
        <w:rPr>
          <w:szCs w:val="18"/>
          <w:lang w:val="en-US" w:eastAsia="nb-NO"/>
        </w:rPr>
        <w:t>Dimitrios</w:t>
      </w:r>
      <w:proofErr w:type="spellEnd"/>
      <w:r>
        <w:rPr>
          <w:szCs w:val="18"/>
          <w:lang w:val="en-US" w:eastAsia="nb-NO"/>
        </w:rPr>
        <w:t xml:space="preserve"> Kardamakis</w:t>
      </w:r>
      <w:r w:rsidRPr="00A17679">
        <w:rPr>
          <w:szCs w:val="18"/>
          <w:vertAlign w:val="superscript"/>
          <w:lang w:val="en-US" w:eastAsia="nb-NO"/>
        </w:rPr>
        <w:t>10</w:t>
      </w:r>
      <w:r>
        <w:rPr>
          <w:szCs w:val="18"/>
          <w:lang w:val="en-US" w:eastAsia="nb-NO"/>
        </w:rPr>
        <w:t>,</w:t>
      </w:r>
      <w:r>
        <w:rPr>
          <w:rFonts w:cs="Calibri"/>
        </w:rPr>
        <w:t xml:space="preserve"> Karen Nugent</w:t>
      </w:r>
      <w:r>
        <w:rPr>
          <w:rFonts w:cs="Calibri"/>
          <w:vertAlign w:val="superscript"/>
        </w:rPr>
        <w:t>2</w:t>
      </w:r>
      <w:r>
        <w:rPr>
          <w:rFonts w:cs="Calibri"/>
        </w:rPr>
        <w:t>, Heike Schmidt</w:t>
      </w:r>
      <w:r w:rsidRPr="00A17679">
        <w:rPr>
          <w:rFonts w:cs="Calibri"/>
          <w:vertAlign w:val="superscript"/>
        </w:rPr>
        <w:t>11</w:t>
      </w:r>
      <w:r>
        <w:rPr>
          <w:rFonts w:cs="Calibri"/>
        </w:rPr>
        <w:t>, David Sebag-Montefiore</w:t>
      </w:r>
      <w:r>
        <w:rPr>
          <w:rFonts w:cs="Calibri"/>
          <w:vertAlign w:val="superscript"/>
        </w:rPr>
        <w:t>3</w:t>
      </w:r>
      <w:r>
        <w:rPr>
          <w:rFonts w:cs="Calibri"/>
        </w:rPr>
        <w:t xml:space="preserve">, and </w:t>
      </w:r>
      <w:proofErr w:type="spellStart"/>
      <w:r w:rsidRPr="00AC38A1">
        <w:rPr>
          <w:rFonts w:cs="Calibri"/>
        </w:rPr>
        <w:t>Vassilios</w:t>
      </w:r>
      <w:proofErr w:type="spellEnd"/>
      <w:r>
        <w:rPr>
          <w:rFonts w:cs="Calibri"/>
        </w:rPr>
        <w:t xml:space="preserve"> Vassiliou</w:t>
      </w:r>
      <w:r>
        <w:rPr>
          <w:rFonts w:cs="Calibri"/>
          <w:vertAlign w:val="superscript"/>
        </w:rPr>
        <w:t>12</w:t>
      </w:r>
      <w:r>
        <w:rPr>
          <w:rFonts w:cs="Calibri"/>
        </w:rPr>
        <w:t>, on behalf of the EORTC Quality of Life Group</w:t>
      </w:r>
    </w:p>
    <w:p w14:paraId="73116CA2" w14:textId="77777777" w:rsidR="001B520F" w:rsidRDefault="001B520F" w:rsidP="004B6CFD">
      <w:pPr>
        <w:spacing w:line="360" w:lineRule="auto"/>
        <w:rPr>
          <w:rFonts w:cs="Calibri"/>
        </w:rPr>
      </w:pPr>
    </w:p>
    <w:p w14:paraId="7E81654E" w14:textId="77777777" w:rsidR="001B520F" w:rsidRPr="005F3163" w:rsidRDefault="001B520F" w:rsidP="004B6CFD">
      <w:pPr>
        <w:spacing w:line="360" w:lineRule="auto"/>
        <w:rPr>
          <w:rFonts w:cs="Calibri"/>
          <w:bCs/>
        </w:rPr>
      </w:pPr>
      <w:r>
        <w:rPr>
          <w:rFonts w:cs="Calibri"/>
          <w:bCs/>
          <w:vertAlign w:val="superscript"/>
        </w:rPr>
        <w:t>1</w:t>
      </w:r>
      <w:r>
        <w:rPr>
          <w:rFonts w:cs="Calibri"/>
          <w:bCs/>
        </w:rPr>
        <w:t xml:space="preserve"> Faculty of Health Sciences, University of Southampton</w:t>
      </w:r>
    </w:p>
    <w:p w14:paraId="45185540" w14:textId="77777777" w:rsidR="001B520F" w:rsidRDefault="001B520F" w:rsidP="004B6CFD">
      <w:pPr>
        <w:spacing w:line="360" w:lineRule="auto"/>
        <w:rPr>
          <w:rFonts w:ascii="Arial" w:hAnsi="Arial"/>
        </w:rPr>
      </w:pPr>
      <w:r>
        <w:rPr>
          <w:rFonts w:cs="Calibri"/>
          <w:bCs/>
          <w:vertAlign w:val="superscript"/>
        </w:rPr>
        <w:t>2</w:t>
      </w:r>
      <w:r w:rsidRPr="00AC38A1">
        <w:rPr>
          <w:rFonts w:cs="Calibri"/>
          <w:bCs/>
        </w:rPr>
        <w:t xml:space="preserve"> </w:t>
      </w:r>
      <w:r w:rsidRPr="0048315B">
        <w:rPr>
          <w:rFonts w:cs="Calibri"/>
          <w:bCs/>
        </w:rPr>
        <w:t>Cancer Sciences, University of Southampton, Southampton</w:t>
      </w:r>
      <w:r w:rsidRPr="0098259D">
        <w:rPr>
          <w:rFonts w:ascii="Arial" w:hAnsi="Arial"/>
        </w:rPr>
        <w:t xml:space="preserve"> </w:t>
      </w:r>
    </w:p>
    <w:p w14:paraId="518B5217" w14:textId="77777777" w:rsidR="001B520F" w:rsidRDefault="001B520F" w:rsidP="004B6CFD">
      <w:pPr>
        <w:spacing w:line="360" w:lineRule="auto"/>
      </w:pPr>
      <w:r>
        <w:rPr>
          <w:vertAlign w:val="superscript"/>
        </w:rPr>
        <w:t>3</w:t>
      </w:r>
      <w:r w:rsidRPr="00432F9F">
        <w:t xml:space="preserve"> </w:t>
      </w:r>
      <w:r>
        <w:t>Leeds Radiotherapy Research Group, Leeds Institute of Cancer and Pathology University of Leeds and Leeds Cancer Centre</w:t>
      </w:r>
      <w:r>
        <w:rPr>
          <w:lang w:val="en"/>
        </w:rPr>
        <w:t xml:space="preserve">, </w:t>
      </w:r>
      <w:r>
        <w:t>St James’s</w:t>
      </w:r>
      <w:r w:rsidRPr="0048315B">
        <w:t xml:space="preserve"> University Hospital, Leeds, U</w:t>
      </w:r>
      <w:r>
        <w:t xml:space="preserve">nited </w:t>
      </w:r>
      <w:r w:rsidRPr="0048315B">
        <w:t>K</w:t>
      </w:r>
      <w:r>
        <w:t>ingdom</w:t>
      </w:r>
    </w:p>
    <w:p w14:paraId="68D90E06" w14:textId="77777777" w:rsidR="001B520F" w:rsidRDefault="001B520F" w:rsidP="004B6CFD">
      <w:pPr>
        <w:tabs>
          <w:tab w:val="left" w:pos="2835"/>
        </w:tabs>
        <w:spacing w:after="0" w:line="360" w:lineRule="auto"/>
        <w:jc w:val="both"/>
        <w:rPr>
          <w:rFonts w:cs="Arial"/>
        </w:rPr>
      </w:pPr>
      <w:r>
        <w:rPr>
          <w:vertAlign w:val="superscript"/>
        </w:rPr>
        <w:t>4</w:t>
      </w:r>
      <w:r w:rsidRPr="0098259D">
        <w:rPr>
          <w:rFonts w:ascii="Arial" w:hAnsi="Arial"/>
        </w:rPr>
        <w:t xml:space="preserve"> </w:t>
      </w:r>
      <w:r>
        <w:rPr>
          <w:rFonts w:cs="Arial"/>
        </w:rPr>
        <w:t xml:space="preserve">Health Outcomes Research Unit, Department of Gerontology, Geriatrics and Social Work, Faculty of Education, </w:t>
      </w:r>
      <w:proofErr w:type="spellStart"/>
      <w:r>
        <w:rPr>
          <w:rFonts w:cs="Arial"/>
        </w:rPr>
        <w:t>Ignatianum</w:t>
      </w:r>
      <w:proofErr w:type="spellEnd"/>
      <w:r>
        <w:rPr>
          <w:rFonts w:cs="Arial"/>
        </w:rPr>
        <w:t xml:space="preserve"> Academy, Krakow, Poland</w:t>
      </w:r>
    </w:p>
    <w:p w14:paraId="69FBFBEE" w14:textId="77777777" w:rsidR="001B520F" w:rsidRDefault="001B520F" w:rsidP="004B6CFD">
      <w:pPr>
        <w:tabs>
          <w:tab w:val="left" w:pos="2835"/>
        </w:tabs>
        <w:spacing w:after="0" w:line="360" w:lineRule="auto"/>
        <w:jc w:val="both"/>
        <w:rPr>
          <w:lang w:val="en-US"/>
        </w:rPr>
      </w:pPr>
      <w:r>
        <w:rPr>
          <w:rFonts w:cs="Arial"/>
          <w:vertAlign w:val="superscript"/>
        </w:rPr>
        <w:t xml:space="preserve">5 </w:t>
      </w:r>
      <w:r>
        <w:rPr>
          <w:lang w:val="en-US"/>
        </w:rPr>
        <w:t>Department of Radiation Oncology, Sunnybrook Odette Cancer Centre, University of Toronto, Toronto, Canada</w:t>
      </w:r>
    </w:p>
    <w:p w14:paraId="02FCCE0E" w14:textId="77777777" w:rsidR="001B520F" w:rsidRDefault="001B520F" w:rsidP="004B6CFD">
      <w:pPr>
        <w:tabs>
          <w:tab w:val="left" w:pos="2835"/>
        </w:tabs>
        <w:spacing w:after="0" w:line="360" w:lineRule="auto"/>
        <w:jc w:val="both"/>
      </w:pPr>
      <w:r>
        <w:rPr>
          <w:vertAlign w:val="superscript"/>
        </w:rPr>
        <w:t>6</w:t>
      </w:r>
      <w:r>
        <w:t>Division of Radiation Oncology</w:t>
      </w:r>
      <w:r w:rsidRPr="0098259D">
        <w:t>,</w:t>
      </w:r>
      <w:r>
        <w:t xml:space="preserve"> </w:t>
      </w:r>
      <w:proofErr w:type="gramStart"/>
      <w:r>
        <w:rPr>
          <w:rFonts w:eastAsia="Times New Roman"/>
          <w:lang w:val="en-US"/>
        </w:rPr>
        <w:t>The</w:t>
      </w:r>
      <w:proofErr w:type="gramEnd"/>
      <w:r>
        <w:rPr>
          <w:rFonts w:eastAsia="Times New Roman"/>
          <w:lang w:val="en-US"/>
        </w:rPr>
        <w:t xml:space="preserve"> Ottawa Hospital and the University of Ottawa</w:t>
      </w:r>
      <w:r>
        <w:t>,</w:t>
      </w:r>
      <w:r w:rsidRPr="0098259D">
        <w:t xml:space="preserve"> Ottawa, Canada</w:t>
      </w:r>
    </w:p>
    <w:p w14:paraId="3779947A" w14:textId="77777777" w:rsidR="001B520F" w:rsidRDefault="001B520F" w:rsidP="004B6CFD">
      <w:pPr>
        <w:spacing w:line="360" w:lineRule="auto"/>
      </w:pPr>
      <w:r>
        <w:rPr>
          <w:vertAlign w:val="superscript"/>
        </w:rPr>
        <w:t>7</w:t>
      </w:r>
      <w:r w:rsidRPr="00E154BE">
        <w:t>Radiotherapy Unit, Department of Experimental and Clinical Biomedical Sciences, University of Florence, Florence, Italy</w:t>
      </w:r>
    </w:p>
    <w:p w14:paraId="4E41D84D" w14:textId="77777777" w:rsidR="001B520F" w:rsidRDefault="001B520F" w:rsidP="004B6CFD">
      <w:pPr>
        <w:tabs>
          <w:tab w:val="left" w:pos="2835"/>
        </w:tabs>
        <w:spacing w:after="0" w:line="360" w:lineRule="auto"/>
        <w:jc w:val="both"/>
        <w:rPr>
          <w:rFonts w:cs="AdvGulliv-I"/>
        </w:rPr>
      </w:pPr>
      <w:r>
        <w:rPr>
          <w:vertAlign w:val="superscript"/>
        </w:rPr>
        <w:t>8</w:t>
      </w:r>
      <w:r w:rsidRPr="00023373">
        <w:rPr>
          <w:rFonts w:cs="AdvGulliv-I"/>
        </w:rPr>
        <w:t>Centre for Cancer Treatment, Mount Vernon Hospital, Northwood, U</w:t>
      </w:r>
      <w:r>
        <w:rPr>
          <w:rFonts w:cs="AdvGulliv-I"/>
        </w:rPr>
        <w:t>nited Kingdom</w:t>
      </w:r>
    </w:p>
    <w:p w14:paraId="4F13D37E" w14:textId="77777777" w:rsidR="001B520F" w:rsidRDefault="001B520F" w:rsidP="004B6CFD">
      <w:pPr>
        <w:spacing w:line="360" w:lineRule="auto"/>
        <w:rPr>
          <w:szCs w:val="18"/>
          <w:lang w:val="en-US" w:eastAsia="nb-NO"/>
        </w:rPr>
      </w:pPr>
      <w:r>
        <w:rPr>
          <w:szCs w:val="18"/>
          <w:vertAlign w:val="superscript"/>
          <w:lang w:val="en-US" w:eastAsia="nb-NO"/>
        </w:rPr>
        <w:t>9</w:t>
      </w:r>
      <w:r>
        <w:rPr>
          <w:szCs w:val="18"/>
          <w:lang w:val="en-US" w:eastAsia="nb-NO"/>
        </w:rPr>
        <w:t xml:space="preserve">Dept. of Oncology and K.G. </w:t>
      </w:r>
      <w:proofErr w:type="spellStart"/>
      <w:r>
        <w:rPr>
          <w:szCs w:val="18"/>
          <w:lang w:val="en-US" w:eastAsia="nb-NO"/>
        </w:rPr>
        <w:t>Jebsen</w:t>
      </w:r>
      <w:proofErr w:type="spellEnd"/>
      <w:r>
        <w:rPr>
          <w:szCs w:val="18"/>
          <w:lang w:val="en-US" w:eastAsia="nb-NO"/>
        </w:rPr>
        <w:t xml:space="preserve"> Colorectal Cancer Research Centre, O</w:t>
      </w:r>
      <w:r w:rsidRPr="00752C24">
        <w:rPr>
          <w:szCs w:val="18"/>
          <w:lang w:val="en-US" w:eastAsia="nb-NO"/>
        </w:rPr>
        <w:t>s</w:t>
      </w:r>
      <w:r>
        <w:rPr>
          <w:szCs w:val="18"/>
          <w:lang w:val="en-US" w:eastAsia="nb-NO"/>
        </w:rPr>
        <w:t>lo University Hospital, Oslo, Norway</w:t>
      </w:r>
    </w:p>
    <w:p w14:paraId="46A57A97" w14:textId="77777777" w:rsidR="001B520F" w:rsidRDefault="001B520F" w:rsidP="004B6CFD">
      <w:pPr>
        <w:spacing w:line="360" w:lineRule="auto"/>
        <w:rPr>
          <w:rFonts w:eastAsia="Times New Roman" w:cs="Courier New"/>
          <w:szCs w:val="20"/>
        </w:rPr>
      </w:pPr>
      <w:r>
        <w:rPr>
          <w:rFonts w:eastAsia="Times New Roman" w:cs="Courier New"/>
          <w:szCs w:val="20"/>
          <w:vertAlign w:val="superscript"/>
        </w:rPr>
        <w:t>10</w:t>
      </w:r>
      <w:r w:rsidRPr="00752C24">
        <w:rPr>
          <w:rFonts w:eastAsia="Times New Roman" w:cs="Courier New"/>
          <w:szCs w:val="20"/>
        </w:rPr>
        <w:t xml:space="preserve">University of </w:t>
      </w:r>
      <w:proofErr w:type="spellStart"/>
      <w:r w:rsidRPr="00752C24">
        <w:rPr>
          <w:rFonts w:eastAsia="Times New Roman" w:cs="Courier New"/>
          <w:szCs w:val="20"/>
        </w:rPr>
        <w:t>Patras</w:t>
      </w:r>
      <w:proofErr w:type="spellEnd"/>
      <w:r w:rsidRPr="00752C24">
        <w:rPr>
          <w:rFonts w:eastAsia="Times New Roman" w:cs="Courier New"/>
          <w:szCs w:val="20"/>
        </w:rPr>
        <w:t xml:space="preserve"> Medical School, </w:t>
      </w:r>
      <w:proofErr w:type="spellStart"/>
      <w:r w:rsidRPr="00752C24">
        <w:rPr>
          <w:rFonts w:eastAsia="Times New Roman" w:cs="Courier New"/>
          <w:szCs w:val="20"/>
        </w:rPr>
        <w:t>Patras</w:t>
      </w:r>
      <w:proofErr w:type="spellEnd"/>
      <w:r w:rsidRPr="00752C24">
        <w:rPr>
          <w:rFonts w:eastAsia="Times New Roman" w:cs="Courier New"/>
          <w:szCs w:val="20"/>
        </w:rPr>
        <w:t>, Greece</w:t>
      </w:r>
    </w:p>
    <w:p w14:paraId="555CC952" w14:textId="77777777" w:rsidR="001B520F" w:rsidRDefault="001B520F" w:rsidP="004B6CFD">
      <w:pPr>
        <w:rPr>
          <w:rFonts w:eastAsia="Times New Roman" w:cs="Courier New"/>
          <w:szCs w:val="20"/>
          <w:vertAlign w:val="superscript"/>
        </w:rPr>
      </w:pPr>
      <w:r>
        <w:rPr>
          <w:rFonts w:cs="Arial"/>
          <w:vertAlign w:val="superscript"/>
        </w:rPr>
        <w:lastRenderedPageBreak/>
        <w:t>11</w:t>
      </w:r>
      <w:r w:rsidRPr="004F690D">
        <w:rPr>
          <w:rFonts w:cs="Arial"/>
        </w:rPr>
        <w:t xml:space="preserve"> </w:t>
      </w:r>
      <w:r>
        <w:rPr>
          <w:rFonts w:cs="Arial"/>
        </w:rPr>
        <w:t xml:space="preserve">Institute for Health and Nursing Science, Medical Faculty, </w:t>
      </w:r>
      <w:r w:rsidRPr="0048315B">
        <w:rPr>
          <w:rFonts w:cs="Arial"/>
        </w:rPr>
        <w:t>Martin Luther University Halle-Wittenberg, Halle</w:t>
      </w:r>
      <w:r>
        <w:rPr>
          <w:rFonts w:cs="Arial"/>
        </w:rPr>
        <w:t xml:space="preserve"> (Saale)</w:t>
      </w:r>
      <w:r w:rsidRPr="0048315B">
        <w:rPr>
          <w:rFonts w:cs="Arial"/>
        </w:rPr>
        <w:t>, Germany</w:t>
      </w:r>
      <w:r>
        <w:rPr>
          <w:rFonts w:eastAsia="Times New Roman" w:cs="Courier New"/>
          <w:szCs w:val="20"/>
          <w:vertAlign w:val="superscript"/>
        </w:rPr>
        <w:t xml:space="preserve"> </w:t>
      </w:r>
    </w:p>
    <w:p w14:paraId="63A44027" w14:textId="77777777" w:rsidR="001B520F" w:rsidRPr="00AC38A1" w:rsidRDefault="001B520F" w:rsidP="004B6CFD">
      <w:r>
        <w:rPr>
          <w:rFonts w:eastAsia="Times New Roman" w:cs="Courier New"/>
          <w:szCs w:val="20"/>
          <w:vertAlign w:val="superscript"/>
        </w:rPr>
        <w:t>12</w:t>
      </w:r>
      <w:r w:rsidRPr="0098259D">
        <w:t>Bank of Cyprus Oncology Centre, Nicosia, Cyprus</w:t>
      </w:r>
    </w:p>
    <w:p w14:paraId="2F3E118E" w14:textId="77777777" w:rsidR="001B520F" w:rsidRDefault="001B520F" w:rsidP="004B6CFD">
      <w:pPr>
        <w:spacing w:line="360" w:lineRule="auto"/>
        <w:rPr>
          <w:rFonts w:cs="Arial"/>
        </w:rPr>
      </w:pPr>
    </w:p>
    <w:p w14:paraId="7B3431F3" w14:textId="77777777" w:rsidR="001B520F" w:rsidRDefault="001B520F" w:rsidP="004B6CFD">
      <w:pPr>
        <w:spacing w:line="360" w:lineRule="auto"/>
        <w:rPr>
          <w:lang w:eastAsia="en-GB"/>
        </w:rPr>
      </w:pPr>
    </w:p>
    <w:p w14:paraId="1C6D2E6A" w14:textId="77777777" w:rsidR="001B520F" w:rsidRDefault="001B520F" w:rsidP="004B6CFD">
      <w:pPr>
        <w:spacing w:line="360" w:lineRule="auto"/>
      </w:pPr>
    </w:p>
    <w:p w14:paraId="239A6B28" w14:textId="77777777" w:rsidR="001B520F" w:rsidRDefault="001B520F" w:rsidP="004B6CFD">
      <w:pPr>
        <w:spacing w:line="360" w:lineRule="auto"/>
        <w:rPr>
          <w:rFonts w:cs="Arial"/>
        </w:rPr>
      </w:pPr>
    </w:p>
    <w:p w14:paraId="760D9E6B" w14:textId="77777777" w:rsidR="001B520F" w:rsidRDefault="001B520F">
      <w:pPr>
        <w:spacing w:after="160" w:line="259" w:lineRule="auto"/>
        <w:rPr>
          <w:rFonts w:cs="Arial"/>
        </w:rPr>
      </w:pPr>
      <w:r>
        <w:rPr>
          <w:rFonts w:cs="Arial"/>
        </w:rPr>
        <w:br w:type="page"/>
      </w:r>
    </w:p>
    <w:p w14:paraId="03835441" w14:textId="77777777" w:rsidR="001B520F" w:rsidRPr="00CD527E" w:rsidRDefault="001B520F" w:rsidP="004B6CFD">
      <w:pPr>
        <w:spacing w:line="360" w:lineRule="auto"/>
        <w:rPr>
          <w:rFonts w:cs="Calibri"/>
          <w:bCs/>
        </w:rPr>
      </w:pPr>
      <w:r>
        <w:rPr>
          <w:rFonts w:cs="Calibri"/>
          <w:b/>
          <w:bCs/>
        </w:rPr>
        <w:lastRenderedPageBreak/>
        <w:t>Abstract</w:t>
      </w:r>
    </w:p>
    <w:p w14:paraId="6043EBF2" w14:textId="77777777" w:rsidR="001B520F" w:rsidRPr="00FF5031" w:rsidRDefault="001B520F" w:rsidP="004B6CFD">
      <w:pPr>
        <w:pStyle w:val="NormalWeb"/>
        <w:spacing w:line="360" w:lineRule="auto"/>
        <w:rPr>
          <w:rFonts w:asciiTheme="minorHAnsi" w:hAnsiTheme="minorHAnsi"/>
          <w:sz w:val="22"/>
          <w:szCs w:val="22"/>
          <w:lang w:val="en"/>
        </w:rPr>
      </w:pPr>
      <w:r w:rsidRPr="00FF5031">
        <w:rPr>
          <w:rFonts w:asciiTheme="minorHAnsi" w:hAnsiTheme="minorHAnsi"/>
          <w:sz w:val="22"/>
          <w:szCs w:val="22"/>
          <w:lang w:val="en"/>
        </w:rPr>
        <w:t>Background</w:t>
      </w:r>
      <w:r>
        <w:rPr>
          <w:rFonts w:asciiTheme="minorHAnsi" w:hAnsiTheme="minorHAnsi"/>
          <w:sz w:val="22"/>
          <w:szCs w:val="22"/>
          <w:lang w:val="en"/>
        </w:rPr>
        <w:t xml:space="preserve"> and Purpose</w:t>
      </w:r>
    </w:p>
    <w:p w14:paraId="28BF94CF" w14:textId="77777777" w:rsidR="001B520F" w:rsidRPr="00FF5031" w:rsidRDefault="001B520F" w:rsidP="004B6CFD">
      <w:pPr>
        <w:pStyle w:val="NormalWeb"/>
        <w:spacing w:line="360" w:lineRule="auto"/>
        <w:rPr>
          <w:rFonts w:asciiTheme="minorHAnsi" w:hAnsiTheme="minorHAnsi"/>
          <w:sz w:val="22"/>
          <w:szCs w:val="22"/>
          <w:lang w:val="en"/>
        </w:rPr>
      </w:pPr>
      <w:r w:rsidRPr="00FF5031">
        <w:rPr>
          <w:rFonts w:asciiTheme="minorHAnsi" w:hAnsiTheme="minorHAnsi"/>
          <w:sz w:val="22"/>
          <w:szCs w:val="22"/>
          <w:lang w:val="en"/>
        </w:rPr>
        <w:t>There is currently no health-related quality of life (</w:t>
      </w:r>
      <w:proofErr w:type="spellStart"/>
      <w:r w:rsidRPr="00FF5031">
        <w:rPr>
          <w:rFonts w:asciiTheme="minorHAnsi" w:hAnsiTheme="minorHAnsi"/>
          <w:sz w:val="22"/>
          <w:szCs w:val="22"/>
          <w:lang w:val="en"/>
        </w:rPr>
        <w:t>HRQoL</w:t>
      </w:r>
      <w:proofErr w:type="spellEnd"/>
      <w:r w:rsidRPr="00FF5031">
        <w:rPr>
          <w:rFonts w:asciiTheme="minorHAnsi" w:hAnsiTheme="minorHAnsi"/>
          <w:sz w:val="22"/>
          <w:szCs w:val="22"/>
          <w:lang w:val="en"/>
        </w:rPr>
        <w:t xml:space="preserve">) measure specific to anal cancer.  Our objective was to develop an anal cancer </w:t>
      </w:r>
      <w:proofErr w:type="spellStart"/>
      <w:r w:rsidRPr="00FF5031">
        <w:rPr>
          <w:rFonts w:asciiTheme="minorHAnsi" w:hAnsiTheme="minorHAnsi"/>
          <w:sz w:val="22"/>
          <w:szCs w:val="22"/>
          <w:lang w:val="en"/>
        </w:rPr>
        <w:t>HRQoL</w:t>
      </w:r>
      <w:proofErr w:type="spellEnd"/>
      <w:r w:rsidRPr="00FF5031">
        <w:rPr>
          <w:rFonts w:asciiTheme="minorHAnsi" w:hAnsiTheme="minorHAnsi"/>
          <w:sz w:val="22"/>
          <w:szCs w:val="22"/>
          <w:lang w:val="en"/>
        </w:rPr>
        <w:t xml:space="preserve"> </w:t>
      </w:r>
      <w:r>
        <w:rPr>
          <w:rFonts w:asciiTheme="minorHAnsi" w:hAnsiTheme="minorHAnsi"/>
          <w:sz w:val="22"/>
          <w:szCs w:val="22"/>
          <w:lang w:val="en"/>
        </w:rPr>
        <w:t>module</w:t>
      </w:r>
      <w:r w:rsidRPr="00FF5031">
        <w:rPr>
          <w:rFonts w:asciiTheme="minorHAnsi" w:hAnsiTheme="minorHAnsi"/>
          <w:sz w:val="22"/>
          <w:szCs w:val="22"/>
          <w:lang w:val="en"/>
        </w:rPr>
        <w:t xml:space="preserve"> to supplement the EORTC QLQ-C30</w:t>
      </w:r>
      <w:r>
        <w:rPr>
          <w:rFonts w:asciiTheme="minorHAnsi" w:hAnsiTheme="minorHAnsi"/>
          <w:sz w:val="22"/>
          <w:szCs w:val="22"/>
          <w:lang w:val="en"/>
        </w:rPr>
        <w:t xml:space="preserve"> questionnaire using EORTC Quality of Life Group Guidelines</w:t>
      </w:r>
      <w:r w:rsidRPr="00FF5031">
        <w:rPr>
          <w:rFonts w:asciiTheme="minorHAnsi" w:hAnsiTheme="minorHAnsi"/>
          <w:sz w:val="22"/>
          <w:szCs w:val="22"/>
          <w:lang w:val="en"/>
        </w:rPr>
        <w:t xml:space="preserve">. </w:t>
      </w:r>
    </w:p>
    <w:p w14:paraId="58BC8045" w14:textId="77777777" w:rsidR="001B520F" w:rsidRPr="00FF5031" w:rsidRDefault="001B520F" w:rsidP="004B6CFD">
      <w:pPr>
        <w:pStyle w:val="NormalWeb"/>
        <w:spacing w:line="360" w:lineRule="auto"/>
        <w:rPr>
          <w:rFonts w:asciiTheme="minorHAnsi" w:hAnsiTheme="minorHAnsi"/>
          <w:sz w:val="22"/>
          <w:szCs w:val="22"/>
          <w:lang w:val="en"/>
        </w:rPr>
      </w:pPr>
      <w:r>
        <w:rPr>
          <w:rFonts w:asciiTheme="minorHAnsi" w:hAnsiTheme="minorHAnsi"/>
          <w:sz w:val="22"/>
          <w:szCs w:val="22"/>
          <w:lang w:val="en"/>
        </w:rPr>
        <w:t xml:space="preserve">Materials and </w:t>
      </w:r>
      <w:r w:rsidRPr="00FF5031">
        <w:rPr>
          <w:rFonts w:asciiTheme="minorHAnsi" w:hAnsiTheme="minorHAnsi"/>
          <w:sz w:val="22"/>
          <w:szCs w:val="22"/>
          <w:lang w:val="en"/>
        </w:rPr>
        <w:t>Method</w:t>
      </w:r>
    </w:p>
    <w:p w14:paraId="5291C450" w14:textId="77777777" w:rsidR="001B520F" w:rsidRPr="00FF5031" w:rsidRDefault="001B520F" w:rsidP="004B6CFD">
      <w:pPr>
        <w:pStyle w:val="NormalWeb"/>
        <w:spacing w:line="360" w:lineRule="auto"/>
        <w:rPr>
          <w:rFonts w:asciiTheme="minorHAnsi" w:hAnsiTheme="minorHAnsi"/>
          <w:sz w:val="22"/>
          <w:szCs w:val="22"/>
          <w:lang w:val="en"/>
        </w:rPr>
      </w:pPr>
      <w:r w:rsidRPr="00FF5031">
        <w:rPr>
          <w:rFonts w:asciiTheme="minorHAnsi" w:hAnsiTheme="minorHAnsi"/>
          <w:sz w:val="22"/>
          <w:szCs w:val="22"/>
          <w:lang w:val="en"/>
        </w:rPr>
        <w:t xml:space="preserve">In order to generate a list of </w:t>
      </w:r>
      <w:proofErr w:type="spellStart"/>
      <w:r w:rsidRPr="00FF5031">
        <w:rPr>
          <w:rFonts w:asciiTheme="minorHAnsi" w:hAnsiTheme="minorHAnsi"/>
          <w:sz w:val="22"/>
          <w:szCs w:val="22"/>
          <w:lang w:val="en"/>
        </w:rPr>
        <w:t>HRQoL</w:t>
      </w:r>
      <w:proofErr w:type="spellEnd"/>
      <w:r w:rsidRPr="00FF5031">
        <w:rPr>
          <w:rFonts w:asciiTheme="minorHAnsi" w:hAnsiTheme="minorHAnsi"/>
          <w:sz w:val="22"/>
          <w:szCs w:val="22"/>
          <w:lang w:val="en"/>
        </w:rPr>
        <w:t xml:space="preserve"> issues facing an</w:t>
      </w:r>
      <w:r>
        <w:rPr>
          <w:rFonts w:asciiTheme="minorHAnsi" w:hAnsiTheme="minorHAnsi"/>
          <w:sz w:val="22"/>
          <w:szCs w:val="22"/>
          <w:lang w:val="en"/>
        </w:rPr>
        <w:t xml:space="preserve">al cancer patients treated with </w:t>
      </w:r>
      <w:proofErr w:type="spellStart"/>
      <w:r>
        <w:rPr>
          <w:rFonts w:asciiTheme="minorHAnsi" w:hAnsiTheme="minorHAnsi"/>
          <w:sz w:val="22"/>
          <w:szCs w:val="22"/>
          <w:lang w:val="en"/>
        </w:rPr>
        <w:t>chemoradiotherapy</w:t>
      </w:r>
      <w:proofErr w:type="spellEnd"/>
      <w:r w:rsidRPr="00FF5031">
        <w:rPr>
          <w:rFonts w:asciiTheme="minorHAnsi" w:hAnsiTheme="minorHAnsi"/>
          <w:sz w:val="22"/>
          <w:szCs w:val="22"/>
          <w:lang w:val="en"/>
        </w:rPr>
        <w:t xml:space="preserve"> (</w:t>
      </w:r>
      <w:r>
        <w:rPr>
          <w:rFonts w:asciiTheme="minorHAnsi" w:hAnsiTheme="minorHAnsi"/>
          <w:sz w:val="22"/>
          <w:szCs w:val="22"/>
          <w:lang w:val="en"/>
        </w:rPr>
        <w:t>CRT</w:t>
      </w:r>
      <w:r w:rsidRPr="00FF5031">
        <w:rPr>
          <w:rFonts w:asciiTheme="minorHAnsi" w:hAnsiTheme="minorHAnsi"/>
          <w:sz w:val="22"/>
          <w:szCs w:val="22"/>
          <w:lang w:val="en"/>
        </w:rPr>
        <w:t xml:space="preserve">), we </w:t>
      </w:r>
      <w:r>
        <w:rPr>
          <w:rFonts w:asciiTheme="minorHAnsi" w:hAnsiTheme="minorHAnsi"/>
          <w:sz w:val="22"/>
          <w:szCs w:val="22"/>
          <w:lang w:val="en"/>
        </w:rPr>
        <w:t>systematically reviewed</w:t>
      </w:r>
      <w:r w:rsidRPr="00FF5031">
        <w:rPr>
          <w:rFonts w:asciiTheme="minorHAnsi" w:hAnsiTheme="minorHAnsi"/>
          <w:sz w:val="22"/>
          <w:szCs w:val="22"/>
          <w:lang w:val="en"/>
        </w:rPr>
        <w:t xml:space="preserve"> the literature and </w:t>
      </w:r>
      <w:r>
        <w:rPr>
          <w:rFonts w:asciiTheme="minorHAnsi" w:hAnsiTheme="minorHAnsi"/>
          <w:sz w:val="22"/>
          <w:szCs w:val="22"/>
          <w:lang w:val="en"/>
        </w:rPr>
        <w:t xml:space="preserve">conducted semi-structured interviews with </w:t>
      </w:r>
      <w:r w:rsidRPr="00FF5031">
        <w:rPr>
          <w:rFonts w:asciiTheme="minorHAnsi" w:hAnsiTheme="minorHAnsi"/>
          <w:sz w:val="22"/>
          <w:szCs w:val="22"/>
          <w:lang w:val="en"/>
        </w:rPr>
        <w:t xml:space="preserve">patients and health care professionals (HCPs).  Our list was then </w:t>
      </w:r>
      <w:proofErr w:type="spellStart"/>
      <w:r w:rsidRPr="00FF5031">
        <w:rPr>
          <w:rFonts w:asciiTheme="minorHAnsi" w:hAnsiTheme="minorHAnsi"/>
          <w:sz w:val="22"/>
          <w:szCs w:val="22"/>
          <w:lang w:val="en"/>
        </w:rPr>
        <w:t>operationalised</w:t>
      </w:r>
      <w:proofErr w:type="spellEnd"/>
      <w:r w:rsidRPr="00FF5031">
        <w:rPr>
          <w:rFonts w:asciiTheme="minorHAnsi" w:hAnsiTheme="minorHAnsi"/>
          <w:sz w:val="22"/>
          <w:szCs w:val="22"/>
          <w:lang w:val="en"/>
        </w:rPr>
        <w:t xml:space="preserve"> into questions using the EORTC Item Library</w:t>
      </w:r>
      <w:r>
        <w:rPr>
          <w:rFonts w:asciiTheme="minorHAnsi" w:hAnsiTheme="minorHAnsi"/>
          <w:sz w:val="22"/>
          <w:szCs w:val="22"/>
          <w:lang w:val="en"/>
        </w:rPr>
        <w:t xml:space="preserve">. </w:t>
      </w:r>
      <w:r w:rsidRPr="00FF5031">
        <w:rPr>
          <w:rFonts w:asciiTheme="minorHAnsi" w:hAnsiTheme="minorHAnsi"/>
          <w:sz w:val="22"/>
          <w:szCs w:val="22"/>
          <w:lang w:val="en"/>
        </w:rPr>
        <w:t xml:space="preserve"> </w:t>
      </w:r>
      <w:r>
        <w:rPr>
          <w:rFonts w:asciiTheme="minorHAnsi" w:hAnsiTheme="minorHAnsi"/>
          <w:sz w:val="22"/>
          <w:szCs w:val="22"/>
          <w:lang w:val="en"/>
        </w:rPr>
        <w:t>The provisional question list</w:t>
      </w:r>
      <w:r w:rsidRPr="00FF5031">
        <w:rPr>
          <w:rFonts w:asciiTheme="minorHAnsi" w:hAnsiTheme="minorHAnsi"/>
          <w:sz w:val="22"/>
          <w:szCs w:val="22"/>
          <w:lang w:val="en"/>
        </w:rPr>
        <w:t xml:space="preserve"> was pilot tested</w:t>
      </w:r>
      <w:r>
        <w:rPr>
          <w:rFonts w:asciiTheme="minorHAnsi" w:hAnsiTheme="minorHAnsi"/>
          <w:sz w:val="22"/>
          <w:szCs w:val="22"/>
          <w:lang w:val="en"/>
        </w:rPr>
        <w:t xml:space="preserve"> alongside the EORTC QLQ-C30 with patients from 11 </w:t>
      </w:r>
      <w:proofErr w:type="spellStart"/>
      <w:r>
        <w:rPr>
          <w:rFonts w:asciiTheme="minorHAnsi" w:hAnsiTheme="minorHAnsi"/>
          <w:sz w:val="22"/>
          <w:szCs w:val="22"/>
          <w:lang w:val="en"/>
        </w:rPr>
        <w:t>centres</w:t>
      </w:r>
      <w:proofErr w:type="spellEnd"/>
      <w:r>
        <w:rPr>
          <w:rFonts w:asciiTheme="minorHAnsi" w:hAnsiTheme="minorHAnsi"/>
          <w:sz w:val="22"/>
          <w:szCs w:val="22"/>
          <w:lang w:val="en"/>
        </w:rPr>
        <w:t xml:space="preserve"> across 8 countries</w:t>
      </w:r>
      <w:r w:rsidRPr="00FF5031">
        <w:rPr>
          <w:rFonts w:asciiTheme="minorHAnsi" w:hAnsiTheme="minorHAnsi"/>
          <w:sz w:val="22"/>
          <w:szCs w:val="22"/>
          <w:lang w:val="en"/>
        </w:rPr>
        <w:t>.</w:t>
      </w:r>
    </w:p>
    <w:p w14:paraId="3D250475" w14:textId="77777777" w:rsidR="001B520F" w:rsidRPr="00FF5031" w:rsidRDefault="001B520F" w:rsidP="004B6CFD">
      <w:pPr>
        <w:pStyle w:val="NormalWeb"/>
        <w:spacing w:line="360" w:lineRule="auto"/>
        <w:rPr>
          <w:rFonts w:asciiTheme="minorHAnsi" w:hAnsiTheme="minorHAnsi"/>
          <w:sz w:val="22"/>
          <w:szCs w:val="22"/>
          <w:lang w:val="en"/>
        </w:rPr>
      </w:pPr>
      <w:r w:rsidRPr="00FF5031">
        <w:rPr>
          <w:rFonts w:asciiTheme="minorHAnsi" w:hAnsiTheme="minorHAnsi"/>
          <w:sz w:val="22"/>
          <w:szCs w:val="22"/>
          <w:lang w:val="en"/>
        </w:rPr>
        <w:t>Results</w:t>
      </w:r>
    </w:p>
    <w:p w14:paraId="5028DCB6" w14:textId="77777777" w:rsidR="001B520F" w:rsidRPr="00FF5031" w:rsidRDefault="001B520F" w:rsidP="004B6CFD">
      <w:pPr>
        <w:pStyle w:val="NormalWeb"/>
        <w:spacing w:line="360" w:lineRule="auto"/>
        <w:rPr>
          <w:rFonts w:asciiTheme="minorHAnsi" w:hAnsiTheme="minorHAnsi"/>
          <w:sz w:val="22"/>
          <w:szCs w:val="22"/>
          <w:lang w:val="en"/>
        </w:rPr>
      </w:pPr>
      <w:r w:rsidRPr="00FF5031">
        <w:rPr>
          <w:rFonts w:asciiTheme="minorHAnsi" w:hAnsiTheme="minorHAnsi"/>
          <w:sz w:val="22"/>
          <w:szCs w:val="22"/>
          <w:lang w:val="en"/>
        </w:rPr>
        <w:t>From our literature review and interviews with 43 patients, we generated a list of 197 issues.  The list was then refined to 134 issues and reviewed by 34 HCPs and 10 patients. This review resulted in the retention of 65 issues which were used in the draft questionnaire tested by 100 patients.  Our analyses led to the modification and removal of questions resulting in a 27 item questionnaire, the EORTC QLQ-ANL27.</w:t>
      </w:r>
    </w:p>
    <w:p w14:paraId="4AA814A6" w14:textId="77777777" w:rsidR="001B520F" w:rsidRPr="00FF5031" w:rsidRDefault="001B520F" w:rsidP="004B6CFD">
      <w:pPr>
        <w:pStyle w:val="NormalWeb"/>
        <w:spacing w:line="360" w:lineRule="auto"/>
        <w:rPr>
          <w:rFonts w:asciiTheme="minorHAnsi" w:hAnsiTheme="minorHAnsi"/>
          <w:sz w:val="22"/>
          <w:szCs w:val="22"/>
          <w:lang w:val="en"/>
        </w:rPr>
      </w:pPr>
      <w:r w:rsidRPr="00FF5031">
        <w:rPr>
          <w:rFonts w:asciiTheme="minorHAnsi" w:hAnsiTheme="minorHAnsi"/>
          <w:sz w:val="22"/>
          <w:szCs w:val="22"/>
          <w:lang w:val="en"/>
        </w:rPr>
        <w:t>Conclusion</w:t>
      </w:r>
    </w:p>
    <w:p w14:paraId="2D2CF8AD" w14:textId="605FCAB7" w:rsidR="001B520F" w:rsidRDefault="001B520F">
      <w:pPr>
        <w:pStyle w:val="NormalWeb"/>
        <w:spacing w:line="360" w:lineRule="auto"/>
        <w:rPr>
          <w:rFonts w:asciiTheme="minorHAnsi" w:hAnsiTheme="minorHAnsi"/>
          <w:sz w:val="22"/>
          <w:szCs w:val="22"/>
          <w:lang w:val="en"/>
        </w:rPr>
      </w:pPr>
      <w:r>
        <w:rPr>
          <w:rFonts w:asciiTheme="minorHAnsi" w:hAnsiTheme="minorHAnsi"/>
          <w:sz w:val="22"/>
          <w:szCs w:val="22"/>
          <w:lang w:val="en"/>
        </w:rPr>
        <w:t xml:space="preserve">We have developed a 27 item questionnaire to supplement the EORTC QLQ-C30, for use with patients treated for anal cancer. This has been pilot tested and is now available </w:t>
      </w:r>
      <w:r w:rsidR="0016471E">
        <w:rPr>
          <w:rFonts w:asciiTheme="minorHAnsi" w:hAnsiTheme="minorHAnsi"/>
          <w:sz w:val="22"/>
          <w:szCs w:val="22"/>
          <w:lang w:val="en"/>
        </w:rPr>
        <w:t>up</w:t>
      </w:r>
      <w:r>
        <w:rPr>
          <w:rFonts w:asciiTheme="minorHAnsi" w:hAnsiTheme="minorHAnsi"/>
          <w:sz w:val="22"/>
          <w:szCs w:val="22"/>
          <w:lang w:val="en"/>
        </w:rPr>
        <w:t>on request for use in clinical trials</w:t>
      </w:r>
      <w:r w:rsidR="0016471E">
        <w:rPr>
          <w:rFonts w:asciiTheme="minorHAnsi" w:hAnsiTheme="minorHAnsi"/>
          <w:sz w:val="22"/>
          <w:szCs w:val="22"/>
          <w:lang w:val="en"/>
        </w:rPr>
        <w:t xml:space="preserve"> as we</w:t>
      </w:r>
      <w:r w:rsidR="007734CC">
        <w:rPr>
          <w:rFonts w:asciiTheme="minorHAnsi" w:hAnsiTheme="minorHAnsi"/>
          <w:sz w:val="22"/>
          <w:szCs w:val="22"/>
          <w:lang w:val="en"/>
        </w:rPr>
        <w:t>ll as clinical practice in 8</w:t>
      </w:r>
      <w:r w:rsidR="0016471E">
        <w:rPr>
          <w:rFonts w:asciiTheme="minorHAnsi" w:hAnsiTheme="minorHAnsi"/>
          <w:sz w:val="22"/>
          <w:szCs w:val="22"/>
          <w:lang w:val="en"/>
        </w:rPr>
        <w:t xml:space="preserve"> languages (</w:t>
      </w:r>
      <w:hyperlink r:id="rId6" w:history="1">
        <w:r w:rsidR="0016471E" w:rsidRPr="000D50B6">
          <w:rPr>
            <w:rStyle w:val="Hyperlink"/>
            <w:rFonts w:eastAsiaTheme="minorHAnsi" w:cs="AdvPTimes"/>
            <w:szCs w:val="17"/>
            <w:lang w:eastAsia="en-US"/>
          </w:rPr>
          <w:t>http://groups.eortc.be/qol/</w:t>
        </w:r>
      </w:hyperlink>
      <w:r w:rsidR="0016471E">
        <w:rPr>
          <w:rFonts w:cstheme="minorHAnsi"/>
          <w:bCs/>
        </w:rPr>
        <w:t>).</w:t>
      </w:r>
    </w:p>
    <w:p w14:paraId="314CCC8E" w14:textId="77777777" w:rsidR="001B520F" w:rsidRDefault="001B520F">
      <w:pPr>
        <w:pStyle w:val="NormalWeb"/>
        <w:spacing w:line="360" w:lineRule="auto"/>
        <w:rPr>
          <w:rFonts w:asciiTheme="minorHAnsi" w:hAnsiTheme="minorHAnsi"/>
          <w:sz w:val="22"/>
          <w:szCs w:val="22"/>
          <w:lang w:val="en"/>
        </w:rPr>
      </w:pPr>
    </w:p>
    <w:p w14:paraId="6A5036E7" w14:textId="77777777" w:rsidR="001B520F" w:rsidRDefault="001B520F">
      <w:pPr>
        <w:pStyle w:val="NormalWeb"/>
        <w:spacing w:line="360" w:lineRule="auto"/>
        <w:rPr>
          <w:rFonts w:asciiTheme="minorHAnsi" w:hAnsiTheme="minorHAnsi"/>
          <w:sz w:val="22"/>
          <w:szCs w:val="22"/>
          <w:lang w:val="en"/>
        </w:rPr>
      </w:pPr>
      <w:r>
        <w:rPr>
          <w:rFonts w:asciiTheme="minorHAnsi" w:hAnsiTheme="minorHAnsi"/>
          <w:sz w:val="22"/>
          <w:szCs w:val="22"/>
          <w:lang w:val="en"/>
        </w:rPr>
        <w:t>Keywords</w:t>
      </w:r>
    </w:p>
    <w:p w14:paraId="22573B86" w14:textId="77777777" w:rsidR="001B520F" w:rsidRPr="007C57A3" w:rsidRDefault="001B520F" w:rsidP="004B6CFD">
      <w:r>
        <w:rPr>
          <w:rFonts w:cs="AdvPTimes"/>
          <w:color w:val="000000"/>
        </w:rPr>
        <w:t xml:space="preserve">Anal cancer, </w:t>
      </w:r>
      <w:proofErr w:type="spellStart"/>
      <w:r>
        <w:rPr>
          <w:rFonts w:cs="AdvPTimes"/>
          <w:color w:val="000000"/>
        </w:rPr>
        <w:t>chemoradiotherapy</w:t>
      </w:r>
      <w:proofErr w:type="spellEnd"/>
      <w:r>
        <w:rPr>
          <w:rFonts w:cs="AdvPTimes"/>
          <w:color w:val="000000"/>
        </w:rPr>
        <w:t xml:space="preserve"> (CRT), Health-Related Quality of Life (</w:t>
      </w:r>
      <w:proofErr w:type="spellStart"/>
      <w:r>
        <w:rPr>
          <w:rFonts w:cs="AdvPTimes"/>
          <w:color w:val="000000"/>
        </w:rPr>
        <w:t>HRQoL</w:t>
      </w:r>
      <w:proofErr w:type="spellEnd"/>
      <w:r>
        <w:rPr>
          <w:rFonts w:cs="AdvPTimes"/>
          <w:color w:val="000000"/>
        </w:rPr>
        <w:t xml:space="preserve">), </w:t>
      </w:r>
      <w:proofErr w:type="spellStart"/>
      <w:r>
        <w:rPr>
          <w:rFonts w:cs="AdvPTimes"/>
          <w:color w:val="000000"/>
        </w:rPr>
        <w:t>HRQoL</w:t>
      </w:r>
      <w:proofErr w:type="spellEnd"/>
      <w:r>
        <w:rPr>
          <w:rFonts w:cs="AdvPTimes"/>
          <w:color w:val="000000"/>
        </w:rPr>
        <w:t xml:space="preserve"> measurement</w:t>
      </w:r>
    </w:p>
    <w:p w14:paraId="079343F9" w14:textId="77777777" w:rsidR="001B520F" w:rsidRDefault="001B520F">
      <w:pPr>
        <w:pStyle w:val="NormalWeb"/>
        <w:spacing w:line="360" w:lineRule="auto"/>
        <w:rPr>
          <w:rFonts w:asciiTheme="minorHAnsi" w:hAnsiTheme="minorHAnsi"/>
          <w:sz w:val="22"/>
          <w:szCs w:val="22"/>
          <w:lang w:val="en"/>
        </w:rPr>
      </w:pPr>
    </w:p>
    <w:p w14:paraId="37A35517" w14:textId="77777777" w:rsidR="001B520F" w:rsidRDefault="001B520F">
      <w:pPr>
        <w:spacing w:after="160" w:line="259" w:lineRule="auto"/>
        <w:rPr>
          <w:rFonts w:ascii="Times New Roman" w:eastAsia="Times New Roman" w:hAnsi="Times New Roman" w:cs="Times New Roman"/>
          <w:sz w:val="24"/>
          <w:szCs w:val="24"/>
          <w:lang w:val="en" w:eastAsia="en-GB"/>
        </w:rPr>
      </w:pPr>
      <w:r>
        <w:rPr>
          <w:lang w:val="en"/>
        </w:rPr>
        <w:br w:type="page"/>
      </w:r>
    </w:p>
    <w:p w14:paraId="10041E96" w14:textId="77777777" w:rsidR="001B520F" w:rsidRDefault="001B520F" w:rsidP="004B6CFD">
      <w:pPr>
        <w:pStyle w:val="NormalWeb"/>
        <w:rPr>
          <w:rFonts w:cs="Calibri"/>
          <w:b/>
        </w:rPr>
      </w:pPr>
    </w:p>
    <w:p w14:paraId="0916220F" w14:textId="77777777" w:rsidR="001B520F" w:rsidRDefault="001B520F" w:rsidP="004B6CFD">
      <w:pPr>
        <w:spacing w:line="360" w:lineRule="auto"/>
        <w:rPr>
          <w:rFonts w:cs="Calibri"/>
          <w:b/>
        </w:rPr>
      </w:pPr>
      <w:r>
        <w:rPr>
          <w:rFonts w:cs="Calibri"/>
          <w:b/>
        </w:rPr>
        <w:t>Background</w:t>
      </w:r>
    </w:p>
    <w:p w14:paraId="31254A74" w14:textId="58C92A9A" w:rsidR="001B520F" w:rsidRDefault="001B520F" w:rsidP="004B6CFD">
      <w:pPr>
        <w:autoSpaceDE w:val="0"/>
        <w:autoSpaceDN w:val="0"/>
        <w:adjustRightInd w:val="0"/>
        <w:spacing w:after="0" w:line="360" w:lineRule="auto"/>
        <w:rPr>
          <w:rFonts w:cs="Calibri"/>
        </w:rPr>
      </w:pPr>
      <w:r w:rsidRPr="00FF4CE4">
        <w:t xml:space="preserve">Anal carcinoma </w:t>
      </w:r>
      <w:r>
        <w:t>is rare,</w:t>
      </w:r>
      <w:r w:rsidRPr="00343A72">
        <w:rPr>
          <w:rFonts w:cs="Calibri"/>
        </w:rPr>
        <w:t xml:space="preserve"> </w:t>
      </w:r>
      <w:r>
        <w:rPr>
          <w:rFonts w:cs="Calibri"/>
        </w:rPr>
        <w:t xml:space="preserve">accounting for </w:t>
      </w:r>
      <w:r w:rsidRPr="00343A72">
        <w:rPr>
          <w:rFonts w:cs="AdvOTa9103878"/>
        </w:rPr>
        <w:t>2% of all gastrointestinal malignancies and 10% of all anorectal malignancies</w:t>
      </w:r>
      <w:r>
        <w:rPr>
          <w:rFonts w:cs="AdvOTa9103878"/>
        </w:rPr>
        <w:t>, but</w:t>
      </w:r>
      <w:r w:rsidRPr="00343A72">
        <w:rPr>
          <w:rFonts w:cs="AdvOTa9103878"/>
        </w:rPr>
        <w:t xml:space="preserve"> with increasing incidence over the past 25 years </w:t>
      </w:r>
      <w:r>
        <w:rPr>
          <w:rFonts w:cs="Calibri"/>
        </w:rPr>
        <w:t>and hi</w:t>
      </w:r>
      <w:r w:rsidRPr="00343A72">
        <w:rPr>
          <w:rFonts w:cs="Calibri"/>
        </w:rPr>
        <w:t xml:space="preserve">gher incidence </w:t>
      </w:r>
      <w:r>
        <w:rPr>
          <w:rFonts w:cs="Calibri"/>
        </w:rPr>
        <w:t xml:space="preserve">in women </w:t>
      </w:r>
      <w:r>
        <w:rPr>
          <w:rFonts w:cs="Calibri"/>
          <w:noProof/>
        </w:rPr>
        <w:t>[1, 2]</w:t>
      </w:r>
      <w:r w:rsidRPr="00343A72">
        <w:rPr>
          <w:rFonts w:cs="Calibri"/>
        </w:rPr>
        <w:t xml:space="preserve">.  </w:t>
      </w:r>
      <w:r w:rsidRPr="00D547D4">
        <w:rPr>
          <w:rFonts w:cs="Arial"/>
        </w:rPr>
        <w:t xml:space="preserve">The current standard of care </w:t>
      </w:r>
      <w:r>
        <w:rPr>
          <w:rFonts w:cs="Arial"/>
        </w:rPr>
        <w:t xml:space="preserve">for </w:t>
      </w:r>
      <w:r w:rsidRPr="00D547D4">
        <w:rPr>
          <w:rFonts w:cs="Arial"/>
        </w:rPr>
        <w:t xml:space="preserve">patients with non-metastatic squamous cell </w:t>
      </w:r>
      <w:r>
        <w:rPr>
          <w:rFonts w:cs="Arial"/>
        </w:rPr>
        <w:t xml:space="preserve">anal </w:t>
      </w:r>
      <w:r w:rsidRPr="00D547D4">
        <w:rPr>
          <w:rFonts w:cs="Arial"/>
        </w:rPr>
        <w:t>cancer is concurre</w:t>
      </w:r>
      <w:r>
        <w:rPr>
          <w:rFonts w:cs="Arial"/>
        </w:rPr>
        <w:t xml:space="preserve">nt </w:t>
      </w:r>
      <w:proofErr w:type="spellStart"/>
      <w:r>
        <w:rPr>
          <w:rFonts w:cs="Arial"/>
        </w:rPr>
        <w:t>chemoradiotherapy</w:t>
      </w:r>
      <w:proofErr w:type="spellEnd"/>
      <w:r>
        <w:rPr>
          <w:rFonts w:cs="Arial"/>
        </w:rPr>
        <w:t xml:space="preserve"> (CRT) </w:t>
      </w:r>
      <w:r>
        <w:rPr>
          <w:rFonts w:cs="Arial"/>
          <w:noProof/>
        </w:rPr>
        <w:t>[3-7]</w:t>
      </w:r>
      <w:r w:rsidRPr="00D547D4">
        <w:rPr>
          <w:rFonts w:cs="Arial"/>
        </w:rPr>
        <w:t>.</w:t>
      </w:r>
      <w:r>
        <w:rPr>
          <w:rFonts w:cs="Arial"/>
        </w:rPr>
        <w:t xml:space="preserve"> </w:t>
      </w:r>
      <w:r w:rsidRPr="00D547D4">
        <w:rPr>
          <w:rFonts w:cs="Arial"/>
        </w:rPr>
        <w:t xml:space="preserve"> </w:t>
      </w:r>
      <w:r>
        <w:rPr>
          <w:rFonts w:cs="Arial"/>
        </w:rPr>
        <w:t>In most cases, t</w:t>
      </w:r>
      <w:r w:rsidRPr="00D547D4">
        <w:rPr>
          <w:rFonts w:cs="Arial"/>
        </w:rPr>
        <w:t xml:space="preserve">his has replaced surgical </w:t>
      </w:r>
      <w:r>
        <w:rPr>
          <w:rFonts w:cs="Arial"/>
        </w:rPr>
        <w:t>management</w:t>
      </w:r>
      <w:r w:rsidRPr="00D547D4">
        <w:rPr>
          <w:rFonts w:cs="Arial"/>
        </w:rPr>
        <w:t xml:space="preserve"> and provides definitive treatment with </w:t>
      </w:r>
      <w:r>
        <w:rPr>
          <w:rFonts w:cs="Arial"/>
        </w:rPr>
        <w:t xml:space="preserve">the hope of </w:t>
      </w:r>
      <w:r w:rsidRPr="00D547D4">
        <w:rPr>
          <w:rFonts w:cs="Arial"/>
        </w:rPr>
        <w:t xml:space="preserve">sphincter preservation.  The overall 5 </w:t>
      </w:r>
      <w:r>
        <w:rPr>
          <w:rFonts w:cs="Arial"/>
        </w:rPr>
        <w:t xml:space="preserve">year survival rates reach approximately 75%, </w:t>
      </w:r>
      <w:r w:rsidRPr="00D547D4">
        <w:rPr>
          <w:rFonts w:cs="Arial"/>
        </w:rPr>
        <w:t>colostomy free survival rate</w:t>
      </w:r>
      <w:r>
        <w:rPr>
          <w:rFonts w:cs="Arial"/>
        </w:rPr>
        <w:t>s</w:t>
      </w:r>
      <w:r w:rsidRPr="00D547D4">
        <w:rPr>
          <w:rFonts w:cs="Arial"/>
        </w:rPr>
        <w:t xml:space="preserve"> </w:t>
      </w:r>
      <w:r>
        <w:rPr>
          <w:rFonts w:cs="Arial"/>
        </w:rPr>
        <w:t>are</w:t>
      </w:r>
      <w:r w:rsidRPr="00D547D4">
        <w:rPr>
          <w:rFonts w:cs="Arial"/>
        </w:rPr>
        <w:t xml:space="preserve"> 65-70% and complete </w:t>
      </w:r>
      <w:r>
        <w:rPr>
          <w:rFonts w:cs="Arial"/>
        </w:rPr>
        <w:t>clinical response rates around 80-85</w:t>
      </w:r>
      <w:r w:rsidRPr="00D547D4">
        <w:rPr>
          <w:rFonts w:cs="Arial"/>
        </w:rPr>
        <w:t>%</w:t>
      </w:r>
      <w:r>
        <w:rPr>
          <w:rFonts w:cs="Arial"/>
        </w:rPr>
        <w:t xml:space="preserve"> </w:t>
      </w:r>
      <w:r>
        <w:rPr>
          <w:rFonts w:cs="Arial"/>
          <w:noProof/>
        </w:rPr>
        <w:t>[8]</w:t>
      </w:r>
      <w:r>
        <w:rPr>
          <w:rFonts w:cs="Arial"/>
        </w:rPr>
        <w:t>.  While treatment outcomes are promising, associated toxicities are common, potentially long lasting, and impact on health-related quality of life (</w:t>
      </w:r>
      <w:proofErr w:type="spellStart"/>
      <w:r>
        <w:rPr>
          <w:rFonts w:cs="Arial"/>
        </w:rPr>
        <w:t>HRQoL</w:t>
      </w:r>
      <w:proofErr w:type="spellEnd"/>
      <w:r>
        <w:rPr>
          <w:rFonts w:cs="Arial"/>
        </w:rPr>
        <w:t>).  C</w:t>
      </w:r>
      <w:r>
        <w:rPr>
          <w:rFonts w:cs="AdvP40668"/>
          <w:color w:val="000000"/>
        </w:rPr>
        <w:t xml:space="preserve">linician-reported </w:t>
      </w:r>
      <w:r>
        <w:rPr>
          <w:rFonts w:cs="Calibri"/>
        </w:rPr>
        <w:t xml:space="preserve">acute grade 3 or 4 toxicities can be as high as 80% </w:t>
      </w:r>
      <w:r>
        <w:rPr>
          <w:rFonts w:cs="Calibri"/>
          <w:noProof/>
        </w:rPr>
        <w:t>[9]</w:t>
      </w:r>
      <w:r w:rsidRPr="00E602DE">
        <w:rPr>
          <w:rFonts w:cs="Calibri"/>
        </w:rPr>
        <w:t xml:space="preserve"> with severe late effects</w:t>
      </w:r>
      <w:r>
        <w:rPr>
          <w:rFonts w:cs="Calibri"/>
        </w:rPr>
        <w:t xml:space="preserve"> (often defined as persisting 5 years or more post-treatment)</w:t>
      </w:r>
      <w:r w:rsidRPr="00E602DE">
        <w:rPr>
          <w:rFonts w:cs="Calibri"/>
        </w:rPr>
        <w:t xml:space="preserve"> recorded in about 10% patients </w:t>
      </w:r>
      <w:r>
        <w:rPr>
          <w:rFonts w:cs="Calibri"/>
          <w:noProof/>
        </w:rPr>
        <w:t>[7]</w:t>
      </w:r>
      <w:r w:rsidRPr="00E602DE">
        <w:rPr>
          <w:rFonts w:cs="Calibri"/>
        </w:rPr>
        <w:t xml:space="preserve">.  </w:t>
      </w:r>
      <w:r>
        <w:rPr>
          <w:rFonts w:cs="Calibri"/>
        </w:rPr>
        <w:t xml:space="preserve">The impact of these toxicities on </w:t>
      </w:r>
      <w:proofErr w:type="spellStart"/>
      <w:r>
        <w:rPr>
          <w:rFonts w:cs="Calibri"/>
        </w:rPr>
        <w:t>HRQoL</w:t>
      </w:r>
      <w:proofErr w:type="spellEnd"/>
      <w:r>
        <w:rPr>
          <w:rFonts w:cs="Calibri"/>
        </w:rPr>
        <w:t xml:space="preserve"> is acknowledged as an important outcome guiding decisions regarding treatment choices </w:t>
      </w:r>
      <w:r>
        <w:rPr>
          <w:rFonts w:cs="Calibri"/>
          <w:noProof/>
        </w:rPr>
        <w:t>[10, 11]</w:t>
      </w:r>
      <w:r>
        <w:rPr>
          <w:rFonts w:cs="Calibri"/>
        </w:rPr>
        <w:t xml:space="preserve">.  Indeed, achieving good </w:t>
      </w:r>
      <w:proofErr w:type="spellStart"/>
      <w:r>
        <w:rPr>
          <w:rFonts w:cs="Calibri"/>
        </w:rPr>
        <w:t>HRQoL</w:t>
      </w:r>
      <w:proofErr w:type="spellEnd"/>
      <w:r>
        <w:rPr>
          <w:rFonts w:cs="Calibri"/>
        </w:rPr>
        <w:t xml:space="preserve"> alongside loco-regional control and the avoidance of a permanent stoma are identified within clinical practice guidelines as the primary aim of anal cancer treatment </w:t>
      </w:r>
      <w:r>
        <w:rPr>
          <w:rFonts w:cs="Calibri"/>
          <w:noProof/>
        </w:rPr>
        <w:t>[3]</w:t>
      </w:r>
      <w:r>
        <w:rPr>
          <w:rFonts w:cs="Calibri"/>
        </w:rPr>
        <w:t xml:space="preserve">. However, currently </w:t>
      </w:r>
      <w:r>
        <w:rPr>
          <w:rFonts w:cs="Arial"/>
        </w:rPr>
        <w:t>t</w:t>
      </w:r>
      <w:r w:rsidRPr="0019250C">
        <w:rPr>
          <w:rFonts w:cs="Arial"/>
        </w:rPr>
        <w:t xml:space="preserve">here is no anal cancer specific </w:t>
      </w:r>
      <w:proofErr w:type="spellStart"/>
      <w:r>
        <w:rPr>
          <w:rFonts w:cs="Arial"/>
        </w:rPr>
        <w:t>HR</w:t>
      </w:r>
      <w:r w:rsidRPr="0019250C">
        <w:rPr>
          <w:rFonts w:cs="Arial"/>
        </w:rPr>
        <w:t>QoL</w:t>
      </w:r>
      <w:proofErr w:type="spellEnd"/>
      <w:r w:rsidRPr="0019250C">
        <w:rPr>
          <w:rFonts w:cs="Arial"/>
        </w:rPr>
        <w:t xml:space="preserve"> measure.</w:t>
      </w:r>
    </w:p>
    <w:p w14:paraId="7EA61609" w14:textId="77777777" w:rsidR="001B520F" w:rsidRDefault="001B520F" w:rsidP="004B6CFD">
      <w:pPr>
        <w:autoSpaceDE w:val="0"/>
        <w:autoSpaceDN w:val="0"/>
        <w:adjustRightInd w:val="0"/>
        <w:spacing w:after="0" w:line="360" w:lineRule="auto"/>
        <w:rPr>
          <w:rFonts w:cs="Calibri"/>
        </w:rPr>
      </w:pPr>
    </w:p>
    <w:p w14:paraId="331FB403" w14:textId="28B30744" w:rsidR="001B520F" w:rsidRPr="00914FAC" w:rsidRDefault="001B520F" w:rsidP="002637CE">
      <w:pPr>
        <w:autoSpaceDE w:val="0"/>
        <w:autoSpaceDN w:val="0"/>
        <w:adjustRightInd w:val="0"/>
        <w:spacing w:after="0" w:line="360" w:lineRule="auto"/>
        <w:rPr>
          <w:rFonts w:cs="Arial"/>
        </w:rPr>
      </w:pPr>
      <w:r>
        <w:rPr>
          <w:rFonts w:cs="Calibri"/>
        </w:rPr>
        <w:t xml:space="preserve">In the era of precision radiotherapy where clinical trials evaluating dose escalation and de-escalation are pivotal in improving treatment, the importance of accurate measurement of </w:t>
      </w:r>
      <w:proofErr w:type="spellStart"/>
      <w:r>
        <w:rPr>
          <w:rFonts w:cs="Calibri"/>
        </w:rPr>
        <w:t>HRQoL</w:t>
      </w:r>
      <w:proofErr w:type="spellEnd"/>
      <w:r>
        <w:rPr>
          <w:rFonts w:cs="Calibri"/>
        </w:rPr>
        <w:t xml:space="preserve"> and symptomatic toxicity is </w:t>
      </w:r>
      <w:r w:rsidR="00857526">
        <w:rPr>
          <w:rFonts w:cs="Calibri"/>
        </w:rPr>
        <w:t>of uttermost importance</w:t>
      </w:r>
      <w:r>
        <w:rPr>
          <w:rFonts w:cs="Calibri"/>
        </w:rPr>
        <w:t xml:space="preserve"> </w:t>
      </w:r>
      <w:r>
        <w:rPr>
          <w:rFonts w:cs="Calibri"/>
          <w:noProof/>
        </w:rPr>
        <w:t>[12]</w:t>
      </w:r>
      <w:r>
        <w:rPr>
          <w:rFonts w:cs="Calibri"/>
        </w:rPr>
        <w:t xml:space="preserve">. </w:t>
      </w:r>
      <w:r>
        <w:rPr>
          <w:rFonts w:cs="Arial"/>
        </w:rPr>
        <w:t>C</w:t>
      </w:r>
      <w:r w:rsidRPr="000871CE">
        <w:rPr>
          <w:rFonts w:cs="Arial"/>
        </w:rPr>
        <w:t xml:space="preserve">omplications </w:t>
      </w:r>
      <w:r>
        <w:rPr>
          <w:rFonts w:cs="Arial"/>
        </w:rPr>
        <w:t xml:space="preserve">following CRT </w:t>
      </w:r>
      <w:r w:rsidRPr="000871CE">
        <w:rPr>
          <w:rFonts w:cs="Arial"/>
        </w:rPr>
        <w:t xml:space="preserve">include radiation enteritis, diarrhoea, </w:t>
      </w:r>
      <w:proofErr w:type="spellStart"/>
      <w:r w:rsidRPr="000871CE">
        <w:rPr>
          <w:rFonts w:cs="Arial"/>
        </w:rPr>
        <w:t>proctitis</w:t>
      </w:r>
      <w:proofErr w:type="spellEnd"/>
      <w:r w:rsidRPr="000871CE">
        <w:rPr>
          <w:rFonts w:cs="Arial"/>
        </w:rPr>
        <w:t>, skin desquamation</w:t>
      </w:r>
      <w:r w:rsidRPr="0019250C">
        <w:rPr>
          <w:rFonts w:cs="Arial"/>
        </w:rPr>
        <w:t>, strictures, stenosis, sexual dysfunction, dyspareunia, pelvic fractures, induced menopause, lymphedema, urgency and frequency of defecation, stool incontinence, and urinary tract dysfunction</w:t>
      </w:r>
      <w:r>
        <w:rPr>
          <w:rFonts w:cs="Arial"/>
        </w:rPr>
        <w:t xml:space="preserve"> </w:t>
      </w:r>
      <w:r>
        <w:rPr>
          <w:rFonts w:cs="Arial"/>
          <w:noProof/>
        </w:rPr>
        <w:t>[13]</w:t>
      </w:r>
      <w:r w:rsidRPr="0019250C">
        <w:rPr>
          <w:rFonts w:cs="Arial"/>
        </w:rPr>
        <w:t xml:space="preserve">.  </w:t>
      </w:r>
      <w:r>
        <w:rPr>
          <w:rFonts w:cs="Arial"/>
        </w:rPr>
        <w:t xml:space="preserve">Our literature review </w:t>
      </w:r>
      <w:r>
        <w:rPr>
          <w:rFonts w:cs="Arial"/>
          <w:noProof/>
        </w:rPr>
        <w:t>[13]</w:t>
      </w:r>
      <w:r>
        <w:rPr>
          <w:rFonts w:cs="Arial"/>
        </w:rPr>
        <w:t xml:space="preserve"> identified </w:t>
      </w:r>
      <w:r w:rsidRPr="0019250C">
        <w:rPr>
          <w:rFonts w:cs="Arial"/>
        </w:rPr>
        <w:t xml:space="preserve">a number of reports of treatment complications and toxicities associated with </w:t>
      </w:r>
      <w:r>
        <w:rPr>
          <w:rFonts w:cs="Arial"/>
        </w:rPr>
        <w:t xml:space="preserve">CRT for the </w:t>
      </w:r>
      <w:r w:rsidRPr="0019250C">
        <w:rPr>
          <w:rFonts w:cs="Arial"/>
        </w:rPr>
        <w:t>treatment</w:t>
      </w:r>
      <w:r>
        <w:rPr>
          <w:rFonts w:cs="Arial"/>
        </w:rPr>
        <w:t xml:space="preserve"> of anal cancer.  The majority are from</w:t>
      </w:r>
      <w:r w:rsidRPr="0019250C">
        <w:rPr>
          <w:rFonts w:cs="Arial"/>
        </w:rPr>
        <w:t xml:space="preserve"> small-sc</w:t>
      </w:r>
      <w:r>
        <w:rPr>
          <w:rFonts w:cs="Arial"/>
        </w:rPr>
        <w:t>ale retrospective case reviews. T</w:t>
      </w:r>
      <w:r w:rsidRPr="0019250C">
        <w:rPr>
          <w:rFonts w:cs="Arial"/>
        </w:rPr>
        <w:t xml:space="preserve">here is limited information on </w:t>
      </w:r>
      <w:proofErr w:type="spellStart"/>
      <w:r>
        <w:rPr>
          <w:rFonts w:cs="Arial"/>
        </w:rPr>
        <w:t>HR</w:t>
      </w:r>
      <w:r w:rsidRPr="0019250C">
        <w:rPr>
          <w:rFonts w:cs="Arial"/>
        </w:rPr>
        <w:t>QoL</w:t>
      </w:r>
      <w:proofErr w:type="spellEnd"/>
      <w:r w:rsidRPr="0019250C">
        <w:rPr>
          <w:rFonts w:cs="Arial"/>
        </w:rPr>
        <w:t xml:space="preserve"> and in particular long-term effects of</w:t>
      </w:r>
      <w:r>
        <w:rPr>
          <w:rFonts w:cs="Arial"/>
        </w:rPr>
        <w:t xml:space="preserve"> the disease or treatment.  Some of the claims</w:t>
      </w:r>
      <w:r w:rsidRPr="0019250C">
        <w:rPr>
          <w:rFonts w:cs="Arial"/>
        </w:rPr>
        <w:t xml:space="preserve"> regarding </w:t>
      </w:r>
      <w:proofErr w:type="spellStart"/>
      <w:r>
        <w:rPr>
          <w:rFonts w:cs="Arial"/>
        </w:rPr>
        <w:t>HR</w:t>
      </w:r>
      <w:r w:rsidRPr="0019250C">
        <w:rPr>
          <w:rFonts w:cs="Arial"/>
        </w:rPr>
        <w:t>QoL</w:t>
      </w:r>
      <w:proofErr w:type="spellEnd"/>
      <w:r w:rsidRPr="0019250C">
        <w:rPr>
          <w:rFonts w:cs="Arial"/>
        </w:rPr>
        <w:t xml:space="preserve"> issues are </w:t>
      </w:r>
      <w:r>
        <w:rPr>
          <w:rFonts w:cs="Arial"/>
        </w:rPr>
        <w:t xml:space="preserve">speculative and </w:t>
      </w:r>
      <w:r w:rsidRPr="0019250C">
        <w:rPr>
          <w:rFonts w:cs="Arial"/>
        </w:rPr>
        <w:t xml:space="preserve">not substantiated by formal assessments. </w:t>
      </w:r>
      <w:r>
        <w:rPr>
          <w:rFonts w:cs="Arial"/>
        </w:rPr>
        <w:t>The</w:t>
      </w:r>
      <w:r w:rsidRPr="0019250C">
        <w:rPr>
          <w:rFonts w:cs="Arial"/>
        </w:rPr>
        <w:t xml:space="preserve"> small number of studies assessing </w:t>
      </w:r>
      <w:proofErr w:type="spellStart"/>
      <w:r>
        <w:rPr>
          <w:rFonts w:cs="Arial"/>
        </w:rPr>
        <w:t>HR</w:t>
      </w:r>
      <w:r w:rsidRPr="0019250C">
        <w:rPr>
          <w:rFonts w:cs="Arial"/>
        </w:rPr>
        <w:t>QoL</w:t>
      </w:r>
      <w:proofErr w:type="spellEnd"/>
      <w:r>
        <w:rPr>
          <w:rFonts w:cs="Arial"/>
        </w:rPr>
        <w:t xml:space="preserve"> of anal cancer patients</w:t>
      </w:r>
      <w:r w:rsidRPr="0019250C">
        <w:rPr>
          <w:rFonts w:cs="Arial"/>
        </w:rPr>
        <w:t xml:space="preserve"> </w:t>
      </w:r>
      <w:r>
        <w:rPr>
          <w:rFonts w:cs="Arial"/>
          <w:noProof/>
        </w:rPr>
        <w:t>[10, 11, 14-22]</w:t>
      </w:r>
      <w:r>
        <w:rPr>
          <w:rFonts w:cs="Arial"/>
        </w:rPr>
        <w:t xml:space="preserve"> use </w:t>
      </w:r>
      <w:r w:rsidRPr="0019250C">
        <w:rPr>
          <w:rFonts w:cs="Arial"/>
        </w:rPr>
        <w:t xml:space="preserve">questionnaires </w:t>
      </w:r>
      <w:r>
        <w:rPr>
          <w:rFonts w:cs="Arial"/>
        </w:rPr>
        <w:t xml:space="preserve">validated for use with colorectal cancer patients </w:t>
      </w:r>
      <w:r w:rsidRPr="0019250C">
        <w:rPr>
          <w:rFonts w:cs="Arial"/>
        </w:rPr>
        <w:t xml:space="preserve">such as the </w:t>
      </w:r>
      <w:r>
        <w:rPr>
          <w:rFonts w:cs="AdvPTimes"/>
          <w:color w:val="000000"/>
        </w:rPr>
        <w:t xml:space="preserve">European Organisation for Research and Treatment of Cancer (EORTC) Colorectal Cancer Specific Quality of Life Questionnaire (EORTC QLQ-CR38 / CR29) </w:t>
      </w:r>
      <w:r>
        <w:rPr>
          <w:rFonts w:cs="AdvPTimes"/>
          <w:noProof/>
          <w:color w:val="000000"/>
        </w:rPr>
        <w:t>[23, 24]</w:t>
      </w:r>
      <w:r>
        <w:rPr>
          <w:rFonts w:cs="AdvPTimes"/>
          <w:color w:val="000000"/>
        </w:rPr>
        <w:t xml:space="preserve"> and the </w:t>
      </w:r>
      <w:r w:rsidRPr="00745EF9">
        <w:rPr>
          <w:rFonts w:cs="AdvPTimes"/>
          <w:color w:val="000000"/>
        </w:rPr>
        <w:t>Functional Assessment of Cancer Therapy-Colorectal (FACT-C)</w:t>
      </w:r>
      <w:r>
        <w:rPr>
          <w:rFonts w:cs="AdvPTimes"/>
          <w:color w:val="000000"/>
        </w:rPr>
        <w:t xml:space="preserve"> </w:t>
      </w:r>
      <w:r>
        <w:rPr>
          <w:rFonts w:cs="AdvPTimes"/>
          <w:noProof/>
          <w:color w:val="000000"/>
        </w:rPr>
        <w:t>[25]</w:t>
      </w:r>
      <w:r>
        <w:rPr>
          <w:rFonts w:cs="AdvPTimes"/>
          <w:color w:val="000000"/>
        </w:rPr>
        <w:t xml:space="preserve">.  </w:t>
      </w:r>
      <w:r>
        <w:rPr>
          <w:rFonts w:cs="Arial"/>
        </w:rPr>
        <w:t>While</w:t>
      </w:r>
      <w:r w:rsidRPr="0019250C">
        <w:rPr>
          <w:rFonts w:cs="Arial"/>
        </w:rPr>
        <w:t xml:space="preserve"> anal cancer and colorectal cancer</w:t>
      </w:r>
      <w:r>
        <w:rPr>
          <w:rFonts w:cs="Arial"/>
        </w:rPr>
        <w:t xml:space="preserve"> have similar profiles</w:t>
      </w:r>
      <w:r w:rsidRPr="0019250C">
        <w:rPr>
          <w:rFonts w:cs="Arial"/>
        </w:rPr>
        <w:t xml:space="preserve"> in terms of symptom</w:t>
      </w:r>
      <w:r>
        <w:rPr>
          <w:rFonts w:cs="Arial"/>
        </w:rPr>
        <w:t>s</w:t>
      </w:r>
      <w:r w:rsidRPr="0019250C">
        <w:rPr>
          <w:rFonts w:cs="Arial"/>
        </w:rPr>
        <w:t xml:space="preserve"> and t</w:t>
      </w:r>
      <w:r>
        <w:rPr>
          <w:rFonts w:cs="Arial"/>
        </w:rPr>
        <w:t>reatment-related side-effects</w:t>
      </w:r>
      <w:r w:rsidRPr="0019250C">
        <w:rPr>
          <w:rFonts w:cs="Arial"/>
        </w:rPr>
        <w:t>, there are a number of issues</w:t>
      </w:r>
      <w:r>
        <w:rPr>
          <w:rFonts w:cs="Arial"/>
        </w:rPr>
        <w:t>,</w:t>
      </w:r>
      <w:r w:rsidRPr="0019250C">
        <w:rPr>
          <w:rFonts w:cs="Arial"/>
        </w:rPr>
        <w:t xml:space="preserve"> </w:t>
      </w:r>
      <w:r>
        <w:rPr>
          <w:rFonts w:cs="Arial"/>
        </w:rPr>
        <w:t xml:space="preserve">such as skin toxicity, </w:t>
      </w:r>
      <w:r>
        <w:rPr>
          <w:rFonts w:cs="Arial"/>
        </w:rPr>
        <w:lastRenderedPageBreak/>
        <w:t xml:space="preserve">lower limb lymphedema, anal pain and bleeding, </w:t>
      </w:r>
      <w:r w:rsidRPr="0019250C">
        <w:rPr>
          <w:rFonts w:cs="Arial"/>
        </w:rPr>
        <w:t xml:space="preserve">which are specific to anal cancer patients treated with </w:t>
      </w:r>
      <w:r>
        <w:rPr>
          <w:rFonts w:cs="Arial"/>
        </w:rPr>
        <w:t>CRT</w:t>
      </w:r>
      <w:r w:rsidRPr="0019250C">
        <w:rPr>
          <w:rFonts w:cs="Arial"/>
        </w:rPr>
        <w:t xml:space="preserve"> </w:t>
      </w:r>
      <w:r>
        <w:rPr>
          <w:rFonts w:cs="Arial"/>
          <w:noProof/>
        </w:rPr>
        <w:t>[13]</w:t>
      </w:r>
      <w:r w:rsidRPr="0019250C">
        <w:rPr>
          <w:rFonts w:cs="Arial"/>
        </w:rPr>
        <w:t xml:space="preserve">. </w:t>
      </w:r>
      <w:r>
        <w:rPr>
          <w:rFonts w:cs="Arial"/>
        </w:rPr>
        <w:t xml:space="preserve"> </w:t>
      </w:r>
      <w:r w:rsidRPr="0019250C">
        <w:rPr>
          <w:rFonts w:cs="Arial"/>
        </w:rPr>
        <w:t>Many of these issues are not covered at all or are inadequately represented in existing questionnaires.</w:t>
      </w:r>
      <w:r>
        <w:rPr>
          <w:rFonts w:cs="Arial"/>
        </w:rPr>
        <w:t xml:space="preserve">  It therefore follows that there is a clear need for a validated </w:t>
      </w:r>
      <w:proofErr w:type="spellStart"/>
      <w:r>
        <w:rPr>
          <w:rFonts w:cs="Arial"/>
        </w:rPr>
        <w:t>HRQoL</w:t>
      </w:r>
      <w:proofErr w:type="spellEnd"/>
      <w:r>
        <w:rPr>
          <w:rFonts w:cs="Arial"/>
        </w:rPr>
        <w:t xml:space="preserve"> measure specific to the concerns of anal cancer patients treated with CRT.</w:t>
      </w:r>
    </w:p>
    <w:p w14:paraId="62499880" w14:textId="77777777" w:rsidR="001B520F" w:rsidRDefault="001B520F" w:rsidP="004B6CFD">
      <w:pPr>
        <w:pStyle w:val="ListParagraph"/>
        <w:spacing w:line="360" w:lineRule="auto"/>
        <w:ind w:left="0"/>
        <w:rPr>
          <w:rFonts w:asciiTheme="minorHAnsi" w:hAnsiTheme="minorHAnsi" w:cs="Arial"/>
          <w:sz w:val="22"/>
          <w:szCs w:val="22"/>
        </w:rPr>
      </w:pPr>
    </w:p>
    <w:p w14:paraId="3C6C564B" w14:textId="79A1D88F" w:rsidR="001B520F" w:rsidRPr="00A77D9D" w:rsidRDefault="001B520F">
      <w:pPr>
        <w:spacing w:line="360" w:lineRule="auto"/>
        <w:rPr>
          <w:lang w:val="en-US"/>
        </w:rPr>
      </w:pPr>
      <w:r>
        <w:rPr>
          <w:rFonts w:cs="Arial"/>
        </w:rPr>
        <w:t xml:space="preserve">The EORTC Core questionnaire, the EORTC QLQ-C30 </w:t>
      </w:r>
      <w:r>
        <w:rPr>
          <w:rFonts w:cs="Arial"/>
          <w:noProof/>
        </w:rPr>
        <w:t>[26]</w:t>
      </w:r>
      <w:r>
        <w:rPr>
          <w:rFonts w:cs="Arial"/>
        </w:rPr>
        <w:t xml:space="preserve">, was designed to capture the generic aspects of </w:t>
      </w:r>
      <w:proofErr w:type="spellStart"/>
      <w:r>
        <w:rPr>
          <w:rFonts w:cs="Arial"/>
        </w:rPr>
        <w:t>HRQoL</w:t>
      </w:r>
      <w:proofErr w:type="spellEnd"/>
      <w:r>
        <w:rPr>
          <w:rFonts w:cs="Arial"/>
        </w:rPr>
        <w:t xml:space="preserve"> for cancer patients and while it is appropriate for all cancer types, it is not specific to any tumour site, treatment modality or </w:t>
      </w:r>
      <w:proofErr w:type="spellStart"/>
      <w:r>
        <w:rPr>
          <w:rFonts w:cs="Arial"/>
        </w:rPr>
        <w:t>HRQoL</w:t>
      </w:r>
      <w:proofErr w:type="spellEnd"/>
      <w:r>
        <w:rPr>
          <w:rFonts w:cs="Arial"/>
        </w:rPr>
        <w:t xml:space="preserve"> dimension.  The EORTC Quality of Life Group (QLG) advocates a modular approach to the development of questionnaires designed to be used alongside the EORTC QLQ-C30.  This paper describes the development of an anal cancer specific questionnaire, the EORTC QLQ-ANL27 using EORTC QLG guidelines</w:t>
      </w:r>
      <w:r w:rsidRPr="003F797C">
        <w:rPr>
          <w:lang w:val="en-US"/>
        </w:rPr>
        <w:t xml:space="preserve"> </w:t>
      </w:r>
      <w:r>
        <w:rPr>
          <w:noProof/>
          <w:lang w:val="en-US"/>
        </w:rPr>
        <w:t>[27]</w:t>
      </w:r>
      <w:r>
        <w:rPr>
          <w:rFonts w:cs="Arial"/>
        </w:rPr>
        <w:t xml:space="preserve">. </w:t>
      </w:r>
    </w:p>
    <w:p w14:paraId="23375563" w14:textId="77777777" w:rsidR="001B520F" w:rsidRDefault="001B520F" w:rsidP="004B6CFD">
      <w:pPr>
        <w:spacing w:line="360" w:lineRule="auto"/>
        <w:rPr>
          <w:lang w:val="en-US"/>
        </w:rPr>
      </w:pPr>
    </w:p>
    <w:p w14:paraId="1CD37E26" w14:textId="77777777" w:rsidR="001B520F" w:rsidRPr="0099296A" w:rsidRDefault="001B520F" w:rsidP="004B6CFD">
      <w:pPr>
        <w:spacing w:line="360" w:lineRule="auto"/>
        <w:rPr>
          <w:b/>
          <w:lang w:val="en-US"/>
        </w:rPr>
      </w:pPr>
      <w:r>
        <w:rPr>
          <w:b/>
          <w:lang w:val="en-US"/>
        </w:rPr>
        <w:t xml:space="preserve">Materials and </w:t>
      </w:r>
      <w:r w:rsidRPr="0099296A">
        <w:rPr>
          <w:b/>
          <w:lang w:val="en-US"/>
        </w:rPr>
        <w:t>Method</w:t>
      </w:r>
    </w:p>
    <w:p w14:paraId="789B40B5" w14:textId="77777777" w:rsidR="001B520F" w:rsidRDefault="001B520F" w:rsidP="004B6CFD">
      <w:pPr>
        <w:spacing w:line="360" w:lineRule="auto"/>
      </w:pPr>
      <w:r w:rsidRPr="003F797C">
        <w:rPr>
          <w:lang w:val="en-US"/>
        </w:rPr>
        <w:t xml:space="preserve">The development of EORTC </w:t>
      </w:r>
      <w:r>
        <w:rPr>
          <w:lang w:val="en-US"/>
        </w:rPr>
        <w:t>QLG</w:t>
      </w:r>
      <w:r w:rsidRPr="003F797C">
        <w:rPr>
          <w:lang w:val="en-US"/>
        </w:rPr>
        <w:t xml:space="preserve"> modules follows four phases </w:t>
      </w:r>
      <w:r>
        <w:rPr>
          <w:noProof/>
          <w:lang w:val="en-US"/>
        </w:rPr>
        <w:t>[27]</w:t>
      </w:r>
      <w:r w:rsidRPr="003F797C">
        <w:rPr>
          <w:lang w:val="en-US"/>
        </w:rPr>
        <w:t xml:space="preserve">. In Phase 1, HRQOL issues are generated through interviews with patients and </w:t>
      </w:r>
      <w:r w:rsidRPr="003F797C">
        <w:t>health care professionals (HCPs)</w:t>
      </w:r>
      <w:r w:rsidRPr="003F797C">
        <w:rPr>
          <w:lang w:val="en-US"/>
        </w:rPr>
        <w:t xml:space="preserve">, and a literature search. </w:t>
      </w:r>
      <w:r>
        <w:rPr>
          <w:lang w:val="en-US"/>
        </w:rPr>
        <w:t xml:space="preserve"> </w:t>
      </w:r>
      <w:r w:rsidRPr="003F797C">
        <w:rPr>
          <w:lang w:val="en-US"/>
        </w:rPr>
        <w:t xml:space="preserve">These HRQOL issues are reviewed and revised in Phase 2 and questionnaire items are formulated. </w:t>
      </w:r>
      <w:r>
        <w:rPr>
          <w:lang w:val="en-US"/>
        </w:rPr>
        <w:t xml:space="preserve"> </w:t>
      </w:r>
      <w:r w:rsidRPr="003F797C">
        <w:rPr>
          <w:lang w:val="en-US"/>
        </w:rPr>
        <w:t xml:space="preserve">In Phase 3, the questionnaire items are pilot tested and a provisional version of the module is developed. </w:t>
      </w:r>
      <w:r>
        <w:rPr>
          <w:lang w:val="en-US"/>
        </w:rPr>
        <w:t xml:space="preserve"> </w:t>
      </w:r>
      <w:r w:rsidRPr="003F797C">
        <w:rPr>
          <w:lang w:val="en-US"/>
        </w:rPr>
        <w:t xml:space="preserve">In Phase 4 the new module </w:t>
      </w:r>
      <w:r>
        <w:rPr>
          <w:lang w:val="en-US"/>
        </w:rPr>
        <w:t>undergoes International field testing</w:t>
      </w:r>
      <w:r w:rsidRPr="003F797C">
        <w:rPr>
          <w:lang w:val="en-US"/>
        </w:rPr>
        <w:t>. The work reported here describes Phases</w:t>
      </w:r>
      <w:r>
        <w:rPr>
          <w:lang w:val="en-US"/>
        </w:rPr>
        <w:t xml:space="preserve"> </w:t>
      </w:r>
      <w:r w:rsidRPr="003F797C">
        <w:rPr>
          <w:lang w:val="en-US"/>
        </w:rPr>
        <w:t>1-3.</w:t>
      </w:r>
      <w:r w:rsidRPr="003F797C">
        <w:t xml:space="preserve"> </w:t>
      </w:r>
      <w:r>
        <w:t xml:space="preserve"> </w:t>
      </w:r>
      <w:r w:rsidRPr="003F797C">
        <w:t xml:space="preserve">The study protocol was approved by the EORTC </w:t>
      </w:r>
      <w:r>
        <w:t>QLG.</w:t>
      </w:r>
      <w:r w:rsidRPr="003F797C">
        <w:t xml:space="preserve"> </w:t>
      </w:r>
      <w:r>
        <w:t xml:space="preserve"> </w:t>
      </w:r>
      <w:r w:rsidRPr="003F797C">
        <w:t xml:space="preserve">Ethical and research governance approvals were obtained at each centre in accordance with local requirements and all patients provided written informed consent. The study was coordinated from Southampton, UK with additional centres in, </w:t>
      </w:r>
      <w:r>
        <w:t xml:space="preserve">Canada, Cyprus, </w:t>
      </w:r>
      <w:r w:rsidRPr="003F797C">
        <w:t>Germany, Greece, Italy, Norway,</w:t>
      </w:r>
      <w:r>
        <w:t xml:space="preserve"> and Poland</w:t>
      </w:r>
      <w:r w:rsidRPr="003F797C">
        <w:t xml:space="preserve">. </w:t>
      </w:r>
      <w:r>
        <w:t xml:space="preserve"> </w:t>
      </w:r>
      <w:r w:rsidRPr="003F797C">
        <w:t>Collaborator meetings were held every six months, with regular email discussion and tele</w:t>
      </w:r>
      <w:r>
        <w:t xml:space="preserve">phone </w:t>
      </w:r>
      <w:r w:rsidRPr="003F797C">
        <w:t>conferences between these times.</w:t>
      </w:r>
    </w:p>
    <w:p w14:paraId="770E55D6" w14:textId="77777777" w:rsidR="001B520F" w:rsidRPr="00433AE1" w:rsidRDefault="001B520F" w:rsidP="004B6CFD">
      <w:pPr>
        <w:spacing w:line="360" w:lineRule="auto"/>
        <w:rPr>
          <w:i/>
        </w:rPr>
      </w:pPr>
      <w:r w:rsidRPr="00433AE1">
        <w:rPr>
          <w:i/>
        </w:rPr>
        <w:t xml:space="preserve">Phase </w:t>
      </w:r>
      <w:proofErr w:type="spellStart"/>
      <w:r w:rsidRPr="00433AE1">
        <w:rPr>
          <w:i/>
        </w:rPr>
        <w:t>I</w:t>
      </w:r>
      <w:r>
        <w:rPr>
          <w:i/>
        </w:rPr>
        <w:t>a</w:t>
      </w:r>
      <w:proofErr w:type="spellEnd"/>
      <w:r w:rsidRPr="00433AE1">
        <w:rPr>
          <w:i/>
        </w:rPr>
        <w:t xml:space="preserve"> </w:t>
      </w:r>
      <w:proofErr w:type="spellStart"/>
      <w:r w:rsidRPr="00433AE1">
        <w:rPr>
          <w:i/>
        </w:rPr>
        <w:t>HRQoL</w:t>
      </w:r>
      <w:proofErr w:type="spellEnd"/>
      <w:r w:rsidRPr="00433AE1">
        <w:rPr>
          <w:i/>
        </w:rPr>
        <w:t xml:space="preserve"> issue generation</w:t>
      </w:r>
    </w:p>
    <w:p w14:paraId="7BFFFD22" w14:textId="77777777" w:rsidR="001B520F" w:rsidRDefault="001B520F" w:rsidP="004B6CFD">
      <w:pPr>
        <w:spacing w:line="360" w:lineRule="auto"/>
      </w:pPr>
      <w:r>
        <w:t xml:space="preserve">In order to generate an initial list of </w:t>
      </w:r>
      <w:proofErr w:type="spellStart"/>
      <w:r>
        <w:t>HRQoL</w:t>
      </w:r>
      <w:proofErr w:type="spellEnd"/>
      <w:r>
        <w:t xml:space="preserve"> issues, a systematic review of literature published between January 1996 and March 2014 was undertaken.  English language papers describing </w:t>
      </w:r>
      <w:r>
        <w:rPr>
          <w:rFonts w:cs="Calibri"/>
        </w:rPr>
        <w:t>patients treated with CRT for anal cancer were eligible for inclusion and included r</w:t>
      </w:r>
      <w:r>
        <w:rPr>
          <w:rFonts w:cstheme="minorHAnsi"/>
        </w:rPr>
        <w:t xml:space="preserve">andomised controlled trials, case reviews / series, trials of quasi-experimental design, meta-analyses and reviews.  Papers reporting conference proceedings and abstracts, study protocols and individual case reports were excluded from the review. </w:t>
      </w:r>
      <w:r>
        <w:t xml:space="preserve"> Further details of the literature review process are described elsewhere </w:t>
      </w:r>
      <w:r>
        <w:rPr>
          <w:noProof/>
        </w:rPr>
        <w:t>[13]</w:t>
      </w:r>
      <w:r>
        <w:t xml:space="preserve">.  </w:t>
      </w:r>
    </w:p>
    <w:p w14:paraId="269EEE13" w14:textId="77777777" w:rsidR="001B520F" w:rsidRDefault="001B520F" w:rsidP="004B6CFD">
      <w:pPr>
        <w:spacing w:line="360" w:lineRule="auto"/>
      </w:pPr>
      <w:r>
        <w:lastRenderedPageBreak/>
        <w:t xml:space="preserve">Patient interviews </w:t>
      </w:r>
    </w:p>
    <w:p w14:paraId="3A2017F5" w14:textId="77777777" w:rsidR="001B520F" w:rsidRDefault="001B520F">
      <w:pPr>
        <w:spacing w:line="360" w:lineRule="auto"/>
        <w:rPr>
          <w:rFonts w:cs="Arial"/>
        </w:rPr>
      </w:pPr>
      <w:r w:rsidRPr="0068083C">
        <w:rPr>
          <w:rFonts w:cstheme="minorHAnsi"/>
          <w:bCs/>
        </w:rPr>
        <w:t xml:space="preserve">Patients with a </w:t>
      </w:r>
      <w:r w:rsidRPr="0068083C">
        <w:rPr>
          <w:rFonts w:cs="Arial"/>
        </w:rPr>
        <w:t>confirmed diagnosis of primary newly diagnosed or recurrent</w:t>
      </w:r>
      <w:r>
        <w:rPr>
          <w:rFonts w:cs="Arial"/>
        </w:rPr>
        <w:t xml:space="preserve"> </w:t>
      </w:r>
      <w:proofErr w:type="spellStart"/>
      <w:r w:rsidRPr="0068083C">
        <w:rPr>
          <w:rFonts w:cs="Arial"/>
        </w:rPr>
        <w:t>locoregional</w:t>
      </w:r>
      <w:proofErr w:type="spellEnd"/>
      <w:r w:rsidRPr="0068083C">
        <w:rPr>
          <w:rFonts w:cs="Arial"/>
        </w:rPr>
        <w:t xml:space="preserve"> anal </w:t>
      </w:r>
      <w:r>
        <w:rPr>
          <w:rFonts w:cs="Arial"/>
        </w:rPr>
        <w:t xml:space="preserve">cancer </w:t>
      </w:r>
      <w:r w:rsidRPr="0068083C">
        <w:rPr>
          <w:rFonts w:cs="Arial"/>
        </w:rPr>
        <w:t xml:space="preserve">(squamous or </w:t>
      </w:r>
      <w:proofErr w:type="spellStart"/>
      <w:r w:rsidRPr="0068083C">
        <w:rPr>
          <w:rFonts w:cs="Arial"/>
        </w:rPr>
        <w:t>cloacogenic</w:t>
      </w:r>
      <w:proofErr w:type="spellEnd"/>
      <w:r>
        <w:rPr>
          <w:rFonts w:cs="Arial"/>
        </w:rPr>
        <w:t xml:space="preserve"> cell cancers with histological confirmation) </w:t>
      </w:r>
      <w:r>
        <w:rPr>
          <w:rFonts w:cstheme="minorHAnsi"/>
          <w:bCs/>
        </w:rPr>
        <w:t xml:space="preserve">were invited to participate in semi-structured interviews.  </w:t>
      </w:r>
      <w:r>
        <w:rPr>
          <w:rFonts w:cs="Arial"/>
        </w:rPr>
        <w:t xml:space="preserve">Purposive sampling was used </w:t>
      </w:r>
      <w:r w:rsidRPr="003667EC">
        <w:rPr>
          <w:rFonts w:cs="Arial"/>
        </w:rPr>
        <w:t xml:space="preserve">to include patients </w:t>
      </w:r>
      <w:r>
        <w:rPr>
          <w:rFonts w:cs="Arial"/>
        </w:rPr>
        <w:t>in the acute</w:t>
      </w:r>
      <w:r>
        <w:rPr>
          <w:rFonts w:cs="Arial"/>
          <w:bCs/>
        </w:rPr>
        <w:t xml:space="preserve">, early </w:t>
      </w:r>
      <w:r w:rsidRPr="003667EC">
        <w:rPr>
          <w:rFonts w:cs="Arial"/>
          <w:bCs/>
        </w:rPr>
        <w:t xml:space="preserve">and </w:t>
      </w:r>
      <w:r>
        <w:rPr>
          <w:rFonts w:cs="Arial"/>
          <w:bCs/>
        </w:rPr>
        <w:t xml:space="preserve">late treatment phases </w:t>
      </w:r>
      <w:r>
        <w:rPr>
          <w:rFonts w:cs="Arial"/>
        </w:rPr>
        <w:t>(</w:t>
      </w:r>
      <w:r w:rsidRPr="003667EC">
        <w:rPr>
          <w:rFonts w:cs="Arial"/>
          <w:bCs/>
        </w:rPr>
        <w:t>&lt;</w:t>
      </w:r>
      <w:r>
        <w:rPr>
          <w:rFonts w:cs="Arial"/>
          <w:bCs/>
        </w:rPr>
        <w:t xml:space="preserve"> </w:t>
      </w:r>
      <w:r w:rsidRPr="003667EC">
        <w:rPr>
          <w:rFonts w:cs="Arial"/>
          <w:bCs/>
        </w:rPr>
        <w:t>6</w:t>
      </w:r>
      <w:r>
        <w:rPr>
          <w:rFonts w:cs="Arial"/>
          <w:bCs/>
        </w:rPr>
        <w:t xml:space="preserve"> </w:t>
      </w:r>
      <w:r w:rsidRPr="003667EC">
        <w:rPr>
          <w:rFonts w:cs="Arial"/>
          <w:bCs/>
        </w:rPr>
        <w:t>months</w:t>
      </w:r>
      <w:r>
        <w:rPr>
          <w:rFonts w:cs="Arial"/>
          <w:bCs/>
        </w:rPr>
        <w:t xml:space="preserve">, </w:t>
      </w:r>
      <w:r w:rsidRPr="003667EC">
        <w:rPr>
          <w:rFonts w:cs="Arial"/>
          <w:bCs/>
        </w:rPr>
        <w:t>6-24 months</w:t>
      </w:r>
      <w:r>
        <w:rPr>
          <w:rFonts w:cs="Arial"/>
          <w:bCs/>
        </w:rPr>
        <w:t xml:space="preserve"> and </w:t>
      </w:r>
      <w:r w:rsidRPr="003667EC">
        <w:rPr>
          <w:rFonts w:cs="Arial"/>
          <w:bCs/>
        </w:rPr>
        <w:t xml:space="preserve">2-5 years from </w:t>
      </w:r>
      <w:r>
        <w:rPr>
          <w:rFonts w:cs="Arial"/>
          <w:bCs/>
        </w:rPr>
        <w:t xml:space="preserve">the </w:t>
      </w:r>
      <w:r w:rsidRPr="003667EC">
        <w:rPr>
          <w:rFonts w:cs="Arial"/>
          <w:bCs/>
        </w:rPr>
        <w:t>start of treatment</w:t>
      </w:r>
      <w:r>
        <w:rPr>
          <w:rFonts w:cs="Arial"/>
          <w:bCs/>
        </w:rPr>
        <w:t xml:space="preserve"> respectively) as well as a good distribution of males and females although we anticipated a bias in recruitment of females.  </w:t>
      </w:r>
      <w:r>
        <w:rPr>
          <w:rFonts w:cs="Arial"/>
        </w:rPr>
        <w:t>Patients with a stoma were included in the sample.</w:t>
      </w:r>
      <w:r w:rsidRPr="003667EC">
        <w:rPr>
          <w:rFonts w:cs="Arial"/>
        </w:rPr>
        <w:t xml:space="preserve"> </w:t>
      </w:r>
      <w:r>
        <w:rPr>
          <w:rFonts w:cs="Arial"/>
        </w:rPr>
        <w:t xml:space="preserve"> Recruitment of patients continued until data saturation was achieved.</w:t>
      </w:r>
    </w:p>
    <w:p w14:paraId="7C43EFA9" w14:textId="77777777" w:rsidR="001B520F" w:rsidRDefault="001B520F">
      <w:pPr>
        <w:spacing w:line="360" w:lineRule="auto"/>
        <w:rPr>
          <w:rFonts w:cstheme="minorHAnsi"/>
          <w:bCs/>
        </w:rPr>
      </w:pPr>
      <w:r>
        <w:rPr>
          <w:rFonts w:cs="Arial"/>
        </w:rPr>
        <w:t xml:space="preserve">Patients were asked to describe their experiences relating to diagnosis and treatment with CRT.  Issues captured from the literature review were used as prompts. </w:t>
      </w:r>
      <w:r>
        <w:rPr>
          <w:rFonts w:cstheme="minorHAnsi"/>
          <w:bCs/>
        </w:rPr>
        <w:t xml:space="preserve">Patients were shown the EORTC QLQ-C30 to engage them in further discussion.   Patients were also asked to consider which of the issues raised were most important to them.  Sociodemographic and clinical data </w:t>
      </w:r>
      <w:r w:rsidRPr="00025703">
        <w:rPr>
          <w:rFonts w:cstheme="minorHAnsi"/>
          <w:bCs/>
        </w:rPr>
        <w:t>including performance status (</w:t>
      </w:r>
      <w:proofErr w:type="spellStart"/>
      <w:r w:rsidRPr="00025703">
        <w:rPr>
          <w:rFonts w:cstheme="minorHAnsi"/>
          <w:bCs/>
        </w:rPr>
        <w:t>Karnofsky</w:t>
      </w:r>
      <w:proofErr w:type="spellEnd"/>
      <w:r w:rsidRPr="00025703">
        <w:rPr>
          <w:rFonts w:cstheme="minorHAnsi"/>
          <w:bCs/>
        </w:rPr>
        <w:t xml:space="preserve"> Performance Status </w:t>
      </w:r>
      <w:r>
        <w:rPr>
          <w:rFonts w:cstheme="minorHAnsi"/>
          <w:bCs/>
          <w:noProof/>
        </w:rPr>
        <w:t>[28]</w:t>
      </w:r>
      <w:r w:rsidRPr="00025703">
        <w:rPr>
          <w:rFonts w:cstheme="minorHAnsi"/>
          <w:bCs/>
        </w:rPr>
        <w:t>)</w:t>
      </w:r>
      <w:r>
        <w:rPr>
          <w:rFonts w:cstheme="minorHAnsi"/>
          <w:bCs/>
        </w:rPr>
        <w:t xml:space="preserve"> were recorded.</w:t>
      </w:r>
    </w:p>
    <w:p w14:paraId="554E288B" w14:textId="77777777" w:rsidR="001B520F" w:rsidRPr="00C41521" w:rsidRDefault="001B520F" w:rsidP="004B6CFD">
      <w:pPr>
        <w:spacing w:line="360" w:lineRule="auto"/>
        <w:rPr>
          <w:rFonts w:cstheme="minorHAnsi"/>
          <w:bCs/>
          <w:i/>
        </w:rPr>
      </w:pPr>
      <w:r>
        <w:rPr>
          <w:rFonts w:cstheme="minorHAnsi"/>
          <w:bCs/>
          <w:i/>
        </w:rPr>
        <w:t xml:space="preserve">Phase 1b </w:t>
      </w:r>
      <w:proofErr w:type="spellStart"/>
      <w:r>
        <w:rPr>
          <w:rFonts w:cstheme="minorHAnsi"/>
          <w:bCs/>
          <w:i/>
        </w:rPr>
        <w:t>HRQoL</w:t>
      </w:r>
      <w:proofErr w:type="spellEnd"/>
      <w:r>
        <w:rPr>
          <w:rFonts w:cstheme="minorHAnsi"/>
          <w:bCs/>
          <w:i/>
        </w:rPr>
        <w:t xml:space="preserve"> issue review </w:t>
      </w:r>
    </w:p>
    <w:p w14:paraId="327649F8" w14:textId="77777777" w:rsidR="001B520F" w:rsidRDefault="001B520F">
      <w:pPr>
        <w:spacing w:line="360" w:lineRule="auto"/>
        <w:rPr>
          <w:rFonts w:cstheme="minorHAnsi"/>
          <w:bCs/>
        </w:rPr>
      </w:pPr>
      <w:r>
        <w:rPr>
          <w:rFonts w:cstheme="minorHAnsi"/>
          <w:bCs/>
        </w:rPr>
        <w:t xml:space="preserve">Issues generated from the interviews and the literature review were used to devise a list which was distributed to the project collaborators </w:t>
      </w:r>
      <w:r w:rsidRPr="003F797C">
        <w:t xml:space="preserve">for feedback and to check for missing issues. This led to the combination of some issues, modifications, and removal of issues with obvious overlap with the EORTC QLQ-C30. The revised list was </w:t>
      </w:r>
      <w:r>
        <w:t xml:space="preserve">then reviewed by a separate group of patients and HCPs with expertise in anal cancer.  HCPs and patients were asked to </w:t>
      </w:r>
      <w:r>
        <w:rPr>
          <w:rFonts w:cstheme="minorHAnsi"/>
          <w:bCs/>
        </w:rPr>
        <w:t xml:space="preserve">rate each issue in terms of importance on a 4-point Likert scale ranging from 1 “Not at all” to 4 “Very much”.  They were then asked to nominate 10 of the most important issues which should be included in the questionnaire and to identify issues which should not be included.  </w:t>
      </w:r>
    </w:p>
    <w:p w14:paraId="7F007107" w14:textId="77777777" w:rsidR="001B520F" w:rsidRPr="00C41521" w:rsidRDefault="001B520F" w:rsidP="004B6CFD">
      <w:pPr>
        <w:spacing w:line="360" w:lineRule="auto"/>
        <w:rPr>
          <w:rFonts w:cstheme="minorHAnsi"/>
          <w:bCs/>
          <w:i/>
        </w:rPr>
      </w:pPr>
      <w:r w:rsidRPr="00C41521">
        <w:rPr>
          <w:rFonts w:cstheme="minorHAnsi"/>
          <w:bCs/>
          <w:i/>
        </w:rPr>
        <w:t>Phase 2 Construction of the provisional questionnaire</w:t>
      </w:r>
    </w:p>
    <w:p w14:paraId="4EFD13C0" w14:textId="77777777" w:rsidR="001B520F" w:rsidRDefault="001B520F">
      <w:pPr>
        <w:spacing w:line="360" w:lineRule="auto"/>
      </w:pPr>
      <w:r w:rsidRPr="003F797C">
        <w:t xml:space="preserve">EORTC </w:t>
      </w:r>
      <w:r>
        <w:t xml:space="preserve">QLG </w:t>
      </w:r>
      <w:r w:rsidRPr="003F797C">
        <w:t xml:space="preserve">guidelines were followed to determine which issues should be removed and whether any new issues should be added to the list </w:t>
      </w:r>
      <w:r>
        <w:rPr>
          <w:noProof/>
        </w:rPr>
        <w:t>[27]</w:t>
      </w:r>
      <w:r w:rsidRPr="003F797C">
        <w:t>.</w:t>
      </w:r>
      <w:r w:rsidRPr="003F797C">
        <w:rPr>
          <w:rFonts w:cs="Arial"/>
        </w:rPr>
        <w:t xml:space="preserve"> I</w:t>
      </w:r>
      <w:r w:rsidRPr="003F797C">
        <w:t xml:space="preserve">ssues were operationalised into items with a response format and time frame compatible with the EORTC QLQ-C30. </w:t>
      </w:r>
      <w:r>
        <w:t xml:space="preserve"> </w:t>
      </w:r>
      <w:r w:rsidRPr="006F3035">
        <w:rPr>
          <w:rFonts w:cs="Calibri"/>
        </w:rPr>
        <w:t>Th</w:t>
      </w:r>
      <w:r>
        <w:rPr>
          <w:rFonts w:cs="Calibri"/>
        </w:rPr>
        <w:t xml:space="preserve">e EORTC Item Library was the first reference point </w:t>
      </w:r>
      <w:r w:rsidRPr="006F3035">
        <w:rPr>
          <w:rFonts w:cs="Calibri"/>
        </w:rPr>
        <w:t>when devisi</w:t>
      </w:r>
      <w:r>
        <w:rPr>
          <w:rFonts w:cs="Calibri"/>
        </w:rPr>
        <w:t xml:space="preserve">ng items to correspond to the </w:t>
      </w:r>
      <w:r w:rsidRPr="006F3035">
        <w:rPr>
          <w:rFonts w:cs="Calibri"/>
        </w:rPr>
        <w:t>issues identified</w:t>
      </w:r>
      <w:r>
        <w:rPr>
          <w:rFonts w:cs="Calibri"/>
        </w:rPr>
        <w:t xml:space="preserve">.  Attempts were made to harmonise items, where possible, with existing EORTC QLG modules, such as the EORTC QLQ-CR29 </w:t>
      </w:r>
      <w:r>
        <w:rPr>
          <w:rFonts w:cs="Calibri"/>
          <w:noProof/>
        </w:rPr>
        <w:t>[24]</w:t>
      </w:r>
      <w:r>
        <w:rPr>
          <w:rFonts w:cs="Calibri"/>
        </w:rPr>
        <w:t xml:space="preserve">.  Items were adapted and new questions devised as required.  </w:t>
      </w:r>
      <w:r w:rsidRPr="003F797C">
        <w:t xml:space="preserve">Items were translated into all the languages required for Phase 3, following </w:t>
      </w:r>
      <w:r>
        <w:t xml:space="preserve">the EORTC translation </w:t>
      </w:r>
      <w:r w:rsidRPr="003F797C">
        <w:t>guidelines</w:t>
      </w:r>
      <w:r>
        <w:t xml:space="preserve"> </w:t>
      </w:r>
      <w:r>
        <w:rPr>
          <w:noProof/>
        </w:rPr>
        <w:t>[29]</w:t>
      </w:r>
      <w:r w:rsidRPr="003F797C">
        <w:t>.</w:t>
      </w:r>
    </w:p>
    <w:p w14:paraId="5DEB907A" w14:textId="77777777" w:rsidR="001B520F" w:rsidRPr="00C41521" w:rsidRDefault="001B520F" w:rsidP="004B6CFD">
      <w:pPr>
        <w:spacing w:line="360" w:lineRule="auto"/>
        <w:rPr>
          <w:i/>
        </w:rPr>
      </w:pPr>
      <w:r w:rsidRPr="00C41521">
        <w:rPr>
          <w:i/>
        </w:rPr>
        <w:t xml:space="preserve">Phase 3 Pilot testing the provisional Anal Cancer </w:t>
      </w:r>
      <w:proofErr w:type="spellStart"/>
      <w:r w:rsidRPr="00C41521">
        <w:rPr>
          <w:i/>
        </w:rPr>
        <w:t>HRQoL</w:t>
      </w:r>
      <w:proofErr w:type="spellEnd"/>
      <w:r w:rsidRPr="00C41521">
        <w:rPr>
          <w:i/>
        </w:rPr>
        <w:t xml:space="preserve"> Questionnaire</w:t>
      </w:r>
    </w:p>
    <w:p w14:paraId="31128F75" w14:textId="77777777" w:rsidR="001B520F" w:rsidRDefault="001B520F">
      <w:pPr>
        <w:spacing w:line="360" w:lineRule="auto"/>
        <w:rPr>
          <w:rFonts w:cstheme="minorHAnsi"/>
          <w:bCs/>
        </w:rPr>
      </w:pPr>
      <w:r>
        <w:rPr>
          <w:rFonts w:cs="Arial"/>
        </w:rPr>
        <w:lastRenderedPageBreak/>
        <w:t>Eleven centres across 8 countries were involved in pretesting the preliminary questionnaire:  UK</w:t>
      </w:r>
      <w:r>
        <w:rPr>
          <w:rFonts w:cstheme="minorHAnsi"/>
          <w:bCs/>
        </w:rPr>
        <w:t xml:space="preserve"> (Leeds, London and Southampton); Cyprus (Nicosia); Canada (Ottawa and Toronto); Poland (Krakow); Germany (Halle); Italy (Florence); </w:t>
      </w:r>
      <w:r w:rsidRPr="009B432F">
        <w:rPr>
          <w:rFonts w:cstheme="minorHAnsi"/>
          <w:bCs/>
        </w:rPr>
        <w:t>Greece (</w:t>
      </w:r>
      <w:proofErr w:type="spellStart"/>
      <w:r w:rsidRPr="009B432F">
        <w:rPr>
          <w:rFonts w:cstheme="minorHAnsi"/>
          <w:bCs/>
        </w:rPr>
        <w:t>Patras</w:t>
      </w:r>
      <w:proofErr w:type="spellEnd"/>
      <w:r w:rsidRPr="009B432F">
        <w:rPr>
          <w:rFonts w:cstheme="minorHAnsi"/>
          <w:bCs/>
        </w:rPr>
        <w:t xml:space="preserve">) and Norway (Oslo). </w:t>
      </w:r>
      <w:r>
        <w:rPr>
          <w:rFonts w:cstheme="minorHAnsi"/>
          <w:bCs/>
        </w:rPr>
        <w:t>The same inclusion criteria were used as in Phase 1.  Patients involved in Phase 1 were not eligible to test the questionnaire.</w:t>
      </w:r>
    </w:p>
    <w:p w14:paraId="30164E00" w14:textId="386A6CCB" w:rsidR="001B520F" w:rsidRDefault="001B520F" w:rsidP="004B6CFD">
      <w:pPr>
        <w:spacing w:line="360" w:lineRule="auto"/>
        <w:jc w:val="both"/>
        <w:rPr>
          <w:rFonts w:cs="Arial"/>
        </w:rPr>
      </w:pPr>
      <w:r>
        <w:rPr>
          <w:rFonts w:cstheme="minorHAnsi"/>
          <w:bCs/>
        </w:rPr>
        <w:t>Patients were interviewed and asked to complete the draft questionnaire as well as the EORTC QLQ-C30.  Patients were then debriefed and asked to rate</w:t>
      </w:r>
      <w:r w:rsidRPr="00816A1F">
        <w:rPr>
          <w:rFonts w:cstheme="minorHAnsi"/>
          <w:bCs/>
        </w:rPr>
        <w:t xml:space="preserve"> whether each of the </w:t>
      </w:r>
      <w:r>
        <w:rPr>
          <w:rFonts w:cstheme="minorHAnsi"/>
          <w:bCs/>
        </w:rPr>
        <w:t>a</w:t>
      </w:r>
      <w:r w:rsidRPr="00816A1F">
        <w:rPr>
          <w:rFonts w:cstheme="minorHAnsi"/>
          <w:bCs/>
        </w:rPr>
        <w:t xml:space="preserve">nal </w:t>
      </w:r>
      <w:r>
        <w:rPr>
          <w:rFonts w:cstheme="minorHAnsi"/>
          <w:bCs/>
        </w:rPr>
        <w:t>c</w:t>
      </w:r>
      <w:r w:rsidRPr="00816A1F">
        <w:rPr>
          <w:rFonts w:cstheme="minorHAnsi"/>
          <w:bCs/>
        </w:rPr>
        <w:t xml:space="preserve">ancer questions had been relevant to them at any time since their diagnosis or treatment, i.e., whether an issue is something they recognise as </w:t>
      </w:r>
      <w:r>
        <w:rPr>
          <w:rFonts w:cstheme="minorHAnsi"/>
          <w:bCs/>
        </w:rPr>
        <w:t>having happened</w:t>
      </w:r>
      <w:r w:rsidRPr="00816A1F">
        <w:rPr>
          <w:rFonts w:cstheme="minorHAnsi"/>
          <w:bCs/>
        </w:rPr>
        <w:t xml:space="preserve"> to them</w:t>
      </w:r>
      <w:r>
        <w:rPr>
          <w:rFonts w:cstheme="minorHAnsi"/>
          <w:bCs/>
        </w:rPr>
        <w:t>.  In addition, if the question was relevant, they were asked to rate how</w:t>
      </w:r>
      <w:r w:rsidRPr="00816A1F">
        <w:rPr>
          <w:rFonts w:cstheme="minorHAnsi"/>
          <w:bCs/>
        </w:rPr>
        <w:t xml:space="preserve"> important or bothersome </w:t>
      </w:r>
      <w:r>
        <w:rPr>
          <w:rFonts w:cstheme="minorHAnsi"/>
          <w:bCs/>
        </w:rPr>
        <w:t>it had been to them</w:t>
      </w:r>
      <w:r w:rsidRPr="00816A1F">
        <w:rPr>
          <w:rFonts w:cstheme="minorHAnsi"/>
          <w:bCs/>
        </w:rPr>
        <w:t xml:space="preserve"> using a 4-point </w:t>
      </w:r>
      <w:r>
        <w:rPr>
          <w:rFonts w:cstheme="minorHAnsi"/>
          <w:bCs/>
        </w:rPr>
        <w:t>L</w:t>
      </w:r>
      <w:r w:rsidRPr="00816A1F">
        <w:rPr>
          <w:rFonts w:cstheme="minorHAnsi"/>
          <w:bCs/>
        </w:rPr>
        <w:t>ikert scale ranging from “not at all important” to “very much”.  P</w:t>
      </w:r>
      <w:r>
        <w:rPr>
          <w:rFonts w:cstheme="minorHAnsi"/>
          <w:bCs/>
        </w:rPr>
        <w:t>atients</w:t>
      </w:r>
      <w:r w:rsidRPr="00816A1F">
        <w:rPr>
          <w:rFonts w:cstheme="minorHAnsi"/>
          <w:bCs/>
        </w:rPr>
        <w:t xml:space="preserve"> were invited to talk through the rating process and comments</w:t>
      </w:r>
      <w:r>
        <w:rPr>
          <w:rFonts w:cstheme="minorHAnsi"/>
          <w:bCs/>
        </w:rPr>
        <w:t xml:space="preserve"> were</w:t>
      </w:r>
      <w:r w:rsidRPr="00816A1F">
        <w:rPr>
          <w:rFonts w:cstheme="minorHAnsi"/>
          <w:bCs/>
        </w:rPr>
        <w:t xml:space="preserve"> recorded.  </w:t>
      </w:r>
      <w:r>
        <w:rPr>
          <w:rFonts w:cstheme="minorHAnsi"/>
          <w:bCs/>
        </w:rPr>
        <w:t>Patients</w:t>
      </w:r>
      <w:r w:rsidRPr="00816A1F">
        <w:rPr>
          <w:rFonts w:cstheme="minorHAnsi"/>
          <w:bCs/>
        </w:rPr>
        <w:t xml:space="preserve"> were asked to consider whether any of the questions </w:t>
      </w:r>
      <w:r>
        <w:rPr>
          <w:rFonts w:cstheme="minorHAnsi"/>
          <w:bCs/>
        </w:rPr>
        <w:t>were</w:t>
      </w:r>
      <w:r w:rsidRPr="00816A1F">
        <w:rPr>
          <w:rFonts w:cstheme="minorHAnsi"/>
          <w:bCs/>
        </w:rPr>
        <w:t xml:space="preserve"> particularly irrelevant and also whether any of the questions were ambiguous, upsetting or intrusive.  Finally, </w:t>
      </w:r>
      <w:r>
        <w:rPr>
          <w:rFonts w:cstheme="minorHAnsi"/>
          <w:bCs/>
        </w:rPr>
        <w:t>patients</w:t>
      </w:r>
      <w:r w:rsidRPr="00816A1F">
        <w:rPr>
          <w:rFonts w:cstheme="minorHAnsi"/>
          <w:bCs/>
        </w:rPr>
        <w:t xml:space="preserve"> were asked to identify any important omissions.</w:t>
      </w:r>
      <w:r>
        <w:rPr>
          <w:rFonts w:cstheme="minorHAnsi"/>
          <w:bCs/>
        </w:rPr>
        <w:t xml:space="preserve">  As with Phase 1 interviews, s</w:t>
      </w:r>
      <w:r>
        <w:rPr>
          <w:rFonts w:cs="Arial"/>
        </w:rPr>
        <w:t xml:space="preserve">ociodemographic and clinical data were collected, along with a measure of performance status </w:t>
      </w:r>
      <w:r w:rsidRPr="009D27D8">
        <w:rPr>
          <w:rFonts w:cs="Arial"/>
        </w:rPr>
        <w:t>(Eastern Cooperative Oncology Group (ECOG) Performance Status)</w:t>
      </w:r>
      <w:r w:rsidRPr="003F797C">
        <w:rPr>
          <w:rFonts w:cs="Arial"/>
        </w:rPr>
        <w:t xml:space="preserve"> </w:t>
      </w:r>
      <w:r>
        <w:rPr>
          <w:rFonts w:cs="Arial"/>
          <w:noProof/>
        </w:rPr>
        <w:t>[30]</w:t>
      </w:r>
      <w:r w:rsidRPr="003F797C">
        <w:rPr>
          <w:rFonts w:cs="Arial"/>
        </w:rPr>
        <w:t>.</w:t>
      </w:r>
    </w:p>
    <w:p w14:paraId="62BB2F50" w14:textId="77777777" w:rsidR="001B520F" w:rsidRDefault="001B520F">
      <w:pPr>
        <w:spacing w:line="360" w:lineRule="auto"/>
      </w:pPr>
      <w:r w:rsidRPr="003F797C">
        <w:t>The number of items in the questionnaire was reduced by application of</w:t>
      </w:r>
      <w:r>
        <w:t xml:space="preserve"> a priori agreed</w:t>
      </w:r>
      <w:r w:rsidRPr="003F797C">
        <w:t xml:space="preserve"> decision rules. </w:t>
      </w:r>
      <w:r>
        <w:t xml:space="preserve"> </w:t>
      </w:r>
      <w:r w:rsidRPr="003F797C">
        <w:t>Items were rejected if &lt;60% patients rated the item as relevant and important (</w:t>
      </w:r>
      <w:r>
        <w:t>quite a bit or very much); or &lt;7</w:t>
      </w:r>
      <w:r w:rsidRPr="003F797C">
        <w:t xml:space="preserve">0% patients reported the issue applies </w:t>
      </w:r>
      <w:r>
        <w:t xml:space="preserve">a little bit, </w:t>
      </w:r>
      <w:r w:rsidRPr="003F797C">
        <w:t xml:space="preserve">quite a bit or very much; or if there were floor or ceiling effects (&lt;10% patient responses for response options one </w:t>
      </w:r>
      <w:r>
        <w:t>and two or three and</w:t>
      </w:r>
      <w:r w:rsidRPr="003F797C">
        <w:t xml:space="preserve"> four). </w:t>
      </w:r>
      <w:r>
        <w:t xml:space="preserve"> </w:t>
      </w:r>
      <w:r w:rsidRPr="003F797C">
        <w:t>In addition,</w:t>
      </w:r>
      <w:r>
        <w:t xml:space="preserve"> we considered </w:t>
      </w:r>
      <w:r w:rsidRPr="003F797C">
        <w:t>patient comment</w:t>
      </w:r>
      <w:r>
        <w:t xml:space="preserve">s and clinical judgement.  </w:t>
      </w:r>
      <w:r>
        <w:rPr>
          <w:rFonts w:cs="Calibri"/>
        </w:rPr>
        <w:t>Hypothesised subscales were proposed based on item content; the internal consistency of the proposed subscales was tested using Cronbach’s alpha: alpha</w:t>
      </w:r>
      <w:r>
        <w:t xml:space="preserve"> ≥0.70 was</w:t>
      </w:r>
      <w:r w:rsidRPr="003F797C">
        <w:t xml:space="preserve"> </w:t>
      </w:r>
      <w:r>
        <w:t>regarded as evidence</w:t>
      </w:r>
      <w:r w:rsidRPr="003F797C">
        <w:t xml:space="preserve"> of adequate internal consistency </w:t>
      </w:r>
      <w:r>
        <w:rPr>
          <w:noProof/>
        </w:rPr>
        <w:t>[31]</w:t>
      </w:r>
      <w:r w:rsidRPr="003F797C">
        <w:t>.</w:t>
      </w:r>
    </w:p>
    <w:p w14:paraId="4212FDAF" w14:textId="77777777" w:rsidR="001B520F" w:rsidRDefault="001B520F" w:rsidP="004B6CFD">
      <w:pPr>
        <w:spacing w:line="360" w:lineRule="auto"/>
      </w:pPr>
    </w:p>
    <w:p w14:paraId="6D9AF272" w14:textId="77777777" w:rsidR="001B520F" w:rsidRPr="00011941" w:rsidRDefault="001B520F" w:rsidP="004B6CFD">
      <w:pPr>
        <w:spacing w:line="360" w:lineRule="auto"/>
        <w:rPr>
          <w:b/>
          <w:bCs/>
        </w:rPr>
      </w:pPr>
      <w:r w:rsidRPr="00011941">
        <w:rPr>
          <w:b/>
          <w:bCs/>
        </w:rPr>
        <w:t>Results</w:t>
      </w:r>
    </w:p>
    <w:p w14:paraId="6C53F161" w14:textId="77777777" w:rsidR="001B520F" w:rsidRDefault="001B520F" w:rsidP="004B6CFD">
      <w:pPr>
        <w:spacing w:line="360" w:lineRule="auto"/>
        <w:rPr>
          <w:i/>
          <w:iCs/>
        </w:rPr>
      </w:pPr>
      <w:r>
        <w:rPr>
          <w:i/>
          <w:iCs/>
        </w:rPr>
        <w:t xml:space="preserve">Phase 1 </w:t>
      </w:r>
      <w:proofErr w:type="spellStart"/>
      <w:r>
        <w:rPr>
          <w:i/>
          <w:iCs/>
        </w:rPr>
        <w:t>HRQoL</w:t>
      </w:r>
      <w:proofErr w:type="spellEnd"/>
      <w:r>
        <w:rPr>
          <w:i/>
          <w:iCs/>
        </w:rPr>
        <w:t xml:space="preserve"> Issue Generation</w:t>
      </w:r>
    </w:p>
    <w:p w14:paraId="6B5FFAB7" w14:textId="77777777" w:rsidR="001B520F" w:rsidRPr="00011941" w:rsidRDefault="001B520F" w:rsidP="004B6CFD">
      <w:pPr>
        <w:spacing w:line="360" w:lineRule="auto"/>
        <w:rPr>
          <w:iCs/>
        </w:rPr>
      </w:pPr>
      <w:r w:rsidRPr="00011941">
        <w:rPr>
          <w:iCs/>
        </w:rPr>
        <w:t xml:space="preserve">Literature review </w:t>
      </w:r>
    </w:p>
    <w:p w14:paraId="5C222EA6" w14:textId="77777777" w:rsidR="001B520F" w:rsidRDefault="001B520F">
      <w:pPr>
        <w:autoSpaceDE w:val="0"/>
        <w:autoSpaceDN w:val="0"/>
        <w:adjustRightInd w:val="0"/>
        <w:spacing w:after="0" w:line="360" w:lineRule="auto"/>
      </w:pPr>
      <w:r>
        <w:t>The results of our literature review are reported elsewhere [13].  In summary, out of 152 publications reviewed, 11 (7%)</w:t>
      </w:r>
      <w:r w:rsidRPr="0019250C">
        <w:rPr>
          <w:rFonts w:cs="Arial"/>
        </w:rPr>
        <w:t xml:space="preserve"> </w:t>
      </w:r>
      <w:r>
        <w:rPr>
          <w:rFonts w:cs="Arial"/>
          <w:noProof/>
        </w:rPr>
        <w:t>[10, 11, 14-22]</w:t>
      </w:r>
      <w:r>
        <w:t xml:space="preserve"> used formal patient reported assessments of </w:t>
      </w:r>
      <w:proofErr w:type="spellStart"/>
      <w:r>
        <w:t>HRQoL</w:t>
      </w:r>
      <w:proofErr w:type="spellEnd"/>
      <w:r>
        <w:t xml:space="preserve">.  For the purposes of issue generation, we considered the </w:t>
      </w:r>
      <w:proofErr w:type="spellStart"/>
      <w:r>
        <w:t>HRQoL</w:t>
      </w:r>
      <w:proofErr w:type="spellEnd"/>
      <w:r>
        <w:t xml:space="preserve"> issues measured as well as physician </w:t>
      </w:r>
      <w:r>
        <w:lastRenderedPageBreak/>
        <w:t xml:space="preserve">rated toxicities which were reported as an outcome measure in 134 (88%) papers reviewed.   The following </w:t>
      </w:r>
      <w:proofErr w:type="spellStart"/>
      <w:r>
        <w:t>HRQoL</w:t>
      </w:r>
      <w:proofErr w:type="spellEnd"/>
      <w:r>
        <w:t xml:space="preserve"> issues were identified: diarrhoea, constipation, flatulence bowel control, nausea and vomiting, appetite loss, urinary frequency and urinary incontinence, dyspareunia, reduced sexual interest, impotence, fatigue, insomnia, pain, dyspnoea, anxiety, financial difficulties and stoma-related problems.  </w:t>
      </w:r>
      <w:r>
        <w:rPr>
          <w:rFonts w:cs="Calibri"/>
        </w:rPr>
        <w:t xml:space="preserve">Overall, bowel functioning issues, in particular diarrhoea, and sexual problems were the most commonly reported issues in the </w:t>
      </w:r>
      <w:proofErr w:type="spellStart"/>
      <w:r>
        <w:rPr>
          <w:rFonts w:cs="Calibri"/>
        </w:rPr>
        <w:t>HRQoL</w:t>
      </w:r>
      <w:proofErr w:type="spellEnd"/>
      <w:r>
        <w:rPr>
          <w:rFonts w:cs="Calibri"/>
        </w:rPr>
        <w:t xml:space="preserve"> literature and were presented as significant concerns in seven studies </w:t>
      </w:r>
      <w:r>
        <w:rPr>
          <w:rFonts w:cs="Calibri"/>
          <w:noProof/>
        </w:rPr>
        <w:t>[10, 11, 14, 16, 20-22]</w:t>
      </w:r>
      <w:r>
        <w:rPr>
          <w:rFonts w:cs="Calibri"/>
        </w:rPr>
        <w:t>.  Additional issues captured from the toxicity literature included haematological complications such as neutropenia and leukopenia, skin reactions (radiation dermatitis and moist desquamation) and bone injury [13].</w:t>
      </w:r>
    </w:p>
    <w:p w14:paraId="26646D00" w14:textId="77777777" w:rsidR="001B520F" w:rsidRDefault="001B520F" w:rsidP="004B6CFD">
      <w:pPr>
        <w:autoSpaceDE w:val="0"/>
        <w:autoSpaceDN w:val="0"/>
        <w:adjustRightInd w:val="0"/>
        <w:spacing w:after="0" w:line="360" w:lineRule="auto"/>
      </w:pPr>
    </w:p>
    <w:p w14:paraId="75B6528B" w14:textId="77777777" w:rsidR="001B520F" w:rsidRPr="0054243B" w:rsidRDefault="001B520F" w:rsidP="004B6CFD">
      <w:pPr>
        <w:spacing w:line="360" w:lineRule="auto"/>
      </w:pPr>
      <w:r w:rsidRPr="0054243B">
        <w:t xml:space="preserve">Phase 1a </w:t>
      </w:r>
      <w:r>
        <w:t>I</w:t>
      </w:r>
      <w:r w:rsidRPr="0054243B">
        <w:t>nterviews</w:t>
      </w:r>
    </w:p>
    <w:p w14:paraId="6E898B84" w14:textId="77777777" w:rsidR="001B520F" w:rsidRDefault="001B520F">
      <w:pPr>
        <w:spacing w:line="360" w:lineRule="auto"/>
        <w:rPr>
          <w:rFonts w:cstheme="minorHAnsi"/>
          <w:bCs/>
        </w:rPr>
      </w:pPr>
      <w:r>
        <w:rPr>
          <w:rFonts w:cstheme="minorHAnsi"/>
          <w:bCs/>
        </w:rPr>
        <w:t xml:space="preserve">A total of 43 patients was recruited from 7 centres across 5 countries (UK:  Southampton and London; Cyprus:  Nicosia; Canada:  Ottawa and Toronto; Poland:  Krakow; Germany:  Halle).   The socio-demographic and clinical characteristics of patients are shown in </w:t>
      </w:r>
      <w:r w:rsidRPr="00321455">
        <w:rPr>
          <w:rFonts w:cstheme="minorHAnsi"/>
          <w:bCs/>
        </w:rPr>
        <w:t>Table 1.</w:t>
      </w:r>
      <w:r>
        <w:rPr>
          <w:rFonts w:cstheme="minorHAnsi"/>
          <w:bCs/>
        </w:rPr>
        <w:t xml:space="preserve">  The </w:t>
      </w:r>
      <w:r w:rsidRPr="00063A33">
        <w:rPr>
          <w:rFonts w:cstheme="minorHAnsi"/>
          <w:bCs/>
        </w:rPr>
        <w:t xml:space="preserve">majority of patients were female </w:t>
      </w:r>
      <w:r>
        <w:rPr>
          <w:rFonts w:cstheme="minorHAnsi"/>
          <w:bCs/>
        </w:rPr>
        <w:t>(30 compared with 13 men); mean age 62.9 years.  The sample included patients across the disease and treatment spectrum with a slight majority (47%) within 6 months of treatment and 7 patients had a stoma (6 permanent and 1 prophylactic).</w:t>
      </w:r>
    </w:p>
    <w:p w14:paraId="2DBA2BE2" w14:textId="77777777" w:rsidR="001B520F" w:rsidRPr="0025228D" w:rsidRDefault="001B520F" w:rsidP="004B6CFD">
      <w:pPr>
        <w:spacing w:line="360" w:lineRule="auto"/>
        <w:rPr>
          <w:rFonts w:cstheme="minorHAnsi"/>
          <w:bCs/>
          <w:i/>
        </w:rPr>
      </w:pPr>
      <w:r>
        <w:rPr>
          <w:rFonts w:cstheme="minorHAnsi"/>
          <w:bCs/>
          <w:i/>
        </w:rPr>
        <w:t>Insert Table 1 about here</w:t>
      </w:r>
    </w:p>
    <w:p w14:paraId="5A324A5A" w14:textId="77777777" w:rsidR="001B520F" w:rsidRDefault="001B520F">
      <w:pPr>
        <w:spacing w:line="360" w:lineRule="auto"/>
        <w:rPr>
          <w:rFonts w:cstheme="minorHAnsi"/>
          <w:bCs/>
        </w:rPr>
      </w:pPr>
      <w:r>
        <w:rPr>
          <w:rFonts w:cstheme="minorHAnsi"/>
          <w:bCs/>
        </w:rPr>
        <w:t xml:space="preserve">A total of </w:t>
      </w:r>
      <w:r w:rsidRPr="00F002C3">
        <w:rPr>
          <w:rFonts w:cstheme="minorHAnsi"/>
        </w:rPr>
        <w:t>197 issues</w:t>
      </w:r>
      <w:r>
        <w:rPr>
          <w:rFonts w:cstheme="minorHAnsi"/>
          <w:b/>
        </w:rPr>
        <w:t>,</w:t>
      </w:r>
      <w:r>
        <w:rPr>
          <w:rFonts w:cstheme="minorHAnsi"/>
          <w:bCs/>
        </w:rPr>
        <w:t xml:space="preserve"> categorised under 19 sub-headings (bowel function, anal bleeding, urinary, skin, pain / discomfort, fatigue, gastro-intestinal, hair, oedema, psychological / emotional, social, impact on daily activities, sexual, stoma-related, respiratory, cardiac, haematological, oral, and general) were identified from 43 interviews and the literature.  Bowel function, in particular diarrhoea and constipation, and skin-related issues such as burning and itchy skin were identified by patients across all research centres.  The list of issues is available as supplementary material (</w:t>
      </w:r>
      <w:r w:rsidRPr="00A6071C">
        <w:rPr>
          <w:rFonts w:cstheme="minorHAnsi"/>
          <w:bCs/>
          <w:i/>
        </w:rPr>
        <w:t>Supplementary material 1</w:t>
      </w:r>
      <w:r>
        <w:rPr>
          <w:rFonts w:cstheme="minorHAnsi"/>
          <w:bCs/>
        </w:rPr>
        <w:t xml:space="preserve">).  </w:t>
      </w:r>
    </w:p>
    <w:p w14:paraId="565B42F3" w14:textId="77777777" w:rsidR="001B520F" w:rsidRDefault="001B520F" w:rsidP="004B6CFD">
      <w:pPr>
        <w:spacing w:line="360" w:lineRule="auto"/>
      </w:pPr>
      <w:r>
        <w:t>Phase 1b Interviews:  HCP and patient review</w:t>
      </w:r>
    </w:p>
    <w:p w14:paraId="06243F78" w14:textId="77777777" w:rsidR="001B520F" w:rsidRDefault="001B520F">
      <w:pPr>
        <w:spacing w:line="360" w:lineRule="auto"/>
        <w:rPr>
          <w:rFonts w:cstheme="minorHAnsi"/>
          <w:bCs/>
        </w:rPr>
      </w:pPr>
      <w:r>
        <w:rPr>
          <w:rFonts w:cstheme="minorHAnsi"/>
          <w:bCs/>
        </w:rPr>
        <w:t xml:space="preserve">Issues measuring the same underlying construct were removed to produce a list of 134 issues which was then shown to HCPs and patients.  Thirty four HCPs from 8 centres across five countries (UK, Cyprus, Canada, Poland and Germany) commented on the issue list.  There was an even split of male and female HCPs, mean (standard deviation) age of 43.3 (10.0) years, from five different specialty areas, predominantly radiotherapy (53%).  The majority of HCPs (53%) had over 10 years of </w:t>
      </w:r>
      <w:r>
        <w:rPr>
          <w:rFonts w:cstheme="minorHAnsi"/>
          <w:bCs/>
        </w:rPr>
        <w:lastRenderedPageBreak/>
        <w:t xml:space="preserve">experience in the field of anal cancer.  Ten patients from the UK who had not been involved in the first phase of interviews also reviewed the list.  </w:t>
      </w:r>
    </w:p>
    <w:p w14:paraId="37A3943E" w14:textId="77777777" w:rsidR="001B520F" w:rsidRDefault="001B520F">
      <w:pPr>
        <w:spacing w:line="360" w:lineRule="auto"/>
        <w:rPr>
          <w:rFonts w:cstheme="minorHAnsi"/>
          <w:bCs/>
        </w:rPr>
      </w:pPr>
      <w:r w:rsidRPr="00D40759">
        <w:rPr>
          <w:rFonts w:cstheme="minorHAnsi"/>
          <w:bCs/>
        </w:rPr>
        <w:t>The mean rating score</w:t>
      </w:r>
      <w:r>
        <w:rPr>
          <w:rFonts w:cstheme="minorHAnsi"/>
          <w:bCs/>
        </w:rPr>
        <w:t xml:space="preserve"> for patients and HCPs</w:t>
      </w:r>
      <w:r w:rsidRPr="00D40759">
        <w:rPr>
          <w:rFonts w:cstheme="minorHAnsi"/>
          <w:bCs/>
        </w:rPr>
        <w:t xml:space="preserve"> for the majority of </w:t>
      </w:r>
      <w:r>
        <w:rPr>
          <w:rFonts w:cstheme="minorHAnsi"/>
          <w:bCs/>
        </w:rPr>
        <w:t xml:space="preserve">the 134 </w:t>
      </w:r>
      <w:r w:rsidRPr="00D40759">
        <w:rPr>
          <w:rFonts w:cstheme="minorHAnsi"/>
          <w:bCs/>
        </w:rPr>
        <w:t>issues (</w:t>
      </w:r>
      <w:r>
        <w:rPr>
          <w:rFonts w:cstheme="minorHAnsi"/>
          <w:bCs/>
        </w:rPr>
        <w:t xml:space="preserve">81 and </w:t>
      </w:r>
      <w:r w:rsidRPr="00D40759">
        <w:rPr>
          <w:rFonts w:cstheme="minorHAnsi"/>
          <w:bCs/>
        </w:rPr>
        <w:t>123</w:t>
      </w:r>
      <w:r>
        <w:rPr>
          <w:rFonts w:cstheme="minorHAnsi"/>
          <w:bCs/>
        </w:rPr>
        <w:t xml:space="preserve"> respectively</w:t>
      </w:r>
      <w:r w:rsidRPr="00D40759">
        <w:rPr>
          <w:rFonts w:cstheme="minorHAnsi"/>
          <w:bCs/>
        </w:rPr>
        <w:t xml:space="preserve">) was 2 or above implying a high level of importance / relevance attributed to the majority of issues.  </w:t>
      </w:r>
      <w:r>
        <w:rPr>
          <w:rFonts w:cstheme="minorHAnsi"/>
          <w:bCs/>
        </w:rPr>
        <w:t xml:space="preserve">The majority of issues with low ratings fell in the general miscellaneous section and reflect items with low incidence during the phase 1a interviews.  Bowel functioning, skin problems and treatment burden were regarded as the most important issues. </w:t>
      </w:r>
    </w:p>
    <w:p w14:paraId="197AEA77" w14:textId="77777777" w:rsidR="001B520F" w:rsidRDefault="001B520F">
      <w:pPr>
        <w:spacing w:line="360" w:lineRule="auto"/>
        <w:rPr>
          <w:rFonts w:cstheme="minorHAnsi"/>
          <w:bCs/>
        </w:rPr>
      </w:pPr>
      <w:r>
        <w:rPr>
          <w:rFonts w:cstheme="minorHAnsi"/>
          <w:bCs/>
        </w:rPr>
        <w:t>Combination, re-wording or removal of issues led to a revised list of 65 items.  HCP and patients ratings as well as the decisions for each issue are available as supplementary material (</w:t>
      </w:r>
      <w:r w:rsidRPr="00A6071C">
        <w:rPr>
          <w:rFonts w:cstheme="minorHAnsi"/>
          <w:bCs/>
          <w:i/>
        </w:rPr>
        <w:t>Supplementar</w:t>
      </w:r>
      <w:r>
        <w:rPr>
          <w:rFonts w:cstheme="minorHAnsi"/>
          <w:bCs/>
          <w:i/>
        </w:rPr>
        <w:t>y material 2</w:t>
      </w:r>
      <w:r>
        <w:rPr>
          <w:rFonts w:cstheme="minorHAnsi"/>
          <w:bCs/>
        </w:rPr>
        <w:t>).</w:t>
      </w:r>
    </w:p>
    <w:p w14:paraId="1B8185D7" w14:textId="77777777" w:rsidR="001B520F" w:rsidRPr="0054243B" w:rsidRDefault="001B520F">
      <w:pPr>
        <w:spacing w:line="360" w:lineRule="auto"/>
        <w:rPr>
          <w:i/>
        </w:rPr>
      </w:pPr>
      <w:r w:rsidRPr="0054243B">
        <w:rPr>
          <w:i/>
        </w:rPr>
        <w:t xml:space="preserve">Phase </w:t>
      </w:r>
      <w:proofErr w:type="gramStart"/>
      <w:r w:rsidRPr="0054243B">
        <w:rPr>
          <w:i/>
        </w:rPr>
        <w:t xml:space="preserve">2  </w:t>
      </w:r>
      <w:r>
        <w:rPr>
          <w:i/>
        </w:rPr>
        <w:t>Creating</w:t>
      </w:r>
      <w:proofErr w:type="gramEnd"/>
      <w:r>
        <w:rPr>
          <w:i/>
        </w:rPr>
        <w:t xml:space="preserve"> </w:t>
      </w:r>
      <w:r w:rsidRPr="0054243B">
        <w:rPr>
          <w:i/>
        </w:rPr>
        <w:t>the provisional item list</w:t>
      </w:r>
    </w:p>
    <w:p w14:paraId="52F83BD5" w14:textId="65DC7EF6" w:rsidR="001B520F" w:rsidRDefault="001B520F">
      <w:pPr>
        <w:spacing w:line="360" w:lineRule="auto"/>
      </w:pPr>
      <w:r>
        <w:t>For 35 issues, the EORTC QLG Item Library provided a suitable corresponding question and an additional four questions were taken from other EORTC QLG modules in development (cachexia and vulva).  For three of these, modifications to the item wording were required.  Twenty three issues were not found in the Item Library and required a new question.  The list of issues with suitable EORTC QLG items, issues requiring item modifications, and those for which new items were written is available as supplementary material (Supplementary material 3).</w:t>
      </w:r>
    </w:p>
    <w:p w14:paraId="0CE0FBF5" w14:textId="77777777" w:rsidR="001B520F" w:rsidRPr="0054243B" w:rsidRDefault="001B520F" w:rsidP="004B6CFD">
      <w:pPr>
        <w:spacing w:line="360" w:lineRule="auto"/>
        <w:rPr>
          <w:i/>
        </w:rPr>
      </w:pPr>
      <w:r w:rsidRPr="0054243B">
        <w:rPr>
          <w:i/>
        </w:rPr>
        <w:t>Phase 3</w:t>
      </w:r>
      <w:r>
        <w:rPr>
          <w:i/>
        </w:rPr>
        <w:t xml:space="preserve"> Pilot testing the draft questionnaire</w:t>
      </w:r>
    </w:p>
    <w:p w14:paraId="2E2EB07C" w14:textId="77777777" w:rsidR="001B520F" w:rsidRDefault="001B520F">
      <w:pPr>
        <w:spacing w:line="360" w:lineRule="auto"/>
      </w:pPr>
      <w:r>
        <w:t>Patient interviews</w:t>
      </w:r>
    </w:p>
    <w:p w14:paraId="50354DA7" w14:textId="77777777" w:rsidR="001B520F" w:rsidRPr="0054243B" w:rsidRDefault="001B520F">
      <w:pPr>
        <w:spacing w:line="360" w:lineRule="auto"/>
      </w:pPr>
      <w:r>
        <w:t>One hundred patients were</w:t>
      </w:r>
      <w:r>
        <w:rPr>
          <w:rFonts w:cstheme="minorHAnsi"/>
          <w:bCs/>
        </w:rPr>
        <w:t xml:space="preserve"> recruited from eleven centres.  The socio-demographic and clinical characteristics of Phase 3 patients are presented in Table 1 alongside the characteristics of patients involved in the first round of interviews.  Table 1 highlights similarities in sample composition with patients involved in Phase 1 and again is representative for the patient group.</w:t>
      </w:r>
    </w:p>
    <w:p w14:paraId="27F0D9E2" w14:textId="24EB8F7A" w:rsidR="001B520F" w:rsidRDefault="001B520F" w:rsidP="004B6CFD">
      <w:pPr>
        <w:spacing w:line="360" w:lineRule="auto"/>
      </w:pPr>
      <w:r>
        <w:t>The application of the item decision rules</w:t>
      </w:r>
      <w:r w:rsidRPr="00F81A0B">
        <w:t xml:space="preserve"> led to the removal of 38 items</w:t>
      </w:r>
      <w:r>
        <w:t xml:space="preserve"> (Table 3) which left 27 items</w:t>
      </w:r>
      <w:r w:rsidRPr="00F81A0B">
        <w:t>.  Several items with acceptable performance (e.g., worry about one’s future health, future of loved ones, and treatment burden) were considered not specific to anal cancer and more suitable to a generic instrument</w:t>
      </w:r>
      <w:r>
        <w:t xml:space="preserve"> and were therefore removed</w:t>
      </w:r>
      <w:r w:rsidRPr="00F81A0B">
        <w:t xml:space="preserve">.  </w:t>
      </w:r>
    </w:p>
    <w:p w14:paraId="5DE38140" w14:textId="77777777" w:rsidR="001B520F" w:rsidRPr="00F81A0B" w:rsidRDefault="001B520F" w:rsidP="004B6CFD">
      <w:pPr>
        <w:spacing w:line="360" w:lineRule="auto"/>
      </w:pPr>
      <w:r>
        <w:t>Two items</w:t>
      </w:r>
      <w:r w:rsidRPr="00816A1F">
        <w:t xml:space="preserve"> asking about frequent bowel movements at day and night were </w:t>
      </w:r>
      <w:r>
        <w:t xml:space="preserve">also removed and </w:t>
      </w:r>
      <w:r w:rsidRPr="00816A1F">
        <w:t>combined into one question asking about frequent bowel</w:t>
      </w:r>
      <w:r>
        <w:t xml:space="preserve"> movements in general</w:t>
      </w:r>
      <w:r w:rsidRPr="00816A1F">
        <w:t>.</w:t>
      </w:r>
      <w:r>
        <w:t xml:space="preserve">  </w:t>
      </w:r>
    </w:p>
    <w:p w14:paraId="7BE25F65" w14:textId="77777777" w:rsidR="001B520F" w:rsidRPr="00816A1F" w:rsidRDefault="001B520F" w:rsidP="004B6CFD">
      <w:pPr>
        <w:pStyle w:val="ListParagraph"/>
        <w:widowControl w:val="0"/>
        <w:tabs>
          <w:tab w:val="left" w:pos="426"/>
          <w:tab w:val="center" w:pos="6804"/>
          <w:tab w:val="center" w:pos="7655"/>
          <w:tab w:val="center" w:pos="8505"/>
          <w:tab w:val="center" w:pos="9356"/>
        </w:tabs>
        <w:suppressAutoHyphens/>
        <w:spacing w:line="360" w:lineRule="auto"/>
        <w:ind w:left="0"/>
        <w:rPr>
          <w:rFonts w:asciiTheme="minorHAnsi" w:hAnsiTheme="minorHAnsi"/>
          <w:sz w:val="22"/>
          <w:szCs w:val="22"/>
        </w:rPr>
      </w:pPr>
      <w:r w:rsidRPr="00F81A0B">
        <w:rPr>
          <w:rFonts w:asciiTheme="minorHAnsi" w:hAnsiTheme="minorHAnsi"/>
          <w:sz w:val="22"/>
          <w:szCs w:val="22"/>
        </w:rPr>
        <w:t xml:space="preserve">Of the 65 items, </w:t>
      </w:r>
      <w:r>
        <w:rPr>
          <w:rFonts w:asciiTheme="minorHAnsi" w:hAnsiTheme="minorHAnsi"/>
          <w:sz w:val="22"/>
          <w:szCs w:val="22"/>
        </w:rPr>
        <w:t xml:space="preserve">25 </w:t>
      </w:r>
      <w:r w:rsidRPr="00F81A0B">
        <w:rPr>
          <w:rFonts w:asciiTheme="minorHAnsi" w:hAnsiTheme="minorHAnsi"/>
          <w:sz w:val="22"/>
          <w:szCs w:val="22"/>
        </w:rPr>
        <w:t xml:space="preserve">were retained and left unchanged in terms of their original wording.  Where an </w:t>
      </w:r>
      <w:r w:rsidRPr="00F81A0B">
        <w:rPr>
          <w:rFonts w:asciiTheme="minorHAnsi" w:hAnsiTheme="minorHAnsi"/>
          <w:sz w:val="22"/>
          <w:szCs w:val="22"/>
        </w:rPr>
        <w:lastRenderedPageBreak/>
        <w:t xml:space="preserve">item </w:t>
      </w:r>
      <w:r>
        <w:rPr>
          <w:rFonts w:asciiTheme="minorHAnsi" w:hAnsiTheme="minorHAnsi"/>
          <w:sz w:val="22"/>
          <w:szCs w:val="22"/>
        </w:rPr>
        <w:t xml:space="preserve">did not satisfy the a priori decision rules </w:t>
      </w:r>
      <w:r w:rsidRPr="00F81A0B">
        <w:rPr>
          <w:rFonts w:asciiTheme="minorHAnsi" w:hAnsiTheme="minorHAnsi"/>
          <w:sz w:val="22"/>
          <w:szCs w:val="22"/>
        </w:rPr>
        <w:t xml:space="preserve">but was regarded as important from a clinical perspective (e.g., swelling in legs or ankles), the item was retained.   </w:t>
      </w:r>
    </w:p>
    <w:p w14:paraId="36729C27" w14:textId="77777777" w:rsidR="001B520F" w:rsidRDefault="001B520F" w:rsidP="004B6CFD">
      <w:pPr>
        <w:spacing w:line="360" w:lineRule="auto"/>
      </w:pPr>
    </w:p>
    <w:p w14:paraId="65DD64C0" w14:textId="77777777" w:rsidR="001B520F" w:rsidRDefault="001B520F">
      <w:pPr>
        <w:spacing w:line="360" w:lineRule="auto"/>
      </w:pPr>
      <w:r>
        <w:t xml:space="preserve">One additional screening question asking about sexual activity was included to provide insight into any missing responses relating to sexual function (painful sexual intercourse).   Two additional issues, taste and nail problems, were identified by at least two patients as missing from the anal cancer questionnaire and the EORTC QLQ-C30, however these had already been ruled out for inclusion following an earlier review process (Phase 1) and thus these were not included.  </w:t>
      </w:r>
    </w:p>
    <w:p w14:paraId="20AF736A" w14:textId="5FFEEF48" w:rsidR="001B520F" w:rsidRDefault="001B520F">
      <w:pPr>
        <w:spacing w:line="360" w:lineRule="auto"/>
      </w:pPr>
      <w:r w:rsidRPr="00F81A0B">
        <w:rPr>
          <w:rFonts w:cs="Arial"/>
        </w:rPr>
        <w:t>Comments relating to two items asking about interest in sex and impact on sex life indicated that these items are potentially relevant</w:t>
      </w:r>
      <w:r w:rsidRPr="00816A1F">
        <w:rPr>
          <w:rFonts w:cs="Arial"/>
        </w:rPr>
        <w:t xml:space="preserve"> to patients even if they have not been sexually a</w:t>
      </w:r>
      <w:r>
        <w:rPr>
          <w:rFonts w:cs="Arial"/>
        </w:rPr>
        <w:t>ctive in the past 4 weeks.  Therefore it was decided that</w:t>
      </w:r>
      <w:r w:rsidRPr="00816A1F">
        <w:rPr>
          <w:rFonts w:cs="Arial"/>
        </w:rPr>
        <w:t xml:space="preserve"> these questions should be asked of all respondents</w:t>
      </w:r>
      <w:r>
        <w:rPr>
          <w:rFonts w:cs="Arial"/>
        </w:rPr>
        <w:t xml:space="preserve"> irrespective of sexual activity</w:t>
      </w:r>
      <w:r w:rsidRPr="00816A1F">
        <w:rPr>
          <w:rFonts w:cs="Arial"/>
        </w:rPr>
        <w:t>.</w:t>
      </w:r>
      <w:r>
        <w:t xml:space="preserve"> Phase 3 item review process left 27 items for inclusion in the Anal Cancer Quality of Life Question</w:t>
      </w:r>
      <w:r w:rsidR="003F3982">
        <w:t>naire (EORTC QLQ-ANL27) (Supplementary material 4</w:t>
      </w:r>
      <w:r>
        <w:t>).  The following multi-item subscales were proposed based on content as well as internal and convergent reliability (Cronbach’s alpha and inter-item correlations):  bowel function, pain or discomfort, sexual function (male or female), and stoma</w:t>
      </w:r>
      <w:r w:rsidR="003F3982">
        <w:t xml:space="preserve"> (Table 2)</w:t>
      </w:r>
      <w:r>
        <w:t xml:space="preserve">.  The remaining five items </w:t>
      </w:r>
      <w:r>
        <w:rPr>
          <w:rFonts w:cstheme="minorHAnsi"/>
          <w:bCs/>
        </w:rPr>
        <w:t>(</w:t>
      </w:r>
      <w:r>
        <w:t>frequent urination, keeping clean, proximity to toilet, lower limb oedema, planning activities) did not fit within any of these subscales and are presented as single items.  The additional screening question relating to sexual activity does not form part of a subscale.  Adequate internal consistency and convergent validity was demonstrated for all sub-scales with the exception of sexual function (male and female). This could be explained by small numbers of patients completing these questions.  Further work on confirming these sub-scales and their psychometric properties will be carried out as part of a larger international validation study (Phase 4).</w:t>
      </w:r>
    </w:p>
    <w:p w14:paraId="05EB6455" w14:textId="77777777" w:rsidR="001B520F" w:rsidRDefault="001B520F">
      <w:pPr>
        <w:spacing w:line="360" w:lineRule="auto"/>
      </w:pPr>
    </w:p>
    <w:p w14:paraId="3274C00C" w14:textId="77777777" w:rsidR="001B520F" w:rsidRPr="004A0041" w:rsidRDefault="001B520F" w:rsidP="004B6CFD">
      <w:pPr>
        <w:spacing w:line="360" w:lineRule="auto"/>
        <w:jc w:val="both"/>
        <w:rPr>
          <w:rFonts w:cstheme="minorHAnsi"/>
          <w:b/>
          <w:bCs/>
        </w:rPr>
      </w:pPr>
      <w:r w:rsidRPr="004A0041">
        <w:rPr>
          <w:rFonts w:cstheme="minorHAnsi"/>
          <w:b/>
          <w:bCs/>
        </w:rPr>
        <w:t>Discussion</w:t>
      </w:r>
    </w:p>
    <w:p w14:paraId="43F8602B" w14:textId="79E251CB" w:rsidR="001B520F" w:rsidRDefault="001B520F" w:rsidP="001B520F">
      <w:pPr>
        <w:autoSpaceDE w:val="0"/>
        <w:autoSpaceDN w:val="0"/>
        <w:adjustRightInd w:val="0"/>
        <w:spacing w:after="0" w:line="360" w:lineRule="auto"/>
        <w:rPr>
          <w:rFonts w:cstheme="minorHAnsi"/>
          <w:bCs/>
        </w:rPr>
      </w:pPr>
      <w:r w:rsidRPr="00C57B72">
        <w:rPr>
          <w:rFonts w:cstheme="minorHAnsi"/>
          <w:bCs/>
        </w:rPr>
        <w:t xml:space="preserve">The EORTC QLQ-ANL27 was developed for patients with a rare cancer and for which </w:t>
      </w:r>
      <w:r w:rsidRPr="0055464A">
        <w:rPr>
          <w:rFonts w:cstheme="minorHAnsi"/>
          <w:bCs/>
        </w:rPr>
        <w:t xml:space="preserve">there is both </w:t>
      </w:r>
      <w:r w:rsidRPr="00C57B72">
        <w:rPr>
          <w:rFonts w:cstheme="minorHAnsi"/>
          <w:bCs/>
        </w:rPr>
        <w:t>a paucity of and need for research into patient reported outcomes.  Before decisions can be made regarding treatment pathways, patients need to be fully informed about all treatment options, together with their complications and outcome.</w:t>
      </w:r>
      <w:r w:rsidRPr="009B3151">
        <w:t xml:space="preserve">  Information on long-term </w:t>
      </w:r>
      <w:proofErr w:type="spellStart"/>
      <w:r w:rsidRPr="009B3151">
        <w:t>HRQoL</w:t>
      </w:r>
      <w:proofErr w:type="spellEnd"/>
      <w:r w:rsidRPr="009B3151">
        <w:t xml:space="preserve"> is a crucial component for appropriate discussions between the radiation oncologist, nurse navigators and the patient regarding treatment option</w:t>
      </w:r>
      <w:r>
        <w:t xml:space="preserve"> [</w:t>
      </w:r>
      <w:r w:rsidR="00EB6E67">
        <w:t>32</w:t>
      </w:r>
      <w:proofErr w:type="gramStart"/>
      <w:r>
        <w:t>]</w:t>
      </w:r>
      <w:r w:rsidRPr="009B3151">
        <w:rPr>
          <w:b/>
        </w:rPr>
        <w:t xml:space="preserve"> .</w:t>
      </w:r>
      <w:proofErr w:type="gramEnd"/>
      <w:r w:rsidRPr="009B3151">
        <w:t xml:space="preserve"> The accuracy and accessibility of the information given to patients is important</w:t>
      </w:r>
      <w:r>
        <w:t xml:space="preserve"> and therefore availability of an anal cancer </w:t>
      </w:r>
      <w:proofErr w:type="spellStart"/>
      <w:r>
        <w:t>HRQoL</w:t>
      </w:r>
      <w:proofErr w:type="spellEnd"/>
      <w:r>
        <w:t xml:space="preserve"> questionnaire is crucial to </w:t>
      </w:r>
      <w:r>
        <w:lastRenderedPageBreak/>
        <w:t>providing high quality data to inform decision-making. E</w:t>
      </w:r>
      <w:r w:rsidRPr="009B3151">
        <w:t>ven with more advanced,</w:t>
      </w:r>
      <w:r>
        <w:t xml:space="preserve"> </w:t>
      </w:r>
      <w:r w:rsidRPr="009B3151">
        <w:t>tissue sparing radiotherapy techniques such as IMRT</w:t>
      </w:r>
      <w:r>
        <w:t>,</w:t>
      </w:r>
      <w:r w:rsidRPr="009B3151">
        <w:t xml:space="preserve"> </w:t>
      </w:r>
      <w:r>
        <w:t xml:space="preserve">pelvic </w:t>
      </w:r>
      <w:proofErr w:type="spellStart"/>
      <w:r>
        <w:t>chemoradiation</w:t>
      </w:r>
      <w:proofErr w:type="spellEnd"/>
      <w:r>
        <w:t xml:space="preserve"> </w:t>
      </w:r>
      <w:r w:rsidRPr="009B3151">
        <w:t xml:space="preserve">can significantly adversely affect patients’ quality of life, with an array of problems including </w:t>
      </w:r>
      <w:r>
        <w:t xml:space="preserve">skin toxicities, </w:t>
      </w:r>
      <w:r w:rsidRPr="009B3151">
        <w:t xml:space="preserve">bowel, urinary and sexual dysfunction </w:t>
      </w:r>
      <w:r>
        <w:t xml:space="preserve">reported </w:t>
      </w:r>
      <w:r w:rsidR="00EB6E67">
        <w:t>[33-38</w:t>
      </w:r>
      <w:r w:rsidR="00515AF7">
        <w:t>]</w:t>
      </w:r>
      <w:r w:rsidR="007B6652">
        <w:t>.</w:t>
      </w:r>
      <w:r w:rsidR="007B6652">
        <w:rPr>
          <w:b/>
        </w:rPr>
        <w:t xml:space="preserve"> </w:t>
      </w:r>
      <w:r w:rsidRPr="009B3151">
        <w:t>Stoma formation may also lead to</w:t>
      </w:r>
      <w:r>
        <w:rPr>
          <w:b/>
        </w:rPr>
        <w:t xml:space="preserve"> </w:t>
      </w:r>
      <w:r w:rsidRPr="009B3151">
        <w:t xml:space="preserve">permanent alteration in body image, </w:t>
      </w:r>
      <w:r>
        <w:t>potentially affecting</w:t>
      </w:r>
      <w:r w:rsidRPr="009B3151">
        <w:t xml:space="preserve"> the perception of themselves and their relationship with others</w:t>
      </w:r>
      <w:r w:rsidR="007B6652">
        <w:t xml:space="preserve"> [39]</w:t>
      </w:r>
      <w:r w:rsidRPr="009B3151">
        <w:rPr>
          <w:b/>
        </w:rPr>
        <w:t xml:space="preserve">. </w:t>
      </w:r>
      <w:r w:rsidRPr="009B3151">
        <w:t>Patients with this knowledge can participate more actively in their consultations, and assume more responsibility for treatment decisions</w:t>
      </w:r>
      <w:r w:rsidR="007B6652">
        <w:t xml:space="preserve"> [40]</w:t>
      </w:r>
      <w:r w:rsidRPr="009B3151">
        <w:t>.</w:t>
      </w:r>
    </w:p>
    <w:p w14:paraId="2A8E1E9D" w14:textId="77777777" w:rsidR="001B520F" w:rsidRDefault="001B520F" w:rsidP="00590415">
      <w:pPr>
        <w:autoSpaceDE w:val="0"/>
        <w:autoSpaceDN w:val="0"/>
        <w:adjustRightInd w:val="0"/>
        <w:spacing w:after="0" w:line="360" w:lineRule="auto"/>
        <w:rPr>
          <w:rFonts w:cstheme="minorHAnsi"/>
          <w:bCs/>
        </w:rPr>
      </w:pPr>
    </w:p>
    <w:p w14:paraId="293925AF" w14:textId="02A1B8E7" w:rsidR="001B520F" w:rsidRPr="00590415" w:rsidRDefault="001B520F" w:rsidP="00590415">
      <w:pPr>
        <w:autoSpaceDE w:val="0"/>
        <w:autoSpaceDN w:val="0"/>
        <w:adjustRightInd w:val="0"/>
        <w:spacing w:after="0" w:line="360" w:lineRule="auto"/>
        <w:rPr>
          <w:rFonts w:cs="Calibri"/>
        </w:rPr>
      </w:pPr>
      <w:r w:rsidRPr="009B3151">
        <w:t xml:space="preserve">This paper reports the development of </w:t>
      </w:r>
      <w:r w:rsidRPr="00C57B72">
        <w:rPr>
          <w:rFonts w:cstheme="minorHAnsi"/>
          <w:bCs/>
        </w:rPr>
        <w:t xml:space="preserve">the first tumour- and treatment-specific </w:t>
      </w:r>
      <w:proofErr w:type="spellStart"/>
      <w:r w:rsidRPr="00C57B72">
        <w:rPr>
          <w:rFonts w:cstheme="minorHAnsi"/>
          <w:bCs/>
        </w:rPr>
        <w:t>HRQoL</w:t>
      </w:r>
      <w:proofErr w:type="spellEnd"/>
      <w:r w:rsidRPr="00C57B72">
        <w:rPr>
          <w:rFonts w:cstheme="minorHAnsi"/>
          <w:bCs/>
        </w:rPr>
        <w:t xml:space="preserve"> measure for anal cancer patients using rigorous EORTC QLG module development guidelines [2</w:t>
      </w:r>
      <w:r w:rsidR="007B6652">
        <w:rPr>
          <w:rFonts w:cstheme="minorHAnsi"/>
          <w:bCs/>
        </w:rPr>
        <w:t>7</w:t>
      </w:r>
      <w:r w:rsidRPr="00C57B72">
        <w:rPr>
          <w:rFonts w:cstheme="minorHAnsi"/>
          <w:bCs/>
        </w:rPr>
        <w:t xml:space="preserve">].  Previously, </w:t>
      </w:r>
      <w:proofErr w:type="spellStart"/>
      <w:r w:rsidRPr="00C57B72">
        <w:rPr>
          <w:rFonts w:cstheme="minorHAnsi"/>
          <w:bCs/>
        </w:rPr>
        <w:t>HRQoL</w:t>
      </w:r>
      <w:proofErr w:type="spellEnd"/>
      <w:r w:rsidRPr="00C57B72">
        <w:rPr>
          <w:rFonts w:cstheme="minorHAnsi"/>
          <w:bCs/>
        </w:rPr>
        <w:t xml:space="preserve"> assessment of anal cancer patients has relied on measures designed to be generic to all cancer types or specific to other tumours such as colorectal cancer.  These measures </w:t>
      </w:r>
      <w:r w:rsidRPr="00C57B72">
        <w:rPr>
          <w:rFonts w:cs="Calibri"/>
        </w:rPr>
        <w:t>inadequately cover the issues faced by anal cancer patients such as radiatio</w:t>
      </w:r>
      <w:r>
        <w:rPr>
          <w:rFonts w:cs="Calibri"/>
        </w:rPr>
        <w:t xml:space="preserve">n-induced skin toxicities. Skin toxicity </w:t>
      </w:r>
      <w:r w:rsidRPr="00C57B72">
        <w:rPr>
          <w:rFonts w:cs="Calibri"/>
        </w:rPr>
        <w:t xml:space="preserve">is </w:t>
      </w:r>
      <w:r>
        <w:rPr>
          <w:rFonts w:cs="Calibri"/>
        </w:rPr>
        <w:t xml:space="preserve">only </w:t>
      </w:r>
      <w:r w:rsidRPr="00C57B72">
        <w:rPr>
          <w:rFonts w:cs="Calibri"/>
        </w:rPr>
        <w:t xml:space="preserve">assessed by the </w:t>
      </w:r>
      <w:r>
        <w:rPr>
          <w:rFonts w:cs="Calibri"/>
        </w:rPr>
        <w:t>EORTC QLQ-CR29</w:t>
      </w:r>
      <w:r w:rsidRPr="00C57B72">
        <w:rPr>
          <w:rFonts w:cs="Calibri"/>
        </w:rPr>
        <w:t xml:space="preserve"> in terms of sore skin around the anal area or stoma </w:t>
      </w:r>
      <w:r>
        <w:rPr>
          <w:rFonts w:cs="Calibri"/>
        </w:rPr>
        <w:t xml:space="preserve">site </w:t>
      </w:r>
      <w:r w:rsidRPr="00C57B72">
        <w:rPr>
          <w:rFonts w:cs="Calibri"/>
        </w:rPr>
        <w:t xml:space="preserve">but does not capture the more wide ranging impact </w:t>
      </w:r>
      <w:r>
        <w:rPr>
          <w:rFonts w:cs="Calibri"/>
        </w:rPr>
        <w:t xml:space="preserve">on activities of daily living such as </w:t>
      </w:r>
      <w:r w:rsidRPr="00C57B72">
        <w:t>walking, lying down or sitting due to pain.</w:t>
      </w:r>
      <w:r w:rsidRPr="00C57B72">
        <w:rPr>
          <w:rFonts w:cs="Calibri"/>
        </w:rPr>
        <w:t xml:space="preserve"> </w:t>
      </w:r>
    </w:p>
    <w:p w14:paraId="10676A57" w14:textId="08F28006" w:rsidR="001B520F" w:rsidRPr="00C57B72" w:rsidRDefault="001B520F" w:rsidP="004B6CFD">
      <w:pPr>
        <w:autoSpaceDE w:val="0"/>
        <w:autoSpaceDN w:val="0"/>
        <w:adjustRightInd w:val="0"/>
        <w:spacing w:after="0" w:line="360" w:lineRule="auto"/>
        <w:rPr>
          <w:rFonts w:cs="Calibri"/>
        </w:rPr>
      </w:pPr>
    </w:p>
    <w:p w14:paraId="193BD427" w14:textId="3A9B56B2" w:rsidR="001B520F" w:rsidRDefault="001B520F">
      <w:pPr>
        <w:spacing w:line="360" w:lineRule="auto"/>
        <w:jc w:val="both"/>
        <w:rPr>
          <w:rFonts w:cs="Calibri"/>
        </w:rPr>
      </w:pPr>
      <w:r>
        <w:rPr>
          <w:rFonts w:cstheme="minorHAnsi"/>
          <w:bCs/>
        </w:rPr>
        <w:t xml:space="preserve">The development process included data from 153 patients at all stages of treatment, from 8 countries, and 34 HCPs with a special interest in the treatment and support of patients with anal cancer.  </w:t>
      </w:r>
      <w:r>
        <w:rPr>
          <w:rFonts w:cs="Calibri"/>
        </w:rPr>
        <w:t xml:space="preserve">Consistent with previous accounts in the literature, bowel functioning issues, in particular diarrhoea, and sexual problems were commonly reported in our study.  </w:t>
      </w:r>
      <w:proofErr w:type="spellStart"/>
      <w:r>
        <w:rPr>
          <w:rFonts w:cs="Calibri"/>
        </w:rPr>
        <w:t>Allal</w:t>
      </w:r>
      <w:proofErr w:type="spellEnd"/>
      <w:r>
        <w:rPr>
          <w:rFonts w:cs="Calibri"/>
        </w:rPr>
        <w:t xml:space="preserve"> et al. </w:t>
      </w:r>
      <w:r>
        <w:rPr>
          <w:rFonts w:cs="Calibri"/>
          <w:noProof/>
        </w:rPr>
        <w:t>[21]</w:t>
      </w:r>
      <w:r>
        <w:rPr>
          <w:rFonts w:cs="Calibri"/>
        </w:rPr>
        <w:t xml:space="preserve"> described a threefold increase in diarrhoea in their cohort compared with population norms while 31% of patients assessed by Das et al. </w:t>
      </w:r>
      <w:r>
        <w:rPr>
          <w:rFonts w:cs="Calibri"/>
          <w:noProof/>
        </w:rPr>
        <w:t xml:space="preserve">[10] </w:t>
      </w:r>
      <w:r>
        <w:rPr>
          <w:rFonts w:cs="Calibri"/>
        </w:rPr>
        <w:t xml:space="preserve">experienced diarrhoea “quite a bit” or “very much”.  Das and colleagues also highlighted sexual difficulties including sexual interest (65% patients), reduced enjoyment of sex (71%), difficulties getting aroused (72%), erectile dysfunction (67% of men who responded) and difficulties achieving orgasm (70% of women who responded).  </w:t>
      </w:r>
    </w:p>
    <w:p w14:paraId="27469B1C" w14:textId="77777777" w:rsidR="001B520F" w:rsidRDefault="001B520F">
      <w:pPr>
        <w:spacing w:line="360" w:lineRule="auto"/>
        <w:jc w:val="both"/>
        <w:rPr>
          <w:rFonts w:cstheme="minorHAnsi"/>
          <w:bCs/>
        </w:rPr>
      </w:pPr>
      <w:r>
        <w:rPr>
          <w:rFonts w:cs="Calibri"/>
        </w:rPr>
        <w:t xml:space="preserve">Patient interviews provided a wider range of issues than the literature. Bowel-related issues were reported in all interviews and skin toxicities were frequent.  The review process highlighted issues relating to treatment burden. The development process emphasises the importance of patient and HCP input into the selection of issues, in addition to reviewing the literature. </w:t>
      </w:r>
    </w:p>
    <w:p w14:paraId="5AB94AD3" w14:textId="77777777" w:rsidR="001B520F" w:rsidRPr="001E09A2" w:rsidRDefault="001B520F">
      <w:pPr>
        <w:spacing w:line="360" w:lineRule="auto"/>
        <w:jc w:val="both"/>
        <w:rPr>
          <w:rFonts w:cstheme="minorHAnsi"/>
          <w:bCs/>
        </w:rPr>
      </w:pPr>
      <w:r>
        <w:rPr>
          <w:rFonts w:cstheme="minorHAnsi"/>
          <w:bCs/>
        </w:rPr>
        <w:t xml:space="preserve">We identified 197 issues which were reduced to 65 questions for pilot testing.  Twenty three of these were </w:t>
      </w:r>
      <w:r w:rsidRPr="001E09A2">
        <w:rPr>
          <w:rFonts w:cstheme="minorHAnsi"/>
          <w:bCs/>
        </w:rPr>
        <w:t xml:space="preserve">novel issues not included in the EORTC item library.  No additional issues were identified for </w:t>
      </w:r>
      <w:r w:rsidRPr="001E09A2">
        <w:rPr>
          <w:rFonts w:cstheme="minorHAnsi"/>
          <w:bCs/>
        </w:rPr>
        <w:lastRenderedPageBreak/>
        <w:t xml:space="preserve">inclusion after phase 3 testing, suggesting that the identification of issues </w:t>
      </w:r>
      <w:r>
        <w:rPr>
          <w:rFonts w:cstheme="minorHAnsi"/>
          <w:bCs/>
        </w:rPr>
        <w:t xml:space="preserve">during phase 1 </w:t>
      </w:r>
      <w:r w:rsidRPr="001E09A2">
        <w:rPr>
          <w:rFonts w:cstheme="minorHAnsi"/>
          <w:bCs/>
        </w:rPr>
        <w:t>had been comprehensive</w:t>
      </w:r>
      <w:r>
        <w:rPr>
          <w:rFonts w:cstheme="minorHAnsi"/>
          <w:bCs/>
        </w:rPr>
        <w:t>.</w:t>
      </w:r>
    </w:p>
    <w:p w14:paraId="11786FB3" w14:textId="7A68D6B3" w:rsidR="001B520F" w:rsidRDefault="001B520F" w:rsidP="004B6CFD">
      <w:pPr>
        <w:spacing w:line="360" w:lineRule="auto"/>
      </w:pPr>
      <w:r w:rsidRPr="00011941">
        <w:rPr>
          <w:rFonts w:cstheme="minorHAnsi"/>
          <w:bCs/>
        </w:rPr>
        <w:t xml:space="preserve">Pilot testing </w:t>
      </w:r>
      <w:r>
        <w:rPr>
          <w:rFonts w:cstheme="minorHAnsi"/>
          <w:bCs/>
        </w:rPr>
        <w:t xml:space="preserve">resulted in the </w:t>
      </w:r>
      <w:r w:rsidRPr="00011941">
        <w:rPr>
          <w:rFonts w:cstheme="minorHAnsi"/>
          <w:bCs/>
        </w:rPr>
        <w:t xml:space="preserve">removal of </w:t>
      </w:r>
      <w:r>
        <w:t>40</w:t>
      </w:r>
      <w:r w:rsidRPr="00011941">
        <w:t xml:space="preserve"> questions, mainly </w:t>
      </w:r>
      <w:r>
        <w:t>due to</w:t>
      </w:r>
      <w:r w:rsidRPr="00011941">
        <w:t xml:space="preserve"> lack of relevance or importance. </w:t>
      </w:r>
      <w:r>
        <w:t xml:space="preserve"> Two of these questions relating to frequent defecation were combined into one new question asking about frequent bowel movements. Twenty five questions were retained and did not require any modifications to wording.   We included one additional screening question asking about sexual activity.  We were left with a 27 item questionnaire, the EORTC QLQ-ANL27 with four hypothesised subscales.  Certain bowel questions (bowel urgency, feeling of not being able to completely empty one’s bowels) were not relevant to patients with a stoma thus </w:t>
      </w:r>
      <w:r w:rsidRPr="00011941">
        <w:t xml:space="preserve">separate sections for stoma and non-stoma patients were created, as in the EORTC QLQ-CR29 </w:t>
      </w:r>
      <w:r>
        <w:rPr>
          <w:noProof/>
        </w:rPr>
        <w:t>[24]</w:t>
      </w:r>
      <w:r w:rsidRPr="002E1106">
        <w:t>.</w:t>
      </w:r>
    </w:p>
    <w:p w14:paraId="5461E0D8" w14:textId="77777777" w:rsidR="001B520F" w:rsidRDefault="001B520F" w:rsidP="004B6CFD">
      <w:pPr>
        <w:spacing w:line="360" w:lineRule="auto"/>
      </w:pPr>
    </w:p>
    <w:p w14:paraId="028CF6FF" w14:textId="77777777" w:rsidR="001B520F" w:rsidRPr="002E1106" w:rsidRDefault="001B520F" w:rsidP="004B6CFD">
      <w:pPr>
        <w:spacing w:line="360" w:lineRule="auto"/>
        <w:rPr>
          <w:rFonts w:cstheme="minorHAnsi"/>
          <w:bCs/>
          <w:i/>
        </w:rPr>
      </w:pPr>
      <w:r w:rsidRPr="002E1106">
        <w:rPr>
          <w:rFonts w:cstheme="minorHAnsi"/>
          <w:bCs/>
          <w:i/>
        </w:rPr>
        <w:t>Limitations</w:t>
      </w:r>
    </w:p>
    <w:p w14:paraId="74EC3A2C" w14:textId="77777777" w:rsidR="001B520F" w:rsidRDefault="001B520F">
      <w:pPr>
        <w:spacing w:line="360" w:lineRule="auto"/>
        <w:rPr>
          <w:rFonts w:cstheme="minorHAnsi"/>
          <w:bCs/>
        </w:rPr>
      </w:pPr>
      <w:r>
        <w:rPr>
          <w:rFonts w:cstheme="minorHAnsi"/>
          <w:bCs/>
        </w:rPr>
        <w:t>This paper covers the first three phases of development of the EORTC QLQ-ANL27. We have not examined the scale structure, responsiveness to change and sensitivity to known differences, which will be explored in the Phase 4 validation study.   Although our patient cohort was multi-lingual and multi-cultural with recruitment across 8 countries covering different European regions and Canada, further testing of the questionnaire items will be needed to determine acceptability in other cultures.</w:t>
      </w:r>
    </w:p>
    <w:p w14:paraId="2580AA44" w14:textId="77777777" w:rsidR="001B520F" w:rsidRDefault="001B520F">
      <w:pPr>
        <w:spacing w:line="360" w:lineRule="auto"/>
        <w:rPr>
          <w:rFonts w:cstheme="minorHAnsi"/>
          <w:bCs/>
        </w:rPr>
      </w:pPr>
      <w:r>
        <w:rPr>
          <w:rFonts w:cstheme="minorHAnsi"/>
          <w:bCs/>
        </w:rPr>
        <w:t xml:space="preserve">Assessment of issues relied on patients’ judgements of relevance and importance of issues to them at some stage since diagnosis and treatment.  Some patients, especially those 2-5 years after treatment, may have found it difficult to recall aspects of their illness and to rate their relevance.  </w:t>
      </w:r>
    </w:p>
    <w:p w14:paraId="5410BC0F" w14:textId="77777777" w:rsidR="001B520F" w:rsidRDefault="001B520F" w:rsidP="004B6CFD">
      <w:pPr>
        <w:spacing w:line="360" w:lineRule="auto"/>
        <w:rPr>
          <w:rFonts w:cstheme="minorHAnsi"/>
          <w:b/>
        </w:rPr>
      </w:pPr>
    </w:p>
    <w:p w14:paraId="210B5E9F" w14:textId="77777777" w:rsidR="001B520F" w:rsidRPr="00011941" w:rsidRDefault="001B520F" w:rsidP="004B6CFD">
      <w:pPr>
        <w:spacing w:line="360" w:lineRule="auto"/>
        <w:rPr>
          <w:rFonts w:cstheme="minorHAnsi"/>
          <w:b/>
        </w:rPr>
      </w:pPr>
      <w:r w:rsidRPr="00011941">
        <w:rPr>
          <w:rFonts w:cstheme="minorHAnsi"/>
          <w:b/>
        </w:rPr>
        <w:t>Conclusion</w:t>
      </w:r>
    </w:p>
    <w:p w14:paraId="4C39C510" w14:textId="3C3340B1" w:rsidR="001B520F" w:rsidRPr="00515AF7" w:rsidRDefault="001B520F" w:rsidP="00515AF7">
      <w:pPr>
        <w:autoSpaceDE w:val="0"/>
        <w:autoSpaceDN w:val="0"/>
        <w:adjustRightInd w:val="0"/>
        <w:spacing w:after="0" w:line="360" w:lineRule="auto"/>
        <w:rPr>
          <w:rFonts w:eastAsiaTheme="minorHAnsi" w:cs="AdvPTimes"/>
          <w:color w:val="0000FF"/>
          <w:szCs w:val="17"/>
          <w:lang w:eastAsia="en-US"/>
        </w:rPr>
      </w:pPr>
      <w:r w:rsidRPr="00B06504">
        <w:rPr>
          <w:rFonts w:cstheme="minorHAnsi"/>
          <w:bCs/>
        </w:rPr>
        <w:t xml:space="preserve">The EORTC QLQ-ANL27 has been developed with a large cohort of patients representing different cultures and languages, to quantify the incidence and extent of the </w:t>
      </w:r>
      <w:proofErr w:type="spellStart"/>
      <w:r w:rsidRPr="00B06504">
        <w:rPr>
          <w:rFonts w:cstheme="minorHAnsi"/>
          <w:bCs/>
        </w:rPr>
        <w:t>HRQoL</w:t>
      </w:r>
      <w:proofErr w:type="spellEnd"/>
      <w:r w:rsidRPr="00B06504">
        <w:rPr>
          <w:rFonts w:cstheme="minorHAnsi"/>
          <w:bCs/>
        </w:rPr>
        <w:t xml:space="preserve"> impact of anal cancer and its treatment.  The measure captures acute and chronic effects of the disease and treatment and is the first anal cancer-specific </w:t>
      </w:r>
      <w:proofErr w:type="spellStart"/>
      <w:r w:rsidRPr="00B06504">
        <w:rPr>
          <w:rFonts w:cstheme="minorHAnsi"/>
          <w:bCs/>
        </w:rPr>
        <w:t>HRQoL</w:t>
      </w:r>
      <w:proofErr w:type="spellEnd"/>
      <w:r w:rsidRPr="00B06504">
        <w:rPr>
          <w:rFonts w:cstheme="minorHAnsi"/>
          <w:bCs/>
        </w:rPr>
        <w:t xml:space="preserve"> instrument.  It is currently available</w:t>
      </w:r>
      <w:r>
        <w:rPr>
          <w:rFonts w:cstheme="minorHAnsi"/>
          <w:bCs/>
        </w:rPr>
        <w:t xml:space="preserve"> </w:t>
      </w:r>
      <w:r w:rsidR="00515AF7">
        <w:rPr>
          <w:rFonts w:cstheme="minorHAnsi"/>
          <w:bCs/>
        </w:rPr>
        <w:t>upon</w:t>
      </w:r>
      <w:r>
        <w:rPr>
          <w:rFonts w:cstheme="minorHAnsi"/>
          <w:bCs/>
        </w:rPr>
        <w:t xml:space="preserve"> request</w:t>
      </w:r>
      <w:r w:rsidRPr="00B06504">
        <w:rPr>
          <w:rFonts w:cstheme="minorHAnsi"/>
          <w:bCs/>
        </w:rPr>
        <w:t xml:space="preserve"> </w:t>
      </w:r>
      <w:r w:rsidR="00515AF7">
        <w:rPr>
          <w:rFonts w:cstheme="minorHAnsi"/>
          <w:bCs/>
        </w:rPr>
        <w:t>from the EORTC QLG (</w:t>
      </w:r>
      <w:r w:rsidR="00515AF7">
        <w:rPr>
          <w:rFonts w:eastAsiaTheme="minorHAnsi" w:cs="AdvPTimes"/>
          <w:color w:val="0000FF"/>
          <w:szCs w:val="17"/>
          <w:lang w:eastAsia="en-US"/>
        </w:rPr>
        <w:t>http://</w:t>
      </w:r>
      <w:r w:rsidR="00515AF7" w:rsidRPr="00515AF7">
        <w:rPr>
          <w:rFonts w:eastAsiaTheme="minorHAnsi" w:cs="AdvPTimes"/>
          <w:color w:val="0000FF"/>
          <w:szCs w:val="17"/>
          <w:lang w:eastAsia="en-US"/>
        </w:rPr>
        <w:t>groups.eortc.be/qol/</w:t>
      </w:r>
      <w:r w:rsidR="00515AF7">
        <w:rPr>
          <w:rFonts w:cstheme="minorHAnsi"/>
          <w:bCs/>
        </w:rPr>
        <w:t xml:space="preserve">) </w:t>
      </w:r>
      <w:r w:rsidR="00857526">
        <w:rPr>
          <w:rFonts w:cstheme="minorHAnsi"/>
          <w:bCs/>
        </w:rPr>
        <w:t>in 8</w:t>
      </w:r>
      <w:r w:rsidRPr="00B06504">
        <w:rPr>
          <w:rFonts w:cstheme="minorHAnsi"/>
          <w:bCs/>
        </w:rPr>
        <w:t xml:space="preserve"> languages and is suitable for use in clinical trials as well as clinical practice in promoting engagement and ongoing regular contact with HCPs.  </w:t>
      </w:r>
      <w:r w:rsidRPr="00B06504">
        <w:t xml:space="preserve">In addition to facilitating </w:t>
      </w:r>
      <w:r>
        <w:t xml:space="preserve">the </w:t>
      </w:r>
      <w:r w:rsidRPr="00B06504">
        <w:t xml:space="preserve">management of the late </w:t>
      </w:r>
      <w:r>
        <w:t>toxicity</w:t>
      </w:r>
      <w:r w:rsidRPr="00B06504">
        <w:t xml:space="preserve"> of anal cancer treatment on urinary, </w:t>
      </w:r>
      <w:r w:rsidRPr="00B06504">
        <w:lastRenderedPageBreak/>
        <w:t>bowel and sexual function, the EORTC QLQ-ANL27 will also allow clinicians to provide psychological support where needed.</w:t>
      </w:r>
    </w:p>
    <w:p w14:paraId="5F49E5B4" w14:textId="77777777" w:rsidR="001B520F" w:rsidRDefault="001B520F" w:rsidP="004B6CFD">
      <w:pPr>
        <w:spacing w:line="360" w:lineRule="auto"/>
        <w:jc w:val="both"/>
        <w:rPr>
          <w:rFonts w:cstheme="minorHAnsi"/>
          <w:b/>
        </w:rPr>
      </w:pPr>
    </w:p>
    <w:p w14:paraId="30FE2400" w14:textId="77777777" w:rsidR="001B520F" w:rsidRPr="00011941" w:rsidRDefault="001B520F" w:rsidP="004B6CFD">
      <w:pPr>
        <w:spacing w:line="360" w:lineRule="auto"/>
        <w:jc w:val="both"/>
        <w:rPr>
          <w:rFonts w:cstheme="minorHAnsi"/>
          <w:b/>
        </w:rPr>
      </w:pPr>
      <w:r>
        <w:rPr>
          <w:rFonts w:cstheme="minorHAnsi"/>
          <w:b/>
        </w:rPr>
        <w:t>Acknowledgements</w:t>
      </w:r>
    </w:p>
    <w:p w14:paraId="20B7E646" w14:textId="15FA581E" w:rsidR="001B520F" w:rsidRDefault="001B520F" w:rsidP="00590415">
      <w:pPr>
        <w:spacing w:line="360" w:lineRule="auto"/>
      </w:pPr>
      <w:r>
        <w:rPr>
          <w:rFonts w:cstheme="minorHAnsi"/>
          <w:bCs/>
        </w:rPr>
        <w:t xml:space="preserve">The authors would like to thank the following for their help in recruiting patients and carrying out interviews:  </w:t>
      </w:r>
      <w:r>
        <w:t xml:space="preserve">Chris </w:t>
      </w:r>
      <w:r w:rsidRPr="003A7F2E">
        <w:t>Baughan</w:t>
      </w:r>
      <w:r>
        <w:t xml:space="preserve">, Vicky McFarlane, Richard Cole, Caroline </w:t>
      </w:r>
      <w:proofErr w:type="spellStart"/>
      <w:r>
        <w:t>Millier</w:t>
      </w:r>
      <w:proofErr w:type="spellEnd"/>
      <w:r>
        <w:t xml:space="preserve">, and </w:t>
      </w:r>
      <w:proofErr w:type="spellStart"/>
      <w:r>
        <w:t>Asalet</w:t>
      </w:r>
      <w:proofErr w:type="spellEnd"/>
      <w:r>
        <w:t xml:space="preserve"> </w:t>
      </w:r>
      <w:proofErr w:type="spellStart"/>
      <w:r>
        <w:t>Yener</w:t>
      </w:r>
      <w:proofErr w:type="spellEnd"/>
      <w:r>
        <w:t xml:space="preserve"> (University Hospital, Southampton), Christine Brannan and Melanie </w:t>
      </w:r>
      <w:proofErr w:type="spellStart"/>
      <w:r>
        <w:t>Winterbotham</w:t>
      </w:r>
      <w:proofErr w:type="spellEnd"/>
      <w:r>
        <w:t xml:space="preserve"> (Mount Vernon Hospital), Anne Crossley (St James’s</w:t>
      </w:r>
      <w:r w:rsidRPr="0048315B">
        <w:t xml:space="preserve"> University Hospital</w:t>
      </w:r>
      <w:r>
        <w:t xml:space="preserve">), </w:t>
      </w:r>
      <w:r>
        <w:rPr>
          <w:lang w:val="en-US"/>
        </w:rPr>
        <w:t xml:space="preserve">Allison Keller, Roxanne Ward, Julie Wells (Ottawa Hospital), Stephanie Chan, Breanne </w:t>
      </w:r>
      <w:proofErr w:type="spellStart"/>
      <w:r>
        <w:rPr>
          <w:lang w:val="en-US"/>
        </w:rPr>
        <w:t>Lechner</w:t>
      </w:r>
      <w:proofErr w:type="spellEnd"/>
      <w:r>
        <w:rPr>
          <w:lang w:val="en-US"/>
        </w:rPr>
        <w:t xml:space="preserve">, Rachel McDonald, Michael Poon, Natalie </w:t>
      </w:r>
      <w:proofErr w:type="spellStart"/>
      <w:r>
        <w:rPr>
          <w:lang w:val="en-US"/>
        </w:rPr>
        <w:t>Pulenzas</w:t>
      </w:r>
      <w:proofErr w:type="spellEnd"/>
      <w:r>
        <w:rPr>
          <w:lang w:val="en-US"/>
        </w:rPr>
        <w:t xml:space="preserve">, </w:t>
      </w:r>
      <w:r>
        <w:t xml:space="preserve"> </w:t>
      </w:r>
      <w:proofErr w:type="spellStart"/>
      <w:r>
        <w:t>Leigha</w:t>
      </w:r>
      <w:proofErr w:type="spellEnd"/>
      <w:r>
        <w:t xml:space="preserve"> </w:t>
      </w:r>
      <w:proofErr w:type="spellStart"/>
      <w:r>
        <w:t>Rowbottom</w:t>
      </w:r>
      <w:proofErr w:type="spellEnd"/>
      <w:r>
        <w:t xml:space="preserve">, Sherlyn Vuong, and Erin Wong (University of Toronto), </w:t>
      </w:r>
      <w:r w:rsidRPr="00230E76">
        <w:rPr>
          <w:szCs w:val="20"/>
        </w:rPr>
        <w:t xml:space="preserve">Maria </w:t>
      </w:r>
      <w:proofErr w:type="spellStart"/>
      <w:r w:rsidRPr="00230E76">
        <w:rPr>
          <w:szCs w:val="20"/>
        </w:rPr>
        <w:t>Pittaka</w:t>
      </w:r>
      <w:proofErr w:type="spellEnd"/>
      <w:r w:rsidRPr="00230E76">
        <w:rPr>
          <w:szCs w:val="20"/>
        </w:rPr>
        <w:t xml:space="preserve"> (University of </w:t>
      </w:r>
      <w:proofErr w:type="spellStart"/>
      <w:r w:rsidRPr="00230E76">
        <w:rPr>
          <w:szCs w:val="20"/>
        </w:rPr>
        <w:t>Patras</w:t>
      </w:r>
      <w:proofErr w:type="spellEnd"/>
      <w:r w:rsidRPr="00230E76">
        <w:rPr>
          <w:szCs w:val="20"/>
        </w:rPr>
        <w:t>),</w:t>
      </w:r>
      <w:r>
        <w:rPr>
          <w:rFonts w:ascii="Verdana" w:hAnsi="Verdana"/>
          <w:szCs w:val="20"/>
        </w:rPr>
        <w:t xml:space="preserve"> </w:t>
      </w:r>
      <w:r>
        <w:t>Thomas Reese (Department of Radiotherapy, University Hospital Halle (Saale), Thomas Nordhausen and Sigrid Roggendorf (Institute for Health and</w:t>
      </w:r>
      <w:r w:rsidR="00857526">
        <w:t xml:space="preserve"> Nursing Science, Halle (Saale), Loukia Georgiou and </w:t>
      </w:r>
      <w:proofErr w:type="spellStart"/>
      <w:r w:rsidR="00857526">
        <w:t>Yiannis</w:t>
      </w:r>
      <w:proofErr w:type="spellEnd"/>
      <w:r w:rsidR="00857526">
        <w:t xml:space="preserve"> </w:t>
      </w:r>
      <w:proofErr w:type="spellStart"/>
      <w:r w:rsidR="00857526">
        <w:t>Stylianou</w:t>
      </w:r>
      <w:proofErr w:type="spellEnd"/>
      <w:r w:rsidR="00857526">
        <w:t xml:space="preserve"> (Bank of Cyprus Oncology Centre, Nicosia, Cyprus).</w:t>
      </w:r>
    </w:p>
    <w:p w14:paraId="4A09CFD7" w14:textId="77777777" w:rsidR="001B520F" w:rsidRPr="00426051" w:rsidRDefault="001B520F" w:rsidP="00590415">
      <w:pPr>
        <w:pStyle w:val="PlainText"/>
        <w:spacing w:line="360" w:lineRule="auto"/>
        <w:rPr>
          <w:b/>
        </w:rPr>
      </w:pPr>
      <w:r w:rsidRPr="00426051">
        <w:rPr>
          <w:b/>
        </w:rPr>
        <w:t>Funding</w:t>
      </w:r>
    </w:p>
    <w:p w14:paraId="75773EB9" w14:textId="7A89B17D" w:rsidR="001B520F" w:rsidRPr="00857526" w:rsidRDefault="001B520F" w:rsidP="00590415">
      <w:pPr>
        <w:pStyle w:val="PlainText"/>
        <w:spacing w:line="360" w:lineRule="auto"/>
      </w:pPr>
      <w:r>
        <w:t xml:space="preserve">This study was funded by the European Organisation for Research and Treatment of Cancer (EORTC) Quality of Life Group.  The grant was awarded to Professor Colin Johnson and Dr </w:t>
      </w:r>
      <w:proofErr w:type="spellStart"/>
      <w:r w:rsidRPr="00AC38A1">
        <w:rPr>
          <w:rFonts w:cs="Calibri"/>
        </w:rPr>
        <w:t>Vassilios</w:t>
      </w:r>
      <w:proofErr w:type="spellEnd"/>
      <w:r>
        <w:rPr>
          <w:rFonts w:cs="Calibri"/>
        </w:rPr>
        <w:t xml:space="preserve"> </w:t>
      </w:r>
      <w:proofErr w:type="spellStart"/>
      <w:r>
        <w:rPr>
          <w:rFonts w:cs="Calibri"/>
        </w:rPr>
        <w:t>Vassiliou</w:t>
      </w:r>
      <w:proofErr w:type="spellEnd"/>
      <w:r w:rsidR="00857526">
        <w:rPr>
          <w:rFonts w:cs="Calibri"/>
        </w:rPr>
        <w:t>.</w:t>
      </w:r>
    </w:p>
    <w:p w14:paraId="7AAE3451" w14:textId="77777777" w:rsidR="001B520F" w:rsidRDefault="001B520F" w:rsidP="00590415">
      <w:pPr>
        <w:pStyle w:val="PlainText"/>
        <w:spacing w:line="360" w:lineRule="auto"/>
      </w:pPr>
    </w:p>
    <w:p w14:paraId="081A0409" w14:textId="77777777" w:rsidR="001B520F" w:rsidRPr="00426051" w:rsidRDefault="001B520F" w:rsidP="00590415">
      <w:pPr>
        <w:spacing w:line="360" w:lineRule="auto"/>
        <w:rPr>
          <w:b/>
        </w:rPr>
      </w:pPr>
      <w:r w:rsidRPr="00426051">
        <w:rPr>
          <w:b/>
        </w:rPr>
        <w:t xml:space="preserve">Conflict of Interest  </w:t>
      </w:r>
    </w:p>
    <w:p w14:paraId="69198371" w14:textId="77777777" w:rsidR="001B520F" w:rsidRDefault="001B520F" w:rsidP="00590415">
      <w:pPr>
        <w:spacing w:line="360" w:lineRule="auto"/>
      </w:pPr>
      <w:r>
        <w:t>None of the authors declare any conflict of interest</w:t>
      </w:r>
    </w:p>
    <w:p w14:paraId="12D46C68" w14:textId="77777777" w:rsidR="001B520F" w:rsidRPr="00B54D3C" w:rsidRDefault="001B520F" w:rsidP="00590415">
      <w:pPr>
        <w:spacing w:line="360" w:lineRule="auto"/>
        <w:rPr>
          <w:rFonts w:cs="Arial"/>
          <w:b/>
        </w:rPr>
      </w:pPr>
      <w:r w:rsidRPr="00B54D3C">
        <w:rPr>
          <w:rFonts w:cs="Arial"/>
          <w:b/>
        </w:rPr>
        <w:t>Ethical Approval</w:t>
      </w:r>
    </w:p>
    <w:p w14:paraId="7A4F89E6" w14:textId="77777777" w:rsidR="001B520F" w:rsidRPr="00B54D3C" w:rsidRDefault="001B520F" w:rsidP="00590415">
      <w:pPr>
        <w:spacing w:line="360" w:lineRule="auto"/>
        <w:rPr>
          <w:vertAlign w:val="superscript"/>
        </w:rPr>
      </w:pPr>
      <w:r w:rsidRPr="00B54D3C">
        <w:rPr>
          <w:rFonts w:cs="Arial"/>
        </w:rPr>
        <w:t>The studies described were subject to review by the Southampton and South West Hampshire Research Ethics Committee</w:t>
      </w:r>
      <w:r>
        <w:rPr>
          <w:rFonts w:cs="Arial"/>
        </w:rPr>
        <w:t xml:space="preserve"> (</w:t>
      </w:r>
      <w:r w:rsidRPr="00B55025">
        <w:rPr>
          <w:rFonts w:ascii="Arial" w:hAnsi="Arial"/>
          <w:sz w:val="18"/>
        </w:rPr>
        <w:t xml:space="preserve">REC </w:t>
      </w:r>
      <w:proofErr w:type="spellStart"/>
      <w:r w:rsidRPr="00B55025">
        <w:rPr>
          <w:rFonts w:ascii="Arial" w:hAnsi="Arial"/>
          <w:sz w:val="18"/>
        </w:rPr>
        <w:t>nr</w:t>
      </w:r>
      <w:proofErr w:type="spellEnd"/>
      <w:r w:rsidRPr="00B55025">
        <w:rPr>
          <w:rFonts w:ascii="Arial" w:hAnsi="Arial"/>
          <w:sz w:val="18"/>
        </w:rPr>
        <w:t xml:space="preserve"> </w:t>
      </w:r>
      <w:r>
        <w:t>13/SC/0287)</w:t>
      </w:r>
    </w:p>
    <w:p w14:paraId="586A3EA1" w14:textId="77777777" w:rsidR="001B520F" w:rsidRDefault="001B520F" w:rsidP="00590415">
      <w:pPr>
        <w:spacing w:after="160" w:line="360" w:lineRule="auto"/>
        <w:rPr>
          <w:rFonts w:ascii="Calibri" w:hAnsi="Calibri" w:cstheme="minorHAnsi"/>
          <w:bCs/>
          <w:noProof/>
        </w:rPr>
      </w:pPr>
      <w:r>
        <w:rPr>
          <w:rFonts w:cstheme="minorHAnsi"/>
          <w:bCs/>
        </w:rPr>
        <w:br w:type="page"/>
      </w:r>
    </w:p>
    <w:p w14:paraId="7EF18CE9" w14:textId="77777777" w:rsidR="001B520F" w:rsidRPr="00011941" w:rsidRDefault="001B520F">
      <w:pPr>
        <w:spacing w:line="360" w:lineRule="auto"/>
        <w:rPr>
          <w:rFonts w:cstheme="minorHAnsi"/>
          <w:b/>
        </w:rPr>
      </w:pPr>
      <w:r>
        <w:rPr>
          <w:rFonts w:ascii="Calibri" w:hAnsi="Calibri" w:cstheme="minorHAnsi"/>
          <w:b/>
          <w:noProof/>
        </w:rPr>
        <w:lastRenderedPageBreak/>
        <w:t xml:space="preserve">References   </w:t>
      </w:r>
    </w:p>
    <w:p w14:paraId="13B7D277" w14:textId="77777777" w:rsidR="001B520F" w:rsidRPr="00590415" w:rsidRDefault="001B520F" w:rsidP="00590415">
      <w:pPr>
        <w:pStyle w:val="EndNoteBibliography"/>
        <w:spacing w:after="0" w:line="360" w:lineRule="auto"/>
        <w:ind w:left="720" w:hanging="720"/>
        <w:rPr>
          <w:rFonts w:asciiTheme="minorHAnsi" w:hAnsiTheme="minorHAnsi"/>
        </w:rPr>
      </w:pPr>
      <w:r w:rsidRPr="00FD1A4E">
        <w:t>1.</w:t>
      </w:r>
      <w:r w:rsidRPr="00FD1A4E">
        <w:tab/>
      </w:r>
      <w:r w:rsidR="00536206" w:rsidRPr="00DC3BED">
        <w:rPr>
          <w:rFonts w:asciiTheme="minorHAnsi" w:hAnsiTheme="minorHAnsi"/>
        </w:rPr>
        <w:t>A</w:t>
      </w:r>
      <w:r w:rsidR="00536206" w:rsidRPr="00590415">
        <w:rPr>
          <w:rFonts w:asciiTheme="minorHAnsi" w:hAnsiTheme="minorHAnsi"/>
        </w:rPr>
        <w:t xml:space="preserve">ggarwal A, Duke S, </w:t>
      </w:r>
      <w:r w:rsidRPr="00590415">
        <w:rPr>
          <w:rFonts w:asciiTheme="minorHAnsi" w:hAnsiTheme="minorHAnsi"/>
        </w:rPr>
        <w:t>Glynne-Jones</w:t>
      </w:r>
      <w:r w:rsidR="00536206" w:rsidRPr="00590415">
        <w:rPr>
          <w:rFonts w:asciiTheme="minorHAnsi" w:hAnsiTheme="minorHAnsi"/>
        </w:rPr>
        <w:t xml:space="preserve"> R.</w:t>
      </w:r>
      <w:r w:rsidRPr="00590415">
        <w:rPr>
          <w:rFonts w:asciiTheme="minorHAnsi" w:hAnsiTheme="minorHAnsi"/>
        </w:rPr>
        <w:t xml:space="preserve"> Anal cancer: are we making progress?</w:t>
      </w:r>
      <w:r w:rsidR="00536206" w:rsidRPr="00590415">
        <w:rPr>
          <w:rFonts w:asciiTheme="minorHAnsi" w:hAnsiTheme="minorHAnsi"/>
        </w:rPr>
        <w:t xml:space="preserve"> Current Oncology Reports 2013;</w:t>
      </w:r>
      <w:r w:rsidRPr="00590415">
        <w:rPr>
          <w:rFonts w:asciiTheme="minorHAnsi" w:hAnsiTheme="minorHAnsi"/>
        </w:rPr>
        <w:t xml:space="preserve"> 15(2): p. 170-81.</w:t>
      </w:r>
    </w:p>
    <w:p w14:paraId="0E11D09D" w14:textId="77777777" w:rsidR="001B520F" w:rsidRPr="00590415" w:rsidRDefault="00536206" w:rsidP="00590415">
      <w:pPr>
        <w:pStyle w:val="EndNoteBibliography"/>
        <w:spacing w:after="0" w:line="360" w:lineRule="auto"/>
        <w:ind w:left="720" w:hanging="720"/>
        <w:rPr>
          <w:rFonts w:asciiTheme="minorHAnsi" w:hAnsiTheme="minorHAnsi" w:cs="Arial"/>
        </w:rPr>
      </w:pPr>
      <w:r w:rsidRPr="00590415">
        <w:rPr>
          <w:rFonts w:asciiTheme="minorHAnsi" w:hAnsiTheme="minorHAnsi"/>
        </w:rPr>
        <w:t>2.</w:t>
      </w:r>
      <w:r w:rsidRPr="00590415">
        <w:rPr>
          <w:rFonts w:asciiTheme="minorHAnsi" w:hAnsiTheme="minorHAnsi"/>
        </w:rPr>
        <w:tab/>
      </w:r>
      <w:hyperlink r:id="rId7" w:history="1">
        <w:r w:rsidRPr="00590415">
          <w:rPr>
            <w:rFonts w:asciiTheme="minorHAnsi" w:hAnsiTheme="minorHAnsi" w:cs="Arial"/>
          </w:rPr>
          <w:t>Jemal A</w:t>
        </w:r>
      </w:hyperlink>
      <w:r w:rsidRPr="00590415">
        <w:rPr>
          <w:rFonts w:asciiTheme="minorHAnsi" w:hAnsiTheme="minorHAnsi" w:cs="Arial"/>
        </w:rPr>
        <w:t xml:space="preserve">, </w:t>
      </w:r>
      <w:hyperlink r:id="rId8" w:history="1">
        <w:r w:rsidRPr="00590415">
          <w:rPr>
            <w:rFonts w:asciiTheme="minorHAnsi" w:hAnsiTheme="minorHAnsi" w:cs="Arial"/>
          </w:rPr>
          <w:t>Ward EM</w:t>
        </w:r>
      </w:hyperlink>
      <w:r w:rsidRPr="00590415">
        <w:rPr>
          <w:rFonts w:asciiTheme="minorHAnsi" w:hAnsiTheme="minorHAnsi" w:cs="Arial"/>
        </w:rPr>
        <w:t xml:space="preserve">, </w:t>
      </w:r>
      <w:hyperlink r:id="rId9" w:history="1">
        <w:r w:rsidRPr="00590415">
          <w:rPr>
            <w:rFonts w:asciiTheme="minorHAnsi" w:hAnsiTheme="minorHAnsi" w:cs="Arial"/>
          </w:rPr>
          <w:t>Johnson CJ</w:t>
        </w:r>
      </w:hyperlink>
      <w:r w:rsidRPr="00590415">
        <w:rPr>
          <w:rFonts w:asciiTheme="minorHAnsi" w:hAnsiTheme="minorHAnsi"/>
        </w:rPr>
        <w:t xml:space="preserve"> et al. </w:t>
      </w:r>
      <w:r w:rsidR="001B520F" w:rsidRPr="00590415">
        <w:rPr>
          <w:rFonts w:asciiTheme="minorHAnsi" w:hAnsiTheme="minorHAnsi"/>
        </w:rPr>
        <w:t>Annual report to the nation on the status of cancer, 1975–2009, featuring the burden and trends in human papillomavirus (HPV)-associated cancers and HP</w:t>
      </w:r>
      <w:r w:rsidRPr="00590415">
        <w:rPr>
          <w:rFonts w:asciiTheme="minorHAnsi" w:hAnsiTheme="minorHAnsi"/>
        </w:rPr>
        <w:t>V vaccination coverage levels. J Natl Cancer Inst</w:t>
      </w:r>
      <w:r w:rsidR="001B520F" w:rsidRPr="00590415">
        <w:rPr>
          <w:rFonts w:asciiTheme="minorHAnsi" w:hAnsiTheme="minorHAnsi"/>
        </w:rPr>
        <w:t xml:space="preserve"> 20</w:t>
      </w:r>
      <w:r w:rsidRPr="00590415">
        <w:rPr>
          <w:rFonts w:asciiTheme="minorHAnsi" w:hAnsiTheme="minorHAnsi"/>
        </w:rPr>
        <w:t>13;</w:t>
      </w:r>
      <w:r w:rsidR="001B520F" w:rsidRPr="00590415">
        <w:rPr>
          <w:rFonts w:asciiTheme="minorHAnsi" w:hAnsiTheme="minorHAnsi"/>
        </w:rPr>
        <w:t xml:space="preserve"> 105</w:t>
      </w:r>
      <w:r w:rsidRPr="00590415">
        <w:rPr>
          <w:rFonts w:asciiTheme="minorHAnsi" w:hAnsiTheme="minorHAnsi"/>
        </w:rPr>
        <w:t xml:space="preserve">: </w:t>
      </w:r>
      <w:r w:rsidR="001B520F" w:rsidRPr="00590415">
        <w:rPr>
          <w:rFonts w:asciiTheme="minorHAnsi" w:hAnsiTheme="minorHAnsi"/>
        </w:rPr>
        <w:t>175-201.</w:t>
      </w:r>
    </w:p>
    <w:p w14:paraId="5C7CBF0C" w14:textId="736420B3"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3.</w:t>
      </w:r>
      <w:r w:rsidRPr="00590415">
        <w:rPr>
          <w:rFonts w:asciiTheme="minorHAnsi" w:hAnsiTheme="minorHAnsi"/>
        </w:rPr>
        <w:tab/>
      </w:r>
      <w:hyperlink r:id="rId10" w:history="1">
        <w:r w:rsidR="00DC3BED" w:rsidRPr="00590415">
          <w:rPr>
            <w:rFonts w:asciiTheme="minorHAnsi" w:hAnsiTheme="minorHAnsi" w:cs="Arial"/>
          </w:rPr>
          <w:t>Glynne-Jones R</w:t>
        </w:r>
      </w:hyperlink>
      <w:r w:rsidR="00DC3BED" w:rsidRPr="00590415">
        <w:rPr>
          <w:rFonts w:asciiTheme="minorHAnsi" w:hAnsiTheme="minorHAnsi" w:cs="Arial"/>
        </w:rPr>
        <w:t xml:space="preserve">, </w:t>
      </w:r>
      <w:hyperlink r:id="rId11" w:history="1">
        <w:r w:rsidR="00DC3BED" w:rsidRPr="00590415">
          <w:rPr>
            <w:rFonts w:asciiTheme="minorHAnsi" w:hAnsiTheme="minorHAnsi" w:cs="Arial"/>
          </w:rPr>
          <w:t>Nilsson PJ</w:t>
        </w:r>
      </w:hyperlink>
      <w:r w:rsidR="00DC3BED" w:rsidRPr="00590415">
        <w:rPr>
          <w:rFonts w:asciiTheme="minorHAnsi" w:hAnsiTheme="minorHAnsi" w:cs="Arial"/>
        </w:rPr>
        <w:t xml:space="preserve">, </w:t>
      </w:r>
      <w:hyperlink r:id="rId12" w:history="1">
        <w:r w:rsidR="00DC3BED" w:rsidRPr="00590415">
          <w:rPr>
            <w:rFonts w:asciiTheme="minorHAnsi" w:hAnsiTheme="minorHAnsi" w:cs="Arial"/>
          </w:rPr>
          <w:t>Aschele C</w:t>
        </w:r>
      </w:hyperlink>
      <w:r w:rsidR="00DC3BED" w:rsidRPr="00590415">
        <w:rPr>
          <w:rFonts w:asciiTheme="minorHAnsi" w:hAnsiTheme="minorHAnsi" w:cs="Arial"/>
        </w:rPr>
        <w:t>.</w:t>
      </w:r>
      <w:r w:rsidRPr="00590415">
        <w:rPr>
          <w:rFonts w:asciiTheme="minorHAnsi" w:hAnsiTheme="minorHAnsi"/>
        </w:rPr>
        <w:t xml:space="preserve"> Anal cancer: ESMO-ESSO-ESTRO clinical practice guidelines for diagnosis, treatment and follow-up.</w:t>
      </w:r>
      <w:r w:rsidR="004B6CFD" w:rsidRPr="00590415">
        <w:rPr>
          <w:rFonts w:asciiTheme="minorHAnsi" w:hAnsiTheme="minorHAnsi"/>
        </w:rPr>
        <w:t xml:space="preserve"> Radiotherapy &amp; Oncology 2014;</w:t>
      </w:r>
      <w:r w:rsidRPr="00590415">
        <w:rPr>
          <w:rFonts w:asciiTheme="minorHAnsi" w:hAnsiTheme="minorHAnsi"/>
        </w:rPr>
        <w:t xml:space="preserve"> 111</w:t>
      </w:r>
      <w:r w:rsidR="004B6CFD" w:rsidRPr="00590415">
        <w:rPr>
          <w:rFonts w:asciiTheme="minorHAnsi" w:hAnsiTheme="minorHAnsi"/>
        </w:rPr>
        <w:t xml:space="preserve">(3): </w:t>
      </w:r>
      <w:r w:rsidRPr="00590415">
        <w:rPr>
          <w:rFonts w:asciiTheme="minorHAnsi" w:hAnsiTheme="minorHAnsi"/>
        </w:rPr>
        <w:t>330-9.</w:t>
      </w:r>
    </w:p>
    <w:p w14:paraId="38BA090D" w14:textId="43CC7642"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4.</w:t>
      </w:r>
      <w:r w:rsidRPr="00590415">
        <w:rPr>
          <w:rFonts w:asciiTheme="minorHAnsi" w:hAnsiTheme="minorHAnsi"/>
        </w:rPr>
        <w:tab/>
      </w:r>
      <w:hyperlink r:id="rId13" w:history="1">
        <w:r w:rsidR="00DC3BED" w:rsidRPr="00590415">
          <w:rPr>
            <w:rFonts w:asciiTheme="minorHAnsi" w:hAnsiTheme="minorHAnsi" w:cs="Arial"/>
          </w:rPr>
          <w:t>James RD</w:t>
        </w:r>
      </w:hyperlink>
      <w:r w:rsidR="00DC3BED" w:rsidRPr="00590415">
        <w:rPr>
          <w:rFonts w:asciiTheme="minorHAnsi" w:hAnsiTheme="minorHAnsi" w:cs="Arial"/>
        </w:rPr>
        <w:t xml:space="preserve">, </w:t>
      </w:r>
      <w:hyperlink r:id="rId14" w:history="1">
        <w:r w:rsidR="00DC3BED" w:rsidRPr="00590415">
          <w:rPr>
            <w:rFonts w:asciiTheme="minorHAnsi" w:hAnsiTheme="minorHAnsi" w:cs="Arial"/>
          </w:rPr>
          <w:t>Glynne-Jones R</w:t>
        </w:r>
      </w:hyperlink>
      <w:r w:rsidR="00DC3BED" w:rsidRPr="00590415">
        <w:rPr>
          <w:rFonts w:asciiTheme="minorHAnsi" w:hAnsiTheme="minorHAnsi" w:cs="Arial"/>
        </w:rPr>
        <w:t xml:space="preserve">, </w:t>
      </w:r>
      <w:hyperlink r:id="rId15" w:history="1">
        <w:r w:rsidR="00DC3BED" w:rsidRPr="00590415">
          <w:rPr>
            <w:rFonts w:asciiTheme="minorHAnsi" w:hAnsiTheme="minorHAnsi" w:cs="Arial"/>
          </w:rPr>
          <w:t>Meadows HM</w:t>
        </w:r>
      </w:hyperlink>
      <w:r w:rsidR="00DC3BED" w:rsidRPr="00590415">
        <w:rPr>
          <w:rFonts w:asciiTheme="minorHAnsi" w:hAnsiTheme="minorHAnsi" w:cs="Arial"/>
        </w:rPr>
        <w:t xml:space="preserve">. </w:t>
      </w:r>
      <w:r w:rsidRPr="00590415">
        <w:rPr>
          <w:rFonts w:asciiTheme="minorHAnsi" w:hAnsiTheme="minorHAnsi"/>
        </w:rPr>
        <w:t>Mitomycin or cisplatin chemoradiation with or without maintenance chemotherapy for treatment of squamous-cell carcinoma of the anus (ACT II): a randomised, phase 3, open-label, 2x2 factorial trial.</w:t>
      </w:r>
      <w:r w:rsidR="004B6CFD" w:rsidRPr="00590415">
        <w:rPr>
          <w:rFonts w:asciiTheme="minorHAnsi" w:hAnsiTheme="minorHAnsi"/>
        </w:rPr>
        <w:t xml:space="preserve"> Lancet Oncol</w:t>
      </w:r>
      <w:r w:rsidR="00DC3BED" w:rsidRPr="00590415">
        <w:rPr>
          <w:rFonts w:asciiTheme="minorHAnsi" w:hAnsiTheme="minorHAnsi"/>
        </w:rPr>
        <w:t xml:space="preserve"> 2013;</w:t>
      </w:r>
      <w:r w:rsidRPr="00590415">
        <w:rPr>
          <w:rFonts w:asciiTheme="minorHAnsi" w:hAnsiTheme="minorHAnsi"/>
        </w:rPr>
        <w:t xml:space="preserve"> 14</w:t>
      </w:r>
      <w:r w:rsidR="00DC3BED" w:rsidRPr="00590415">
        <w:rPr>
          <w:rFonts w:asciiTheme="minorHAnsi" w:hAnsiTheme="minorHAnsi"/>
        </w:rPr>
        <w:t xml:space="preserve">(6): </w:t>
      </w:r>
      <w:r w:rsidRPr="00590415">
        <w:rPr>
          <w:rFonts w:asciiTheme="minorHAnsi" w:hAnsiTheme="minorHAnsi"/>
        </w:rPr>
        <w:t>516-524.</w:t>
      </w:r>
    </w:p>
    <w:p w14:paraId="53F9FB75" w14:textId="49C43A8D"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5.</w:t>
      </w:r>
      <w:r w:rsidRPr="00590415">
        <w:rPr>
          <w:rFonts w:asciiTheme="minorHAnsi" w:hAnsiTheme="minorHAnsi"/>
        </w:rPr>
        <w:tab/>
        <w:t>UKCCCR Anal Cancer Working Party. Epidermoid Anal Cancer: Results from the UKCCCR randomised trial of radiotherapy alone versus radiotherapy, 5-fluorouracil and mitomycin.</w:t>
      </w:r>
      <w:r w:rsidR="00481588" w:rsidRPr="00590415">
        <w:rPr>
          <w:rFonts w:asciiTheme="minorHAnsi" w:hAnsiTheme="minorHAnsi"/>
        </w:rPr>
        <w:t xml:space="preserve"> Lancet 1996;</w:t>
      </w:r>
      <w:r w:rsidRPr="00590415">
        <w:rPr>
          <w:rFonts w:asciiTheme="minorHAnsi" w:hAnsiTheme="minorHAnsi"/>
        </w:rPr>
        <w:t xml:space="preserve"> 348</w:t>
      </w:r>
      <w:r w:rsidR="00481588" w:rsidRPr="00590415">
        <w:rPr>
          <w:rFonts w:asciiTheme="minorHAnsi" w:hAnsiTheme="minorHAnsi"/>
        </w:rPr>
        <w:t xml:space="preserve">: </w:t>
      </w:r>
      <w:r w:rsidRPr="00590415">
        <w:rPr>
          <w:rFonts w:asciiTheme="minorHAnsi" w:hAnsiTheme="minorHAnsi"/>
        </w:rPr>
        <w:t>1049-1054.</w:t>
      </w:r>
      <w:r w:rsidR="00481588" w:rsidRPr="00590415">
        <w:rPr>
          <w:rFonts w:asciiTheme="minorHAnsi" w:hAnsiTheme="minorHAnsi"/>
        </w:rPr>
        <w:t xml:space="preserve">  </w:t>
      </w:r>
    </w:p>
    <w:p w14:paraId="38309923" w14:textId="59ADF15B"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6.</w:t>
      </w:r>
      <w:r w:rsidRPr="00590415">
        <w:rPr>
          <w:rFonts w:asciiTheme="minorHAnsi" w:hAnsiTheme="minorHAnsi"/>
        </w:rPr>
        <w:tab/>
      </w:r>
      <w:hyperlink r:id="rId16" w:history="1">
        <w:r w:rsidR="00E10949" w:rsidRPr="00590415">
          <w:rPr>
            <w:rFonts w:asciiTheme="minorHAnsi" w:hAnsiTheme="minorHAnsi" w:cs="Arial"/>
          </w:rPr>
          <w:t>Bartelink H</w:t>
        </w:r>
      </w:hyperlink>
      <w:r w:rsidR="00E10949" w:rsidRPr="00590415">
        <w:rPr>
          <w:rFonts w:asciiTheme="minorHAnsi" w:hAnsiTheme="minorHAnsi" w:cs="Arial"/>
        </w:rPr>
        <w:t xml:space="preserve">, </w:t>
      </w:r>
      <w:hyperlink r:id="rId17" w:history="1">
        <w:r w:rsidR="00E10949" w:rsidRPr="00590415">
          <w:rPr>
            <w:rFonts w:asciiTheme="minorHAnsi" w:hAnsiTheme="minorHAnsi" w:cs="Arial"/>
          </w:rPr>
          <w:t>Roelofsen F</w:t>
        </w:r>
      </w:hyperlink>
      <w:r w:rsidR="00E10949" w:rsidRPr="00590415">
        <w:rPr>
          <w:rFonts w:asciiTheme="minorHAnsi" w:hAnsiTheme="minorHAnsi" w:cs="Arial"/>
        </w:rPr>
        <w:t xml:space="preserve">, </w:t>
      </w:r>
      <w:hyperlink r:id="rId18" w:history="1">
        <w:r w:rsidR="00E10949" w:rsidRPr="00590415">
          <w:rPr>
            <w:rFonts w:asciiTheme="minorHAnsi" w:hAnsiTheme="minorHAnsi" w:cs="Arial"/>
          </w:rPr>
          <w:t>Eschwege F</w:t>
        </w:r>
      </w:hyperlink>
      <w:r w:rsidR="00E10949" w:rsidRPr="00590415">
        <w:rPr>
          <w:rFonts w:asciiTheme="minorHAnsi" w:hAnsiTheme="minorHAnsi" w:cs="Arial"/>
        </w:rPr>
        <w:t xml:space="preserve"> et al.</w:t>
      </w:r>
      <w:r w:rsidR="00E10949" w:rsidRPr="00590415">
        <w:rPr>
          <w:rFonts w:asciiTheme="minorHAnsi" w:hAnsiTheme="minorHAnsi"/>
        </w:rPr>
        <w:t xml:space="preserve"> </w:t>
      </w:r>
      <w:r w:rsidRPr="00590415">
        <w:rPr>
          <w:rFonts w:asciiTheme="minorHAnsi" w:hAnsiTheme="minorHAnsi"/>
        </w:rPr>
        <w:t>Concomitant radiotherapy and chemotherapy is superior to radiotherapy alone in the treatment of locally advanced anal cancer: results of a phase III randomized trial of the European Organization for Research and Treatment of Cancer Radiotherapy and Gastrointestinal Cooperative Grou</w:t>
      </w:r>
      <w:r w:rsidR="00E10949" w:rsidRPr="00590415">
        <w:rPr>
          <w:rFonts w:asciiTheme="minorHAnsi" w:hAnsiTheme="minorHAnsi"/>
        </w:rPr>
        <w:t xml:space="preserve">ps. J Clin Oncol 1997; 15(5): </w:t>
      </w:r>
      <w:r w:rsidRPr="00590415">
        <w:rPr>
          <w:rFonts w:asciiTheme="minorHAnsi" w:hAnsiTheme="minorHAnsi"/>
        </w:rPr>
        <w:t>2040-9.</w:t>
      </w:r>
    </w:p>
    <w:p w14:paraId="3B6FA131" w14:textId="2F1DBC39"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7.</w:t>
      </w:r>
      <w:r w:rsidRPr="00590415">
        <w:rPr>
          <w:rFonts w:asciiTheme="minorHAnsi" w:hAnsiTheme="minorHAnsi"/>
        </w:rPr>
        <w:tab/>
      </w:r>
      <w:hyperlink r:id="rId19" w:history="1">
        <w:r w:rsidR="00E10949" w:rsidRPr="00590415">
          <w:rPr>
            <w:rFonts w:asciiTheme="minorHAnsi" w:hAnsiTheme="minorHAnsi" w:cs="Arial"/>
          </w:rPr>
          <w:t>Ajani JA</w:t>
        </w:r>
      </w:hyperlink>
      <w:r w:rsidR="00E10949" w:rsidRPr="00590415">
        <w:rPr>
          <w:rFonts w:asciiTheme="minorHAnsi" w:hAnsiTheme="minorHAnsi" w:cs="Arial"/>
        </w:rPr>
        <w:t xml:space="preserve">, </w:t>
      </w:r>
      <w:hyperlink r:id="rId20" w:history="1">
        <w:r w:rsidR="00E10949" w:rsidRPr="00590415">
          <w:rPr>
            <w:rFonts w:asciiTheme="minorHAnsi" w:hAnsiTheme="minorHAnsi" w:cs="Arial"/>
          </w:rPr>
          <w:t>Winter KA</w:t>
        </w:r>
      </w:hyperlink>
      <w:r w:rsidR="00E10949" w:rsidRPr="00590415">
        <w:rPr>
          <w:rFonts w:asciiTheme="minorHAnsi" w:hAnsiTheme="minorHAnsi" w:cs="Arial"/>
        </w:rPr>
        <w:t xml:space="preserve">, </w:t>
      </w:r>
      <w:hyperlink r:id="rId21" w:history="1">
        <w:r w:rsidR="00E10949" w:rsidRPr="00590415">
          <w:rPr>
            <w:rFonts w:asciiTheme="minorHAnsi" w:hAnsiTheme="minorHAnsi" w:cs="Arial"/>
          </w:rPr>
          <w:t>Gunderson LL</w:t>
        </w:r>
      </w:hyperlink>
      <w:r w:rsidR="00E10949" w:rsidRPr="00590415">
        <w:rPr>
          <w:rFonts w:asciiTheme="minorHAnsi" w:hAnsiTheme="minorHAnsi" w:cs="Arial"/>
        </w:rPr>
        <w:t>.</w:t>
      </w:r>
      <w:r w:rsidR="00E10949" w:rsidRPr="00590415">
        <w:rPr>
          <w:rFonts w:asciiTheme="minorHAnsi" w:hAnsiTheme="minorHAnsi"/>
        </w:rPr>
        <w:t xml:space="preserve"> </w:t>
      </w:r>
      <w:r w:rsidRPr="00590415">
        <w:rPr>
          <w:rFonts w:asciiTheme="minorHAnsi" w:hAnsiTheme="minorHAnsi"/>
        </w:rPr>
        <w:t>Fluorouracil, mitomycin, and radiotherapy vs fluorouracil, cisplatin, and radiotherapy for carcinoma of the anal canal: a ra</w:t>
      </w:r>
      <w:r w:rsidR="00E10949" w:rsidRPr="00590415">
        <w:rPr>
          <w:rFonts w:asciiTheme="minorHAnsi" w:hAnsiTheme="minorHAnsi"/>
        </w:rPr>
        <w:t xml:space="preserve">ndomized controlled trial. JAMA 2008; 299(16): </w:t>
      </w:r>
      <w:r w:rsidRPr="00590415">
        <w:rPr>
          <w:rFonts w:asciiTheme="minorHAnsi" w:hAnsiTheme="minorHAnsi"/>
        </w:rPr>
        <w:t>1914-21.</w:t>
      </w:r>
    </w:p>
    <w:p w14:paraId="4487A799" w14:textId="6B8D4284"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8.</w:t>
      </w:r>
      <w:r w:rsidRPr="00590415">
        <w:rPr>
          <w:rFonts w:asciiTheme="minorHAnsi" w:hAnsiTheme="minorHAnsi"/>
        </w:rPr>
        <w:tab/>
      </w:r>
      <w:hyperlink r:id="rId22" w:history="1">
        <w:r w:rsidR="00E10949" w:rsidRPr="00590415">
          <w:rPr>
            <w:rFonts w:asciiTheme="minorHAnsi" w:hAnsiTheme="minorHAnsi" w:cs="Arial"/>
          </w:rPr>
          <w:t>Glynne-Jones R</w:t>
        </w:r>
      </w:hyperlink>
      <w:r w:rsidR="00E10949" w:rsidRPr="00590415">
        <w:rPr>
          <w:rFonts w:asciiTheme="minorHAnsi" w:hAnsiTheme="minorHAnsi" w:cs="Arial"/>
        </w:rPr>
        <w:t xml:space="preserve">, </w:t>
      </w:r>
      <w:hyperlink r:id="rId23" w:history="1">
        <w:r w:rsidR="00E10949" w:rsidRPr="00590415">
          <w:rPr>
            <w:rFonts w:asciiTheme="minorHAnsi" w:hAnsiTheme="minorHAnsi" w:cs="Arial"/>
          </w:rPr>
          <w:t>Sebag-Montefiore D</w:t>
        </w:r>
      </w:hyperlink>
      <w:r w:rsidR="00E10949" w:rsidRPr="00590415">
        <w:rPr>
          <w:rFonts w:asciiTheme="minorHAnsi" w:hAnsiTheme="minorHAnsi" w:cs="Arial"/>
        </w:rPr>
        <w:t xml:space="preserve">, </w:t>
      </w:r>
      <w:hyperlink r:id="rId24" w:history="1">
        <w:r w:rsidR="00E10949" w:rsidRPr="00590415">
          <w:rPr>
            <w:rFonts w:asciiTheme="minorHAnsi" w:hAnsiTheme="minorHAnsi" w:cs="Arial"/>
          </w:rPr>
          <w:t>Meadows HM</w:t>
        </w:r>
      </w:hyperlink>
      <w:r w:rsidR="00E10949" w:rsidRPr="00590415">
        <w:rPr>
          <w:rFonts w:asciiTheme="minorHAnsi" w:hAnsiTheme="minorHAnsi" w:cs="Arial"/>
        </w:rPr>
        <w:t xml:space="preserve">. </w:t>
      </w:r>
      <w:r w:rsidRPr="00590415">
        <w:rPr>
          <w:rFonts w:asciiTheme="minorHAnsi" w:hAnsiTheme="minorHAnsi"/>
        </w:rPr>
        <w:t>Best time to assess complete clinical response after chemoradiotherapy in squamous cell carcinoma of the anus (ACT II): a post-hoc analysis of randomise</w:t>
      </w:r>
      <w:r w:rsidR="00E10949" w:rsidRPr="00590415">
        <w:rPr>
          <w:rFonts w:asciiTheme="minorHAnsi" w:hAnsiTheme="minorHAnsi"/>
        </w:rPr>
        <w:t>d controlled phase 3 trial. Lancet Oncol</w:t>
      </w:r>
      <w:r w:rsidRPr="00590415">
        <w:rPr>
          <w:rFonts w:asciiTheme="minorHAnsi" w:hAnsiTheme="minorHAnsi"/>
        </w:rPr>
        <w:t xml:space="preserve"> </w:t>
      </w:r>
      <w:r w:rsidR="00E10949" w:rsidRPr="00590415">
        <w:rPr>
          <w:rFonts w:asciiTheme="minorHAnsi" w:hAnsiTheme="minorHAnsi"/>
        </w:rPr>
        <w:t xml:space="preserve">2017; </w:t>
      </w:r>
      <w:r w:rsidRPr="00590415">
        <w:rPr>
          <w:rFonts w:asciiTheme="minorHAnsi" w:hAnsiTheme="minorHAnsi"/>
        </w:rPr>
        <w:t>18(3): p. 347-356.</w:t>
      </w:r>
    </w:p>
    <w:p w14:paraId="23356769" w14:textId="5A45105E"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9.</w:t>
      </w:r>
      <w:r w:rsidRPr="00590415">
        <w:rPr>
          <w:rFonts w:asciiTheme="minorHAnsi" w:hAnsiTheme="minorHAnsi"/>
        </w:rPr>
        <w:tab/>
      </w:r>
      <w:hyperlink r:id="rId25" w:history="1">
        <w:r w:rsidR="00E10949" w:rsidRPr="00590415">
          <w:rPr>
            <w:rFonts w:asciiTheme="minorHAnsi" w:hAnsiTheme="minorHAnsi" w:cs="Arial"/>
          </w:rPr>
          <w:t>Ajani JA</w:t>
        </w:r>
      </w:hyperlink>
      <w:r w:rsidR="00E10949" w:rsidRPr="00590415">
        <w:rPr>
          <w:rFonts w:asciiTheme="minorHAnsi" w:hAnsiTheme="minorHAnsi" w:cs="Arial"/>
        </w:rPr>
        <w:t xml:space="preserve">, </w:t>
      </w:r>
      <w:hyperlink r:id="rId26" w:history="1">
        <w:r w:rsidR="00E10949" w:rsidRPr="00590415">
          <w:rPr>
            <w:rFonts w:asciiTheme="minorHAnsi" w:hAnsiTheme="minorHAnsi" w:cs="Arial"/>
          </w:rPr>
          <w:t>Wang X</w:t>
        </w:r>
      </w:hyperlink>
      <w:r w:rsidR="00E10949" w:rsidRPr="00590415">
        <w:rPr>
          <w:rFonts w:asciiTheme="minorHAnsi" w:hAnsiTheme="minorHAnsi" w:cs="Arial"/>
        </w:rPr>
        <w:t xml:space="preserve">, </w:t>
      </w:r>
      <w:hyperlink r:id="rId27" w:history="1">
        <w:r w:rsidR="00E10949" w:rsidRPr="00590415">
          <w:rPr>
            <w:rFonts w:asciiTheme="minorHAnsi" w:hAnsiTheme="minorHAnsi" w:cs="Arial"/>
          </w:rPr>
          <w:t>Izzo JG</w:t>
        </w:r>
      </w:hyperlink>
      <w:r w:rsidR="00E10949" w:rsidRPr="00590415">
        <w:rPr>
          <w:rFonts w:asciiTheme="minorHAnsi" w:hAnsiTheme="minorHAnsi" w:cs="Arial"/>
        </w:rPr>
        <w:t>.</w:t>
      </w:r>
      <w:r w:rsidR="00E10949" w:rsidRPr="00590415">
        <w:rPr>
          <w:rFonts w:asciiTheme="minorHAnsi" w:hAnsiTheme="minorHAnsi"/>
        </w:rPr>
        <w:t xml:space="preserve"> </w:t>
      </w:r>
      <w:r w:rsidRPr="00590415">
        <w:rPr>
          <w:rFonts w:asciiTheme="minorHAnsi" w:hAnsiTheme="minorHAnsi"/>
        </w:rPr>
        <w:t>Molecular Biomarkers Correlate with Disease-Free Survival in Patients with Anal Canal Carcinoma Treated with Chemoradiation. D</w:t>
      </w:r>
      <w:r w:rsidR="00E10949" w:rsidRPr="00590415">
        <w:rPr>
          <w:rFonts w:asciiTheme="minorHAnsi" w:hAnsiTheme="minorHAnsi"/>
        </w:rPr>
        <w:t xml:space="preserve">ig Dis Sci 2010; 55(4): </w:t>
      </w:r>
      <w:r w:rsidRPr="00590415">
        <w:rPr>
          <w:rFonts w:asciiTheme="minorHAnsi" w:hAnsiTheme="minorHAnsi"/>
        </w:rPr>
        <w:t>1098-1105.</w:t>
      </w:r>
    </w:p>
    <w:p w14:paraId="52CCDDEB" w14:textId="70B15357" w:rsidR="001B520F" w:rsidRPr="00590415" w:rsidRDefault="006A1C44" w:rsidP="00590415">
      <w:pPr>
        <w:pStyle w:val="HTMLPreformatted"/>
        <w:spacing w:line="360" w:lineRule="auto"/>
        <w:ind w:left="720" w:hanging="720"/>
        <w:rPr>
          <w:rFonts w:asciiTheme="minorHAnsi" w:hAnsiTheme="minorHAnsi"/>
          <w:sz w:val="22"/>
          <w:szCs w:val="22"/>
          <w:lang w:val="en"/>
        </w:rPr>
      </w:pPr>
      <w:r w:rsidRPr="00590415">
        <w:rPr>
          <w:rFonts w:asciiTheme="minorHAnsi" w:hAnsiTheme="minorHAnsi"/>
          <w:sz w:val="22"/>
          <w:szCs w:val="22"/>
        </w:rPr>
        <w:t>10.</w:t>
      </w:r>
      <w:r w:rsidRPr="00590415">
        <w:rPr>
          <w:rFonts w:asciiTheme="minorHAnsi" w:hAnsiTheme="minorHAnsi"/>
          <w:sz w:val="22"/>
          <w:szCs w:val="22"/>
        </w:rPr>
        <w:tab/>
        <w:t>Das P</w:t>
      </w:r>
      <w:r w:rsidR="001B520F" w:rsidRPr="00590415">
        <w:rPr>
          <w:rFonts w:asciiTheme="minorHAnsi" w:hAnsiTheme="minorHAnsi"/>
          <w:sz w:val="22"/>
          <w:szCs w:val="22"/>
        </w:rPr>
        <w:t>,</w:t>
      </w:r>
      <w:r w:rsidRPr="00590415">
        <w:rPr>
          <w:rFonts w:asciiTheme="minorHAnsi" w:hAnsiTheme="minorHAnsi"/>
          <w:sz w:val="22"/>
          <w:szCs w:val="22"/>
        </w:rPr>
        <w:t xml:space="preserve"> Cantor SB, Parker CL</w:t>
      </w:r>
      <w:r w:rsidRPr="00590415">
        <w:rPr>
          <w:rFonts w:asciiTheme="minorHAnsi" w:hAnsiTheme="minorHAnsi"/>
          <w:sz w:val="22"/>
          <w:szCs w:val="22"/>
          <w:lang w:val="en"/>
        </w:rPr>
        <w:t xml:space="preserve"> </w:t>
      </w:r>
      <w:r w:rsidR="00ED4162" w:rsidRPr="00590415">
        <w:rPr>
          <w:rFonts w:asciiTheme="minorHAnsi" w:hAnsiTheme="minorHAnsi"/>
          <w:sz w:val="22"/>
          <w:szCs w:val="22"/>
        </w:rPr>
        <w:t>et al.</w:t>
      </w:r>
      <w:r w:rsidR="001B520F" w:rsidRPr="00590415">
        <w:rPr>
          <w:rFonts w:asciiTheme="minorHAnsi" w:hAnsiTheme="minorHAnsi"/>
          <w:sz w:val="22"/>
          <w:szCs w:val="22"/>
        </w:rPr>
        <w:t xml:space="preserve"> Long-term quality of life after radiotherapy for the treatment of anal c</w:t>
      </w:r>
      <w:r w:rsidRPr="00590415">
        <w:rPr>
          <w:rFonts w:asciiTheme="minorHAnsi" w:hAnsiTheme="minorHAnsi"/>
          <w:sz w:val="22"/>
          <w:szCs w:val="22"/>
        </w:rPr>
        <w:t xml:space="preserve">ancer. Cancer, 2010. 116(4): </w:t>
      </w:r>
      <w:r w:rsidR="001B520F" w:rsidRPr="00590415">
        <w:rPr>
          <w:rFonts w:asciiTheme="minorHAnsi" w:hAnsiTheme="minorHAnsi"/>
          <w:sz w:val="22"/>
          <w:szCs w:val="22"/>
        </w:rPr>
        <w:t>822-9.</w:t>
      </w:r>
    </w:p>
    <w:p w14:paraId="186A51BF" w14:textId="509305E6"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lastRenderedPageBreak/>
        <w:t>11.</w:t>
      </w:r>
      <w:r w:rsidRPr="00590415">
        <w:rPr>
          <w:rFonts w:asciiTheme="minorHAnsi" w:hAnsiTheme="minorHAnsi"/>
        </w:rPr>
        <w:tab/>
      </w:r>
      <w:hyperlink r:id="rId28" w:history="1">
        <w:r w:rsidR="006A1C44" w:rsidRPr="00590415">
          <w:rPr>
            <w:rFonts w:asciiTheme="minorHAnsi" w:hAnsiTheme="minorHAnsi" w:cs="Arial"/>
          </w:rPr>
          <w:t>Fakhrian K</w:t>
        </w:r>
      </w:hyperlink>
      <w:r w:rsidR="006A1C44" w:rsidRPr="00590415">
        <w:rPr>
          <w:rFonts w:asciiTheme="minorHAnsi" w:hAnsiTheme="minorHAnsi" w:cs="Arial"/>
        </w:rPr>
        <w:t xml:space="preserve">, </w:t>
      </w:r>
      <w:hyperlink r:id="rId29" w:history="1">
        <w:r w:rsidR="006A1C44" w:rsidRPr="00590415">
          <w:rPr>
            <w:rFonts w:asciiTheme="minorHAnsi" w:hAnsiTheme="minorHAnsi" w:cs="Arial"/>
          </w:rPr>
          <w:t>Sauer T</w:t>
        </w:r>
      </w:hyperlink>
      <w:r w:rsidR="006A1C44" w:rsidRPr="00590415">
        <w:rPr>
          <w:rFonts w:asciiTheme="minorHAnsi" w:hAnsiTheme="minorHAnsi" w:cs="Arial"/>
        </w:rPr>
        <w:t xml:space="preserve">, </w:t>
      </w:r>
      <w:hyperlink r:id="rId30" w:history="1">
        <w:r w:rsidR="006A1C44" w:rsidRPr="00590415">
          <w:rPr>
            <w:rFonts w:asciiTheme="minorHAnsi" w:hAnsiTheme="minorHAnsi" w:cs="Arial"/>
          </w:rPr>
          <w:t>Dinkel A</w:t>
        </w:r>
      </w:hyperlink>
      <w:r w:rsidR="006A1C44" w:rsidRPr="00590415">
        <w:rPr>
          <w:rFonts w:asciiTheme="minorHAnsi" w:hAnsiTheme="minorHAnsi" w:cs="Arial"/>
        </w:rPr>
        <w:t xml:space="preserve"> et al. </w:t>
      </w:r>
      <w:r w:rsidRPr="00590415">
        <w:rPr>
          <w:rFonts w:asciiTheme="minorHAnsi" w:hAnsiTheme="minorHAnsi"/>
        </w:rPr>
        <w:t>Chronic adverse events and quality of life after radiochemotherapy in anal cancer patients. A single institution experience and review of the literature.</w:t>
      </w:r>
      <w:r w:rsidR="006A1C44" w:rsidRPr="00590415">
        <w:rPr>
          <w:rFonts w:asciiTheme="minorHAnsi" w:hAnsiTheme="minorHAnsi"/>
        </w:rPr>
        <w:t xml:space="preserve"> </w:t>
      </w:r>
      <w:hyperlink r:id="rId31" w:tooltip="Strahlentherapie und Onkologie : Organ der Deutschen Rontgengesellschaft ... [et al]." w:history="1">
        <w:r w:rsidR="006A1C44" w:rsidRPr="00590415">
          <w:rPr>
            <w:rFonts w:asciiTheme="minorHAnsi" w:hAnsiTheme="minorHAnsi" w:cs="Arial"/>
          </w:rPr>
          <w:t>Strahlenther Onkol</w:t>
        </w:r>
      </w:hyperlink>
      <w:r w:rsidRPr="00590415">
        <w:rPr>
          <w:rFonts w:asciiTheme="minorHAnsi" w:hAnsiTheme="minorHAnsi"/>
        </w:rPr>
        <w:t xml:space="preserve"> 2013</w:t>
      </w:r>
      <w:r w:rsidR="006A1C44" w:rsidRPr="00590415">
        <w:rPr>
          <w:rFonts w:asciiTheme="minorHAnsi" w:hAnsiTheme="minorHAnsi"/>
        </w:rPr>
        <w:t xml:space="preserve">; 189(6): </w:t>
      </w:r>
      <w:r w:rsidRPr="00590415">
        <w:rPr>
          <w:rFonts w:asciiTheme="minorHAnsi" w:hAnsiTheme="minorHAnsi"/>
        </w:rPr>
        <w:t>486-94.</w:t>
      </w:r>
    </w:p>
    <w:p w14:paraId="41CEC9E7" w14:textId="77777777"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12.</w:t>
      </w:r>
      <w:r w:rsidRPr="00590415">
        <w:rPr>
          <w:rFonts w:asciiTheme="minorHAnsi" w:hAnsiTheme="minorHAnsi"/>
        </w:rPr>
        <w:tab/>
        <w:t>https://www.ukctg.nihr.ac.uk/trials/trial-details/trial-details?trialId=36181.  22 May 2017].</w:t>
      </w:r>
    </w:p>
    <w:p w14:paraId="352481A1" w14:textId="466B9CB4" w:rsidR="001B520F" w:rsidRPr="00590415" w:rsidRDefault="006A1C44" w:rsidP="00590415">
      <w:pPr>
        <w:pStyle w:val="EndNoteBibliography"/>
        <w:spacing w:after="0" w:line="360" w:lineRule="auto"/>
        <w:ind w:left="720" w:hanging="720"/>
        <w:rPr>
          <w:rFonts w:asciiTheme="minorHAnsi" w:hAnsiTheme="minorHAnsi"/>
        </w:rPr>
      </w:pPr>
      <w:r w:rsidRPr="00590415">
        <w:rPr>
          <w:rFonts w:asciiTheme="minorHAnsi" w:hAnsiTheme="minorHAnsi"/>
        </w:rPr>
        <w:t>13.</w:t>
      </w:r>
      <w:r w:rsidRPr="00590415">
        <w:rPr>
          <w:rFonts w:asciiTheme="minorHAnsi" w:hAnsiTheme="minorHAnsi"/>
        </w:rPr>
        <w:tab/>
        <w:t>Sodergren</w:t>
      </w:r>
      <w:r w:rsidR="001B520F" w:rsidRPr="00590415">
        <w:rPr>
          <w:rFonts w:asciiTheme="minorHAnsi" w:hAnsiTheme="minorHAnsi"/>
        </w:rPr>
        <w:t xml:space="preserve"> S</w:t>
      </w:r>
      <w:r w:rsidRPr="00590415">
        <w:rPr>
          <w:rFonts w:asciiTheme="minorHAnsi" w:hAnsiTheme="minorHAnsi"/>
        </w:rPr>
        <w:t>C, Vassiliou V, Dennis K</w:t>
      </w:r>
      <w:r w:rsidR="001B520F" w:rsidRPr="00590415">
        <w:rPr>
          <w:rFonts w:asciiTheme="minorHAnsi" w:hAnsiTheme="minorHAnsi"/>
        </w:rPr>
        <w:t xml:space="preserve"> et al. </w:t>
      </w:r>
      <w:r w:rsidRPr="00590415">
        <w:rPr>
          <w:rFonts w:asciiTheme="minorHAnsi" w:hAnsiTheme="minorHAnsi"/>
        </w:rPr>
        <w:t xml:space="preserve"> </w:t>
      </w:r>
      <w:r w:rsidR="001B520F" w:rsidRPr="00590415">
        <w:rPr>
          <w:rFonts w:asciiTheme="minorHAnsi" w:hAnsiTheme="minorHAnsi"/>
        </w:rPr>
        <w:t>Systematic review of the quality of life issues associated with anal cancer and its treatment with radiochemoth</w:t>
      </w:r>
      <w:r w:rsidRPr="00590415">
        <w:rPr>
          <w:rFonts w:asciiTheme="minorHAnsi" w:hAnsiTheme="minorHAnsi"/>
        </w:rPr>
        <w:t xml:space="preserve">erapy. Support Care Cancer 2015; 23(12): </w:t>
      </w:r>
      <w:r w:rsidR="001B520F" w:rsidRPr="00590415">
        <w:rPr>
          <w:rFonts w:asciiTheme="minorHAnsi" w:hAnsiTheme="minorHAnsi"/>
        </w:rPr>
        <w:t>3613-3623.</w:t>
      </w:r>
    </w:p>
    <w:p w14:paraId="548DC7BE" w14:textId="65DA9259" w:rsidR="001B520F" w:rsidRPr="00590415" w:rsidRDefault="006A1C44" w:rsidP="00590415">
      <w:pPr>
        <w:pStyle w:val="EndNoteBibliography"/>
        <w:spacing w:after="0" w:line="360" w:lineRule="auto"/>
        <w:ind w:left="720" w:hanging="720"/>
        <w:rPr>
          <w:rFonts w:asciiTheme="minorHAnsi" w:hAnsiTheme="minorHAnsi"/>
        </w:rPr>
      </w:pPr>
      <w:r w:rsidRPr="00590415">
        <w:rPr>
          <w:rFonts w:asciiTheme="minorHAnsi" w:hAnsiTheme="minorHAnsi"/>
        </w:rPr>
        <w:t>14.</w:t>
      </w:r>
      <w:r w:rsidRPr="00590415">
        <w:rPr>
          <w:rFonts w:asciiTheme="minorHAnsi" w:hAnsiTheme="minorHAnsi"/>
        </w:rPr>
        <w:tab/>
        <w:t xml:space="preserve">Jephcott CR, </w:t>
      </w:r>
      <w:r w:rsidR="001B520F" w:rsidRPr="00590415">
        <w:rPr>
          <w:rFonts w:asciiTheme="minorHAnsi" w:hAnsiTheme="minorHAnsi"/>
        </w:rPr>
        <w:t>Paltiel</w:t>
      </w:r>
      <w:r w:rsidRPr="00590415">
        <w:rPr>
          <w:rFonts w:asciiTheme="minorHAnsi" w:hAnsiTheme="minorHAnsi"/>
        </w:rPr>
        <w:t xml:space="preserve"> C, </w:t>
      </w:r>
      <w:r w:rsidR="001B520F" w:rsidRPr="00590415">
        <w:rPr>
          <w:rFonts w:asciiTheme="minorHAnsi" w:hAnsiTheme="minorHAnsi"/>
        </w:rPr>
        <w:t>Hay</w:t>
      </w:r>
      <w:r w:rsidRPr="00590415">
        <w:rPr>
          <w:rFonts w:asciiTheme="minorHAnsi" w:hAnsiTheme="minorHAnsi"/>
        </w:rPr>
        <w:t xml:space="preserve"> J.</w:t>
      </w:r>
      <w:r w:rsidR="001B520F" w:rsidRPr="00590415">
        <w:rPr>
          <w:rFonts w:asciiTheme="minorHAnsi" w:hAnsiTheme="minorHAnsi"/>
        </w:rPr>
        <w:t xml:space="preserve"> Quality of life after non-surgical treatment of anal carcinoma: a case control study </w:t>
      </w:r>
      <w:r w:rsidRPr="00590415">
        <w:rPr>
          <w:rFonts w:asciiTheme="minorHAnsi" w:hAnsiTheme="minorHAnsi"/>
        </w:rPr>
        <w:t>of long-term survivors. Clin Oncol</w:t>
      </w:r>
      <w:r w:rsidR="001B520F" w:rsidRPr="00590415">
        <w:rPr>
          <w:rFonts w:asciiTheme="minorHAnsi" w:hAnsiTheme="minorHAnsi"/>
        </w:rPr>
        <w:t xml:space="preserve"> (R Coll of </w:t>
      </w:r>
      <w:r w:rsidRPr="00590415">
        <w:rPr>
          <w:rFonts w:asciiTheme="minorHAnsi" w:hAnsiTheme="minorHAnsi"/>
        </w:rPr>
        <w:t>Radio</w:t>
      </w:r>
      <w:r w:rsidR="00261F5C" w:rsidRPr="00590415">
        <w:rPr>
          <w:rFonts w:asciiTheme="minorHAnsi" w:hAnsiTheme="minorHAnsi"/>
        </w:rPr>
        <w:t>l</w:t>
      </w:r>
      <w:r w:rsidRPr="00590415">
        <w:rPr>
          <w:rFonts w:asciiTheme="minorHAnsi" w:hAnsiTheme="minorHAnsi"/>
        </w:rPr>
        <w:t xml:space="preserve">) 2004; 16(8): </w:t>
      </w:r>
      <w:r w:rsidR="001B520F" w:rsidRPr="00590415">
        <w:rPr>
          <w:rFonts w:asciiTheme="minorHAnsi" w:hAnsiTheme="minorHAnsi"/>
        </w:rPr>
        <w:t>530-5.</w:t>
      </w:r>
    </w:p>
    <w:p w14:paraId="5E349E16" w14:textId="08D92B35"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15.</w:t>
      </w:r>
      <w:r w:rsidRPr="00590415">
        <w:rPr>
          <w:rFonts w:asciiTheme="minorHAnsi" w:hAnsiTheme="minorHAnsi"/>
        </w:rPr>
        <w:tab/>
      </w:r>
      <w:proofErr w:type="spellStart"/>
      <w:r w:rsidR="006A1C44" w:rsidRPr="00590415">
        <w:rPr>
          <w:rFonts w:asciiTheme="minorHAnsi" w:hAnsiTheme="minorHAnsi" w:cs="Arial"/>
          <w:bCs/>
          <w:noProof w:val="0"/>
        </w:rPr>
        <w:t>Oehler</w:t>
      </w:r>
      <w:r w:rsidR="006A1C44" w:rsidRPr="00590415">
        <w:rPr>
          <w:rFonts w:asciiTheme="minorHAnsi" w:hAnsiTheme="minorHAnsi" w:cs="Arial"/>
          <w:noProof w:val="0"/>
        </w:rPr>
        <w:t>-</w:t>
      </w:r>
      <w:r w:rsidR="006A1C44" w:rsidRPr="00590415">
        <w:rPr>
          <w:rFonts w:asciiTheme="minorHAnsi" w:hAnsiTheme="minorHAnsi" w:cs="Arial"/>
          <w:bCs/>
          <w:noProof w:val="0"/>
        </w:rPr>
        <w:t>Janne</w:t>
      </w:r>
      <w:proofErr w:type="spellEnd"/>
      <w:r w:rsidR="006A1C44" w:rsidRPr="00590415">
        <w:rPr>
          <w:rFonts w:asciiTheme="minorHAnsi" w:hAnsiTheme="minorHAnsi" w:cs="Arial"/>
          <w:noProof w:val="0"/>
        </w:rPr>
        <w:t xml:space="preserve"> C, Seifert B, </w:t>
      </w:r>
      <w:proofErr w:type="spellStart"/>
      <w:r w:rsidR="006A1C44" w:rsidRPr="00590415">
        <w:rPr>
          <w:rFonts w:asciiTheme="minorHAnsi" w:hAnsiTheme="minorHAnsi" w:cs="Arial"/>
          <w:noProof w:val="0"/>
        </w:rPr>
        <w:t>Lutolf</w:t>
      </w:r>
      <w:proofErr w:type="spellEnd"/>
      <w:r w:rsidR="006A1C44" w:rsidRPr="00590415">
        <w:rPr>
          <w:rFonts w:asciiTheme="minorHAnsi" w:hAnsiTheme="minorHAnsi" w:cs="Arial"/>
          <w:noProof w:val="0"/>
        </w:rPr>
        <w:t xml:space="preserve"> UM et al</w:t>
      </w:r>
      <w:r w:rsidR="00ED4162" w:rsidRPr="00590415">
        <w:rPr>
          <w:rFonts w:asciiTheme="minorHAnsi" w:hAnsiTheme="minorHAnsi"/>
        </w:rPr>
        <w:t>.</w:t>
      </w:r>
      <w:r w:rsidRPr="00590415">
        <w:rPr>
          <w:rFonts w:asciiTheme="minorHAnsi" w:hAnsiTheme="minorHAnsi"/>
        </w:rPr>
        <w:t xml:space="preserve"> Clinical outcome after treatment with a brachytherapy boost versus external beam boost for anal carcinom</w:t>
      </w:r>
      <w:r w:rsidR="00ED4162" w:rsidRPr="00590415">
        <w:rPr>
          <w:rFonts w:asciiTheme="minorHAnsi" w:hAnsiTheme="minorHAnsi"/>
        </w:rPr>
        <w:t>a. Brachytherapy 2007; 6(3):</w:t>
      </w:r>
      <w:r w:rsidRPr="00590415">
        <w:rPr>
          <w:rFonts w:asciiTheme="minorHAnsi" w:hAnsiTheme="minorHAnsi"/>
        </w:rPr>
        <w:t xml:space="preserve"> 218-26.</w:t>
      </w:r>
    </w:p>
    <w:p w14:paraId="23A19892" w14:textId="1287B538" w:rsidR="001B520F" w:rsidRPr="00590415" w:rsidRDefault="00ED4162" w:rsidP="00590415">
      <w:pPr>
        <w:pStyle w:val="EndNoteBibliography"/>
        <w:spacing w:after="0" w:line="360" w:lineRule="auto"/>
        <w:ind w:left="720" w:hanging="720"/>
        <w:rPr>
          <w:rFonts w:asciiTheme="minorHAnsi" w:hAnsiTheme="minorHAnsi"/>
        </w:rPr>
      </w:pPr>
      <w:r w:rsidRPr="00590415">
        <w:rPr>
          <w:rFonts w:asciiTheme="minorHAnsi" w:hAnsiTheme="minorHAnsi"/>
        </w:rPr>
        <w:t>16.</w:t>
      </w:r>
      <w:r w:rsidRPr="00590415">
        <w:rPr>
          <w:rFonts w:asciiTheme="minorHAnsi" w:hAnsiTheme="minorHAnsi"/>
        </w:rPr>
        <w:tab/>
        <w:t xml:space="preserve">Provencher S, </w:t>
      </w:r>
      <w:hyperlink r:id="rId32" w:history="1">
        <w:r w:rsidRPr="00590415">
          <w:rPr>
            <w:rStyle w:val="Hyperlink"/>
            <w:rFonts w:asciiTheme="minorHAnsi" w:hAnsiTheme="minorHAnsi"/>
            <w:color w:val="auto"/>
            <w:u w:val="none"/>
            <w:lang w:val="en"/>
          </w:rPr>
          <w:t>Oehler</w:t>
        </w:r>
      </w:hyperlink>
      <w:r w:rsidRPr="00590415">
        <w:rPr>
          <w:rFonts w:asciiTheme="minorHAnsi" w:hAnsiTheme="minorHAnsi"/>
          <w:lang w:val="en"/>
        </w:rPr>
        <w:t xml:space="preserve"> C, Lavertu S, </w:t>
      </w:r>
      <w:r w:rsidRPr="00590415">
        <w:rPr>
          <w:rFonts w:asciiTheme="minorHAnsi" w:hAnsiTheme="minorHAnsi" w:cs="Arial"/>
        </w:rPr>
        <w:t>Jolicoeur M, Fortin B, Donath D.</w:t>
      </w:r>
      <w:r w:rsidRPr="00590415">
        <w:rPr>
          <w:rFonts w:asciiTheme="minorHAnsi" w:hAnsiTheme="minorHAnsi"/>
          <w:lang w:val="en"/>
        </w:rPr>
        <w:t xml:space="preserve"> </w:t>
      </w:r>
      <w:r w:rsidR="001B520F" w:rsidRPr="00590415">
        <w:rPr>
          <w:rFonts w:asciiTheme="minorHAnsi" w:hAnsiTheme="minorHAnsi"/>
        </w:rPr>
        <w:t>Quality of life and tumor control after short split-course chemoradiation for anal can</w:t>
      </w:r>
      <w:r w:rsidR="006A1C44" w:rsidRPr="00590415">
        <w:rPr>
          <w:rFonts w:asciiTheme="minorHAnsi" w:hAnsiTheme="minorHAnsi"/>
        </w:rPr>
        <w:t>al carcinoma. Radiat Oncol</w:t>
      </w:r>
      <w:r w:rsidRPr="00590415">
        <w:rPr>
          <w:rFonts w:asciiTheme="minorHAnsi" w:hAnsiTheme="minorHAnsi"/>
        </w:rPr>
        <w:t xml:space="preserve"> 2010; 5: </w:t>
      </w:r>
      <w:r w:rsidR="001B520F" w:rsidRPr="00590415">
        <w:rPr>
          <w:rFonts w:asciiTheme="minorHAnsi" w:hAnsiTheme="minorHAnsi"/>
        </w:rPr>
        <w:t>41.</w:t>
      </w:r>
    </w:p>
    <w:p w14:paraId="0966E612" w14:textId="3EBA997C"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17.</w:t>
      </w:r>
      <w:r w:rsidRPr="00590415">
        <w:rPr>
          <w:rFonts w:asciiTheme="minorHAnsi" w:hAnsiTheme="minorHAnsi"/>
        </w:rPr>
        <w:tab/>
        <w:t>Tournier-Rangeard</w:t>
      </w:r>
      <w:r w:rsidR="00A654AD" w:rsidRPr="00590415">
        <w:rPr>
          <w:rFonts w:asciiTheme="minorHAnsi" w:hAnsiTheme="minorHAnsi"/>
        </w:rPr>
        <w:t xml:space="preserve"> L</w:t>
      </w:r>
      <w:r w:rsidRPr="00590415">
        <w:rPr>
          <w:rFonts w:asciiTheme="minorHAnsi" w:hAnsiTheme="minorHAnsi"/>
        </w:rPr>
        <w:t>,</w:t>
      </w:r>
      <w:r w:rsidR="00A654AD" w:rsidRPr="00590415">
        <w:rPr>
          <w:rFonts w:asciiTheme="minorHAnsi" w:hAnsiTheme="minorHAnsi"/>
        </w:rPr>
        <w:t xml:space="preserve"> </w:t>
      </w:r>
      <w:hyperlink r:id="rId33" w:history="1">
        <w:r w:rsidR="00A654AD" w:rsidRPr="00590415">
          <w:rPr>
            <w:rFonts w:asciiTheme="minorHAnsi" w:hAnsiTheme="minorHAnsi" w:cs="Arial"/>
          </w:rPr>
          <w:t>Mercier M</w:t>
        </w:r>
      </w:hyperlink>
      <w:r w:rsidR="00A654AD" w:rsidRPr="00590415">
        <w:rPr>
          <w:rFonts w:asciiTheme="minorHAnsi" w:hAnsiTheme="minorHAnsi" w:cs="Arial"/>
        </w:rPr>
        <w:t xml:space="preserve">, </w:t>
      </w:r>
      <w:hyperlink r:id="rId34" w:history="1">
        <w:r w:rsidR="00A654AD" w:rsidRPr="00590415">
          <w:rPr>
            <w:rFonts w:asciiTheme="minorHAnsi" w:hAnsiTheme="minorHAnsi" w:cs="Arial"/>
          </w:rPr>
          <w:t>Peiffert D</w:t>
        </w:r>
      </w:hyperlink>
      <w:r w:rsidR="00A654AD" w:rsidRPr="00590415">
        <w:rPr>
          <w:rFonts w:asciiTheme="minorHAnsi" w:hAnsiTheme="minorHAnsi" w:cs="Arial"/>
        </w:rPr>
        <w:t>.</w:t>
      </w:r>
      <w:r w:rsidRPr="00590415">
        <w:rPr>
          <w:rFonts w:asciiTheme="minorHAnsi" w:hAnsiTheme="minorHAnsi"/>
        </w:rPr>
        <w:t xml:space="preserve"> Radiochemotherapy of locally advanced anal canal carcinoma: prospective assessment of early impact on the quality of life (randomize</w:t>
      </w:r>
      <w:r w:rsidR="00A654AD" w:rsidRPr="00590415">
        <w:rPr>
          <w:rFonts w:asciiTheme="minorHAnsi" w:hAnsiTheme="minorHAnsi"/>
        </w:rPr>
        <w:t>d trial ACCORD 03). Radiother</w:t>
      </w:r>
      <w:r w:rsidRPr="00590415">
        <w:rPr>
          <w:rFonts w:asciiTheme="minorHAnsi" w:hAnsiTheme="minorHAnsi"/>
        </w:rPr>
        <w:t xml:space="preserve"> Oncol</w:t>
      </w:r>
      <w:r w:rsidR="00A654AD" w:rsidRPr="00590415">
        <w:rPr>
          <w:rFonts w:asciiTheme="minorHAnsi" w:hAnsiTheme="minorHAnsi"/>
        </w:rPr>
        <w:t xml:space="preserve"> 2008; 87(3): </w:t>
      </w:r>
      <w:r w:rsidRPr="00590415">
        <w:rPr>
          <w:rFonts w:asciiTheme="minorHAnsi" w:hAnsiTheme="minorHAnsi"/>
        </w:rPr>
        <w:t>391-7.</w:t>
      </w:r>
    </w:p>
    <w:p w14:paraId="4B94E986" w14:textId="5300B240" w:rsidR="001B520F" w:rsidRPr="00590415" w:rsidRDefault="00A654AD" w:rsidP="00590415">
      <w:pPr>
        <w:pStyle w:val="EndNoteBibliography"/>
        <w:spacing w:after="0" w:line="360" w:lineRule="auto"/>
        <w:ind w:left="720" w:hanging="720"/>
        <w:rPr>
          <w:rFonts w:asciiTheme="minorHAnsi" w:hAnsiTheme="minorHAnsi"/>
        </w:rPr>
      </w:pPr>
      <w:r w:rsidRPr="00590415">
        <w:rPr>
          <w:rFonts w:asciiTheme="minorHAnsi" w:hAnsiTheme="minorHAnsi"/>
        </w:rPr>
        <w:t>18.</w:t>
      </w:r>
      <w:r w:rsidRPr="00590415">
        <w:rPr>
          <w:rFonts w:asciiTheme="minorHAnsi" w:hAnsiTheme="minorHAnsi"/>
        </w:rPr>
        <w:tab/>
        <w:t>Vordermark D</w:t>
      </w:r>
      <w:r w:rsidR="001B520F" w:rsidRPr="00590415">
        <w:rPr>
          <w:rFonts w:asciiTheme="minorHAnsi" w:hAnsiTheme="minorHAnsi"/>
        </w:rPr>
        <w:t>,</w:t>
      </w:r>
      <w:r w:rsidRPr="00590415">
        <w:rPr>
          <w:rFonts w:asciiTheme="minorHAnsi" w:hAnsiTheme="minorHAnsi"/>
        </w:rPr>
        <w:t xml:space="preserve"> Sailer M, Flentje M, Thiede A, </w:t>
      </w:r>
      <w:r w:rsidRPr="00590415">
        <w:rPr>
          <w:rFonts w:asciiTheme="minorHAnsi" w:hAnsiTheme="minorHAnsi"/>
          <w:kern w:val="36"/>
        </w:rPr>
        <w:t>Kölbl</w:t>
      </w:r>
      <w:r w:rsidRPr="00590415">
        <w:rPr>
          <w:rFonts w:asciiTheme="minorHAnsi" w:hAnsiTheme="minorHAnsi"/>
        </w:rPr>
        <w:t xml:space="preserve"> O. </w:t>
      </w:r>
      <w:r w:rsidR="001B520F" w:rsidRPr="00590415">
        <w:rPr>
          <w:rFonts w:asciiTheme="minorHAnsi" w:hAnsiTheme="minorHAnsi"/>
        </w:rPr>
        <w:t xml:space="preserve">Curative-intent radiation therapy in anal carcinoma: quality of life and sphincter function. </w:t>
      </w:r>
      <w:r w:rsidRPr="00590415">
        <w:rPr>
          <w:rFonts w:asciiTheme="minorHAnsi" w:hAnsiTheme="minorHAnsi"/>
        </w:rPr>
        <w:t>Radiother Oncol 1999;</w:t>
      </w:r>
      <w:r w:rsidR="001B520F" w:rsidRPr="00590415">
        <w:rPr>
          <w:rFonts w:asciiTheme="minorHAnsi" w:hAnsiTheme="minorHAnsi"/>
        </w:rPr>
        <w:t xml:space="preserve"> 52(3</w:t>
      </w:r>
      <w:r w:rsidRPr="00590415">
        <w:rPr>
          <w:rFonts w:asciiTheme="minorHAnsi" w:hAnsiTheme="minorHAnsi"/>
        </w:rPr>
        <w:t xml:space="preserve">): </w:t>
      </w:r>
      <w:r w:rsidR="001B520F" w:rsidRPr="00590415">
        <w:rPr>
          <w:rFonts w:asciiTheme="minorHAnsi" w:hAnsiTheme="minorHAnsi"/>
        </w:rPr>
        <w:t>239-43.</w:t>
      </w:r>
    </w:p>
    <w:p w14:paraId="2ACFA13B" w14:textId="1300F202" w:rsidR="001B520F" w:rsidRPr="00590415" w:rsidRDefault="00A654AD" w:rsidP="00590415">
      <w:pPr>
        <w:pStyle w:val="EndNoteBibliography"/>
        <w:spacing w:after="0" w:line="360" w:lineRule="auto"/>
        <w:ind w:left="720" w:hanging="720"/>
        <w:rPr>
          <w:rFonts w:asciiTheme="minorHAnsi" w:hAnsiTheme="minorHAnsi"/>
        </w:rPr>
      </w:pPr>
      <w:r w:rsidRPr="00590415">
        <w:rPr>
          <w:rFonts w:asciiTheme="minorHAnsi" w:hAnsiTheme="minorHAnsi"/>
        </w:rPr>
        <w:t>19.</w:t>
      </w:r>
      <w:r w:rsidRPr="00590415">
        <w:rPr>
          <w:rFonts w:asciiTheme="minorHAnsi" w:hAnsiTheme="minorHAnsi"/>
        </w:rPr>
        <w:tab/>
        <w:t xml:space="preserve">Vordermark </w:t>
      </w:r>
      <w:r w:rsidR="001B520F" w:rsidRPr="00590415">
        <w:rPr>
          <w:rFonts w:asciiTheme="minorHAnsi" w:hAnsiTheme="minorHAnsi"/>
        </w:rPr>
        <w:t>D</w:t>
      </w:r>
      <w:r w:rsidRPr="00590415">
        <w:rPr>
          <w:rFonts w:asciiTheme="minorHAnsi" w:hAnsiTheme="minorHAnsi"/>
        </w:rPr>
        <w:t xml:space="preserve">, Sailer M, Flentje M, </w:t>
      </w:r>
      <w:r w:rsidRPr="00590415">
        <w:rPr>
          <w:rFonts w:asciiTheme="minorHAnsi" w:hAnsiTheme="minorHAnsi"/>
          <w:kern w:val="36"/>
        </w:rPr>
        <w:t>Kölbl</w:t>
      </w:r>
      <w:r w:rsidRPr="00590415">
        <w:rPr>
          <w:rFonts w:asciiTheme="minorHAnsi" w:hAnsiTheme="minorHAnsi"/>
        </w:rPr>
        <w:t xml:space="preserve"> O. </w:t>
      </w:r>
      <w:r w:rsidR="001B520F" w:rsidRPr="00590415">
        <w:rPr>
          <w:rFonts w:asciiTheme="minorHAnsi" w:hAnsiTheme="minorHAnsi"/>
        </w:rPr>
        <w:t xml:space="preserve"> Intracavitary afterloading boost in anal canal carcinoma. Results, function and quality of life. </w:t>
      </w:r>
      <w:hyperlink r:id="rId35" w:tooltip="Strahlentherapie und Onkologie : Organ der Deutschen Rontgengesellschaft ... [et al]." w:history="1">
        <w:r w:rsidRPr="00590415">
          <w:rPr>
            <w:rFonts w:asciiTheme="minorHAnsi" w:hAnsiTheme="minorHAnsi" w:cs="Arial"/>
          </w:rPr>
          <w:t>Strahlenther Onkol</w:t>
        </w:r>
      </w:hyperlink>
      <w:r w:rsidRPr="00590415">
        <w:rPr>
          <w:rFonts w:asciiTheme="minorHAnsi" w:hAnsiTheme="minorHAnsi"/>
        </w:rPr>
        <w:t xml:space="preserve"> 2001; 177(5): </w:t>
      </w:r>
      <w:r w:rsidR="001B520F" w:rsidRPr="00590415">
        <w:rPr>
          <w:rFonts w:asciiTheme="minorHAnsi" w:hAnsiTheme="minorHAnsi"/>
        </w:rPr>
        <w:t>252-8.</w:t>
      </w:r>
    </w:p>
    <w:p w14:paraId="7A692F52" w14:textId="2C1F40F7"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20.</w:t>
      </w:r>
      <w:r w:rsidRPr="00590415">
        <w:rPr>
          <w:rFonts w:asciiTheme="minorHAnsi" w:hAnsiTheme="minorHAnsi"/>
        </w:rPr>
        <w:tab/>
      </w:r>
      <w:hyperlink r:id="rId36" w:history="1">
        <w:r w:rsidR="00865A75" w:rsidRPr="00590415">
          <w:rPr>
            <w:rFonts w:asciiTheme="minorHAnsi" w:hAnsiTheme="minorHAnsi" w:cs="Arial"/>
          </w:rPr>
          <w:t>Bentzen AG</w:t>
        </w:r>
      </w:hyperlink>
      <w:r w:rsidR="00865A75" w:rsidRPr="00590415">
        <w:rPr>
          <w:rFonts w:asciiTheme="minorHAnsi" w:hAnsiTheme="minorHAnsi" w:cs="Arial"/>
        </w:rPr>
        <w:t xml:space="preserve">, </w:t>
      </w:r>
      <w:hyperlink r:id="rId37" w:history="1">
        <w:r w:rsidR="00865A75" w:rsidRPr="00590415">
          <w:rPr>
            <w:rFonts w:asciiTheme="minorHAnsi" w:hAnsiTheme="minorHAnsi" w:cs="Arial"/>
          </w:rPr>
          <w:t>Balteskard L</w:t>
        </w:r>
      </w:hyperlink>
      <w:r w:rsidR="00865A75" w:rsidRPr="00590415">
        <w:rPr>
          <w:rFonts w:asciiTheme="minorHAnsi" w:hAnsiTheme="minorHAnsi" w:cs="Arial"/>
        </w:rPr>
        <w:t xml:space="preserve">, </w:t>
      </w:r>
      <w:hyperlink r:id="rId38" w:history="1">
        <w:r w:rsidR="00865A75" w:rsidRPr="00590415">
          <w:rPr>
            <w:rFonts w:asciiTheme="minorHAnsi" w:hAnsiTheme="minorHAnsi" w:cs="Arial"/>
          </w:rPr>
          <w:t>Wanderås EH</w:t>
        </w:r>
      </w:hyperlink>
      <w:r w:rsidR="00865A75" w:rsidRPr="00590415">
        <w:rPr>
          <w:rFonts w:asciiTheme="minorHAnsi" w:hAnsiTheme="minorHAnsi" w:cs="Arial"/>
        </w:rPr>
        <w:t xml:space="preserve"> et al. </w:t>
      </w:r>
      <w:r w:rsidRPr="00590415">
        <w:rPr>
          <w:rFonts w:asciiTheme="minorHAnsi" w:hAnsiTheme="minorHAnsi"/>
        </w:rPr>
        <w:t>Impaired health-related quality of life after chemoradiotherapy for anal cancer: Late effects in a national cohort o</w:t>
      </w:r>
      <w:r w:rsidR="00865A75" w:rsidRPr="00590415">
        <w:rPr>
          <w:rFonts w:asciiTheme="minorHAnsi" w:hAnsiTheme="minorHAnsi"/>
        </w:rPr>
        <w:t>f 128 survivors. Acta Oncol</w:t>
      </w:r>
      <w:r w:rsidR="00A654AD" w:rsidRPr="00590415">
        <w:rPr>
          <w:rFonts w:asciiTheme="minorHAnsi" w:hAnsiTheme="minorHAnsi"/>
        </w:rPr>
        <w:t xml:space="preserve"> 2013; 52(4):</w:t>
      </w:r>
      <w:r w:rsidRPr="00590415">
        <w:rPr>
          <w:rFonts w:asciiTheme="minorHAnsi" w:hAnsiTheme="minorHAnsi"/>
        </w:rPr>
        <w:t xml:space="preserve"> 736-744.</w:t>
      </w:r>
    </w:p>
    <w:p w14:paraId="3049434B" w14:textId="55F65BF0"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21.</w:t>
      </w:r>
      <w:r w:rsidRPr="00590415">
        <w:rPr>
          <w:rFonts w:asciiTheme="minorHAnsi" w:hAnsiTheme="minorHAnsi"/>
        </w:rPr>
        <w:tab/>
      </w:r>
      <w:hyperlink r:id="rId39" w:history="1">
        <w:r w:rsidR="00865A75" w:rsidRPr="00590415">
          <w:rPr>
            <w:rFonts w:asciiTheme="minorHAnsi" w:hAnsiTheme="minorHAnsi" w:cs="Arial"/>
          </w:rPr>
          <w:t>Allal AS</w:t>
        </w:r>
      </w:hyperlink>
      <w:r w:rsidR="00865A75" w:rsidRPr="00590415">
        <w:rPr>
          <w:rFonts w:asciiTheme="minorHAnsi" w:hAnsiTheme="minorHAnsi" w:cs="Arial"/>
        </w:rPr>
        <w:t xml:space="preserve">, </w:t>
      </w:r>
      <w:hyperlink r:id="rId40" w:history="1">
        <w:r w:rsidR="00865A75" w:rsidRPr="00590415">
          <w:rPr>
            <w:rFonts w:asciiTheme="minorHAnsi" w:hAnsiTheme="minorHAnsi" w:cs="Arial"/>
          </w:rPr>
          <w:t>Sprangers MA</w:t>
        </w:r>
      </w:hyperlink>
      <w:r w:rsidR="00865A75" w:rsidRPr="00590415">
        <w:rPr>
          <w:rFonts w:asciiTheme="minorHAnsi" w:hAnsiTheme="minorHAnsi" w:cs="Arial"/>
        </w:rPr>
        <w:t xml:space="preserve">, </w:t>
      </w:r>
      <w:hyperlink r:id="rId41" w:history="1">
        <w:r w:rsidR="00865A75" w:rsidRPr="00590415">
          <w:rPr>
            <w:rFonts w:asciiTheme="minorHAnsi" w:hAnsiTheme="minorHAnsi" w:cs="Arial"/>
          </w:rPr>
          <w:t>Laurencet F</w:t>
        </w:r>
      </w:hyperlink>
      <w:r w:rsidR="00865A75" w:rsidRPr="00590415">
        <w:rPr>
          <w:rFonts w:asciiTheme="minorHAnsi" w:hAnsiTheme="minorHAnsi" w:cs="Arial"/>
        </w:rPr>
        <w:t xml:space="preserve">, </w:t>
      </w:r>
      <w:hyperlink r:id="rId42" w:history="1">
        <w:r w:rsidR="00865A75" w:rsidRPr="00590415">
          <w:rPr>
            <w:rFonts w:asciiTheme="minorHAnsi" w:hAnsiTheme="minorHAnsi" w:cs="Arial"/>
          </w:rPr>
          <w:t>Reymond MA</w:t>
        </w:r>
      </w:hyperlink>
      <w:r w:rsidR="00865A75" w:rsidRPr="00590415">
        <w:rPr>
          <w:rFonts w:asciiTheme="minorHAnsi" w:hAnsiTheme="minorHAnsi" w:cs="Arial"/>
        </w:rPr>
        <w:t xml:space="preserve">, </w:t>
      </w:r>
      <w:hyperlink r:id="rId43" w:history="1">
        <w:r w:rsidR="00865A75" w:rsidRPr="00590415">
          <w:rPr>
            <w:rFonts w:asciiTheme="minorHAnsi" w:hAnsiTheme="minorHAnsi" w:cs="Arial"/>
          </w:rPr>
          <w:t>Kurtz JM</w:t>
        </w:r>
      </w:hyperlink>
      <w:r w:rsidR="00865A75" w:rsidRPr="00590415">
        <w:rPr>
          <w:rFonts w:asciiTheme="minorHAnsi" w:hAnsiTheme="minorHAnsi" w:cs="Arial"/>
        </w:rPr>
        <w:t>.</w:t>
      </w:r>
      <w:r w:rsidR="00865A75" w:rsidRPr="00590415">
        <w:rPr>
          <w:rFonts w:asciiTheme="minorHAnsi" w:hAnsiTheme="minorHAnsi"/>
        </w:rPr>
        <w:t xml:space="preserve"> </w:t>
      </w:r>
      <w:r w:rsidRPr="00590415">
        <w:rPr>
          <w:rFonts w:asciiTheme="minorHAnsi" w:hAnsiTheme="minorHAnsi"/>
        </w:rPr>
        <w:t xml:space="preserve">Assessment of long-term quality of life in patients with anal carcinomas treated by radiotherapy with </w:t>
      </w:r>
      <w:r w:rsidR="00865A75" w:rsidRPr="00590415">
        <w:rPr>
          <w:rFonts w:asciiTheme="minorHAnsi" w:hAnsiTheme="minorHAnsi"/>
        </w:rPr>
        <w:t xml:space="preserve">or without chemotherapy. Br J Cancer 1999; 80(10): </w:t>
      </w:r>
      <w:r w:rsidRPr="00590415">
        <w:rPr>
          <w:rFonts w:asciiTheme="minorHAnsi" w:hAnsiTheme="minorHAnsi"/>
        </w:rPr>
        <w:t>1588-94.</w:t>
      </w:r>
    </w:p>
    <w:p w14:paraId="05A75A4F" w14:textId="77777777" w:rsidR="001B520F" w:rsidRPr="00590415" w:rsidRDefault="00536206" w:rsidP="00590415">
      <w:pPr>
        <w:pStyle w:val="EndNoteBibliography"/>
        <w:spacing w:after="0" w:line="360" w:lineRule="auto"/>
        <w:ind w:left="720" w:hanging="720"/>
        <w:rPr>
          <w:rFonts w:asciiTheme="minorHAnsi" w:hAnsiTheme="minorHAnsi"/>
        </w:rPr>
      </w:pPr>
      <w:r w:rsidRPr="00590415">
        <w:rPr>
          <w:rFonts w:asciiTheme="minorHAnsi" w:hAnsiTheme="minorHAnsi"/>
        </w:rPr>
        <w:t>22.</w:t>
      </w:r>
      <w:r w:rsidRPr="00590415">
        <w:rPr>
          <w:rFonts w:asciiTheme="minorHAnsi" w:hAnsiTheme="minorHAnsi"/>
        </w:rPr>
        <w:tab/>
      </w:r>
      <w:hyperlink r:id="rId44" w:history="1">
        <w:r w:rsidRPr="00590415">
          <w:rPr>
            <w:rFonts w:asciiTheme="minorHAnsi" w:hAnsiTheme="minorHAnsi" w:cs="Arial"/>
          </w:rPr>
          <w:t>Welzel G</w:t>
        </w:r>
      </w:hyperlink>
      <w:r w:rsidRPr="00590415">
        <w:rPr>
          <w:rFonts w:asciiTheme="minorHAnsi" w:hAnsiTheme="minorHAnsi" w:cs="Arial"/>
        </w:rPr>
        <w:t xml:space="preserve">, </w:t>
      </w:r>
      <w:hyperlink r:id="rId45" w:history="1">
        <w:r w:rsidRPr="00590415">
          <w:rPr>
            <w:rFonts w:asciiTheme="minorHAnsi" w:hAnsiTheme="minorHAnsi" w:cs="Arial"/>
          </w:rPr>
          <w:t>Hägele V</w:t>
        </w:r>
      </w:hyperlink>
      <w:r w:rsidRPr="00590415">
        <w:rPr>
          <w:rFonts w:asciiTheme="minorHAnsi" w:hAnsiTheme="minorHAnsi" w:cs="Arial"/>
        </w:rPr>
        <w:t xml:space="preserve">, </w:t>
      </w:r>
      <w:hyperlink r:id="rId46" w:history="1">
        <w:r w:rsidRPr="00590415">
          <w:rPr>
            <w:rFonts w:asciiTheme="minorHAnsi" w:hAnsiTheme="minorHAnsi" w:cs="Arial"/>
          </w:rPr>
          <w:t>Wenz F</w:t>
        </w:r>
      </w:hyperlink>
      <w:r w:rsidRPr="00590415">
        <w:rPr>
          <w:rFonts w:asciiTheme="minorHAnsi" w:hAnsiTheme="minorHAnsi" w:cs="Arial"/>
        </w:rPr>
        <w:t xml:space="preserve">, </w:t>
      </w:r>
      <w:hyperlink r:id="rId47" w:history="1">
        <w:r w:rsidRPr="00590415">
          <w:rPr>
            <w:rFonts w:asciiTheme="minorHAnsi" w:hAnsiTheme="minorHAnsi" w:cs="Arial"/>
          </w:rPr>
          <w:t>Mai SK</w:t>
        </w:r>
      </w:hyperlink>
      <w:r w:rsidRPr="00590415">
        <w:rPr>
          <w:rFonts w:asciiTheme="minorHAnsi" w:hAnsiTheme="minorHAnsi" w:cs="Arial"/>
        </w:rPr>
        <w:t>.</w:t>
      </w:r>
      <w:r w:rsidR="001B520F" w:rsidRPr="00590415">
        <w:rPr>
          <w:rFonts w:asciiTheme="minorHAnsi" w:hAnsiTheme="minorHAnsi"/>
        </w:rPr>
        <w:t xml:space="preserve"> Quality of life outcomes in patients with anal cancer after combined radiochemotherapy. </w:t>
      </w:r>
      <w:r w:rsidRPr="00590415">
        <w:rPr>
          <w:rStyle w:val="st1"/>
          <w:rFonts w:asciiTheme="minorHAnsi" w:hAnsiTheme="minorHAnsi" w:cs="Arial"/>
        </w:rPr>
        <w:t xml:space="preserve">Strahlenther Onkol </w:t>
      </w:r>
      <w:r w:rsidRPr="00590415">
        <w:rPr>
          <w:rFonts w:asciiTheme="minorHAnsi" w:hAnsiTheme="minorHAnsi"/>
        </w:rPr>
        <w:t>2011;</w:t>
      </w:r>
      <w:r w:rsidR="001B520F" w:rsidRPr="00590415">
        <w:rPr>
          <w:rFonts w:asciiTheme="minorHAnsi" w:hAnsiTheme="minorHAnsi"/>
        </w:rPr>
        <w:t xml:space="preserve"> 187</w:t>
      </w:r>
      <w:r w:rsidRPr="00590415">
        <w:rPr>
          <w:rFonts w:asciiTheme="minorHAnsi" w:hAnsiTheme="minorHAnsi"/>
        </w:rPr>
        <w:t xml:space="preserve">(3): </w:t>
      </w:r>
      <w:r w:rsidR="001B520F" w:rsidRPr="00590415">
        <w:rPr>
          <w:rFonts w:asciiTheme="minorHAnsi" w:hAnsiTheme="minorHAnsi"/>
        </w:rPr>
        <w:t>175-82.</w:t>
      </w:r>
    </w:p>
    <w:p w14:paraId="004035CF" w14:textId="77777777" w:rsidR="001B520F" w:rsidRPr="00590415" w:rsidRDefault="00536206" w:rsidP="00590415">
      <w:pPr>
        <w:pStyle w:val="EndNoteBibliography"/>
        <w:spacing w:after="0" w:line="360" w:lineRule="auto"/>
        <w:ind w:left="720" w:hanging="720"/>
        <w:rPr>
          <w:rFonts w:asciiTheme="minorHAnsi" w:hAnsiTheme="minorHAnsi"/>
        </w:rPr>
      </w:pPr>
      <w:r w:rsidRPr="00590415">
        <w:rPr>
          <w:rFonts w:asciiTheme="minorHAnsi" w:hAnsiTheme="minorHAnsi"/>
        </w:rPr>
        <w:t>23.</w:t>
      </w:r>
      <w:r w:rsidRPr="00590415">
        <w:rPr>
          <w:rFonts w:asciiTheme="minorHAnsi" w:hAnsiTheme="minorHAnsi"/>
        </w:rPr>
        <w:tab/>
        <w:t>Sprangers</w:t>
      </w:r>
      <w:r w:rsidR="001B520F" w:rsidRPr="00590415">
        <w:rPr>
          <w:rFonts w:asciiTheme="minorHAnsi" w:hAnsiTheme="minorHAnsi"/>
        </w:rPr>
        <w:t xml:space="preserve"> M</w:t>
      </w:r>
      <w:r w:rsidRPr="00590415">
        <w:rPr>
          <w:rFonts w:asciiTheme="minorHAnsi" w:hAnsiTheme="minorHAnsi"/>
        </w:rPr>
        <w:t>AG, Velde AT, Aaronson, NK</w:t>
      </w:r>
      <w:r w:rsidR="001B520F" w:rsidRPr="00590415">
        <w:rPr>
          <w:rFonts w:asciiTheme="minorHAnsi" w:hAnsiTheme="minorHAnsi"/>
        </w:rPr>
        <w:t>, The construction and testing of the EORTC colorectal cancer-specific quality of life questionnaire module (QLQ-CR38).</w:t>
      </w:r>
      <w:r w:rsidRPr="00590415">
        <w:rPr>
          <w:rFonts w:asciiTheme="minorHAnsi" w:hAnsiTheme="minorHAnsi"/>
        </w:rPr>
        <w:t xml:space="preserve"> Eur J Cancer 1999;</w:t>
      </w:r>
      <w:r w:rsidR="001B520F" w:rsidRPr="00590415">
        <w:rPr>
          <w:rFonts w:asciiTheme="minorHAnsi" w:hAnsiTheme="minorHAnsi"/>
        </w:rPr>
        <w:t xml:space="preserve"> 35</w:t>
      </w:r>
      <w:r w:rsidRPr="00590415">
        <w:rPr>
          <w:rFonts w:asciiTheme="minorHAnsi" w:hAnsiTheme="minorHAnsi"/>
        </w:rPr>
        <w:t xml:space="preserve">(2): </w:t>
      </w:r>
      <w:r w:rsidR="001B520F" w:rsidRPr="00590415">
        <w:rPr>
          <w:rFonts w:asciiTheme="minorHAnsi" w:hAnsiTheme="minorHAnsi"/>
        </w:rPr>
        <w:t>238-247.</w:t>
      </w:r>
    </w:p>
    <w:p w14:paraId="3A5D0703" w14:textId="77777777" w:rsidR="001B520F" w:rsidRPr="00590415" w:rsidRDefault="00536206" w:rsidP="00590415">
      <w:pPr>
        <w:pStyle w:val="EndNoteBibliography"/>
        <w:spacing w:after="0" w:line="360" w:lineRule="auto"/>
        <w:ind w:left="720" w:hanging="720"/>
        <w:rPr>
          <w:rFonts w:asciiTheme="minorHAnsi" w:hAnsiTheme="minorHAnsi"/>
        </w:rPr>
      </w:pPr>
      <w:r w:rsidRPr="00590415">
        <w:rPr>
          <w:rFonts w:asciiTheme="minorHAnsi" w:hAnsiTheme="minorHAnsi"/>
        </w:rPr>
        <w:lastRenderedPageBreak/>
        <w:t>24.</w:t>
      </w:r>
      <w:r w:rsidRPr="00590415">
        <w:rPr>
          <w:rFonts w:asciiTheme="minorHAnsi" w:hAnsiTheme="minorHAnsi"/>
        </w:rPr>
        <w:tab/>
        <w:t>Whistance RN, CT</w:t>
      </w:r>
      <w:r w:rsidR="001B520F" w:rsidRPr="00590415">
        <w:rPr>
          <w:rFonts w:asciiTheme="minorHAnsi" w:hAnsiTheme="minorHAnsi"/>
        </w:rPr>
        <w:t>, Chie W, Costanti</w:t>
      </w:r>
      <w:r w:rsidRPr="00590415">
        <w:rPr>
          <w:rFonts w:asciiTheme="minorHAnsi" w:hAnsiTheme="minorHAnsi"/>
        </w:rPr>
        <w:t>ni A et al.</w:t>
      </w:r>
      <w:r w:rsidR="001B520F" w:rsidRPr="00590415">
        <w:rPr>
          <w:rFonts w:asciiTheme="minorHAnsi" w:hAnsiTheme="minorHAnsi"/>
        </w:rPr>
        <w:t xml:space="preserve"> European Organisation for the Research and Treatment of Cancer Quality of Life Group., Clinical and psychometric validation of the EORTC QLQ-CR29 questionnaire module to assess health-related quality of life in patients with colorectal cancer.</w:t>
      </w:r>
      <w:r w:rsidRPr="00590415">
        <w:rPr>
          <w:rFonts w:asciiTheme="minorHAnsi" w:hAnsiTheme="minorHAnsi"/>
        </w:rPr>
        <w:t xml:space="preserve"> Eur J Cancer 2009;</w:t>
      </w:r>
      <w:r w:rsidR="001B520F" w:rsidRPr="00590415">
        <w:rPr>
          <w:rFonts w:asciiTheme="minorHAnsi" w:hAnsiTheme="minorHAnsi"/>
        </w:rPr>
        <w:t xml:space="preserve"> 45</w:t>
      </w:r>
      <w:r w:rsidRPr="00590415">
        <w:rPr>
          <w:rFonts w:asciiTheme="minorHAnsi" w:hAnsiTheme="minorHAnsi"/>
        </w:rPr>
        <w:t xml:space="preserve">(17): </w:t>
      </w:r>
      <w:r w:rsidR="001B520F" w:rsidRPr="00590415">
        <w:rPr>
          <w:rFonts w:asciiTheme="minorHAnsi" w:hAnsiTheme="minorHAnsi"/>
        </w:rPr>
        <w:t>3017-26.</w:t>
      </w:r>
    </w:p>
    <w:p w14:paraId="1DE2DC81" w14:textId="77777777" w:rsidR="001B520F" w:rsidRPr="00590415" w:rsidRDefault="00536206" w:rsidP="00590415">
      <w:pPr>
        <w:pStyle w:val="EndNoteBibliography"/>
        <w:spacing w:after="0" w:line="360" w:lineRule="auto"/>
        <w:ind w:left="720" w:hanging="720"/>
        <w:rPr>
          <w:rFonts w:asciiTheme="minorHAnsi" w:hAnsiTheme="minorHAnsi"/>
        </w:rPr>
      </w:pPr>
      <w:r w:rsidRPr="00590415">
        <w:rPr>
          <w:rFonts w:asciiTheme="minorHAnsi" w:hAnsiTheme="minorHAnsi"/>
        </w:rPr>
        <w:t>25.</w:t>
      </w:r>
      <w:r w:rsidRPr="00590415">
        <w:rPr>
          <w:rFonts w:asciiTheme="minorHAnsi" w:hAnsiTheme="minorHAnsi"/>
        </w:rPr>
        <w:tab/>
        <w:t>Ward RL, Hahn EA, Mo F, Hernandez L, Tulsky DS, Cella D.</w:t>
      </w:r>
      <w:r w:rsidR="001B520F" w:rsidRPr="00590415">
        <w:rPr>
          <w:rFonts w:asciiTheme="minorHAnsi" w:hAnsiTheme="minorHAnsi"/>
        </w:rPr>
        <w:t xml:space="preserve"> Reliability and validity of the Functional Assessment of Cancer Therapy-Colorectal (FACT-C) quality of life instrument.</w:t>
      </w:r>
      <w:r w:rsidR="00D678E8" w:rsidRPr="00590415">
        <w:rPr>
          <w:rFonts w:asciiTheme="minorHAnsi" w:hAnsiTheme="minorHAnsi"/>
        </w:rPr>
        <w:t xml:space="preserve"> Qual Life Res 1999;</w:t>
      </w:r>
      <w:r w:rsidR="001B520F" w:rsidRPr="00590415">
        <w:rPr>
          <w:rFonts w:asciiTheme="minorHAnsi" w:hAnsiTheme="minorHAnsi"/>
        </w:rPr>
        <w:t xml:space="preserve"> 8</w:t>
      </w:r>
      <w:r w:rsidR="00D678E8" w:rsidRPr="00590415">
        <w:rPr>
          <w:rFonts w:asciiTheme="minorHAnsi" w:hAnsiTheme="minorHAnsi"/>
        </w:rPr>
        <w:t>(3):</w:t>
      </w:r>
      <w:r w:rsidR="001B520F" w:rsidRPr="00590415">
        <w:rPr>
          <w:rFonts w:asciiTheme="minorHAnsi" w:hAnsiTheme="minorHAnsi"/>
        </w:rPr>
        <w:t>181-195.</w:t>
      </w:r>
    </w:p>
    <w:p w14:paraId="2331FDA2" w14:textId="7C3171A5" w:rsidR="001B520F" w:rsidRPr="00590415" w:rsidRDefault="00D678E8" w:rsidP="00590415">
      <w:pPr>
        <w:pStyle w:val="EndNoteBibliography"/>
        <w:spacing w:after="0" w:line="360" w:lineRule="auto"/>
        <w:ind w:left="720" w:hanging="720"/>
        <w:rPr>
          <w:rFonts w:asciiTheme="minorHAnsi" w:hAnsiTheme="minorHAnsi"/>
        </w:rPr>
      </w:pPr>
      <w:r w:rsidRPr="00590415">
        <w:rPr>
          <w:rFonts w:asciiTheme="minorHAnsi" w:hAnsiTheme="minorHAnsi"/>
        </w:rPr>
        <w:t>26.</w:t>
      </w:r>
      <w:r w:rsidRPr="00590415">
        <w:rPr>
          <w:rFonts w:asciiTheme="minorHAnsi" w:hAnsiTheme="minorHAnsi"/>
        </w:rPr>
        <w:tab/>
        <w:t>Aaronson N, Ahmedzai S, Bergman B et al.</w:t>
      </w:r>
      <w:r w:rsidR="001B520F" w:rsidRPr="00590415">
        <w:rPr>
          <w:rFonts w:asciiTheme="minorHAnsi" w:hAnsiTheme="minorHAnsi"/>
        </w:rPr>
        <w:t xml:space="preserve"> The European Organization for Research and Treatment of Cancer QLQ-C30: A quality of life instrument for use in international trials in oncology. </w:t>
      </w:r>
      <w:r w:rsidR="00865A75" w:rsidRPr="00590415">
        <w:rPr>
          <w:rFonts w:asciiTheme="minorHAnsi" w:hAnsiTheme="minorHAnsi" w:cs="Arial"/>
          <w:noProof w:val="0"/>
        </w:rPr>
        <w:t xml:space="preserve">J </w:t>
      </w:r>
      <w:r w:rsidR="00865A75" w:rsidRPr="00590415">
        <w:rPr>
          <w:rFonts w:asciiTheme="minorHAnsi" w:hAnsiTheme="minorHAnsi" w:cs="Arial"/>
          <w:bCs/>
          <w:noProof w:val="0"/>
        </w:rPr>
        <w:t>Natl</w:t>
      </w:r>
      <w:r w:rsidR="00865A75" w:rsidRPr="00590415">
        <w:rPr>
          <w:rFonts w:asciiTheme="minorHAnsi" w:hAnsiTheme="minorHAnsi" w:cs="Arial"/>
          <w:noProof w:val="0"/>
        </w:rPr>
        <w:t xml:space="preserve"> Cancer Inst </w:t>
      </w:r>
      <w:r w:rsidRPr="00590415">
        <w:rPr>
          <w:rFonts w:asciiTheme="minorHAnsi" w:hAnsiTheme="minorHAnsi"/>
        </w:rPr>
        <w:t>1993;</w:t>
      </w:r>
      <w:r w:rsidR="001B520F" w:rsidRPr="00590415">
        <w:rPr>
          <w:rFonts w:asciiTheme="minorHAnsi" w:hAnsiTheme="minorHAnsi"/>
        </w:rPr>
        <w:t xml:space="preserve"> 85</w:t>
      </w:r>
      <w:r w:rsidRPr="00590415">
        <w:rPr>
          <w:rFonts w:asciiTheme="minorHAnsi" w:hAnsiTheme="minorHAnsi"/>
        </w:rPr>
        <w:t xml:space="preserve">: </w:t>
      </w:r>
      <w:r w:rsidR="001B520F" w:rsidRPr="00590415">
        <w:rPr>
          <w:rFonts w:asciiTheme="minorHAnsi" w:hAnsiTheme="minorHAnsi"/>
        </w:rPr>
        <w:t>365-376.</w:t>
      </w:r>
    </w:p>
    <w:p w14:paraId="4FDBEF3E" w14:textId="77777777" w:rsidR="001B520F" w:rsidRPr="00590415" w:rsidRDefault="00D678E8" w:rsidP="00590415">
      <w:pPr>
        <w:pStyle w:val="EndNoteBibliography"/>
        <w:spacing w:after="0" w:line="360" w:lineRule="auto"/>
        <w:ind w:left="720" w:hanging="720"/>
        <w:rPr>
          <w:rFonts w:asciiTheme="minorHAnsi" w:hAnsiTheme="minorHAnsi"/>
        </w:rPr>
      </w:pPr>
      <w:r w:rsidRPr="00590415">
        <w:rPr>
          <w:rFonts w:asciiTheme="minorHAnsi" w:hAnsiTheme="minorHAnsi"/>
        </w:rPr>
        <w:t>27.</w:t>
      </w:r>
      <w:r w:rsidRPr="00590415">
        <w:rPr>
          <w:rFonts w:asciiTheme="minorHAnsi" w:hAnsiTheme="minorHAnsi"/>
        </w:rPr>
        <w:tab/>
        <w:t>Johnson CD</w:t>
      </w:r>
      <w:r w:rsidR="001B520F" w:rsidRPr="00590415">
        <w:rPr>
          <w:rFonts w:asciiTheme="minorHAnsi" w:hAnsiTheme="minorHAnsi"/>
        </w:rPr>
        <w:t xml:space="preserve">, </w:t>
      </w:r>
      <w:r w:rsidRPr="00590415">
        <w:rPr>
          <w:rFonts w:asciiTheme="minorHAnsi" w:hAnsiTheme="minorHAnsi"/>
        </w:rPr>
        <w:t xml:space="preserve">Aaronson N, Blazeby J </w:t>
      </w:r>
      <w:r w:rsidR="001B520F" w:rsidRPr="00590415">
        <w:rPr>
          <w:rFonts w:asciiTheme="minorHAnsi" w:hAnsiTheme="minorHAnsi"/>
        </w:rPr>
        <w:t>et al. EORTC Quality of Life Group: guidelines for developing questionnaire modules. 2011.</w:t>
      </w:r>
    </w:p>
    <w:p w14:paraId="4375EAA0" w14:textId="6525B6CD" w:rsidR="001B520F" w:rsidRPr="00590415" w:rsidRDefault="00D678E8" w:rsidP="00590415">
      <w:pPr>
        <w:pStyle w:val="EndNoteBibliography"/>
        <w:spacing w:after="0" w:line="360" w:lineRule="auto"/>
        <w:ind w:left="720" w:hanging="720"/>
        <w:rPr>
          <w:rFonts w:asciiTheme="minorHAnsi" w:hAnsiTheme="minorHAnsi"/>
        </w:rPr>
      </w:pPr>
      <w:r w:rsidRPr="00590415">
        <w:rPr>
          <w:rFonts w:asciiTheme="minorHAnsi" w:hAnsiTheme="minorHAnsi"/>
        </w:rPr>
        <w:t>28.</w:t>
      </w:r>
      <w:r w:rsidRPr="00590415">
        <w:rPr>
          <w:rFonts w:asciiTheme="minorHAnsi" w:hAnsiTheme="minorHAnsi"/>
        </w:rPr>
        <w:tab/>
        <w:t xml:space="preserve">Karnofsky DA, Abelmann WH, Craver LF, </w:t>
      </w:r>
      <w:r w:rsidR="001B520F" w:rsidRPr="00590415">
        <w:rPr>
          <w:rFonts w:asciiTheme="minorHAnsi" w:hAnsiTheme="minorHAnsi"/>
        </w:rPr>
        <w:t>Burc</w:t>
      </w:r>
      <w:r w:rsidRPr="00590415">
        <w:rPr>
          <w:rFonts w:asciiTheme="minorHAnsi" w:hAnsiTheme="minorHAnsi"/>
        </w:rPr>
        <w:t xml:space="preserve">henal JH. </w:t>
      </w:r>
      <w:r w:rsidR="001B520F" w:rsidRPr="00590415">
        <w:rPr>
          <w:rFonts w:asciiTheme="minorHAnsi" w:hAnsiTheme="minorHAnsi"/>
        </w:rPr>
        <w:t>The use of the nitrogen mustards in the palliative treatment of carcinoma. With particular reference to bronchogenic carcinoma. .</w:t>
      </w:r>
      <w:r w:rsidRPr="00590415">
        <w:rPr>
          <w:rFonts w:asciiTheme="minorHAnsi" w:hAnsiTheme="minorHAnsi"/>
        </w:rPr>
        <w:t xml:space="preserve"> Cancer 1948;</w:t>
      </w:r>
      <w:r w:rsidR="00865A75" w:rsidRPr="00590415">
        <w:rPr>
          <w:rFonts w:asciiTheme="minorHAnsi" w:hAnsiTheme="minorHAnsi"/>
        </w:rPr>
        <w:t xml:space="preserve"> 1: </w:t>
      </w:r>
      <w:r w:rsidR="001B520F" w:rsidRPr="00590415">
        <w:rPr>
          <w:rFonts w:asciiTheme="minorHAnsi" w:hAnsiTheme="minorHAnsi"/>
        </w:rPr>
        <w:t>634-656.</w:t>
      </w:r>
      <w:r w:rsidRPr="00590415">
        <w:rPr>
          <w:rFonts w:asciiTheme="minorHAnsi" w:hAnsiTheme="minorHAnsi"/>
        </w:rPr>
        <w:t xml:space="preserve"> doi:10.1002/1097-0142(194811)1:4&lt;634::AID-CNCR2820010410&gt;3.0.CO;2-L</w:t>
      </w:r>
    </w:p>
    <w:p w14:paraId="1DB6D272" w14:textId="77777777" w:rsidR="001B520F" w:rsidRPr="00590415" w:rsidRDefault="001B520F" w:rsidP="00590415">
      <w:pPr>
        <w:pStyle w:val="Default"/>
        <w:spacing w:line="360" w:lineRule="auto"/>
        <w:ind w:left="720" w:hanging="720"/>
        <w:rPr>
          <w:rFonts w:asciiTheme="minorHAnsi" w:hAnsiTheme="minorHAnsi"/>
          <w:color w:val="auto"/>
          <w:sz w:val="22"/>
          <w:szCs w:val="22"/>
        </w:rPr>
      </w:pPr>
      <w:r w:rsidRPr="00590415">
        <w:rPr>
          <w:rFonts w:asciiTheme="minorHAnsi" w:hAnsiTheme="minorHAnsi"/>
          <w:color w:val="auto"/>
          <w:sz w:val="22"/>
          <w:szCs w:val="22"/>
        </w:rPr>
        <w:t>29.</w:t>
      </w:r>
      <w:r w:rsidRPr="00590415">
        <w:rPr>
          <w:rFonts w:asciiTheme="minorHAnsi" w:hAnsiTheme="minorHAnsi"/>
          <w:color w:val="auto"/>
          <w:sz w:val="22"/>
          <w:szCs w:val="22"/>
        </w:rPr>
        <w:tab/>
      </w:r>
      <w:proofErr w:type="spellStart"/>
      <w:r w:rsidR="00D678E8" w:rsidRPr="00590415">
        <w:rPr>
          <w:rFonts w:asciiTheme="minorHAnsi" w:hAnsiTheme="minorHAnsi" w:cstheme="minorBidi"/>
          <w:color w:val="auto"/>
          <w:sz w:val="22"/>
          <w:szCs w:val="22"/>
        </w:rPr>
        <w:t>Dewolf</w:t>
      </w:r>
      <w:proofErr w:type="spellEnd"/>
      <w:r w:rsidR="00D678E8" w:rsidRPr="00590415">
        <w:rPr>
          <w:rFonts w:asciiTheme="minorHAnsi" w:hAnsiTheme="minorHAnsi" w:cstheme="minorBidi"/>
          <w:color w:val="auto"/>
          <w:sz w:val="22"/>
          <w:szCs w:val="22"/>
        </w:rPr>
        <w:t xml:space="preserve"> L, </w:t>
      </w:r>
      <w:proofErr w:type="spellStart"/>
      <w:r w:rsidR="00D678E8" w:rsidRPr="00590415">
        <w:rPr>
          <w:rFonts w:asciiTheme="minorHAnsi" w:hAnsiTheme="minorHAnsi" w:cstheme="minorBidi"/>
          <w:color w:val="auto"/>
          <w:sz w:val="22"/>
          <w:szCs w:val="22"/>
        </w:rPr>
        <w:t>Koller</w:t>
      </w:r>
      <w:proofErr w:type="spellEnd"/>
      <w:r w:rsidR="00D678E8" w:rsidRPr="00590415">
        <w:rPr>
          <w:rFonts w:asciiTheme="minorHAnsi" w:hAnsiTheme="minorHAnsi" w:cstheme="minorBidi"/>
          <w:color w:val="auto"/>
          <w:sz w:val="22"/>
          <w:szCs w:val="22"/>
        </w:rPr>
        <w:t xml:space="preserve"> M, Velikova G, Johnson C, Scott N, Bottomley A, on behalf of the EORTC Quality of Life Group. </w:t>
      </w:r>
      <w:r w:rsidRPr="00590415">
        <w:rPr>
          <w:rFonts w:asciiTheme="minorHAnsi" w:hAnsiTheme="minorHAnsi"/>
          <w:color w:val="auto"/>
          <w:sz w:val="22"/>
          <w:szCs w:val="22"/>
        </w:rPr>
        <w:t>EORTC Quality of Life Group Translation Procedure. 2009: Brussels.</w:t>
      </w:r>
    </w:p>
    <w:p w14:paraId="09B41C7C" w14:textId="77777777" w:rsidR="001B520F" w:rsidRPr="00590415" w:rsidRDefault="001B520F" w:rsidP="00590415">
      <w:pPr>
        <w:pStyle w:val="EndNoteBibliography"/>
        <w:spacing w:after="0" w:line="360" w:lineRule="auto"/>
        <w:ind w:left="720" w:hanging="720"/>
        <w:rPr>
          <w:rFonts w:asciiTheme="minorHAnsi" w:hAnsiTheme="minorHAnsi"/>
        </w:rPr>
      </w:pPr>
      <w:r w:rsidRPr="00590415">
        <w:rPr>
          <w:rFonts w:asciiTheme="minorHAnsi" w:hAnsiTheme="minorHAnsi"/>
        </w:rPr>
        <w:t>30.</w:t>
      </w:r>
      <w:r w:rsidRPr="00590415">
        <w:rPr>
          <w:rFonts w:asciiTheme="minorHAnsi" w:hAnsiTheme="minorHAnsi"/>
        </w:rPr>
        <w:tab/>
      </w:r>
      <w:r w:rsidR="00D678E8" w:rsidRPr="00590415">
        <w:rPr>
          <w:rFonts w:asciiTheme="minorHAnsi" w:hAnsiTheme="minorHAnsi"/>
          <w:bCs/>
        </w:rPr>
        <w:t xml:space="preserve">Oken MM, Creech RH, Tormey DC. </w:t>
      </w:r>
      <w:r w:rsidRPr="00590415">
        <w:rPr>
          <w:rFonts w:asciiTheme="minorHAnsi" w:hAnsiTheme="minorHAnsi"/>
        </w:rPr>
        <w:t>Toxicity and response criteria of the Eastern Cooperative Oncology Group.</w:t>
      </w:r>
      <w:r w:rsidR="00D678E8" w:rsidRPr="00590415">
        <w:rPr>
          <w:rFonts w:asciiTheme="minorHAnsi" w:hAnsiTheme="minorHAnsi"/>
        </w:rPr>
        <w:t xml:space="preserve"> Am J Clin Oncol 1982;</w:t>
      </w:r>
      <w:r w:rsidRPr="00590415">
        <w:rPr>
          <w:rFonts w:asciiTheme="minorHAnsi" w:hAnsiTheme="minorHAnsi"/>
        </w:rPr>
        <w:t xml:space="preserve"> 5(6): p. 649-55.</w:t>
      </w:r>
    </w:p>
    <w:p w14:paraId="5DB575F2" w14:textId="77777777" w:rsidR="001B520F" w:rsidRPr="00590415" w:rsidRDefault="00281C4A" w:rsidP="00590415">
      <w:pPr>
        <w:pStyle w:val="EndNoteBibliography"/>
        <w:spacing w:line="360" w:lineRule="auto"/>
        <w:ind w:left="720" w:hanging="720"/>
        <w:rPr>
          <w:rFonts w:asciiTheme="minorHAnsi" w:hAnsiTheme="minorHAnsi"/>
        </w:rPr>
      </w:pPr>
      <w:r w:rsidRPr="00590415">
        <w:rPr>
          <w:rFonts w:asciiTheme="minorHAnsi" w:hAnsiTheme="minorHAnsi"/>
        </w:rPr>
        <w:t>31.</w:t>
      </w:r>
      <w:r w:rsidRPr="00590415">
        <w:rPr>
          <w:rFonts w:asciiTheme="minorHAnsi" w:hAnsiTheme="minorHAnsi"/>
        </w:rPr>
        <w:tab/>
        <w:t>Fayers P, Machin D.</w:t>
      </w:r>
      <w:r w:rsidR="001B520F" w:rsidRPr="00590415">
        <w:rPr>
          <w:rFonts w:asciiTheme="minorHAnsi" w:hAnsiTheme="minorHAnsi"/>
        </w:rPr>
        <w:t xml:space="preserve"> Quality of Life: the Assessment, Analysis and Interpretation of Patient-reported Outcomes</w:t>
      </w:r>
      <w:r w:rsidRPr="00590415">
        <w:rPr>
          <w:rFonts w:asciiTheme="minorHAnsi" w:hAnsiTheme="minorHAnsi"/>
        </w:rPr>
        <w:t>. 2nd ed. 2007;</w:t>
      </w:r>
      <w:r w:rsidR="001B520F" w:rsidRPr="00590415">
        <w:rPr>
          <w:rFonts w:asciiTheme="minorHAnsi" w:hAnsiTheme="minorHAnsi"/>
        </w:rPr>
        <w:t xml:space="preserve"> Chichester: John Wiley &amp; Sons.</w:t>
      </w:r>
    </w:p>
    <w:p w14:paraId="157AA7E6" w14:textId="77777777" w:rsidR="00281C4A" w:rsidRPr="00590415" w:rsidRDefault="00281C4A" w:rsidP="00590415">
      <w:pPr>
        <w:spacing w:line="360" w:lineRule="auto"/>
        <w:ind w:left="720" w:hanging="720"/>
      </w:pPr>
      <w:r w:rsidRPr="00590415">
        <w:t>32.</w:t>
      </w:r>
      <w:r w:rsidRPr="00590415">
        <w:tab/>
      </w:r>
      <w:proofErr w:type="spellStart"/>
      <w:r w:rsidRPr="00590415">
        <w:t>Snijders</w:t>
      </w:r>
      <w:proofErr w:type="spellEnd"/>
      <w:r w:rsidRPr="00590415">
        <w:t xml:space="preserve"> HS, </w:t>
      </w:r>
      <w:proofErr w:type="spellStart"/>
      <w:r w:rsidRPr="00590415">
        <w:t>Kunneman</w:t>
      </w:r>
      <w:proofErr w:type="spellEnd"/>
      <w:r w:rsidRPr="00590415">
        <w:t xml:space="preserve"> M, </w:t>
      </w:r>
      <w:proofErr w:type="spellStart"/>
      <w:r w:rsidRPr="00590415">
        <w:t>Bonsing</w:t>
      </w:r>
      <w:proofErr w:type="spellEnd"/>
      <w:r w:rsidRPr="00590415">
        <w:t xml:space="preserve"> BA et al. Preoperative risk information and patient involvement in surgical treatment for rectal and sigmoid cancer. Colorectal Dis. 2014; Feb 16(2): O43-9.</w:t>
      </w:r>
    </w:p>
    <w:p w14:paraId="6C36A7A9" w14:textId="5CEE25DD" w:rsidR="00261F5C" w:rsidRPr="00590415" w:rsidRDefault="00EB6E67" w:rsidP="00590415">
      <w:pPr>
        <w:shd w:val="clear" w:color="auto" w:fill="FFFFFF"/>
        <w:spacing w:after="0" w:line="360" w:lineRule="auto"/>
        <w:ind w:left="720" w:hanging="720"/>
        <w:rPr>
          <w:rFonts w:cs="Arial"/>
        </w:rPr>
      </w:pPr>
      <w:r w:rsidRPr="00590415">
        <w:t>33.</w:t>
      </w:r>
      <w:r w:rsidRPr="00590415">
        <w:tab/>
      </w:r>
      <w:hyperlink r:id="rId48" w:history="1">
        <w:r w:rsidR="00261F5C" w:rsidRPr="00590415">
          <w:rPr>
            <w:rFonts w:cs="Arial"/>
          </w:rPr>
          <w:t>De Francesco I</w:t>
        </w:r>
      </w:hyperlink>
      <w:r w:rsidR="00261F5C" w:rsidRPr="00590415">
        <w:rPr>
          <w:rFonts w:cs="Arial"/>
        </w:rPr>
        <w:t xml:space="preserve">, </w:t>
      </w:r>
      <w:hyperlink r:id="rId49" w:history="1">
        <w:r w:rsidR="00261F5C" w:rsidRPr="00590415">
          <w:rPr>
            <w:rFonts w:cs="Arial"/>
          </w:rPr>
          <w:t>Thomas K</w:t>
        </w:r>
      </w:hyperlink>
      <w:r w:rsidR="00261F5C" w:rsidRPr="00590415">
        <w:rPr>
          <w:rFonts w:cs="Arial"/>
        </w:rPr>
        <w:t xml:space="preserve">, </w:t>
      </w:r>
      <w:hyperlink r:id="rId50" w:history="1">
        <w:proofErr w:type="spellStart"/>
        <w:r w:rsidR="00261F5C" w:rsidRPr="00590415">
          <w:rPr>
            <w:rFonts w:cs="Arial"/>
          </w:rPr>
          <w:t>Wedlake</w:t>
        </w:r>
        <w:proofErr w:type="spellEnd"/>
        <w:r w:rsidR="00261F5C" w:rsidRPr="00590415">
          <w:rPr>
            <w:rFonts w:cs="Arial"/>
          </w:rPr>
          <w:t xml:space="preserve"> L</w:t>
        </w:r>
      </w:hyperlink>
      <w:r w:rsidR="00261F5C" w:rsidRPr="00590415">
        <w:rPr>
          <w:rFonts w:cs="Arial"/>
        </w:rPr>
        <w:t xml:space="preserve">, </w:t>
      </w:r>
      <w:hyperlink r:id="rId51" w:history="1">
        <w:r w:rsidR="00261F5C" w:rsidRPr="00590415">
          <w:rPr>
            <w:rFonts w:cs="Arial"/>
          </w:rPr>
          <w:t>Tait D</w:t>
        </w:r>
      </w:hyperlink>
      <w:r w:rsidR="00261F5C" w:rsidRPr="00590415">
        <w:rPr>
          <w:rFonts w:cs="Arial"/>
        </w:rPr>
        <w:t xml:space="preserve">. Intensity-modulated Radiotherapy and Anal Cancer: Clinical Outcome and Late Toxicity Assessment. </w:t>
      </w:r>
      <w:hyperlink r:id="rId52" w:tooltip="Clinical oncology (Royal College of Radiologists (Great Britain))." w:history="1">
        <w:proofErr w:type="spellStart"/>
        <w:r w:rsidR="00261F5C" w:rsidRPr="00590415">
          <w:rPr>
            <w:rFonts w:cs="Arial"/>
          </w:rPr>
          <w:t>Clin</w:t>
        </w:r>
        <w:proofErr w:type="spellEnd"/>
        <w:r w:rsidR="00261F5C" w:rsidRPr="00590415">
          <w:rPr>
            <w:rFonts w:cs="Arial"/>
          </w:rPr>
          <w:t xml:space="preserve"> </w:t>
        </w:r>
        <w:proofErr w:type="spellStart"/>
        <w:r w:rsidR="00261F5C" w:rsidRPr="00590415">
          <w:rPr>
            <w:rFonts w:cs="Arial"/>
          </w:rPr>
          <w:t>Oncol</w:t>
        </w:r>
        <w:proofErr w:type="spellEnd"/>
        <w:r w:rsidR="00261F5C" w:rsidRPr="00590415">
          <w:rPr>
            <w:rFonts w:cs="Arial"/>
          </w:rPr>
          <w:t xml:space="preserve"> (R </w:t>
        </w:r>
        <w:proofErr w:type="spellStart"/>
        <w:r w:rsidR="00261F5C" w:rsidRPr="00590415">
          <w:rPr>
            <w:rFonts w:cs="Arial"/>
          </w:rPr>
          <w:t>Coll</w:t>
        </w:r>
        <w:proofErr w:type="spellEnd"/>
        <w:r w:rsidR="00261F5C" w:rsidRPr="00590415">
          <w:rPr>
            <w:rFonts w:cs="Arial"/>
          </w:rPr>
          <w:t xml:space="preserve"> </w:t>
        </w:r>
        <w:proofErr w:type="spellStart"/>
        <w:r w:rsidR="00261F5C" w:rsidRPr="00590415">
          <w:rPr>
            <w:rFonts w:cs="Arial"/>
          </w:rPr>
          <w:t>Radiol</w:t>
        </w:r>
        <w:proofErr w:type="spellEnd"/>
        <w:r w:rsidR="00261F5C" w:rsidRPr="00590415">
          <w:rPr>
            <w:rFonts w:cs="Arial"/>
          </w:rPr>
          <w:t>).</w:t>
        </w:r>
      </w:hyperlink>
      <w:r w:rsidR="00261F5C" w:rsidRPr="00590415">
        <w:rPr>
          <w:rFonts w:cs="Arial"/>
        </w:rPr>
        <w:t xml:space="preserve"> 2016 Sep;</w:t>
      </w:r>
      <w:r w:rsidR="00590415">
        <w:rPr>
          <w:rFonts w:cs="Arial"/>
        </w:rPr>
        <w:t xml:space="preserve"> </w:t>
      </w:r>
      <w:r w:rsidR="00261F5C" w:rsidRPr="00590415">
        <w:rPr>
          <w:rFonts w:cs="Arial"/>
        </w:rPr>
        <w:t xml:space="preserve">28(9):604-10. </w:t>
      </w:r>
      <w:proofErr w:type="spellStart"/>
      <w:proofErr w:type="gramStart"/>
      <w:r w:rsidR="00261F5C" w:rsidRPr="00590415">
        <w:rPr>
          <w:rFonts w:cs="Arial"/>
        </w:rPr>
        <w:t>doi</w:t>
      </w:r>
      <w:proofErr w:type="spellEnd"/>
      <w:proofErr w:type="gramEnd"/>
      <w:r w:rsidR="00261F5C" w:rsidRPr="00590415">
        <w:rPr>
          <w:rFonts w:cs="Arial"/>
        </w:rPr>
        <w:t xml:space="preserve">: 10.1016/j.clon.2016.04.039. </w:t>
      </w:r>
      <w:proofErr w:type="spellStart"/>
      <w:r w:rsidR="00261F5C" w:rsidRPr="00590415">
        <w:rPr>
          <w:rFonts w:cs="Arial"/>
        </w:rPr>
        <w:t>Epub</w:t>
      </w:r>
      <w:proofErr w:type="spellEnd"/>
      <w:r w:rsidR="00261F5C" w:rsidRPr="00590415">
        <w:rPr>
          <w:rFonts w:cs="Arial"/>
        </w:rPr>
        <w:t xml:space="preserve"> 2016 May 5.</w:t>
      </w:r>
    </w:p>
    <w:p w14:paraId="525D58B8" w14:textId="372F6647" w:rsidR="00261F5C" w:rsidRPr="00590415" w:rsidRDefault="00261F5C" w:rsidP="00590415">
      <w:pPr>
        <w:shd w:val="clear" w:color="auto" w:fill="FFFFFF"/>
        <w:spacing w:after="0" w:line="360" w:lineRule="auto"/>
        <w:ind w:left="720" w:hanging="720"/>
        <w:rPr>
          <w:rFonts w:cs="Arial"/>
        </w:rPr>
      </w:pPr>
      <w:r w:rsidRPr="00590415">
        <w:t>34.</w:t>
      </w:r>
      <w:r w:rsidRPr="00590415">
        <w:tab/>
      </w:r>
      <w:hyperlink r:id="rId53" w:history="1">
        <w:r w:rsidRPr="00590415">
          <w:rPr>
            <w:rFonts w:cs="Arial"/>
          </w:rPr>
          <w:t>Han K</w:t>
        </w:r>
      </w:hyperlink>
      <w:r w:rsidRPr="00590415">
        <w:rPr>
          <w:rFonts w:cs="Arial"/>
        </w:rPr>
        <w:t xml:space="preserve">, </w:t>
      </w:r>
      <w:hyperlink r:id="rId54" w:history="1">
        <w:r w:rsidRPr="00590415">
          <w:rPr>
            <w:rFonts w:cs="Arial"/>
          </w:rPr>
          <w:t>Cummings BJ</w:t>
        </w:r>
      </w:hyperlink>
      <w:r w:rsidRPr="00590415">
        <w:rPr>
          <w:rFonts w:cs="Arial"/>
        </w:rPr>
        <w:t xml:space="preserve">, </w:t>
      </w:r>
      <w:hyperlink r:id="rId55" w:history="1">
        <w:r w:rsidRPr="00590415">
          <w:rPr>
            <w:rFonts w:cs="Arial"/>
          </w:rPr>
          <w:t>Lindsay P</w:t>
        </w:r>
      </w:hyperlink>
      <w:r w:rsidRPr="00590415">
        <w:rPr>
          <w:rFonts w:cs="Arial"/>
        </w:rPr>
        <w:t xml:space="preserve"> et al. Prospective evaluation of acute toxicity and quality of life after IMRT and concurrent chemotherapy for anal canal and perianal cancer.  </w:t>
      </w:r>
      <w:proofErr w:type="spellStart"/>
      <w:r w:rsidRPr="00590415">
        <w:rPr>
          <w:rFonts w:cs="Arial"/>
        </w:rPr>
        <w:t>Int</w:t>
      </w:r>
      <w:proofErr w:type="spellEnd"/>
      <w:r w:rsidRPr="00590415">
        <w:rPr>
          <w:rFonts w:cs="Arial"/>
        </w:rPr>
        <w:t xml:space="preserve"> J </w:t>
      </w:r>
      <w:proofErr w:type="spellStart"/>
      <w:r w:rsidRPr="00590415">
        <w:rPr>
          <w:rFonts w:cs="Arial"/>
        </w:rPr>
        <w:t>Radiat</w:t>
      </w:r>
      <w:proofErr w:type="spellEnd"/>
      <w:r w:rsidRPr="00590415">
        <w:rPr>
          <w:rFonts w:cs="Arial"/>
        </w:rPr>
        <w:t xml:space="preserve"> </w:t>
      </w:r>
      <w:proofErr w:type="spellStart"/>
      <w:r w:rsidRPr="00590415">
        <w:rPr>
          <w:rFonts w:cs="Arial"/>
        </w:rPr>
        <w:t>Oncol</w:t>
      </w:r>
      <w:proofErr w:type="spellEnd"/>
      <w:r w:rsidRPr="00590415">
        <w:rPr>
          <w:rFonts w:cs="Arial"/>
        </w:rPr>
        <w:t xml:space="preserve"> </w:t>
      </w:r>
      <w:proofErr w:type="spellStart"/>
      <w:r w:rsidRPr="00590415">
        <w:rPr>
          <w:rFonts w:cs="Arial"/>
        </w:rPr>
        <w:t>Biol</w:t>
      </w:r>
      <w:proofErr w:type="spellEnd"/>
      <w:r w:rsidRPr="00590415">
        <w:rPr>
          <w:rFonts w:cs="Arial"/>
        </w:rPr>
        <w:t xml:space="preserve"> Phys. 2014; Nov 1;</w:t>
      </w:r>
      <w:r w:rsidR="00590415">
        <w:rPr>
          <w:rFonts w:cs="Arial"/>
        </w:rPr>
        <w:t xml:space="preserve"> </w:t>
      </w:r>
      <w:r w:rsidRPr="00590415">
        <w:rPr>
          <w:rFonts w:cs="Arial"/>
        </w:rPr>
        <w:t xml:space="preserve">90(3):587-94. </w:t>
      </w:r>
      <w:proofErr w:type="spellStart"/>
      <w:proofErr w:type="gramStart"/>
      <w:r w:rsidRPr="00590415">
        <w:rPr>
          <w:rFonts w:cs="Arial"/>
        </w:rPr>
        <w:t>doi</w:t>
      </w:r>
      <w:proofErr w:type="spellEnd"/>
      <w:proofErr w:type="gramEnd"/>
      <w:r w:rsidRPr="00590415">
        <w:rPr>
          <w:rFonts w:cs="Arial"/>
        </w:rPr>
        <w:t xml:space="preserve">: 10.1016/j.ijrobp.2014.06.061. </w:t>
      </w:r>
      <w:proofErr w:type="spellStart"/>
      <w:r w:rsidRPr="00590415">
        <w:rPr>
          <w:rFonts w:cs="Arial"/>
        </w:rPr>
        <w:t>Epub</w:t>
      </w:r>
      <w:proofErr w:type="spellEnd"/>
      <w:r w:rsidRPr="00590415">
        <w:rPr>
          <w:rFonts w:cs="Arial"/>
        </w:rPr>
        <w:t xml:space="preserve"> 2014 Sep 3.</w:t>
      </w:r>
    </w:p>
    <w:p w14:paraId="10FAB2CF" w14:textId="30738736" w:rsidR="007B6652" w:rsidRPr="00590415" w:rsidRDefault="007B6652" w:rsidP="00590415">
      <w:pPr>
        <w:shd w:val="clear" w:color="auto" w:fill="FFFFFF"/>
        <w:spacing w:after="0" w:line="360" w:lineRule="auto"/>
        <w:ind w:left="720" w:hanging="720"/>
        <w:rPr>
          <w:rFonts w:cs="Arial"/>
        </w:rPr>
      </w:pPr>
      <w:r w:rsidRPr="00590415">
        <w:lastRenderedPageBreak/>
        <w:t>35.</w:t>
      </w:r>
      <w:r w:rsidRPr="00590415">
        <w:rPr>
          <w:rFonts w:cs="Arial"/>
        </w:rPr>
        <w:t xml:space="preserve"> </w:t>
      </w:r>
      <w:r w:rsidRPr="00590415">
        <w:rPr>
          <w:rFonts w:cs="Arial"/>
        </w:rPr>
        <w:tab/>
      </w:r>
      <w:hyperlink r:id="rId56" w:history="1">
        <w:r w:rsidRPr="00590415">
          <w:rPr>
            <w:rFonts w:cs="Arial"/>
          </w:rPr>
          <w:t>Joseph K</w:t>
        </w:r>
      </w:hyperlink>
      <w:r w:rsidRPr="00590415">
        <w:rPr>
          <w:rFonts w:cs="Arial"/>
        </w:rPr>
        <w:t xml:space="preserve">, </w:t>
      </w:r>
      <w:hyperlink r:id="rId57" w:history="1">
        <w:proofErr w:type="spellStart"/>
        <w:r w:rsidRPr="00590415">
          <w:rPr>
            <w:rFonts w:cs="Arial"/>
          </w:rPr>
          <w:t>Vos</w:t>
        </w:r>
        <w:proofErr w:type="spellEnd"/>
        <w:r w:rsidRPr="00590415">
          <w:rPr>
            <w:rFonts w:cs="Arial"/>
          </w:rPr>
          <w:t xml:space="preserve"> LJ</w:t>
        </w:r>
      </w:hyperlink>
      <w:r w:rsidRPr="00590415">
        <w:rPr>
          <w:rFonts w:cs="Arial"/>
        </w:rPr>
        <w:t xml:space="preserve">, </w:t>
      </w:r>
      <w:hyperlink r:id="rId58" w:history="1">
        <w:proofErr w:type="spellStart"/>
        <w:r w:rsidRPr="00590415">
          <w:rPr>
            <w:rFonts w:cs="Arial"/>
          </w:rPr>
          <w:t>Warkentin</w:t>
        </w:r>
        <w:proofErr w:type="spellEnd"/>
        <w:r w:rsidRPr="00590415">
          <w:rPr>
            <w:rFonts w:cs="Arial"/>
          </w:rPr>
          <w:t xml:space="preserve"> H</w:t>
        </w:r>
      </w:hyperlink>
      <w:r w:rsidRPr="00590415">
        <w:rPr>
          <w:rFonts w:cs="Arial"/>
        </w:rPr>
        <w:t xml:space="preserve">, et al. Patient reported quality of life after helical IMRT based concurrent </w:t>
      </w:r>
      <w:proofErr w:type="spellStart"/>
      <w:r w:rsidRPr="00590415">
        <w:rPr>
          <w:rFonts w:cs="Arial"/>
        </w:rPr>
        <w:t>chemoradiation</w:t>
      </w:r>
      <w:proofErr w:type="spellEnd"/>
      <w:r w:rsidRPr="00590415">
        <w:rPr>
          <w:rFonts w:cs="Arial"/>
        </w:rPr>
        <w:t xml:space="preserve"> of locally advanced anal cancer. </w:t>
      </w:r>
      <w:proofErr w:type="spellStart"/>
      <w:r w:rsidRPr="00590415">
        <w:rPr>
          <w:rFonts w:cs="Arial"/>
        </w:rPr>
        <w:t>Radiother</w:t>
      </w:r>
      <w:proofErr w:type="spellEnd"/>
      <w:r w:rsidRPr="00590415">
        <w:rPr>
          <w:rFonts w:cs="Arial"/>
        </w:rPr>
        <w:t xml:space="preserve"> </w:t>
      </w:r>
      <w:proofErr w:type="spellStart"/>
      <w:r w:rsidRPr="00590415">
        <w:rPr>
          <w:rFonts w:cs="Arial"/>
        </w:rPr>
        <w:t>Oncol</w:t>
      </w:r>
      <w:proofErr w:type="spellEnd"/>
      <w:r w:rsidRPr="00590415">
        <w:rPr>
          <w:rFonts w:cs="Arial"/>
        </w:rPr>
        <w:t xml:space="preserve"> 2016; Aug;</w:t>
      </w:r>
      <w:r w:rsidR="00590415">
        <w:rPr>
          <w:rFonts w:cs="Arial"/>
        </w:rPr>
        <w:t xml:space="preserve"> </w:t>
      </w:r>
      <w:r w:rsidRPr="00590415">
        <w:rPr>
          <w:rFonts w:cs="Arial"/>
        </w:rPr>
        <w:t xml:space="preserve">120(2):228-33. </w:t>
      </w:r>
      <w:proofErr w:type="spellStart"/>
      <w:proofErr w:type="gramStart"/>
      <w:r w:rsidRPr="00590415">
        <w:rPr>
          <w:rFonts w:cs="Arial"/>
        </w:rPr>
        <w:t>doi</w:t>
      </w:r>
      <w:proofErr w:type="spellEnd"/>
      <w:proofErr w:type="gramEnd"/>
      <w:r w:rsidRPr="00590415">
        <w:rPr>
          <w:rFonts w:cs="Arial"/>
        </w:rPr>
        <w:t xml:space="preserve">: 10.1016/j.radonc.2016.06.020. </w:t>
      </w:r>
      <w:proofErr w:type="spellStart"/>
      <w:r w:rsidRPr="00590415">
        <w:rPr>
          <w:rFonts w:cs="Arial"/>
        </w:rPr>
        <w:t>Epub</w:t>
      </w:r>
      <w:proofErr w:type="spellEnd"/>
      <w:r w:rsidRPr="00590415">
        <w:rPr>
          <w:rFonts w:cs="Arial"/>
        </w:rPr>
        <w:t xml:space="preserve"> 2016 Jul 9.</w:t>
      </w:r>
    </w:p>
    <w:p w14:paraId="1DC001C5" w14:textId="77777777" w:rsidR="00261F5C" w:rsidRPr="00590415" w:rsidRDefault="00261F5C" w:rsidP="00590415">
      <w:pPr>
        <w:shd w:val="clear" w:color="auto" w:fill="FFFFFF"/>
        <w:spacing w:after="0" w:line="360" w:lineRule="auto"/>
        <w:rPr>
          <w:rFonts w:cs="Arial"/>
        </w:rPr>
      </w:pPr>
    </w:p>
    <w:p w14:paraId="5B7DA724" w14:textId="0A8F7CEA" w:rsidR="00261F5C" w:rsidRPr="00590415" w:rsidRDefault="007B6652" w:rsidP="00590415">
      <w:pPr>
        <w:shd w:val="clear" w:color="auto" w:fill="FFFFFF"/>
        <w:spacing w:line="360" w:lineRule="auto"/>
        <w:ind w:left="720" w:hanging="720"/>
        <w:rPr>
          <w:rFonts w:cs="Arial"/>
        </w:rPr>
      </w:pPr>
      <w:r w:rsidRPr="00590415">
        <w:t>36</w:t>
      </w:r>
      <w:r w:rsidR="00261F5C" w:rsidRPr="00590415">
        <w:t>.</w:t>
      </w:r>
      <w:r w:rsidR="00261F5C" w:rsidRPr="00590415">
        <w:tab/>
      </w:r>
      <w:hyperlink r:id="rId59" w:history="1">
        <w:proofErr w:type="spellStart"/>
        <w:r w:rsidR="00261F5C" w:rsidRPr="00590415">
          <w:rPr>
            <w:rFonts w:cs="Arial"/>
          </w:rPr>
          <w:t>Kachnic</w:t>
        </w:r>
        <w:proofErr w:type="spellEnd"/>
        <w:r w:rsidR="00261F5C" w:rsidRPr="00590415">
          <w:rPr>
            <w:rFonts w:cs="Arial"/>
          </w:rPr>
          <w:t xml:space="preserve"> LA</w:t>
        </w:r>
      </w:hyperlink>
      <w:r w:rsidR="00261F5C" w:rsidRPr="00590415">
        <w:rPr>
          <w:rFonts w:cs="Arial"/>
        </w:rPr>
        <w:t xml:space="preserve">, </w:t>
      </w:r>
      <w:hyperlink r:id="rId60" w:history="1">
        <w:r w:rsidR="00261F5C" w:rsidRPr="00590415">
          <w:rPr>
            <w:rFonts w:cs="Arial"/>
          </w:rPr>
          <w:t>Winter K</w:t>
        </w:r>
      </w:hyperlink>
      <w:r w:rsidR="00261F5C" w:rsidRPr="00590415">
        <w:rPr>
          <w:rFonts w:cs="Arial"/>
        </w:rPr>
        <w:t xml:space="preserve">, </w:t>
      </w:r>
      <w:hyperlink r:id="rId61" w:history="1">
        <w:r w:rsidR="00261F5C" w:rsidRPr="00590415">
          <w:rPr>
            <w:rFonts w:cs="Arial"/>
          </w:rPr>
          <w:t>Myerson RJ</w:t>
        </w:r>
      </w:hyperlink>
      <w:r w:rsidR="00261F5C" w:rsidRPr="00590415">
        <w:rPr>
          <w:rFonts w:cs="Arial"/>
        </w:rPr>
        <w:t xml:space="preserve">. RTOG 0529: a phase 2 evaluation of dose-painted intensity modulated radiation therapy in combination with 5-fluorouracil and </w:t>
      </w:r>
      <w:proofErr w:type="spellStart"/>
      <w:r w:rsidR="00261F5C" w:rsidRPr="00590415">
        <w:rPr>
          <w:rFonts w:cs="Arial"/>
        </w:rPr>
        <w:t>mitomycin</w:t>
      </w:r>
      <w:proofErr w:type="spellEnd"/>
      <w:r w:rsidR="00261F5C" w:rsidRPr="00590415">
        <w:rPr>
          <w:rFonts w:cs="Arial"/>
        </w:rPr>
        <w:t xml:space="preserve">-C for the reduction of acute morbidity in carcinoma of the anal canal.  </w:t>
      </w:r>
      <w:proofErr w:type="spellStart"/>
      <w:r w:rsidR="00261F5C" w:rsidRPr="00590415">
        <w:rPr>
          <w:rFonts w:cs="Arial"/>
        </w:rPr>
        <w:t>Int</w:t>
      </w:r>
      <w:proofErr w:type="spellEnd"/>
      <w:r w:rsidR="00261F5C" w:rsidRPr="00590415">
        <w:rPr>
          <w:rFonts w:cs="Arial"/>
        </w:rPr>
        <w:t xml:space="preserve"> J </w:t>
      </w:r>
      <w:proofErr w:type="spellStart"/>
      <w:r w:rsidR="00261F5C" w:rsidRPr="00590415">
        <w:rPr>
          <w:rFonts w:cs="Arial"/>
        </w:rPr>
        <w:t>Radiat</w:t>
      </w:r>
      <w:proofErr w:type="spellEnd"/>
      <w:r w:rsidR="00261F5C" w:rsidRPr="00590415">
        <w:rPr>
          <w:rFonts w:cs="Arial"/>
        </w:rPr>
        <w:t xml:space="preserve"> </w:t>
      </w:r>
      <w:proofErr w:type="spellStart"/>
      <w:r w:rsidR="00261F5C" w:rsidRPr="00590415">
        <w:rPr>
          <w:rFonts w:cs="Arial"/>
        </w:rPr>
        <w:t>Oncol</w:t>
      </w:r>
      <w:proofErr w:type="spellEnd"/>
      <w:r w:rsidR="00261F5C" w:rsidRPr="00590415">
        <w:rPr>
          <w:rFonts w:cs="Arial"/>
        </w:rPr>
        <w:t xml:space="preserve"> </w:t>
      </w:r>
      <w:proofErr w:type="spellStart"/>
      <w:r w:rsidR="00261F5C" w:rsidRPr="00590415">
        <w:rPr>
          <w:rFonts w:cs="Arial"/>
        </w:rPr>
        <w:t>Biol</w:t>
      </w:r>
      <w:proofErr w:type="spellEnd"/>
      <w:r w:rsidR="00261F5C" w:rsidRPr="00590415">
        <w:rPr>
          <w:rFonts w:cs="Arial"/>
        </w:rPr>
        <w:t xml:space="preserve"> Phys 2013; May 1</w:t>
      </w:r>
      <w:proofErr w:type="gramStart"/>
      <w:r w:rsidR="00261F5C" w:rsidRPr="00590415">
        <w:rPr>
          <w:rFonts w:cs="Arial"/>
        </w:rPr>
        <w:t>;86</w:t>
      </w:r>
      <w:proofErr w:type="gramEnd"/>
      <w:r w:rsidR="00261F5C" w:rsidRPr="00590415">
        <w:rPr>
          <w:rFonts w:cs="Arial"/>
        </w:rPr>
        <w:t xml:space="preserve">(1):27-33. </w:t>
      </w:r>
      <w:proofErr w:type="spellStart"/>
      <w:proofErr w:type="gramStart"/>
      <w:r w:rsidR="00261F5C" w:rsidRPr="00590415">
        <w:rPr>
          <w:rFonts w:cs="Arial"/>
        </w:rPr>
        <w:t>doi</w:t>
      </w:r>
      <w:proofErr w:type="spellEnd"/>
      <w:proofErr w:type="gramEnd"/>
      <w:r w:rsidR="00261F5C" w:rsidRPr="00590415">
        <w:rPr>
          <w:rFonts w:cs="Arial"/>
        </w:rPr>
        <w:t xml:space="preserve">: 10.1016/j.ijrobp.2012.09.023. </w:t>
      </w:r>
      <w:proofErr w:type="spellStart"/>
      <w:r w:rsidR="00261F5C" w:rsidRPr="00590415">
        <w:rPr>
          <w:rFonts w:cs="Arial"/>
        </w:rPr>
        <w:t>Epub</w:t>
      </w:r>
      <w:proofErr w:type="spellEnd"/>
      <w:r w:rsidR="00261F5C" w:rsidRPr="00590415">
        <w:rPr>
          <w:rFonts w:cs="Arial"/>
        </w:rPr>
        <w:t xml:space="preserve"> 2012 Nov 12.</w:t>
      </w:r>
    </w:p>
    <w:p w14:paraId="552D91AC" w14:textId="4F1F3E38" w:rsidR="007B6652" w:rsidRPr="00590415" w:rsidRDefault="007B6652" w:rsidP="00590415">
      <w:pPr>
        <w:pStyle w:val="Heading1"/>
        <w:spacing w:line="360" w:lineRule="auto"/>
        <w:ind w:left="720" w:hanging="720"/>
        <w:rPr>
          <w:rFonts w:asciiTheme="minorHAnsi" w:hAnsiTheme="minorHAnsi"/>
          <w:color w:val="auto"/>
          <w:sz w:val="22"/>
          <w:szCs w:val="22"/>
        </w:rPr>
      </w:pPr>
      <w:r w:rsidRPr="00590415">
        <w:rPr>
          <w:rFonts w:asciiTheme="minorHAnsi" w:hAnsiTheme="minorHAnsi"/>
          <w:color w:val="auto"/>
          <w:sz w:val="22"/>
          <w:szCs w:val="22"/>
        </w:rPr>
        <w:t>37.</w:t>
      </w:r>
      <w:r w:rsidRPr="00590415">
        <w:rPr>
          <w:rFonts w:asciiTheme="minorHAnsi" w:hAnsiTheme="minorHAnsi"/>
          <w:color w:val="auto"/>
          <w:sz w:val="22"/>
          <w:szCs w:val="22"/>
        </w:rPr>
        <w:tab/>
        <w:t xml:space="preserve">Knowles G, Haigh R, McLean C, Phillips HA, Dunlop MG, Din FV. Long term effect of surgery and radiotherapy for colorectal cancer on </w:t>
      </w:r>
      <w:proofErr w:type="spellStart"/>
      <w:r w:rsidRPr="00590415">
        <w:rPr>
          <w:rFonts w:asciiTheme="minorHAnsi" w:hAnsiTheme="minorHAnsi"/>
          <w:color w:val="auto"/>
          <w:sz w:val="22"/>
          <w:szCs w:val="22"/>
        </w:rPr>
        <w:t>defecatory</w:t>
      </w:r>
      <w:proofErr w:type="spellEnd"/>
      <w:r w:rsidRPr="00590415">
        <w:rPr>
          <w:rFonts w:asciiTheme="minorHAnsi" w:hAnsiTheme="minorHAnsi"/>
          <w:color w:val="auto"/>
          <w:sz w:val="22"/>
          <w:szCs w:val="22"/>
        </w:rPr>
        <w:t xml:space="preserve"> function and quality of life. </w:t>
      </w:r>
      <w:proofErr w:type="spellStart"/>
      <w:r w:rsidRPr="00590415">
        <w:rPr>
          <w:rFonts w:asciiTheme="minorHAnsi" w:hAnsiTheme="minorHAnsi"/>
          <w:color w:val="auto"/>
          <w:sz w:val="22"/>
          <w:szCs w:val="22"/>
        </w:rPr>
        <w:t>Eur</w:t>
      </w:r>
      <w:proofErr w:type="spellEnd"/>
      <w:r w:rsidRPr="00590415">
        <w:rPr>
          <w:rFonts w:asciiTheme="minorHAnsi" w:hAnsiTheme="minorHAnsi"/>
          <w:color w:val="auto"/>
          <w:sz w:val="22"/>
          <w:szCs w:val="22"/>
        </w:rPr>
        <w:t xml:space="preserve"> J </w:t>
      </w:r>
      <w:proofErr w:type="spellStart"/>
      <w:r w:rsidRPr="00590415">
        <w:rPr>
          <w:rFonts w:asciiTheme="minorHAnsi" w:hAnsiTheme="minorHAnsi"/>
          <w:color w:val="auto"/>
          <w:sz w:val="22"/>
          <w:szCs w:val="22"/>
        </w:rPr>
        <w:t>Oncol</w:t>
      </w:r>
      <w:proofErr w:type="spellEnd"/>
      <w:r w:rsidRPr="00590415">
        <w:rPr>
          <w:rFonts w:asciiTheme="minorHAnsi" w:hAnsiTheme="minorHAnsi"/>
          <w:color w:val="auto"/>
          <w:sz w:val="22"/>
          <w:szCs w:val="22"/>
        </w:rPr>
        <w:t xml:space="preserve"> </w:t>
      </w:r>
      <w:proofErr w:type="spellStart"/>
      <w:r w:rsidRPr="00590415">
        <w:rPr>
          <w:rFonts w:asciiTheme="minorHAnsi" w:hAnsiTheme="minorHAnsi"/>
          <w:color w:val="auto"/>
          <w:sz w:val="22"/>
          <w:szCs w:val="22"/>
        </w:rPr>
        <w:t>Nurs</w:t>
      </w:r>
      <w:proofErr w:type="spellEnd"/>
      <w:r w:rsidRPr="00590415">
        <w:rPr>
          <w:rFonts w:asciiTheme="minorHAnsi" w:hAnsiTheme="minorHAnsi"/>
          <w:color w:val="auto"/>
          <w:sz w:val="22"/>
          <w:szCs w:val="22"/>
        </w:rPr>
        <w:t xml:space="preserve"> 2013; Oct</w:t>
      </w:r>
      <w:proofErr w:type="gramStart"/>
      <w:r w:rsidRPr="00590415">
        <w:rPr>
          <w:rFonts w:asciiTheme="minorHAnsi" w:hAnsiTheme="minorHAnsi"/>
          <w:color w:val="auto"/>
          <w:sz w:val="22"/>
          <w:szCs w:val="22"/>
        </w:rPr>
        <w:t>;17</w:t>
      </w:r>
      <w:proofErr w:type="gramEnd"/>
      <w:r w:rsidRPr="00590415">
        <w:rPr>
          <w:rFonts w:asciiTheme="minorHAnsi" w:hAnsiTheme="minorHAnsi"/>
          <w:color w:val="auto"/>
          <w:sz w:val="22"/>
          <w:szCs w:val="22"/>
        </w:rPr>
        <w:t>(5):570-7.</w:t>
      </w:r>
    </w:p>
    <w:p w14:paraId="11F4145E" w14:textId="66BBCEE3" w:rsidR="007B6652" w:rsidRPr="00590415" w:rsidRDefault="007B6652" w:rsidP="00590415">
      <w:pPr>
        <w:shd w:val="clear" w:color="auto" w:fill="FFFFFF"/>
        <w:spacing w:after="0" w:line="360" w:lineRule="auto"/>
        <w:ind w:left="720" w:hanging="720"/>
        <w:rPr>
          <w:rFonts w:cs="Arial"/>
        </w:rPr>
      </w:pPr>
      <w:r w:rsidRPr="00590415">
        <w:t>38.</w:t>
      </w:r>
      <w:r w:rsidRPr="00590415">
        <w:tab/>
      </w:r>
      <w:hyperlink r:id="rId62" w:history="1">
        <w:proofErr w:type="spellStart"/>
        <w:r w:rsidRPr="00590415">
          <w:rPr>
            <w:rFonts w:cs="Arial"/>
          </w:rPr>
          <w:t>Mitra</w:t>
        </w:r>
        <w:proofErr w:type="spellEnd"/>
        <w:r w:rsidRPr="00590415">
          <w:rPr>
            <w:rFonts w:cs="Arial"/>
          </w:rPr>
          <w:t xml:space="preserve"> D</w:t>
        </w:r>
      </w:hyperlink>
      <w:r w:rsidRPr="00590415">
        <w:rPr>
          <w:rFonts w:cs="Arial"/>
        </w:rPr>
        <w:t xml:space="preserve">, </w:t>
      </w:r>
      <w:hyperlink r:id="rId63" w:history="1">
        <w:r w:rsidRPr="00590415">
          <w:rPr>
            <w:rFonts w:cs="Arial"/>
          </w:rPr>
          <w:t>Hong TS</w:t>
        </w:r>
      </w:hyperlink>
      <w:r w:rsidRPr="00590415">
        <w:rPr>
          <w:rFonts w:cs="Arial"/>
        </w:rPr>
        <w:t xml:space="preserve">, </w:t>
      </w:r>
      <w:hyperlink r:id="rId64" w:history="1">
        <w:proofErr w:type="spellStart"/>
        <w:r w:rsidRPr="00590415">
          <w:rPr>
            <w:rFonts w:cs="Arial"/>
          </w:rPr>
          <w:t>Horick</w:t>
        </w:r>
        <w:proofErr w:type="spellEnd"/>
        <w:r w:rsidRPr="00590415">
          <w:rPr>
            <w:rFonts w:cs="Arial"/>
          </w:rPr>
          <w:t xml:space="preserve"> N</w:t>
        </w:r>
      </w:hyperlink>
      <w:r w:rsidRPr="00590415">
        <w:rPr>
          <w:rFonts w:cs="Arial"/>
        </w:rPr>
        <w:t xml:space="preserve">, et al. Long-term outcomes and toxicities of a large cohort of anal cancer patients treated with dose-painted IMRT per RTOG 0529. </w:t>
      </w:r>
      <w:proofErr w:type="spellStart"/>
      <w:r w:rsidRPr="00590415">
        <w:rPr>
          <w:rFonts w:cs="Arial"/>
        </w:rPr>
        <w:t>Adv</w:t>
      </w:r>
      <w:proofErr w:type="spellEnd"/>
      <w:r w:rsidRPr="00590415">
        <w:rPr>
          <w:rFonts w:cs="Arial"/>
        </w:rPr>
        <w:t xml:space="preserve"> </w:t>
      </w:r>
      <w:proofErr w:type="spellStart"/>
      <w:r w:rsidRPr="00590415">
        <w:rPr>
          <w:rFonts w:cs="Arial"/>
        </w:rPr>
        <w:t>Radiat</w:t>
      </w:r>
      <w:proofErr w:type="spellEnd"/>
      <w:r w:rsidRPr="00590415">
        <w:rPr>
          <w:rFonts w:cs="Arial"/>
        </w:rPr>
        <w:t xml:space="preserve"> </w:t>
      </w:r>
      <w:proofErr w:type="spellStart"/>
      <w:r w:rsidRPr="00590415">
        <w:rPr>
          <w:rFonts w:cs="Arial"/>
        </w:rPr>
        <w:t>Oncol</w:t>
      </w:r>
      <w:proofErr w:type="spellEnd"/>
      <w:r w:rsidRPr="00590415">
        <w:rPr>
          <w:rFonts w:cs="Arial"/>
        </w:rPr>
        <w:t>. 2017; Feb 6</w:t>
      </w:r>
      <w:proofErr w:type="gramStart"/>
      <w:r w:rsidRPr="00590415">
        <w:rPr>
          <w:rFonts w:cs="Arial"/>
        </w:rPr>
        <w:t>;2</w:t>
      </w:r>
      <w:proofErr w:type="gramEnd"/>
      <w:r w:rsidRPr="00590415">
        <w:rPr>
          <w:rFonts w:cs="Arial"/>
        </w:rPr>
        <w:t xml:space="preserve">(2):110-117. </w:t>
      </w:r>
      <w:proofErr w:type="spellStart"/>
      <w:proofErr w:type="gramStart"/>
      <w:r w:rsidRPr="00590415">
        <w:rPr>
          <w:rFonts w:cs="Arial"/>
        </w:rPr>
        <w:t>doi</w:t>
      </w:r>
      <w:proofErr w:type="spellEnd"/>
      <w:proofErr w:type="gramEnd"/>
      <w:r w:rsidRPr="00590415">
        <w:rPr>
          <w:rFonts w:cs="Arial"/>
        </w:rPr>
        <w:t xml:space="preserve">: 10.1016/j.adro.2017.01.009. </w:t>
      </w:r>
      <w:proofErr w:type="spellStart"/>
      <w:proofErr w:type="gramStart"/>
      <w:r w:rsidRPr="00590415">
        <w:rPr>
          <w:rFonts w:cs="Arial"/>
        </w:rPr>
        <w:t>eCollection</w:t>
      </w:r>
      <w:proofErr w:type="spellEnd"/>
      <w:proofErr w:type="gramEnd"/>
      <w:r w:rsidRPr="00590415">
        <w:rPr>
          <w:rFonts w:cs="Arial"/>
        </w:rPr>
        <w:t xml:space="preserve"> 2017 Apr-Jun.#</w:t>
      </w:r>
    </w:p>
    <w:p w14:paraId="2C3121AE" w14:textId="5F4613FD" w:rsidR="007F6F57" w:rsidRPr="00590415" w:rsidRDefault="007B6652" w:rsidP="00590415">
      <w:pPr>
        <w:pStyle w:val="Heading1"/>
        <w:shd w:val="clear" w:color="auto" w:fill="FFFFFF"/>
        <w:spacing w:line="360" w:lineRule="auto"/>
        <w:ind w:left="720" w:hanging="720"/>
        <w:rPr>
          <w:rFonts w:asciiTheme="minorHAnsi" w:hAnsiTheme="minorHAnsi" w:cs="Arial"/>
          <w:color w:val="auto"/>
          <w:sz w:val="22"/>
          <w:szCs w:val="22"/>
        </w:rPr>
      </w:pPr>
      <w:r w:rsidRPr="00590415">
        <w:rPr>
          <w:rFonts w:asciiTheme="minorHAnsi" w:hAnsiTheme="minorHAnsi"/>
          <w:color w:val="auto"/>
          <w:sz w:val="22"/>
          <w:szCs w:val="22"/>
        </w:rPr>
        <w:t>39.</w:t>
      </w:r>
      <w:r w:rsidRPr="00590415">
        <w:rPr>
          <w:rFonts w:asciiTheme="minorHAnsi" w:hAnsiTheme="minorHAnsi"/>
          <w:color w:val="auto"/>
          <w:sz w:val="22"/>
          <w:szCs w:val="22"/>
        </w:rPr>
        <w:tab/>
      </w:r>
      <w:hyperlink r:id="rId65" w:history="1">
        <w:r w:rsidRPr="00590415">
          <w:rPr>
            <w:rFonts w:asciiTheme="minorHAnsi" w:hAnsiTheme="minorHAnsi" w:cs="Arial"/>
            <w:color w:val="auto"/>
            <w:sz w:val="22"/>
            <w:szCs w:val="22"/>
          </w:rPr>
          <w:t>Downing A</w:t>
        </w:r>
      </w:hyperlink>
      <w:r w:rsidRPr="00590415">
        <w:rPr>
          <w:rFonts w:asciiTheme="minorHAnsi" w:hAnsiTheme="minorHAnsi" w:cs="Arial"/>
          <w:color w:val="auto"/>
          <w:sz w:val="22"/>
          <w:szCs w:val="22"/>
        </w:rPr>
        <w:t xml:space="preserve">, </w:t>
      </w:r>
      <w:hyperlink r:id="rId66" w:history="1">
        <w:r w:rsidRPr="00590415">
          <w:rPr>
            <w:rFonts w:asciiTheme="minorHAnsi" w:hAnsiTheme="minorHAnsi" w:cs="Arial"/>
            <w:color w:val="auto"/>
            <w:sz w:val="22"/>
            <w:szCs w:val="22"/>
          </w:rPr>
          <w:t>Morris EJ</w:t>
        </w:r>
      </w:hyperlink>
      <w:r w:rsidRPr="00590415">
        <w:rPr>
          <w:rFonts w:asciiTheme="minorHAnsi" w:hAnsiTheme="minorHAnsi" w:cs="Arial"/>
          <w:color w:val="auto"/>
          <w:sz w:val="22"/>
          <w:szCs w:val="22"/>
        </w:rPr>
        <w:t>, Richards M</w:t>
      </w:r>
      <w:r w:rsidR="007F6F57" w:rsidRPr="00590415">
        <w:rPr>
          <w:rFonts w:asciiTheme="minorHAnsi" w:hAnsiTheme="minorHAnsi" w:cs="Arial"/>
          <w:color w:val="auto"/>
          <w:sz w:val="22"/>
          <w:szCs w:val="22"/>
        </w:rPr>
        <w:t xml:space="preserve">. Health-related quality of life after colorectal cancer in England: a patient-reported outcomes study of individuals 12 to 36 months after diagnosis. J </w:t>
      </w:r>
      <w:proofErr w:type="spellStart"/>
      <w:r w:rsidR="007F6F57" w:rsidRPr="00590415">
        <w:rPr>
          <w:rFonts w:asciiTheme="minorHAnsi" w:hAnsiTheme="minorHAnsi" w:cs="Arial"/>
          <w:color w:val="auto"/>
          <w:sz w:val="22"/>
          <w:szCs w:val="22"/>
        </w:rPr>
        <w:t>Clin</w:t>
      </w:r>
      <w:proofErr w:type="spellEnd"/>
      <w:r w:rsidR="007F6F57" w:rsidRPr="00590415">
        <w:rPr>
          <w:rFonts w:asciiTheme="minorHAnsi" w:hAnsiTheme="minorHAnsi" w:cs="Arial"/>
          <w:color w:val="auto"/>
          <w:sz w:val="22"/>
          <w:szCs w:val="22"/>
        </w:rPr>
        <w:t xml:space="preserve"> </w:t>
      </w:r>
      <w:proofErr w:type="spellStart"/>
      <w:r w:rsidR="007F6F57" w:rsidRPr="00590415">
        <w:rPr>
          <w:rFonts w:asciiTheme="minorHAnsi" w:hAnsiTheme="minorHAnsi" w:cs="Arial"/>
          <w:color w:val="auto"/>
          <w:sz w:val="22"/>
          <w:szCs w:val="22"/>
        </w:rPr>
        <w:t>Oncol</w:t>
      </w:r>
      <w:proofErr w:type="spellEnd"/>
      <w:r w:rsidR="007F6F57" w:rsidRPr="00590415">
        <w:rPr>
          <w:rFonts w:asciiTheme="minorHAnsi" w:hAnsiTheme="minorHAnsi" w:cs="Arial"/>
          <w:color w:val="auto"/>
          <w:sz w:val="22"/>
          <w:szCs w:val="22"/>
        </w:rPr>
        <w:t>. 2015; Feb 20</w:t>
      </w:r>
      <w:proofErr w:type="gramStart"/>
      <w:r w:rsidR="007F6F57" w:rsidRPr="00590415">
        <w:rPr>
          <w:rFonts w:asciiTheme="minorHAnsi" w:hAnsiTheme="minorHAnsi" w:cs="Arial"/>
          <w:color w:val="auto"/>
          <w:sz w:val="22"/>
          <w:szCs w:val="22"/>
        </w:rPr>
        <w:t>;33</w:t>
      </w:r>
      <w:proofErr w:type="gramEnd"/>
      <w:r w:rsidR="007F6F57" w:rsidRPr="00590415">
        <w:rPr>
          <w:rFonts w:asciiTheme="minorHAnsi" w:hAnsiTheme="minorHAnsi" w:cs="Arial"/>
          <w:color w:val="auto"/>
          <w:sz w:val="22"/>
          <w:szCs w:val="22"/>
        </w:rPr>
        <w:t xml:space="preserve">(6):616-24. </w:t>
      </w:r>
      <w:proofErr w:type="spellStart"/>
      <w:proofErr w:type="gramStart"/>
      <w:r w:rsidR="007F6F57" w:rsidRPr="00590415">
        <w:rPr>
          <w:rFonts w:asciiTheme="minorHAnsi" w:hAnsiTheme="minorHAnsi" w:cs="Arial"/>
          <w:color w:val="auto"/>
          <w:sz w:val="22"/>
          <w:szCs w:val="22"/>
        </w:rPr>
        <w:t>doi</w:t>
      </w:r>
      <w:proofErr w:type="spellEnd"/>
      <w:proofErr w:type="gramEnd"/>
      <w:r w:rsidR="007F6F57" w:rsidRPr="00590415">
        <w:rPr>
          <w:rFonts w:asciiTheme="minorHAnsi" w:hAnsiTheme="minorHAnsi" w:cs="Arial"/>
          <w:color w:val="auto"/>
          <w:sz w:val="22"/>
          <w:szCs w:val="22"/>
        </w:rPr>
        <w:t xml:space="preserve">: 10.1200/JCO.2014.56.6539. </w:t>
      </w:r>
      <w:proofErr w:type="spellStart"/>
      <w:r w:rsidR="007F6F57" w:rsidRPr="00590415">
        <w:rPr>
          <w:rFonts w:asciiTheme="minorHAnsi" w:hAnsiTheme="minorHAnsi" w:cs="Arial"/>
          <w:color w:val="auto"/>
          <w:sz w:val="22"/>
          <w:szCs w:val="22"/>
        </w:rPr>
        <w:t>Epub</w:t>
      </w:r>
      <w:proofErr w:type="spellEnd"/>
      <w:r w:rsidR="007F6F57" w:rsidRPr="00590415">
        <w:rPr>
          <w:rFonts w:asciiTheme="minorHAnsi" w:hAnsiTheme="minorHAnsi" w:cs="Arial"/>
          <w:color w:val="auto"/>
          <w:sz w:val="22"/>
          <w:szCs w:val="22"/>
        </w:rPr>
        <w:t xml:space="preserve"> 2015 Jan 5.</w:t>
      </w:r>
    </w:p>
    <w:p w14:paraId="68B7F3BE" w14:textId="25F29A5C" w:rsidR="007F6F57" w:rsidRPr="00590415" w:rsidRDefault="007F6F57" w:rsidP="00590415">
      <w:pPr>
        <w:pStyle w:val="Heading1"/>
        <w:spacing w:line="360" w:lineRule="auto"/>
        <w:ind w:left="720" w:hanging="720"/>
        <w:rPr>
          <w:rFonts w:asciiTheme="minorHAnsi" w:hAnsiTheme="minorHAnsi"/>
          <w:b/>
          <w:color w:val="auto"/>
          <w:sz w:val="22"/>
          <w:szCs w:val="22"/>
        </w:rPr>
      </w:pPr>
      <w:r w:rsidRPr="00590415">
        <w:rPr>
          <w:rFonts w:asciiTheme="minorHAnsi" w:hAnsiTheme="minorHAnsi"/>
          <w:color w:val="auto"/>
          <w:sz w:val="22"/>
          <w:szCs w:val="22"/>
        </w:rPr>
        <w:t>40.</w:t>
      </w:r>
      <w:r w:rsidRPr="00590415">
        <w:rPr>
          <w:rFonts w:asciiTheme="minorHAnsi" w:hAnsiTheme="minorHAnsi"/>
          <w:color w:val="auto"/>
          <w:sz w:val="22"/>
          <w:szCs w:val="22"/>
        </w:rPr>
        <w:tab/>
        <w:t xml:space="preserve">Street RL </w:t>
      </w:r>
      <w:proofErr w:type="spellStart"/>
      <w:proofErr w:type="gramStart"/>
      <w:r w:rsidRPr="00590415">
        <w:rPr>
          <w:rFonts w:asciiTheme="minorHAnsi" w:hAnsiTheme="minorHAnsi"/>
          <w:color w:val="auto"/>
          <w:sz w:val="22"/>
          <w:szCs w:val="22"/>
        </w:rPr>
        <w:t>jr</w:t>
      </w:r>
      <w:proofErr w:type="spellEnd"/>
      <w:proofErr w:type="gramEnd"/>
      <w:r w:rsidRPr="00590415">
        <w:rPr>
          <w:rFonts w:asciiTheme="minorHAnsi" w:hAnsiTheme="minorHAnsi"/>
          <w:color w:val="auto"/>
          <w:sz w:val="22"/>
          <w:szCs w:val="22"/>
        </w:rPr>
        <w:t xml:space="preserve">, Voigt B. Patient participation in deciding breast cancer treatment and subsequent quality of life. Med </w:t>
      </w:r>
      <w:proofErr w:type="spellStart"/>
      <w:r w:rsidRPr="00590415">
        <w:rPr>
          <w:rFonts w:asciiTheme="minorHAnsi" w:hAnsiTheme="minorHAnsi"/>
          <w:color w:val="auto"/>
          <w:sz w:val="22"/>
          <w:szCs w:val="22"/>
        </w:rPr>
        <w:t>Decis</w:t>
      </w:r>
      <w:proofErr w:type="spellEnd"/>
      <w:r w:rsidRPr="00590415">
        <w:rPr>
          <w:rFonts w:asciiTheme="minorHAnsi" w:hAnsiTheme="minorHAnsi"/>
          <w:color w:val="auto"/>
          <w:sz w:val="22"/>
          <w:szCs w:val="22"/>
        </w:rPr>
        <w:t xml:space="preserve"> Making</w:t>
      </w:r>
      <w:r w:rsidRPr="00590415">
        <w:rPr>
          <w:rStyle w:val="Heading1Char"/>
          <w:rFonts w:asciiTheme="minorHAnsi" w:hAnsiTheme="minorHAnsi"/>
          <w:color w:val="auto"/>
          <w:sz w:val="22"/>
          <w:szCs w:val="22"/>
        </w:rPr>
        <w:t xml:space="preserve"> </w:t>
      </w:r>
      <w:r w:rsidRPr="00590415">
        <w:rPr>
          <w:rStyle w:val="highlight"/>
          <w:rFonts w:asciiTheme="minorHAnsi" w:hAnsiTheme="minorHAnsi"/>
          <w:color w:val="auto"/>
          <w:sz w:val="22"/>
          <w:szCs w:val="22"/>
        </w:rPr>
        <w:t>1997;</w:t>
      </w:r>
      <w:r w:rsidRPr="00590415">
        <w:rPr>
          <w:rFonts w:asciiTheme="minorHAnsi" w:hAnsiTheme="minorHAnsi"/>
          <w:color w:val="auto"/>
          <w:sz w:val="22"/>
          <w:szCs w:val="22"/>
        </w:rPr>
        <w:t xml:space="preserve"> Jul-Sep</w:t>
      </w:r>
      <w:proofErr w:type="gramStart"/>
      <w:r w:rsidRPr="00590415">
        <w:rPr>
          <w:rFonts w:asciiTheme="minorHAnsi" w:hAnsiTheme="minorHAnsi"/>
          <w:color w:val="auto"/>
          <w:sz w:val="22"/>
          <w:szCs w:val="22"/>
        </w:rPr>
        <w:t>;17</w:t>
      </w:r>
      <w:proofErr w:type="gramEnd"/>
      <w:r w:rsidRPr="00590415">
        <w:rPr>
          <w:rFonts w:asciiTheme="minorHAnsi" w:hAnsiTheme="minorHAnsi"/>
          <w:color w:val="auto"/>
          <w:sz w:val="22"/>
          <w:szCs w:val="22"/>
        </w:rPr>
        <w:t>(3):298-306</w:t>
      </w:r>
      <w:r w:rsidR="00B7673A">
        <w:rPr>
          <w:rFonts w:asciiTheme="minorHAnsi" w:hAnsiTheme="minorHAnsi"/>
          <w:color w:val="auto"/>
          <w:sz w:val="22"/>
          <w:szCs w:val="22"/>
        </w:rPr>
        <w:t>.</w:t>
      </w:r>
      <w:r w:rsidRPr="00590415">
        <w:rPr>
          <w:rFonts w:asciiTheme="minorHAnsi" w:hAnsiTheme="minorHAnsi"/>
          <w:color w:val="auto"/>
          <w:sz w:val="22"/>
          <w:szCs w:val="22"/>
        </w:rPr>
        <w:t xml:space="preserve"> </w:t>
      </w:r>
    </w:p>
    <w:p w14:paraId="087DDAF8" w14:textId="3F7DF80E" w:rsidR="007F6F57" w:rsidRPr="00590415" w:rsidRDefault="007F6F57" w:rsidP="00590415">
      <w:pPr>
        <w:spacing w:line="360" w:lineRule="auto"/>
      </w:pPr>
    </w:p>
    <w:p w14:paraId="3EE4B335" w14:textId="6B01F187" w:rsidR="007B6652" w:rsidRDefault="007B6652" w:rsidP="00590415">
      <w:pPr>
        <w:shd w:val="clear" w:color="auto" w:fill="FFFFFF"/>
        <w:spacing w:after="0" w:line="240" w:lineRule="auto"/>
        <w:ind w:left="720" w:hanging="720"/>
        <w:rPr>
          <w:rFonts w:ascii="Arial" w:eastAsia="Times New Roman" w:hAnsi="Arial" w:cs="Arial"/>
          <w:sz w:val="20"/>
          <w:szCs w:val="20"/>
          <w:lang w:eastAsia="en-GB"/>
        </w:rPr>
      </w:pPr>
    </w:p>
    <w:p w14:paraId="38432AEF" w14:textId="06CA177F" w:rsidR="007B6652" w:rsidRPr="00590415" w:rsidRDefault="007B6652" w:rsidP="007B6652">
      <w:pPr>
        <w:pStyle w:val="Heading1"/>
        <w:shd w:val="clear" w:color="auto" w:fill="FFFFFF"/>
        <w:rPr>
          <w:rFonts w:asciiTheme="minorHAnsi" w:hAnsiTheme="minorHAnsi" w:cs="Arial"/>
          <w:sz w:val="22"/>
          <w:szCs w:val="22"/>
        </w:rPr>
      </w:pPr>
    </w:p>
    <w:p w14:paraId="1BD8E12B" w14:textId="7EC4E739" w:rsidR="007B6652" w:rsidRPr="00590415" w:rsidRDefault="007B6652" w:rsidP="00590415"/>
    <w:p w14:paraId="6E456D94" w14:textId="7889AFE3" w:rsidR="007B6652" w:rsidRDefault="007B6652" w:rsidP="00590415">
      <w:pPr>
        <w:shd w:val="clear" w:color="auto" w:fill="FFFFFF"/>
        <w:ind w:left="720" w:hanging="720"/>
        <w:rPr>
          <w:rFonts w:ascii="Arial" w:hAnsi="Arial" w:cs="Arial"/>
          <w:sz w:val="20"/>
          <w:szCs w:val="20"/>
        </w:rPr>
      </w:pPr>
    </w:p>
    <w:p w14:paraId="70DBCDF2" w14:textId="14C4C31B" w:rsidR="00261F5C" w:rsidRDefault="00261F5C" w:rsidP="00261F5C">
      <w:pPr>
        <w:pStyle w:val="Heading1"/>
        <w:shd w:val="clear" w:color="auto" w:fill="FFFFFF"/>
        <w:rPr>
          <w:rFonts w:ascii="Arial" w:hAnsi="Arial" w:cs="Arial"/>
          <w:sz w:val="28"/>
          <w:szCs w:val="28"/>
        </w:rPr>
      </w:pPr>
    </w:p>
    <w:p w14:paraId="6196A797" w14:textId="033C1388" w:rsidR="00261F5C" w:rsidRDefault="00261F5C" w:rsidP="00590415">
      <w:pPr>
        <w:shd w:val="clear" w:color="auto" w:fill="FFFFFF"/>
        <w:spacing w:after="0" w:line="240" w:lineRule="auto"/>
        <w:ind w:left="720" w:hanging="720"/>
        <w:rPr>
          <w:rFonts w:ascii="Arial" w:eastAsia="Times New Roman" w:hAnsi="Arial" w:cs="Arial"/>
          <w:sz w:val="20"/>
          <w:szCs w:val="20"/>
          <w:lang w:eastAsia="en-GB"/>
        </w:rPr>
      </w:pPr>
    </w:p>
    <w:p w14:paraId="0B64D4C7" w14:textId="0AE61034" w:rsidR="00261F5C" w:rsidRPr="00590415" w:rsidRDefault="00261F5C" w:rsidP="00261F5C">
      <w:pPr>
        <w:pStyle w:val="Heading1"/>
        <w:shd w:val="clear" w:color="auto" w:fill="FFFFFF"/>
        <w:rPr>
          <w:rFonts w:asciiTheme="minorHAnsi" w:hAnsiTheme="minorHAnsi" w:cs="Arial"/>
          <w:sz w:val="22"/>
          <w:szCs w:val="22"/>
        </w:rPr>
      </w:pPr>
    </w:p>
    <w:p w14:paraId="1BB7D5E2" w14:textId="068DA728" w:rsidR="00261F5C" w:rsidRDefault="00261F5C" w:rsidP="00590415">
      <w:pPr>
        <w:shd w:val="clear" w:color="auto" w:fill="FFFFFF"/>
        <w:ind w:left="720" w:hanging="720"/>
        <w:rPr>
          <w:rFonts w:ascii="Arial" w:hAnsi="Arial" w:cs="Arial"/>
          <w:sz w:val="17"/>
          <w:szCs w:val="17"/>
          <w:vertAlign w:val="superscript"/>
        </w:rPr>
      </w:pPr>
    </w:p>
    <w:p w14:paraId="3B3229B9" w14:textId="08B17A92" w:rsidR="00261F5C" w:rsidRDefault="00261F5C" w:rsidP="00590415">
      <w:pPr>
        <w:shd w:val="clear" w:color="auto" w:fill="FFFFFF"/>
        <w:spacing w:after="0" w:line="240" w:lineRule="auto"/>
        <w:ind w:left="720" w:hanging="720"/>
        <w:rPr>
          <w:rFonts w:ascii="Arial" w:eastAsia="Times New Roman" w:hAnsi="Arial" w:cs="Arial"/>
          <w:sz w:val="20"/>
          <w:szCs w:val="20"/>
          <w:lang w:eastAsia="en-GB"/>
        </w:rPr>
      </w:pPr>
    </w:p>
    <w:p w14:paraId="203E5D2B" w14:textId="6619FD39" w:rsidR="00261F5C" w:rsidRDefault="00261F5C" w:rsidP="00590415">
      <w:pPr>
        <w:shd w:val="clear" w:color="auto" w:fill="FFFFFF"/>
        <w:spacing w:after="0" w:line="240" w:lineRule="auto"/>
        <w:ind w:left="720" w:hanging="720"/>
        <w:rPr>
          <w:rFonts w:ascii="Arial" w:hAnsi="Arial" w:cs="Arial"/>
          <w:sz w:val="20"/>
          <w:szCs w:val="20"/>
        </w:rPr>
      </w:pPr>
    </w:p>
    <w:p w14:paraId="2598BA1D" w14:textId="6F28B636" w:rsidR="00EB6E67" w:rsidRDefault="00EB6E67" w:rsidP="00281C4A">
      <w:pPr>
        <w:ind w:left="720" w:hanging="720"/>
        <w:rPr>
          <w:sz w:val="24"/>
          <w:szCs w:val="24"/>
        </w:rPr>
      </w:pPr>
    </w:p>
    <w:p w14:paraId="1D87D403" w14:textId="77777777" w:rsidR="00281C4A" w:rsidRPr="00FD1A4E" w:rsidRDefault="00281C4A" w:rsidP="004B6CFD">
      <w:pPr>
        <w:pStyle w:val="EndNoteBibliography"/>
        <w:ind w:left="720" w:hanging="720"/>
      </w:pPr>
    </w:p>
    <w:p w14:paraId="7EDD2611" w14:textId="77777777" w:rsidR="001B520F" w:rsidRDefault="001B520F"/>
    <w:p w14:paraId="050A561C" w14:textId="77777777" w:rsidR="001B520F" w:rsidRDefault="001B520F"/>
    <w:p w14:paraId="7896346E" w14:textId="77777777" w:rsidR="001B520F" w:rsidRDefault="001B520F" w:rsidP="004B6CFD">
      <w:pPr>
        <w:pStyle w:val="Heading1"/>
        <w:rPr>
          <w:rFonts w:asciiTheme="minorHAnsi" w:hAnsiTheme="minorHAnsi"/>
          <w:sz w:val="24"/>
          <w:szCs w:val="24"/>
        </w:rPr>
      </w:pPr>
    </w:p>
    <w:p w14:paraId="7C4879A7" w14:textId="77777777" w:rsidR="001B520F" w:rsidRDefault="001B520F" w:rsidP="004B6CFD">
      <w:pPr>
        <w:shd w:val="clear" w:color="auto" w:fill="FFFFFF"/>
        <w:rPr>
          <w:rFonts w:ascii="Arial" w:hAnsi="Arial" w:cs="Arial"/>
          <w:sz w:val="17"/>
          <w:szCs w:val="17"/>
          <w:vertAlign w:val="superscript"/>
        </w:rPr>
      </w:pPr>
    </w:p>
    <w:p w14:paraId="03700923" w14:textId="407248FF" w:rsidR="001B520F" w:rsidRDefault="001B520F" w:rsidP="004B6CFD">
      <w:pPr>
        <w:shd w:val="clear" w:color="auto" w:fill="FFFFFF"/>
        <w:spacing w:after="0" w:line="240" w:lineRule="auto"/>
        <w:rPr>
          <w:rFonts w:ascii="Arial" w:eastAsia="Times New Roman" w:hAnsi="Arial" w:cs="Arial"/>
          <w:sz w:val="20"/>
          <w:szCs w:val="20"/>
          <w:lang w:eastAsia="en-GB"/>
        </w:rPr>
      </w:pPr>
    </w:p>
    <w:p w14:paraId="7C1B34CA" w14:textId="77777777" w:rsidR="001B520F" w:rsidRDefault="00A90A0E" w:rsidP="004B6CFD">
      <w:pPr>
        <w:shd w:val="clear" w:color="auto" w:fill="FFFFFF"/>
        <w:rPr>
          <w:rFonts w:ascii="Arial" w:hAnsi="Arial" w:cs="Arial"/>
          <w:sz w:val="20"/>
          <w:szCs w:val="20"/>
        </w:rPr>
      </w:pPr>
      <w:hyperlink r:id="rId67" w:anchor="comments" w:history="1">
        <w:r w:rsidR="001B520F">
          <w:rPr>
            <w:rFonts w:ascii="Arial" w:hAnsi="Arial" w:cs="Arial"/>
            <w:vanish/>
            <w:color w:val="14376C"/>
            <w:sz w:val="20"/>
            <w:szCs w:val="20"/>
          </w:rPr>
          <w:t>See comment in PubMed Commons below</w:t>
        </w:r>
      </w:hyperlink>
    </w:p>
    <w:p w14:paraId="01BF921A" w14:textId="77777777" w:rsidR="001B520F" w:rsidRPr="00E80165" w:rsidRDefault="001B520F" w:rsidP="004B6CFD">
      <w:pPr>
        <w:rPr>
          <w:sz w:val="24"/>
          <w:szCs w:val="24"/>
        </w:rPr>
      </w:pPr>
    </w:p>
    <w:p w14:paraId="2D5494D6" w14:textId="77777777" w:rsidR="001B520F" w:rsidRDefault="001B520F"/>
    <w:p w14:paraId="20DEA1B9" w14:textId="77777777" w:rsidR="001B520F" w:rsidRDefault="001B520F">
      <w:pPr>
        <w:spacing w:after="160" w:line="259" w:lineRule="auto"/>
      </w:pPr>
      <w:r>
        <w:br w:type="page"/>
      </w:r>
    </w:p>
    <w:p w14:paraId="17EF07BB" w14:textId="77777777" w:rsidR="001B520F" w:rsidRDefault="001B520F" w:rsidP="004B6CFD">
      <w:r>
        <w:lastRenderedPageBreak/>
        <w:t>Table 1.  Clinical and socio-demographic characteristics of patients recruited in Phase 1a and Phase 3</w:t>
      </w:r>
    </w:p>
    <w:tbl>
      <w:tblPr>
        <w:tblStyle w:val="TableGrid"/>
        <w:tblW w:w="0" w:type="auto"/>
        <w:tblInd w:w="-113" w:type="dxa"/>
        <w:tblLook w:val="04A0" w:firstRow="1" w:lastRow="0" w:firstColumn="1" w:lastColumn="0" w:noHBand="0" w:noVBand="1"/>
      </w:tblPr>
      <w:tblGrid>
        <w:gridCol w:w="3402"/>
        <w:gridCol w:w="2268"/>
        <w:gridCol w:w="2268"/>
      </w:tblGrid>
      <w:tr w:rsidR="001B520F" w14:paraId="47720846" w14:textId="77777777" w:rsidTr="004B6CFD">
        <w:tc>
          <w:tcPr>
            <w:tcW w:w="3402" w:type="dxa"/>
          </w:tcPr>
          <w:p w14:paraId="48085C63" w14:textId="77777777" w:rsidR="001B520F" w:rsidRPr="00DC778F" w:rsidRDefault="001B520F" w:rsidP="004B6CFD">
            <w:pPr>
              <w:rPr>
                <w:b/>
                <w:bCs/>
              </w:rPr>
            </w:pPr>
            <w:r w:rsidRPr="00DC778F">
              <w:rPr>
                <w:b/>
                <w:bCs/>
              </w:rPr>
              <w:t>Variable</w:t>
            </w:r>
          </w:p>
        </w:tc>
        <w:tc>
          <w:tcPr>
            <w:tcW w:w="2268" w:type="dxa"/>
          </w:tcPr>
          <w:p w14:paraId="03CD1870" w14:textId="77777777" w:rsidR="001B520F" w:rsidRDefault="001B520F" w:rsidP="004B6CFD">
            <w:pPr>
              <w:jc w:val="center"/>
              <w:rPr>
                <w:b/>
              </w:rPr>
            </w:pPr>
            <w:r w:rsidRPr="00E6616F">
              <w:rPr>
                <w:b/>
              </w:rPr>
              <w:t>Phase 1a</w:t>
            </w:r>
          </w:p>
          <w:p w14:paraId="6E2F2553" w14:textId="77777777" w:rsidR="001B520F" w:rsidRPr="00E6616F" w:rsidRDefault="001B520F" w:rsidP="004B6CFD">
            <w:pPr>
              <w:jc w:val="center"/>
            </w:pPr>
            <w:r>
              <w:t>N=43</w:t>
            </w:r>
          </w:p>
        </w:tc>
        <w:tc>
          <w:tcPr>
            <w:tcW w:w="2268" w:type="dxa"/>
          </w:tcPr>
          <w:p w14:paraId="21B7DA8A" w14:textId="77777777" w:rsidR="001B520F" w:rsidRDefault="001B520F" w:rsidP="004B6CFD">
            <w:pPr>
              <w:jc w:val="center"/>
              <w:rPr>
                <w:b/>
              </w:rPr>
            </w:pPr>
            <w:r w:rsidRPr="00E6616F">
              <w:rPr>
                <w:b/>
              </w:rPr>
              <w:t>Phase 3</w:t>
            </w:r>
          </w:p>
          <w:p w14:paraId="25479D80" w14:textId="77777777" w:rsidR="001B520F" w:rsidRPr="00E6616F" w:rsidRDefault="001B520F" w:rsidP="004B6CFD">
            <w:pPr>
              <w:jc w:val="center"/>
            </w:pPr>
            <w:r w:rsidRPr="00E6616F">
              <w:t>N=100</w:t>
            </w:r>
          </w:p>
        </w:tc>
      </w:tr>
      <w:tr w:rsidR="001B520F" w14:paraId="35C8AC14" w14:textId="77777777" w:rsidTr="004B6CFD">
        <w:tc>
          <w:tcPr>
            <w:tcW w:w="3402" w:type="dxa"/>
            <w:shd w:val="clear" w:color="auto" w:fill="A6A6A6" w:themeFill="background1" w:themeFillShade="A6"/>
          </w:tcPr>
          <w:p w14:paraId="7CB437EC" w14:textId="77777777" w:rsidR="001B520F" w:rsidRDefault="001B520F" w:rsidP="004B6CFD">
            <w:r>
              <w:t>Patients recruited per country</w:t>
            </w:r>
          </w:p>
        </w:tc>
        <w:tc>
          <w:tcPr>
            <w:tcW w:w="2268" w:type="dxa"/>
            <w:shd w:val="clear" w:color="auto" w:fill="A6A6A6" w:themeFill="background1" w:themeFillShade="A6"/>
          </w:tcPr>
          <w:p w14:paraId="28D2586A" w14:textId="77777777" w:rsidR="001B520F" w:rsidRDefault="001B520F" w:rsidP="004B6CFD"/>
        </w:tc>
        <w:tc>
          <w:tcPr>
            <w:tcW w:w="2268" w:type="dxa"/>
            <w:shd w:val="clear" w:color="auto" w:fill="A6A6A6" w:themeFill="background1" w:themeFillShade="A6"/>
          </w:tcPr>
          <w:p w14:paraId="2896A1C4" w14:textId="77777777" w:rsidR="001B520F" w:rsidRDefault="001B520F" w:rsidP="004B6CFD"/>
        </w:tc>
      </w:tr>
      <w:tr w:rsidR="001B520F" w14:paraId="27BF76AE" w14:textId="77777777" w:rsidTr="004B6CFD">
        <w:tc>
          <w:tcPr>
            <w:tcW w:w="3402" w:type="dxa"/>
            <w:shd w:val="clear" w:color="auto" w:fill="auto"/>
          </w:tcPr>
          <w:p w14:paraId="6E7E46DE" w14:textId="77777777" w:rsidR="001B520F" w:rsidRDefault="001B520F" w:rsidP="004B6CFD">
            <w:r>
              <w:t>Canada</w:t>
            </w:r>
          </w:p>
        </w:tc>
        <w:tc>
          <w:tcPr>
            <w:tcW w:w="2268" w:type="dxa"/>
            <w:shd w:val="clear" w:color="auto" w:fill="auto"/>
          </w:tcPr>
          <w:p w14:paraId="7D71970D" w14:textId="77777777" w:rsidR="001B520F" w:rsidRDefault="001B520F" w:rsidP="004B6CFD">
            <w:pPr>
              <w:jc w:val="center"/>
            </w:pPr>
            <w:r>
              <w:t>14 (33%)</w:t>
            </w:r>
          </w:p>
        </w:tc>
        <w:tc>
          <w:tcPr>
            <w:tcW w:w="2268" w:type="dxa"/>
          </w:tcPr>
          <w:p w14:paraId="09BCB6DA" w14:textId="77777777" w:rsidR="001B520F" w:rsidRDefault="001B520F" w:rsidP="004B6CFD">
            <w:pPr>
              <w:jc w:val="center"/>
            </w:pPr>
            <w:r>
              <w:t>14</w:t>
            </w:r>
          </w:p>
        </w:tc>
      </w:tr>
      <w:tr w:rsidR="001B520F" w14:paraId="1811DD79" w14:textId="77777777" w:rsidTr="004B6CFD">
        <w:tc>
          <w:tcPr>
            <w:tcW w:w="3402" w:type="dxa"/>
            <w:shd w:val="clear" w:color="auto" w:fill="auto"/>
          </w:tcPr>
          <w:p w14:paraId="7738AE80" w14:textId="77777777" w:rsidR="001B520F" w:rsidRDefault="001B520F" w:rsidP="004B6CFD">
            <w:r>
              <w:t>Cyprus</w:t>
            </w:r>
          </w:p>
        </w:tc>
        <w:tc>
          <w:tcPr>
            <w:tcW w:w="2268" w:type="dxa"/>
            <w:shd w:val="clear" w:color="auto" w:fill="auto"/>
          </w:tcPr>
          <w:p w14:paraId="548B54AB" w14:textId="77777777" w:rsidR="001B520F" w:rsidRDefault="001B520F" w:rsidP="004B6CFD">
            <w:pPr>
              <w:jc w:val="center"/>
            </w:pPr>
            <w:r>
              <w:t>6 (14%)</w:t>
            </w:r>
          </w:p>
        </w:tc>
        <w:tc>
          <w:tcPr>
            <w:tcW w:w="2268" w:type="dxa"/>
          </w:tcPr>
          <w:p w14:paraId="003BFAD1" w14:textId="77777777" w:rsidR="001B520F" w:rsidRDefault="001B520F" w:rsidP="004B6CFD">
            <w:pPr>
              <w:jc w:val="center"/>
            </w:pPr>
            <w:r>
              <w:t>10</w:t>
            </w:r>
          </w:p>
        </w:tc>
      </w:tr>
      <w:tr w:rsidR="001B520F" w14:paraId="6F119BB5" w14:textId="77777777" w:rsidTr="004B6CFD">
        <w:tc>
          <w:tcPr>
            <w:tcW w:w="3402" w:type="dxa"/>
            <w:shd w:val="clear" w:color="auto" w:fill="auto"/>
          </w:tcPr>
          <w:p w14:paraId="006A319F" w14:textId="77777777" w:rsidR="001B520F" w:rsidRDefault="001B520F" w:rsidP="004B6CFD">
            <w:r>
              <w:t>Germany</w:t>
            </w:r>
          </w:p>
        </w:tc>
        <w:tc>
          <w:tcPr>
            <w:tcW w:w="2268" w:type="dxa"/>
            <w:shd w:val="clear" w:color="auto" w:fill="auto"/>
          </w:tcPr>
          <w:p w14:paraId="04FE4743" w14:textId="77777777" w:rsidR="001B520F" w:rsidRDefault="001B520F" w:rsidP="004B6CFD">
            <w:pPr>
              <w:jc w:val="center"/>
            </w:pPr>
            <w:r>
              <w:t>1 (2%)</w:t>
            </w:r>
          </w:p>
        </w:tc>
        <w:tc>
          <w:tcPr>
            <w:tcW w:w="2268" w:type="dxa"/>
          </w:tcPr>
          <w:p w14:paraId="2A00783E" w14:textId="77777777" w:rsidR="001B520F" w:rsidRDefault="001B520F" w:rsidP="004B6CFD">
            <w:pPr>
              <w:jc w:val="center"/>
            </w:pPr>
            <w:r>
              <w:t>7</w:t>
            </w:r>
          </w:p>
        </w:tc>
      </w:tr>
      <w:tr w:rsidR="001B520F" w14:paraId="495FD715" w14:textId="77777777" w:rsidTr="004B6CFD">
        <w:tc>
          <w:tcPr>
            <w:tcW w:w="3402" w:type="dxa"/>
            <w:shd w:val="clear" w:color="auto" w:fill="auto"/>
          </w:tcPr>
          <w:p w14:paraId="118F4FD4" w14:textId="77777777" w:rsidR="001B520F" w:rsidRDefault="001B520F" w:rsidP="004B6CFD">
            <w:r>
              <w:t>Greece</w:t>
            </w:r>
          </w:p>
        </w:tc>
        <w:tc>
          <w:tcPr>
            <w:tcW w:w="2268" w:type="dxa"/>
            <w:shd w:val="clear" w:color="auto" w:fill="auto"/>
          </w:tcPr>
          <w:p w14:paraId="41F62473" w14:textId="77777777" w:rsidR="001B520F" w:rsidRDefault="001B520F" w:rsidP="004B6CFD">
            <w:pPr>
              <w:jc w:val="center"/>
            </w:pPr>
            <w:r>
              <w:t>__</w:t>
            </w:r>
          </w:p>
        </w:tc>
        <w:tc>
          <w:tcPr>
            <w:tcW w:w="2268" w:type="dxa"/>
          </w:tcPr>
          <w:p w14:paraId="1AE11E9B" w14:textId="77777777" w:rsidR="001B520F" w:rsidRDefault="001B520F" w:rsidP="004B6CFD">
            <w:pPr>
              <w:jc w:val="center"/>
            </w:pPr>
            <w:r>
              <w:t>5</w:t>
            </w:r>
          </w:p>
        </w:tc>
      </w:tr>
      <w:tr w:rsidR="001B520F" w14:paraId="6F0DF8E6" w14:textId="77777777" w:rsidTr="004B6CFD">
        <w:tc>
          <w:tcPr>
            <w:tcW w:w="3402" w:type="dxa"/>
            <w:shd w:val="clear" w:color="auto" w:fill="auto"/>
          </w:tcPr>
          <w:p w14:paraId="7CCB11FF" w14:textId="77777777" w:rsidR="001B520F" w:rsidRDefault="001B520F" w:rsidP="004B6CFD">
            <w:r>
              <w:t>Italy</w:t>
            </w:r>
          </w:p>
        </w:tc>
        <w:tc>
          <w:tcPr>
            <w:tcW w:w="2268" w:type="dxa"/>
            <w:shd w:val="clear" w:color="auto" w:fill="auto"/>
          </w:tcPr>
          <w:p w14:paraId="157E6DE2" w14:textId="77777777" w:rsidR="001B520F" w:rsidRDefault="001B520F" w:rsidP="004B6CFD">
            <w:pPr>
              <w:jc w:val="center"/>
            </w:pPr>
            <w:r>
              <w:t>__</w:t>
            </w:r>
          </w:p>
        </w:tc>
        <w:tc>
          <w:tcPr>
            <w:tcW w:w="2268" w:type="dxa"/>
          </w:tcPr>
          <w:p w14:paraId="2E4A2F86" w14:textId="77777777" w:rsidR="001B520F" w:rsidRDefault="001B520F" w:rsidP="004B6CFD">
            <w:pPr>
              <w:jc w:val="center"/>
            </w:pPr>
            <w:r>
              <w:t>18</w:t>
            </w:r>
          </w:p>
        </w:tc>
      </w:tr>
      <w:tr w:rsidR="001B520F" w14:paraId="4C85B9BC" w14:textId="77777777" w:rsidTr="004B6CFD">
        <w:tc>
          <w:tcPr>
            <w:tcW w:w="3402" w:type="dxa"/>
            <w:shd w:val="clear" w:color="auto" w:fill="auto"/>
          </w:tcPr>
          <w:p w14:paraId="06128BDD" w14:textId="77777777" w:rsidR="001B520F" w:rsidRDefault="001B520F" w:rsidP="004B6CFD">
            <w:r>
              <w:t>Norway</w:t>
            </w:r>
          </w:p>
        </w:tc>
        <w:tc>
          <w:tcPr>
            <w:tcW w:w="2268" w:type="dxa"/>
            <w:shd w:val="clear" w:color="auto" w:fill="auto"/>
          </w:tcPr>
          <w:p w14:paraId="108C5DF4" w14:textId="77777777" w:rsidR="001B520F" w:rsidRDefault="001B520F" w:rsidP="004B6CFD">
            <w:pPr>
              <w:jc w:val="center"/>
            </w:pPr>
            <w:r>
              <w:t>__</w:t>
            </w:r>
          </w:p>
        </w:tc>
        <w:tc>
          <w:tcPr>
            <w:tcW w:w="2268" w:type="dxa"/>
          </w:tcPr>
          <w:p w14:paraId="73FD03BF" w14:textId="77777777" w:rsidR="001B520F" w:rsidRDefault="001B520F" w:rsidP="004B6CFD">
            <w:pPr>
              <w:jc w:val="center"/>
            </w:pPr>
            <w:r>
              <w:t>6</w:t>
            </w:r>
          </w:p>
        </w:tc>
      </w:tr>
      <w:tr w:rsidR="001B520F" w14:paraId="4604C6AD" w14:textId="77777777" w:rsidTr="004B6CFD">
        <w:tc>
          <w:tcPr>
            <w:tcW w:w="3402" w:type="dxa"/>
            <w:shd w:val="clear" w:color="auto" w:fill="auto"/>
          </w:tcPr>
          <w:p w14:paraId="41334B2C" w14:textId="77777777" w:rsidR="001B520F" w:rsidRDefault="001B520F" w:rsidP="004B6CFD">
            <w:r>
              <w:t>Poland</w:t>
            </w:r>
          </w:p>
        </w:tc>
        <w:tc>
          <w:tcPr>
            <w:tcW w:w="2268" w:type="dxa"/>
            <w:shd w:val="clear" w:color="auto" w:fill="auto"/>
          </w:tcPr>
          <w:p w14:paraId="67D7A3B5" w14:textId="77777777" w:rsidR="001B520F" w:rsidRDefault="001B520F" w:rsidP="004B6CFD">
            <w:pPr>
              <w:jc w:val="center"/>
            </w:pPr>
            <w:r>
              <w:t>6 (14%)</w:t>
            </w:r>
          </w:p>
        </w:tc>
        <w:tc>
          <w:tcPr>
            <w:tcW w:w="2268" w:type="dxa"/>
          </w:tcPr>
          <w:p w14:paraId="56B056F5" w14:textId="77777777" w:rsidR="001B520F" w:rsidRDefault="001B520F" w:rsidP="004B6CFD">
            <w:pPr>
              <w:jc w:val="center"/>
            </w:pPr>
            <w:r>
              <w:t>15</w:t>
            </w:r>
          </w:p>
        </w:tc>
      </w:tr>
      <w:tr w:rsidR="001B520F" w14:paraId="6DFE61E5" w14:textId="77777777" w:rsidTr="004B6CFD">
        <w:tc>
          <w:tcPr>
            <w:tcW w:w="3402" w:type="dxa"/>
            <w:shd w:val="clear" w:color="auto" w:fill="auto"/>
          </w:tcPr>
          <w:p w14:paraId="4046B43D" w14:textId="77777777" w:rsidR="001B520F" w:rsidRDefault="001B520F" w:rsidP="004B6CFD">
            <w:r>
              <w:t>UK</w:t>
            </w:r>
          </w:p>
        </w:tc>
        <w:tc>
          <w:tcPr>
            <w:tcW w:w="2268" w:type="dxa"/>
            <w:shd w:val="clear" w:color="auto" w:fill="auto"/>
          </w:tcPr>
          <w:p w14:paraId="737D5662" w14:textId="77777777" w:rsidR="001B520F" w:rsidRDefault="001B520F" w:rsidP="004B6CFD">
            <w:pPr>
              <w:jc w:val="center"/>
            </w:pPr>
            <w:r>
              <w:t>16 (37%)</w:t>
            </w:r>
          </w:p>
        </w:tc>
        <w:tc>
          <w:tcPr>
            <w:tcW w:w="2268" w:type="dxa"/>
          </w:tcPr>
          <w:p w14:paraId="2A67DFB8" w14:textId="77777777" w:rsidR="001B520F" w:rsidRDefault="001B520F" w:rsidP="004B6CFD">
            <w:pPr>
              <w:jc w:val="center"/>
            </w:pPr>
            <w:r>
              <w:t>25</w:t>
            </w:r>
          </w:p>
        </w:tc>
      </w:tr>
      <w:tr w:rsidR="001B520F" w14:paraId="1A4EED75" w14:textId="77777777" w:rsidTr="004B6CFD">
        <w:tc>
          <w:tcPr>
            <w:tcW w:w="3402" w:type="dxa"/>
            <w:shd w:val="clear" w:color="auto" w:fill="A6A6A6" w:themeFill="background1" w:themeFillShade="A6"/>
          </w:tcPr>
          <w:p w14:paraId="52FE760B" w14:textId="77777777" w:rsidR="001B520F" w:rsidRDefault="001B520F" w:rsidP="004B6CFD">
            <w:r>
              <w:t>Gender</w:t>
            </w:r>
          </w:p>
        </w:tc>
        <w:tc>
          <w:tcPr>
            <w:tcW w:w="2268" w:type="dxa"/>
            <w:shd w:val="clear" w:color="auto" w:fill="A6A6A6" w:themeFill="background1" w:themeFillShade="A6"/>
          </w:tcPr>
          <w:p w14:paraId="0703548C" w14:textId="77777777" w:rsidR="001B520F" w:rsidRDefault="001B520F" w:rsidP="004B6CFD"/>
        </w:tc>
        <w:tc>
          <w:tcPr>
            <w:tcW w:w="2268" w:type="dxa"/>
            <w:shd w:val="clear" w:color="auto" w:fill="A6A6A6" w:themeFill="background1" w:themeFillShade="A6"/>
          </w:tcPr>
          <w:p w14:paraId="25CF3C74" w14:textId="77777777" w:rsidR="001B520F" w:rsidRDefault="001B520F" w:rsidP="004B6CFD"/>
        </w:tc>
      </w:tr>
      <w:tr w:rsidR="001B520F" w14:paraId="4185FEFE" w14:textId="77777777" w:rsidTr="004B6CFD">
        <w:tc>
          <w:tcPr>
            <w:tcW w:w="3402" w:type="dxa"/>
          </w:tcPr>
          <w:p w14:paraId="60F867A3" w14:textId="77777777" w:rsidR="001B520F" w:rsidRDefault="001B520F" w:rsidP="004B6CFD">
            <w:r>
              <w:t>Female</w:t>
            </w:r>
          </w:p>
        </w:tc>
        <w:tc>
          <w:tcPr>
            <w:tcW w:w="2268" w:type="dxa"/>
          </w:tcPr>
          <w:p w14:paraId="34ACB2A8" w14:textId="77777777" w:rsidR="001B520F" w:rsidRDefault="001B520F" w:rsidP="004B6CFD">
            <w:pPr>
              <w:jc w:val="center"/>
            </w:pPr>
            <w:r>
              <w:t>30 (70%)</w:t>
            </w:r>
          </w:p>
        </w:tc>
        <w:tc>
          <w:tcPr>
            <w:tcW w:w="2268" w:type="dxa"/>
          </w:tcPr>
          <w:p w14:paraId="604E93B9" w14:textId="77777777" w:rsidR="001B520F" w:rsidRDefault="001B520F" w:rsidP="004B6CFD">
            <w:pPr>
              <w:jc w:val="center"/>
            </w:pPr>
            <w:r>
              <w:t>64</w:t>
            </w:r>
          </w:p>
        </w:tc>
      </w:tr>
      <w:tr w:rsidR="001B520F" w14:paraId="2347CCDA" w14:textId="77777777" w:rsidTr="004B6CFD">
        <w:tc>
          <w:tcPr>
            <w:tcW w:w="3402" w:type="dxa"/>
            <w:tcBorders>
              <w:bottom w:val="single" w:sz="4" w:space="0" w:color="auto"/>
            </w:tcBorders>
          </w:tcPr>
          <w:p w14:paraId="4C94277F" w14:textId="77777777" w:rsidR="001B520F" w:rsidRDefault="001B520F" w:rsidP="004B6CFD">
            <w:r>
              <w:t>Male</w:t>
            </w:r>
          </w:p>
        </w:tc>
        <w:tc>
          <w:tcPr>
            <w:tcW w:w="2268" w:type="dxa"/>
            <w:tcBorders>
              <w:bottom w:val="single" w:sz="4" w:space="0" w:color="auto"/>
            </w:tcBorders>
          </w:tcPr>
          <w:p w14:paraId="6ABC0914" w14:textId="77777777" w:rsidR="001B520F" w:rsidRDefault="001B520F" w:rsidP="004B6CFD">
            <w:pPr>
              <w:jc w:val="center"/>
            </w:pPr>
            <w:r>
              <w:t>13 (30%)</w:t>
            </w:r>
          </w:p>
        </w:tc>
        <w:tc>
          <w:tcPr>
            <w:tcW w:w="2268" w:type="dxa"/>
            <w:tcBorders>
              <w:bottom w:val="single" w:sz="4" w:space="0" w:color="auto"/>
            </w:tcBorders>
          </w:tcPr>
          <w:p w14:paraId="4AB52B37" w14:textId="77777777" w:rsidR="001B520F" w:rsidRDefault="001B520F" w:rsidP="004B6CFD">
            <w:pPr>
              <w:jc w:val="center"/>
            </w:pPr>
            <w:r>
              <w:t>36</w:t>
            </w:r>
          </w:p>
        </w:tc>
      </w:tr>
      <w:tr w:rsidR="001B520F" w14:paraId="586664A0" w14:textId="77777777" w:rsidTr="004B6CFD">
        <w:tc>
          <w:tcPr>
            <w:tcW w:w="3402" w:type="dxa"/>
            <w:shd w:val="clear" w:color="auto" w:fill="A6A6A6" w:themeFill="background1" w:themeFillShade="A6"/>
          </w:tcPr>
          <w:p w14:paraId="148A81F1" w14:textId="77777777" w:rsidR="001B520F" w:rsidRDefault="001B520F" w:rsidP="004B6CFD">
            <w:r>
              <w:t>Age (years)</w:t>
            </w:r>
          </w:p>
        </w:tc>
        <w:tc>
          <w:tcPr>
            <w:tcW w:w="2268" w:type="dxa"/>
            <w:shd w:val="clear" w:color="auto" w:fill="A6A6A6" w:themeFill="background1" w:themeFillShade="A6"/>
          </w:tcPr>
          <w:p w14:paraId="20A7BD9D" w14:textId="77777777" w:rsidR="001B520F" w:rsidRDefault="001B520F" w:rsidP="004B6CFD">
            <w:pPr>
              <w:jc w:val="center"/>
            </w:pPr>
          </w:p>
        </w:tc>
        <w:tc>
          <w:tcPr>
            <w:tcW w:w="2268" w:type="dxa"/>
            <w:shd w:val="clear" w:color="auto" w:fill="A6A6A6" w:themeFill="background1" w:themeFillShade="A6"/>
          </w:tcPr>
          <w:p w14:paraId="5E21F950" w14:textId="77777777" w:rsidR="001B520F" w:rsidRDefault="001B520F" w:rsidP="004B6CFD">
            <w:pPr>
              <w:jc w:val="center"/>
            </w:pPr>
          </w:p>
        </w:tc>
      </w:tr>
      <w:tr w:rsidR="001B520F" w14:paraId="181AB6EE" w14:textId="77777777" w:rsidTr="004B6CFD">
        <w:tc>
          <w:tcPr>
            <w:tcW w:w="3402" w:type="dxa"/>
          </w:tcPr>
          <w:p w14:paraId="6B2F43E9" w14:textId="77777777" w:rsidR="001B520F" w:rsidRDefault="001B520F" w:rsidP="004B6CFD">
            <w:r>
              <w:t xml:space="preserve">               Mean (SD)</w:t>
            </w:r>
          </w:p>
        </w:tc>
        <w:tc>
          <w:tcPr>
            <w:tcW w:w="2268" w:type="dxa"/>
          </w:tcPr>
          <w:p w14:paraId="0F4D302B" w14:textId="77777777" w:rsidR="001B520F" w:rsidRDefault="001B520F" w:rsidP="004B6CFD">
            <w:pPr>
              <w:jc w:val="center"/>
            </w:pPr>
            <w:r>
              <w:t>62.93 (9.32)</w:t>
            </w:r>
          </w:p>
        </w:tc>
        <w:tc>
          <w:tcPr>
            <w:tcW w:w="2268" w:type="dxa"/>
          </w:tcPr>
          <w:p w14:paraId="1F3D921A" w14:textId="77777777" w:rsidR="001B520F" w:rsidRDefault="001B520F" w:rsidP="004B6CFD">
            <w:pPr>
              <w:jc w:val="center"/>
            </w:pPr>
            <w:r>
              <w:t>62.25 (9.81)</w:t>
            </w:r>
          </w:p>
        </w:tc>
      </w:tr>
      <w:tr w:rsidR="001B520F" w14:paraId="62E0E4E4" w14:textId="77777777" w:rsidTr="004B6CFD">
        <w:tc>
          <w:tcPr>
            <w:tcW w:w="3402" w:type="dxa"/>
            <w:tcBorders>
              <w:bottom w:val="single" w:sz="4" w:space="0" w:color="auto"/>
            </w:tcBorders>
          </w:tcPr>
          <w:p w14:paraId="53E886E0" w14:textId="77777777" w:rsidR="001B520F" w:rsidRDefault="001B520F" w:rsidP="004B6CFD">
            <w:r>
              <w:t xml:space="preserve">               Range</w:t>
            </w:r>
          </w:p>
        </w:tc>
        <w:tc>
          <w:tcPr>
            <w:tcW w:w="2268" w:type="dxa"/>
            <w:tcBorders>
              <w:bottom w:val="single" w:sz="4" w:space="0" w:color="auto"/>
            </w:tcBorders>
          </w:tcPr>
          <w:p w14:paraId="1A8B24FB" w14:textId="77777777" w:rsidR="001B520F" w:rsidRDefault="001B520F" w:rsidP="004B6CFD">
            <w:pPr>
              <w:jc w:val="center"/>
            </w:pPr>
            <w:r>
              <w:t>45-85</w:t>
            </w:r>
          </w:p>
        </w:tc>
        <w:tc>
          <w:tcPr>
            <w:tcW w:w="2268" w:type="dxa"/>
            <w:tcBorders>
              <w:bottom w:val="single" w:sz="4" w:space="0" w:color="auto"/>
            </w:tcBorders>
          </w:tcPr>
          <w:p w14:paraId="67167059" w14:textId="77777777" w:rsidR="001B520F" w:rsidRDefault="001B520F" w:rsidP="004B6CFD">
            <w:pPr>
              <w:jc w:val="center"/>
            </w:pPr>
            <w:r>
              <w:t xml:space="preserve">39-88 </w:t>
            </w:r>
          </w:p>
        </w:tc>
      </w:tr>
      <w:tr w:rsidR="001B520F" w14:paraId="313206DE" w14:textId="77777777" w:rsidTr="004B6CFD">
        <w:tc>
          <w:tcPr>
            <w:tcW w:w="3402" w:type="dxa"/>
            <w:shd w:val="clear" w:color="auto" w:fill="A6A6A6" w:themeFill="background1" w:themeFillShade="A6"/>
          </w:tcPr>
          <w:p w14:paraId="68B9E182" w14:textId="77777777" w:rsidR="001B520F" w:rsidRDefault="001B520F" w:rsidP="004B6CFD">
            <w:r>
              <w:t>Education level</w:t>
            </w:r>
          </w:p>
        </w:tc>
        <w:tc>
          <w:tcPr>
            <w:tcW w:w="2268" w:type="dxa"/>
            <w:shd w:val="clear" w:color="auto" w:fill="A6A6A6" w:themeFill="background1" w:themeFillShade="A6"/>
          </w:tcPr>
          <w:p w14:paraId="3E0D1A88" w14:textId="77777777" w:rsidR="001B520F" w:rsidRDefault="001B520F" w:rsidP="004B6CFD">
            <w:pPr>
              <w:jc w:val="center"/>
            </w:pPr>
          </w:p>
        </w:tc>
        <w:tc>
          <w:tcPr>
            <w:tcW w:w="2268" w:type="dxa"/>
            <w:shd w:val="clear" w:color="auto" w:fill="A6A6A6" w:themeFill="background1" w:themeFillShade="A6"/>
          </w:tcPr>
          <w:p w14:paraId="17BFB93D" w14:textId="77777777" w:rsidR="001B520F" w:rsidRDefault="001B520F" w:rsidP="004B6CFD">
            <w:pPr>
              <w:jc w:val="center"/>
            </w:pPr>
          </w:p>
        </w:tc>
      </w:tr>
      <w:tr w:rsidR="001B520F" w14:paraId="1CC56D5D" w14:textId="77777777" w:rsidTr="004B6CFD">
        <w:tc>
          <w:tcPr>
            <w:tcW w:w="3402" w:type="dxa"/>
          </w:tcPr>
          <w:p w14:paraId="673E44D8" w14:textId="77777777" w:rsidR="001B520F" w:rsidRDefault="001B520F" w:rsidP="004B6CFD">
            <w:r>
              <w:t>Less than compulsory</w:t>
            </w:r>
          </w:p>
        </w:tc>
        <w:tc>
          <w:tcPr>
            <w:tcW w:w="2268" w:type="dxa"/>
          </w:tcPr>
          <w:p w14:paraId="5AE3F646" w14:textId="77777777" w:rsidR="001B520F" w:rsidRDefault="001B520F" w:rsidP="004B6CFD">
            <w:pPr>
              <w:jc w:val="center"/>
            </w:pPr>
            <w:r>
              <w:t>2 (5%)</w:t>
            </w:r>
          </w:p>
        </w:tc>
        <w:tc>
          <w:tcPr>
            <w:tcW w:w="2268" w:type="dxa"/>
          </w:tcPr>
          <w:p w14:paraId="766BB32B" w14:textId="77777777" w:rsidR="001B520F" w:rsidRDefault="001B520F" w:rsidP="004B6CFD">
            <w:pPr>
              <w:jc w:val="center"/>
            </w:pPr>
            <w:r>
              <w:t>1</w:t>
            </w:r>
          </w:p>
        </w:tc>
      </w:tr>
      <w:tr w:rsidR="001B520F" w14:paraId="6D80C0E8" w14:textId="77777777" w:rsidTr="004B6CFD">
        <w:tc>
          <w:tcPr>
            <w:tcW w:w="3402" w:type="dxa"/>
          </w:tcPr>
          <w:p w14:paraId="5D013C42" w14:textId="77777777" w:rsidR="001B520F" w:rsidRDefault="001B520F" w:rsidP="004B6CFD">
            <w:r>
              <w:t>Compulsory school education</w:t>
            </w:r>
          </w:p>
        </w:tc>
        <w:tc>
          <w:tcPr>
            <w:tcW w:w="2268" w:type="dxa"/>
          </w:tcPr>
          <w:p w14:paraId="1371A804" w14:textId="77777777" w:rsidR="001B520F" w:rsidRDefault="001B520F" w:rsidP="004B6CFD">
            <w:pPr>
              <w:jc w:val="center"/>
            </w:pPr>
            <w:r>
              <w:t>14 (33%)</w:t>
            </w:r>
          </w:p>
        </w:tc>
        <w:tc>
          <w:tcPr>
            <w:tcW w:w="2268" w:type="dxa"/>
          </w:tcPr>
          <w:p w14:paraId="0A47547C" w14:textId="77777777" w:rsidR="001B520F" w:rsidRDefault="001B520F" w:rsidP="004B6CFD">
            <w:pPr>
              <w:jc w:val="center"/>
            </w:pPr>
            <w:r>
              <w:t>39</w:t>
            </w:r>
          </w:p>
        </w:tc>
      </w:tr>
      <w:tr w:rsidR="001B520F" w14:paraId="276C15AA" w14:textId="77777777" w:rsidTr="004B6CFD">
        <w:tc>
          <w:tcPr>
            <w:tcW w:w="3402" w:type="dxa"/>
          </w:tcPr>
          <w:p w14:paraId="7F757665" w14:textId="77777777" w:rsidR="001B520F" w:rsidRDefault="001B520F" w:rsidP="004B6CFD">
            <w:r>
              <w:t>Post compulsory school education (college)</w:t>
            </w:r>
          </w:p>
        </w:tc>
        <w:tc>
          <w:tcPr>
            <w:tcW w:w="2268" w:type="dxa"/>
          </w:tcPr>
          <w:p w14:paraId="584BF31B" w14:textId="77777777" w:rsidR="001B520F" w:rsidRDefault="001B520F" w:rsidP="004B6CFD">
            <w:pPr>
              <w:jc w:val="center"/>
            </w:pPr>
            <w:r>
              <w:t>16 (37%)</w:t>
            </w:r>
          </w:p>
        </w:tc>
        <w:tc>
          <w:tcPr>
            <w:tcW w:w="2268" w:type="dxa"/>
          </w:tcPr>
          <w:p w14:paraId="74BA3ABB" w14:textId="77777777" w:rsidR="001B520F" w:rsidRDefault="001B520F" w:rsidP="004B6CFD">
            <w:pPr>
              <w:jc w:val="center"/>
            </w:pPr>
            <w:r>
              <w:t>38</w:t>
            </w:r>
          </w:p>
        </w:tc>
      </w:tr>
      <w:tr w:rsidR="001B520F" w14:paraId="570CB53E" w14:textId="77777777" w:rsidTr="004B6CFD">
        <w:tc>
          <w:tcPr>
            <w:tcW w:w="3402" w:type="dxa"/>
            <w:tcBorders>
              <w:bottom w:val="single" w:sz="4" w:space="0" w:color="auto"/>
            </w:tcBorders>
          </w:tcPr>
          <w:p w14:paraId="7887ECCD" w14:textId="77777777" w:rsidR="001B520F" w:rsidRDefault="001B520F" w:rsidP="004B6CFD">
            <w:r>
              <w:t>University</w:t>
            </w:r>
          </w:p>
        </w:tc>
        <w:tc>
          <w:tcPr>
            <w:tcW w:w="2268" w:type="dxa"/>
            <w:tcBorders>
              <w:bottom w:val="single" w:sz="4" w:space="0" w:color="auto"/>
            </w:tcBorders>
          </w:tcPr>
          <w:p w14:paraId="119470B5" w14:textId="77777777" w:rsidR="001B520F" w:rsidRDefault="001B520F" w:rsidP="004B6CFD">
            <w:pPr>
              <w:jc w:val="center"/>
            </w:pPr>
            <w:r>
              <w:t>11 (26%)</w:t>
            </w:r>
          </w:p>
        </w:tc>
        <w:tc>
          <w:tcPr>
            <w:tcW w:w="2268" w:type="dxa"/>
            <w:tcBorders>
              <w:bottom w:val="single" w:sz="4" w:space="0" w:color="auto"/>
            </w:tcBorders>
          </w:tcPr>
          <w:p w14:paraId="06B48987" w14:textId="77777777" w:rsidR="001B520F" w:rsidRDefault="001B520F" w:rsidP="004B6CFD">
            <w:pPr>
              <w:jc w:val="center"/>
            </w:pPr>
            <w:r>
              <w:t>22</w:t>
            </w:r>
          </w:p>
        </w:tc>
      </w:tr>
      <w:tr w:rsidR="001B520F" w14:paraId="1180BAC5" w14:textId="77777777" w:rsidTr="004B6CFD">
        <w:tc>
          <w:tcPr>
            <w:tcW w:w="3402" w:type="dxa"/>
            <w:shd w:val="clear" w:color="auto" w:fill="A6A6A6" w:themeFill="background1" w:themeFillShade="A6"/>
          </w:tcPr>
          <w:p w14:paraId="1D91E404" w14:textId="77777777" w:rsidR="001B520F" w:rsidRDefault="001B520F" w:rsidP="004B6CFD">
            <w:r>
              <w:t>Employment status</w:t>
            </w:r>
          </w:p>
        </w:tc>
        <w:tc>
          <w:tcPr>
            <w:tcW w:w="2268" w:type="dxa"/>
            <w:shd w:val="clear" w:color="auto" w:fill="A6A6A6" w:themeFill="background1" w:themeFillShade="A6"/>
          </w:tcPr>
          <w:p w14:paraId="00E534CA" w14:textId="77777777" w:rsidR="001B520F" w:rsidRDefault="001B520F" w:rsidP="004B6CFD">
            <w:pPr>
              <w:jc w:val="center"/>
            </w:pPr>
          </w:p>
        </w:tc>
        <w:tc>
          <w:tcPr>
            <w:tcW w:w="2268" w:type="dxa"/>
            <w:shd w:val="clear" w:color="auto" w:fill="A6A6A6" w:themeFill="background1" w:themeFillShade="A6"/>
          </w:tcPr>
          <w:p w14:paraId="7426D9DC" w14:textId="77777777" w:rsidR="001B520F" w:rsidRDefault="001B520F" w:rsidP="004B6CFD">
            <w:pPr>
              <w:jc w:val="center"/>
            </w:pPr>
          </w:p>
        </w:tc>
      </w:tr>
      <w:tr w:rsidR="001B520F" w14:paraId="14FDC7A6" w14:textId="77777777" w:rsidTr="004B6CFD">
        <w:tc>
          <w:tcPr>
            <w:tcW w:w="3402" w:type="dxa"/>
          </w:tcPr>
          <w:p w14:paraId="1289E186" w14:textId="77777777" w:rsidR="001B520F" w:rsidRDefault="001B520F" w:rsidP="004B6CFD">
            <w:r>
              <w:t>Full time</w:t>
            </w:r>
          </w:p>
        </w:tc>
        <w:tc>
          <w:tcPr>
            <w:tcW w:w="2268" w:type="dxa"/>
          </w:tcPr>
          <w:p w14:paraId="4E9D8FDF" w14:textId="77777777" w:rsidR="001B520F" w:rsidRDefault="001B520F" w:rsidP="004B6CFD">
            <w:pPr>
              <w:jc w:val="center"/>
            </w:pPr>
            <w:r>
              <w:t>9 (21%)</w:t>
            </w:r>
          </w:p>
        </w:tc>
        <w:tc>
          <w:tcPr>
            <w:tcW w:w="2268" w:type="dxa"/>
          </w:tcPr>
          <w:p w14:paraId="0DA52EB6" w14:textId="77777777" w:rsidR="001B520F" w:rsidRDefault="001B520F" w:rsidP="004B6CFD">
            <w:pPr>
              <w:jc w:val="center"/>
            </w:pPr>
            <w:r>
              <w:t>22</w:t>
            </w:r>
          </w:p>
        </w:tc>
      </w:tr>
      <w:tr w:rsidR="001B520F" w14:paraId="23C4DF3E" w14:textId="77777777" w:rsidTr="004B6CFD">
        <w:tc>
          <w:tcPr>
            <w:tcW w:w="3402" w:type="dxa"/>
          </w:tcPr>
          <w:p w14:paraId="66E0E260" w14:textId="77777777" w:rsidR="001B520F" w:rsidRDefault="001B520F" w:rsidP="004B6CFD">
            <w:r>
              <w:t>Part time</w:t>
            </w:r>
          </w:p>
        </w:tc>
        <w:tc>
          <w:tcPr>
            <w:tcW w:w="2268" w:type="dxa"/>
          </w:tcPr>
          <w:p w14:paraId="5C596A1E" w14:textId="77777777" w:rsidR="001B520F" w:rsidRDefault="001B520F" w:rsidP="004B6CFD">
            <w:pPr>
              <w:jc w:val="center"/>
            </w:pPr>
            <w:r>
              <w:t>4 (9%)</w:t>
            </w:r>
          </w:p>
        </w:tc>
        <w:tc>
          <w:tcPr>
            <w:tcW w:w="2268" w:type="dxa"/>
          </w:tcPr>
          <w:p w14:paraId="6D48FAA8" w14:textId="77777777" w:rsidR="001B520F" w:rsidRDefault="001B520F" w:rsidP="004B6CFD">
            <w:pPr>
              <w:jc w:val="center"/>
            </w:pPr>
            <w:r>
              <w:t>14</w:t>
            </w:r>
          </w:p>
        </w:tc>
      </w:tr>
      <w:tr w:rsidR="001B520F" w14:paraId="2E12981F" w14:textId="77777777" w:rsidTr="004B6CFD">
        <w:tc>
          <w:tcPr>
            <w:tcW w:w="3402" w:type="dxa"/>
          </w:tcPr>
          <w:p w14:paraId="52B509B1" w14:textId="77777777" w:rsidR="001B520F" w:rsidRDefault="001B520F" w:rsidP="004B6CFD">
            <w:r>
              <w:lastRenderedPageBreak/>
              <w:t>Homemaker</w:t>
            </w:r>
          </w:p>
        </w:tc>
        <w:tc>
          <w:tcPr>
            <w:tcW w:w="2268" w:type="dxa"/>
          </w:tcPr>
          <w:p w14:paraId="06419FAD" w14:textId="77777777" w:rsidR="001B520F" w:rsidRDefault="001B520F" w:rsidP="004B6CFD">
            <w:pPr>
              <w:jc w:val="center"/>
            </w:pPr>
            <w:r>
              <w:t>2 (5%)</w:t>
            </w:r>
          </w:p>
        </w:tc>
        <w:tc>
          <w:tcPr>
            <w:tcW w:w="2268" w:type="dxa"/>
          </w:tcPr>
          <w:p w14:paraId="1E975131" w14:textId="77777777" w:rsidR="001B520F" w:rsidRDefault="001B520F" w:rsidP="004B6CFD">
            <w:pPr>
              <w:jc w:val="center"/>
            </w:pPr>
            <w:r>
              <w:t>7</w:t>
            </w:r>
          </w:p>
        </w:tc>
      </w:tr>
      <w:tr w:rsidR="001B520F" w14:paraId="01329D7D" w14:textId="77777777" w:rsidTr="004B6CFD">
        <w:tc>
          <w:tcPr>
            <w:tcW w:w="3402" w:type="dxa"/>
          </w:tcPr>
          <w:p w14:paraId="1A62B681" w14:textId="77777777" w:rsidR="001B520F" w:rsidRDefault="001B520F" w:rsidP="004B6CFD">
            <w:r>
              <w:t>Retired</w:t>
            </w:r>
          </w:p>
        </w:tc>
        <w:tc>
          <w:tcPr>
            <w:tcW w:w="2268" w:type="dxa"/>
          </w:tcPr>
          <w:p w14:paraId="58003327" w14:textId="77777777" w:rsidR="001B520F" w:rsidRDefault="001B520F" w:rsidP="004B6CFD">
            <w:pPr>
              <w:jc w:val="center"/>
            </w:pPr>
            <w:r>
              <w:t>21 (49%)</w:t>
            </w:r>
          </w:p>
        </w:tc>
        <w:tc>
          <w:tcPr>
            <w:tcW w:w="2268" w:type="dxa"/>
          </w:tcPr>
          <w:p w14:paraId="1AB7332A" w14:textId="77777777" w:rsidR="001B520F" w:rsidRDefault="001B520F" w:rsidP="004B6CFD">
            <w:pPr>
              <w:jc w:val="center"/>
            </w:pPr>
            <w:r>
              <w:t>39</w:t>
            </w:r>
          </w:p>
        </w:tc>
      </w:tr>
      <w:tr w:rsidR="001B520F" w14:paraId="5AC60D4D" w14:textId="77777777" w:rsidTr="004B6CFD">
        <w:tc>
          <w:tcPr>
            <w:tcW w:w="3402" w:type="dxa"/>
          </w:tcPr>
          <w:p w14:paraId="0DD085FA" w14:textId="77777777" w:rsidR="001B520F" w:rsidRDefault="001B520F" w:rsidP="004B6CFD">
            <w:r>
              <w:t>Sick leave</w:t>
            </w:r>
          </w:p>
        </w:tc>
        <w:tc>
          <w:tcPr>
            <w:tcW w:w="2268" w:type="dxa"/>
          </w:tcPr>
          <w:p w14:paraId="13B078D4" w14:textId="77777777" w:rsidR="001B520F" w:rsidRDefault="001B520F" w:rsidP="004B6CFD">
            <w:pPr>
              <w:jc w:val="center"/>
            </w:pPr>
            <w:r>
              <w:t>4 (9%)</w:t>
            </w:r>
          </w:p>
        </w:tc>
        <w:tc>
          <w:tcPr>
            <w:tcW w:w="2268" w:type="dxa"/>
          </w:tcPr>
          <w:p w14:paraId="7418140C" w14:textId="77777777" w:rsidR="001B520F" w:rsidRDefault="001B520F" w:rsidP="004B6CFD">
            <w:pPr>
              <w:jc w:val="center"/>
            </w:pPr>
            <w:r>
              <w:t>3</w:t>
            </w:r>
          </w:p>
        </w:tc>
      </w:tr>
      <w:tr w:rsidR="001B520F" w14:paraId="680353CF" w14:textId="77777777" w:rsidTr="004B6CFD">
        <w:tc>
          <w:tcPr>
            <w:tcW w:w="3402" w:type="dxa"/>
          </w:tcPr>
          <w:p w14:paraId="7AF92BA5" w14:textId="77777777" w:rsidR="001B520F" w:rsidRDefault="001B520F" w:rsidP="004B6CFD">
            <w:r>
              <w:t>Disability</w:t>
            </w:r>
          </w:p>
        </w:tc>
        <w:tc>
          <w:tcPr>
            <w:tcW w:w="2268" w:type="dxa"/>
          </w:tcPr>
          <w:p w14:paraId="440C4FA1" w14:textId="77777777" w:rsidR="001B520F" w:rsidRDefault="001B520F" w:rsidP="004B6CFD">
            <w:pPr>
              <w:jc w:val="center"/>
            </w:pPr>
            <w:r>
              <w:t>__</w:t>
            </w:r>
          </w:p>
        </w:tc>
        <w:tc>
          <w:tcPr>
            <w:tcW w:w="2268" w:type="dxa"/>
          </w:tcPr>
          <w:p w14:paraId="2757A28A" w14:textId="77777777" w:rsidR="001B520F" w:rsidRDefault="001B520F" w:rsidP="004B6CFD">
            <w:pPr>
              <w:jc w:val="center"/>
            </w:pPr>
            <w:r>
              <w:t>3</w:t>
            </w:r>
          </w:p>
        </w:tc>
      </w:tr>
      <w:tr w:rsidR="001B520F" w14:paraId="1663793F" w14:textId="77777777" w:rsidTr="004B6CFD">
        <w:tc>
          <w:tcPr>
            <w:tcW w:w="3402" w:type="dxa"/>
          </w:tcPr>
          <w:p w14:paraId="62B31792" w14:textId="77777777" w:rsidR="001B520F" w:rsidRDefault="001B520F" w:rsidP="004B6CFD">
            <w:r>
              <w:t>None</w:t>
            </w:r>
          </w:p>
        </w:tc>
        <w:tc>
          <w:tcPr>
            <w:tcW w:w="2268" w:type="dxa"/>
          </w:tcPr>
          <w:p w14:paraId="0B9C210C" w14:textId="77777777" w:rsidR="001B520F" w:rsidRDefault="001B520F" w:rsidP="004B6CFD">
            <w:pPr>
              <w:jc w:val="center"/>
            </w:pPr>
            <w:r>
              <w:t>1 (2%)</w:t>
            </w:r>
          </w:p>
        </w:tc>
        <w:tc>
          <w:tcPr>
            <w:tcW w:w="2268" w:type="dxa"/>
          </w:tcPr>
          <w:p w14:paraId="7FAC7723" w14:textId="77777777" w:rsidR="001B520F" w:rsidRDefault="001B520F" w:rsidP="004B6CFD">
            <w:pPr>
              <w:jc w:val="center"/>
            </w:pPr>
            <w:r>
              <w:t>6</w:t>
            </w:r>
          </w:p>
        </w:tc>
      </w:tr>
      <w:tr w:rsidR="001B520F" w14:paraId="73697E23" w14:textId="77777777" w:rsidTr="004B6CFD">
        <w:tc>
          <w:tcPr>
            <w:tcW w:w="3402" w:type="dxa"/>
          </w:tcPr>
          <w:p w14:paraId="012F1F5C" w14:textId="77777777" w:rsidR="001B520F" w:rsidRPr="00A74F32" w:rsidRDefault="001B520F" w:rsidP="004B6CFD">
            <w:pPr>
              <w:rPr>
                <w:vertAlign w:val="superscript"/>
              </w:rPr>
            </w:pPr>
            <w:r>
              <w:t>Other</w:t>
            </w:r>
            <w:r>
              <w:rPr>
                <w:vertAlign w:val="superscript"/>
              </w:rPr>
              <w:t>1</w:t>
            </w:r>
          </w:p>
        </w:tc>
        <w:tc>
          <w:tcPr>
            <w:tcW w:w="2268" w:type="dxa"/>
          </w:tcPr>
          <w:p w14:paraId="07D2CC1D" w14:textId="77777777" w:rsidR="001B520F" w:rsidRPr="00D47888" w:rsidRDefault="001B520F" w:rsidP="004B6CFD">
            <w:pPr>
              <w:jc w:val="center"/>
              <w:rPr>
                <w:vertAlign w:val="superscript"/>
              </w:rPr>
            </w:pPr>
            <w:r>
              <w:t>2 (5%)</w:t>
            </w:r>
          </w:p>
        </w:tc>
        <w:tc>
          <w:tcPr>
            <w:tcW w:w="2268" w:type="dxa"/>
          </w:tcPr>
          <w:p w14:paraId="3CED3726" w14:textId="77777777" w:rsidR="001B520F" w:rsidRPr="00E6616F" w:rsidRDefault="001B520F" w:rsidP="004B6CFD">
            <w:pPr>
              <w:jc w:val="center"/>
              <w:rPr>
                <w:vertAlign w:val="superscript"/>
              </w:rPr>
            </w:pPr>
            <w:r>
              <w:t>2</w:t>
            </w:r>
          </w:p>
        </w:tc>
      </w:tr>
      <w:tr w:rsidR="001B520F" w14:paraId="185ECDB5" w14:textId="77777777" w:rsidTr="004B6CFD">
        <w:tc>
          <w:tcPr>
            <w:tcW w:w="3402" w:type="dxa"/>
          </w:tcPr>
          <w:p w14:paraId="3118F841" w14:textId="77777777" w:rsidR="001B520F" w:rsidRDefault="001B520F" w:rsidP="004B6CFD">
            <w:r>
              <w:t>Missing</w:t>
            </w:r>
          </w:p>
        </w:tc>
        <w:tc>
          <w:tcPr>
            <w:tcW w:w="2268" w:type="dxa"/>
          </w:tcPr>
          <w:p w14:paraId="25F8B30D" w14:textId="77777777" w:rsidR="001B520F" w:rsidRDefault="001B520F" w:rsidP="004B6CFD">
            <w:pPr>
              <w:jc w:val="center"/>
            </w:pPr>
            <w:r>
              <w:t>__</w:t>
            </w:r>
          </w:p>
        </w:tc>
        <w:tc>
          <w:tcPr>
            <w:tcW w:w="2268" w:type="dxa"/>
          </w:tcPr>
          <w:p w14:paraId="50F9C09B" w14:textId="77777777" w:rsidR="001B520F" w:rsidRDefault="001B520F" w:rsidP="004B6CFD">
            <w:pPr>
              <w:jc w:val="center"/>
            </w:pPr>
            <w:r>
              <w:t>4</w:t>
            </w:r>
          </w:p>
        </w:tc>
      </w:tr>
      <w:tr w:rsidR="001B520F" w14:paraId="1AD27224" w14:textId="77777777" w:rsidTr="004B6CFD">
        <w:tc>
          <w:tcPr>
            <w:tcW w:w="3402" w:type="dxa"/>
            <w:shd w:val="clear" w:color="auto" w:fill="A6A6A6" w:themeFill="background1" w:themeFillShade="A6"/>
          </w:tcPr>
          <w:p w14:paraId="0806529A" w14:textId="77777777" w:rsidR="001B520F" w:rsidRDefault="001B520F" w:rsidP="004B6CFD">
            <w:r>
              <w:t>Living situation</w:t>
            </w:r>
          </w:p>
        </w:tc>
        <w:tc>
          <w:tcPr>
            <w:tcW w:w="2268" w:type="dxa"/>
            <w:shd w:val="clear" w:color="auto" w:fill="A6A6A6" w:themeFill="background1" w:themeFillShade="A6"/>
          </w:tcPr>
          <w:p w14:paraId="759B9A1C" w14:textId="77777777" w:rsidR="001B520F" w:rsidRDefault="001B520F" w:rsidP="004B6CFD">
            <w:pPr>
              <w:jc w:val="center"/>
            </w:pPr>
          </w:p>
        </w:tc>
        <w:tc>
          <w:tcPr>
            <w:tcW w:w="2268" w:type="dxa"/>
            <w:shd w:val="clear" w:color="auto" w:fill="A6A6A6" w:themeFill="background1" w:themeFillShade="A6"/>
          </w:tcPr>
          <w:p w14:paraId="6D741EE7" w14:textId="77777777" w:rsidR="001B520F" w:rsidRDefault="001B520F" w:rsidP="004B6CFD">
            <w:pPr>
              <w:jc w:val="center"/>
            </w:pPr>
          </w:p>
        </w:tc>
      </w:tr>
      <w:tr w:rsidR="001B520F" w14:paraId="013D0CA8" w14:textId="77777777" w:rsidTr="004B6CFD">
        <w:tc>
          <w:tcPr>
            <w:tcW w:w="3402" w:type="dxa"/>
            <w:shd w:val="clear" w:color="auto" w:fill="auto"/>
          </w:tcPr>
          <w:p w14:paraId="16718A0D" w14:textId="77777777" w:rsidR="001B520F" w:rsidRDefault="001B520F" w:rsidP="004B6CFD">
            <w:r>
              <w:t>Alone</w:t>
            </w:r>
          </w:p>
        </w:tc>
        <w:tc>
          <w:tcPr>
            <w:tcW w:w="2268" w:type="dxa"/>
            <w:shd w:val="clear" w:color="auto" w:fill="auto"/>
          </w:tcPr>
          <w:p w14:paraId="1CC9C654" w14:textId="77777777" w:rsidR="001B520F" w:rsidRDefault="001B520F" w:rsidP="004B6CFD">
            <w:pPr>
              <w:jc w:val="center"/>
            </w:pPr>
            <w:r>
              <w:t>15 (35%)</w:t>
            </w:r>
          </w:p>
        </w:tc>
        <w:tc>
          <w:tcPr>
            <w:tcW w:w="2268" w:type="dxa"/>
          </w:tcPr>
          <w:p w14:paraId="03CA4170" w14:textId="77777777" w:rsidR="001B520F" w:rsidRDefault="001B520F" w:rsidP="004B6CFD">
            <w:pPr>
              <w:jc w:val="center"/>
            </w:pPr>
            <w:r>
              <w:t>25</w:t>
            </w:r>
          </w:p>
        </w:tc>
      </w:tr>
      <w:tr w:rsidR="001B520F" w14:paraId="11627D84" w14:textId="77777777" w:rsidTr="004B6CFD">
        <w:tc>
          <w:tcPr>
            <w:tcW w:w="3402" w:type="dxa"/>
            <w:shd w:val="clear" w:color="auto" w:fill="auto"/>
          </w:tcPr>
          <w:p w14:paraId="1E1B2788" w14:textId="77777777" w:rsidR="001B520F" w:rsidRDefault="001B520F" w:rsidP="004B6CFD">
            <w:r>
              <w:t>Partner</w:t>
            </w:r>
          </w:p>
        </w:tc>
        <w:tc>
          <w:tcPr>
            <w:tcW w:w="2268" w:type="dxa"/>
            <w:shd w:val="clear" w:color="auto" w:fill="auto"/>
          </w:tcPr>
          <w:p w14:paraId="12C83D1D" w14:textId="77777777" w:rsidR="001B520F" w:rsidRDefault="001B520F" w:rsidP="004B6CFD">
            <w:pPr>
              <w:jc w:val="center"/>
            </w:pPr>
            <w:r>
              <w:t>23 (54%)</w:t>
            </w:r>
          </w:p>
        </w:tc>
        <w:tc>
          <w:tcPr>
            <w:tcW w:w="2268" w:type="dxa"/>
          </w:tcPr>
          <w:p w14:paraId="26DD4310" w14:textId="77777777" w:rsidR="001B520F" w:rsidRDefault="001B520F" w:rsidP="004B6CFD">
            <w:pPr>
              <w:jc w:val="center"/>
            </w:pPr>
            <w:r>
              <w:t>49</w:t>
            </w:r>
          </w:p>
        </w:tc>
      </w:tr>
      <w:tr w:rsidR="001B520F" w14:paraId="1D043DC8" w14:textId="77777777" w:rsidTr="004B6CFD">
        <w:tc>
          <w:tcPr>
            <w:tcW w:w="3402" w:type="dxa"/>
            <w:shd w:val="clear" w:color="auto" w:fill="auto"/>
          </w:tcPr>
          <w:p w14:paraId="0A75F1BB" w14:textId="77777777" w:rsidR="001B520F" w:rsidRDefault="001B520F" w:rsidP="004B6CFD">
            <w:r>
              <w:t>Others</w:t>
            </w:r>
          </w:p>
        </w:tc>
        <w:tc>
          <w:tcPr>
            <w:tcW w:w="2268" w:type="dxa"/>
            <w:shd w:val="clear" w:color="auto" w:fill="auto"/>
          </w:tcPr>
          <w:p w14:paraId="69C75AAD" w14:textId="77777777" w:rsidR="001B520F" w:rsidRDefault="001B520F" w:rsidP="004B6CFD">
            <w:pPr>
              <w:jc w:val="center"/>
            </w:pPr>
            <w:r>
              <w:t>5 (12%)</w:t>
            </w:r>
          </w:p>
        </w:tc>
        <w:tc>
          <w:tcPr>
            <w:tcW w:w="2268" w:type="dxa"/>
          </w:tcPr>
          <w:p w14:paraId="1FEE88D6" w14:textId="77777777" w:rsidR="001B520F" w:rsidRPr="00E6616F" w:rsidRDefault="001B520F" w:rsidP="004B6CFD">
            <w:pPr>
              <w:jc w:val="center"/>
              <w:rPr>
                <w:vertAlign w:val="superscript"/>
              </w:rPr>
            </w:pPr>
            <w:r>
              <w:t>18</w:t>
            </w:r>
          </w:p>
        </w:tc>
      </w:tr>
      <w:tr w:rsidR="001B520F" w14:paraId="3AC8ADF7" w14:textId="77777777" w:rsidTr="004B6CFD">
        <w:tc>
          <w:tcPr>
            <w:tcW w:w="3402" w:type="dxa"/>
            <w:shd w:val="clear" w:color="auto" w:fill="auto"/>
          </w:tcPr>
          <w:p w14:paraId="46C2D26F" w14:textId="77777777" w:rsidR="001B520F" w:rsidRPr="00796449" w:rsidRDefault="001B520F" w:rsidP="004B6CFD">
            <w:pPr>
              <w:rPr>
                <w:vertAlign w:val="superscript"/>
              </w:rPr>
            </w:pPr>
            <w:r>
              <w:t>Other</w:t>
            </w:r>
            <w:r>
              <w:rPr>
                <w:vertAlign w:val="superscript"/>
              </w:rPr>
              <w:t>2</w:t>
            </w:r>
          </w:p>
        </w:tc>
        <w:tc>
          <w:tcPr>
            <w:tcW w:w="2268" w:type="dxa"/>
            <w:shd w:val="clear" w:color="auto" w:fill="auto"/>
          </w:tcPr>
          <w:p w14:paraId="3B0FCFAE" w14:textId="77777777" w:rsidR="001B520F" w:rsidRDefault="001B520F" w:rsidP="004B6CFD">
            <w:pPr>
              <w:jc w:val="center"/>
            </w:pPr>
            <w:r>
              <w:t>__</w:t>
            </w:r>
          </w:p>
        </w:tc>
        <w:tc>
          <w:tcPr>
            <w:tcW w:w="2268" w:type="dxa"/>
          </w:tcPr>
          <w:p w14:paraId="689F1A81" w14:textId="77777777" w:rsidR="001B520F" w:rsidRDefault="001B520F" w:rsidP="004B6CFD">
            <w:pPr>
              <w:jc w:val="center"/>
            </w:pPr>
            <w:r>
              <w:t>8</w:t>
            </w:r>
          </w:p>
        </w:tc>
      </w:tr>
      <w:tr w:rsidR="001B520F" w14:paraId="3C7CD5F7" w14:textId="77777777" w:rsidTr="004B6CFD">
        <w:tc>
          <w:tcPr>
            <w:tcW w:w="3402" w:type="dxa"/>
            <w:shd w:val="clear" w:color="auto" w:fill="A6A6A6" w:themeFill="background1" w:themeFillShade="A6"/>
          </w:tcPr>
          <w:p w14:paraId="3FC6B42C" w14:textId="77777777" w:rsidR="001B520F" w:rsidRPr="00542888" w:rsidRDefault="001B520F" w:rsidP="004B6CFD">
            <w:pPr>
              <w:rPr>
                <w:vertAlign w:val="superscript"/>
              </w:rPr>
            </w:pPr>
            <w:r>
              <w:t>Disease status</w:t>
            </w:r>
          </w:p>
        </w:tc>
        <w:tc>
          <w:tcPr>
            <w:tcW w:w="2268" w:type="dxa"/>
            <w:shd w:val="clear" w:color="auto" w:fill="A6A6A6" w:themeFill="background1" w:themeFillShade="A6"/>
          </w:tcPr>
          <w:p w14:paraId="44FAD4D9" w14:textId="77777777" w:rsidR="001B520F" w:rsidRDefault="001B520F" w:rsidP="004B6CFD">
            <w:pPr>
              <w:jc w:val="center"/>
            </w:pPr>
          </w:p>
        </w:tc>
        <w:tc>
          <w:tcPr>
            <w:tcW w:w="2268" w:type="dxa"/>
            <w:shd w:val="clear" w:color="auto" w:fill="A6A6A6" w:themeFill="background1" w:themeFillShade="A6"/>
          </w:tcPr>
          <w:p w14:paraId="65C47301" w14:textId="77777777" w:rsidR="001B520F" w:rsidRDefault="001B520F" w:rsidP="004B6CFD">
            <w:pPr>
              <w:jc w:val="center"/>
            </w:pPr>
          </w:p>
        </w:tc>
      </w:tr>
      <w:tr w:rsidR="001B520F" w14:paraId="309E97EB" w14:textId="77777777" w:rsidTr="004B6CFD">
        <w:tc>
          <w:tcPr>
            <w:tcW w:w="3402" w:type="dxa"/>
          </w:tcPr>
          <w:p w14:paraId="1C292E16" w14:textId="77777777" w:rsidR="001B520F" w:rsidRDefault="001B520F" w:rsidP="004B6CFD">
            <w:r>
              <w:t>Localised</w:t>
            </w:r>
          </w:p>
        </w:tc>
        <w:tc>
          <w:tcPr>
            <w:tcW w:w="2268" w:type="dxa"/>
          </w:tcPr>
          <w:p w14:paraId="72D9D529" w14:textId="77777777" w:rsidR="001B520F" w:rsidRDefault="001B520F" w:rsidP="004B6CFD">
            <w:pPr>
              <w:jc w:val="center"/>
            </w:pPr>
            <w:r>
              <w:t>38 (88%)</w:t>
            </w:r>
          </w:p>
        </w:tc>
        <w:tc>
          <w:tcPr>
            <w:tcW w:w="2268" w:type="dxa"/>
          </w:tcPr>
          <w:p w14:paraId="29D37790" w14:textId="77777777" w:rsidR="001B520F" w:rsidRDefault="001B520F" w:rsidP="004B6CFD">
            <w:pPr>
              <w:jc w:val="center"/>
            </w:pPr>
            <w:r>
              <w:t>85</w:t>
            </w:r>
          </w:p>
        </w:tc>
      </w:tr>
      <w:tr w:rsidR="001B520F" w14:paraId="13C999AC" w14:textId="77777777" w:rsidTr="004B6CFD">
        <w:tc>
          <w:tcPr>
            <w:tcW w:w="3402" w:type="dxa"/>
          </w:tcPr>
          <w:p w14:paraId="4F36EC96" w14:textId="77777777" w:rsidR="001B520F" w:rsidRDefault="001B520F" w:rsidP="004B6CFD">
            <w:proofErr w:type="spellStart"/>
            <w:r>
              <w:t>Locoregional</w:t>
            </w:r>
            <w:proofErr w:type="spellEnd"/>
          </w:p>
        </w:tc>
        <w:tc>
          <w:tcPr>
            <w:tcW w:w="2268" w:type="dxa"/>
          </w:tcPr>
          <w:p w14:paraId="091F04A5" w14:textId="77777777" w:rsidR="001B520F" w:rsidRDefault="001B520F" w:rsidP="004B6CFD">
            <w:pPr>
              <w:jc w:val="center"/>
            </w:pPr>
            <w:r>
              <w:t>5 (12%)</w:t>
            </w:r>
          </w:p>
        </w:tc>
        <w:tc>
          <w:tcPr>
            <w:tcW w:w="2268" w:type="dxa"/>
          </w:tcPr>
          <w:p w14:paraId="0601F2BB" w14:textId="77777777" w:rsidR="001B520F" w:rsidRDefault="001B520F" w:rsidP="004B6CFD">
            <w:pPr>
              <w:jc w:val="center"/>
            </w:pPr>
            <w:r>
              <w:t>9</w:t>
            </w:r>
          </w:p>
        </w:tc>
      </w:tr>
      <w:tr w:rsidR="001B520F" w14:paraId="04A49874" w14:textId="77777777" w:rsidTr="004B6CFD">
        <w:tc>
          <w:tcPr>
            <w:tcW w:w="3402" w:type="dxa"/>
          </w:tcPr>
          <w:p w14:paraId="381915A1" w14:textId="77777777" w:rsidR="001B520F" w:rsidRDefault="001B520F" w:rsidP="004B6CFD">
            <w:r>
              <w:t>Missing</w:t>
            </w:r>
          </w:p>
        </w:tc>
        <w:tc>
          <w:tcPr>
            <w:tcW w:w="2268" w:type="dxa"/>
          </w:tcPr>
          <w:p w14:paraId="355F9988" w14:textId="77777777" w:rsidR="001B520F" w:rsidRDefault="001B520F" w:rsidP="004B6CFD">
            <w:pPr>
              <w:jc w:val="center"/>
            </w:pPr>
            <w:r>
              <w:t>__</w:t>
            </w:r>
          </w:p>
        </w:tc>
        <w:tc>
          <w:tcPr>
            <w:tcW w:w="2268" w:type="dxa"/>
          </w:tcPr>
          <w:p w14:paraId="2F91BA4B" w14:textId="77777777" w:rsidR="001B520F" w:rsidRDefault="001B520F" w:rsidP="004B6CFD">
            <w:pPr>
              <w:jc w:val="center"/>
            </w:pPr>
            <w:r>
              <w:t>6</w:t>
            </w:r>
          </w:p>
        </w:tc>
      </w:tr>
      <w:tr w:rsidR="001B520F" w14:paraId="290F6FBF" w14:textId="77777777" w:rsidTr="004B6CFD">
        <w:tc>
          <w:tcPr>
            <w:tcW w:w="3402" w:type="dxa"/>
            <w:shd w:val="clear" w:color="auto" w:fill="A6A6A6" w:themeFill="background1" w:themeFillShade="A6"/>
          </w:tcPr>
          <w:p w14:paraId="39795F60" w14:textId="77777777" w:rsidR="001B520F" w:rsidRDefault="001B520F" w:rsidP="004B6CFD">
            <w:r>
              <w:t>Treatment phase</w:t>
            </w:r>
          </w:p>
        </w:tc>
        <w:tc>
          <w:tcPr>
            <w:tcW w:w="2268" w:type="dxa"/>
            <w:shd w:val="clear" w:color="auto" w:fill="A6A6A6" w:themeFill="background1" w:themeFillShade="A6"/>
          </w:tcPr>
          <w:p w14:paraId="004CB96D" w14:textId="77777777" w:rsidR="001B520F" w:rsidRDefault="001B520F" w:rsidP="004B6CFD">
            <w:pPr>
              <w:jc w:val="center"/>
            </w:pPr>
          </w:p>
        </w:tc>
        <w:tc>
          <w:tcPr>
            <w:tcW w:w="2268" w:type="dxa"/>
            <w:shd w:val="clear" w:color="auto" w:fill="A6A6A6" w:themeFill="background1" w:themeFillShade="A6"/>
          </w:tcPr>
          <w:p w14:paraId="1A722C05" w14:textId="77777777" w:rsidR="001B520F" w:rsidRDefault="001B520F" w:rsidP="004B6CFD">
            <w:pPr>
              <w:jc w:val="center"/>
            </w:pPr>
          </w:p>
        </w:tc>
      </w:tr>
      <w:tr w:rsidR="001B520F" w14:paraId="0E551180" w14:textId="77777777" w:rsidTr="004B6CFD">
        <w:tc>
          <w:tcPr>
            <w:tcW w:w="3402" w:type="dxa"/>
          </w:tcPr>
          <w:p w14:paraId="503EAF82" w14:textId="77777777" w:rsidR="001B520F" w:rsidRDefault="001B520F" w:rsidP="004B6CFD">
            <w:r>
              <w:t xml:space="preserve">Acute </w:t>
            </w:r>
          </w:p>
        </w:tc>
        <w:tc>
          <w:tcPr>
            <w:tcW w:w="2268" w:type="dxa"/>
          </w:tcPr>
          <w:p w14:paraId="0FDFF854" w14:textId="77777777" w:rsidR="001B520F" w:rsidRDefault="001B520F" w:rsidP="004B6CFD">
            <w:pPr>
              <w:jc w:val="center"/>
            </w:pPr>
            <w:r>
              <w:t>20 (47%)</w:t>
            </w:r>
          </w:p>
        </w:tc>
        <w:tc>
          <w:tcPr>
            <w:tcW w:w="2268" w:type="dxa"/>
          </w:tcPr>
          <w:p w14:paraId="1E4669C9" w14:textId="77777777" w:rsidR="001B520F" w:rsidRDefault="001B520F" w:rsidP="004B6CFD">
            <w:pPr>
              <w:jc w:val="center"/>
            </w:pPr>
            <w:r>
              <w:t>41</w:t>
            </w:r>
          </w:p>
        </w:tc>
      </w:tr>
      <w:tr w:rsidR="001B520F" w14:paraId="16AA6380" w14:textId="77777777" w:rsidTr="004B6CFD">
        <w:tc>
          <w:tcPr>
            <w:tcW w:w="3402" w:type="dxa"/>
          </w:tcPr>
          <w:p w14:paraId="708D07EE" w14:textId="77777777" w:rsidR="001B520F" w:rsidRDefault="001B520F" w:rsidP="004B6CFD">
            <w:r>
              <w:t>Early</w:t>
            </w:r>
          </w:p>
        </w:tc>
        <w:tc>
          <w:tcPr>
            <w:tcW w:w="2268" w:type="dxa"/>
          </w:tcPr>
          <w:p w14:paraId="6D762AA5" w14:textId="77777777" w:rsidR="001B520F" w:rsidRDefault="001B520F" w:rsidP="004B6CFD">
            <w:pPr>
              <w:jc w:val="center"/>
            </w:pPr>
            <w:r>
              <w:t>12 (28%)</w:t>
            </w:r>
          </w:p>
        </w:tc>
        <w:tc>
          <w:tcPr>
            <w:tcW w:w="2268" w:type="dxa"/>
          </w:tcPr>
          <w:p w14:paraId="694EFF70" w14:textId="77777777" w:rsidR="001B520F" w:rsidRDefault="001B520F" w:rsidP="004B6CFD">
            <w:pPr>
              <w:jc w:val="center"/>
            </w:pPr>
            <w:r>
              <w:t>32</w:t>
            </w:r>
          </w:p>
        </w:tc>
      </w:tr>
      <w:tr w:rsidR="001B520F" w14:paraId="1B00E683" w14:textId="77777777" w:rsidTr="004B6CFD">
        <w:tc>
          <w:tcPr>
            <w:tcW w:w="3402" w:type="dxa"/>
          </w:tcPr>
          <w:p w14:paraId="21B7E9FD" w14:textId="77777777" w:rsidR="001B520F" w:rsidRDefault="001B520F" w:rsidP="004B6CFD">
            <w:r>
              <w:t>Late</w:t>
            </w:r>
          </w:p>
        </w:tc>
        <w:tc>
          <w:tcPr>
            <w:tcW w:w="2268" w:type="dxa"/>
          </w:tcPr>
          <w:p w14:paraId="27984323" w14:textId="77777777" w:rsidR="001B520F" w:rsidRDefault="001B520F" w:rsidP="004B6CFD">
            <w:pPr>
              <w:jc w:val="center"/>
            </w:pPr>
            <w:r>
              <w:t>11 (26%)</w:t>
            </w:r>
          </w:p>
        </w:tc>
        <w:tc>
          <w:tcPr>
            <w:tcW w:w="2268" w:type="dxa"/>
          </w:tcPr>
          <w:p w14:paraId="17546059" w14:textId="77777777" w:rsidR="001B520F" w:rsidRDefault="001B520F" w:rsidP="004B6CFD">
            <w:pPr>
              <w:jc w:val="center"/>
            </w:pPr>
            <w:r>
              <w:t>18</w:t>
            </w:r>
          </w:p>
        </w:tc>
      </w:tr>
      <w:tr w:rsidR="001B520F" w14:paraId="6FE07575" w14:textId="77777777" w:rsidTr="004B6CFD">
        <w:tc>
          <w:tcPr>
            <w:tcW w:w="3402" w:type="dxa"/>
          </w:tcPr>
          <w:p w14:paraId="0C980191" w14:textId="77777777" w:rsidR="001B520F" w:rsidRDefault="001B520F" w:rsidP="004B6CFD">
            <w:r>
              <w:t>Recurrence</w:t>
            </w:r>
          </w:p>
        </w:tc>
        <w:tc>
          <w:tcPr>
            <w:tcW w:w="2268" w:type="dxa"/>
          </w:tcPr>
          <w:p w14:paraId="3E80C036" w14:textId="77777777" w:rsidR="001B520F" w:rsidRDefault="001B520F" w:rsidP="004B6CFD">
            <w:pPr>
              <w:jc w:val="center"/>
            </w:pPr>
            <w:r>
              <w:t>__</w:t>
            </w:r>
          </w:p>
        </w:tc>
        <w:tc>
          <w:tcPr>
            <w:tcW w:w="2268" w:type="dxa"/>
          </w:tcPr>
          <w:p w14:paraId="6C5ABBB8" w14:textId="77777777" w:rsidR="001B520F" w:rsidRDefault="001B520F" w:rsidP="004B6CFD">
            <w:pPr>
              <w:jc w:val="center"/>
            </w:pPr>
            <w:r>
              <w:t>9</w:t>
            </w:r>
          </w:p>
        </w:tc>
      </w:tr>
      <w:tr w:rsidR="001B520F" w14:paraId="4A76B299" w14:textId="77777777" w:rsidTr="004B6CFD">
        <w:tc>
          <w:tcPr>
            <w:tcW w:w="3402" w:type="dxa"/>
            <w:shd w:val="clear" w:color="auto" w:fill="A6A6A6" w:themeFill="background1" w:themeFillShade="A6"/>
          </w:tcPr>
          <w:p w14:paraId="1106EDD6" w14:textId="77777777" w:rsidR="001B520F" w:rsidRDefault="001B520F" w:rsidP="004B6CFD">
            <w:r>
              <w:t>Stoma</w:t>
            </w:r>
          </w:p>
        </w:tc>
        <w:tc>
          <w:tcPr>
            <w:tcW w:w="2268" w:type="dxa"/>
            <w:shd w:val="clear" w:color="auto" w:fill="A6A6A6" w:themeFill="background1" w:themeFillShade="A6"/>
          </w:tcPr>
          <w:p w14:paraId="51DEE69C" w14:textId="77777777" w:rsidR="001B520F" w:rsidRDefault="001B520F" w:rsidP="004B6CFD">
            <w:pPr>
              <w:jc w:val="center"/>
            </w:pPr>
          </w:p>
        </w:tc>
        <w:tc>
          <w:tcPr>
            <w:tcW w:w="2268" w:type="dxa"/>
            <w:shd w:val="clear" w:color="auto" w:fill="A6A6A6" w:themeFill="background1" w:themeFillShade="A6"/>
          </w:tcPr>
          <w:p w14:paraId="6F41CD87" w14:textId="77777777" w:rsidR="001B520F" w:rsidRDefault="001B520F" w:rsidP="004B6CFD">
            <w:pPr>
              <w:jc w:val="center"/>
            </w:pPr>
          </w:p>
        </w:tc>
      </w:tr>
      <w:tr w:rsidR="001B520F" w14:paraId="2E9C9D38" w14:textId="77777777" w:rsidTr="004B6CFD">
        <w:tc>
          <w:tcPr>
            <w:tcW w:w="3402" w:type="dxa"/>
          </w:tcPr>
          <w:p w14:paraId="46AE697B" w14:textId="77777777" w:rsidR="001B520F" w:rsidRDefault="001B520F" w:rsidP="004B6CFD">
            <w:r>
              <w:t>Yes</w:t>
            </w:r>
          </w:p>
        </w:tc>
        <w:tc>
          <w:tcPr>
            <w:tcW w:w="2268" w:type="dxa"/>
          </w:tcPr>
          <w:p w14:paraId="2C115B9E" w14:textId="77777777" w:rsidR="001B520F" w:rsidRPr="00773C60" w:rsidRDefault="001B520F" w:rsidP="004B6CFD">
            <w:pPr>
              <w:jc w:val="center"/>
              <w:rPr>
                <w:vertAlign w:val="superscript"/>
              </w:rPr>
            </w:pPr>
            <w:r>
              <w:t>7 (16%)</w:t>
            </w:r>
          </w:p>
        </w:tc>
        <w:tc>
          <w:tcPr>
            <w:tcW w:w="2268" w:type="dxa"/>
          </w:tcPr>
          <w:p w14:paraId="30F47E43" w14:textId="77777777" w:rsidR="001B520F" w:rsidRDefault="001B520F" w:rsidP="004B6CFD">
            <w:pPr>
              <w:jc w:val="center"/>
            </w:pPr>
            <w:r>
              <w:t>11</w:t>
            </w:r>
          </w:p>
        </w:tc>
      </w:tr>
      <w:tr w:rsidR="001B520F" w14:paraId="68C2357D" w14:textId="77777777" w:rsidTr="004B6CFD">
        <w:tc>
          <w:tcPr>
            <w:tcW w:w="3402" w:type="dxa"/>
          </w:tcPr>
          <w:p w14:paraId="49482EC2" w14:textId="77777777" w:rsidR="001B520F" w:rsidRDefault="001B520F" w:rsidP="004B6CFD">
            <w:r>
              <w:t>Permanent</w:t>
            </w:r>
          </w:p>
        </w:tc>
        <w:tc>
          <w:tcPr>
            <w:tcW w:w="2268" w:type="dxa"/>
          </w:tcPr>
          <w:p w14:paraId="713691E7" w14:textId="77777777" w:rsidR="001B520F" w:rsidRDefault="001B520F" w:rsidP="004B6CFD">
            <w:pPr>
              <w:jc w:val="center"/>
            </w:pPr>
            <w:r>
              <w:t>6 (14%)</w:t>
            </w:r>
          </w:p>
        </w:tc>
        <w:tc>
          <w:tcPr>
            <w:tcW w:w="2268" w:type="dxa"/>
          </w:tcPr>
          <w:p w14:paraId="55884B6B" w14:textId="77777777" w:rsidR="001B520F" w:rsidRDefault="001B520F" w:rsidP="004B6CFD">
            <w:pPr>
              <w:jc w:val="center"/>
            </w:pPr>
            <w:r>
              <w:t>6</w:t>
            </w:r>
          </w:p>
        </w:tc>
      </w:tr>
      <w:tr w:rsidR="001B520F" w14:paraId="3A030792" w14:textId="77777777" w:rsidTr="004B6CFD">
        <w:tc>
          <w:tcPr>
            <w:tcW w:w="3402" w:type="dxa"/>
          </w:tcPr>
          <w:p w14:paraId="7D8AF2A5" w14:textId="77777777" w:rsidR="001B520F" w:rsidRDefault="001B520F" w:rsidP="004B6CFD">
            <w:r>
              <w:t>Temporary</w:t>
            </w:r>
          </w:p>
        </w:tc>
        <w:tc>
          <w:tcPr>
            <w:tcW w:w="2268" w:type="dxa"/>
          </w:tcPr>
          <w:p w14:paraId="568B95E8" w14:textId="77777777" w:rsidR="001B520F" w:rsidRDefault="001B520F" w:rsidP="004B6CFD">
            <w:pPr>
              <w:jc w:val="center"/>
            </w:pPr>
            <w:r>
              <w:t>1 (4%)</w:t>
            </w:r>
          </w:p>
        </w:tc>
        <w:tc>
          <w:tcPr>
            <w:tcW w:w="2268" w:type="dxa"/>
          </w:tcPr>
          <w:p w14:paraId="4402C9C3" w14:textId="77777777" w:rsidR="001B520F" w:rsidRDefault="001B520F" w:rsidP="004B6CFD">
            <w:pPr>
              <w:jc w:val="center"/>
            </w:pPr>
            <w:r>
              <w:t>5</w:t>
            </w:r>
          </w:p>
        </w:tc>
      </w:tr>
      <w:tr w:rsidR="001B520F" w14:paraId="470CC56B" w14:textId="77777777" w:rsidTr="004B6CFD">
        <w:tc>
          <w:tcPr>
            <w:tcW w:w="3402" w:type="dxa"/>
          </w:tcPr>
          <w:p w14:paraId="21463BB1" w14:textId="77777777" w:rsidR="001B520F" w:rsidRDefault="001B520F" w:rsidP="004B6CFD">
            <w:r>
              <w:t>No</w:t>
            </w:r>
          </w:p>
        </w:tc>
        <w:tc>
          <w:tcPr>
            <w:tcW w:w="2268" w:type="dxa"/>
          </w:tcPr>
          <w:p w14:paraId="1E6CAC00" w14:textId="77777777" w:rsidR="001B520F" w:rsidRDefault="001B520F" w:rsidP="004B6CFD">
            <w:pPr>
              <w:jc w:val="center"/>
            </w:pPr>
            <w:r>
              <w:t>36 (84%)</w:t>
            </w:r>
          </w:p>
        </w:tc>
        <w:tc>
          <w:tcPr>
            <w:tcW w:w="2268" w:type="dxa"/>
          </w:tcPr>
          <w:p w14:paraId="4A0F4667" w14:textId="77777777" w:rsidR="001B520F" w:rsidRDefault="001B520F" w:rsidP="004B6CFD">
            <w:pPr>
              <w:jc w:val="center"/>
            </w:pPr>
            <w:r>
              <w:t>89</w:t>
            </w:r>
          </w:p>
        </w:tc>
      </w:tr>
      <w:tr w:rsidR="001B520F" w14:paraId="5D707A65" w14:textId="77777777" w:rsidTr="004B6CFD">
        <w:tc>
          <w:tcPr>
            <w:tcW w:w="3402" w:type="dxa"/>
            <w:shd w:val="clear" w:color="auto" w:fill="A6A6A6" w:themeFill="background1" w:themeFillShade="A6"/>
          </w:tcPr>
          <w:p w14:paraId="4FFE7835" w14:textId="77777777" w:rsidR="001B520F" w:rsidRPr="00542888" w:rsidRDefault="001B520F" w:rsidP="004B6CFD">
            <w:pPr>
              <w:rPr>
                <w:vertAlign w:val="superscript"/>
              </w:rPr>
            </w:pPr>
            <w:r>
              <w:lastRenderedPageBreak/>
              <w:t>Radiotherapy technique</w:t>
            </w:r>
          </w:p>
        </w:tc>
        <w:tc>
          <w:tcPr>
            <w:tcW w:w="2268" w:type="dxa"/>
            <w:shd w:val="clear" w:color="auto" w:fill="A6A6A6" w:themeFill="background1" w:themeFillShade="A6"/>
          </w:tcPr>
          <w:p w14:paraId="70565707" w14:textId="77777777" w:rsidR="001B520F" w:rsidRDefault="001B520F" w:rsidP="004B6CFD">
            <w:pPr>
              <w:jc w:val="center"/>
            </w:pPr>
          </w:p>
        </w:tc>
        <w:tc>
          <w:tcPr>
            <w:tcW w:w="2268" w:type="dxa"/>
            <w:shd w:val="clear" w:color="auto" w:fill="A6A6A6" w:themeFill="background1" w:themeFillShade="A6"/>
          </w:tcPr>
          <w:p w14:paraId="3B559636" w14:textId="77777777" w:rsidR="001B520F" w:rsidRDefault="001B520F" w:rsidP="004B6CFD">
            <w:pPr>
              <w:jc w:val="center"/>
            </w:pPr>
          </w:p>
        </w:tc>
      </w:tr>
      <w:tr w:rsidR="001B520F" w14:paraId="0ED23418" w14:textId="77777777" w:rsidTr="004B6CFD">
        <w:tc>
          <w:tcPr>
            <w:tcW w:w="3402" w:type="dxa"/>
          </w:tcPr>
          <w:p w14:paraId="3F145A4B" w14:textId="77777777" w:rsidR="001B520F" w:rsidRDefault="001B520F" w:rsidP="004B6CFD">
            <w:r>
              <w:t>Intensity Modulated Radiotherapy (IMRT)</w:t>
            </w:r>
          </w:p>
        </w:tc>
        <w:tc>
          <w:tcPr>
            <w:tcW w:w="2268" w:type="dxa"/>
          </w:tcPr>
          <w:p w14:paraId="0AD8D4C7" w14:textId="77777777" w:rsidR="001B520F" w:rsidRDefault="001B520F" w:rsidP="004B6CFD">
            <w:pPr>
              <w:jc w:val="center"/>
            </w:pPr>
            <w:r>
              <w:t>27 (63%)</w:t>
            </w:r>
          </w:p>
        </w:tc>
        <w:tc>
          <w:tcPr>
            <w:tcW w:w="2268" w:type="dxa"/>
          </w:tcPr>
          <w:p w14:paraId="3B678E7D" w14:textId="77777777" w:rsidR="001B520F" w:rsidRDefault="001B520F" w:rsidP="004B6CFD">
            <w:pPr>
              <w:jc w:val="center"/>
            </w:pPr>
            <w:r>
              <w:t>63</w:t>
            </w:r>
          </w:p>
        </w:tc>
      </w:tr>
      <w:tr w:rsidR="001B520F" w14:paraId="5F73A3A3" w14:textId="77777777" w:rsidTr="004B6CFD">
        <w:tc>
          <w:tcPr>
            <w:tcW w:w="3402" w:type="dxa"/>
          </w:tcPr>
          <w:p w14:paraId="312538AA" w14:textId="77777777" w:rsidR="001B520F" w:rsidRDefault="001B520F" w:rsidP="004B6CFD">
            <w:pPr>
              <w:ind w:right="110"/>
            </w:pPr>
            <w:r>
              <w:t xml:space="preserve"> Conformal Radiotherapy (CRT)</w:t>
            </w:r>
          </w:p>
        </w:tc>
        <w:tc>
          <w:tcPr>
            <w:tcW w:w="2268" w:type="dxa"/>
          </w:tcPr>
          <w:p w14:paraId="7BFB9138" w14:textId="77777777" w:rsidR="001B520F" w:rsidRDefault="001B520F" w:rsidP="004B6CFD">
            <w:pPr>
              <w:jc w:val="center"/>
            </w:pPr>
            <w:r>
              <w:t>15 (35%)</w:t>
            </w:r>
          </w:p>
        </w:tc>
        <w:tc>
          <w:tcPr>
            <w:tcW w:w="2268" w:type="dxa"/>
          </w:tcPr>
          <w:p w14:paraId="7CFF0BC6" w14:textId="77777777" w:rsidR="001B520F" w:rsidRDefault="001B520F" w:rsidP="00590415">
            <w:pPr>
              <w:tabs>
                <w:tab w:val="left" w:pos="525"/>
                <w:tab w:val="center" w:pos="1026"/>
              </w:tabs>
            </w:pPr>
            <w:r>
              <w:tab/>
            </w:r>
            <w:r>
              <w:tab/>
              <w:t>33</w:t>
            </w:r>
          </w:p>
        </w:tc>
      </w:tr>
      <w:tr w:rsidR="001B520F" w14:paraId="295BA294" w14:textId="77777777" w:rsidTr="004B6CFD">
        <w:tc>
          <w:tcPr>
            <w:tcW w:w="3402" w:type="dxa"/>
          </w:tcPr>
          <w:p w14:paraId="72599607" w14:textId="77777777" w:rsidR="001B520F" w:rsidRDefault="001B520F" w:rsidP="004B6CFD">
            <w:pPr>
              <w:ind w:right="110"/>
            </w:pPr>
            <w:r>
              <w:t>Volumetric Modulated Arc Therapy (VMAT)</w:t>
            </w:r>
          </w:p>
        </w:tc>
        <w:tc>
          <w:tcPr>
            <w:tcW w:w="2268" w:type="dxa"/>
          </w:tcPr>
          <w:p w14:paraId="71DD875F" w14:textId="77777777" w:rsidR="001B520F" w:rsidRDefault="001B520F" w:rsidP="004B6CFD">
            <w:pPr>
              <w:jc w:val="center"/>
            </w:pPr>
            <w:r>
              <w:t>1 (2%)</w:t>
            </w:r>
          </w:p>
        </w:tc>
        <w:tc>
          <w:tcPr>
            <w:tcW w:w="2268" w:type="dxa"/>
          </w:tcPr>
          <w:p w14:paraId="5A9F3907" w14:textId="77777777" w:rsidR="001B520F" w:rsidRDefault="001B520F" w:rsidP="004B6CFD">
            <w:pPr>
              <w:jc w:val="center"/>
            </w:pPr>
            <w:r>
              <w:t>0</w:t>
            </w:r>
          </w:p>
        </w:tc>
      </w:tr>
      <w:tr w:rsidR="001B520F" w14:paraId="09335B22" w14:textId="77777777" w:rsidTr="004B6CFD">
        <w:tc>
          <w:tcPr>
            <w:tcW w:w="3402" w:type="dxa"/>
          </w:tcPr>
          <w:p w14:paraId="3B78C3DC" w14:textId="77777777" w:rsidR="001B520F" w:rsidRDefault="001B520F" w:rsidP="004B6CFD">
            <w:pPr>
              <w:ind w:right="110"/>
            </w:pPr>
            <w:r>
              <w:t>Missing</w:t>
            </w:r>
          </w:p>
        </w:tc>
        <w:tc>
          <w:tcPr>
            <w:tcW w:w="2268" w:type="dxa"/>
          </w:tcPr>
          <w:p w14:paraId="22FE9C53" w14:textId="77777777" w:rsidR="001B520F" w:rsidRDefault="001B520F" w:rsidP="004B6CFD">
            <w:pPr>
              <w:jc w:val="center"/>
            </w:pPr>
            <w:r>
              <w:t>__</w:t>
            </w:r>
          </w:p>
        </w:tc>
        <w:tc>
          <w:tcPr>
            <w:tcW w:w="2268" w:type="dxa"/>
          </w:tcPr>
          <w:p w14:paraId="1CBFE7FB" w14:textId="77777777" w:rsidR="001B520F" w:rsidRDefault="001B520F" w:rsidP="004B6CFD">
            <w:pPr>
              <w:jc w:val="center"/>
            </w:pPr>
            <w:r>
              <w:t>4</w:t>
            </w:r>
          </w:p>
        </w:tc>
      </w:tr>
      <w:tr w:rsidR="001B520F" w14:paraId="41AA59A6" w14:textId="77777777" w:rsidTr="004B6CFD">
        <w:tc>
          <w:tcPr>
            <w:tcW w:w="3402" w:type="dxa"/>
            <w:shd w:val="clear" w:color="auto" w:fill="A6A6A6" w:themeFill="background1" w:themeFillShade="A6"/>
          </w:tcPr>
          <w:p w14:paraId="123BDDC1" w14:textId="77777777" w:rsidR="001B520F" w:rsidRDefault="001B520F" w:rsidP="004B6CFD">
            <w:pPr>
              <w:ind w:right="110"/>
            </w:pPr>
            <w:r>
              <w:t>Chemotherapy</w:t>
            </w:r>
          </w:p>
        </w:tc>
        <w:tc>
          <w:tcPr>
            <w:tcW w:w="2268" w:type="dxa"/>
            <w:shd w:val="clear" w:color="auto" w:fill="A6A6A6" w:themeFill="background1" w:themeFillShade="A6"/>
          </w:tcPr>
          <w:p w14:paraId="1DB6E3A5" w14:textId="77777777" w:rsidR="001B520F" w:rsidRDefault="001B520F" w:rsidP="004B6CFD">
            <w:pPr>
              <w:jc w:val="center"/>
            </w:pPr>
          </w:p>
        </w:tc>
        <w:tc>
          <w:tcPr>
            <w:tcW w:w="2268" w:type="dxa"/>
            <w:shd w:val="clear" w:color="auto" w:fill="A6A6A6" w:themeFill="background1" w:themeFillShade="A6"/>
          </w:tcPr>
          <w:p w14:paraId="0C480311" w14:textId="77777777" w:rsidR="001B520F" w:rsidRDefault="001B520F" w:rsidP="004B6CFD">
            <w:pPr>
              <w:jc w:val="center"/>
            </w:pPr>
          </w:p>
        </w:tc>
      </w:tr>
      <w:tr w:rsidR="001B520F" w14:paraId="1EC3E4CD" w14:textId="77777777" w:rsidTr="004B6CFD">
        <w:tc>
          <w:tcPr>
            <w:tcW w:w="3402" w:type="dxa"/>
          </w:tcPr>
          <w:p w14:paraId="3F3E112B" w14:textId="77777777" w:rsidR="001B520F" w:rsidRDefault="001B520F" w:rsidP="004B6CFD">
            <w:pPr>
              <w:ind w:right="110"/>
            </w:pPr>
            <w:proofErr w:type="spellStart"/>
            <w:r>
              <w:t>Mitomycin</w:t>
            </w:r>
            <w:proofErr w:type="spellEnd"/>
            <w:r>
              <w:t xml:space="preserve"> C (MMC) and Fluorouracil</w:t>
            </w:r>
          </w:p>
        </w:tc>
        <w:tc>
          <w:tcPr>
            <w:tcW w:w="2268" w:type="dxa"/>
          </w:tcPr>
          <w:p w14:paraId="4B256C9F" w14:textId="77777777" w:rsidR="001B520F" w:rsidRDefault="001B520F" w:rsidP="004B6CFD">
            <w:pPr>
              <w:jc w:val="center"/>
            </w:pPr>
            <w:r>
              <w:t>35 (81%)</w:t>
            </w:r>
          </w:p>
        </w:tc>
        <w:tc>
          <w:tcPr>
            <w:tcW w:w="2268" w:type="dxa"/>
          </w:tcPr>
          <w:p w14:paraId="75C4ECF8" w14:textId="77777777" w:rsidR="001B520F" w:rsidRDefault="001B520F" w:rsidP="004B6CFD">
            <w:pPr>
              <w:jc w:val="center"/>
            </w:pPr>
            <w:r>
              <w:t>85</w:t>
            </w:r>
          </w:p>
        </w:tc>
      </w:tr>
      <w:tr w:rsidR="001B520F" w14:paraId="1E276392" w14:textId="77777777" w:rsidTr="004B6CFD">
        <w:tc>
          <w:tcPr>
            <w:tcW w:w="3402" w:type="dxa"/>
          </w:tcPr>
          <w:p w14:paraId="5C2D45F1" w14:textId="77777777" w:rsidR="001B520F" w:rsidRDefault="001B520F" w:rsidP="004B6CFD">
            <w:pPr>
              <w:ind w:right="110"/>
            </w:pPr>
            <w:r>
              <w:t xml:space="preserve">MMC and </w:t>
            </w:r>
            <w:proofErr w:type="spellStart"/>
            <w:r>
              <w:t>Capecitabine</w:t>
            </w:r>
            <w:proofErr w:type="spellEnd"/>
          </w:p>
        </w:tc>
        <w:tc>
          <w:tcPr>
            <w:tcW w:w="2268" w:type="dxa"/>
          </w:tcPr>
          <w:p w14:paraId="4FE1149A" w14:textId="77777777" w:rsidR="001B520F" w:rsidRDefault="001B520F" w:rsidP="004B6CFD">
            <w:pPr>
              <w:jc w:val="center"/>
            </w:pPr>
            <w:r>
              <w:t>3 (7%)</w:t>
            </w:r>
          </w:p>
        </w:tc>
        <w:tc>
          <w:tcPr>
            <w:tcW w:w="2268" w:type="dxa"/>
          </w:tcPr>
          <w:p w14:paraId="08E040EC" w14:textId="77777777" w:rsidR="001B520F" w:rsidRDefault="001B520F" w:rsidP="004B6CFD">
            <w:pPr>
              <w:jc w:val="center"/>
            </w:pPr>
            <w:r>
              <w:t>4</w:t>
            </w:r>
          </w:p>
        </w:tc>
      </w:tr>
      <w:tr w:rsidR="001B520F" w14:paraId="39C87330" w14:textId="77777777" w:rsidTr="004B6CFD">
        <w:tc>
          <w:tcPr>
            <w:tcW w:w="3402" w:type="dxa"/>
          </w:tcPr>
          <w:p w14:paraId="6823969A" w14:textId="77777777" w:rsidR="001B520F" w:rsidRDefault="001B520F" w:rsidP="004B6CFD">
            <w:pPr>
              <w:ind w:right="110"/>
            </w:pPr>
            <w:r>
              <w:t>5FU, MMC and Cisplatin</w:t>
            </w:r>
          </w:p>
        </w:tc>
        <w:tc>
          <w:tcPr>
            <w:tcW w:w="2268" w:type="dxa"/>
          </w:tcPr>
          <w:p w14:paraId="3855857C" w14:textId="77777777" w:rsidR="001B520F" w:rsidRDefault="001B520F" w:rsidP="004B6CFD">
            <w:pPr>
              <w:jc w:val="center"/>
            </w:pPr>
            <w:r>
              <w:t>__</w:t>
            </w:r>
          </w:p>
        </w:tc>
        <w:tc>
          <w:tcPr>
            <w:tcW w:w="2268" w:type="dxa"/>
          </w:tcPr>
          <w:p w14:paraId="43EEC355" w14:textId="77777777" w:rsidR="001B520F" w:rsidRDefault="001B520F" w:rsidP="004B6CFD">
            <w:pPr>
              <w:jc w:val="center"/>
            </w:pPr>
            <w:r>
              <w:t>1</w:t>
            </w:r>
          </w:p>
        </w:tc>
      </w:tr>
      <w:tr w:rsidR="001B520F" w14:paraId="27F853DB" w14:textId="77777777" w:rsidTr="004B6CFD">
        <w:tc>
          <w:tcPr>
            <w:tcW w:w="3402" w:type="dxa"/>
          </w:tcPr>
          <w:p w14:paraId="59F7D413" w14:textId="77777777" w:rsidR="001B520F" w:rsidRDefault="001B520F" w:rsidP="004B6CFD">
            <w:pPr>
              <w:ind w:right="110"/>
            </w:pPr>
            <w:r>
              <w:t>Paclitaxel and Carboplatin</w:t>
            </w:r>
          </w:p>
        </w:tc>
        <w:tc>
          <w:tcPr>
            <w:tcW w:w="2268" w:type="dxa"/>
          </w:tcPr>
          <w:p w14:paraId="138FBC5D" w14:textId="77777777" w:rsidR="001B520F" w:rsidRDefault="001B520F" w:rsidP="004B6CFD">
            <w:pPr>
              <w:jc w:val="center"/>
            </w:pPr>
            <w:r>
              <w:t>__</w:t>
            </w:r>
          </w:p>
        </w:tc>
        <w:tc>
          <w:tcPr>
            <w:tcW w:w="2268" w:type="dxa"/>
          </w:tcPr>
          <w:p w14:paraId="0C39FF00" w14:textId="77777777" w:rsidR="001B520F" w:rsidRDefault="001B520F" w:rsidP="004B6CFD">
            <w:pPr>
              <w:jc w:val="center"/>
            </w:pPr>
            <w:r>
              <w:t>1</w:t>
            </w:r>
          </w:p>
        </w:tc>
      </w:tr>
      <w:tr w:rsidR="001B520F" w14:paraId="41264C20" w14:textId="77777777" w:rsidTr="004B6CFD">
        <w:tc>
          <w:tcPr>
            <w:tcW w:w="3402" w:type="dxa"/>
          </w:tcPr>
          <w:p w14:paraId="7CB5BC84" w14:textId="77777777" w:rsidR="001B520F" w:rsidRDefault="001B520F" w:rsidP="004B6CFD">
            <w:pPr>
              <w:ind w:right="110"/>
            </w:pPr>
            <w:r>
              <w:t>Fluorouracil</w:t>
            </w:r>
          </w:p>
        </w:tc>
        <w:tc>
          <w:tcPr>
            <w:tcW w:w="2268" w:type="dxa"/>
          </w:tcPr>
          <w:p w14:paraId="630E0A7D" w14:textId="77777777" w:rsidR="001B520F" w:rsidRDefault="001B520F" w:rsidP="004B6CFD">
            <w:pPr>
              <w:jc w:val="center"/>
            </w:pPr>
            <w:r>
              <w:t>1 (2%)</w:t>
            </w:r>
          </w:p>
        </w:tc>
        <w:tc>
          <w:tcPr>
            <w:tcW w:w="2268" w:type="dxa"/>
          </w:tcPr>
          <w:p w14:paraId="2CB5450A" w14:textId="77777777" w:rsidR="001B520F" w:rsidRDefault="001B520F" w:rsidP="004B6CFD">
            <w:pPr>
              <w:jc w:val="center"/>
            </w:pPr>
            <w:r>
              <w:t>0</w:t>
            </w:r>
          </w:p>
        </w:tc>
      </w:tr>
      <w:tr w:rsidR="001B520F" w14:paraId="2CB3320B" w14:textId="77777777" w:rsidTr="004B6CFD">
        <w:tc>
          <w:tcPr>
            <w:tcW w:w="3402" w:type="dxa"/>
          </w:tcPr>
          <w:p w14:paraId="75434A01" w14:textId="77777777" w:rsidR="001B520F" w:rsidRDefault="001B520F" w:rsidP="004B6CFD">
            <w:pPr>
              <w:ind w:right="110"/>
            </w:pPr>
            <w:proofErr w:type="spellStart"/>
            <w:r>
              <w:t>Capecitabine</w:t>
            </w:r>
            <w:proofErr w:type="spellEnd"/>
          </w:p>
        </w:tc>
        <w:tc>
          <w:tcPr>
            <w:tcW w:w="2268" w:type="dxa"/>
          </w:tcPr>
          <w:p w14:paraId="317AF529" w14:textId="77777777" w:rsidR="001B520F" w:rsidRDefault="001B520F" w:rsidP="004B6CFD">
            <w:pPr>
              <w:jc w:val="center"/>
            </w:pPr>
            <w:r>
              <w:t>1 (2%)</w:t>
            </w:r>
          </w:p>
        </w:tc>
        <w:tc>
          <w:tcPr>
            <w:tcW w:w="2268" w:type="dxa"/>
          </w:tcPr>
          <w:p w14:paraId="551BF5D8" w14:textId="77777777" w:rsidR="001B520F" w:rsidRDefault="001B520F" w:rsidP="004B6CFD">
            <w:pPr>
              <w:jc w:val="center"/>
            </w:pPr>
            <w:r>
              <w:t>0</w:t>
            </w:r>
          </w:p>
        </w:tc>
      </w:tr>
      <w:tr w:rsidR="001B520F" w14:paraId="71234666" w14:textId="77777777" w:rsidTr="004B6CFD">
        <w:tc>
          <w:tcPr>
            <w:tcW w:w="3402" w:type="dxa"/>
          </w:tcPr>
          <w:p w14:paraId="719389EA" w14:textId="77777777" w:rsidR="001B520F" w:rsidRDefault="001B520F" w:rsidP="004B6CFD">
            <w:pPr>
              <w:ind w:right="110"/>
            </w:pPr>
            <w:r>
              <w:t>Missing</w:t>
            </w:r>
          </w:p>
        </w:tc>
        <w:tc>
          <w:tcPr>
            <w:tcW w:w="2268" w:type="dxa"/>
          </w:tcPr>
          <w:p w14:paraId="441EBF82" w14:textId="77777777" w:rsidR="001B520F" w:rsidRDefault="001B520F" w:rsidP="004B6CFD">
            <w:pPr>
              <w:jc w:val="center"/>
            </w:pPr>
            <w:r>
              <w:t>2 (5%)</w:t>
            </w:r>
          </w:p>
        </w:tc>
        <w:tc>
          <w:tcPr>
            <w:tcW w:w="2268" w:type="dxa"/>
          </w:tcPr>
          <w:p w14:paraId="6AA5AE79" w14:textId="77777777" w:rsidR="001B520F" w:rsidRDefault="001B520F" w:rsidP="004B6CFD">
            <w:pPr>
              <w:jc w:val="center"/>
            </w:pPr>
            <w:r>
              <w:t>8</w:t>
            </w:r>
          </w:p>
        </w:tc>
      </w:tr>
      <w:tr w:rsidR="001B520F" w14:paraId="73A9AE7A" w14:textId="77777777" w:rsidTr="004B6CFD">
        <w:tc>
          <w:tcPr>
            <w:tcW w:w="3402" w:type="dxa"/>
            <w:shd w:val="clear" w:color="auto" w:fill="A6A6A6" w:themeFill="background1" w:themeFillShade="A6"/>
          </w:tcPr>
          <w:p w14:paraId="7150AD37" w14:textId="77777777" w:rsidR="001B520F" w:rsidRPr="003C5E17" w:rsidRDefault="001B520F" w:rsidP="004B6CFD">
            <w:pPr>
              <w:rPr>
                <w:vertAlign w:val="superscript"/>
              </w:rPr>
            </w:pPr>
            <w:r>
              <w:t>Co-morbidities</w:t>
            </w:r>
            <w:r>
              <w:rPr>
                <w:vertAlign w:val="superscript"/>
              </w:rPr>
              <w:t>3</w:t>
            </w:r>
          </w:p>
        </w:tc>
        <w:tc>
          <w:tcPr>
            <w:tcW w:w="2268" w:type="dxa"/>
            <w:shd w:val="clear" w:color="auto" w:fill="A6A6A6" w:themeFill="background1" w:themeFillShade="A6"/>
          </w:tcPr>
          <w:p w14:paraId="3F12020E" w14:textId="77777777" w:rsidR="001B520F" w:rsidRDefault="001B520F" w:rsidP="004B6CFD">
            <w:pPr>
              <w:jc w:val="center"/>
            </w:pPr>
          </w:p>
        </w:tc>
        <w:tc>
          <w:tcPr>
            <w:tcW w:w="2268" w:type="dxa"/>
            <w:shd w:val="clear" w:color="auto" w:fill="A6A6A6" w:themeFill="background1" w:themeFillShade="A6"/>
          </w:tcPr>
          <w:p w14:paraId="30E59C4B" w14:textId="77777777" w:rsidR="001B520F" w:rsidRDefault="001B520F" w:rsidP="004B6CFD">
            <w:pPr>
              <w:jc w:val="center"/>
            </w:pPr>
          </w:p>
        </w:tc>
      </w:tr>
      <w:tr w:rsidR="001B520F" w14:paraId="28A97D14" w14:textId="77777777" w:rsidTr="004B6CFD">
        <w:tc>
          <w:tcPr>
            <w:tcW w:w="3402" w:type="dxa"/>
          </w:tcPr>
          <w:p w14:paraId="4F97783A" w14:textId="77777777" w:rsidR="001B520F" w:rsidRDefault="001B520F" w:rsidP="004B6CFD">
            <w:r>
              <w:t>None</w:t>
            </w:r>
          </w:p>
        </w:tc>
        <w:tc>
          <w:tcPr>
            <w:tcW w:w="2268" w:type="dxa"/>
          </w:tcPr>
          <w:p w14:paraId="00EC374B" w14:textId="77777777" w:rsidR="001B520F" w:rsidRDefault="001B520F" w:rsidP="004B6CFD">
            <w:pPr>
              <w:jc w:val="center"/>
            </w:pPr>
            <w:r>
              <w:t>21 (49%)</w:t>
            </w:r>
          </w:p>
        </w:tc>
        <w:tc>
          <w:tcPr>
            <w:tcW w:w="2268" w:type="dxa"/>
          </w:tcPr>
          <w:p w14:paraId="0111F325" w14:textId="77777777" w:rsidR="001B520F" w:rsidRDefault="001B520F" w:rsidP="004B6CFD">
            <w:pPr>
              <w:jc w:val="center"/>
            </w:pPr>
            <w:r>
              <w:t>48</w:t>
            </w:r>
          </w:p>
        </w:tc>
      </w:tr>
      <w:tr w:rsidR="001B520F" w14:paraId="302A05B4" w14:textId="77777777" w:rsidTr="004B6CFD">
        <w:tc>
          <w:tcPr>
            <w:tcW w:w="3402" w:type="dxa"/>
          </w:tcPr>
          <w:p w14:paraId="093034CE" w14:textId="77777777" w:rsidR="001B520F" w:rsidRDefault="001B520F" w:rsidP="004B6CFD">
            <w:r>
              <w:t>Renal</w:t>
            </w:r>
          </w:p>
        </w:tc>
        <w:tc>
          <w:tcPr>
            <w:tcW w:w="2268" w:type="dxa"/>
          </w:tcPr>
          <w:p w14:paraId="1966876F" w14:textId="77777777" w:rsidR="001B520F" w:rsidRDefault="001B520F" w:rsidP="004B6CFD">
            <w:pPr>
              <w:jc w:val="center"/>
            </w:pPr>
            <w:r>
              <w:t>5 (12%)</w:t>
            </w:r>
          </w:p>
        </w:tc>
        <w:tc>
          <w:tcPr>
            <w:tcW w:w="2268" w:type="dxa"/>
          </w:tcPr>
          <w:p w14:paraId="0D667F30" w14:textId="77777777" w:rsidR="001B520F" w:rsidRDefault="001B520F" w:rsidP="004B6CFD">
            <w:pPr>
              <w:jc w:val="center"/>
            </w:pPr>
            <w:r>
              <w:t>3</w:t>
            </w:r>
          </w:p>
        </w:tc>
      </w:tr>
      <w:tr w:rsidR="001B520F" w14:paraId="7A89A96A" w14:textId="77777777" w:rsidTr="004B6CFD">
        <w:tc>
          <w:tcPr>
            <w:tcW w:w="3402" w:type="dxa"/>
          </w:tcPr>
          <w:p w14:paraId="5729A17E" w14:textId="77777777" w:rsidR="001B520F" w:rsidRDefault="001B520F" w:rsidP="004B6CFD">
            <w:r>
              <w:t>Cardiac</w:t>
            </w:r>
          </w:p>
        </w:tc>
        <w:tc>
          <w:tcPr>
            <w:tcW w:w="2268" w:type="dxa"/>
          </w:tcPr>
          <w:p w14:paraId="732551D3" w14:textId="77777777" w:rsidR="001B520F" w:rsidRDefault="001B520F" w:rsidP="004B6CFD">
            <w:pPr>
              <w:jc w:val="center"/>
            </w:pPr>
            <w:r>
              <w:t>3 (7%)</w:t>
            </w:r>
          </w:p>
        </w:tc>
        <w:tc>
          <w:tcPr>
            <w:tcW w:w="2268" w:type="dxa"/>
          </w:tcPr>
          <w:p w14:paraId="79C0F526" w14:textId="77777777" w:rsidR="001B520F" w:rsidRDefault="001B520F" w:rsidP="004B6CFD">
            <w:pPr>
              <w:jc w:val="center"/>
            </w:pPr>
            <w:r>
              <w:t>20</w:t>
            </w:r>
          </w:p>
        </w:tc>
      </w:tr>
      <w:tr w:rsidR="001B520F" w14:paraId="442C4C31" w14:textId="77777777" w:rsidTr="004B6CFD">
        <w:tc>
          <w:tcPr>
            <w:tcW w:w="3402" w:type="dxa"/>
          </w:tcPr>
          <w:p w14:paraId="0E353608" w14:textId="77777777" w:rsidR="001B520F" w:rsidRDefault="001B520F" w:rsidP="004B6CFD">
            <w:r>
              <w:t>Respiratory</w:t>
            </w:r>
          </w:p>
        </w:tc>
        <w:tc>
          <w:tcPr>
            <w:tcW w:w="2268" w:type="dxa"/>
          </w:tcPr>
          <w:p w14:paraId="2A668163" w14:textId="77777777" w:rsidR="001B520F" w:rsidRDefault="001B520F" w:rsidP="004B6CFD">
            <w:pPr>
              <w:jc w:val="center"/>
            </w:pPr>
            <w:r>
              <w:t>5 (12%)</w:t>
            </w:r>
          </w:p>
        </w:tc>
        <w:tc>
          <w:tcPr>
            <w:tcW w:w="2268" w:type="dxa"/>
          </w:tcPr>
          <w:p w14:paraId="397E7A72" w14:textId="77777777" w:rsidR="001B520F" w:rsidRDefault="001B520F" w:rsidP="004B6CFD">
            <w:pPr>
              <w:jc w:val="center"/>
            </w:pPr>
            <w:r>
              <w:t>10</w:t>
            </w:r>
          </w:p>
        </w:tc>
      </w:tr>
      <w:tr w:rsidR="001B520F" w14:paraId="3F146F82" w14:textId="77777777" w:rsidTr="004B6CFD">
        <w:tc>
          <w:tcPr>
            <w:tcW w:w="3402" w:type="dxa"/>
          </w:tcPr>
          <w:p w14:paraId="7273D967" w14:textId="77777777" w:rsidR="001B520F" w:rsidRDefault="001B520F" w:rsidP="004B6CFD">
            <w:r>
              <w:t>Rheumatic</w:t>
            </w:r>
          </w:p>
        </w:tc>
        <w:tc>
          <w:tcPr>
            <w:tcW w:w="2268" w:type="dxa"/>
          </w:tcPr>
          <w:p w14:paraId="616829F2" w14:textId="77777777" w:rsidR="001B520F" w:rsidRDefault="001B520F" w:rsidP="004B6CFD">
            <w:pPr>
              <w:jc w:val="center"/>
            </w:pPr>
            <w:r>
              <w:t>3 (7%)</w:t>
            </w:r>
          </w:p>
        </w:tc>
        <w:tc>
          <w:tcPr>
            <w:tcW w:w="2268" w:type="dxa"/>
          </w:tcPr>
          <w:p w14:paraId="741E078C" w14:textId="77777777" w:rsidR="001B520F" w:rsidRDefault="001B520F" w:rsidP="004B6CFD">
            <w:pPr>
              <w:jc w:val="center"/>
            </w:pPr>
            <w:r>
              <w:t>4</w:t>
            </w:r>
          </w:p>
        </w:tc>
      </w:tr>
      <w:tr w:rsidR="001B520F" w14:paraId="67819819" w14:textId="77777777" w:rsidTr="004B6CFD">
        <w:tc>
          <w:tcPr>
            <w:tcW w:w="3402" w:type="dxa"/>
          </w:tcPr>
          <w:p w14:paraId="0E06AC91" w14:textId="77777777" w:rsidR="001B520F" w:rsidRDefault="001B520F" w:rsidP="004B6CFD">
            <w:r>
              <w:t>Diabetes</w:t>
            </w:r>
          </w:p>
        </w:tc>
        <w:tc>
          <w:tcPr>
            <w:tcW w:w="2268" w:type="dxa"/>
          </w:tcPr>
          <w:p w14:paraId="3116DE17" w14:textId="77777777" w:rsidR="001B520F" w:rsidRDefault="001B520F" w:rsidP="004B6CFD">
            <w:pPr>
              <w:jc w:val="center"/>
            </w:pPr>
            <w:r>
              <w:t>0</w:t>
            </w:r>
          </w:p>
        </w:tc>
        <w:tc>
          <w:tcPr>
            <w:tcW w:w="2268" w:type="dxa"/>
          </w:tcPr>
          <w:p w14:paraId="5552E0A9" w14:textId="77777777" w:rsidR="001B520F" w:rsidRDefault="001B520F" w:rsidP="004B6CFD">
            <w:pPr>
              <w:jc w:val="center"/>
            </w:pPr>
            <w:r>
              <w:t>7</w:t>
            </w:r>
          </w:p>
        </w:tc>
      </w:tr>
      <w:tr w:rsidR="001B520F" w14:paraId="678B7CED" w14:textId="77777777" w:rsidTr="004B6CFD">
        <w:tc>
          <w:tcPr>
            <w:tcW w:w="3402" w:type="dxa"/>
          </w:tcPr>
          <w:p w14:paraId="71B4D5B7" w14:textId="77777777" w:rsidR="001B520F" w:rsidRDefault="001B520F" w:rsidP="004B6CFD">
            <w:r>
              <w:t>Liver</w:t>
            </w:r>
          </w:p>
        </w:tc>
        <w:tc>
          <w:tcPr>
            <w:tcW w:w="2268" w:type="dxa"/>
          </w:tcPr>
          <w:p w14:paraId="4177B721" w14:textId="77777777" w:rsidR="001B520F" w:rsidRDefault="001B520F" w:rsidP="004B6CFD">
            <w:pPr>
              <w:jc w:val="center"/>
            </w:pPr>
            <w:r>
              <w:t>0</w:t>
            </w:r>
          </w:p>
        </w:tc>
        <w:tc>
          <w:tcPr>
            <w:tcW w:w="2268" w:type="dxa"/>
          </w:tcPr>
          <w:p w14:paraId="28B94B53" w14:textId="77777777" w:rsidR="001B520F" w:rsidRDefault="001B520F" w:rsidP="004B6CFD">
            <w:pPr>
              <w:jc w:val="center"/>
            </w:pPr>
            <w:r>
              <w:t>1</w:t>
            </w:r>
          </w:p>
        </w:tc>
      </w:tr>
      <w:tr w:rsidR="001B520F" w14:paraId="10F5E5BC" w14:textId="77777777" w:rsidTr="004B6CFD">
        <w:tc>
          <w:tcPr>
            <w:tcW w:w="3402" w:type="dxa"/>
          </w:tcPr>
          <w:p w14:paraId="6D447EC4" w14:textId="77777777" w:rsidR="001B520F" w:rsidRPr="002A704E" w:rsidRDefault="001B520F" w:rsidP="004B6CFD">
            <w:pPr>
              <w:rPr>
                <w:vertAlign w:val="superscript"/>
              </w:rPr>
            </w:pPr>
            <w:r>
              <w:t>Other</w:t>
            </w:r>
            <w:r>
              <w:rPr>
                <w:vertAlign w:val="superscript"/>
              </w:rPr>
              <w:t>4</w:t>
            </w:r>
          </w:p>
        </w:tc>
        <w:tc>
          <w:tcPr>
            <w:tcW w:w="2268" w:type="dxa"/>
          </w:tcPr>
          <w:p w14:paraId="77C009E7" w14:textId="77777777" w:rsidR="001B520F" w:rsidRPr="00DC778F" w:rsidRDefault="001B520F" w:rsidP="004B6CFD">
            <w:pPr>
              <w:jc w:val="center"/>
              <w:rPr>
                <w:vertAlign w:val="superscript"/>
              </w:rPr>
            </w:pPr>
            <w:r>
              <w:t>12 (28%)</w:t>
            </w:r>
          </w:p>
        </w:tc>
        <w:tc>
          <w:tcPr>
            <w:tcW w:w="2268" w:type="dxa"/>
          </w:tcPr>
          <w:p w14:paraId="1D48E7EB" w14:textId="77777777" w:rsidR="001B520F" w:rsidRDefault="001B520F" w:rsidP="004B6CFD">
            <w:pPr>
              <w:jc w:val="center"/>
            </w:pPr>
            <w:r>
              <w:t>15</w:t>
            </w:r>
          </w:p>
        </w:tc>
      </w:tr>
      <w:tr w:rsidR="001B520F" w14:paraId="5EE48E15" w14:textId="77777777" w:rsidTr="004B6CFD">
        <w:tc>
          <w:tcPr>
            <w:tcW w:w="3402" w:type="dxa"/>
            <w:shd w:val="clear" w:color="auto" w:fill="A6A6A6" w:themeFill="background1" w:themeFillShade="A6"/>
          </w:tcPr>
          <w:p w14:paraId="447B1C16" w14:textId="77777777" w:rsidR="001B520F" w:rsidRDefault="001B520F" w:rsidP="004B6CFD">
            <w:proofErr w:type="spellStart"/>
            <w:r>
              <w:t>Karnofsky</w:t>
            </w:r>
            <w:proofErr w:type="spellEnd"/>
            <w:r>
              <w:t xml:space="preserve"> Performance Status</w:t>
            </w:r>
          </w:p>
        </w:tc>
        <w:tc>
          <w:tcPr>
            <w:tcW w:w="2268" w:type="dxa"/>
            <w:shd w:val="clear" w:color="auto" w:fill="A6A6A6" w:themeFill="background1" w:themeFillShade="A6"/>
          </w:tcPr>
          <w:p w14:paraId="41F15A13" w14:textId="77777777" w:rsidR="001B520F" w:rsidRDefault="001B520F" w:rsidP="004B6CFD">
            <w:pPr>
              <w:jc w:val="center"/>
            </w:pPr>
          </w:p>
        </w:tc>
        <w:tc>
          <w:tcPr>
            <w:tcW w:w="2268" w:type="dxa"/>
            <w:shd w:val="clear" w:color="auto" w:fill="A6A6A6" w:themeFill="background1" w:themeFillShade="A6"/>
          </w:tcPr>
          <w:p w14:paraId="63195BD3" w14:textId="77777777" w:rsidR="001B520F" w:rsidRDefault="001B520F" w:rsidP="004B6CFD">
            <w:pPr>
              <w:jc w:val="center"/>
            </w:pPr>
          </w:p>
        </w:tc>
      </w:tr>
      <w:tr w:rsidR="001B520F" w14:paraId="5174B288" w14:textId="77777777" w:rsidTr="004B6CFD">
        <w:tc>
          <w:tcPr>
            <w:tcW w:w="3402" w:type="dxa"/>
          </w:tcPr>
          <w:p w14:paraId="012BB312" w14:textId="77777777" w:rsidR="001B520F" w:rsidRDefault="001B520F" w:rsidP="004B6CFD">
            <w:r>
              <w:t>100 (</w:t>
            </w:r>
            <w:r>
              <w:rPr>
                <w:lang w:val="en"/>
              </w:rPr>
              <w:t>Normal)</w:t>
            </w:r>
          </w:p>
        </w:tc>
        <w:tc>
          <w:tcPr>
            <w:tcW w:w="2268" w:type="dxa"/>
          </w:tcPr>
          <w:p w14:paraId="04815B30" w14:textId="77777777" w:rsidR="001B520F" w:rsidRDefault="001B520F" w:rsidP="004B6CFD">
            <w:pPr>
              <w:jc w:val="center"/>
            </w:pPr>
            <w:r>
              <w:t>12 (28%)</w:t>
            </w:r>
          </w:p>
        </w:tc>
        <w:tc>
          <w:tcPr>
            <w:tcW w:w="2268" w:type="dxa"/>
          </w:tcPr>
          <w:p w14:paraId="7193E2E7" w14:textId="77777777" w:rsidR="001B520F" w:rsidRDefault="001B520F" w:rsidP="004B6CFD">
            <w:pPr>
              <w:jc w:val="center"/>
            </w:pPr>
            <w:r>
              <w:t>__</w:t>
            </w:r>
          </w:p>
        </w:tc>
      </w:tr>
      <w:tr w:rsidR="001B520F" w14:paraId="002E87D3" w14:textId="77777777" w:rsidTr="004B6CFD">
        <w:tc>
          <w:tcPr>
            <w:tcW w:w="3402" w:type="dxa"/>
          </w:tcPr>
          <w:p w14:paraId="04F1FAAE" w14:textId="77777777" w:rsidR="001B520F" w:rsidRDefault="001B520F" w:rsidP="004B6CFD">
            <w:r>
              <w:lastRenderedPageBreak/>
              <w:t>90 (</w:t>
            </w:r>
            <w:r>
              <w:rPr>
                <w:lang w:val="en"/>
              </w:rPr>
              <w:t>Able to carry on normal activity)</w:t>
            </w:r>
          </w:p>
        </w:tc>
        <w:tc>
          <w:tcPr>
            <w:tcW w:w="2268" w:type="dxa"/>
          </w:tcPr>
          <w:p w14:paraId="522A8E92" w14:textId="77777777" w:rsidR="001B520F" w:rsidRDefault="001B520F" w:rsidP="004B6CFD">
            <w:pPr>
              <w:jc w:val="center"/>
            </w:pPr>
            <w:r>
              <w:t>14 (33%)</w:t>
            </w:r>
          </w:p>
        </w:tc>
        <w:tc>
          <w:tcPr>
            <w:tcW w:w="2268" w:type="dxa"/>
          </w:tcPr>
          <w:p w14:paraId="45AC5B11" w14:textId="77777777" w:rsidR="001B520F" w:rsidRDefault="001B520F" w:rsidP="004B6CFD">
            <w:pPr>
              <w:jc w:val="center"/>
            </w:pPr>
            <w:r>
              <w:t>__</w:t>
            </w:r>
          </w:p>
        </w:tc>
      </w:tr>
      <w:tr w:rsidR="001B520F" w14:paraId="7BB0CBCC" w14:textId="77777777" w:rsidTr="004B6CFD">
        <w:tc>
          <w:tcPr>
            <w:tcW w:w="3402" w:type="dxa"/>
          </w:tcPr>
          <w:p w14:paraId="141D6BAB" w14:textId="77777777" w:rsidR="001B520F" w:rsidRDefault="001B520F" w:rsidP="004B6CFD">
            <w:r>
              <w:t>80 (Normal activity with help)</w:t>
            </w:r>
          </w:p>
        </w:tc>
        <w:tc>
          <w:tcPr>
            <w:tcW w:w="2268" w:type="dxa"/>
          </w:tcPr>
          <w:p w14:paraId="47B83392" w14:textId="77777777" w:rsidR="001B520F" w:rsidRDefault="001B520F" w:rsidP="004B6CFD">
            <w:pPr>
              <w:jc w:val="center"/>
            </w:pPr>
            <w:r>
              <w:t>8 (19%)</w:t>
            </w:r>
          </w:p>
        </w:tc>
        <w:tc>
          <w:tcPr>
            <w:tcW w:w="2268" w:type="dxa"/>
          </w:tcPr>
          <w:p w14:paraId="009F55F2" w14:textId="77777777" w:rsidR="001B520F" w:rsidRDefault="001B520F" w:rsidP="004B6CFD">
            <w:pPr>
              <w:jc w:val="center"/>
            </w:pPr>
            <w:r>
              <w:t>__</w:t>
            </w:r>
          </w:p>
        </w:tc>
      </w:tr>
      <w:tr w:rsidR="001B520F" w14:paraId="5E139182" w14:textId="77777777" w:rsidTr="004B6CFD">
        <w:tc>
          <w:tcPr>
            <w:tcW w:w="3402" w:type="dxa"/>
          </w:tcPr>
          <w:p w14:paraId="48875BBA" w14:textId="77777777" w:rsidR="001B520F" w:rsidRPr="00692902" w:rsidRDefault="001B520F" w:rsidP="004B6CFD">
            <w:pPr>
              <w:rPr>
                <w:vertAlign w:val="superscript"/>
              </w:rPr>
            </w:pPr>
            <w:r>
              <w:t>75</w:t>
            </w:r>
          </w:p>
        </w:tc>
        <w:tc>
          <w:tcPr>
            <w:tcW w:w="2268" w:type="dxa"/>
          </w:tcPr>
          <w:p w14:paraId="0BD6D54D" w14:textId="77777777" w:rsidR="001B520F" w:rsidRDefault="001B520F" w:rsidP="004B6CFD">
            <w:pPr>
              <w:jc w:val="center"/>
            </w:pPr>
            <w:r>
              <w:t>1 (2%)</w:t>
            </w:r>
          </w:p>
        </w:tc>
        <w:tc>
          <w:tcPr>
            <w:tcW w:w="2268" w:type="dxa"/>
          </w:tcPr>
          <w:p w14:paraId="4BC19F92" w14:textId="77777777" w:rsidR="001B520F" w:rsidRDefault="001B520F" w:rsidP="004B6CFD">
            <w:pPr>
              <w:jc w:val="center"/>
            </w:pPr>
            <w:r>
              <w:t>__</w:t>
            </w:r>
          </w:p>
        </w:tc>
      </w:tr>
      <w:tr w:rsidR="001B520F" w14:paraId="53200511" w14:textId="77777777" w:rsidTr="004B6CFD">
        <w:tc>
          <w:tcPr>
            <w:tcW w:w="3402" w:type="dxa"/>
          </w:tcPr>
          <w:p w14:paraId="2FC21087" w14:textId="77777777" w:rsidR="001B520F" w:rsidRDefault="001B520F" w:rsidP="004B6CFD">
            <w:r>
              <w:t>70 (</w:t>
            </w:r>
            <w:r>
              <w:rPr>
                <w:lang w:val="en"/>
              </w:rPr>
              <w:t>Cares for self; unable to carry on normal activity or to do active work)</w:t>
            </w:r>
          </w:p>
        </w:tc>
        <w:tc>
          <w:tcPr>
            <w:tcW w:w="2268" w:type="dxa"/>
          </w:tcPr>
          <w:p w14:paraId="4300DEE3" w14:textId="77777777" w:rsidR="001B520F" w:rsidRDefault="001B520F" w:rsidP="004B6CFD">
            <w:pPr>
              <w:jc w:val="center"/>
            </w:pPr>
            <w:r>
              <w:t>4 (9%)</w:t>
            </w:r>
          </w:p>
        </w:tc>
        <w:tc>
          <w:tcPr>
            <w:tcW w:w="2268" w:type="dxa"/>
          </w:tcPr>
          <w:p w14:paraId="13738E1F" w14:textId="77777777" w:rsidR="001B520F" w:rsidRDefault="001B520F" w:rsidP="004B6CFD">
            <w:pPr>
              <w:jc w:val="center"/>
            </w:pPr>
            <w:r>
              <w:t>__</w:t>
            </w:r>
          </w:p>
        </w:tc>
      </w:tr>
      <w:tr w:rsidR="001B520F" w14:paraId="7BCEF5F5" w14:textId="77777777" w:rsidTr="004B6CFD">
        <w:tc>
          <w:tcPr>
            <w:tcW w:w="3402" w:type="dxa"/>
          </w:tcPr>
          <w:p w14:paraId="0E6F33CC" w14:textId="77777777" w:rsidR="001B520F" w:rsidRDefault="001B520F" w:rsidP="004B6CFD">
            <w:r>
              <w:t>60 (</w:t>
            </w:r>
            <w:r>
              <w:rPr>
                <w:lang w:val="en"/>
              </w:rPr>
              <w:t>Requires occasional assistance)</w:t>
            </w:r>
          </w:p>
        </w:tc>
        <w:tc>
          <w:tcPr>
            <w:tcW w:w="2268" w:type="dxa"/>
          </w:tcPr>
          <w:p w14:paraId="5B22CBAF" w14:textId="77777777" w:rsidR="001B520F" w:rsidRDefault="001B520F" w:rsidP="004B6CFD">
            <w:pPr>
              <w:jc w:val="center"/>
            </w:pPr>
            <w:r>
              <w:t>1 (2%)</w:t>
            </w:r>
          </w:p>
        </w:tc>
        <w:tc>
          <w:tcPr>
            <w:tcW w:w="2268" w:type="dxa"/>
          </w:tcPr>
          <w:p w14:paraId="60ECE9B7" w14:textId="77777777" w:rsidR="001B520F" w:rsidRDefault="001B520F" w:rsidP="004B6CFD">
            <w:pPr>
              <w:jc w:val="center"/>
            </w:pPr>
            <w:r>
              <w:t>__</w:t>
            </w:r>
          </w:p>
        </w:tc>
      </w:tr>
      <w:tr w:rsidR="001B520F" w14:paraId="6567E10A" w14:textId="77777777" w:rsidTr="004B6CFD">
        <w:tc>
          <w:tcPr>
            <w:tcW w:w="3402" w:type="dxa"/>
          </w:tcPr>
          <w:p w14:paraId="4DBEA819" w14:textId="77777777" w:rsidR="001B520F" w:rsidRDefault="001B520F" w:rsidP="004B6CFD">
            <w:r>
              <w:t>50 (</w:t>
            </w:r>
            <w:r>
              <w:rPr>
                <w:lang w:val="en"/>
              </w:rPr>
              <w:t>Requires considerable assistance and frequent medical care)</w:t>
            </w:r>
          </w:p>
        </w:tc>
        <w:tc>
          <w:tcPr>
            <w:tcW w:w="2268" w:type="dxa"/>
          </w:tcPr>
          <w:p w14:paraId="264396BC" w14:textId="77777777" w:rsidR="001B520F" w:rsidRDefault="001B520F" w:rsidP="004B6CFD">
            <w:pPr>
              <w:jc w:val="center"/>
            </w:pPr>
            <w:r>
              <w:t>1 (2%)</w:t>
            </w:r>
          </w:p>
        </w:tc>
        <w:tc>
          <w:tcPr>
            <w:tcW w:w="2268" w:type="dxa"/>
          </w:tcPr>
          <w:p w14:paraId="09FA6100" w14:textId="77777777" w:rsidR="001B520F" w:rsidRDefault="001B520F" w:rsidP="004B6CFD">
            <w:pPr>
              <w:jc w:val="center"/>
            </w:pPr>
            <w:r>
              <w:t>__</w:t>
            </w:r>
          </w:p>
        </w:tc>
      </w:tr>
      <w:tr w:rsidR="001B520F" w14:paraId="22C36A4A" w14:textId="77777777" w:rsidTr="004B6CFD">
        <w:tc>
          <w:tcPr>
            <w:tcW w:w="3402" w:type="dxa"/>
          </w:tcPr>
          <w:p w14:paraId="5D3124A2" w14:textId="77777777" w:rsidR="001B520F" w:rsidRDefault="001B520F" w:rsidP="004B6CFD">
            <w:r>
              <w:t>40 (Disabled)</w:t>
            </w:r>
          </w:p>
        </w:tc>
        <w:tc>
          <w:tcPr>
            <w:tcW w:w="2268" w:type="dxa"/>
          </w:tcPr>
          <w:p w14:paraId="41573930" w14:textId="77777777" w:rsidR="001B520F" w:rsidRDefault="001B520F" w:rsidP="004B6CFD">
            <w:pPr>
              <w:jc w:val="center"/>
            </w:pPr>
            <w:r>
              <w:t>2 (5%)</w:t>
            </w:r>
          </w:p>
        </w:tc>
        <w:tc>
          <w:tcPr>
            <w:tcW w:w="2268" w:type="dxa"/>
          </w:tcPr>
          <w:p w14:paraId="4A39B436" w14:textId="77777777" w:rsidR="001B520F" w:rsidRDefault="001B520F" w:rsidP="004B6CFD">
            <w:pPr>
              <w:jc w:val="center"/>
            </w:pPr>
            <w:r>
              <w:t>__</w:t>
            </w:r>
          </w:p>
        </w:tc>
      </w:tr>
      <w:tr w:rsidR="001B520F" w14:paraId="2CF906CD" w14:textId="77777777" w:rsidTr="004B6CFD">
        <w:tc>
          <w:tcPr>
            <w:tcW w:w="3402" w:type="dxa"/>
            <w:shd w:val="clear" w:color="auto" w:fill="A6A6A6" w:themeFill="background1" w:themeFillShade="A6"/>
          </w:tcPr>
          <w:p w14:paraId="3DD15739" w14:textId="77777777" w:rsidR="001B520F" w:rsidRDefault="001B520F" w:rsidP="004B6CFD">
            <w:r>
              <w:t>ECOG Performance Status</w:t>
            </w:r>
          </w:p>
        </w:tc>
        <w:tc>
          <w:tcPr>
            <w:tcW w:w="2268" w:type="dxa"/>
            <w:shd w:val="clear" w:color="auto" w:fill="A6A6A6" w:themeFill="background1" w:themeFillShade="A6"/>
          </w:tcPr>
          <w:p w14:paraId="230C0458" w14:textId="77777777" w:rsidR="001B520F" w:rsidRDefault="001B520F" w:rsidP="004B6CFD">
            <w:pPr>
              <w:jc w:val="center"/>
            </w:pPr>
          </w:p>
        </w:tc>
        <w:tc>
          <w:tcPr>
            <w:tcW w:w="2268" w:type="dxa"/>
            <w:shd w:val="clear" w:color="auto" w:fill="A6A6A6" w:themeFill="background1" w:themeFillShade="A6"/>
          </w:tcPr>
          <w:p w14:paraId="1F0F6742" w14:textId="77777777" w:rsidR="001B520F" w:rsidRDefault="001B520F" w:rsidP="004B6CFD">
            <w:pPr>
              <w:jc w:val="center"/>
            </w:pPr>
          </w:p>
        </w:tc>
      </w:tr>
      <w:tr w:rsidR="001B520F" w14:paraId="708CC6CD" w14:textId="77777777" w:rsidTr="004B6CFD">
        <w:tc>
          <w:tcPr>
            <w:tcW w:w="3402" w:type="dxa"/>
          </w:tcPr>
          <w:p w14:paraId="6886A64F" w14:textId="77777777" w:rsidR="001B520F" w:rsidRDefault="001B520F" w:rsidP="004B6CFD">
            <w:r>
              <w:t>0 (Fully active)</w:t>
            </w:r>
          </w:p>
        </w:tc>
        <w:tc>
          <w:tcPr>
            <w:tcW w:w="2268" w:type="dxa"/>
          </w:tcPr>
          <w:p w14:paraId="10A71B9D" w14:textId="77777777" w:rsidR="001B520F" w:rsidRDefault="001B520F" w:rsidP="004B6CFD">
            <w:pPr>
              <w:jc w:val="center"/>
            </w:pPr>
            <w:r>
              <w:t>__</w:t>
            </w:r>
          </w:p>
        </w:tc>
        <w:tc>
          <w:tcPr>
            <w:tcW w:w="2268" w:type="dxa"/>
          </w:tcPr>
          <w:p w14:paraId="75DB13A0" w14:textId="77777777" w:rsidR="001B520F" w:rsidRDefault="001B520F" w:rsidP="004B6CFD">
            <w:pPr>
              <w:jc w:val="center"/>
            </w:pPr>
            <w:r>
              <w:t>56</w:t>
            </w:r>
          </w:p>
        </w:tc>
      </w:tr>
      <w:tr w:rsidR="001B520F" w14:paraId="2DA9F9BF" w14:textId="77777777" w:rsidTr="004B6CFD">
        <w:tc>
          <w:tcPr>
            <w:tcW w:w="3402" w:type="dxa"/>
          </w:tcPr>
          <w:p w14:paraId="63B3930B" w14:textId="77777777" w:rsidR="001B520F" w:rsidRDefault="001B520F" w:rsidP="004B6CFD">
            <w:r>
              <w:t>1 (Restricted in physical strenuous activity)</w:t>
            </w:r>
          </w:p>
        </w:tc>
        <w:tc>
          <w:tcPr>
            <w:tcW w:w="2268" w:type="dxa"/>
          </w:tcPr>
          <w:p w14:paraId="7B1CEE79" w14:textId="77777777" w:rsidR="001B520F" w:rsidRDefault="001B520F" w:rsidP="004B6CFD">
            <w:pPr>
              <w:jc w:val="center"/>
            </w:pPr>
            <w:r>
              <w:t>__</w:t>
            </w:r>
          </w:p>
        </w:tc>
        <w:tc>
          <w:tcPr>
            <w:tcW w:w="2268" w:type="dxa"/>
          </w:tcPr>
          <w:p w14:paraId="1FF5A43A" w14:textId="77777777" w:rsidR="001B520F" w:rsidRDefault="001B520F" w:rsidP="004B6CFD">
            <w:pPr>
              <w:jc w:val="center"/>
            </w:pPr>
            <w:r>
              <w:t>34</w:t>
            </w:r>
          </w:p>
        </w:tc>
      </w:tr>
      <w:tr w:rsidR="001B520F" w14:paraId="2CA8E2C5" w14:textId="77777777" w:rsidTr="004B6CFD">
        <w:tc>
          <w:tcPr>
            <w:tcW w:w="3402" w:type="dxa"/>
          </w:tcPr>
          <w:p w14:paraId="6CDEE276" w14:textId="77777777" w:rsidR="001B520F" w:rsidRDefault="001B520F" w:rsidP="004B6CFD">
            <w:r>
              <w:t>2 (Unable to carry out work activities)</w:t>
            </w:r>
          </w:p>
        </w:tc>
        <w:tc>
          <w:tcPr>
            <w:tcW w:w="2268" w:type="dxa"/>
          </w:tcPr>
          <w:p w14:paraId="3DA2AD0C" w14:textId="77777777" w:rsidR="001B520F" w:rsidRDefault="001B520F" w:rsidP="004B6CFD">
            <w:pPr>
              <w:jc w:val="center"/>
            </w:pPr>
            <w:r>
              <w:t>__</w:t>
            </w:r>
          </w:p>
        </w:tc>
        <w:tc>
          <w:tcPr>
            <w:tcW w:w="2268" w:type="dxa"/>
          </w:tcPr>
          <w:p w14:paraId="24D579A8" w14:textId="77777777" w:rsidR="001B520F" w:rsidRDefault="001B520F" w:rsidP="004B6CFD">
            <w:pPr>
              <w:jc w:val="center"/>
            </w:pPr>
            <w:r>
              <w:t>6</w:t>
            </w:r>
          </w:p>
        </w:tc>
      </w:tr>
      <w:tr w:rsidR="001B520F" w14:paraId="3A86D425" w14:textId="77777777" w:rsidTr="004B6CFD">
        <w:tc>
          <w:tcPr>
            <w:tcW w:w="3402" w:type="dxa"/>
          </w:tcPr>
          <w:p w14:paraId="66107701" w14:textId="77777777" w:rsidR="001B520F" w:rsidRDefault="001B520F" w:rsidP="004B6CFD">
            <w:r>
              <w:t>3 (Limited self-care)</w:t>
            </w:r>
          </w:p>
        </w:tc>
        <w:tc>
          <w:tcPr>
            <w:tcW w:w="2268" w:type="dxa"/>
          </w:tcPr>
          <w:p w14:paraId="20B26098" w14:textId="77777777" w:rsidR="001B520F" w:rsidRDefault="001B520F" w:rsidP="004B6CFD">
            <w:pPr>
              <w:jc w:val="center"/>
            </w:pPr>
            <w:r>
              <w:t>__</w:t>
            </w:r>
          </w:p>
        </w:tc>
        <w:tc>
          <w:tcPr>
            <w:tcW w:w="2268" w:type="dxa"/>
          </w:tcPr>
          <w:p w14:paraId="76306B07" w14:textId="77777777" w:rsidR="001B520F" w:rsidRDefault="001B520F" w:rsidP="004B6CFD">
            <w:pPr>
              <w:jc w:val="center"/>
            </w:pPr>
            <w:r>
              <w:t>4</w:t>
            </w:r>
          </w:p>
        </w:tc>
      </w:tr>
      <w:tr w:rsidR="001B520F" w14:paraId="48CB9D66" w14:textId="77777777" w:rsidTr="004B6CFD">
        <w:tc>
          <w:tcPr>
            <w:tcW w:w="3402" w:type="dxa"/>
          </w:tcPr>
          <w:p w14:paraId="618558CB" w14:textId="77777777" w:rsidR="001B520F" w:rsidRDefault="001B520F" w:rsidP="004B6CFD">
            <w:r>
              <w:t>4 (Completely disabled)</w:t>
            </w:r>
          </w:p>
        </w:tc>
        <w:tc>
          <w:tcPr>
            <w:tcW w:w="2268" w:type="dxa"/>
          </w:tcPr>
          <w:p w14:paraId="53AC5D47" w14:textId="77777777" w:rsidR="001B520F" w:rsidRDefault="001B520F" w:rsidP="004B6CFD">
            <w:pPr>
              <w:jc w:val="center"/>
            </w:pPr>
            <w:r>
              <w:t>__</w:t>
            </w:r>
          </w:p>
        </w:tc>
        <w:tc>
          <w:tcPr>
            <w:tcW w:w="2268" w:type="dxa"/>
          </w:tcPr>
          <w:p w14:paraId="16835E76" w14:textId="77777777" w:rsidR="001B520F" w:rsidRDefault="001B520F" w:rsidP="004B6CFD">
            <w:pPr>
              <w:jc w:val="center"/>
            </w:pPr>
            <w:r>
              <w:t>0</w:t>
            </w:r>
          </w:p>
        </w:tc>
      </w:tr>
    </w:tbl>
    <w:p w14:paraId="4662254D" w14:textId="77777777" w:rsidR="001B520F" w:rsidRDefault="001B520F" w:rsidP="004B6CFD">
      <w:pPr>
        <w:spacing w:line="240" w:lineRule="auto"/>
      </w:pPr>
    </w:p>
    <w:p w14:paraId="3E3DCD3F" w14:textId="77777777" w:rsidR="001B520F" w:rsidRDefault="001B520F" w:rsidP="004B6CFD">
      <w:pPr>
        <w:spacing w:line="240" w:lineRule="auto"/>
      </w:pPr>
      <w:r>
        <w:rPr>
          <w:vertAlign w:val="superscript"/>
        </w:rPr>
        <w:t xml:space="preserve">1 </w:t>
      </w:r>
      <w:r w:rsidRPr="00A74F32">
        <w:t xml:space="preserve">Other </w:t>
      </w:r>
      <w:r>
        <w:t xml:space="preserve">employment </w:t>
      </w:r>
      <w:r w:rsidRPr="00A74F32">
        <w:t xml:space="preserve">categories </w:t>
      </w:r>
      <w:r>
        <w:t xml:space="preserve">for </w:t>
      </w:r>
      <w:r w:rsidRPr="00A74F32">
        <w:t>Phase 1</w:t>
      </w:r>
      <w:r>
        <w:t>a patients include Semi-retired (n=1); Redundant (n=1) and for Phase 3 participants: Semi-retired (n=1); Application for pension (n=1)</w:t>
      </w:r>
    </w:p>
    <w:p w14:paraId="63F7AE4B" w14:textId="77777777" w:rsidR="001B520F" w:rsidRPr="00796449" w:rsidRDefault="001B520F" w:rsidP="004B6CFD">
      <w:pPr>
        <w:spacing w:line="240" w:lineRule="auto"/>
      </w:pPr>
      <w:r>
        <w:rPr>
          <w:vertAlign w:val="superscript"/>
        </w:rPr>
        <w:t>2</w:t>
      </w:r>
      <w:r>
        <w:t>Other living situations described by Phase 3 patients included Carer (n=1); Nursing home (n=2); Not specified (n=5)</w:t>
      </w:r>
    </w:p>
    <w:p w14:paraId="2FE66D3B" w14:textId="77777777" w:rsidR="001B520F" w:rsidRDefault="001B520F" w:rsidP="004B6CFD">
      <w:pPr>
        <w:spacing w:line="240" w:lineRule="auto"/>
      </w:pPr>
      <w:r>
        <w:rPr>
          <w:vertAlign w:val="superscript"/>
        </w:rPr>
        <w:t>3</w:t>
      </w:r>
      <w:r w:rsidRPr="00773C60">
        <w:t xml:space="preserve">N=8 (19%) </w:t>
      </w:r>
      <w:r>
        <w:t xml:space="preserve">Phase 1a </w:t>
      </w:r>
      <w:r w:rsidRPr="00773C60">
        <w:t>patients</w:t>
      </w:r>
      <w:r>
        <w:t xml:space="preserve"> and N=19 Phase 3 patient </w:t>
      </w:r>
      <w:r w:rsidRPr="00773C60">
        <w:t xml:space="preserve">presented with more than one co-morbidity </w:t>
      </w:r>
    </w:p>
    <w:p w14:paraId="57A7A7B5" w14:textId="077C27CA" w:rsidR="001B520F" w:rsidRDefault="001B520F" w:rsidP="004B6CFD">
      <w:pPr>
        <w:spacing w:after="160" w:line="259" w:lineRule="auto"/>
      </w:pPr>
      <w:r w:rsidRPr="00A90A0E">
        <w:rPr>
          <w:vertAlign w:val="superscript"/>
        </w:rPr>
        <w:t>4</w:t>
      </w:r>
      <w:r w:rsidRPr="00A90A0E">
        <w:t>Other comorbidities presented by Phase 1a patients include:  Thyroid problems (n=3); Reflux (n=2); Hypertension (n=1); Multiple sclerosis (n=1); Epilepsy (n=1); Hearing loss (n=1); HIV (n=1); Depression (n=1); Multiple myeloma (n=1). Phase 3 patients presented with Inflammatory bowel disease (n=2); Epilepsy (n=1); Thyroid problems (n=1); HIV (n=3); Skin problems (n=1); Ulcers (n=1); Pulmonary embolism (n=1); and Hypertension (n=5)</w:t>
      </w:r>
    </w:p>
    <w:p w14:paraId="3C88755A" w14:textId="77777777" w:rsidR="004D7420" w:rsidRDefault="004D7420">
      <w:pPr>
        <w:spacing w:after="160" w:line="259" w:lineRule="auto"/>
      </w:pPr>
      <w:r>
        <w:br w:type="page"/>
      </w:r>
    </w:p>
    <w:p w14:paraId="686C9D99" w14:textId="40168F69" w:rsidR="001B520F" w:rsidRDefault="001B520F">
      <w:pPr>
        <w:spacing w:after="160" w:line="259" w:lineRule="auto"/>
      </w:pPr>
      <w:r>
        <w:lastRenderedPageBreak/>
        <w:t>Table 2.  Issues included in the EORTC QLQ-ANL27 and hypothesised conceptual scales</w:t>
      </w:r>
    </w:p>
    <w:tbl>
      <w:tblPr>
        <w:tblStyle w:val="TableGrid"/>
        <w:tblW w:w="0" w:type="auto"/>
        <w:tblLook w:val="04A0" w:firstRow="1" w:lastRow="0" w:firstColumn="1" w:lastColumn="0" w:noHBand="0" w:noVBand="1"/>
      </w:tblPr>
      <w:tblGrid>
        <w:gridCol w:w="2254"/>
        <w:gridCol w:w="2254"/>
        <w:gridCol w:w="2254"/>
        <w:gridCol w:w="2254"/>
      </w:tblGrid>
      <w:tr w:rsidR="001B520F" w14:paraId="5419DF65" w14:textId="77777777" w:rsidTr="004B6CFD">
        <w:tc>
          <w:tcPr>
            <w:tcW w:w="2254" w:type="dxa"/>
          </w:tcPr>
          <w:p w14:paraId="29E6DE22" w14:textId="77777777" w:rsidR="001B520F" w:rsidRPr="00C155BB" w:rsidRDefault="001B520F">
            <w:pPr>
              <w:spacing w:after="160" w:line="259" w:lineRule="auto"/>
              <w:rPr>
                <w:b/>
              </w:rPr>
            </w:pPr>
            <w:r w:rsidRPr="00C155BB">
              <w:rPr>
                <w:b/>
              </w:rPr>
              <w:t>Conceptual Scale</w:t>
            </w:r>
          </w:p>
        </w:tc>
        <w:tc>
          <w:tcPr>
            <w:tcW w:w="2254" w:type="dxa"/>
          </w:tcPr>
          <w:p w14:paraId="18E4993E" w14:textId="77777777" w:rsidR="001B520F" w:rsidRPr="00C155BB" w:rsidRDefault="001B520F">
            <w:pPr>
              <w:spacing w:after="160" w:line="259" w:lineRule="auto"/>
              <w:rPr>
                <w:b/>
              </w:rPr>
            </w:pPr>
            <w:r w:rsidRPr="00C155BB">
              <w:rPr>
                <w:b/>
              </w:rPr>
              <w:t>Issues</w:t>
            </w:r>
          </w:p>
        </w:tc>
        <w:tc>
          <w:tcPr>
            <w:tcW w:w="2254" w:type="dxa"/>
          </w:tcPr>
          <w:p w14:paraId="14D79FAA" w14:textId="77777777" w:rsidR="001B520F" w:rsidRPr="00C155BB" w:rsidRDefault="001B520F">
            <w:pPr>
              <w:spacing w:after="160" w:line="259" w:lineRule="auto"/>
              <w:rPr>
                <w:b/>
              </w:rPr>
            </w:pPr>
            <w:r w:rsidRPr="00C155BB">
              <w:rPr>
                <w:b/>
              </w:rPr>
              <w:t>Cronbach’s alpha</w:t>
            </w:r>
          </w:p>
        </w:tc>
        <w:tc>
          <w:tcPr>
            <w:tcW w:w="2254" w:type="dxa"/>
          </w:tcPr>
          <w:p w14:paraId="2F1502D1" w14:textId="77777777" w:rsidR="001B520F" w:rsidRPr="00C155BB" w:rsidRDefault="001B520F">
            <w:pPr>
              <w:spacing w:after="160" w:line="259" w:lineRule="auto"/>
              <w:rPr>
                <w:b/>
                <w:vertAlign w:val="superscript"/>
              </w:rPr>
            </w:pPr>
            <w:r>
              <w:rPr>
                <w:b/>
              </w:rPr>
              <w:t>Inter-item correlation</w:t>
            </w:r>
            <w:r w:rsidRPr="00C155BB">
              <w:rPr>
                <w:b/>
              </w:rPr>
              <w:t xml:space="preserve"> (range)</w:t>
            </w:r>
          </w:p>
        </w:tc>
      </w:tr>
      <w:tr w:rsidR="001B520F" w14:paraId="10ED512D" w14:textId="77777777" w:rsidTr="004B6CFD">
        <w:tc>
          <w:tcPr>
            <w:tcW w:w="2254" w:type="dxa"/>
          </w:tcPr>
          <w:p w14:paraId="7F9C0CDD" w14:textId="77777777" w:rsidR="001B520F" w:rsidRDefault="001B520F">
            <w:pPr>
              <w:spacing w:after="160" w:line="259" w:lineRule="auto"/>
            </w:pPr>
            <w:r>
              <w:t>Bowel</w:t>
            </w:r>
          </w:p>
        </w:tc>
        <w:tc>
          <w:tcPr>
            <w:tcW w:w="2254" w:type="dxa"/>
          </w:tcPr>
          <w:p w14:paraId="20A67F0F" w14:textId="77777777" w:rsidR="001B520F" w:rsidRDefault="001B520F">
            <w:pPr>
              <w:spacing w:after="160" w:line="259" w:lineRule="auto"/>
            </w:pPr>
            <w:r>
              <w:t>Flatulence</w:t>
            </w:r>
          </w:p>
          <w:p w14:paraId="2E653732" w14:textId="77777777" w:rsidR="001B520F" w:rsidRDefault="001B520F">
            <w:pPr>
              <w:spacing w:after="160" w:line="259" w:lineRule="auto"/>
            </w:pPr>
            <w:r>
              <w:t>Bowel incontinence</w:t>
            </w:r>
          </w:p>
          <w:p w14:paraId="7C033D58" w14:textId="77777777" w:rsidR="001B520F" w:rsidRDefault="001B520F">
            <w:pPr>
              <w:spacing w:after="160" w:line="259" w:lineRule="auto"/>
            </w:pPr>
            <w:r>
              <w:t>Frequent defecation</w:t>
            </w:r>
          </w:p>
          <w:p w14:paraId="2355646A" w14:textId="77777777" w:rsidR="001B520F" w:rsidRDefault="001B520F">
            <w:pPr>
              <w:spacing w:after="160" w:line="259" w:lineRule="auto"/>
            </w:pPr>
            <w:r>
              <w:t>Bowel urgency</w:t>
            </w:r>
          </w:p>
          <w:p w14:paraId="1DF9EB56" w14:textId="77777777" w:rsidR="001B520F" w:rsidRDefault="001B520F">
            <w:pPr>
              <w:spacing w:after="160" w:line="259" w:lineRule="auto"/>
            </w:pPr>
            <w:r w:rsidRPr="00681332">
              <w:rPr>
                <w:color w:val="000000"/>
              </w:rPr>
              <w:t>Sensation of inability to effectively empty bow</w:t>
            </w:r>
            <w:r>
              <w:rPr>
                <w:color w:val="000000"/>
              </w:rPr>
              <w:t>els</w:t>
            </w:r>
          </w:p>
        </w:tc>
        <w:tc>
          <w:tcPr>
            <w:tcW w:w="2254" w:type="dxa"/>
          </w:tcPr>
          <w:p w14:paraId="17C5F7E5" w14:textId="77777777" w:rsidR="001B520F" w:rsidRDefault="001B520F">
            <w:pPr>
              <w:spacing w:after="160" w:line="259" w:lineRule="auto"/>
            </w:pPr>
            <w:r>
              <w:t>0.75</w:t>
            </w:r>
          </w:p>
        </w:tc>
        <w:tc>
          <w:tcPr>
            <w:tcW w:w="2254" w:type="dxa"/>
          </w:tcPr>
          <w:p w14:paraId="20C3C1C4" w14:textId="77777777" w:rsidR="001B520F" w:rsidRDefault="001B520F">
            <w:pPr>
              <w:spacing w:after="160" w:line="259" w:lineRule="auto"/>
            </w:pPr>
            <w:r>
              <w:t>0.24 - 0.54</w:t>
            </w:r>
          </w:p>
        </w:tc>
      </w:tr>
      <w:tr w:rsidR="001B520F" w14:paraId="5B2E7E51" w14:textId="77777777" w:rsidTr="004B6CFD">
        <w:tc>
          <w:tcPr>
            <w:tcW w:w="2254" w:type="dxa"/>
          </w:tcPr>
          <w:p w14:paraId="7B4FDE12" w14:textId="77777777" w:rsidR="001B520F" w:rsidRDefault="001B520F">
            <w:pPr>
              <w:spacing w:after="160" w:line="259" w:lineRule="auto"/>
            </w:pPr>
            <w:r>
              <w:t>Pain/Discomfort</w:t>
            </w:r>
          </w:p>
        </w:tc>
        <w:tc>
          <w:tcPr>
            <w:tcW w:w="2254" w:type="dxa"/>
          </w:tcPr>
          <w:p w14:paraId="4207579E" w14:textId="77777777" w:rsidR="001B520F" w:rsidRDefault="001B520F">
            <w:pPr>
              <w:spacing w:after="160" w:line="259" w:lineRule="auto"/>
            </w:pPr>
            <w:r>
              <w:t>Painful bowel movements</w:t>
            </w:r>
          </w:p>
          <w:p w14:paraId="2EB924A3" w14:textId="77777777" w:rsidR="001B520F" w:rsidRDefault="001B520F">
            <w:pPr>
              <w:spacing w:after="160" w:line="259" w:lineRule="auto"/>
            </w:pPr>
            <w:r>
              <w:t>Pain  or discomfort in the anus or anal opening</w:t>
            </w:r>
          </w:p>
          <w:p w14:paraId="0FBF4BB2" w14:textId="77777777" w:rsidR="001B520F" w:rsidRDefault="001B520F">
            <w:pPr>
              <w:spacing w:after="160" w:line="259" w:lineRule="auto"/>
            </w:pPr>
            <w:r>
              <w:t>Pain while sitting</w:t>
            </w:r>
          </w:p>
          <w:p w14:paraId="38C7B445" w14:textId="77777777" w:rsidR="001B520F" w:rsidRDefault="001B520F">
            <w:pPr>
              <w:spacing w:after="160" w:line="259" w:lineRule="auto"/>
            </w:pPr>
            <w:r>
              <w:t>Discomfort in certain positions (</w:t>
            </w:r>
            <w:proofErr w:type="spellStart"/>
            <w:r>
              <w:t>e.g</w:t>
            </w:r>
            <w:proofErr w:type="spellEnd"/>
            <w:r>
              <w:t xml:space="preserve"> lying down)</w:t>
            </w:r>
          </w:p>
          <w:p w14:paraId="605B9547" w14:textId="77777777" w:rsidR="001B520F" w:rsidRDefault="001B520F">
            <w:pPr>
              <w:spacing w:after="160" w:line="259" w:lineRule="auto"/>
            </w:pPr>
            <w:r>
              <w:t>Soreness in treatment area</w:t>
            </w:r>
          </w:p>
          <w:p w14:paraId="347AB94F" w14:textId="77777777" w:rsidR="001B520F" w:rsidRDefault="001B520F">
            <w:pPr>
              <w:spacing w:after="160" w:line="259" w:lineRule="auto"/>
            </w:pPr>
            <w:r>
              <w:t>Itchy / irritated skin in treated areas</w:t>
            </w:r>
          </w:p>
          <w:p w14:paraId="6323D07B" w14:textId="77777777" w:rsidR="001B520F" w:rsidRDefault="001B520F">
            <w:pPr>
              <w:spacing w:after="160" w:line="259" w:lineRule="auto"/>
            </w:pPr>
          </w:p>
        </w:tc>
        <w:tc>
          <w:tcPr>
            <w:tcW w:w="2254" w:type="dxa"/>
          </w:tcPr>
          <w:p w14:paraId="7001F525" w14:textId="77777777" w:rsidR="001B520F" w:rsidRDefault="001B520F">
            <w:pPr>
              <w:spacing w:after="160" w:line="259" w:lineRule="auto"/>
            </w:pPr>
            <w:r>
              <w:t>0.85</w:t>
            </w:r>
          </w:p>
        </w:tc>
        <w:tc>
          <w:tcPr>
            <w:tcW w:w="2254" w:type="dxa"/>
          </w:tcPr>
          <w:p w14:paraId="16266CF4" w14:textId="77777777" w:rsidR="001B520F" w:rsidRDefault="001B520F">
            <w:pPr>
              <w:spacing w:after="160" w:line="259" w:lineRule="auto"/>
            </w:pPr>
            <w:r>
              <w:t>0.32 - 0.68</w:t>
            </w:r>
          </w:p>
        </w:tc>
      </w:tr>
      <w:tr w:rsidR="001B520F" w14:paraId="661B1C24" w14:textId="77777777" w:rsidTr="004B6CFD">
        <w:tc>
          <w:tcPr>
            <w:tcW w:w="2254" w:type="dxa"/>
          </w:tcPr>
          <w:p w14:paraId="21B0D3AD" w14:textId="77777777" w:rsidR="001B520F" w:rsidRDefault="001B520F">
            <w:pPr>
              <w:spacing w:after="160" w:line="259" w:lineRule="auto"/>
            </w:pPr>
            <w:r>
              <w:t>Stoma</w:t>
            </w:r>
          </w:p>
        </w:tc>
        <w:tc>
          <w:tcPr>
            <w:tcW w:w="2254" w:type="dxa"/>
          </w:tcPr>
          <w:p w14:paraId="17B55D0E" w14:textId="77777777" w:rsidR="001B520F" w:rsidRDefault="001B520F">
            <w:pPr>
              <w:spacing w:after="160" w:line="259" w:lineRule="auto"/>
            </w:pPr>
            <w:r>
              <w:t>Skin reaction around stoma site</w:t>
            </w:r>
          </w:p>
          <w:p w14:paraId="23BFA752" w14:textId="77777777" w:rsidR="001B520F" w:rsidRDefault="001B520F">
            <w:pPr>
              <w:spacing w:after="160" w:line="259" w:lineRule="auto"/>
            </w:pPr>
            <w:r>
              <w:t>Leakage of stools from stoma bag</w:t>
            </w:r>
          </w:p>
          <w:p w14:paraId="0A82C856" w14:textId="77777777" w:rsidR="001B520F" w:rsidRDefault="001B520F">
            <w:pPr>
              <w:spacing w:after="160" w:line="259" w:lineRule="auto"/>
            </w:pPr>
            <w:r>
              <w:t>Unintentional release of gas / flatulence from stoma bag</w:t>
            </w:r>
          </w:p>
          <w:p w14:paraId="564C5306" w14:textId="77777777" w:rsidR="001B520F" w:rsidRDefault="001B520F">
            <w:pPr>
              <w:spacing w:after="160" w:line="259" w:lineRule="auto"/>
            </w:pPr>
          </w:p>
        </w:tc>
        <w:tc>
          <w:tcPr>
            <w:tcW w:w="2254" w:type="dxa"/>
          </w:tcPr>
          <w:p w14:paraId="4919E778" w14:textId="77777777" w:rsidR="001B520F" w:rsidRDefault="001B520F">
            <w:pPr>
              <w:spacing w:after="160" w:line="259" w:lineRule="auto"/>
            </w:pPr>
            <w:r>
              <w:t>0.78</w:t>
            </w:r>
          </w:p>
        </w:tc>
        <w:tc>
          <w:tcPr>
            <w:tcW w:w="2254" w:type="dxa"/>
          </w:tcPr>
          <w:p w14:paraId="01D1BBB7" w14:textId="77777777" w:rsidR="001B520F" w:rsidRDefault="001B520F">
            <w:pPr>
              <w:spacing w:after="160" w:line="259" w:lineRule="auto"/>
            </w:pPr>
            <w:r>
              <w:t>0.32 - 0.83</w:t>
            </w:r>
          </w:p>
        </w:tc>
      </w:tr>
      <w:tr w:rsidR="001B520F" w14:paraId="2558BA4D" w14:textId="77777777" w:rsidTr="004B6CFD">
        <w:tc>
          <w:tcPr>
            <w:tcW w:w="2254" w:type="dxa"/>
          </w:tcPr>
          <w:p w14:paraId="391387EB" w14:textId="77777777" w:rsidR="001B520F" w:rsidRDefault="001B520F">
            <w:pPr>
              <w:spacing w:after="160" w:line="259" w:lineRule="auto"/>
            </w:pPr>
            <w:r>
              <w:t xml:space="preserve">Sexual </w:t>
            </w:r>
          </w:p>
        </w:tc>
        <w:tc>
          <w:tcPr>
            <w:tcW w:w="2254" w:type="dxa"/>
          </w:tcPr>
          <w:p w14:paraId="3D520FFF" w14:textId="77777777" w:rsidR="001B520F" w:rsidRPr="00EC20DE" w:rsidRDefault="001B520F">
            <w:pPr>
              <w:spacing w:after="160" w:line="259" w:lineRule="auto"/>
              <w:rPr>
                <w:i/>
              </w:rPr>
            </w:pPr>
            <w:r>
              <w:rPr>
                <w:i/>
              </w:rPr>
              <w:t>General</w:t>
            </w:r>
          </w:p>
          <w:p w14:paraId="103C8A5F" w14:textId="77777777" w:rsidR="001B520F" w:rsidRDefault="001B520F">
            <w:pPr>
              <w:spacing w:after="160" w:line="259" w:lineRule="auto"/>
            </w:pPr>
            <w:r>
              <w:t>Sexual interest</w:t>
            </w:r>
          </w:p>
          <w:p w14:paraId="7D952517" w14:textId="77777777" w:rsidR="001B520F" w:rsidRDefault="001B520F">
            <w:pPr>
              <w:spacing w:after="160" w:line="259" w:lineRule="auto"/>
            </w:pPr>
            <w:r>
              <w:t>Affected sex life</w:t>
            </w:r>
          </w:p>
          <w:p w14:paraId="5DBCE79A" w14:textId="77777777" w:rsidR="001B520F" w:rsidRDefault="001B520F">
            <w:pPr>
              <w:spacing w:after="160" w:line="259" w:lineRule="auto"/>
            </w:pPr>
            <w:r>
              <w:lastRenderedPageBreak/>
              <w:t>Painful sexual intercourse</w:t>
            </w:r>
          </w:p>
          <w:p w14:paraId="330DEFB7" w14:textId="77777777" w:rsidR="001B520F" w:rsidRDefault="001B520F">
            <w:pPr>
              <w:spacing w:after="160" w:line="259" w:lineRule="auto"/>
              <w:rPr>
                <w:i/>
              </w:rPr>
            </w:pPr>
          </w:p>
          <w:p w14:paraId="38B2011E" w14:textId="77777777" w:rsidR="001B520F" w:rsidRPr="00711DBE" w:rsidRDefault="001B520F">
            <w:pPr>
              <w:spacing w:after="160" w:line="259" w:lineRule="auto"/>
              <w:rPr>
                <w:i/>
              </w:rPr>
            </w:pPr>
            <w:r w:rsidRPr="00711DBE">
              <w:rPr>
                <w:i/>
              </w:rPr>
              <w:t>Male</w:t>
            </w:r>
          </w:p>
          <w:p w14:paraId="1FE1BA3C" w14:textId="77777777" w:rsidR="001B520F" w:rsidRDefault="001B520F">
            <w:pPr>
              <w:spacing w:after="160" w:line="259" w:lineRule="auto"/>
            </w:pPr>
            <w:r>
              <w:t>Impotence</w:t>
            </w:r>
          </w:p>
          <w:p w14:paraId="31B25D93" w14:textId="77777777" w:rsidR="001B520F" w:rsidRPr="00711DBE" w:rsidRDefault="001B520F">
            <w:pPr>
              <w:spacing w:after="160" w:line="259" w:lineRule="auto"/>
              <w:rPr>
                <w:i/>
              </w:rPr>
            </w:pPr>
            <w:r w:rsidRPr="00711DBE">
              <w:rPr>
                <w:i/>
              </w:rPr>
              <w:t>Female</w:t>
            </w:r>
          </w:p>
          <w:p w14:paraId="22BC98B6" w14:textId="77777777" w:rsidR="001B520F" w:rsidRDefault="001B520F">
            <w:pPr>
              <w:spacing w:after="160" w:line="259" w:lineRule="auto"/>
            </w:pPr>
            <w:r>
              <w:t>Vaginal dryness</w:t>
            </w:r>
          </w:p>
          <w:p w14:paraId="383B3C75" w14:textId="77777777" w:rsidR="001B520F" w:rsidRDefault="001B520F">
            <w:pPr>
              <w:spacing w:after="160" w:line="259" w:lineRule="auto"/>
            </w:pPr>
            <w:r>
              <w:t>Vaginal narrowing</w:t>
            </w:r>
          </w:p>
          <w:p w14:paraId="538B3323" w14:textId="77777777" w:rsidR="001B520F" w:rsidRDefault="001B520F">
            <w:pPr>
              <w:spacing w:after="160" w:line="259" w:lineRule="auto"/>
            </w:pPr>
            <w:r>
              <w:t>Vaginal pain</w:t>
            </w:r>
          </w:p>
          <w:p w14:paraId="1E35AF5E" w14:textId="77777777" w:rsidR="001B520F" w:rsidRDefault="001B520F">
            <w:pPr>
              <w:spacing w:after="160" w:line="259" w:lineRule="auto"/>
            </w:pPr>
          </w:p>
        </w:tc>
        <w:tc>
          <w:tcPr>
            <w:tcW w:w="2254" w:type="dxa"/>
          </w:tcPr>
          <w:p w14:paraId="0C9560F9" w14:textId="77777777" w:rsidR="001B520F" w:rsidRDefault="001B520F">
            <w:pPr>
              <w:spacing w:after="160" w:line="259" w:lineRule="auto"/>
            </w:pPr>
          </w:p>
          <w:p w14:paraId="59B5F04B" w14:textId="77777777" w:rsidR="001B520F" w:rsidRDefault="001B520F">
            <w:pPr>
              <w:spacing w:after="160" w:line="259" w:lineRule="auto"/>
            </w:pPr>
          </w:p>
          <w:p w14:paraId="33D06429" w14:textId="77777777" w:rsidR="001B520F" w:rsidRDefault="001B520F">
            <w:pPr>
              <w:spacing w:after="160" w:line="259" w:lineRule="auto"/>
            </w:pPr>
          </w:p>
          <w:p w14:paraId="5C9F367C" w14:textId="77777777" w:rsidR="001B520F" w:rsidRDefault="001B520F">
            <w:pPr>
              <w:spacing w:after="160" w:line="259" w:lineRule="auto"/>
            </w:pPr>
            <w:r>
              <w:lastRenderedPageBreak/>
              <w:t xml:space="preserve">                                  </w:t>
            </w:r>
          </w:p>
          <w:p w14:paraId="62FA18B9" w14:textId="77777777" w:rsidR="001B520F" w:rsidRDefault="001B520F">
            <w:pPr>
              <w:spacing w:after="160" w:line="259" w:lineRule="auto"/>
            </w:pPr>
          </w:p>
          <w:p w14:paraId="2F935DB4" w14:textId="77777777" w:rsidR="001B520F" w:rsidRDefault="001B520F">
            <w:pPr>
              <w:spacing w:after="160" w:line="259" w:lineRule="auto"/>
            </w:pPr>
          </w:p>
          <w:p w14:paraId="437E9CD4" w14:textId="77777777" w:rsidR="001B520F" w:rsidRDefault="001B520F">
            <w:pPr>
              <w:spacing w:after="160" w:line="259" w:lineRule="auto"/>
            </w:pPr>
            <w:r>
              <w:t xml:space="preserve">0.28 </w:t>
            </w:r>
          </w:p>
          <w:p w14:paraId="6B535412" w14:textId="77777777" w:rsidR="001B520F" w:rsidRDefault="001B520F">
            <w:pPr>
              <w:spacing w:after="160" w:line="259" w:lineRule="auto"/>
            </w:pPr>
          </w:p>
          <w:p w14:paraId="76CD1552" w14:textId="77777777" w:rsidR="001B520F" w:rsidRDefault="001B520F">
            <w:pPr>
              <w:spacing w:after="160" w:line="259" w:lineRule="auto"/>
            </w:pPr>
            <w:r>
              <w:t>0.40</w:t>
            </w:r>
          </w:p>
        </w:tc>
        <w:tc>
          <w:tcPr>
            <w:tcW w:w="2254" w:type="dxa"/>
          </w:tcPr>
          <w:p w14:paraId="34B7E273" w14:textId="77777777" w:rsidR="001B520F" w:rsidRDefault="001B520F">
            <w:pPr>
              <w:spacing w:after="160" w:line="259" w:lineRule="auto"/>
            </w:pPr>
          </w:p>
          <w:p w14:paraId="0D7732C4" w14:textId="77777777" w:rsidR="001B520F" w:rsidRDefault="001B520F">
            <w:pPr>
              <w:spacing w:after="160" w:line="259" w:lineRule="auto"/>
            </w:pPr>
          </w:p>
          <w:p w14:paraId="30E34CA4" w14:textId="77777777" w:rsidR="001B520F" w:rsidRDefault="001B520F">
            <w:pPr>
              <w:spacing w:after="160" w:line="259" w:lineRule="auto"/>
            </w:pPr>
          </w:p>
          <w:p w14:paraId="1AFFF557" w14:textId="77777777" w:rsidR="001B520F" w:rsidRDefault="001B520F">
            <w:pPr>
              <w:spacing w:after="160" w:line="259" w:lineRule="auto"/>
            </w:pPr>
          </w:p>
          <w:p w14:paraId="6873C233" w14:textId="77777777" w:rsidR="001B520F" w:rsidRDefault="001B520F">
            <w:pPr>
              <w:spacing w:after="160" w:line="259" w:lineRule="auto"/>
            </w:pPr>
          </w:p>
          <w:p w14:paraId="3BEE1630" w14:textId="77777777" w:rsidR="001B520F" w:rsidRDefault="001B520F">
            <w:pPr>
              <w:spacing w:after="160" w:line="259" w:lineRule="auto"/>
            </w:pPr>
          </w:p>
          <w:p w14:paraId="37D60C59" w14:textId="77777777" w:rsidR="001B520F" w:rsidRDefault="001B520F">
            <w:pPr>
              <w:spacing w:after="160" w:line="259" w:lineRule="auto"/>
            </w:pPr>
            <w:r>
              <w:t xml:space="preserve">0.11 - 0.34 </w:t>
            </w:r>
          </w:p>
          <w:p w14:paraId="29A4952A" w14:textId="77777777" w:rsidR="001B520F" w:rsidRDefault="001B520F">
            <w:pPr>
              <w:spacing w:after="160" w:line="259" w:lineRule="auto"/>
            </w:pPr>
          </w:p>
          <w:p w14:paraId="29FB3624" w14:textId="77777777" w:rsidR="001B520F" w:rsidRDefault="001B520F">
            <w:pPr>
              <w:spacing w:after="160" w:line="259" w:lineRule="auto"/>
            </w:pPr>
            <w:r>
              <w:t>0.02 – 0.74</w:t>
            </w:r>
          </w:p>
        </w:tc>
      </w:tr>
    </w:tbl>
    <w:p w14:paraId="57EFF0CA" w14:textId="77777777" w:rsidR="001B520F" w:rsidRPr="00D36874" w:rsidRDefault="001B520F" w:rsidP="004B6CFD">
      <w:pPr>
        <w:autoSpaceDE w:val="0"/>
        <w:autoSpaceDN w:val="0"/>
        <w:adjustRightInd w:val="0"/>
        <w:spacing w:after="0" w:line="240" w:lineRule="auto"/>
        <w:rPr>
          <w:rFonts w:eastAsiaTheme="minorHAnsi" w:cs="AdvPTimes"/>
          <w:color w:val="000000"/>
          <w:lang w:eastAsia="en-US"/>
        </w:rPr>
      </w:pPr>
    </w:p>
    <w:p w14:paraId="2AF566E7" w14:textId="77777777" w:rsidR="009B3784" w:rsidRDefault="009B3784"/>
    <w:sectPr w:rsidR="009B3784" w:rsidSect="004B6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XEMOLO+Calibri">
    <w:altName w:val="XEMOLO+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I">
    <w:panose1 w:val="00000000000000000000"/>
    <w:charset w:val="00"/>
    <w:family w:val="auto"/>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AdvOTa9103878">
    <w:panose1 w:val="00000000000000000000"/>
    <w:charset w:val="00"/>
    <w:family w:val="roman"/>
    <w:notTrueType/>
    <w:pitch w:val="default"/>
    <w:sig w:usb0="00000003" w:usb1="00000000" w:usb2="00000000" w:usb3="00000000" w:csb0="00000001" w:csb1="00000000"/>
  </w:font>
  <w:font w:name="AdvP40668">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8EF"/>
    <w:multiLevelType w:val="hybridMultilevel"/>
    <w:tmpl w:val="1C6E1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E5553"/>
    <w:multiLevelType w:val="hybridMultilevel"/>
    <w:tmpl w:val="48568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F7EE5"/>
    <w:multiLevelType w:val="hybridMultilevel"/>
    <w:tmpl w:val="3F32B258"/>
    <w:lvl w:ilvl="0" w:tplc="31A4EB52">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B5289A"/>
    <w:multiLevelType w:val="hybridMultilevel"/>
    <w:tmpl w:val="EF3C7520"/>
    <w:lvl w:ilvl="0" w:tplc="EA461C6A">
      <w:start w:val="1"/>
      <w:numFmt w:val="decimal"/>
      <w:lvlText w:val="%1."/>
      <w:lvlJc w:val="left"/>
      <w:pPr>
        <w:ind w:left="644" w:hanging="360"/>
      </w:pPr>
      <w:rPr>
        <w:rFonts w:asciiTheme="minorHAnsi" w:hAnsiTheme="minorHAnsi" w:cs="Calibri,Bold" w:hint="default"/>
        <w:b w:val="0"/>
        <w:sz w:val="22"/>
        <w:szCs w:val="22"/>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B520F"/>
    <w:rsid w:val="0016471E"/>
    <w:rsid w:val="001B520F"/>
    <w:rsid w:val="00261F5C"/>
    <w:rsid w:val="002637CE"/>
    <w:rsid w:val="00281C4A"/>
    <w:rsid w:val="003F3982"/>
    <w:rsid w:val="00481588"/>
    <w:rsid w:val="004B6CFD"/>
    <w:rsid w:val="004D7420"/>
    <w:rsid w:val="00515AF7"/>
    <w:rsid w:val="00536206"/>
    <w:rsid w:val="00590415"/>
    <w:rsid w:val="00682CFB"/>
    <w:rsid w:val="006A1C44"/>
    <w:rsid w:val="007734CC"/>
    <w:rsid w:val="007B6652"/>
    <w:rsid w:val="007F6F57"/>
    <w:rsid w:val="00857526"/>
    <w:rsid w:val="00865A75"/>
    <w:rsid w:val="009B3784"/>
    <w:rsid w:val="00A654AD"/>
    <w:rsid w:val="00A90A0E"/>
    <w:rsid w:val="00B7673A"/>
    <w:rsid w:val="00BD791E"/>
    <w:rsid w:val="00D678E8"/>
    <w:rsid w:val="00DC3BED"/>
    <w:rsid w:val="00E10949"/>
    <w:rsid w:val="00EB6E67"/>
    <w:rsid w:val="00ED416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0FD4"/>
  <w15:chartTrackingRefBased/>
  <w15:docId w15:val="{F12555DB-3203-4EE5-906E-735C5701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20F"/>
    <w:pPr>
      <w:spacing w:after="200" w:line="276" w:lineRule="auto"/>
    </w:pPr>
    <w:rPr>
      <w:rFonts w:eastAsiaTheme="minorEastAsia"/>
      <w:lang w:eastAsia="zh-CN"/>
    </w:rPr>
  </w:style>
  <w:style w:type="paragraph" w:styleId="Heading1">
    <w:name w:val="heading 1"/>
    <w:basedOn w:val="Normal"/>
    <w:next w:val="Normal"/>
    <w:link w:val="Heading1Char"/>
    <w:uiPriority w:val="9"/>
    <w:qFormat/>
    <w:rsid w:val="001B52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52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520F"/>
    <w:pPr>
      <w:keepNext/>
      <w:keepLines/>
      <w:spacing w:before="200" w:after="0"/>
      <w:outlineLvl w:val="2"/>
    </w:pPr>
    <w:rPr>
      <w:rFonts w:asciiTheme="majorHAnsi" w:eastAsiaTheme="majorEastAsia" w:hAnsiTheme="majorHAnsi" w:cstheme="majorBidi"/>
      <w:b/>
      <w:bCs/>
      <w:color w:val="5B9BD5"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20F"/>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rsid w:val="001B520F"/>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rsid w:val="001B520F"/>
    <w:rPr>
      <w:rFonts w:asciiTheme="majorHAnsi" w:eastAsiaTheme="majorEastAsia" w:hAnsiTheme="majorHAnsi" w:cstheme="majorBidi"/>
      <w:b/>
      <w:bCs/>
      <w:color w:val="5B9BD5" w:themeColor="accent1"/>
      <w:lang w:eastAsia="en-GB"/>
    </w:rPr>
  </w:style>
  <w:style w:type="character" w:customStyle="1" w:styleId="apple-style-span">
    <w:name w:val="apple-style-span"/>
    <w:basedOn w:val="DefaultParagraphFont"/>
    <w:rsid w:val="001B520F"/>
  </w:style>
  <w:style w:type="paragraph" w:styleId="ListParagraph">
    <w:name w:val="List Paragraph"/>
    <w:basedOn w:val="Normal"/>
    <w:uiPriority w:val="34"/>
    <w:qFormat/>
    <w:rsid w:val="001B520F"/>
    <w:pPr>
      <w:spacing w:after="0" w:line="240" w:lineRule="auto"/>
      <w:ind w:left="720"/>
      <w:contextualSpacing/>
    </w:pPr>
    <w:rPr>
      <w:rFonts w:ascii="Times New Roman" w:eastAsia="Times New Roman" w:hAnsi="Times New Roman" w:cs="Times New Roman"/>
      <w:sz w:val="24"/>
      <w:szCs w:val="20"/>
      <w:lang w:eastAsia="en-US"/>
    </w:rPr>
  </w:style>
  <w:style w:type="paragraph" w:styleId="NormalWeb">
    <w:name w:val="Normal (Web)"/>
    <w:basedOn w:val="Normal"/>
    <w:uiPriority w:val="99"/>
    <w:unhideWhenUsed/>
    <w:rsid w:val="001B52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B520F"/>
    <w:rPr>
      <w:i/>
      <w:iCs/>
    </w:rPr>
  </w:style>
  <w:style w:type="paragraph" w:customStyle="1" w:styleId="EndNoteBibliographyTitle">
    <w:name w:val="EndNote Bibliography Title"/>
    <w:basedOn w:val="Normal"/>
    <w:link w:val="EndNoteBibliographyTitleChar"/>
    <w:rsid w:val="001B520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B520F"/>
    <w:rPr>
      <w:rFonts w:ascii="Calibri" w:eastAsiaTheme="minorEastAsia" w:hAnsi="Calibri"/>
      <w:noProof/>
      <w:lang w:eastAsia="zh-CN"/>
    </w:rPr>
  </w:style>
  <w:style w:type="paragraph" w:customStyle="1" w:styleId="EndNoteBibliography">
    <w:name w:val="EndNote Bibliography"/>
    <w:basedOn w:val="Normal"/>
    <w:link w:val="EndNoteBibliographyChar"/>
    <w:rsid w:val="001B520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B520F"/>
    <w:rPr>
      <w:rFonts w:ascii="Calibri" w:eastAsiaTheme="minorEastAsia" w:hAnsi="Calibri"/>
      <w:noProof/>
      <w:lang w:eastAsia="zh-CN"/>
    </w:rPr>
  </w:style>
  <w:style w:type="character" w:customStyle="1" w:styleId="rwrro4">
    <w:name w:val="rwrro4"/>
    <w:basedOn w:val="DefaultParagraphFont"/>
    <w:rsid w:val="001B520F"/>
    <w:rPr>
      <w:strike w:val="0"/>
      <w:dstrike w:val="0"/>
      <w:color w:val="408CD9"/>
      <w:u w:val="none"/>
      <w:effect w:val="none"/>
    </w:rPr>
  </w:style>
  <w:style w:type="table" w:styleId="TableGrid">
    <w:name w:val="Table Grid"/>
    <w:basedOn w:val="TableNormal"/>
    <w:uiPriority w:val="39"/>
    <w:rsid w:val="001B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B520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20F"/>
    <w:rPr>
      <w:sz w:val="16"/>
      <w:szCs w:val="16"/>
    </w:rPr>
  </w:style>
  <w:style w:type="paragraph" w:styleId="CommentText">
    <w:name w:val="annotation text"/>
    <w:basedOn w:val="Normal"/>
    <w:link w:val="CommentTextChar"/>
    <w:uiPriority w:val="99"/>
    <w:semiHidden/>
    <w:unhideWhenUsed/>
    <w:rsid w:val="001B520F"/>
    <w:pPr>
      <w:spacing w:line="240" w:lineRule="auto"/>
    </w:pPr>
    <w:rPr>
      <w:sz w:val="20"/>
      <w:szCs w:val="20"/>
    </w:rPr>
  </w:style>
  <w:style w:type="character" w:customStyle="1" w:styleId="CommentTextChar">
    <w:name w:val="Comment Text Char"/>
    <w:basedOn w:val="DefaultParagraphFont"/>
    <w:link w:val="CommentText"/>
    <w:uiPriority w:val="99"/>
    <w:semiHidden/>
    <w:rsid w:val="001B520F"/>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B520F"/>
    <w:rPr>
      <w:b/>
      <w:bCs/>
    </w:rPr>
  </w:style>
  <w:style w:type="character" w:customStyle="1" w:styleId="CommentSubjectChar">
    <w:name w:val="Comment Subject Char"/>
    <w:basedOn w:val="CommentTextChar"/>
    <w:link w:val="CommentSubject"/>
    <w:uiPriority w:val="99"/>
    <w:semiHidden/>
    <w:rsid w:val="001B520F"/>
    <w:rPr>
      <w:rFonts w:eastAsiaTheme="minorEastAsia"/>
      <w:b/>
      <w:bCs/>
      <w:sz w:val="20"/>
      <w:szCs w:val="20"/>
      <w:lang w:eastAsia="zh-CN"/>
    </w:rPr>
  </w:style>
  <w:style w:type="paragraph" w:styleId="BalloonText">
    <w:name w:val="Balloon Text"/>
    <w:basedOn w:val="Normal"/>
    <w:link w:val="BalloonTextChar"/>
    <w:uiPriority w:val="99"/>
    <w:semiHidden/>
    <w:unhideWhenUsed/>
    <w:rsid w:val="001B5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20F"/>
    <w:rPr>
      <w:rFonts w:ascii="Segoe UI" w:eastAsiaTheme="minorEastAsia" w:hAnsi="Segoe UI" w:cs="Segoe UI"/>
      <w:sz w:val="18"/>
      <w:szCs w:val="18"/>
      <w:lang w:eastAsia="zh-CN"/>
    </w:rPr>
  </w:style>
  <w:style w:type="character" w:styleId="Hyperlink">
    <w:name w:val="Hyperlink"/>
    <w:basedOn w:val="DefaultParagraphFont"/>
    <w:uiPriority w:val="99"/>
    <w:unhideWhenUsed/>
    <w:rsid w:val="001B520F"/>
    <w:rPr>
      <w:color w:val="0563C1" w:themeColor="hyperlink"/>
      <w:u w:val="single"/>
    </w:rPr>
  </w:style>
  <w:style w:type="paragraph" w:styleId="PlainText">
    <w:name w:val="Plain Text"/>
    <w:basedOn w:val="Normal"/>
    <w:link w:val="PlainTextChar"/>
    <w:uiPriority w:val="99"/>
    <w:semiHidden/>
    <w:unhideWhenUsed/>
    <w:rsid w:val="001B520F"/>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1B520F"/>
    <w:rPr>
      <w:rFonts w:ascii="Calibri" w:hAnsi="Calibri"/>
      <w:szCs w:val="21"/>
    </w:rPr>
  </w:style>
  <w:style w:type="character" w:customStyle="1" w:styleId="highlight">
    <w:name w:val="highlight"/>
    <w:basedOn w:val="DefaultParagraphFont"/>
    <w:rsid w:val="001B520F"/>
  </w:style>
  <w:style w:type="character" w:styleId="FollowedHyperlink">
    <w:name w:val="FollowedHyperlink"/>
    <w:basedOn w:val="DefaultParagraphFont"/>
    <w:uiPriority w:val="99"/>
    <w:semiHidden/>
    <w:unhideWhenUsed/>
    <w:rsid w:val="001B520F"/>
    <w:rPr>
      <w:color w:val="954F72" w:themeColor="followedHyperlink"/>
      <w:u w:val="single"/>
    </w:rPr>
  </w:style>
  <w:style w:type="paragraph" w:customStyle="1" w:styleId="Default">
    <w:name w:val="Default"/>
    <w:rsid w:val="00D678E8"/>
    <w:pPr>
      <w:autoSpaceDE w:val="0"/>
      <w:autoSpaceDN w:val="0"/>
      <w:adjustRightInd w:val="0"/>
      <w:spacing w:after="0" w:line="240" w:lineRule="auto"/>
    </w:pPr>
    <w:rPr>
      <w:rFonts w:ascii="XEMOLO+Calibri" w:hAnsi="XEMOLO+Calibri" w:cs="XEMOLO+Calibri"/>
      <w:color w:val="000000"/>
      <w:sz w:val="24"/>
      <w:szCs w:val="24"/>
    </w:rPr>
  </w:style>
  <w:style w:type="character" w:customStyle="1" w:styleId="st1">
    <w:name w:val="st1"/>
    <w:basedOn w:val="DefaultParagraphFont"/>
    <w:rsid w:val="00536206"/>
  </w:style>
  <w:style w:type="paragraph" w:styleId="HTMLPreformatted">
    <w:name w:val="HTML Preformatted"/>
    <w:basedOn w:val="Normal"/>
    <w:link w:val="HTMLPreformattedChar"/>
    <w:uiPriority w:val="99"/>
    <w:unhideWhenUsed/>
    <w:rsid w:val="006A1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A1C44"/>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4287">
      <w:bodyDiv w:val="1"/>
      <w:marLeft w:val="0"/>
      <w:marRight w:val="0"/>
      <w:marTop w:val="0"/>
      <w:marBottom w:val="0"/>
      <w:divBdr>
        <w:top w:val="none" w:sz="0" w:space="0" w:color="auto"/>
        <w:left w:val="none" w:sz="0" w:space="0" w:color="auto"/>
        <w:bottom w:val="none" w:sz="0" w:space="0" w:color="auto"/>
        <w:right w:val="none" w:sz="0" w:space="0" w:color="auto"/>
      </w:divBdr>
      <w:divsChild>
        <w:div w:id="1689914506">
          <w:marLeft w:val="0"/>
          <w:marRight w:val="1"/>
          <w:marTop w:val="0"/>
          <w:marBottom w:val="0"/>
          <w:divBdr>
            <w:top w:val="none" w:sz="0" w:space="0" w:color="auto"/>
            <w:left w:val="none" w:sz="0" w:space="0" w:color="auto"/>
            <w:bottom w:val="none" w:sz="0" w:space="0" w:color="auto"/>
            <w:right w:val="none" w:sz="0" w:space="0" w:color="auto"/>
          </w:divBdr>
          <w:divsChild>
            <w:div w:id="84113893">
              <w:marLeft w:val="0"/>
              <w:marRight w:val="0"/>
              <w:marTop w:val="0"/>
              <w:marBottom w:val="0"/>
              <w:divBdr>
                <w:top w:val="none" w:sz="0" w:space="0" w:color="auto"/>
                <w:left w:val="none" w:sz="0" w:space="0" w:color="auto"/>
                <w:bottom w:val="none" w:sz="0" w:space="0" w:color="auto"/>
                <w:right w:val="none" w:sz="0" w:space="0" w:color="auto"/>
              </w:divBdr>
              <w:divsChild>
                <w:div w:id="2125885441">
                  <w:marLeft w:val="0"/>
                  <w:marRight w:val="1"/>
                  <w:marTop w:val="0"/>
                  <w:marBottom w:val="0"/>
                  <w:divBdr>
                    <w:top w:val="none" w:sz="0" w:space="0" w:color="auto"/>
                    <w:left w:val="none" w:sz="0" w:space="0" w:color="auto"/>
                    <w:bottom w:val="none" w:sz="0" w:space="0" w:color="auto"/>
                    <w:right w:val="none" w:sz="0" w:space="0" w:color="auto"/>
                  </w:divBdr>
                  <w:divsChild>
                    <w:div w:id="1616250250">
                      <w:marLeft w:val="0"/>
                      <w:marRight w:val="0"/>
                      <w:marTop w:val="0"/>
                      <w:marBottom w:val="0"/>
                      <w:divBdr>
                        <w:top w:val="none" w:sz="0" w:space="0" w:color="auto"/>
                        <w:left w:val="none" w:sz="0" w:space="0" w:color="auto"/>
                        <w:bottom w:val="none" w:sz="0" w:space="0" w:color="auto"/>
                        <w:right w:val="none" w:sz="0" w:space="0" w:color="auto"/>
                      </w:divBdr>
                      <w:divsChild>
                        <w:div w:id="1880776736">
                          <w:marLeft w:val="0"/>
                          <w:marRight w:val="0"/>
                          <w:marTop w:val="0"/>
                          <w:marBottom w:val="0"/>
                          <w:divBdr>
                            <w:top w:val="none" w:sz="0" w:space="0" w:color="auto"/>
                            <w:left w:val="none" w:sz="0" w:space="0" w:color="auto"/>
                            <w:bottom w:val="none" w:sz="0" w:space="0" w:color="auto"/>
                            <w:right w:val="none" w:sz="0" w:space="0" w:color="auto"/>
                          </w:divBdr>
                          <w:divsChild>
                            <w:div w:id="601298571">
                              <w:marLeft w:val="0"/>
                              <w:marRight w:val="0"/>
                              <w:marTop w:val="120"/>
                              <w:marBottom w:val="360"/>
                              <w:divBdr>
                                <w:top w:val="none" w:sz="0" w:space="0" w:color="auto"/>
                                <w:left w:val="none" w:sz="0" w:space="0" w:color="auto"/>
                                <w:bottom w:val="none" w:sz="0" w:space="0" w:color="auto"/>
                                <w:right w:val="none" w:sz="0" w:space="0" w:color="auto"/>
                              </w:divBdr>
                              <w:divsChild>
                                <w:div w:id="17027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006274">
      <w:bodyDiv w:val="1"/>
      <w:marLeft w:val="0"/>
      <w:marRight w:val="0"/>
      <w:marTop w:val="0"/>
      <w:marBottom w:val="0"/>
      <w:divBdr>
        <w:top w:val="none" w:sz="0" w:space="0" w:color="auto"/>
        <w:left w:val="none" w:sz="0" w:space="0" w:color="auto"/>
        <w:bottom w:val="none" w:sz="0" w:space="0" w:color="auto"/>
        <w:right w:val="none" w:sz="0" w:space="0" w:color="auto"/>
      </w:divBdr>
      <w:divsChild>
        <w:div w:id="1024402382">
          <w:marLeft w:val="0"/>
          <w:marRight w:val="0"/>
          <w:marTop w:val="0"/>
          <w:marBottom w:val="0"/>
          <w:divBdr>
            <w:top w:val="none" w:sz="0" w:space="0" w:color="auto"/>
            <w:left w:val="none" w:sz="0" w:space="0" w:color="auto"/>
            <w:bottom w:val="none" w:sz="0" w:space="0" w:color="auto"/>
            <w:right w:val="none" w:sz="0" w:space="0" w:color="auto"/>
          </w:divBdr>
          <w:divsChild>
            <w:div w:id="1345480583">
              <w:marLeft w:val="0"/>
              <w:marRight w:val="0"/>
              <w:marTop w:val="0"/>
              <w:marBottom w:val="0"/>
              <w:divBdr>
                <w:top w:val="none" w:sz="0" w:space="0" w:color="auto"/>
                <w:left w:val="none" w:sz="0" w:space="0" w:color="auto"/>
                <w:bottom w:val="none" w:sz="0" w:space="0" w:color="auto"/>
                <w:right w:val="none" w:sz="0" w:space="0" w:color="auto"/>
              </w:divBdr>
              <w:divsChild>
                <w:div w:id="972826232">
                  <w:marLeft w:val="0"/>
                  <w:marRight w:val="0"/>
                  <w:marTop w:val="0"/>
                  <w:marBottom w:val="0"/>
                  <w:divBdr>
                    <w:top w:val="none" w:sz="0" w:space="0" w:color="auto"/>
                    <w:left w:val="none" w:sz="0" w:space="0" w:color="auto"/>
                    <w:bottom w:val="none" w:sz="0" w:space="0" w:color="auto"/>
                    <w:right w:val="none" w:sz="0" w:space="0" w:color="auto"/>
                  </w:divBdr>
                  <w:divsChild>
                    <w:div w:id="534730673">
                      <w:marLeft w:val="0"/>
                      <w:marRight w:val="0"/>
                      <w:marTop w:val="0"/>
                      <w:marBottom w:val="0"/>
                      <w:divBdr>
                        <w:top w:val="none" w:sz="0" w:space="0" w:color="auto"/>
                        <w:left w:val="none" w:sz="0" w:space="0" w:color="auto"/>
                        <w:bottom w:val="none" w:sz="0" w:space="0" w:color="auto"/>
                        <w:right w:val="none" w:sz="0" w:space="0" w:color="auto"/>
                      </w:divBdr>
                      <w:divsChild>
                        <w:div w:id="2031374753">
                          <w:marLeft w:val="0"/>
                          <w:marRight w:val="0"/>
                          <w:marTop w:val="0"/>
                          <w:marBottom w:val="0"/>
                          <w:divBdr>
                            <w:top w:val="none" w:sz="0" w:space="0" w:color="auto"/>
                            <w:left w:val="none" w:sz="0" w:space="0" w:color="auto"/>
                            <w:bottom w:val="none" w:sz="0" w:space="0" w:color="auto"/>
                            <w:right w:val="none" w:sz="0" w:space="0" w:color="auto"/>
                          </w:divBdr>
                          <w:divsChild>
                            <w:div w:id="1105345453">
                              <w:marLeft w:val="0"/>
                              <w:marRight w:val="0"/>
                              <w:marTop w:val="0"/>
                              <w:marBottom w:val="0"/>
                              <w:divBdr>
                                <w:top w:val="none" w:sz="0" w:space="0" w:color="auto"/>
                                <w:left w:val="none" w:sz="0" w:space="0" w:color="auto"/>
                                <w:bottom w:val="none" w:sz="0" w:space="0" w:color="auto"/>
                                <w:right w:val="none" w:sz="0" w:space="0" w:color="auto"/>
                              </w:divBdr>
                              <w:divsChild>
                                <w:div w:id="453907909">
                                  <w:marLeft w:val="0"/>
                                  <w:marRight w:val="0"/>
                                  <w:marTop w:val="0"/>
                                  <w:marBottom w:val="0"/>
                                  <w:divBdr>
                                    <w:top w:val="none" w:sz="0" w:space="0" w:color="auto"/>
                                    <w:left w:val="none" w:sz="0" w:space="0" w:color="auto"/>
                                    <w:bottom w:val="none" w:sz="0" w:space="0" w:color="auto"/>
                                    <w:right w:val="none" w:sz="0" w:space="0" w:color="auto"/>
                                  </w:divBdr>
                                  <w:divsChild>
                                    <w:div w:id="1822186840">
                                      <w:marLeft w:val="0"/>
                                      <w:marRight w:val="0"/>
                                      <w:marTop w:val="0"/>
                                      <w:marBottom w:val="0"/>
                                      <w:divBdr>
                                        <w:top w:val="none" w:sz="0" w:space="0" w:color="auto"/>
                                        <w:left w:val="none" w:sz="0" w:space="0" w:color="auto"/>
                                        <w:bottom w:val="none" w:sz="0" w:space="0" w:color="auto"/>
                                        <w:right w:val="none" w:sz="0" w:space="0" w:color="auto"/>
                                      </w:divBdr>
                                      <w:divsChild>
                                        <w:div w:id="1129668944">
                                          <w:marLeft w:val="0"/>
                                          <w:marRight w:val="0"/>
                                          <w:marTop w:val="0"/>
                                          <w:marBottom w:val="0"/>
                                          <w:divBdr>
                                            <w:top w:val="none" w:sz="0" w:space="0" w:color="auto"/>
                                            <w:left w:val="none" w:sz="0" w:space="0" w:color="auto"/>
                                            <w:bottom w:val="none" w:sz="0" w:space="0" w:color="auto"/>
                                            <w:right w:val="none" w:sz="0" w:space="0" w:color="auto"/>
                                          </w:divBdr>
                                          <w:divsChild>
                                            <w:div w:id="203102478">
                                              <w:marLeft w:val="0"/>
                                              <w:marRight w:val="0"/>
                                              <w:marTop w:val="0"/>
                                              <w:marBottom w:val="0"/>
                                              <w:divBdr>
                                                <w:top w:val="none" w:sz="0" w:space="0" w:color="auto"/>
                                                <w:left w:val="none" w:sz="0" w:space="0" w:color="auto"/>
                                                <w:bottom w:val="none" w:sz="0" w:space="0" w:color="auto"/>
                                                <w:right w:val="none" w:sz="0" w:space="0" w:color="auto"/>
                                              </w:divBdr>
                                              <w:divsChild>
                                                <w:div w:id="382992568">
                                                  <w:marLeft w:val="0"/>
                                                  <w:marRight w:val="0"/>
                                                  <w:marTop w:val="0"/>
                                                  <w:marBottom w:val="0"/>
                                                  <w:divBdr>
                                                    <w:top w:val="none" w:sz="0" w:space="0" w:color="auto"/>
                                                    <w:left w:val="none" w:sz="0" w:space="0" w:color="auto"/>
                                                    <w:bottom w:val="none" w:sz="0" w:space="0" w:color="auto"/>
                                                    <w:right w:val="none" w:sz="0" w:space="0" w:color="auto"/>
                                                  </w:divBdr>
                                                  <w:divsChild>
                                                    <w:div w:id="1584486106">
                                                      <w:marLeft w:val="0"/>
                                                      <w:marRight w:val="0"/>
                                                      <w:marTop w:val="0"/>
                                                      <w:marBottom w:val="0"/>
                                                      <w:divBdr>
                                                        <w:top w:val="none" w:sz="0" w:space="0" w:color="auto"/>
                                                        <w:left w:val="none" w:sz="0" w:space="0" w:color="auto"/>
                                                        <w:bottom w:val="none" w:sz="0" w:space="0" w:color="auto"/>
                                                        <w:right w:val="none" w:sz="0" w:space="0" w:color="auto"/>
                                                      </w:divBdr>
                                                      <w:divsChild>
                                                        <w:div w:id="1319075431">
                                                          <w:marLeft w:val="0"/>
                                                          <w:marRight w:val="0"/>
                                                          <w:marTop w:val="0"/>
                                                          <w:marBottom w:val="0"/>
                                                          <w:divBdr>
                                                            <w:top w:val="none" w:sz="0" w:space="0" w:color="auto"/>
                                                            <w:left w:val="none" w:sz="0" w:space="0" w:color="auto"/>
                                                            <w:bottom w:val="none" w:sz="0" w:space="0" w:color="auto"/>
                                                            <w:right w:val="none" w:sz="0" w:space="0" w:color="auto"/>
                                                          </w:divBdr>
                                                          <w:divsChild>
                                                            <w:div w:id="1132790823">
                                                              <w:marLeft w:val="0"/>
                                                              <w:marRight w:val="0"/>
                                                              <w:marTop w:val="0"/>
                                                              <w:marBottom w:val="0"/>
                                                              <w:divBdr>
                                                                <w:top w:val="none" w:sz="0" w:space="0" w:color="auto"/>
                                                                <w:left w:val="none" w:sz="0" w:space="0" w:color="auto"/>
                                                                <w:bottom w:val="none" w:sz="0" w:space="0" w:color="auto"/>
                                                                <w:right w:val="none" w:sz="0" w:space="0" w:color="auto"/>
                                                              </w:divBdr>
                                                              <w:divsChild>
                                                                <w:div w:id="430397968">
                                                                  <w:marLeft w:val="0"/>
                                                                  <w:marRight w:val="0"/>
                                                                  <w:marTop w:val="0"/>
                                                                  <w:marBottom w:val="0"/>
                                                                  <w:divBdr>
                                                                    <w:top w:val="none" w:sz="0" w:space="0" w:color="auto"/>
                                                                    <w:left w:val="none" w:sz="0" w:space="0" w:color="auto"/>
                                                                    <w:bottom w:val="none" w:sz="0" w:space="0" w:color="auto"/>
                                                                    <w:right w:val="none" w:sz="0" w:space="0" w:color="auto"/>
                                                                  </w:divBdr>
                                                                  <w:divsChild>
                                                                    <w:div w:id="340157104">
                                                                      <w:marLeft w:val="0"/>
                                                                      <w:marRight w:val="0"/>
                                                                      <w:marTop w:val="0"/>
                                                                      <w:marBottom w:val="0"/>
                                                                      <w:divBdr>
                                                                        <w:top w:val="none" w:sz="0" w:space="0" w:color="auto"/>
                                                                        <w:left w:val="none" w:sz="0" w:space="0" w:color="auto"/>
                                                                        <w:bottom w:val="none" w:sz="0" w:space="0" w:color="auto"/>
                                                                        <w:right w:val="none" w:sz="0" w:space="0" w:color="auto"/>
                                                                      </w:divBdr>
                                                                      <w:divsChild>
                                                                        <w:div w:id="624504749">
                                                                          <w:marLeft w:val="0"/>
                                                                          <w:marRight w:val="0"/>
                                                                          <w:marTop w:val="0"/>
                                                                          <w:marBottom w:val="0"/>
                                                                          <w:divBdr>
                                                                            <w:top w:val="none" w:sz="0" w:space="0" w:color="auto"/>
                                                                            <w:left w:val="none" w:sz="0" w:space="0" w:color="auto"/>
                                                                            <w:bottom w:val="none" w:sz="0" w:space="0" w:color="auto"/>
                                                                            <w:right w:val="none" w:sz="0" w:space="0" w:color="auto"/>
                                                                          </w:divBdr>
                                                                          <w:divsChild>
                                                                            <w:div w:id="1061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555692">
      <w:bodyDiv w:val="1"/>
      <w:marLeft w:val="0"/>
      <w:marRight w:val="0"/>
      <w:marTop w:val="0"/>
      <w:marBottom w:val="0"/>
      <w:divBdr>
        <w:top w:val="none" w:sz="0" w:space="0" w:color="auto"/>
        <w:left w:val="none" w:sz="0" w:space="0" w:color="auto"/>
        <w:bottom w:val="none" w:sz="0" w:space="0" w:color="auto"/>
        <w:right w:val="none" w:sz="0" w:space="0" w:color="auto"/>
      </w:divBdr>
      <w:divsChild>
        <w:div w:id="343939453">
          <w:marLeft w:val="0"/>
          <w:marRight w:val="1"/>
          <w:marTop w:val="0"/>
          <w:marBottom w:val="0"/>
          <w:divBdr>
            <w:top w:val="none" w:sz="0" w:space="0" w:color="auto"/>
            <w:left w:val="none" w:sz="0" w:space="0" w:color="auto"/>
            <w:bottom w:val="none" w:sz="0" w:space="0" w:color="auto"/>
            <w:right w:val="none" w:sz="0" w:space="0" w:color="auto"/>
          </w:divBdr>
          <w:divsChild>
            <w:div w:id="465391512">
              <w:marLeft w:val="0"/>
              <w:marRight w:val="0"/>
              <w:marTop w:val="0"/>
              <w:marBottom w:val="0"/>
              <w:divBdr>
                <w:top w:val="none" w:sz="0" w:space="0" w:color="auto"/>
                <w:left w:val="none" w:sz="0" w:space="0" w:color="auto"/>
                <w:bottom w:val="none" w:sz="0" w:space="0" w:color="auto"/>
                <w:right w:val="none" w:sz="0" w:space="0" w:color="auto"/>
              </w:divBdr>
              <w:divsChild>
                <w:div w:id="728110776">
                  <w:marLeft w:val="0"/>
                  <w:marRight w:val="1"/>
                  <w:marTop w:val="0"/>
                  <w:marBottom w:val="0"/>
                  <w:divBdr>
                    <w:top w:val="none" w:sz="0" w:space="0" w:color="auto"/>
                    <w:left w:val="none" w:sz="0" w:space="0" w:color="auto"/>
                    <w:bottom w:val="none" w:sz="0" w:space="0" w:color="auto"/>
                    <w:right w:val="none" w:sz="0" w:space="0" w:color="auto"/>
                  </w:divBdr>
                  <w:divsChild>
                    <w:div w:id="1812288335">
                      <w:marLeft w:val="0"/>
                      <w:marRight w:val="0"/>
                      <w:marTop w:val="0"/>
                      <w:marBottom w:val="0"/>
                      <w:divBdr>
                        <w:top w:val="none" w:sz="0" w:space="0" w:color="auto"/>
                        <w:left w:val="none" w:sz="0" w:space="0" w:color="auto"/>
                        <w:bottom w:val="none" w:sz="0" w:space="0" w:color="auto"/>
                        <w:right w:val="none" w:sz="0" w:space="0" w:color="auto"/>
                      </w:divBdr>
                      <w:divsChild>
                        <w:div w:id="14233779">
                          <w:marLeft w:val="0"/>
                          <w:marRight w:val="0"/>
                          <w:marTop w:val="0"/>
                          <w:marBottom w:val="0"/>
                          <w:divBdr>
                            <w:top w:val="none" w:sz="0" w:space="0" w:color="auto"/>
                            <w:left w:val="none" w:sz="0" w:space="0" w:color="auto"/>
                            <w:bottom w:val="none" w:sz="0" w:space="0" w:color="auto"/>
                            <w:right w:val="none" w:sz="0" w:space="0" w:color="auto"/>
                          </w:divBdr>
                          <w:divsChild>
                            <w:div w:id="430206003">
                              <w:marLeft w:val="0"/>
                              <w:marRight w:val="0"/>
                              <w:marTop w:val="120"/>
                              <w:marBottom w:val="360"/>
                              <w:divBdr>
                                <w:top w:val="none" w:sz="0" w:space="0" w:color="auto"/>
                                <w:left w:val="none" w:sz="0" w:space="0" w:color="auto"/>
                                <w:bottom w:val="none" w:sz="0" w:space="0" w:color="auto"/>
                                <w:right w:val="none" w:sz="0" w:space="0" w:color="auto"/>
                              </w:divBdr>
                              <w:divsChild>
                                <w:div w:id="8462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James%20RD%5BAuthor%5D&amp;cauthor=true&amp;cauthor_uid=23578724" TargetMode="External"/><Relationship Id="rId18" Type="http://schemas.openxmlformats.org/officeDocument/2006/relationships/hyperlink" Target="https://www.ncbi.nlm.nih.gov/pubmed/?term=Eschwege%20F%5BAuthor%5D&amp;cauthor=true&amp;cauthor_uid=9164216" TargetMode="External"/><Relationship Id="rId26" Type="http://schemas.openxmlformats.org/officeDocument/2006/relationships/hyperlink" Target="https://www.ncbi.nlm.nih.gov/pubmed/?term=Wang%20X%5BAuthor%5D&amp;cauthor=true&amp;cauthor_uid=19399614" TargetMode="External"/><Relationship Id="rId39" Type="http://schemas.openxmlformats.org/officeDocument/2006/relationships/hyperlink" Target="https://www.ncbi.nlm.nih.gov/pubmed/?term=Allal%20AS%5BAuthor%5D&amp;cauthor=true&amp;cauthor_uid=10408404" TargetMode="External"/><Relationship Id="rId21" Type="http://schemas.openxmlformats.org/officeDocument/2006/relationships/hyperlink" Target="https://www.ncbi.nlm.nih.gov/pubmed/?term=Gunderson%20LL%5BAuthor%5D&amp;cauthor=true&amp;cauthor_uid=18430910" TargetMode="External"/><Relationship Id="rId34" Type="http://schemas.openxmlformats.org/officeDocument/2006/relationships/hyperlink" Target="https://www.ncbi.nlm.nih.gov/pubmed/?term=Peiffert%20D%5BAuthor%5D&amp;cauthor=true&amp;cauthor_uid=18191265" TargetMode="External"/><Relationship Id="rId42" Type="http://schemas.openxmlformats.org/officeDocument/2006/relationships/hyperlink" Target="https://www.ncbi.nlm.nih.gov/pubmed/?term=Reymond%20MA%5BAuthor%5D&amp;cauthor=true&amp;cauthor_uid=10408404" TargetMode="External"/><Relationship Id="rId47" Type="http://schemas.openxmlformats.org/officeDocument/2006/relationships/hyperlink" Target="https://www.ncbi.nlm.nih.gov/pubmed/?term=Mai%20SK%5BAuthor%5D&amp;cauthor=true&amp;cauthor_uid=21347639" TargetMode="External"/><Relationship Id="rId50" Type="http://schemas.openxmlformats.org/officeDocument/2006/relationships/hyperlink" Target="https://www.ncbi.nlm.nih.gov/pubmed/?term=Wedlake%20L%5BAuthor%5D&amp;cauthor=true&amp;cauthor_uid=27156162" TargetMode="External"/><Relationship Id="rId55" Type="http://schemas.openxmlformats.org/officeDocument/2006/relationships/hyperlink" Target="https://www.ncbi.nlm.nih.gov/pubmed/?term=Lindsay%20P%5BAuthor%5D&amp;cauthor=true&amp;cauthor_uid=25194664" TargetMode="External"/><Relationship Id="rId63" Type="http://schemas.openxmlformats.org/officeDocument/2006/relationships/hyperlink" Target="https://www.ncbi.nlm.nih.gov/pubmed/?term=Hong%20TS%5BAuthor%5D&amp;cauthor=true&amp;cauthor_uid=28740921" TargetMode="External"/><Relationship Id="rId68" Type="http://schemas.openxmlformats.org/officeDocument/2006/relationships/fontTable" Target="fontTable.xml"/><Relationship Id="rId7" Type="http://schemas.openxmlformats.org/officeDocument/2006/relationships/hyperlink" Target="https://www.ncbi.nlm.nih.gov/pubmed/?term=Jemal%20A%5BAuthor%5D&amp;cauthor=true&amp;cauthor_uid=28376154" TargetMode="External"/><Relationship Id="rId2" Type="http://schemas.openxmlformats.org/officeDocument/2006/relationships/numbering" Target="numbering.xml"/><Relationship Id="rId16" Type="http://schemas.openxmlformats.org/officeDocument/2006/relationships/hyperlink" Target="https://www.ncbi.nlm.nih.gov/pubmed/?term=Bartelink%20H%5BAuthor%5D&amp;cauthor=true&amp;cauthor_uid=9164216" TargetMode="External"/><Relationship Id="rId29" Type="http://schemas.openxmlformats.org/officeDocument/2006/relationships/hyperlink" Target="https://www.ncbi.nlm.nih.gov/pubmed/?term=Sauer%20T%5BAuthor%5D&amp;cauthor=true&amp;cauthor_uid=23636349" TargetMode="External"/><Relationship Id="rId1" Type="http://schemas.openxmlformats.org/officeDocument/2006/relationships/customXml" Target="../customXml/item1.xml"/><Relationship Id="rId6" Type="http://schemas.openxmlformats.org/officeDocument/2006/relationships/hyperlink" Target="http://groups.eortc.be/qol/" TargetMode="External"/><Relationship Id="rId11" Type="http://schemas.openxmlformats.org/officeDocument/2006/relationships/hyperlink" Target="https://www.ncbi.nlm.nih.gov/pubmed/?term=Nilsson%20PJ%5BAuthor%5D&amp;cauthor=true&amp;cauthor_uid=25239441" TargetMode="External"/><Relationship Id="rId24" Type="http://schemas.openxmlformats.org/officeDocument/2006/relationships/hyperlink" Target="https://www.ncbi.nlm.nih.gov/pubmed/?term=Meadows%20HM%5BAuthor%5D&amp;cauthor=true&amp;cauthor_uid=28209296" TargetMode="External"/><Relationship Id="rId32" Type="http://schemas.openxmlformats.org/officeDocument/2006/relationships/hyperlink" Target="https://www.ncbi.nlm.nih.gov/pubmed/?term=Oehler%20C%5BAuthor%5D&amp;cauthor=true&amp;cauthor_uid=20492729" TargetMode="External"/><Relationship Id="rId37" Type="http://schemas.openxmlformats.org/officeDocument/2006/relationships/hyperlink" Target="https://www.ncbi.nlm.nih.gov/pubmed/?term=Balteskard%20L%5BAuthor%5D&amp;cauthor=true&amp;cauthor_uid=23438358" TargetMode="External"/><Relationship Id="rId40" Type="http://schemas.openxmlformats.org/officeDocument/2006/relationships/hyperlink" Target="https://www.ncbi.nlm.nih.gov/pubmed/?term=Sprangers%20MA%5BAuthor%5D&amp;cauthor=true&amp;cauthor_uid=10408404" TargetMode="External"/><Relationship Id="rId45" Type="http://schemas.openxmlformats.org/officeDocument/2006/relationships/hyperlink" Target="https://www.ncbi.nlm.nih.gov/pubmed/?term=H%C3%A4gele%20V%5BAuthor%5D&amp;cauthor=true&amp;cauthor_uid=21347639" TargetMode="External"/><Relationship Id="rId53" Type="http://schemas.openxmlformats.org/officeDocument/2006/relationships/hyperlink" Target="https://www.ncbi.nlm.nih.gov/pubmed/?term=Han%20K%5BAuthor%5D&amp;cauthor=true&amp;cauthor_uid=25194664" TargetMode="External"/><Relationship Id="rId58" Type="http://schemas.openxmlformats.org/officeDocument/2006/relationships/hyperlink" Target="https://www.ncbi.nlm.nih.gov/pubmed/?term=Warkentin%20H%5BAuthor%5D&amp;cauthor=true&amp;cauthor_uid=27406441" TargetMode="External"/><Relationship Id="rId66" Type="http://schemas.openxmlformats.org/officeDocument/2006/relationships/hyperlink" Target="https://www.ncbi.nlm.nih.gov/pubmed/?term=Morris%20EJ%5BAuthor%5D&amp;cauthor=true&amp;cauthor_uid=25559806" TargetMode="External"/><Relationship Id="rId5" Type="http://schemas.openxmlformats.org/officeDocument/2006/relationships/webSettings" Target="webSettings.xml"/><Relationship Id="rId15" Type="http://schemas.openxmlformats.org/officeDocument/2006/relationships/hyperlink" Target="https://www.ncbi.nlm.nih.gov/pubmed/?term=Meadows%20HM%5BAuthor%5D&amp;cauthor=true&amp;cauthor_uid=23578724" TargetMode="External"/><Relationship Id="rId23" Type="http://schemas.openxmlformats.org/officeDocument/2006/relationships/hyperlink" Target="https://www.ncbi.nlm.nih.gov/pubmed/?term=Sebag-Montefiore%20D%5BAuthor%5D&amp;cauthor=true&amp;cauthor_uid=28209296" TargetMode="External"/><Relationship Id="rId28" Type="http://schemas.openxmlformats.org/officeDocument/2006/relationships/hyperlink" Target="https://www.ncbi.nlm.nih.gov/pubmed/?term=Fakhrian%20K%5BAuthor%5D&amp;cauthor=true&amp;cauthor_uid=23636349" TargetMode="External"/><Relationship Id="rId36" Type="http://schemas.openxmlformats.org/officeDocument/2006/relationships/hyperlink" Target="https://www.ncbi.nlm.nih.gov/pubmed/?term=Bentzen%20AG%5BAuthor%5D&amp;cauthor=true&amp;cauthor_uid=23438358" TargetMode="External"/><Relationship Id="rId49" Type="http://schemas.openxmlformats.org/officeDocument/2006/relationships/hyperlink" Target="https://www.ncbi.nlm.nih.gov/pubmed/?term=Thomas%20K%5BAuthor%5D&amp;cauthor=true&amp;cauthor_uid=27156162" TargetMode="External"/><Relationship Id="rId57" Type="http://schemas.openxmlformats.org/officeDocument/2006/relationships/hyperlink" Target="https://www.ncbi.nlm.nih.gov/pubmed/?term=Vos%20LJ%5BAuthor%5D&amp;cauthor=true&amp;cauthor_uid=27406441" TargetMode="External"/><Relationship Id="rId61" Type="http://schemas.openxmlformats.org/officeDocument/2006/relationships/hyperlink" Target="https://www.ncbi.nlm.nih.gov/pubmed/?term=Myerson%20RJ%5BAuthor%5D&amp;cauthor=true&amp;cauthor_uid=23154075" TargetMode="External"/><Relationship Id="rId10" Type="http://schemas.openxmlformats.org/officeDocument/2006/relationships/hyperlink" Target="https://www.ncbi.nlm.nih.gov/pubmed/?term=Glynne-Jones%20R%5BAuthor%5D&amp;cauthor=true&amp;cauthor_uid=25239441" TargetMode="External"/><Relationship Id="rId19" Type="http://schemas.openxmlformats.org/officeDocument/2006/relationships/hyperlink" Target="https://www.ncbi.nlm.nih.gov/pubmed/?term=Ajani%20JA%5BAuthor%5D&amp;cauthor=true&amp;cauthor_uid=18430910" TargetMode="External"/><Relationship Id="rId31" Type="http://schemas.openxmlformats.org/officeDocument/2006/relationships/hyperlink" Target="https://www.ncbi.nlm.nih.gov/pubmed/23636349" TargetMode="External"/><Relationship Id="rId44" Type="http://schemas.openxmlformats.org/officeDocument/2006/relationships/hyperlink" Target="https://www.ncbi.nlm.nih.gov/pubmed/?term=Welzel%20G%5BAuthor%5D&amp;cauthor=true&amp;cauthor_uid=21347639" TargetMode="External"/><Relationship Id="rId52" Type="http://schemas.openxmlformats.org/officeDocument/2006/relationships/hyperlink" Target="https://www.ncbi.nlm.nih.gov/pubmed/27156162" TargetMode="External"/><Relationship Id="rId60" Type="http://schemas.openxmlformats.org/officeDocument/2006/relationships/hyperlink" Target="https://www.ncbi.nlm.nih.gov/pubmed/?term=Winter%20K%5BAuthor%5D&amp;cauthor=true&amp;cauthor_uid=23154075" TargetMode="External"/><Relationship Id="rId65" Type="http://schemas.openxmlformats.org/officeDocument/2006/relationships/hyperlink" Target="https://www.ncbi.nlm.nih.gov/pubmed/?term=Downing%20A%5BAuthor%5D&amp;cauthor=true&amp;cauthor_uid=25559806" TargetMode="External"/><Relationship Id="rId4" Type="http://schemas.openxmlformats.org/officeDocument/2006/relationships/settings" Target="settings.xml"/><Relationship Id="rId9" Type="http://schemas.openxmlformats.org/officeDocument/2006/relationships/hyperlink" Target="https://www.ncbi.nlm.nih.gov/pubmed/?term=Johnson%20CJ%5BAuthor%5D&amp;cauthor=true&amp;cauthor_uid=28376154" TargetMode="External"/><Relationship Id="rId14" Type="http://schemas.openxmlformats.org/officeDocument/2006/relationships/hyperlink" Target="https://www.ncbi.nlm.nih.gov/pubmed/?term=Glynne-Jones%20R%5BAuthor%5D&amp;cauthor=true&amp;cauthor_uid=23578724" TargetMode="External"/><Relationship Id="rId22" Type="http://schemas.openxmlformats.org/officeDocument/2006/relationships/hyperlink" Target="https://www.ncbi.nlm.nih.gov/pubmed/?term=Glynne-Jones%20R%5BAuthor%5D&amp;cauthor=true&amp;cauthor_uid=28209296" TargetMode="External"/><Relationship Id="rId27" Type="http://schemas.openxmlformats.org/officeDocument/2006/relationships/hyperlink" Target="https://www.ncbi.nlm.nih.gov/pubmed/?term=Izzo%20JG%5BAuthor%5D&amp;cauthor=true&amp;cauthor_uid=19399614" TargetMode="External"/><Relationship Id="rId30" Type="http://schemas.openxmlformats.org/officeDocument/2006/relationships/hyperlink" Target="https://www.ncbi.nlm.nih.gov/pubmed/?term=Dinkel%20A%5BAuthor%5D&amp;cauthor=true&amp;cauthor_uid=23636349" TargetMode="External"/><Relationship Id="rId35" Type="http://schemas.openxmlformats.org/officeDocument/2006/relationships/hyperlink" Target="https://www.ncbi.nlm.nih.gov/pubmed/23636349" TargetMode="External"/><Relationship Id="rId43" Type="http://schemas.openxmlformats.org/officeDocument/2006/relationships/hyperlink" Target="https://www.ncbi.nlm.nih.gov/pubmed/?term=Kurtz%20JM%5BAuthor%5D&amp;cauthor=true&amp;cauthor_uid=10408404" TargetMode="External"/><Relationship Id="rId48" Type="http://schemas.openxmlformats.org/officeDocument/2006/relationships/hyperlink" Target="https://www.ncbi.nlm.nih.gov/pubmed/?term=De%20Francesco%20I%5BAuthor%5D&amp;cauthor=true&amp;cauthor_uid=27156162" TargetMode="External"/><Relationship Id="rId56" Type="http://schemas.openxmlformats.org/officeDocument/2006/relationships/hyperlink" Target="https://www.ncbi.nlm.nih.gov/pubmed/?term=Joseph%20K%5BAuthor%5D&amp;cauthor=true&amp;cauthor_uid=27406441" TargetMode="External"/><Relationship Id="rId64" Type="http://schemas.openxmlformats.org/officeDocument/2006/relationships/hyperlink" Target="https://www.ncbi.nlm.nih.gov/pubmed/?term=Horick%20N%5BAuthor%5D&amp;cauthor=true&amp;cauthor_uid=28740921" TargetMode="External"/><Relationship Id="rId69" Type="http://schemas.openxmlformats.org/officeDocument/2006/relationships/theme" Target="theme/theme1.xml"/><Relationship Id="rId8" Type="http://schemas.openxmlformats.org/officeDocument/2006/relationships/hyperlink" Target="https://www.ncbi.nlm.nih.gov/pubmed/?term=Ward%20EM%5BAuthor%5D&amp;cauthor=true&amp;cauthor_uid=28376154" TargetMode="External"/><Relationship Id="rId51" Type="http://schemas.openxmlformats.org/officeDocument/2006/relationships/hyperlink" Target="https://www.ncbi.nlm.nih.gov/pubmed/?term=Tait%20D%5BAuthor%5D&amp;cauthor=true&amp;cauthor_uid=27156162" TargetMode="External"/><Relationship Id="rId3" Type="http://schemas.openxmlformats.org/officeDocument/2006/relationships/styles" Target="styles.xml"/><Relationship Id="rId12" Type="http://schemas.openxmlformats.org/officeDocument/2006/relationships/hyperlink" Target="https://www.ncbi.nlm.nih.gov/pubmed/?term=Aschele%20C%5BAuthor%5D&amp;cauthor=true&amp;cauthor_uid=25239441" TargetMode="External"/><Relationship Id="rId17" Type="http://schemas.openxmlformats.org/officeDocument/2006/relationships/hyperlink" Target="https://www.ncbi.nlm.nih.gov/pubmed/?term=Roelofsen%20F%5BAuthor%5D&amp;cauthor=true&amp;cauthor_uid=9164216" TargetMode="External"/><Relationship Id="rId25" Type="http://schemas.openxmlformats.org/officeDocument/2006/relationships/hyperlink" Target="https://www.ncbi.nlm.nih.gov/pubmed/?term=Ajani%20JA%5BAuthor%5D&amp;cauthor=true&amp;cauthor_uid=19399614" TargetMode="External"/><Relationship Id="rId33" Type="http://schemas.openxmlformats.org/officeDocument/2006/relationships/hyperlink" Target="https://www.ncbi.nlm.nih.gov/pubmed/?term=Mercier%20M%5BAuthor%5D&amp;cauthor=true&amp;cauthor_uid=18191265" TargetMode="External"/><Relationship Id="rId38" Type="http://schemas.openxmlformats.org/officeDocument/2006/relationships/hyperlink" Target="https://www.ncbi.nlm.nih.gov/pubmed/?term=Wander%C3%A5s%20EH%5BAuthor%5D&amp;cauthor=true&amp;cauthor_uid=23438358" TargetMode="External"/><Relationship Id="rId46" Type="http://schemas.openxmlformats.org/officeDocument/2006/relationships/hyperlink" Target="https://www.ncbi.nlm.nih.gov/pubmed/?term=Wenz%20F%5BAuthor%5D&amp;cauthor=true&amp;cauthor_uid=21347639" TargetMode="External"/><Relationship Id="rId59" Type="http://schemas.openxmlformats.org/officeDocument/2006/relationships/hyperlink" Target="https://www.ncbi.nlm.nih.gov/pubmed/?term=Kachnic%20LA%5BAuthor%5D&amp;cauthor=true&amp;cauthor_uid=23154075" TargetMode="External"/><Relationship Id="rId67" Type="http://schemas.openxmlformats.org/officeDocument/2006/relationships/hyperlink" Target="https://www.ncbi.nlm.nih.gov/pubmed/23154075" TargetMode="External"/><Relationship Id="rId20" Type="http://schemas.openxmlformats.org/officeDocument/2006/relationships/hyperlink" Target="https://www.ncbi.nlm.nih.gov/pubmed/?term=Winter%20KA%5BAuthor%5D&amp;cauthor=true&amp;cauthor_uid=18430910" TargetMode="External"/><Relationship Id="rId41" Type="http://schemas.openxmlformats.org/officeDocument/2006/relationships/hyperlink" Target="https://www.ncbi.nlm.nih.gov/pubmed/?term=Laurencet%20F%5BAuthor%5D&amp;cauthor=true&amp;cauthor_uid=10408404" TargetMode="External"/><Relationship Id="rId54" Type="http://schemas.openxmlformats.org/officeDocument/2006/relationships/hyperlink" Target="https://www.ncbi.nlm.nih.gov/pubmed/?term=Cummings%20BJ%5BAuthor%5D&amp;cauthor=true&amp;cauthor_uid=25194664" TargetMode="External"/><Relationship Id="rId62" Type="http://schemas.openxmlformats.org/officeDocument/2006/relationships/hyperlink" Target="https://www.ncbi.nlm.nih.gov/pubmed/?term=Mitra%20D%5BAuthor%5D&amp;cauthor=true&amp;cauthor_uid=28740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C9F5-4829-4860-8172-7D67D8E5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7224</Words>
  <Characters>41177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Sodergren S.C.</dc:creator>
  <cp:keywords/>
  <dc:description/>
  <cp:lastModifiedBy>Sodergren S.C.</cp:lastModifiedBy>
  <cp:revision>2</cp:revision>
  <dcterms:created xsi:type="dcterms:W3CDTF">2017-12-14T13:04:00Z</dcterms:created>
  <dcterms:modified xsi:type="dcterms:W3CDTF">2017-12-14T13:04:00Z</dcterms:modified>
</cp:coreProperties>
</file>