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030" w:rsidRPr="00903F77" w:rsidRDefault="00184030" w:rsidP="00F4011A">
      <w:pPr>
        <w:jc w:val="both"/>
        <w:rPr>
          <w:rFonts w:ascii="Arial" w:hAnsi="Arial" w:cs="Arial"/>
          <w:b/>
        </w:rPr>
      </w:pPr>
      <w:bookmarkStart w:id="0" w:name="_GoBack"/>
      <w:bookmarkEnd w:id="0"/>
      <w:r w:rsidRPr="00903F77">
        <w:rPr>
          <w:rFonts w:ascii="Arial" w:hAnsi="Arial" w:cs="Arial"/>
          <w:b/>
        </w:rPr>
        <w:t xml:space="preserve">Switching to biosimilar infliximab: Real world data </w:t>
      </w:r>
      <w:r w:rsidR="00DC599C">
        <w:rPr>
          <w:rFonts w:ascii="Arial" w:hAnsi="Arial" w:cs="Arial"/>
          <w:b/>
        </w:rPr>
        <w:t xml:space="preserve">in patients with severe inflammatory arthritis </w:t>
      </w:r>
    </w:p>
    <w:p w:rsidR="00184030" w:rsidRPr="00903F77" w:rsidRDefault="00184030" w:rsidP="00F4011A">
      <w:pPr>
        <w:jc w:val="both"/>
        <w:rPr>
          <w:rFonts w:ascii="Arial" w:hAnsi="Arial" w:cs="Arial"/>
        </w:rPr>
      </w:pPr>
      <w:r w:rsidRPr="00903F77">
        <w:rPr>
          <w:rFonts w:ascii="Arial" w:hAnsi="Arial" w:cs="Arial"/>
        </w:rPr>
        <w:t>Authors:</w:t>
      </w:r>
    </w:p>
    <w:p w:rsidR="00184030" w:rsidRPr="00903F77" w:rsidRDefault="005143A9" w:rsidP="00F4011A">
      <w:pPr>
        <w:jc w:val="both"/>
        <w:rPr>
          <w:rFonts w:ascii="Arial" w:hAnsi="Arial" w:cs="Arial"/>
        </w:rPr>
      </w:pPr>
      <w:r>
        <w:rPr>
          <w:rFonts w:ascii="Arial" w:hAnsi="Arial" w:cs="Arial"/>
        </w:rPr>
        <w:t>Chris</w:t>
      </w:r>
      <w:r w:rsidR="00E41992">
        <w:rPr>
          <w:rFonts w:ascii="Arial" w:hAnsi="Arial" w:cs="Arial"/>
        </w:rPr>
        <w:t>topher R</w:t>
      </w:r>
      <w:r w:rsidR="00184030" w:rsidRPr="00903F77">
        <w:rPr>
          <w:rFonts w:ascii="Arial" w:hAnsi="Arial" w:cs="Arial"/>
        </w:rPr>
        <w:t xml:space="preserve"> Holroyd</w:t>
      </w:r>
      <w:r w:rsidR="00184030" w:rsidRPr="00F4011A">
        <w:rPr>
          <w:rFonts w:ascii="Arial" w:hAnsi="Arial" w:cs="Arial"/>
          <w:vertAlign w:val="superscript"/>
        </w:rPr>
        <w:t>1,2</w:t>
      </w:r>
      <w:r w:rsidR="00184030" w:rsidRPr="00903F77">
        <w:rPr>
          <w:rFonts w:ascii="Arial" w:hAnsi="Arial" w:cs="Arial"/>
        </w:rPr>
        <w:t>, Lucy Parker</w:t>
      </w:r>
      <w:r w:rsidR="00184030" w:rsidRPr="00F4011A">
        <w:rPr>
          <w:rFonts w:ascii="Arial" w:hAnsi="Arial" w:cs="Arial"/>
          <w:vertAlign w:val="superscript"/>
        </w:rPr>
        <w:t>1</w:t>
      </w:r>
      <w:r w:rsidR="00184030" w:rsidRPr="00903F77">
        <w:rPr>
          <w:rFonts w:ascii="Arial" w:hAnsi="Arial" w:cs="Arial"/>
        </w:rPr>
        <w:t>,</w:t>
      </w:r>
      <w:r w:rsidR="00F74295">
        <w:rPr>
          <w:rFonts w:ascii="Arial" w:hAnsi="Arial" w:cs="Arial"/>
        </w:rPr>
        <w:t xml:space="preserve"> </w:t>
      </w:r>
      <w:r w:rsidR="00184030" w:rsidRPr="00903F77">
        <w:rPr>
          <w:rFonts w:ascii="Arial" w:hAnsi="Arial" w:cs="Arial"/>
        </w:rPr>
        <w:t>Sarah Bennett</w:t>
      </w:r>
      <w:r w:rsidR="00184030" w:rsidRPr="00F4011A">
        <w:rPr>
          <w:rFonts w:ascii="Arial" w:hAnsi="Arial" w:cs="Arial"/>
          <w:vertAlign w:val="superscript"/>
        </w:rPr>
        <w:t>1</w:t>
      </w:r>
      <w:r w:rsidR="00184030" w:rsidRPr="00903F77">
        <w:rPr>
          <w:rFonts w:ascii="Arial" w:hAnsi="Arial" w:cs="Arial"/>
        </w:rPr>
        <w:t>,</w:t>
      </w:r>
      <w:r w:rsidR="00DC599C">
        <w:rPr>
          <w:rFonts w:ascii="Arial" w:hAnsi="Arial" w:cs="Arial"/>
        </w:rPr>
        <w:t xml:space="preserve"> </w:t>
      </w:r>
      <w:r w:rsidR="00184030" w:rsidRPr="00903F77">
        <w:rPr>
          <w:rFonts w:ascii="Arial" w:hAnsi="Arial" w:cs="Arial"/>
        </w:rPr>
        <w:t>Jalaa Zarroug</w:t>
      </w:r>
      <w:r w:rsidR="00184030" w:rsidRPr="00F4011A">
        <w:rPr>
          <w:rFonts w:ascii="Arial" w:hAnsi="Arial" w:cs="Arial"/>
          <w:vertAlign w:val="superscript"/>
        </w:rPr>
        <w:t>1</w:t>
      </w:r>
      <w:r w:rsidR="00184030" w:rsidRPr="00903F77">
        <w:rPr>
          <w:rFonts w:ascii="Arial" w:hAnsi="Arial" w:cs="Arial"/>
        </w:rPr>
        <w:t>,</w:t>
      </w:r>
      <w:r w:rsidR="00F74295">
        <w:rPr>
          <w:rFonts w:ascii="Arial" w:hAnsi="Arial" w:cs="Arial"/>
        </w:rPr>
        <w:t xml:space="preserve"> </w:t>
      </w:r>
      <w:r w:rsidR="00184030" w:rsidRPr="00903F77">
        <w:rPr>
          <w:rFonts w:ascii="Arial" w:hAnsi="Arial" w:cs="Arial"/>
        </w:rPr>
        <w:t>Caron Underhill</w:t>
      </w:r>
      <w:r w:rsidR="00184030" w:rsidRPr="00F4011A">
        <w:rPr>
          <w:rFonts w:ascii="Arial" w:hAnsi="Arial" w:cs="Arial"/>
          <w:vertAlign w:val="superscript"/>
        </w:rPr>
        <w:t>1</w:t>
      </w:r>
      <w:r w:rsidR="00184030" w:rsidRPr="00903F77">
        <w:rPr>
          <w:rFonts w:ascii="Arial" w:hAnsi="Arial" w:cs="Arial"/>
        </w:rPr>
        <w:t>,</w:t>
      </w:r>
      <w:r w:rsidR="00DC599C">
        <w:rPr>
          <w:rFonts w:ascii="Arial" w:hAnsi="Arial" w:cs="Arial"/>
        </w:rPr>
        <w:t xml:space="preserve"> </w:t>
      </w:r>
      <w:r w:rsidR="00184030" w:rsidRPr="00903F77">
        <w:rPr>
          <w:rFonts w:ascii="Arial" w:hAnsi="Arial" w:cs="Arial"/>
        </w:rPr>
        <w:t>Brian Davidson</w:t>
      </w:r>
      <w:r w:rsidR="00184030" w:rsidRPr="00F4011A">
        <w:rPr>
          <w:rFonts w:ascii="Arial" w:hAnsi="Arial" w:cs="Arial"/>
          <w:vertAlign w:val="superscript"/>
        </w:rPr>
        <w:t>1</w:t>
      </w:r>
      <w:r w:rsidR="00184030" w:rsidRPr="00903F77">
        <w:rPr>
          <w:rFonts w:ascii="Arial" w:hAnsi="Arial" w:cs="Arial"/>
        </w:rPr>
        <w:t>,</w:t>
      </w:r>
      <w:r w:rsidR="00F74295">
        <w:rPr>
          <w:rFonts w:ascii="Arial" w:hAnsi="Arial" w:cs="Arial"/>
        </w:rPr>
        <w:t xml:space="preserve"> </w:t>
      </w:r>
      <w:r w:rsidR="00184030" w:rsidRPr="00903F77">
        <w:rPr>
          <w:rFonts w:ascii="Arial" w:hAnsi="Arial" w:cs="Arial"/>
        </w:rPr>
        <w:t>Ray Armstrong</w:t>
      </w:r>
      <w:r w:rsidR="00184030" w:rsidRPr="00F4011A">
        <w:rPr>
          <w:rFonts w:ascii="Arial" w:hAnsi="Arial" w:cs="Arial"/>
          <w:vertAlign w:val="superscript"/>
        </w:rPr>
        <w:t>1</w:t>
      </w:r>
      <w:r w:rsidR="00184030" w:rsidRPr="00903F77">
        <w:rPr>
          <w:rFonts w:ascii="Arial" w:hAnsi="Arial" w:cs="Arial"/>
        </w:rPr>
        <w:t>, Nic</w:t>
      </w:r>
      <w:r w:rsidR="005937A1">
        <w:rPr>
          <w:rFonts w:ascii="Arial" w:hAnsi="Arial" w:cs="Arial"/>
        </w:rPr>
        <w:t>holas C</w:t>
      </w:r>
      <w:r w:rsidR="00184030" w:rsidRPr="00903F77">
        <w:rPr>
          <w:rFonts w:ascii="Arial" w:hAnsi="Arial" w:cs="Arial"/>
        </w:rPr>
        <w:t xml:space="preserve"> Harvey</w:t>
      </w:r>
      <w:r w:rsidR="00184030" w:rsidRPr="00F4011A">
        <w:rPr>
          <w:rFonts w:ascii="Arial" w:hAnsi="Arial" w:cs="Arial"/>
          <w:vertAlign w:val="superscript"/>
        </w:rPr>
        <w:t>2</w:t>
      </w:r>
      <w:r w:rsidR="00184030" w:rsidRPr="00903F77">
        <w:rPr>
          <w:rFonts w:ascii="Arial" w:hAnsi="Arial" w:cs="Arial"/>
        </w:rPr>
        <w:t>, Elaine Dennison</w:t>
      </w:r>
      <w:r w:rsidR="00184030" w:rsidRPr="00F4011A">
        <w:rPr>
          <w:rFonts w:ascii="Arial" w:hAnsi="Arial" w:cs="Arial"/>
          <w:vertAlign w:val="superscript"/>
        </w:rPr>
        <w:t>2</w:t>
      </w:r>
      <w:r w:rsidR="00184030" w:rsidRPr="00903F77">
        <w:rPr>
          <w:rFonts w:ascii="Arial" w:hAnsi="Arial" w:cs="Arial"/>
        </w:rPr>
        <w:t>,</w:t>
      </w:r>
      <w:r w:rsidR="0075780E">
        <w:rPr>
          <w:rFonts w:ascii="Arial" w:hAnsi="Arial" w:cs="Arial"/>
        </w:rPr>
        <w:t xml:space="preserve"> </w:t>
      </w:r>
      <w:r w:rsidR="00184030" w:rsidRPr="00903F77">
        <w:rPr>
          <w:rFonts w:ascii="Arial" w:hAnsi="Arial" w:cs="Arial"/>
        </w:rPr>
        <w:t>Cyrus Cooper</w:t>
      </w:r>
      <w:r w:rsidR="00184030" w:rsidRPr="00F4011A">
        <w:rPr>
          <w:rFonts w:ascii="Arial" w:hAnsi="Arial" w:cs="Arial"/>
          <w:vertAlign w:val="superscript"/>
        </w:rPr>
        <w:t>2</w:t>
      </w:r>
      <w:r w:rsidR="00184030" w:rsidRPr="00903F77">
        <w:rPr>
          <w:rFonts w:ascii="Arial" w:hAnsi="Arial" w:cs="Arial"/>
        </w:rPr>
        <w:t>, Christopher J Edwards</w:t>
      </w:r>
      <w:r w:rsidR="00184030" w:rsidRPr="00F4011A">
        <w:rPr>
          <w:rFonts w:ascii="Arial" w:hAnsi="Arial" w:cs="Arial"/>
          <w:vertAlign w:val="superscript"/>
        </w:rPr>
        <w:t>1,3</w:t>
      </w:r>
    </w:p>
    <w:p w:rsidR="00184030" w:rsidRPr="00903F77" w:rsidRDefault="00184030" w:rsidP="00F4011A">
      <w:pPr>
        <w:jc w:val="both"/>
        <w:rPr>
          <w:rFonts w:ascii="Arial" w:hAnsi="Arial" w:cs="Arial"/>
        </w:rPr>
      </w:pPr>
    </w:p>
    <w:p w:rsidR="00184030" w:rsidRPr="00903F77" w:rsidRDefault="00184030" w:rsidP="00F4011A">
      <w:pPr>
        <w:jc w:val="both"/>
        <w:rPr>
          <w:rFonts w:ascii="Arial" w:hAnsi="Arial" w:cs="Arial"/>
        </w:rPr>
      </w:pPr>
      <w:r w:rsidRPr="00903F77">
        <w:rPr>
          <w:rFonts w:ascii="Arial" w:hAnsi="Arial" w:cs="Arial"/>
        </w:rPr>
        <w:t>Affiliations</w:t>
      </w:r>
    </w:p>
    <w:p w:rsidR="00184030" w:rsidRPr="00903F77" w:rsidRDefault="00184030" w:rsidP="00F4011A">
      <w:pPr>
        <w:jc w:val="both"/>
        <w:rPr>
          <w:rFonts w:ascii="Arial" w:hAnsi="Arial" w:cs="Arial"/>
        </w:rPr>
      </w:pPr>
      <w:r w:rsidRPr="00903F77">
        <w:rPr>
          <w:rFonts w:ascii="Arial" w:hAnsi="Arial" w:cs="Arial"/>
        </w:rPr>
        <w:t>1. Musculoskeletal Research Unit, University Hospital Southampton NHS Foundation Trust</w:t>
      </w:r>
    </w:p>
    <w:p w:rsidR="00184030" w:rsidRPr="00903F77" w:rsidRDefault="00184030" w:rsidP="00F4011A">
      <w:pPr>
        <w:jc w:val="both"/>
        <w:rPr>
          <w:rFonts w:ascii="Arial" w:hAnsi="Arial" w:cs="Arial"/>
        </w:rPr>
      </w:pPr>
      <w:r w:rsidRPr="00903F77">
        <w:rPr>
          <w:rFonts w:ascii="Arial" w:hAnsi="Arial" w:cs="Arial"/>
        </w:rPr>
        <w:t>2. MRC Lifecourse Epidemiology Unit, University of Southampton</w:t>
      </w:r>
    </w:p>
    <w:p w:rsidR="00184030" w:rsidRPr="00903F77" w:rsidRDefault="00184030" w:rsidP="00F4011A">
      <w:pPr>
        <w:jc w:val="both"/>
        <w:rPr>
          <w:rFonts w:ascii="Arial" w:hAnsi="Arial" w:cs="Arial"/>
        </w:rPr>
      </w:pPr>
      <w:r w:rsidRPr="00903F77">
        <w:rPr>
          <w:rFonts w:ascii="Arial" w:hAnsi="Arial" w:cs="Arial"/>
        </w:rPr>
        <w:t>3. NIHR Wellcome Trust Clinical Research Facility, University Hospital Southampton NHS Foundation Trust</w:t>
      </w:r>
    </w:p>
    <w:p w:rsidR="00184030" w:rsidRPr="00903F77" w:rsidRDefault="00184030" w:rsidP="00F4011A">
      <w:pPr>
        <w:jc w:val="both"/>
        <w:rPr>
          <w:rFonts w:ascii="Arial" w:hAnsi="Arial" w:cs="Arial"/>
        </w:rPr>
      </w:pPr>
    </w:p>
    <w:p w:rsidR="00184030" w:rsidRPr="00F4011A" w:rsidRDefault="00184030" w:rsidP="00F4011A">
      <w:pPr>
        <w:jc w:val="both"/>
        <w:rPr>
          <w:rFonts w:ascii="Arial" w:hAnsi="Arial" w:cs="Arial"/>
          <w:b/>
        </w:rPr>
      </w:pPr>
      <w:r w:rsidRPr="00F4011A">
        <w:rPr>
          <w:rFonts w:ascii="Arial" w:hAnsi="Arial" w:cs="Arial"/>
          <w:b/>
        </w:rPr>
        <w:t>Corresponding author</w:t>
      </w:r>
    </w:p>
    <w:p w:rsidR="00184030" w:rsidRPr="00903F77" w:rsidRDefault="005143A9" w:rsidP="00F4011A">
      <w:pPr>
        <w:jc w:val="both"/>
        <w:rPr>
          <w:rFonts w:ascii="Arial" w:hAnsi="Arial" w:cs="Arial"/>
        </w:rPr>
      </w:pPr>
      <w:r>
        <w:rPr>
          <w:rFonts w:ascii="Arial" w:hAnsi="Arial" w:cs="Arial"/>
        </w:rPr>
        <w:t>Dr Chris</w:t>
      </w:r>
      <w:r w:rsidR="00E41992">
        <w:rPr>
          <w:rFonts w:ascii="Arial" w:hAnsi="Arial" w:cs="Arial"/>
        </w:rPr>
        <w:t>topher</w:t>
      </w:r>
      <w:r w:rsidR="00184030" w:rsidRPr="00903F77">
        <w:rPr>
          <w:rFonts w:ascii="Arial" w:hAnsi="Arial" w:cs="Arial"/>
        </w:rPr>
        <w:t xml:space="preserve"> Holroyd</w:t>
      </w:r>
    </w:p>
    <w:p w:rsidR="00184030" w:rsidRPr="00903F77" w:rsidRDefault="00184030" w:rsidP="00F4011A">
      <w:pPr>
        <w:jc w:val="both"/>
        <w:rPr>
          <w:rFonts w:ascii="Arial" w:hAnsi="Arial" w:cs="Arial"/>
        </w:rPr>
      </w:pPr>
      <w:r w:rsidRPr="00903F77">
        <w:rPr>
          <w:rFonts w:ascii="Arial" w:hAnsi="Arial" w:cs="Arial"/>
        </w:rPr>
        <w:t xml:space="preserve">E-mail: </w:t>
      </w:r>
      <w:hyperlink r:id="rId8">
        <w:r w:rsidRPr="00903F77">
          <w:rPr>
            <w:rFonts w:ascii="Arial" w:hAnsi="Arial" w:cs="Arial"/>
            <w:highlight w:val="white"/>
          </w:rPr>
          <w:t>Christopher.Holroyd@uhs.nhs.uk</w:t>
        </w:r>
      </w:hyperlink>
    </w:p>
    <w:p w:rsidR="00184030" w:rsidRPr="00903F77" w:rsidRDefault="00184030" w:rsidP="00F4011A">
      <w:pPr>
        <w:jc w:val="both"/>
        <w:rPr>
          <w:rFonts w:ascii="Arial" w:hAnsi="Arial" w:cs="Arial"/>
        </w:rPr>
      </w:pPr>
      <w:r w:rsidRPr="00903F77">
        <w:rPr>
          <w:rFonts w:ascii="Arial" w:hAnsi="Arial" w:cs="Arial"/>
        </w:rPr>
        <w:t>Postal address: Rheumatology Department, University Hospital Southampton, Tremona Rd, Southampton, SO16 6YD</w:t>
      </w:r>
    </w:p>
    <w:p w:rsidR="00704769" w:rsidRDefault="00704769" w:rsidP="00F4011A">
      <w:pPr>
        <w:jc w:val="both"/>
        <w:rPr>
          <w:rFonts w:ascii="Arial" w:hAnsi="Arial" w:cs="Arial"/>
        </w:rPr>
      </w:pPr>
    </w:p>
    <w:p w:rsidR="00704769" w:rsidRDefault="00704769" w:rsidP="00F4011A">
      <w:pPr>
        <w:jc w:val="both"/>
        <w:rPr>
          <w:rFonts w:ascii="Arial" w:hAnsi="Arial" w:cs="Arial"/>
        </w:rPr>
      </w:pPr>
    </w:p>
    <w:p w:rsidR="00704769" w:rsidRDefault="00704769" w:rsidP="00F4011A">
      <w:pPr>
        <w:jc w:val="both"/>
        <w:rPr>
          <w:rFonts w:ascii="Arial" w:hAnsi="Arial" w:cs="Arial"/>
        </w:rPr>
      </w:pPr>
    </w:p>
    <w:p w:rsidR="00704769" w:rsidRDefault="00704769" w:rsidP="00F4011A">
      <w:pPr>
        <w:jc w:val="both"/>
        <w:rPr>
          <w:rFonts w:ascii="Arial" w:hAnsi="Arial" w:cs="Arial"/>
        </w:rPr>
      </w:pPr>
    </w:p>
    <w:p w:rsidR="00704769" w:rsidRDefault="00704769" w:rsidP="00F4011A">
      <w:pPr>
        <w:jc w:val="both"/>
        <w:rPr>
          <w:rFonts w:ascii="Arial" w:hAnsi="Arial" w:cs="Arial"/>
        </w:rPr>
      </w:pPr>
    </w:p>
    <w:p w:rsidR="00704769" w:rsidRDefault="00704769" w:rsidP="00F4011A">
      <w:pPr>
        <w:jc w:val="both"/>
        <w:rPr>
          <w:rFonts w:ascii="Arial" w:hAnsi="Arial" w:cs="Arial"/>
        </w:rPr>
      </w:pPr>
    </w:p>
    <w:p w:rsidR="00704769" w:rsidRDefault="00704769" w:rsidP="00F4011A">
      <w:pPr>
        <w:jc w:val="both"/>
        <w:rPr>
          <w:rFonts w:ascii="Arial" w:hAnsi="Arial" w:cs="Arial"/>
        </w:rPr>
      </w:pPr>
    </w:p>
    <w:p w:rsidR="00704769" w:rsidRDefault="00704769" w:rsidP="00F4011A">
      <w:pPr>
        <w:jc w:val="both"/>
        <w:rPr>
          <w:rFonts w:ascii="Arial" w:hAnsi="Arial" w:cs="Arial"/>
        </w:rPr>
      </w:pPr>
    </w:p>
    <w:p w:rsidR="00704769" w:rsidRDefault="00704769" w:rsidP="00F4011A">
      <w:pPr>
        <w:jc w:val="both"/>
        <w:rPr>
          <w:rFonts w:ascii="Arial" w:hAnsi="Arial" w:cs="Arial"/>
        </w:rPr>
      </w:pPr>
    </w:p>
    <w:p w:rsidR="00704769" w:rsidRDefault="00704769" w:rsidP="00F4011A">
      <w:pPr>
        <w:jc w:val="both"/>
        <w:rPr>
          <w:rFonts w:ascii="Arial" w:hAnsi="Arial" w:cs="Arial"/>
        </w:rPr>
      </w:pPr>
    </w:p>
    <w:p w:rsidR="00704769" w:rsidRDefault="00704769" w:rsidP="00F4011A">
      <w:pPr>
        <w:jc w:val="both"/>
        <w:rPr>
          <w:rFonts w:ascii="Arial" w:hAnsi="Arial" w:cs="Arial"/>
        </w:rPr>
      </w:pPr>
    </w:p>
    <w:p w:rsidR="00704769" w:rsidRDefault="00704769" w:rsidP="00F4011A">
      <w:pPr>
        <w:jc w:val="both"/>
        <w:rPr>
          <w:rFonts w:ascii="Arial" w:hAnsi="Arial" w:cs="Arial"/>
        </w:rPr>
      </w:pPr>
    </w:p>
    <w:p w:rsidR="00184030" w:rsidRPr="00F4011A" w:rsidRDefault="00184030" w:rsidP="00494BB4">
      <w:pPr>
        <w:spacing w:after="0" w:line="480" w:lineRule="auto"/>
        <w:jc w:val="both"/>
        <w:rPr>
          <w:rFonts w:ascii="Arial" w:hAnsi="Arial" w:cs="Arial"/>
          <w:b/>
        </w:rPr>
      </w:pPr>
      <w:r w:rsidRPr="00F4011A">
        <w:rPr>
          <w:rFonts w:ascii="Arial" w:hAnsi="Arial" w:cs="Arial"/>
          <w:b/>
        </w:rPr>
        <w:t xml:space="preserve">Abstract </w:t>
      </w:r>
    </w:p>
    <w:p w:rsidR="00184030" w:rsidRPr="00903F77" w:rsidRDefault="00184030" w:rsidP="00494BB4">
      <w:pPr>
        <w:spacing w:after="0" w:line="480" w:lineRule="auto"/>
        <w:jc w:val="both"/>
        <w:rPr>
          <w:rFonts w:ascii="Arial" w:hAnsi="Arial" w:cs="Arial"/>
        </w:rPr>
      </w:pPr>
      <w:r w:rsidRPr="00F4011A">
        <w:rPr>
          <w:rFonts w:ascii="Arial" w:hAnsi="Arial" w:cs="Arial"/>
          <w:b/>
        </w:rPr>
        <w:t>Objective.</w:t>
      </w:r>
      <w:r w:rsidRPr="00903F77">
        <w:rPr>
          <w:rFonts w:ascii="Arial" w:hAnsi="Arial" w:cs="Arial"/>
        </w:rPr>
        <w:t xml:space="preserve"> To </w:t>
      </w:r>
      <w:r w:rsidR="00DC599C">
        <w:rPr>
          <w:rFonts w:ascii="Arial" w:hAnsi="Arial" w:cs="Arial"/>
        </w:rPr>
        <w:t>describe</w:t>
      </w:r>
      <w:r w:rsidR="00DC599C" w:rsidRPr="00903F77">
        <w:rPr>
          <w:rFonts w:ascii="Arial" w:hAnsi="Arial" w:cs="Arial"/>
        </w:rPr>
        <w:t xml:space="preserve"> </w:t>
      </w:r>
      <w:r w:rsidRPr="00903F77">
        <w:rPr>
          <w:rFonts w:ascii="Arial" w:hAnsi="Arial" w:cs="Arial"/>
        </w:rPr>
        <w:t>real world experience of switch</w:t>
      </w:r>
      <w:r w:rsidR="00DC599C">
        <w:rPr>
          <w:rFonts w:ascii="Arial" w:hAnsi="Arial" w:cs="Arial"/>
        </w:rPr>
        <w:t>ing</w:t>
      </w:r>
      <w:r w:rsidRPr="00903F77">
        <w:rPr>
          <w:rFonts w:ascii="Arial" w:hAnsi="Arial" w:cs="Arial"/>
        </w:rPr>
        <w:t xml:space="preserve"> from originator </w:t>
      </w:r>
      <w:r w:rsidR="00704769" w:rsidRPr="00903F77">
        <w:rPr>
          <w:rFonts w:ascii="Arial" w:hAnsi="Arial" w:cs="Arial"/>
        </w:rPr>
        <w:t xml:space="preserve">TNF inhibitor </w:t>
      </w:r>
      <w:r w:rsidRPr="00903F77">
        <w:rPr>
          <w:rFonts w:ascii="Arial" w:hAnsi="Arial" w:cs="Arial"/>
        </w:rPr>
        <w:t>Remicade (infliximab)</w:t>
      </w:r>
      <w:r w:rsidR="00704769">
        <w:rPr>
          <w:rFonts w:ascii="Arial" w:hAnsi="Arial" w:cs="Arial"/>
        </w:rPr>
        <w:t>,</w:t>
      </w:r>
      <w:r w:rsidRPr="00903F77">
        <w:rPr>
          <w:rFonts w:ascii="Arial" w:hAnsi="Arial" w:cs="Arial"/>
        </w:rPr>
        <w:t xml:space="preserve"> </w:t>
      </w:r>
      <w:r w:rsidR="00704769" w:rsidRPr="00903F77">
        <w:rPr>
          <w:rFonts w:ascii="Arial" w:hAnsi="Arial" w:cs="Arial"/>
        </w:rPr>
        <w:t xml:space="preserve">to </w:t>
      </w:r>
      <w:r w:rsidR="00704769">
        <w:rPr>
          <w:rFonts w:ascii="Arial" w:hAnsi="Arial" w:cs="Arial"/>
        </w:rPr>
        <w:t>the</w:t>
      </w:r>
      <w:r w:rsidR="00704769" w:rsidRPr="00903F77">
        <w:rPr>
          <w:rFonts w:ascii="Arial" w:hAnsi="Arial" w:cs="Arial"/>
        </w:rPr>
        <w:t xml:space="preserve"> biosimilar Inflectra (infliximab)</w:t>
      </w:r>
      <w:r w:rsidR="00D9610D">
        <w:rPr>
          <w:rFonts w:ascii="Arial" w:hAnsi="Arial" w:cs="Arial"/>
        </w:rPr>
        <w:t xml:space="preserve"> in</w:t>
      </w:r>
      <w:r w:rsidRPr="00903F77">
        <w:rPr>
          <w:rFonts w:ascii="Arial" w:hAnsi="Arial" w:cs="Arial"/>
        </w:rPr>
        <w:t xml:space="preserve"> </w:t>
      </w:r>
      <w:r w:rsidR="00DC599C">
        <w:rPr>
          <w:rFonts w:ascii="Arial" w:hAnsi="Arial" w:cs="Arial"/>
        </w:rPr>
        <w:t xml:space="preserve">severe </w:t>
      </w:r>
      <w:r w:rsidRPr="00903F77">
        <w:rPr>
          <w:rFonts w:ascii="Arial" w:hAnsi="Arial" w:cs="Arial"/>
        </w:rPr>
        <w:t>inflammatory arthritis</w:t>
      </w:r>
      <w:r w:rsidR="00704769">
        <w:rPr>
          <w:rFonts w:ascii="Arial" w:hAnsi="Arial" w:cs="Arial"/>
        </w:rPr>
        <w:t>.</w:t>
      </w:r>
      <w:r w:rsidRPr="00903F77">
        <w:rPr>
          <w:rFonts w:ascii="Arial" w:hAnsi="Arial" w:cs="Arial"/>
        </w:rPr>
        <w:t xml:space="preserve"> </w:t>
      </w:r>
    </w:p>
    <w:p w:rsidR="009770BD" w:rsidRPr="00903F77" w:rsidRDefault="00184030" w:rsidP="00494BB4">
      <w:pPr>
        <w:spacing w:after="0" w:line="480" w:lineRule="auto"/>
        <w:jc w:val="both"/>
        <w:rPr>
          <w:rFonts w:ascii="Arial" w:hAnsi="Arial" w:cs="Arial"/>
        </w:rPr>
      </w:pPr>
      <w:r w:rsidRPr="00F4011A">
        <w:rPr>
          <w:rFonts w:ascii="Arial" w:hAnsi="Arial" w:cs="Arial"/>
          <w:b/>
        </w:rPr>
        <w:t>Methods</w:t>
      </w:r>
      <w:r w:rsidRPr="00903F77">
        <w:rPr>
          <w:rFonts w:ascii="Arial" w:hAnsi="Arial" w:cs="Arial"/>
        </w:rPr>
        <w:t xml:space="preserve">. From May 2015 patients receiving Remicade (infliximab) were switched to Inflectra (infliximab). </w:t>
      </w:r>
      <w:r w:rsidR="0075780E">
        <w:rPr>
          <w:rFonts w:ascii="Arial" w:hAnsi="Arial" w:cs="Arial"/>
        </w:rPr>
        <w:t xml:space="preserve">We compared </w:t>
      </w:r>
      <w:r w:rsidR="0075780E" w:rsidRPr="00903F77">
        <w:rPr>
          <w:rFonts w:ascii="Arial" w:hAnsi="Arial" w:cs="Arial"/>
        </w:rPr>
        <w:t xml:space="preserve">discontinuation </w:t>
      </w:r>
      <w:r w:rsidR="0075780E">
        <w:rPr>
          <w:rFonts w:ascii="Arial" w:hAnsi="Arial" w:cs="Arial"/>
        </w:rPr>
        <w:t xml:space="preserve">rates </w:t>
      </w:r>
      <w:r w:rsidR="0075780E" w:rsidRPr="00903F77">
        <w:rPr>
          <w:rFonts w:ascii="Arial" w:hAnsi="Arial" w:cs="Arial"/>
        </w:rPr>
        <w:t xml:space="preserve">due to inefficacy and adverse events </w:t>
      </w:r>
      <w:r w:rsidR="002B503A">
        <w:rPr>
          <w:rFonts w:ascii="Arial" w:hAnsi="Arial" w:cs="Arial"/>
        </w:rPr>
        <w:t xml:space="preserve">(AEs) </w:t>
      </w:r>
      <w:r w:rsidR="0075780E">
        <w:rPr>
          <w:rFonts w:ascii="Arial" w:hAnsi="Arial" w:cs="Arial"/>
        </w:rPr>
        <w:t>after switching to Inflectra (infliximab) with discontinuation rates</w:t>
      </w:r>
      <w:r w:rsidR="00DC599C">
        <w:rPr>
          <w:rFonts w:ascii="Arial" w:hAnsi="Arial" w:cs="Arial"/>
        </w:rPr>
        <w:t xml:space="preserve"> </w:t>
      </w:r>
      <w:r w:rsidR="00A70B85">
        <w:rPr>
          <w:rFonts w:ascii="Arial" w:hAnsi="Arial" w:cs="Arial"/>
        </w:rPr>
        <w:t>whilst receiving</w:t>
      </w:r>
      <w:r w:rsidR="00101773">
        <w:rPr>
          <w:rFonts w:ascii="Arial" w:hAnsi="Arial" w:cs="Arial"/>
        </w:rPr>
        <w:t xml:space="preserve"> </w:t>
      </w:r>
      <w:r w:rsidR="0075780E" w:rsidRPr="00903F77">
        <w:rPr>
          <w:rFonts w:ascii="Arial" w:hAnsi="Arial" w:cs="Arial"/>
        </w:rPr>
        <w:t>Remicade</w:t>
      </w:r>
      <w:r w:rsidR="0075780E">
        <w:rPr>
          <w:rFonts w:ascii="Arial" w:hAnsi="Arial" w:cs="Arial"/>
        </w:rPr>
        <w:t xml:space="preserve"> (infliximab)</w:t>
      </w:r>
      <w:r w:rsidR="0075780E" w:rsidRPr="00903F77">
        <w:rPr>
          <w:rFonts w:ascii="Arial" w:hAnsi="Arial" w:cs="Arial"/>
        </w:rPr>
        <w:t xml:space="preserve"> in the year prior to the switch.</w:t>
      </w:r>
    </w:p>
    <w:p w:rsidR="00184030" w:rsidRPr="00903F77" w:rsidRDefault="00184030" w:rsidP="00494BB4">
      <w:pPr>
        <w:spacing w:after="0" w:line="480" w:lineRule="auto"/>
        <w:jc w:val="both"/>
        <w:rPr>
          <w:rFonts w:ascii="Arial" w:hAnsi="Arial" w:cs="Arial"/>
        </w:rPr>
      </w:pPr>
      <w:r w:rsidRPr="00F4011A">
        <w:rPr>
          <w:rFonts w:ascii="Arial" w:hAnsi="Arial" w:cs="Arial"/>
          <w:b/>
        </w:rPr>
        <w:lastRenderedPageBreak/>
        <w:t>Results</w:t>
      </w:r>
      <w:r w:rsidRPr="00903F77">
        <w:rPr>
          <w:rFonts w:ascii="Arial" w:hAnsi="Arial" w:cs="Arial"/>
        </w:rPr>
        <w:t xml:space="preserve">. 59 patients </w:t>
      </w:r>
      <w:r w:rsidR="00704769">
        <w:rPr>
          <w:rFonts w:ascii="Arial" w:hAnsi="Arial" w:cs="Arial"/>
        </w:rPr>
        <w:t>agreed to</w:t>
      </w:r>
      <w:r w:rsidR="00704769" w:rsidRPr="00903F77">
        <w:rPr>
          <w:rFonts w:ascii="Arial" w:hAnsi="Arial" w:cs="Arial"/>
        </w:rPr>
        <w:t xml:space="preserve"> </w:t>
      </w:r>
      <w:r w:rsidRPr="00903F77">
        <w:rPr>
          <w:rFonts w:ascii="Arial" w:hAnsi="Arial" w:cs="Arial"/>
        </w:rPr>
        <w:t>switch</w:t>
      </w:r>
      <w:r w:rsidR="00D9610D">
        <w:rPr>
          <w:rFonts w:ascii="Arial" w:hAnsi="Arial" w:cs="Arial"/>
        </w:rPr>
        <w:t>,</w:t>
      </w:r>
      <w:r w:rsidR="003507DF">
        <w:rPr>
          <w:rFonts w:ascii="Arial" w:hAnsi="Arial" w:cs="Arial"/>
        </w:rPr>
        <w:t xml:space="preserve"> </w:t>
      </w:r>
      <w:r w:rsidRPr="00903F77">
        <w:rPr>
          <w:rFonts w:ascii="Arial" w:hAnsi="Arial" w:cs="Arial"/>
        </w:rPr>
        <w:t>with 51 (86%) continuing after a mean follow-up 362 days (12.1 months</w:t>
      </w:r>
      <w:r w:rsidR="00136F01" w:rsidRPr="00903F77">
        <w:rPr>
          <w:rFonts w:ascii="Arial" w:hAnsi="Arial" w:cs="Arial"/>
        </w:rPr>
        <w:t>.)</w:t>
      </w:r>
    </w:p>
    <w:p w:rsidR="00184030" w:rsidRPr="00903F77" w:rsidRDefault="00184030" w:rsidP="00494BB4">
      <w:pPr>
        <w:spacing w:after="0" w:line="480" w:lineRule="auto"/>
        <w:jc w:val="both"/>
        <w:rPr>
          <w:rFonts w:ascii="Arial" w:hAnsi="Arial" w:cs="Arial"/>
        </w:rPr>
      </w:pPr>
      <w:r w:rsidRPr="00F4011A">
        <w:rPr>
          <w:rFonts w:ascii="Arial" w:hAnsi="Arial" w:cs="Arial"/>
          <w:b/>
        </w:rPr>
        <w:t>Conclusion</w:t>
      </w:r>
      <w:r w:rsidRPr="00903F77">
        <w:rPr>
          <w:rFonts w:ascii="Arial" w:hAnsi="Arial" w:cs="Arial"/>
        </w:rPr>
        <w:t xml:space="preserve">. </w:t>
      </w:r>
      <w:r w:rsidR="000308E5">
        <w:rPr>
          <w:rFonts w:ascii="Arial" w:hAnsi="Arial" w:cs="Arial"/>
        </w:rPr>
        <w:t>S</w:t>
      </w:r>
      <w:r w:rsidRPr="00903F77">
        <w:rPr>
          <w:rFonts w:ascii="Arial" w:hAnsi="Arial" w:cs="Arial"/>
        </w:rPr>
        <w:t xml:space="preserve">afety and clinical efficacy of Inflectra (infliximab) appears similar </w:t>
      </w:r>
      <w:r w:rsidR="002543E8" w:rsidRPr="00903F77">
        <w:rPr>
          <w:rFonts w:ascii="Arial" w:hAnsi="Arial" w:cs="Arial"/>
        </w:rPr>
        <w:t xml:space="preserve">to </w:t>
      </w:r>
      <w:r w:rsidR="00101773">
        <w:rPr>
          <w:rFonts w:ascii="Arial" w:hAnsi="Arial" w:cs="Arial"/>
        </w:rPr>
        <w:t xml:space="preserve">that of </w:t>
      </w:r>
      <w:r w:rsidRPr="00903F77">
        <w:rPr>
          <w:rFonts w:ascii="Arial" w:hAnsi="Arial" w:cs="Arial"/>
        </w:rPr>
        <w:t>Remicade (infliximab)</w:t>
      </w:r>
      <w:r w:rsidR="00D9610D">
        <w:rPr>
          <w:rFonts w:ascii="Arial" w:hAnsi="Arial" w:cs="Arial"/>
        </w:rPr>
        <w:t>.</w:t>
      </w:r>
      <w:r w:rsidR="002543E8" w:rsidRPr="00903F77">
        <w:rPr>
          <w:rFonts w:ascii="Arial" w:hAnsi="Arial" w:cs="Arial"/>
        </w:rPr>
        <w:t xml:space="preserve"> </w:t>
      </w:r>
      <w:r w:rsidRPr="00903F77">
        <w:rPr>
          <w:rFonts w:ascii="Arial" w:hAnsi="Arial" w:cs="Arial"/>
        </w:rPr>
        <w:t xml:space="preserve"> </w:t>
      </w:r>
    </w:p>
    <w:p w:rsidR="00184030" w:rsidRPr="00903F77" w:rsidRDefault="00184030" w:rsidP="00494BB4">
      <w:pPr>
        <w:spacing w:after="0" w:line="480" w:lineRule="auto"/>
        <w:jc w:val="both"/>
        <w:rPr>
          <w:rFonts w:ascii="Arial" w:hAnsi="Arial" w:cs="Arial"/>
        </w:rPr>
      </w:pPr>
    </w:p>
    <w:p w:rsidR="00184030" w:rsidRPr="00903F77" w:rsidRDefault="00953C2D" w:rsidP="00494BB4">
      <w:pPr>
        <w:spacing w:after="0" w:line="480" w:lineRule="auto"/>
        <w:jc w:val="both"/>
        <w:rPr>
          <w:rFonts w:ascii="Arial" w:hAnsi="Arial" w:cs="Arial"/>
        </w:rPr>
      </w:pPr>
      <w:r w:rsidRPr="00953C2D">
        <w:rPr>
          <w:rFonts w:ascii="Arial" w:hAnsi="Arial" w:cs="Arial"/>
          <w:b/>
        </w:rPr>
        <w:t>Key Words:</w:t>
      </w:r>
      <w:r w:rsidR="00184030" w:rsidRPr="00903F77">
        <w:rPr>
          <w:rFonts w:ascii="Arial" w:hAnsi="Arial" w:cs="Arial"/>
        </w:rPr>
        <w:t xml:space="preserve"> Infliximab, biosimilar, Inflectra, CT-P13</w:t>
      </w:r>
    </w:p>
    <w:p w:rsidR="00184030" w:rsidRPr="00903F77" w:rsidRDefault="00184030" w:rsidP="00494BB4">
      <w:pPr>
        <w:spacing w:after="0" w:line="480" w:lineRule="auto"/>
        <w:jc w:val="both"/>
        <w:rPr>
          <w:rFonts w:ascii="Arial" w:hAnsi="Arial" w:cs="Arial"/>
        </w:rPr>
      </w:pPr>
    </w:p>
    <w:p w:rsidR="00184030" w:rsidRPr="00903F77" w:rsidRDefault="00184030" w:rsidP="00494BB4">
      <w:pPr>
        <w:spacing w:after="0" w:line="480" w:lineRule="auto"/>
        <w:jc w:val="both"/>
        <w:rPr>
          <w:rFonts w:ascii="Arial" w:hAnsi="Arial" w:cs="Arial"/>
        </w:rPr>
      </w:pPr>
      <w:r w:rsidRPr="00903F77">
        <w:rPr>
          <w:rFonts w:ascii="Arial" w:hAnsi="Arial" w:cs="Arial"/>
        </w:rPr>
        <w:br w:type="page"/>
      </w:r>
    </w:p>
    <w:p w:rsidR="00184030" w:rsidRPr="00F4011A" w:rsidRDefault="00184030" w:rsidP="00494BB4">
      <w:pPr>
        <w:spacing w:after="0" w:line="480" w:lineRule="auto"/>
        <w:jc w:val="both"/>
        <w:rPr>
          <w:rFonts w:ascii="Arial" w:hAnsi="Arial" w:cs="Arial"/>
          <w:b/>
        </w:rPr>
      </w:pPr>
      <w:r w:rsidRPr="00F4011A">
        <w:rPr>
          <w:rFonts w:ascii="Arial" w:hAnsi="Arial" w:cs="Arial"/>
          <w:b/>
        </w:rPr>
        <w:lastRenderedPageBreak/>
        <w:t>Introduction</w:t>
      </w:r>
    </w:p>
    <w:p w:rsidR="00184030" w:rsidRPr="00903F77" w:rsidRDefault="00184030" w:rsidP="00494BB4">
      <w:pPr>
        <w:spacing w:after="0" w:line="480" w:lineRule="auto"/>
        <w:jc w:val="both"/>
        <w:rPr>
          <w:rFonts w:ascii="Arial" w:hAnsi="Arial" w:cs="Arial"/>
        </w:rPr>
      </w:pPr>
      <w:r w:rsidRPr="00903F77">
        <w:rPr>
          <w:rFonts w:ascii="Arial" w:hAnsi="Arial" w:cs="Arial"/>
        </w:rPr>
        <w:t>The monoclonal antibody Remicade (infliximab), was licenced in Europe in 1999 for treatment of rheumatoid arthritis (RA)</w:t>
      </w:r>
      <w:r w:rsidR="009479E0">
        <w:rPr>
          <w:rFonts w:ascii="Arial" w:hAnsi="Arial" w:cs="Arial"/>
        </w:rPr>
        <w:t xml:space="preserve">.  </w:t>
      </w:r>
      <w:r w:rsidR="00B42554">
        <w:rPr>
          <w:rFonts w:ascii="Arial" w:hAnsi="Arial" w:cs="Arial"/>
        </w:rPr>
        <w:t>Its use is now</w:t>
      </w:r>
      <w:r w:rsidR="009479E0">
        <w:rPr>
          <w:rFonts w:ascii="Arial" w:hAnsi="Arial" w:cs="Arial"/>
        </w:rPr>
        <w:t xml:space="preserve"> widespread and has expanded to treatment of </w:t>
      </w:r>
      <w:r w:rsidRPr="00903F77">
        <w:rPr>
          <w:rFonts w:ascii="Arial" w:hAnsi="Arial" w:cs="Arial"/>
        </w:rPr>
        <w:t>ankylosing spondylitis (AS) and psoriatic arthritis (PsA)</w:t>
      </w:r>
      <w:r w:rsidR="0075780E">
        <w:rPr>
          <w:rFonts w:ascii="Arial" w:hAnsi="Arial" w:cs="Arial"/>
        </w:rPr>
        <w:t xml:space="preserve"> </w:t>
      </w:r>
      <w:r w:rsidR="007270E6" w:rsidRPr="00903F77">
        <w:rPr>
          <w:rFonts w:ascii="Arial" w:hAnsi="Arial" w:cs="Arial"/>
        </w:rPr>
        <w:fldChar w:fldCharType="begin"/>
      </w:r>
      <w:r w:rsidRPr="00903F77">
        <w:rPr>
          <w:rFonts w:ascii="Arial" w:hAnsi="Arial" w:cs="Arial"/>
        </w:rPr>
        <w:instrText xml:space="preserve"> ADDIN EN.CITE &lt;EndNote&gt;&lt;Cite&gt;&lt;Author&gt;EMA/CHMP&lt;/Author&gt;&lt;Year&gt;2013&lt;/Year&gt;&lt;RecNum&gt;4&lt;/RecNum&gt;&lt;record&gt;&lt;rec-number&gt;4&lt;/rec-number&gt;&lt;foreign-keys&gt;&lt;key app="EN" db-id="tewdd9x230ezflewprwvexdiw5v9f90tvfdv"&gt;4&lt;/key&gt;&lt;/foreign-keys&gt;&lt;ref-type name="Report"&gt;27&lt;/ref-type&gt;&lt;contributors&gt;&lt;authors&gt;&lt;author&gt;EMA/CHMP&lt;/author&gt;&lt;/authors&gt;&lt;/contributors&gt;&lt;titles&gt;&lt;title&gt;Remsima Assessment Report&lt;/title&gt;&lt;/titles&gt;&lt;dates&gt;&lt;year&gt;2013&lt;/year&gt;&lt;/dates&gt;&lt;publisher&gt;European Medicines Agency&lt;/publisher&gt;&lt;urls&gt;&lt;related-urls&gt;&lt;url&gt;http://www.ema.europa.eu/docs/en_GB/document_library/EPAR_-_Public_assessment_report/human/002576/WC500151486.pdf&lt;/url&gt;&lt;/related-urls&gt;&lt;/urls&gt;&lt;/record&gt;&lt;/Cite&gt;&lt;/EndNote&gt;</w:instrText>
      </w:r>
      <w:r w:rsidR="007270E6" w:rsidRPr="00903F77">
        <w:rPr>
          <w:rFonts w:ascii="Arial" w:hAnsi="Arial" w:cs="Arial"/>
        </w:rPr>
        <w:fldChar w:fldCharType="separate"/>
      </w:r>
      <w:r w:rsidRPr="00903F77">
        <w:rPr>
          <w:rFonts w:ascii="Arial" w:hAnsi="Arial" w:cs="Arial"/>
        </w:rPr>
        <w:t>[1]</w:t>
      </w:r>
      <w:r w:rsidR="007270E6" w:rsidRPr="00903F77">
        <w:rPr>
          <w:rFonts w:ascii="Arial" w:hAnsi="Arial" w:cs="Arial"/>
        </w:rPr>
        <w:fldChar w:fldCharType="end"/>
      </w:r>
      <w:r w:rsidRPr="00903F77">
        <w:rPr>
          <w:rFonts w:ascii="Arial" w:hAnsi="Arial" w:cs="Arial"/>
        </w:rPr>
        <w:t>.  The efficacy of biological disease modifying anti-rheumatic drugs</w:t>
      </w:r>
      <w:r w:rsidR="00E67B40">
        <w:rPr>
          <w:rFonts w:ascii="Arial" w:hAnsi="Arial" w:cs="Arial"/>
        </w:rPr>
        <w:t xml:space="preserve"> (DMARD)</w:t>
      </w:r>
      <w:r w:rsidRPr="00903F77">
        <w:rPr>
          <w:rFonts w:ascii="Arial" w:hAnsi="Arial" w:cs="Arial"/>
        </w:rPr>
        <w:t xml:space="preserve"> in treatment of inflammatory arthritis is established </w:t>
      </w:r>
      <w:r w:rsidR="007270E6" w:rsidRPr="00903F77">
        <w:rPr>
          <w:rFonts w:ascii="Arial" w:hAnsi="Arial" w:cs="Arial"/>
        </w:rPr>
        <w:fldChar w:fldCharType="begin"/>
      </w:r>
      <w:r w:rsidRPr="00903F77">
        <w:rPr>
          <w:rFonts w:ascii="Arial" w:hAnsi="Arial" w:cs="Arial"/>
        </w:rPr>
        <w:instrText xml:space="preserve"> ADDIN EN.CITE &lt;EndNote&gt;&lt;Cite&gt;&lt;Author&gt;Nam&lt;/Author&gt;&lt;RecNum&gt;11&lt;/RecNum&gt;&lt;record&gt;&lt;rec-number&gt;11&lt;/rec-number&gt;&lt;foreign-keys&gt;&lt;key app="EN" db-id="tewdd9x230ezflewprwvexdiw5v9f90tvfdv"&gt;11&lt;/key&gt;&lt;/foreign-keys&gt;&lt;ref-type name="Journal Article"&gt;17&lt;/ref-type&gt;&lt;contributors&gt;&lt;authors&gt;&lt;author&gt;Nam, J. L.&lt;/author&gt;&lt;author&gt;Ramiro, S.&lt;/author&gt;&lt;author&gt;Gaujoux-Viala, C.&lt;/author&gt;&lt;author&gt;Takase, K.&lt;/author&gt;&lt;author&gt;Leon-Garcia, M.&lt;/author&gt;&lt;author&gt;Emery, P.&lt;/author&gt;&lt;author&gt;Gossec, L.&lt;/author&gt;&lt;author&gt;Landewe, R.&lt;/author&gt;&lt;author&gt;Smolen, J. S.&lt;/author&gt;&lt;author&gt;Buch, M. H.&lt;/author&gt;&lt;/authors&gt;&lt;/contributors&gt;&lt;titles&gt;&lt;title&gt;Efficacy of biological disease-modifying antirheumatic drugs: a systematic literature review informing the 2013 update of the EULAR recommendations for the management of rheumatoid arthritis&lt;/title&gt;&lt;secondary-title&gt;Ann Rheum Dis. 2014 Mar;73(3):516-28. doi: 10.1136/annrheumdis-2013-204577. Epub 2014 Jan 7.&lt;/secondary-title&gt;&lt;/titles&gt;&lt;periodical&gt;&lt;full-title&gt;Ann Rheum Dis. 2014 Mar;73(3):516-28. doi: 10.1136/annrheumdis-2013-204577. Epub 2014 Jan 7.&lt;/full-title&gt;&lt;/periodical&gt;&lt;dates&gt;&lt;/dates&gt;&lt;isbn&gt;1468-2060 (Electronic)&amp;#xD;0003-4967 (Linking)&lt;/isbn&gt;&lt;urls&gt;&lt;/urls&gt;&lt;/record&gt;&lt;/Cite&gt;&lt;/EndNote&gt;</w:instrText>
      </w:r>
      <w:r w:rsidR="007270E6" w:rsidRPr="00903F77">
        <w:rPr>
          <w:rFonts w:ascii="Arial" w:hAnsi="Arial" w:cs="Arial"/>
        </w:rPr>
        <w:fldChar w:fldCharType="separate"/>
      </w:r>
      <w:r w:rsidRPr="00903F77">
        <w:rPr>
          <w:rFonts w:ascii="Arial" w:hAnsi="Arial" w:cs="Arial"/>
        </w:rPr>
        <w:t>[2]</w:t>
      </w:r>
      <w:r w:rsidR="007270E6" w:rsidRPr="00903F77">
        <w:rPr>
          <w:rFonts w:ascii="Arial" w:hAnsi="Arial" w:cs="Arial"/>
        </w:rPr>
        <w:fldChar w:fldCharType="end"/>
      </w:r>
      <w:r w:rsidRPr="00903F77">
        <w:rPr>
          <w:rFonts w:ascii="Arial" w:hAnsi="Arial" w:cs="Arial"/>
        </w:rPr>
        <w:t xml:space="preserve">, but </w:t>
      </w:r>
      <w:r w:rsidR="0075780E">
        <w:rPr>
          <w:rFonts w:ascii="Arial" w:hAnsi="Arial" w:cs="Arial"/>
        </w:rPr>
        <w:t>drug acquisition costs are high</w:t>
      </w:r>
      <w:r w:rsidR="009479E0">
        <w:rPr>
          <w:rFonts w:ascii="Arial" w:hAnsi="Arial" w:cs="Arial"/>
        </w:rPr>
        <w:t xml:space="preserve"> </w:t>
      </w:r>
      <w:r w:rsidR="007270E6" w:rsidRPr="00903F77">
        <w:rPr>
          <w:rFonts w:ascii="Arial" w:hAnsi="Arial" w:cs="Arial"/>
        </w:rPr>
        <w:fldChar w:fldCharType="begin"/>
      </w:r>
      <w:r w:rsidRPr="00903F77">
        <w:rPr>
          <w:rFonts w:ascii="Arial" w:hAnsi="Arial" w:cs="Arial"/>
        </w:rPr>
        <w:instrText xml:space="preserve"> ADDIN EN.CITE &lt;EndNote&gt;&lt;Cite&gt;&lt;Author&gt;Yoo&lt;/Author&gt;&lt;RecNum&gt;10&lt;/RecNum&gt;&lt;record&gt;&lt;rec-number&gt;10&lt;/rec-number&gt;&lt;foreign-keys&gt;&lt;key app="EN" db-id="tewdd9x230ezflewprwvexdiw5v9f90tvfdv"&gt;10&lt;/key&gt;&lt;/foreign-keys&gt;&lt;ref-type name="Journal Article"&gt;17&lt;/ref-type&gt;&lt;contributors&gt;&lt;authors&gt;&lt;author&gt;Yoo, D. H.&lt;/author&gt;&lt;/authors&gt;&lt;/contributors&gt;&lt;titles&gt;&lt;title&gt;The rise of biosimilars: potential benefits and drawbacks in rheumatoid arthritis&lt;/title&gt;&lt;/titles&gt;&lt;dates&gt;&lt;/dates&gt;&lt;publisher&gt;Expert Rev Clin Immunol. 2014 Aug;10(8):981-3. doi: 10.1586/1744666X.2014.932690. Epub 2014 Jun 25.&lt;/publisher&gt;&lt;isbn&gt;1744-8409 (Electronic)&amp;#xD;1744-666X (Linking)&lt;/isbn&gt;&lt;urls&gt;&lt;/urls&gt;&lt;/record&gt;&lt;/Cite&gt;&lt;/EndNote&gt;</w:instrText>
      </w:r>
      <w:r w:rsidR="007270E6" w:rsidRPr="00903F77">
        <w:rPr>
          <w:rFonts w:ascii="Arial" w:hAnsi="Arial" w:cs="Arial"/>
        </w:rPr>
        <w:fldChar w:fldCharType="separate"/>
      </w:r>
      <w:r w:rsidRPr="00903F77">
        <w:rPr>
          <w:rFonts w:ascii="Arial" w:hAnsi="Arial" w:cs="Arial"/>
        </w:rPr>
        <w:t>[3]</w:t>
      </w:r>
      <w:r w:rsidR="007270E6" w:rsidRPr="00903F77">
        <w:rPr>
          <w:rFonts w:ascii="Arial" w:hAnsi="Arial" w:cs="Arial"/>
        </w:rPr>
        <w:fldChar w:fldCharType="end"/>
      </w:r>
      <w:r w:rsidRPr="00903F77">
        <w:rPr>
          <w:rFonts w:ascii="Arial" w:hAnsi="Arial" w:cs="Arial"/>
        </w:rPr>
        <w:t>.</w:t>
      </w:r>
    </w:p>
    <w:p w:rsidR="009479E0" w:rsidRDefault="00184030" w:rsidP="00494BB4">
      <w:pPr>
        <w:spacing w:after="0" w:line="480" w:lineRule="auto"/>
        <w:jc w:val="both"/>
        <w:rPr>
          <w:rFonts w:ascii="Arial" w:hAnsi="Arial" w:cs="Arial"/>
        </w:rPr>
      </w:pPr>
      <w:r w:rsidRPr="00903F77">
        <w:rPr>
          <w:rFonts w:ascii="Arial" w:hAnsi="Arial" w:cs="Arial"/>
        </w:rPr>
        <w:t xml:space="preserve">The patent </w:t>
      </w:r>
      <w:r w:rsidR="0075780E">
        <w:rPr>
          <w:rFonts w:ascii="Arial" w:hAnsi="Arial" w:cs="Arial"/>
        </w:rPr>
        <w:t>for</w:t>
      </w:r>
      <w:r w:rsidR="0075780E" w:rsidRPr="00903F77">
        <w:rPr>
          <w:rFonts w:ascii="Arial" w:hAnsi="Arial" w:cs="Arial"/>
        </w:rPr>
        <w:t xml:space="preserve"> </w:t>
      </w:r>
      <w:r w:rsidRPr="00903F77">
        <w:rPr>
          <w:rFonts w:ascii="Arial" w:hAnsi="Arial" w:cs="Arial"/>
        </w:rPr>
        <w:t xml:space="preserve">originator Remicade (infliximab) has expired in Europe, allowing pharmaceutical companies </w:t>
      </w:r>
      <w:r w:rsidR="009479E0">
        <w:rPr>
          <w:rFonts w:ascii="Arial" w:hAnsi="Arial" w:cs="Arial"/>
        </w:rPr>
        <w:t>to</w:t>
      </w:r>
      <w:r w:rsidR="0067310F">
        <w:rPr>
          <w:rFonts w:ascii="Arial" w:hAnsi="Arial" w:cs="Arial"/>
        </w:rPr>
        <w:t xml:space="preserve"> </w:t>
      </w:r>
      <w:r w:rsidR="009479E0">
        <w:rPr>
          <w:rFonts w:ascii="Arial" w:hAnsi="Arial" w:cs="Arial"/>
        </w:rPr>
        <w:t>develop</w:t>
      </w:r>
      <w:r w:rsidRPr="00903F77">
        <w:rPr>
          <w:rFonts w:ascii="Arial" w:hAnsi="Arial" w:cs="Arial"/>
        </w:rPr>
        <w:t xml:space="preserve"> biosimilar versions</w:t>
      </w:r>
      <w:r w:rsidR="0075780E">
        <w:rPr>
          <w:rFonts w:ascii="Arial" w:hAnsi="Arial" w:cs="Arial"/>
        </w:rPr>
        <w:t xml:space="preserve"> </w:t>
      </w:r>
      <w:r w:rsidR="007270E6" w:rsidRPr="00903F77">
        <w:rPr>
          <w:rFonts w:ascii="Arial" w:hAnsi="Arial" w:cs="Arial"/>
        </w:rPr>
        <w:fldChar w:fldCharType="begin"/>
      </w:r>
      <w:r w:rsidRPr="00903F77">
        <w:rPr>
          <w:rFonts w:ascii="Arial" w:hAnsi="Arial" w:cs="Arial"/>
        </w:rPr>
        <w:instrText xml:space="preserve"> ADDIN EN.CITE &lt;EndNote&gt;&lt;Cite&gt;&lt;Author&gt;EMA/CHMP&lt;/Author&gt;&lt;Year&gt;2014&lt;/Year&gt;&lt;RecNum&gt;6&lt;/RecNum&gt;&lt;record&gt;&lt;rec-number&gt;6&lt;/rec-number&gt;&lt;foreign-keys&gt;&lt;key app="EN" db-id="tewdd9x230ezflewprwvexdiw5v9f90tvfdv"&gt;6&lt;/key&gt;&lt;/foreign-keys&gt;&lt;ref-type name="Report"&gt;27&lt;/ref-type&gt;&lt;contributors&gt;&lt;authors&gt;&lt;author&gt;EMA/CHMP&lt;/author&gt;&lt;/authors&gt;&lt;/contributors&gt;&lt;titles&gt;&lt;title&gt;Guideline on similar biological medicinal products&lt;/title&gt;&lt;/titles&gt;&lt;dates&gt;&lt;year&gt;2014&lt;/year&gt;&lt;/dates&gt;&lt;urls&gt;&lt;related-urls&gt;&lt;url&gt;http://www.ema.europa.eu/docs/en_GB/document_library/Scientific_guideline/2014/10/WC500176768.pdf&lt;/url&gt;&lt;/related-urls&gt;&lt;/urls&gt;&lt;/record&gt;&lt;/Cite&gt;&lt;/EndNote&gt;</w:instrText>
      </w:r>
      <w:r w:rsidR="007270E6" w:rsidRPr="00903F77">
        <w:rPr>
          <w:rFonts w:ascii="Arial" w:hAnsi="Arial" w:cs="Arial"/>
        </w:rPr>
        <w:fldChar w:fldCharType="separate"/>
      </w:r>
      <w:r w:rsidRPr="00903F77">
        <w:rPr>
          <w:rFonts w:ascii="Arial" w:hAnsi="Arial" w:cs="Arial"/>
        </w:rPr>
        <w:t>[4]</w:t>
      </w:r>
      <w:r w:rsidR="007270E6" w:rsidRPr="00903F77">
        <w:rPr>
          <w:rFonts w:ascii="Arial" w:hAnsi="Arial" w:cs="Arial"/>
        </w:rPr>
        <w:fldChar w:fldCharType="end"/>
      </w:r>
      <w:r w:rsidRPr="00903F77">
        <w:rPr>
          <w:rFonts w:ascii="Arial" w:hAnsi="Arial" w:cs="Arial"/>
        </w:rPr>
        <w:t xml:space="preserve">.  A biosimilar form of originator Remicade (infliximab), </w:t>
      </w:r>
      <w:r w:rsidR="009479E0">
        <w:rPr>
          <w:rFonts w:ascii="Arial" w:hAnsi="Arial" w:cs="Arial"/>
        </w:rPr>
        <w:t>initially called</w:t>
      </w:r>
      <w:r w:rsidRPr="00903F77">
        <w:rPr>
          <w:rFonts w:ascii="Arial" w:hAnsi="Arial" w:cs="Arial"/>
        </w:rPr>
        <w:t xml:space="preserve"> CT-P13, was approved for use in Europe in 2013</w:t>
      </w:r>
      <w:r w:rsidR="0075780E">
        <w:rPr>
          <w:rFonts w:ascii="Arial" w:hAnsi="Arial" w:cs="Arial"/>
        </w:rPr>
        <w:t xml:space="preserve"> </w:t>
      </w:r>
      <w:r w:rsidR="007270E6" w:rsidRPr="00903F77">
        <w:rPr>
          <w:rFonts w:ascii="Arial" w:hAnsi="Arial" w:cs="Arial"/>
        </w:rPr>
        <w:fldChar w:fldCharType="begin"/>
      </w:r>
      <w:r w:rsidRPr="00903F77">
        <w:rPr>
          <w:rFonts w:ascii="Arial" w:hAnsi="Arial" w:cs="Arial"/>
        </w:rPr>
        <w:instrText xml:space="preserve"> ADDIN EN.CITE &lt;EndNote&gt;&lt;Cite&gt;&lt;Author&gt;EMA/CHMP&lt;/Author&gt;&lt;Year&gt;2013&lt;/Year&gt;&lt;RecNum&gt;4&lt;/RecNum&gt;&lt;record&gt;&lt;rec-number&gt;4&lt;/rec-number&gt;&lt;foreign-keys&gt;&lt;key app="EN" db-id="tewdd9x230ezflewprwvexdiw5v9f90tvfdv"&gt;4&lt;/key&gt;&lt;/foreign-keys&gt;&lt;ref-type name="Report"&gt;27&lt;/ref-type&gt;&lt;contributors&gt;&lt;authors&gt;&lt;author&gt;EMA/CHMP&lt;/author&gt;&lt;/authors&gt;&lt;/contributors&gt;&lt;titles&gt;&lt;title&gt;Remsima Assessment Report&lt;/title&gt;&lt;/titles&gt;&lt;dates&gt;&lt;year&gt;2013&lt;/year&gt;&lt;/dates&gt;&lt;publisher&gt;European Medicines Agency&lt;/publisher&gt;&lt;urls&gt;&lt;related-urls&gt;&lt;url&gt;http://www.ema.europa.eu/docs/en_GB/document_library/EPAR_-_Public_assessment_report/human/002576/WC500151486.pdf&lt;/url&gt;&lt;/related-urls&gt;&lt;/urls&gt;&lt;/record&gt;&lt;/Cite&gt;&lt;/EndNote&gt;</w:instrText>
      </w:r>
      <w:r w:rsidR="007270E6" w:rsidRPr="00903F77">
        <w:rPr>
          <w:rFonts w:ascii="Arial" w:hAnsi="Arial" w:cs="Arial"/>
        </w:rPr>
        <w:fldChar w:fldCharType="separate"/>
      </w:r>
      <w:r w:rsidRPr="00903F77">
        <w:rPr>
          <w:rFonts w:ascii="Arial" w:hAnsi="Arial" w:cs="Arial"/>
        </w:rPr>
        <w:t>[1]</w:t>
      </w:r>
      <w:r w:rsidR="007270E6" w:rsidRPr="00903F77">
        <w:rPr>
          <w:rFonts w:ascii="Arial" w:hAnsi="Arial" w:cs="Arial"/>
        </w:rPr>
        <w:fldChar w:fldCharType="end"/>
      </w:r>
      <w:r w:rsidRPr="00903F77">
        <w:rPr>
          <w:rFonts w:ascii="Arial" w:hAnsi="Arial" w:cs="Arial"/>
        </w:rPr>
        <w:t>. The guidelines for evaluation of a biosimilar product are stringent</w:t>
      </w:r>
      <w:r w:rsidR="0075780E">
        <w:rPr>
          <w:rFonts w:ascii="Arial" w:hAnsi="Arial" w:cs="Arial"/>
        </w:rPr>
        <w:t xml:space="preserve"> </w:t>
      </w:r>
      <w:r w:rsidR="007270E6" w:rsidRPr="00903F77">
        <w:rPr>
          <w:rFonts w:ascii="Arial" w:hAnsi="Arial" w:cs="Arial"/>
        </w:rPr>
        <w:fldChar w:fldCharType="begin"/>
      </w:r>
      <w:r w:rsidRPr="00903F77">
        <w:rPr>
          <w:rFonts w:ascii="Arial" w:hAnsi="Arial" w:cs="Arial"/>
        </w:rPr>
        <w:instrText xml:space="preserve"> ADDIN EN.CITE &lt;EndNote&gt;&lt;Cite&gt;&lt;Author&gt;WHO&lt;/Author&gt;&lt;Year&gt;2009&lt;/Year&gt;&lt;RecNum&gt;9&lt;/RecNum&gt;&lt;record&gt;&lt;rec-number&gt;9&lt;/rec-number&gt;&lt;foreign-keys&gt;&lt;key app="EN" db-id="tewdd9x230ezflewprwvexdiw5v9f90tvfdv"&gt;9&lt;/key&gt;&lt;/foreign-keys&gt;&lt;ref-type name="Report"&gt;27&lt;/ref-type&gt;&lt;contributors&gt;&lt;authors&gt;&lt;author&gt;WHO &lt;/author&gt;&lt;/authors&gt;&lt;/contributors&gt;&lt;titles&gt;&lt;title&gt;Guidelines on evaluation of similar Biotherapeutic Products (SBPs), Annex 2, Technical Report Series No. 977&lt;/title&gt;&lt;/titles&gt;&lt;dates&gt;&lt;year&gt;2009&lt;/year&gt;&lt;/dates&gt;&lt;publisher&gt;Expert Committee on Biological Standardization&lt;/publisher&gt;&lt;urls&gt;&lt;related-urls&gt;&lt;url&gt;http://www.who.int/biologicals/publications/trs/areas/biological_therapeutics/TRS_977_Annex_2.pdf?ua=1&lt;/url&gt;&lt;/related-urls&gt;&lt;/urls&gt;&lt;/record&gt;&lt;/Cite&gt;&lt;/EndNote&gt;</w:instrText>
      </w:r>
      <w:r w:rsidR="007270E6" w:rsidRPr="00903F77">
        <w:rPr>
          <w:rFonts w:ascii="Arial" w:hAnsi="Arial" w:cs="Arial"/>
        </w:rPr>
        <w:fldChar w:fldCharType="separate"/>
      </w:r>
      <w:r w:rsidRPr="00903F77">
        <w:rPr>
          <w:rFonts w:ascii="Arial" w:hAnsi="Arial" w:cs="Arial"/>
        </w:rPr>
        <w:t>[5]</w:t>
      </w:r>
      <w:r w:rsidR="007270E6" w:rsidRPr="00903F77">
        <w:rPr>
          <w:rFonts w:ascii="Arial" w:hAnsi="Arial" w:cs="Arial"/>
        </w:rPr>
        <w:fldChar w:fldCharType="end"/>
      </w:r>
      <w:r w:rsidR="007270E6" w:rsidRPr="00903F77">
        <w:rPr>
          <w:rFonts w:ascii="Arial" w:hAnsi="Arial" w:cs="Arial"/>
        </w:rPr>
        <w:fldChar w:fldCharType="begin"/>
      </w:r>
      <w:r w:rsidRPr="00903F77">
        <w:rPr>
          <w:rFonts w:ascii="Arial" w:hAnsi="Arial" w:cs="Arial"/>
        </w:rPr>
        <w:instrText xml:space="preserve"> ADDIN EN.CITE &lt;EndNote&gt;&lt;Cite&gt;&lt;Author&gt;EMA/CHMP&lt;/Author&gt;&lt;Year&gt;2014&lt;/Year&gt;&lt;RecNum&gt;6&lt;/RecNum&gt;&lt;record&gt;&lt;rec-number&gt;6&lt;/rec-number&gt;&lt;foreign-keys&gt;&lt;key app="EN" db-id="tewdd9x230ezflewprwvexdiw5v9f90tvfdv"&gt;6&lt;/key&gt;&lt;/foreign-keys&gt;&lt;ref-type name="Report"&gt;27&lt;/ref-type&gt;&lt;contributors&gt;&lt;authors&gt;&lt;author&gt;EMA/CHMP&lt;/author&gt;&lt;/authors&gt;&lt;/contributors&gt;&lt;titles&gt;&lt;title&gt;Guideline on similar biological medicinal products&lt;/title&gt;&lt;/titles&gt;&lt;dates&gt;&lt;year&gt;2014&lt;/year&gt;&lt;/dates&gt;&lt;urls&gt;&lt;related-urls&gt;&lt;url&gt;http://www.ema.europa.eu/docs/en_GB/document_library/Scientific_guideline/2014/10/WC500176768.pdf&lt;/url&gt;&lt;/related-urls&gt;&lt;/urls&gt;&lt;/record&gt;&lt;/Cite&gt;&lt;/EndNote&gt;</w:instrText>
      </w:r>
      <w:r w:rsidR="007270E6" w:rsidRPr="00903F77">
        <w:rPr>
          <w:rFonts w:ascii="Arial" w:hAnsi="Arial" w:cs="Arial"/>
        </w:rPr>
        <w:fldChar w:fldCharType="separate"/>
      </w:r>
      <w:r w:rsidRPr="00903F77">
        <w:rPr>
          <w:rFonts w:ascii="Arial" w:hAnsi="Arial" w:cs="Arial"/>
        </w:rPr>
        <w:t>[4]</w:t>
      </w:r>
      <w:r w:rsidR="007270E6" w:rsidRPr="00903F77">
        <w:rPr>
          <w:rFonts w:ascii="Arial" w:hAnsi="Arial" w:cs="Arial"/>
        </w:rPr>
        <w:fldChar w:fldCharType="end"/>
      </w:r>
      <w:r w:rsidRPr="00903F77">
        <w:rPr>
          <w:rFonts w:ascii="Arial" w:hAnsi="Arial" w:cs="Arial"/>
        </w:rPr>
        <w:t>.  A randomised, international, phase III study has compared CT-P13 biosimilar infliximab with the originator product Remicade (infliximab), and demonstrated no difference in clinical efficacy or safety in patients with</w:t>
      </w:r>
      <w:r w:rsidR="00351916">
        <w:rPr>
          <w:rFonts w:ascii="Arial" w:hAnsi="Arial" w:cs="Arial"/>
        </w:rPr>
        <w:t xml:space="preserve"> </w:t>
      </w:r>
      <w:r w:rsidRPr="00903F77">
        <w:rPr>
          <w:rFonts w:ascii="Arial" w:hAnsi="Arial" w:cs="Arial"/>
        </w:rPr>
        <w:t>RA</w:t>
      </w:r>
      <w:r w:rsidR="007270E6" w:rsidRPr="00903F77">
        <w:rPr>
          <w:rFonts w:ascii="Arial" w:hAnsi="Arial" w:cs="Arial"/>
        </w:rPr>
        <w:fldChar w:fldCharType="begin"/>
      </w:r>
      <w:r w:rsidRPr="00903F77">
        <w:rPr>
          <w:rFonts w:ascii="Arial" w:hAnsi="Arial" w:cs="Arial"/>
        </w:rPr>
        <w:instrText xml:space="preserve"> ADDIN EN.CITE &lt;EndNote&gt;&lt;Cite&gt;&lt;Author&gt;Yoo&lt;/Author&gt;&lt;RecNum&gt;3&lt;/RecNum&gt;&lt;record&gt;&lt;rec-number&gt;3&lt;/rec-number&gt;&lt;foreign-keys&gt;&lt;key app="EN" db-id="tewdd9x230ezflewprwvexdiw5v9f90tvfdv"&gt;3&lt;/key&gt;&lt;/foreign-keys&gt;&lt;ref-type name="Journal Article"&gt;17&lt;/ref-type&gt;&lt;contributors&gt;&lt;authors&gt;&lt;author&gt;Yoo, Dae Hyun&lt;/author&gt;&lt;author&gt;Racewicz, Artur&lt;/author&gt;&lt;author&gt;Brzezicki, Jan&lt;/author&gt;&lt;author&gt;Yatsyshyn, Roman&lt;/author&gt;&lt;author&gt;Arteaga, Edgardo Tobias&lt;/author&gt;&lt;author&gt;Baranauskaite, Asta&lt;/author&gt;&lt;author&gt;Abud-Mendoza, Carlos&lt;/author&gt;&lt;author&gt;Navarra, Sandra&lt;/author&gt;&lt;author&gt;Kadinov, Vladimir&lt;/author&gt;&lt;author&gt;Sariego, Irmgadt Goecke&lt;/author&gt;&lt;author&gt;Hong, Seung Suh&lt;/author&gt;&lt;author&gt;Lee, Sung Young&lt;/author&gt;&lt;author&gt;Park, Won&lt;/author&gt;&lt;/authors&gt;&lt;/contributors&gt;&lt;titles&gt;&lt;title&gt;A phase III randomized study to evaluate the efficacy and safety of CT-P13 compared with reference infliximab in patients with active rheumatoid arthritis: 54-week results from the PLANETRA study&lt;/title&gt;&lt;secondary-title&gt;Arthritis Research &amp;amp; Therapy&lt;/secondary-title&gt;&lt;/titles&gt;&lt;periodical&gt;&lt;full-title&gt;Arthritis Research &amp;amp; Therapy&lt;/full-title&gt;&lt;/periodical&gt;&lt;pages&gt;82&lt;/pages&gt;&lt;volume&gt;18&lt;/volume&gt;&lt;dates&gt;&lt;/dates&gt;&lt;pub-location&gt;London&lt;/pub-location&gt;&lt;publisher&gt;BioMed Central&lt;/publisher&gt;&lt;isbn&gt;1478-6354&amp;#xD;1478-6362&lt;/isbn&gt;&lt;urls&gt;&lt;related-urls&gt;&lt;url&gt;http://www.ncbi.nlm.nih.gov/pmc/articles/PMC4818886/&lt;/url&gt;&lt;/related-urls&gt;&lt;/urls&gt;&lt;electronic-resource-num&gt;10.1186/s13075-016-0981-6&lt;/electronic-resource-num&gt;&lt;/record&gt;&lt;/Cite&gt;&lt;/EndNote&gt;</w:instrText>
      </w:r>
      <w:r w:rsidR="007270E6" w:rsidRPr="00903F77">
        <w:rPr>
          <w:rFonts w:ascii="Arial" w:hAnsi="Arial" w:cs="Arial"/>
        </w:rPr>
        <w:fldChar w:fldCharType="separate"/>
      </w:r>
      <w:r w:rsidRPr="00903F77">
        <w:rPr>
          <w:rFonts w:ascii="Arial" w:hAnsi="Arial" w:cs="Arial"/>
        </w:rPr>
        <w:t>[6]</w:t>
      </w:r>
      <w:r w:rsidR="007270E6" w:rsidRPr="00903F77">
        <w:rPr>
          <w:rFonts w:ascii="Arial" w:hAnsi="Arial" w:cs="Arial"/>
        </w:rPr>
        <w:fldChar w:fldCharType="end"/>
      </w:r>
      <w:r w:rsidRPr="00903F77">
        <w:rPr>
          <w:rFonts w:ascii="Arial" w:hAnsi="Arial" w:cs="Arial"/>
        </w:rPr>
        <w:t xml:space="preserve">.  However, adoption of biosimilar infliximab in </w:t>
      </w:r>
      <w:r w:rsidR="00E67B40">
        <w:rPr>
          <w:rFonts w:ascii="Arial" w:hAnsi="Arial" w:cs="Arial"/>
        </w:rPr>
        <w:t xml:space="preserve">UK </w:t>
      </w:r>
      <w:r w:rsidRPr="00903F77">
        <w:rPr>
          <w:rFonts w:ascii="Arial" w:hAnsi="Arial" w:cs="Arial"/>
        </w:rPr>
        <w:t xml:space="preserve">clinical practice remains limited.  </w:t>
      </w:r>
    </w:p>
    <w:p w:rsidR="00184030" w:rsidRPr="00903F77" w:rsidRDefault="00184030" w:rsidP="00494BB4">
      <w:pPr>
        <w:spacing w:after="0" w:line="480" w:lineRule="auto"/>
        <w:jc w:val="both"/>
        <w:rPr>
          <w:rFonts w:ascii="Arial" w:hAnsi="Arial" w:cs="Arial"/>
        </w:rPr>
      </w:pPr>
      <w:r w:rsidRPr="00903F77">
        <w:rPr>
          <w:rFonts w:ascii="Arial" w:hAnsi="Arial" w:cs="Arial"/>
        </w:rPr>
        <w:t>The aim of this study was to provide real-world UK follow-up data comparing treatment of inflammatory arthritis</w:t>
      </w:r>
      <w:r w:rsidR="003F0FAA">
        <w:rPr>
          <w:rFonts w:ascii="Arial" w:hAnsi="Arial" w:cs="Arial"/>
        </w:rPr>
        <w:t xml:space="preserve"> (IA)</w:t>
      </w:r>
      <w:r w:rsidRPr="00903F77">
        <w:rPr>
          <w:rFonts w:ascii="Arial" w:hAnsi="Arial" w:cs="Arial"/>
        </w:rPr>
        <w:t xml:space="preserve"> with Remicade </w:t>
      </w:r>
      <w:r w:rsidRPr="00903F77">
        <w:rPr>
          <w:rFonts w:ascii="Arial" w:hAnsi="Arial" w:cs="Arial"/>
        </w:rPr>
        <w:lastRenderedPageBreak/>
        <w:t>(infliximab) versus the biosimilar agent Inflectra (infliximab)</w:t>
      </w:r>
      <w:r w:rsidR="00B42554">
        <w:rPr>
          <w:rFonts w:ascii="Arial" w:hAnsi="Arial" w:cs="Arial"/>
        </w:rPr>
        <w:t>.</w:t>
      </w:r>
      <w:r w:rsidRPr="00903F77">
        <w:rPr>
          <w:rFonts w:ascii="Arial" w:hAnsi="Arial" w:cs="Arial"/>
        </w:rPr>
        <w:t xml:space="preserve">  </w:t>
      </w:r>
      <w:r w:rsidR="00024D12">
        <w:rPr>
          <w:rFonts w:ascii="Arial" w:hAnsi="Arial" w:cs="Arial"/>
        </w:rPr>
        <w:t xml:space="preserve">Due to current UK rules governing the use of biological therapies all patients had severe, longstanding </w:t>
      </w:r>
      <w:r w:rsidR="003F0FAA">
        <w:rPr>
          <w:rFonts w:ascii="Arial" w:hAnsi="Arial" w:cs="Arial"/>
        </w:rPr>
        <w:t>IA</w:t>
      </w:r>
      <w:r w:rsidR="00024D12">
        <w:rPr>
          <w:rFonts w:ascii="Arial" w:hAnsi="Arial" w:cs="Arial"/>
        </w:rPr>
        <w:t>.</w:t>
      </w:r>
    </w:p>
    <w:p w:rsidR="00184030" w:rsidRPr="00903F77" w:rsidRDefault="00184030" w:rsidP="00494BB4">
      <w:pPr>
        <w:spacing w:after="0" w:line="480" w:lineRule="auto"/>
        <w:jc w:val="both"/>
        <w:rPr>
          <w:rFonts w:ascii="Arial" w:hAnsi="Arial" w:cs="Arial"/>
        </w:rPr>
      </w:pPr>
    </w:p>
    <w:p w:rsidR="00184030" w:rsidRPr="00903F77" w:rsidRDefault="00184030" w:rsidP="00494BB4">
      <w:pPr>
        <w:spacing w:after="0" w:line="480" w:lineRule="auto"/>
        <w:jc w:val="both"/>
        <w:rPr>
          <w:rFonts w:ascii="Arial" w:hAnsi="Arial" w:cs="Arial"/>
        </w:rPr>
      </w:pPr>
    </w:p>
    <w:p w:rsidR="00184030" w:rsidRPr="00903F77" w:rsidRDefault="00184030" w:rsidP="00494BB4">
      <w:pPr>
        <w:spacing w:after="0" w:line="480" w:lineRule="auto"/>
        <w:jc w:val="both"/>
        <w:rPr>
          <w:rFonts w:ascii="Arial" w:hAnsi="Arial" w:cs="Arial"/>
        </w:rPr>
      </w:pPr>
      <w:r w:rsidRPr="00903F77">
        <w:rPr>
          <w:rFonts w:ascii="Arial" w:hAnsi="Arial" w:cs="Arial"/>
        </w:rPr>
        <w:br w:type="page"/>
      </w:r>
    </w:p>
    <w:p w:rsidR="00184030" w:rsidRPr="00F4011A" w:rsidRDefault="00184030" w:rsidP="00494BB4">
      <w:pPr>
        <w:spacing w:after="0" w:line="480" w:lineRule="auto"/>
        <w:jc w:val="both"/>
        <w:rPr>
          <w:rFonts w:ascii="Arial" w:hAnsi="Arial" w:cs="Arial"/>
          <w:b/>
        </w:rPr>
      </w:pPr>
      <w:r w:rsidRPr="00F4011A">
        <w:rPr>
          <w:rFonts w:ascii="Arial" w:hAnsi="Arial" w:cs="Arial"/>
          <w:b/>
        </w:rPr>
        <w:lastRenderedPageBreak/>
        <w:t>Methods</w:t>
      </w:r>
    </w:p>
    <w:p w:rsidR="00184030" w:rsidRPr="00903F77" w:rsidRDefault="00184030" w:rsidP="00494BB4">
      <w:pPr>
        <w:spacing w:after="0" w:line="480" w:lineRule="auto"/>
        <w:jc w:val="both"/>
        <w:rPr>
          <w:rFonts w:ascii="Arial" w:hAnsi="Arial" w:cs="Arial"/>
        </w:rPr>
      </w:pPr>
      <w:r w:rsidRPr="00903F77">
        <w:rPr>
          <w:rFonts w:ascii="Arial" w:hAnsi="Arial" w:cs="Arial"/>
        </w:rPr>
        <w:t>The Southampton Biological Therapies Review Service</w:t>
      </w:r>
      <w:r w:rsidR="00351916">
        <w:rPr>
          <w:rFonts w:ascii="Arial" w:hAnsi="Arial" w:cs="Arial"/>
        </w:rPr>
        <w:t xml:space="preserve"> </w:t>
      </w:r>
      <w:r w:rsidRPr="00903F77">
        <w:rPr>
          <w:rFonts w:ascii="Arial" w:hAnsi="Arial" w:cs="Arial"/>
        </w:rPr>
        <w:t>is provided by a dedicated consultant rheumatologist, specialist nurse and pharmacist.  Patients</w:t>
      </w:r>
      <w:r w:rsidR="000308E5">
        <w:rPr>
          <w:rFonts w:ascii="Arial" w:hAnsi="Arial" w:cs="Arial"/>
        </w:rPr>
        <w:t xml:space="preserve"> receiving biological therapy for </w:t>
      </w:r>
      <w:r w:rsidR="003F0FAA">
        <w:rPr>
          <w:rFonts w:ascii="Arial" w:hAnsi="Arial" w:cs="Arial"/>
        </w:rPr>
        <w:t xml:space="preserve">IA </w:t>
      </w:r>
      <w:r w:rsidR="00DC599C">
        <w:rPr>
          <w:rFonts w:ascii="Arial" w:hAnsi="Arial" w:cs="Arial"/>
        </w:rPr>
        <w:t>(RA, PsA &amp; AS)</w:t>
      </w:r>
      <w:r w:rsidRPr="00903F77">
        <w:rPr>
          <w:rFonts w:ascii="Arial" w:hAnsi="Arial" w:cs="Arial"/>
        </w:rPr>
        <w:t xml:space="preserve"> are reviewed every 3 to 6 months in </w:t>
      </w:r>
      <w:r w:rsidR="009479E0">
        <w:rPr>
          <w:rFonts w:ascii="Arial" w:hAnsi="Arial" w:cs="Arial"/>
        </w:rPr>
        <w:t xml:space="preserve">the </w:t>
      </w:r>
      <w:r w:rsidRPr="00903F77">
        <w:rPr>
          <w:rFonts w:ascii="Arial" w:hAnsi="Arial" w:cs="Arial"/>
        </w:rPr>
        <w:t>outpatient clinic, and all data are recorded in a custom made database</w:t>
      </w:r>
      <w:r w:rsidR="000308E5" w:rsidRPr="00903F77">
        <w:rPr>
          <w:rFonts w:ascii="Arial" w:hAnsi="Arial" w:cs="Arial"/>
        </w:rPr>
        <w:t xml:space="preserve">, </w:t>
      </w:r>
      <w:r w:rsidR="000308E5">
        <w:rPr>
          <w:rFonts w:ascii="Arial" w:hAnsi="Arial" w:cs="Arial"/>
        </w:rPr>
        <w:t>created using Oracle Application Express (Oracle Corp. California, USA</w:t>
      </w:r>
      <w:r w:rsidR="000308E5" w:rsidRPr="00903F77">
        <w:rPr>
          <w:rFonts w:ascii="Arial" w:hAnsi="Arial" w:cs="Arial"/>
        </w:rPr>
        <w:t>.</w:t>
      </w:r>
    </w:p>
    <w:p w:rsidR="00184030" w:rsidRPr="00903F77" w:rsidRDefault="00024D12" w:rsidP="00494BB4">
      <w:pPr>
        <w:spacing w:after="0" w:line="480" w:lineRule="auto"/>
        <w:jc w:val="both"/>
        <w:rPr>
          <w:rFonts w:ascii="Arial" w:hAnsi="Arial" w:cs="Arial"/>
        </w:rPr>
      </w:pPr>
      <w:r w:rsidRPr="00903F77">
        <w:rPr>
          <w:rFonts w:ascii="Arial" w:hAnsi="Arial" w:cs="Arial"/>
        </w:rPr>
        <w:t xml:space="preserve">All patients receiving Inflectra (infliximab) were identified, and patients who commenced treatment without prior use of Remicade (infliximab) were excluded (n=6).  </w:t>
      </w:r>
      <w:r w:rsidR="00184030" w:rsidRPr="00903F77">
        <w:rPr>
          <w:rFonts w:ascii="Arial" w:hAnsi="Arial" w:cs="Arial"/>
        </w:rPr>
        <w:t xml:space="preserve">All </w:t>
      </w:r>
      <w:r w:rsidR="00DC599C">
        <w:rPr>
          <w:rFonts w:ascii="Arial" w:hAnsi="Arial" w:cs="Arial"/>
        </w:rPr>
        <w:t xml:space="preserve">existing </w:t>
      </w:r>
      <w:r w:rsidR="00184030" w:rsidRPr="00903F77">
        <w:rPr>
          <w:rFonts w:ascii="Arial" w:hAnsi="Arial" w:cs="Arial"/>
        </w:rPr>
        <w:t xml:space="preserve">patients receiving Remicade (infliximab) were switched to biosimilar Inflectra (infliximab) from May 2015 onwards.  </w:t>
      </w:r>
      <w:r w:rsidR="00DC599C">
        <w:rPr>
          <w:rFonts w:ascii="Arial" w:hAnsi="Arial" w:cs="Arial"/>
        </w:rPr>
        <w:t>A</w:t>
      </w:r>
      <w:r w:rsidR="00DC599C" w:rsidRPr="00903F77">
        <w:rPr>
          <w:rFonts w:ascii="Arial" w:hAnsi="Arial" w:cs="Arial"/>
        </w:rPr>
        <w:t xml:space="preserve"> </w:t>
      </w:r>
      <w:r w:rsidR="00184030" w:rsidRPr="00903F77">
        <w:rPr>
          <w:rFonts w:ascii="Arial" w:hAnsi="Arial" w:cs="Arial"/>
        </w:rPr>
        <w:t>consultant rheumatologist discussed the potential switch with all patients in clinic</w:t>
      </w:r>
      <w:r w:rsidR="009770BD">
        <w:rPr>
          <w:rFonts w:ascii="Arial" w:hAnsi="Arial" w:cs="Arial"/>
        </w:rPr>
        <w:t xml:space="preserve"> in advance</w:t>
      </w:r>
      <w:r w:rsidR="00DC599C">
        <w:rPr>
          <w:rFonts w:ascii="Arial" w:hAnsi="Arial" w:cs="Arial"/>
        </w:rPr>
        <w:t xml:space="preserve"> and a</w:t>
      </w:r>
      <w:r w:rsidR="00184030" w:rsidRPr="00903F77">
        <w:rPr>
          <w:rFonts w:ascii="Arial" w:hAnsi="Arial" w:cs="Arial"/>
        </w:rPr>
        <w:t xml:space="preserve"> letter giving details of the switch</w:t>
      </w:r>
      <w:r w:rsidR="00E67B40">
        <w:rPr>
          <w:rFonts w:ascii="Arial" w:hAnsi="Arial" w:cs="Arial"/>
        </w:rPr>
        <w:t xml:space="preserve">, </w:t>
      </w:r>
      <w:r w:rsidR="009770BD">
        <w:rPr>
          <w:rFonts w:ascii="Arial" w:hAnsi="Arial" w:cs="Arial"/>
        </w:rPr>
        <w:t>a</w:t>
      </w:r>
      <w:r w:rsidR="00184030" w:rsidRPr="00903F77">
        <w:rPr>
          <w:rFonts w:ascii="Arial" w:hAnsi="Arial" w:cs="Arial"/>
        </w:rPr>
        <w:t xml:space="preserve">n Inflectra (infliximab) information sheet </w:t>
      </w:r>
      <w:r w:rsidR="00E67B40">
        <w:rPr>
          <w:rFonts w:ascii="Arial" w:hAnsi="Arial" w:cs="Arial"/>
        </w:rPr>
        <w:t xml:space="preserve">and a helpline number for further questions </w:t>
      </w:r>
      <w:r w:rsidR="0059191A">
        <w:rPr>
          <w:rFonts w:ascii="Arial" w:hAnsi="Arial" w:cs="Arial"/>
        </w:rPr>
        <w:t>w</w:t>
      </w:r>
      <w:r w:rsidR="00E67B40">
        <w:rPr>
          <w:rFonts w:ascii="Arial" w:hAnsi="Arial" w:cs="Arial"/>
        </w:rPr>
        <w:t>ere</w:t>
      </w:r>
      <w:r w:rsidR="0059191A">
        <w:rPr>
          <w:rFonts w:ascii="Arial" w:hAnsi="Arial" w:cs="Arial"/>
        </w:rPr>
        <w:t xml:space="preserve"> sent to each patient</w:t>
      </w:r>
      <w:r w:rsidR="00E67B40">
        <w:rPr>
          <w:rFonts w:ascii="Arial" w:hAnsi="Arial" w:cs="Arial"/>
        </w:rPr>
        <w:t>.</w:t>
      </w:r>
      <w:r w:rsidR="00184030" w:rsidRPr="00903F77">
        <w:rPr>
          <w:rFonts w:ascii="Arial" w:hAnsi="Arial" w:cs="Arial"/>
        </w:rPr>
        <w:t xml:space="preserve">  Patients were invited to discuss the switch in clinic, or at their next infusion unit</w:t>
      </w:r>
      <w:r w:rsidR="00DC599C">
        <w:rPr>
          <w:rFonts w:ascii="Arial" w:hAnsi="Arial" w:cs="Arial"/>
        </w:rPr>
        <w:t xml:space="preserve"> </w:t>
      </w:r>
      <w:r w:rsidR="00184030" w:rsidRPr="00903F77">
        <w:rPr>
          <w:rFonts w:ascii="Arial" w:hAnsi="Arial" w:cs="Arial"/>
        </w:rPr>
        <w:t>attendance</w:t>
      </w:r>
      <w:r w:rsidR="007476FC">
        <w:rPr>
          <w:rFonts w:ascii="Arial" w:hAnsi="Arial" w:cs="Arial"/>
        </w:rPr>
        <w:t>.</w:t>
      </w:r>
      <w:r w:rsidR="00184030" w:rsidRPr="00903F77">
        <w:rPr>
          <w:rFonts w:ascii="Arial" w:hAnsi="Arial" w:cs="Arial"/>
        </w:rPr>
        <w:t xml:space="preserve">  </w:t>
      </w:r>
      <w:r w:rsidR="00DC599C">
        <w:rPr>
          <w:rFonts w:ascii="Arial" w:hAnsi="Arial" w:cs="Arial"/>
        </w:rPr>
        <w:t>Using this process a</w:t>
      </w:r>
      <w:r w:rsidR="00184030" w:rsidRPr="00903F77">
        <w:rPr>
          <w:rFonts w:ascii="Arial" w:hAnsi="Arial" w:cs="Arial"/>
        </w:rPr>
        <w:t>ll patients agreed to switch to the biosimilar Inflectra (infliximab).</w:t>
      </w:r>
    </w:p>
    <w:p w:rsidR="009479E0" w:rsidRDefault="00EC040B" w:rsidP="00494BB4">
      <w:pPr>
        <w:spacing w:after="0" w:line="480" w:lineRule="auto"/>
        <w:jc w:val="both"/>
        <w:rPr>
          <w:rFonts w:ascii="Arial" w:hAnsi="Arial" w:cs="Arial"/>
        </w:rPr>
      </w:pPr>
      <w:r>
        <w:rPr>
          <w:rFonts w:ascii="Arial" w:hAnsi="Arial" w:cs="Arial"/>
        </w:rPr>
        <w:lastRenderedPageBreak/>
        <w:t xml:space="preserve">All patients switched to Inflectra (infliximab) </w:t>
      </w:r>
      <w:r w:rsidR="00DC599C">
        <w:rPr>
          <w:rFonts w:ascii="Arial" w:hAnsi="Arial" w:cs="Arial"/>
        </w:rPr>
        <w:t>were continued on</w:t>
      </w:r>
      <w:r w:rsidR="00DC599C" w:rsidRPr="00903F77">
        <w:rPr>
          <w:rFonts w:ascii="Arial" w:hAnsi="Arial" w:cs="Arial"/>
        </w:rPr>
        <w:t xml:space="preserve"> </w:t>
      </w:r>
      <w:r w:rsidRPr="00903F77">
        <w:rPr>
          <w:rFonts w:ascii="Arial" w:hAnsi="Arial" w:cs="Arial"/>
        </w:rPr>
        <w:t xml:space="preserve">the same dose (3 or 5 mg/kg) </w:t>
      </w:r>
      <w:r w:rsidR="00DC599C">
        <w:rPr>
          <w:rFonts w:ascii="Arial" w:hAnsi="Arial" w:cs="Arial"/>
        </w:rPr>
        <w:t>that they used for</w:t>
      </w:r>
      <w:r w:rsidRPr="00903F77">
        <w:rPr>
          <w:rFonts w:ascii="Arial" w:hAnsi="Arial" w:cs="Arial"/>
        </w:rPr>
        <w:t xml:space="preserve"> Remicade</w:t>
      </w:r>
      <w:r>
        <w:rPr>
          <w:rFonts w:ascii="Arial" w:hAnsi="Arial" w:cs="Arial"/>
        </w:rPr>
        <w:t xml:space="preserve"> (infliximab)</w:t>
      </w:r>
      <w:r w:rsidR="00B61C86">
        <w:rPr>
          <w:rFonts w:ascii="Arial" w:hAnsi="Arial" w:cs="Arial"/>
        </w:rPr>
        <w:t xml:space="preserve">. </w:t>
      </w:r>
      <w:r w:rsidR="00184030" w:rsidRPr="00903F77">
        <w:rPr>
          <w:rFonts w:ascii="Arial" w:hAnsi="Arial" w:cs="Arial"/>
        </w:rPr>
        <w:t xml:space="preserve">The infusion </w:t>
      </w:r>
      <w:r w:rsidR="00D10D92">
        <w:rPr>
          <w:rFonts w:ascii="Arial" w:hAnsi="Arial" w:cs="Arial"/>
        </w:rPr>
        <w:t xml:space="preserve">rate </w:t>
      </w:r>
      <w:r w:rsidR="00184030" w:rsidRPr="00903F77">
        <w:rPr>
          <w:rFonts w:ascii="Arial" w:hAnsi="Arial" w:cs="Arial"/>
        </w:rPr>
        <w:t>was decreased to run over 2 hours</w:t>
      </w:r>
      <w:r w:rsidR="006C153D">
        <w:rPr>
          <w:rFonts w:ascii="Arial" w:hAnsi="Arial" w:cs="Arial"/>
        </w:rPr>
        <w:t xml:space="preserve"> from 1 hour</w:t>
      </w:r>
      <w:r w:rsidR="00351916">
        <w:rPr>
          <w:rFonts w:ascii="Arial" w:hAnsi="Arial" w:cs="Arial"/>
        </w:rPr>
        <w:t xml:space="preserve"> </w:t>
      </w:r>
      <w:r w:rsidR="00184030" w:rsidRPr="00903F77">
        <w:rPr>
          <w:rFonts w:ascii="Arial" w:hAnsi="Arial" w:cs="Arial"/>
        </w:rPr>
        <w:t>for the first 2 attendances to allow monitoring for infusion related reactions.</w:t>
      </w:r>
      <w:r w:rsidR="00E67B40">
        <w:rPr>
          <w:rFonts w:ascii="Arial" w:hAnsi="Arial" w:cs="Arial"/>
        </w:rPr>
        <w:t xml:space="preserve"> </w:t>
      </w:r>
      <w:r w:rsidR="009479E0">
        <w:rPr>
          <w:rFonts w:ascii="Arial" w:hAnsi="Arial" w:cs="Arial"/>
        </w:rPr>
        <w:t xml:space="preserve"> </w:t>
      </w:r>
      <w:r w:rsidR="00184030" w:rsidRPr="00903F77">
        <w:rPr>
          <w:rFonts w:ascii="Arial" w:hAnsi="Arial" w:cs="Arial"/>
        </w:rPr>
        <w:t>At each clinic appointment, disease activity was scored using DAS-28 for patien</w:t>
      </w:r>
      <w:r w:rsidR="009770BD">
        <w:rPr>
          <w:rFonts w:ascii="Arial" w:hAnsi="Arial" w:cs="Arial"/>
        </w:rPr>
        <w:t>ts</w:t>
      </w:r>
      <w:r w:rsidR="00864DE9">
        <w:rPr>
          <w:rFonts w:ascii="Arial" w:hAnsi="Arial" w:cs="Arial"/>
        </w:rPr>
        <w:t xml:space="preserve"> </w:t>
      </w:r>
      <w:r w:rsidR="00184030" w:rsidRPr="00903F77">
        <w:rPr>
          <w:rFonts w:ascii="Arial" w:hAnsi="Arial" w:cs="Arial"/>
        </w:rPr>
        <w:t>with RA</w:t>
      </w:r>
      <w:r w:rsidR="008B19F3" w:rsidRPr="00903F77">
        <w:rPr>
          <w:rFonts w:ascii="Arial" w:hAnsi="Arial" w:cs="Arial"/>
        </w:rPr>
        <w:t xml:space="preserve"> and enteropathic arthritis</w:t>
      </w:r>
      <w:r w:rsidR="00184030" w:rsidRPr="00903F77">
        <w:rPr>
          <w:rFonts w:ascii="Arial" w:hAnsi="Arial" w:cs="Arial"/>
        </w:rPr>
        <w:t xml:space="preserve">, BASDAI for patients with AS, and PSARC </w:t>
      </w:r>
      <w:r w:rsidR="009770BD">
        <w:rPr>
          <w:rFonts w:ascii="Arial" w:hAnsi="Arial" w:cs="Arial"/>
        </w:rPr>
        <w:t xml:space="preserve">response </w:t>
      </w:r>
      <w:r w:rsidR="00184030" w:rsidRPr="00903F77">
        <w:rPr>
          <w:rFonts w:ascii="Arial" w:hAnsi="Arial" w:cs="Arial"/>
        </w:rPr>
        <w:t>for patients with PsA.</w:t>
      </w:r>
      <w:r w:rsidR="009479E0">
        <w:rPr>
          <w:rFonts w:ascii="Arial" w:hAnsi="Arial" w:cs="Arial"/>
        </w:rPr>
        <w:t xml:space="preserve"> </w:t>
      </w:r>
      <w:r w:rsidR="00184030" w:rsidRPr="00903F77">
        <w:rPr>
          <w:rFonts w:ascii="Arial" w:hAnsi="Arial" w:cs="Arial"/>
        </w:rPr>
        <w:t xml:space="preserve">  </w:t>
      </w:r>
      <w:r w:rsidR="009479E0">
        <w:rPr>
          <w:rFonts w:ascii="Arial" w:hAnsi="Arial" w:cs="Arial"/>
        </w:rPr>
        <w:t>T</w:t>
      </w:r>
      <w:r w:rsidR="00184030" w:rsidRPr="00903F77">
        <w:rPr>
          <w:rFonts w:ascii="Arial" w:hAnsi="Arial" w:cs="Arial"/>
        </w:rPr>
        <w:t xml:space="preserve">he data for this study were </w:t>
      </w:r>
      <w:r w:rsidR="0075780E">
        <w:rPr>
          <w:rFonts w:ascii="Arial" w:hAnsi="Arial" w:cs="Arial"/>
        </w:rPr>
        <w:t>analysed</w:t>
      </w:r>
      <w:r w:rsidR="0075780E" w:rsidRPr="00903F77">
        <w:rPr>
          <w:rFonts w:ascii="Arial" w:hAnsi="Arial" w:cs="Arial"/>
        </w:rPr>
        <w:t xml:space="preserve"> </w:t>
      </w:r>
      <w:r w:rsidR="00184030" w:rsidRPr="00903F77">
        <w:rPr>
          <w:rFonts w:ascii="Arial" w:hAnsi="Arial" w:cs="Arial"/>
        </w:rPr>
        <w:t xml:space="preserve">retrospectively from the database record.  </w:t>
      </w:r>
    </w:p>
    <w:p w:rsidR="00184030" w:rsidRPr="00903F77" w:rsidRDefault="00184030" w:rsidP="00494BB4">
      <w:pPr>
        <w:spacing w:after="0" w:line="480" w:lineRule="auto"/>
        <w:jc w:val="both"/>
        <w:rPr>
          <w:rFonts w:ascii="Arial" w:hAnsi="Arial" w:cs="Arial"/>
        </w:rPr>
      </w:pPr>
      <w:r w:rsidRPr="00903F77">
        <w:rPr>
          <w:rFonts w:ascii="Arial" w:hAnsi="Arial" w:cs="Arial"/>
        </w:rPr>
        <w:t>The following data were collected from each patient’s most recent clinic visit a</w:t>
      </w:r>
      <w:r w:rsidR="00D10D92">
        <w:rPr>
          <w:rFonts w:ascii="Arial" w:hAnsi="Arial" w:cs="Arial"/>
        </w:rPr>
        <w:t>s</w:t>
      </w:r>
      <w:r w:rsidRPr="00903F77">
        <w:rPr>
          <w:rFonts w:ascii="Arial" w:hAnsi="Arial" w:cs="Arial"/>
        </w:rPr>
        <w:t xml:space="preserve"> entered into the database</w:t>
      </w:r>
      <w:r w:rsidR="00D10D92">
        <w:rPr>
          <w:rFonts w:ascii="Arial" w:hAnsi="Arial" w:cs="Arial"/>
        </w:rPr>
        <w:t xml:space="preserve"> and</w:t>
      </w:r>
      <w:r w:rsidR="00475106">
        <w:rPr>
          <w:rFonts w:ascii="Arial" w:hAnsi="Arial" w:cs="Arial"/>
        </w:rPr>
        <w:t xml:space="preserve"> </w:t>
      </w:r>
      <w:r w:rsidR="00475106" w:rsidRPr="00903F77">
        <w:rPr>
          <w:rFonts w:ascii="Arial" w:hAnsi="Arial" w:cs="Arial"/>
        </w:rPr>
        <w:t xml:space="preserve">recorded in a Microsoft Excel </w:t>
      </w:r>
      <w:r w:rsidR="00475106">
        <w:rPr>
          <w:rFonts w:ascii="Arial" w:hAnsi="Arial" w:cs="Arial"/>
        </w:rPr>
        <w:t xml:space="preserve">(Microsoft, Washington, USA) </w:t>
      </w:r>
      <w:r w:rsidR="00475106" w:rsidRPr="00903F77">
        <w:rPr>
          <w:rFonts w:ascii="Arial" w:hAnsi="Arial" w:cs="Arial"/>
        </w:rPr>
        <w:t>spreadsheet</w:t>
      </w:r>
      <w:r w:rsidRPr="00903F77">
        <w:rPr>
          <w:rFonts w:ascii="Arial" w:hAnsi="Arial" w:cs="Arial"/>
        </w:rPr>
        <w:t xml:space="preserve">: age, gender, diagnosis, smoking status, date of diagnosis, duration of treatment with Remicade (infliximab), concurrent treatment with other DMARD, disease activity score prior to switching and at time of follow-up if available.  If treatment </w:t>
      </w:r>
      <w:r w:rsidR="00D10D92">
        <w:rPr>
          <w:rFonts w:ascii="Arial" w:hAnsi="Arial" w:cs="Arial"/>
        </w:rPr>
        <w:t xml:space="preserve"> was </w:t>
      </w:r>
      <w:r w:rsidRPr="00903F77">
        <w:rPr>
          <w:rFonts w:ascii="Arial" w:hAnsi="Arial" w:cs="Arial"/>
        </w:rPr>
        <w:t>discontinued, the reason for stopping was recorded.</w:t>
      </w:r>
      <w:r w:rsidR="009479E0">
        <w:rPr>
          <w:rFonts w:ascii="Arial" w:hAnsi="Arial" w:cs="Arial"/>
        </w:rPr>
        <w:t xml:space="preserve"> </w:t>
      </w:r>
      <w:r w:rsidRPr="00903F77">
        <w:rPr>
          <w:rFonts w:ascii="Arial" w:hAnsi="Arial" w:cs="Arial"/>
        </w:rPr>
        <w:t xml:space="preserve">If </w:t>
      </w:r>
      <w:r w:rsidR="003F0FAA">
        <w:rPr>
          <w:rFonts w:ascii="Arial" w:hAnsi="Arial" w:cs="Arial"/>
        </w:rPr>
        <w:t>required</w:t>
      </w:r>
      <w:r w:rsidR="00AF3E4A">
        <w:rPr>
          <w:rFonts w:ascii="Arial" w:hAnsi="Arial" w:cs="Arial"/>
        </w:rPr>
        <w:t>, clinic letters were</w:t>
      </w:r>
      <w:r w:rsidRPr="00903F77">
        <w:rPr>
          <w:rFonts w:ascii="Arial" w:hAnsi="Arial" w:cs="Arial"/>
        </w:rPr>
        <w:t xml:space="preserve"> reviewed for additional information.  Mean values and standard deviations were calculated using Microsoft Excel.</w:t>
      </w:r>
      <w:r w:rsidR="009479E0">
        <w:rPr>
          <w:rFonts w:ascii="Arial" w:hAnsi="Arial" w:cs="Arial"/>
        </w:rPr>
        <w:t xml:space="preserve"> </w:t>
      </w:r>
      <w:r w:rsidR="00D10D92">
        <w:rPr>
          <w:rFonts w:ascii="Arial" w:hAnsi="Arial" w:cs="Arial"/>
        </w:rPr>
        <w:t xml:space="preserve"> </w:t>
      </w:r>
      <w:r w:rsidR="00475106">
        <w:rPr>
          <w:rFonts w:ascii="Arial" w:hAnsi="Arial" w:cs="Arial"/>
        </w:rPr>
        <w:t xml:space="preserve">Data </w:t>
      </w:r>
      <w:r w:rsidR="00AF3E4A">
        <w:rPr>
          <w:rFonts w:ascii="Arial" w:hAnsi="Arial" w:cs="Arial"/>
        </w:rPr>
        <w:t>were</w:t>
      </w:r>
      <w:r w:rsidRPr="00903F77">
        <w:rPr>
          <w:rFonts w:ascii="Arial" w:hAnsi="Arial" w:cs="Arial"/>
        </w:rPr>
        <w:t xml:space="preserve"> collated for all patients who stopped treatment in the preceding 12 </w:t>
      </w:r>
      <w:r w:rsidRPr="00903F77">
        <w:rPr>
          <w:rFonts w:ascii="Arial" w:hAnsi="Arial" w:cs="Arial"/>
        </w:rPr>
        <w:lastRenderedPageBreak/>
        <w:t>months on Remicade (infliximab), prior to commencing the switching process, to allow direct comparison during the follow-up period.</w:t>
      </w:r>
    </w:p>
    <w:p w:rsidR="00184030" w:rsidRDefault="00184030" w:rsidP="00494BB4">
      <w:pPr>
        <w:spacing w:after="0" w:line="480" w:lineRule="auto"/>
        <w:jc w:val="both"/>
        <w:rPr>
          <w:rFonts w:ascii="Arial" w:hAnsi="Arial" w:cs="Arial"/>
        </w:rPr>
      </w:pPr>
      <w:r w:rsidRPr="00903F77">
        <w:rPr>
          <w:rFonts w:ascii="Arial" w:hAnsi="Arial" w:cs="Arial"/>
        </w:rPr>
        <w:t>Safety parameters were predetermined, following</w:t>
      </w:r>
      <w:r w:rsidR="00AF3E4A">
        <w:rPr>
          <w:rFonts w:ascii="Arial" w:hAnsi="Arial" w:cs="Arial"/>
        </w:rPr>
        <w:t xml:space="preserve"> discussion</w:t>
      </w:r>
      <w:r w:rsidRPr="00903F77">
        <w:rPr>
          <w:rFonts w:ascii="Arial" w:hAnsi="Arial" w:cs="Arial"/>
        </w:rPr>
        <w:t xml:space="preserve"> </w:t>
      </w:r>
      <w:r w:rsidR="00021530">
        <w:rPr>
          <w:rFonts w:ascii="Arial" w:hAnsi="Arial" w:cs="Arial"/>
        </w:rPr>
        <w:t>with</w:t>
      </w:r>
      <w:r w:rsidR="009479E0">
        <w:rPr>
          <w:rFonts w:ascii="Arial" w:hAnsi="Arial" w:cs="Arial"/>
        </w:rPr>
        <w:t xml:space="preserve"> commissioning partners</w:t>
      </w:r>
      <w:r w:rsidRPr="00903F77">
        <w:rPr>
          <w:rFonts w:ascii="Arial" w:hAnsi="Arial" w:cs="Arial"/>
        </w:rPr>
        <w:t xml:space="preserve">. </w:t>
      </w:r>
    </w:p>
    <w:p w:rsidR="00024D12" w:rsidRDefault="00024D12" w:rsidP="00494BB4">
      <w:pPr>
        <w:spacing w:after="0" w:line="480" w:lineRule="auto"/>
        <w:jc w:val="both"/>
        <w:rPr>
          <w:rFonts w:ascii="Arial" w:hAnsi="Arial" w:cs="Arial"/>
        </w:rPr>
      </w:pPr>
      <w:r>
        <w:rPr>
          <w:rFonts w:ascii="Arial" w:hAnsi="Arial" w:cs="Arial"/>
        </w:rPr>
        <w:t xml:space="preserve">Patients were used as their own controls with statistical analysis using the efficacy and discontinuation rates from patients receiving inflectra in the 12 months after switching compared to the same rates whilst receiving originator Remicade in </w:t>
      </w:r>
      <w:r w:rsidR="003507DF">
        <w:rPr>
          <w:rFonts w:ascii="Arial" w:hAnsi="Arial" w:cs="Arial"/>
        </w:rPr>
        <w:t>t</w:t>
      </w:r>
      <w:r>
        <w:rPr>
          <w:rFonts w:ascii="Arial" w:hAnsi="Arial" w:cs="Arial"/>
        </w:rPr>
        <w:t>he 12 months prior to switching.</w:t>
      </w:r>
      <w:r w:rsidR="00813C4A">
        <w:rPr>
          <w:rFonts w:ascii="Arial" w:hAnsi="Arial" w:cs="Arial"/>
        </w:rPr>
        <w:t xml:space="preserve">  </w:t>
      </w:r>
      <w:r w:rsidR="00D10D92">
        <w:rPr>
          <w:rFonts w:ascii="Arial" w:hAnsi="Arial" w:cs="Arial"/>
        </w:rPr>
        <w:t>Ethics approval was not required according to NHS Research Ethics Committee guidance.</w:t>
      </w:r>
    </w:p>
    <w:p w:rsidR="00184030" w:rsidRPr="00F4011A" w:rsidRDefault="00184030" w:rsidP="00494BB4">
      <w:pPr>
        <w:spacing w:after="0" w:line="480" w:lineRule="auto"/>
        <w:jc w:val="both"/>
        <w:rPr>
          <w:rFonts w:ascii="Arial" w:hAnsi="Arial" w:cs="Arial"/>
          <w:b/>
        </w:rPr>
      </w:pPr>
      <w:r w:rsidRPr="00903F77">
        <w:rPr>
          <w:rFonts w:ascii="Arial" w:hAnsi="Arial" w:cs="Arial"/>
        </w:rPr>
        <w:br w:type="page"/>
      </w:r>
      <w:r w:rsidRPr="00F4011A">
        <w:rPr>
          <w:rFonts w:ascii="Arial" w:hAnsi="Arial" w:cs="Arial"/>
          <w:b/>
        </w:rPr>
        <w:lastRenderedPageBreak/>
        <w:t>Results</w:t>
      </w:r>
    </w:p>
    <w:p w:rsidR="00184030" w:rsidRPr="00903F77" w:rsidRDefault="00184030" w:rsidP="00494BB4">
      <w:pPr>
        <w:spacing w:after="0" w:line="480" w:lineRule="auto"/>
        <w:jc w:val="both"/>
        <w:rPr>
          <w:rFonts w:ascii="Arial" w:hAnsi="Arial" w:cs="Arial"/>
        </w:rPr>
      </w:pPr>
      <w:r w:rsidRPr="00903F77">
        <w:rPr>
          <w:rFonts w:ascii="Arial" w:hAnsi="Arial" w:cs="Arial"/>
        </w:rPr>
        <w:t>59 patients receiving Remicade (infliximab) were switched to Inflectra (infliximab) at the same dose.  The patient demographics are listed i</w:t>
      </w:r>
      <w:r w:rsidR="009770BD">
        <w:rPr>
          <w:rFonts w:ascii="Arial" w:hAnsi="Arial" w:cs="Arial"/>
        </w:rPr>
        <w:t>n Table 1</w:t>
      </w:r>
      <w:r w:rsidR="00C923DC">
        <w:rPr>
          <w:rFonts w:ascii="Arial" w:hAnsi="Arial" w:cs="Arial"/>
        </w:rPr>
        <w:t>.</w:t>
      </w:r>
    </w:p>
    <w:p w:rsidR="008B19F3" w:rsidRPr="00903F77" w:rsidRDefault="00184030" w:rsidP="00494BB4">
      <w:pPr>
        <w:spacing w:after="0" w:line="480" w:lineRule="auto"/>
        <w:rPr>
          <w:rFonts w:ascii="Arial" w:hAnsi="Arial" w:cs="Arial"/>
        </w:rPr>
      </w:pPr>
      <w:r w:rsidRPr="00903F77">
        <w:rPr>
          <w:rFonts w:ascii="Arial" w:hAnsi="Arial" w:cs="Arial"/>
        </w:rPr>
        <w:t>The mean disease duration was 1</w:t>
      </w:r>
      <w:r w:rsidR="008B19F3" w:rsidRPr="00903F77">
        <w:rPr>
          <w:rFonts w:ascii="Arial" w:hAnsi="Arial" w:cs="Arial"/>
        </w:rPr>
        <w:t>9</w:t>
      </w:r>
      <w:r w:rsidRPr="00903F77">
        <w:rPr>
          <w:rFonts w:ascii="Arial" w:hAnsi="Arial" w:cs="Arial"/>
        </w:rPr>
        <w:t xml:space="preserve"> (8.4) years, with mean time on Remicade (infliximab) of 5.7 (3.8) years.  The mean time from diagnosis to first biologic therapy was 10.</w:t>
      </w:r>
      <w:r w:rsidR="008B19F3" w:rsidRPr="00903F77">
        <w:rPr>
          <w:rFonts w:ascii="Arial" w:hAnsi="Arial" w:cs="Arial"/>
        </w:rPr>
        <w:t>1 (7.6</w:t>
      </w:r>
      <w:r w:rsidRPr="00903F77">
        <w:rPr>
          <w:rFonts w:ascii="Arial" w:hAnsi="Arial" w:cs="Arial"/>
        </w:rPr>
        <w:t xml:space="preserve">) years with methotrexate (MTX) used by 33 (56%) and another DMARD, (sulfasalazine or leflunomide) by 10 (17%).  </w:t>
      </w:r>
      <w:r w:rsidR="00BF44A1">
        <w:rPr>
          <w:rFonts w:ascii="Arial" w:hAnsi="Arial" w:cs="Arial"/>
        </w:rPr>
        <w:t>Since switching m</w:t>
      </w:r>
      <w:r w:rsidRPr="00903F77">
        <w:rPr>
          <w:rFonts w:ascii="Arial" w:hAnsi="Arial" w:cs="Arial"/>
        </w:rPr>
        <w:t xml:space="preserve">ost </w:t>
      </w:r>
      <w:r w:rsidR="00BF44A1">
        <w:rPr>
          <w:rFonts w:ascii="Arial" w:hAnsi="Arial" w:cs="Arial"/>
        </w:rPr>
        <w:t xml:space="preserve">individuals </w:t>
      </w:r>
      <w:r w:rsidRPr="00903F77">
        <w:rPr>
          <w:rFonts w:ascii="Arial" w:hAnsi="Arial" w:cs="Arial"/>
        </w:rPr>
        <w:t>ha</w:t>
      </w:r>
      <w:r w:rsidR="00BF44A1">
        <w:rPr>
          <w:rFonts w:ascii="Arial" w:hAnsi="Arial" w:cs="Arial"/>
        </w:rPr>
        <w:t>ve</w:t>
      </w:r>
      <w:r w:rsidRPr="00903F77">
        <w:rPr>
          <w:rFonts w:ascii="Arial" w:hAnsi="Arial" w:cs="Arial"/>
        </w:rPr>
        <w:t xml:space="preserve"> received ≥3 infusions of Inflectra (infliximab) with 5</w:t>
      </w:r>
      <w:r w:rsidR="008B19F3" w:rsidRPr="00903F77">
        <w:rPr>
          <w:rFonts w:ascii="Arial" w:hAnsi="Arial" w:cs="Arial"/>
        </w:rPr>
        <w:t>1</w:t>
      </w:r>
      <w:r w:rsidRPr="00903F77">
        <w:rPr>
          <w:rFonts w:ascii="Arial" w:hAnsi="Arial" w:cs="Arial"/>
        </w:rPr>
        <w:t xml:space="preserve"> (8</w:t>
      </w:r>
      <w:r w:rsidR="008B19F3" w:rsidRPr="00903F77">
        <w:rPr>
          <w:rFonts w:ascii="Arial" w:hAnsi="Arial" w:cs="Arial"/>
        </w:rPr>
        <w:t>6</w:t>
      </w:r>
      <w:r w:rsidRPr="00903F77">
        <w:rPr>
          <w:rFonts w:ascii="Arial" w:hAnsi="Arial" w:cs="Arial"/>
        </w:rPr>
        <w:t xml:space="preserve">%) continuing at mean follow-up </w:t>
      </w:r>
      <w:r w:rsidR="008B19F3" w:rsidRPr="00903F77">
        <w:rPr>
          <w:rFonts w:ascii="Arial" w:hAnsi="Arial" w:cs="Arial"/>
        </w:rPr>
        <w:t xml:space="preserve">362 days (12.1 months).  </w:t>
      </w:r>
    </w:p>
    <w:p w:rsidR="001B25B7" w:rsidRDefault="00184030" w:rsidP="00494BB4">
      <w:pPr>
        <w:spacing w:after="0" w:line="480" w:lineRule="auto"/>
        <w:jc w:val="both"/>
        <w:rPr>
          <w:rFonts w:ascii="Arial" w:hAnsi="Arial" w:cs="Arial"/>
        </w:rPr>
      </w:pPr>
      <w:r w:rsidRPr="00903F77">
        <w:rPr>
          <w:rFonts w:ascii="Arial" w:hAnsi="Arial" w:cs="Arial"/>
        </w:rPr>
        <w:t xml:space="preserve">For RA the mean DAS-28 prior to switch was 3.4, and </w:t>
      </w:r>
      <w:r w:rsidR="00BF44A1">
        <w:rPr>
          <w:rFonts w:ascii="Arial" w:hAnsi="Arial" w:cs="Arial"/>
        </w:rPr>
        <w:t xml:space="preserve">the latest DAS28 was </w:t>
      </w:r>
      <w:r w:rsidRPr="00903F77">
        <w:rPr>
          <w:rFonts w:ascii="Arial" w:hAnsi="Arial" w:cs="Arial"/>
        </w:rPr>
        <w:t>3.</w:t>
      </w:r>
      <w:r w:rsidR="008B19F3" w:rsidRPr="00903F77">
        <w:rPr>
          <w:rFonts w:ascii="Arial" w:hAnsi="Arial" w:cs="Arial"/>
        </w:rPr>
        <w:t>4</w:t>
      </w:r>
      <w:r w:rsidRPr="00903F77">
        <w:rPr>
          <w:rFonts w:ascii="Arial" w:hAnsi="Arial" w:cs="Arial"/>
        </w:rPr>
        <w:t xml:space="preserve"> after</w:t>
      </w:r>
      <w:r w:rsidR="00BF44A1">
        <w:rPr>
          <w:rFonts w:ascii="Arial" w:hAnsi="Arial" w:cs="Arial"/>
        </w:rPr>
        <w:t xml:space="preserve"> switching</w:t>
      </w:r>
      <w:r w:rsidRPr="00903F77">
        <w:rPr>
          <w:rFonts w:ascii="Arial" w:hAnsi="Arial" w:cs="Arial"/>
        </w:rPr>
        <w:t xml:space="preserve"> (p-value 0.</w:t>
      </w:r>
      <w:r w:rsidR="008B19F3" w:rsidRPr="00903F77">
        <w:rPr>
          <w:rFonts w:ascii="Arial" w:hAnsi="Arial" w:cs="Arial"/>
        </w:rPr>
        <w:t>96</w:t>
      </w:r>
      <w:r w:rsidRPr="00903F77">
        <w:rPr>
          <w:rFonts w:ascii="Arial" w:hAnsi="Arial" w:cs="Arial"/>
        </w:rPr>
        <w:t>). For AS the mean BASDAI prior to the switch was 3.7, and 3.6 after</w:t>
      </w:r>
      <w:r w:rsidR="00BF44A1">
        <w:rPr>
          <w:rFonts w:ascii="Arial" w:hAnsi="Arial" w:cs="Arial"/>
        </w:rPr>
        <w:t xml:space="preserve"> switching</w:t>
      </w:r>
      <w:r w:rsidR="00D10D92">
        <w:rPr>
          <w:rFonts w:ascii="Arial" w:hAnsi="Arial" w:cs="Arial"/>
        </w:rPr>
        <w:t xml:space="preserve"> (p-value 0.61). </w:t>
      </w:r>
      <w:r w:rsidR="0075780E">
        <w:rPr>
          <w:rFonts w:ascii="Arial" w:hAnsi="Arial" w:cs="Arial"/>
        </w:rPr>
        <w:t xml:space="preserve"> </w:t>
      </w:r>
      <w:r w:rsidRPr="00903F77">
        <w:rPr>
          <w:rFonts w:ascii="Arial" w:hAnsi="Arial" w:cs="Arial"/>
        </w:rPr>
        <w:t xml:space="preserve">During the </w:t>
      </w:r>
      <w:r w:rsidR="008B19F3" w:rsidRPr="00903F77">
        <w:rPr>
          <w:rFonts w:ascii="Arial" w:hAnsi="Arial" w:cs="Arial"/>
        </w:rPr>
        <w:t>12.1</w:t>
      </w:r>
      <w:r w:rsidRPr="00903F77">
        <w:rPr>
          <w:rFonts w:ascii="Arial" w:hAnsi="Arial" w:cs="Arial"/>
        </w:rPr>
        <w:t xml:space="preserve"> months of follow-up, </w:t>
      </w:r>
      <w:r w:rsidR="008B19F3" w:rsidRPr="00903F77">
        <w:rPr>
          <w:rFonts w:ascii="Arial" w:hAnsi="Arial" w:cs="Arial"/>
        </w:rPr>
        <w:t>8</w:t>
      </w:r>
      <w:r w:rsidRPr="00903F77">
        <w:rPr>
          <w:rFonts w:ascii="Arial" w:hAnsi="Arial" w:cs="Arial"/>
        </w:rPr>
        <w:t xml:space="preserve"> patients have discontinued treatment with Inflectra (infliximab)</w:t>
      </w:r>
      <w:r w:rsidR="002543E8" w:rsidRPr="00903F77">
        <w:rPr>
          <w:rFonts w:ascii="Arial" w:hAnsi="Arial" w:cs="Arial"/>
        </w:rPr>
        <w:t>;</w:t>
      </w:r>
      <w:r w:rsidRPr="00903F77">
        <w:rPr>
          <w:rFonts w:ascii="Arial" w:hAnsi="Arial" w:cs="Arial"/>
        </w:rPr>
        <w:t xml:space="preserve"> </w:t>
      </w:r>
      <w:r w:rsidR="008B19F3" w:rsidRPr="00903F77">
        <w:rPr>
          <w:rFonts w:ascii="Arial" w:hAnsi="Arial" w:cs="Arial"/>
        </w:rPr>
        <w:t>4</w:t>
      </w:r>
      <w:r w:rsidRPr="00903F77">
        <w:rPr>
          <w:rFonts w:ascii="Arial" w:hAnsi="Arial" w:cs="Arial"/>
        </w:rPr>
        <w:t xml:space="preserve"> patients due to clinical </w:t>
      </w:r>
      <w:r w:rsidR="002543E8" w:rsidRPr="00903F77">
        <w:rPr>
          <w:rFonts w:ascii="Arial" w:hAnsi="Arial" w:cs="Arial"/>
        </w:rPr>
        <w:t>in</w:t>
      </w:r>
      <w:r w:rsidRPr="00903F77">
        <w:rPr>
          <w:rFonts w:ascii="Arial" w:hAnsi="Arial" w:cs="Arial"/>
        </w:rPr>
        <w:t>efficacy</w:t>
      </w:r>
      <w:r w:rsidR="002543E8" w:rsidRPr="00903F77">
        <w:rPr>
          <w:rFonts w:ascii="Arial" w:hAnsi="Arial" w:cs="Arial"/>
        </w:rPr>
        <w:t xml:space="preserve"> and </w:t>
      </w:r>
      <w:r w:rsidRPr="00903F77">
        <w:rPr>
          <w:rFonts w:ascii="Arial" w:hAnsi="Arial" w:cs="Arial"/>
        </w:rPr>
        <w:t xml:space="preserve">4 following an adverse event. </w:t>
      </w:r>
      <w:r w:rsidR="002543E8" w:rsidRPr="00903F77">
        <w:rPr>
          <w:rFonts w:ascii="Arial" w:hAnsi="Arial" w:cs="Arial"/>
        </w:rPr>
        <w:t xml:space="preserve">Of these, </w:t>
      </w:r>
      <w:r w:rsidR="008B19F3" w:rsidRPr="00903F77">
        <w:rPr>
          <w:rFonts w:ascii="Arial" w:hAnsi="Arial" w:cs="Arial"/>
        </w:rPr>
        <w:t>4</w:t>
      </w:r>
      <w:r w:rsidRPr="00903F77">
        <w:rPr>
          <w:rFonts w:ascii="Arial" w:hAnsi="Arial" w:cs="Arial"/>
        </w:rPr>
        <w:t xml:space="preserve"> patients have switched back to Remicade (infliximab), 2 have switched to ustekinumab, 1 to rituximab, and 1 patient remains off all biologic therapy.</w:t>
      </w:r>
      <w:r w:rsidR="001B25B7" w:rsidRPr="001B25B7">
        <w:rPr>
          <w:rFonts w:ascii="Arial" w:hAnsi="Arial" w:cs="Arial"/>
        </w:rPr>
        <w:t xml:space="preserve"> </w:t>
      </w:r>
    </w:p>
    <w:p w:rsidR="001B25B7" w:rsidRPr="00903F77" w:rsidRDefault="001B25B7" w:rsidP="00494BB4">
      <w:pPr>
        <w:spacing w:after="0" w:line="480" w:lineRule="auto"/>
        <w:jc w:val="both"/>
        <w:rPr>
          <w:rFonts w:ascii="Arial" w:hAnsi="Arial" w:cs="Arial"/>
        </w:rPr>
      </w:pPr>
      <w:r w:rsidRPr="00903F77">
        <w:rPr>
          <w:rFonts w:ascii="Arial" w:hAnsi="Arial" w:cs="Arial"/>
        </w:rPr>
        <w:lastRenderedPageBreak/>
        <w:t xml:space="preserve">The follow-up period on Inflectra (infliximab) </w:t>
      </w:r>
      <w:r>
        <w:rPr>
          <w:rFonts w:ascii="Arial" w:hAnsi="Arial" w:cs="Arial"/>
        </w:rPr>
        <w:t xml:space="preserve">of mean 12.1 months </w:t>
      </w:r>
      <w:r w:rsidRPr="00903F77">
        <w:rPr>
          <w:rFonts w:ascii="Arial" w:hAnsi="Arial" w:cs="Arial"/>
        </w:rPr>
        <w:t xml:space="preserve">has been directly compared with the preceding 12 months of treatment with Remicade (infliximab). </w:t>
      </w:r>
      <w:r>
        <w:rPr>
          <w:rFonts w:ascii="Arial" w:hAnsi="Arial" w:cs="Arial"/>
        </w:rPr>
        <w:t xml:space="preserve"> T</w:t>
      </w:r>
      <w:r w:rsidRPr="00903F77">
        <w:rPr>
          <w:rFonts w:ascii="Arial" w:hAnsi="Arial" w:cs="Arial"/>
        </w:rPr>
        <w:t xml:space="preserve">able </w:t>
      </w:r>
      <w:r>
        <w:rPr>
          <w:rFonts w:ascii="Arial" w:hAnsi="Arial" w:cs="Arial"/>
        </w:rPr>
        <w:t>2</w:t>
      </w:r>
      <w:r w:rsidRPr="00903F77">
        <w:rPr>
          <w:rFonts w:ascii="Arial" w:hAnsi="Arial" w:cs="Arial"/>
        </w:rPr>
        <w:t xml:space="preserve"> </w:t>
      </w:r>
      <w:r>
        <w:rPr>
          <w:rFonts w:ascii="Arial" w:hAnsi="Arial" w:cs="Arial"/>
        </w:rPr>
        <w:t>shows</w:t>
      </w:r>
      <w:r w:rsidRPr="00903F77">
        <w:rPr>
          <w:rFonts w:ascii="Arial" w:hAnsi="Arial" w:cs="Arial"/>
        </w:rPr>
        <w:t xml:space="preserve"> the rates of both inefficacy and adverse events on Inflectra (infliximab) compared to the preceding 12 months of Remicade (infliximab)</w:t>
      </w:r>
      <w:r w:rsidR="003476F6">
        <w:rPr>
          <w:rFonts w:ascii="Arial" w:hAnsi="Arial" w:cs="Arial"/>
        </w:rPr>
        <w:t xml:space="preserve"> which</w:t>
      </w:r>
      <w:r w:rsidRPr="00903F77">
        <w:rPr>
          <w:rFonts w:ascii="Arial" w:hAnsi="Arial" w:cs="Arial"/>
        </w:rPr>
        <w:t xml:space="preserve"> are comparable</w:t>
      </w:r>
      <w:r w:rsidR="003476F6">
        <w:rPr>
          <w:rFonts w:ascii="Arial" w:hAnsi="Arial" w:cs="Arial"/>
        </w:rPr>
        <w:t>.</w:t>
      </w:r>
    </w:p>
    <w:p w:rsidR="00184030" w:rsidRPr="00903F77" w:rsidRDefault="00184030" w:rsidP="00494BB4">
      <w:pPr>
        <w:spacing w:after="0" w:line="480" w:lineRule="auto"/>
        <w:jc w:val="both"/>
        <w:rPr>
          <w:rFonts w:ascii="Arial" w:hAnsi="Arial" w:cs="Arial"/>
        </w:rPr>
      </w:pPr>
    </w:p>
    <w:p w:rsidR="00184030" w:rsidRPr="00F4011A" w:rsidRDefault="00184030" w:rsidP="00494BB4">
      <w:pPr>
        <w:spacing w:after="0" w:line="480" w:lineRule="auto"/>
        <w:jc w:val="both"/>
        <w:rPr>
          <w:rFonts w:ascii="Arial" w:hAnsi="Arial" w:cs="Arial"/>
          <w:b/>
        </w:rPr>
      </w:pPr>
      <w:r w:rsidRPr="00F4011A">
        <w:rPr>
          <w:rFonts w:ascii="Arial" w:hAnsi="Arial" w:cs="Arial"/>
          <w:b/>
        </w:rPr>
        <w:t>Clinical Inefficacy</w:t>
      </w:r>
    </w:p>
    <w:p w:rsidR="00184030" w:rsidRPr="00903F77" w:rsidRDefault="00BF44A1" w:rsidP="00494BB4">
      <w:pPr>
        <w:spacing w:after="0" w:line="480" w:lineRule="auto"/>
        <w:jc w:val="both"/>
        <w:rPr>
          <w:rFonts w:ascii="Arial" w:hAnsi="Arial" w:cs="Arial"/>
        </w:rPr>
      </w:pPr>
      <w:r>
        <w:rPr>
          <w:rFonts w:ascii="Arial" w:hAnsi="Arial" w:cs="Arial"/>
        </w:rPr>
        <w:t>Four</w:t>
      </w:r>
      <w:r w:rsidRPr="00903F77">
        <w:rPr>
          <w:rFonts w:ascii="Arial" w:hAnsi="Arial" w:cs="Arial"/>
        </w:rPr>
        <w:t xml:space="preserve"> </w:t>
      </w:r>
      <w:r w:rsidR="00184030" w:rsidRPr="00903F77">
        <w:rPr>
          <w:rFonts w:ascii="Arial" w:hAnsi="Arial" w:cs="Arial"/>
        </w:rPr>
        <w:t>patients have discontinued Inflectra (infliximab) due to inefficacy (1 RA</w:t>
      </w:r>
      <w:r w:rsidR="008B19F3" w:rsidRPr="00903F77">
        <w:rPr>
          <w:rFonts w:ascii="Arial" w:hAnsi="Arial" w:cs="Arial"/>
        </w:rPr>
        <w:t xml:space="preserve">: DAS-28 prior 1.89, post 5.31; 1 RA: DAS-28 prior 4.72, post 3.31; </w:t>
      </w:r>
      <w:r w:rsidR="00184030" w:rsidRPr="00903F77">
        <w:rPr>
          <w:rFonts w:ascii="Arial" w:hAnsi="Arial" w:cs="Arial"/>
        </w:rPr>
        <w:t xml:space="preserve">1 AS: BASDAI prior 5.2; post 8.0, 1 PsA with grade 3 synovitis on ultrasound of the wrist).  All </w:t>
      </w:r>
      <w:r w:rsidR="009F5BA5" w:rsidRPr="00903F77">
        <w:rPr>
          <w:rFonts w:ascii="Arial" w:hAnsi="Arial" w:cs="Arial"/>
        </w:rPr>
        <w:t>4</w:t>
      </w:r>
      <w:r w:rsidR="00184030" w:rsidRPr="00903F77">
        <w:rPr>
          <w:rFonts w:ascii="Arial" w:hAnsi="Arial" w:cs="Arial"/>
        </w:rPr>
        <w:t xml:space="preserve"> of these patients were </w:t>
      </w:r>
      <w:r w:rsidR="0075780E">
        <w:rPr>
          <w:rFonts w:ascii="Arial" w:hAnsi="Arial" w:cs="Arial"/>
        </w:rPr>
        <w:t>switched</w:t>
      </w:r>
      <w:r w:rsidR="0075780E" w:rsidRPr="00903F77">
        <w:rPr>
          <w:rFonts w:ascii="Arial" w:hAnsi="Arial" w:cs="Arial"/>
        </w:rPr>
        <w:t xml:space="preserve"> </w:t>
      </w:r>
      <w:r w:rsidR="00184030" w:rsidRPr="00903F77">
        <w:rPr>
          <w:rFonts w:ascii="Arial" w:hAnsi="Arial" w:cs="Arial"/>
        </w:rPr>
        <w:t>back onto Remicade (infliximab) in the first instance</w:t>
      </w:r>
      <w:r w:rsidR="00646EBB">
        <w:rPr>
          <w:rFonts w:ascii="Arial" w:hAnsi="Arial" w:cs="Arial"/>
        </w:rPr>
        <w:t>, but one</w:t>
      </w:r>
      <w:r w:rsidR="00184030" w:rsidRPr="00903F77">
        <w:rPr>
          <w:rFonts w:ascii="Arial" w:hAnsi="Arial" w:cs="Arial"/>
        </w:rPr>
        <w:t xml:space="preserve"> (RA) developed secondary failure after switching back to Remicade (infliximab) with a flare of disease requiring treatment with </w:t>
      </w:r>
      <w:r w:rsidR="0075780E">
        <w:rPr>
          <w:rFonts w:ascii="Arial" w:hAnsi="Arial" w:cs="Arial"/>
        </w:rPr>
        <w:t>cortico</w:t>
      </w:r>
      <w:r w:rsidR="00184030" w:rsidRPr="00903F77">
        <w:rPr>
          <w:rFonts w:ascii="Arial" w:hAnsi="Arial" w:cs="Arial"/>
        </w:rPr>
        <w:t>steroid</w:t>
      </w:r>
      <w:r w:rsidR="0075780E">
        <w:rPr>
          <w:rFonts w:ascii="Arial" w:hAnsi="Arial" w:cs="Arial"/>
        </w:rPr>
        <w:t>s</w:t>
      </w:r>
      <w:r w:rsidR="00184030" w:rsidRPr="00903F77">
        <w:rPr>
          <w:rFonts w:ascii="Arial" w:hAnsi="Arial" w:cs="Arial"/>
        </w:rPr>
        <w:t xml:space="preserve">, and </w:t>
      </w:r>
      <w:r w:rsidR="00646EBB">
        <w:rPr>
          <w:rFonts w:ascii="Arial" w:hAnsi="Arial" w:cs="Arial"/>
        </w:rPr>
        <w:t>is now on</w:t>
      </w:r>
      <w:r w:rsidR="00184030" w:rsidRPr="00903F77">
        <w:rPr>
          <w:rFonts w:ascii="Arial" w:hAnsi="Arial" w:cs="Arial"/>
        </w:rPr>
        <w:t xml:space="preserve"> rituximab therapy.  </w:t>
      </w:r>
    </w:p>
    <w:p w:rsidR="007F01BD" w:rsidRPr="00903F77" w:rsidRDefault="007F01BD" w:rsidP="00494BB4">
      <w:pPr>
        <w:spacing w:after="0" w:line="480" w:lineRule="auto"/>
        <w:jc w:val="both"/>
        <w:rPr>
          <w:rFonts w:ascii="Arial" w:hAnsi="Arial" w:cs="Arial"/>
        </w:rPr>
      </w:pPr>
    </w:p>
    <w:p w:rsidR="00184030" w:rsidRDefault="00184030" w:rsidP="00494BB4">
      <w:pPr>
        <w:spacing w:after="0" w:line="480" w:lineRule="auto"/>
        <w:jc w:val="both"/>
        <w:rPr>
          <w:rFonts w:ascii="Arial" w:hAnsi="Arial" w:cs="Arial"/>
          <w:b/>
        </w:rPr>
      </w:pPr>
      <w:r w:rsidRPr="00F4011A">
        <w:rPr>
          <w:rFonts w:ascii="Arial" w:hAnsi="Arial" w:cs="Arial"/>
          <w:b/>
        </w:rPr>
        <w:t>Adverse Events</w:t>
      </w:r>
    </w:p>
    <w:p w:rsidR="00184030" w:rsidRPr="00903F77" w:rsidRDefault="00BF44A1" w:rsidP="00494BB4">
      <w:pPr>
        <w:spacing w:after="0" w:line="480" w:lineRule="auto"/>
        <w:jc w:val="both"/>
        <w:rPr>
          <w:rFonts w:ascii="Arial" w:hAnsi="Arial" w:cs="Arial"/>
        </w:rPr>
      </w:pPr>
      <w:r>
        <w:rPr>
          <w:rFonts w:ascii="Arial" w:hAnsi="Arial" w:cs="Arial"/>
        </w:rPr>
        <w:t>Four</w:t>
      </w:r>
      <w:r w:rsidRPr="00903F77">
        <w:rPr>
          <w:rFonts w:ascii="Arial" w:hAnsi="Arial" w:cs="Arial"/>
        </w:rPr>
        <w:t xml:space="preserve"> </w:t>
      </w:r>
      <w:r w:rsidR="001B25B7">
        <w:rPr>
          <w:rFonts w:ascii="Arial" w:hAnsi="Arial" w:cs="Arial"/>
        </w:rPr>
        <w:t>AEs</w:t>
      </w:r>
      <w:r w:rsidR="00184030" w:rsidRPr="00903F77">
        <w:rPr>
          <w:rFonts w:ascii="Arial" w:hAnsi="Arial" w:cs="Arial"/>
        </w:rPr>
        <w:t xml:space="preserve"> </w:t>
      </w:r>
      <w:r w:rsidR="001B25B7">
        <w:rPr>
          <w:rFonts w:ascii="Arial" w:hAnsi="Arial" w:cs="Arial"/>
        </w:rPr>
        <w:t xml:space="preserve">have </w:t>
      </w:r>
      <w:r w:rsidR="00184030" w:rsidRPr="00903F77">
        <w:rPr>
          <w:rFonts w:ascii="Arial" w:hAnsi="Arial" w:cs="Arial"/>
        </w:rPr>
        <w:t xml:space="preserve">occurred during the period of follow-up, 3 in patients with PsA and 1 in a patient with RA.  </w:t>
      </w:r>
      <w:r w:rsidR="001B25B7">
        <w:rPr>
          <w:rFonts w:ascii="Arial" w:hAnsi="Arial" w:cs="Arial"/>
        </w:rPr>
        <w:t>One</w:t>
      </w:r>
      <w:r w:rsidR="00184030" w:rsidRPr="00903F77">
        <w:rPr>
          <w:rFonts w:ascii="Arial" w:hAnsi="Arial" w:cs="Arial"/>
        </w:rPr>
        <w:t xml:space="preserve"> patient developed </w:t>
      </w:r>
      <w:r w:rsidR="00184030" w:rsidRPr="00903F77">
        <w:rPr>
          <w:rFonts w:ascii="Arial" w:hAnsi="Arial" w:cs="Arial"/>
        </w:rPr>
        <w:lastRenderedPageBreak/>
        <w:t xml:space="preserve">wide spread pain following 2 infusions, which resolved on switching back to Remicade (infliximab).  </w:t>
      </w:r>
      <w:r w:rsidR="001B25B7">
        <w:rPr>
          <w:rFonts w:ascii="Arial" w:hAnsi="Arial" w:cs="Arial"/>
        </w:rPr>
        <w:t>One</w:t>
      </w:r>
      <w:r w:rsidR="00184030" w:rsidRPr="00903F77">
        <w:rPr>
          <w:rFonts w:ascii="Arial" w:hAnsi="Arial" w:cs="Arial"/>
        </w:rPr>
        <w:t xml:space="preserve"> patient developed myalgia following 2 infusions, and was switched to ustekinumab.  </w:t>
      </w:r>
      <w:r w:rsidR="001B25B7">
        <w:rPr>
          <w:rFonts w:ascii="Arial" w:hAnsi="Arial" w:cs="Arial"/>
        </w:rPr>
        <w:t>One</w:t>
      </w:r>
      <w:r w:rsidR="00184030" w:rsidRPr="00903F77">
        <w:rPr>
          <w:rFonts w:ascii="Arial" w:hAnsi="Arial" w:cs="Arial"/>
        </w:rPr>
        <w:t xml:space="preserve"> patient reported multiple side-effects also present prior to switching to Inflectra (infliximab); dizziness, labile blood pressure, forgetfulness, poor concentration.  </w:t>
      </w:r>
      <w:r w:rsidR="00646EBB">
        <w:rPr>
          <w:rFonts w:ascii="Arial" w:hAnsi="Arial" w:cs="Arial"/>
        </w:rPr>
        <w:t>B</w:t>
      </w:r>
      <w:r w:rsidR="00184030" w:rsidRPr="00903F77">
        <w:rPr>
          <w:rFonts w:ascii="Arial" w:hAnsi="Arial" w:cs="Arial"/>
        </w:rPr>
        <w:t>iologic treatment was discontinued for 4 months, in keeping with patient preference</w:t>
      </w:r>
      <w:r w:rsidR="00351916">
        <w:rPr>
          <w:rFonts w:ascii="Arial" w:hAnsi="Arial" w:cs="Arial"/>
        </w:rPr>
        <w:t xml:space="preserve"> </w:t>
      </w:r>
      <w:r w:rsidR="00646EBB">
        <w:rPr>
          <w:rFonts w:ascii="Arial" w:hAnsi="Arial" w:cs="Arial"/>
        </w:rPr>
        <w:t>and a</w:t>
      </w:r>
      <w:r w:rsidR="00184030" w:rsidRPr="00903F77">
        <w:rPr>
          <w:rFonts w:ascii="Arial" w:hAnsi="Arial" w:cs="Arial"/>
        </w:rPr>
        <w:t xml:space="preserve">t 4 month follow-up the patient had determined the side-effects were unrelated to biologic therapy, </w:t>
      </w:r>
      <w:r w:rsidR="00646EBB">
        <w:rPr>
          <w:rFonts w:ascii="Arial" w:hAnsi="Arial" w:cs="Arial"/>
        </w:rPr>
        <w:t>with</w:t>
      </w:r>
      <w:r w:rsidR="00184030" w:rsidRPr="00903F77">
        <w:rPr>
          <w:rFonts w:ascii="Arial" w:hAnsi="Arial" w:cs="Arial"/>
        </w:rPr>
        <w:t xml:space="preserve"> a plan made to start treatment with ustekinumab.  </w:t>
      </w:r>
      <w:r w:rsidR="001B25B7">
        <w:rPr>
          <w:rFonts w:ascii="Arial" w:hAnsi="Arial" w:cs="Arial"/>
        </w:rPr>
        <w:t>One</w:t>
      </w:r>
      <w:r w:rsidR="00184030" w:rsidRPr="00903F77">
        <w:rPr>
          <w:rFonts w:ascii="Arial" w:hAnsi="Arial" w:cs="Arial"/>
        </w:rPr>
        <w:t xml:space="preserve"> patient had problems with an infected foot ulcer, which developed into osteomyelitis.  The infection had been ongoing for several months prior to switching, and the patient had previously discontinued biologic therapy whilst receiving antibiotics. Inflectra (infliximab) was discontinued due to </w:t>
      </w:r>
      <w:r w:rsidR="00646EBB">
        <w:rPr>
          <w:rFonts w:ascii="Arial" w:hAnsi="Arial" w:cs="Arial"/>
        </w:rPr>
        <w:t>recurrent</w:t>
      </w:r>
      <w:r w:rsidR="001B25B7">
        <w:rPr>
          <w:rFonts w:ascii="Arial" w:hAnsi="Arial" w:cs="Arial"/>
        </w:rPr>
        <w:t xml:space="preserve"> </w:t>
      </w:r>
      <w:r w:rsidR="00184030" w:rsidRPr="00903F77">
        <w:rPr>
          <w:rFonts w:ascii="Arial" w:hAnsi="Arial" w:cs="Arial"/>
        </w:rPr>
        <w:t>infection, and the patient remain</w:t>
      </w:r>
      <w:r w:rsidR="00646EBB">
        <w:rPr>
          <w:rFonts w:ascii="Arial" w:hAnsi="Arial" w:cs="Arial"/>
        </w:rPr>
        <w:t>s</w:t>
      </w:r>
      <w:r w:rsidR="00184030" w:rsidRPr="00903F77">
        <w:rPr>
          <w:rFonts w:ascii="Arial" w:hAnsi="Arial" w:cs="Arial"/>
        </w:rPr>
        <w:t xml:space="preserve"> off all biologic therapy whilst treatment</w:t>
      </w:r>
      <w:r w:rsidR="00646EBB">
        <w:rPr>
          <w:rFonts w:ascii="Arial" w:hAnsi="Arial" w:cs="Arial"/>
        </w:rPr>
        <w:t xml:space="preserve"> continues.</w:t>
      </w:r>
      <w:r w:rsidR="00184030" w:rsidRPr="00903F77">
        <w:rPr>
          <w:rFonts w:ascii="Arial" w:hAnsi="Arial" w:cs="Arial"/>
        </w:rPr>
        <w:t xml:space="preserve"> </w:t>
      </w:r>
    </w:p>
    <w:p w:rsidR="007F01BD" w:rsidRDefault="00842F42" w:rsidP="00494BB4">
      <w:pPr>
        <w:spacing w:after="0" w:line="480" w:lineRule="auto"/>
        <w:jc w:val="both"/>
        <w:rPr>
          <w:rFonts w:ascii="Arial" w:hAnsi="Arial" w:cs="Arial"/>
          <w:b/>
        </w:rPr>
      </w:pPr>
      <w:r w:rsidRPr="00903F77">
        <w:rPr>
          <w:rFonts w:ascii="Arial" w:hAnsi="Arial" w:cs="Arial"/>
        </w:rPr>
        <w:t xml:space="preserve">A Kaplan Meier survival analysis </w:t>
      </w:r>
      <w:r w:rsidR="00BF6B99" w:rsidRPr="00903F77">
        <w:rPr>
          <w:rFonts w:ascii="Arial" w:hAnsi="Arial" w:cs="Arial"/>
        </w:rPr>
        <w:t>of</w:t>
      </w:r>
      <w:r w:rsidRPr="00903F77">
        <w:rPr>
          <w:rFonts w:ascii="Arial" w:hAnsi="Arial" w:cs="Arial"/>
        </w:rPr>
        <w:t xml:space="preserve"> the 2</w:t>
      </w:r>
      <w:r w:rsidR="00BF6B99" w:rsidRPr="00903F77">
        <w:rPr>
          <w:rFonts w:ascii="Arial" w:hAnsi="Arial" w:cs="Arial"/>
        </w:rPr>
        <w:t xml:space="preserve"> groups is shown in the survival curve (Figure 1)</w:t>
      </w:r>
      <w:r w:rsidRPr="00903F77">
        <w:rPr>
          <w:rFonts w:ascii="Arial" w:hAnsi="Arial" w:cs="Arial"/>
        </w:rPr>
        <w:t xml:space="preserve">.  </w:t>
      </w:r>
    </w:p>
    <w:p w:rsidR="00A15A63" w:rsidRDefault="00A15A63" w:rsidP="00494BB4">
      <w:pPr>
        <w:spacing w:after="0" w:line="480" w:lineRule="auto"/>
        <w:jc w:val="both"/>
        <w:rPr>
          <w:rFonts w:ascii="Arial" w:hAnsi="Arial" w:cs="Arial"/>
          <w:b/>
        </w:rPr>
      </w:pPr>
    </w:p>
    <w:p w:rsidR="00184030" w:rsidRPr="00F4011A" w:rsidRDefault="00184030" w:rsidP="00494BB4">
      <w:pPr>
        <w:spacing w:after="0" w:line="480" w:lineRule="auto"/>
        <w:jc w:val="both"/>
        <w:rPr>
          <w:rFonts w:ascii="Arial" w:hAnsi="Arial" w:cs="Arial"/>
          <w:b/>
        </w:rPr>
      </w:pPr>
      <w:r w:rsidRPr="00F4011A">
        <w:rPr>
          <w:rFonts w:ascii="Arial" w:hAnsi="Arial" w:cs="Arial"/>
          <w:b/>
        </w:rPr>
        <w:t>Discussion</w:t>
      </w:r>
    </w:p>
    <w:p w:rsidR="00184030" w:rsidRPr="00903F77" w:rsidRDefault="00184030" w:rsidP="00494BB4">
      <w:pPr>
        <w:spacing w:after="0" w:line="480" w:lineRule="auto"/>
        <w:jc w:val="both"/>
        <w:rPr>
          <w:rFonts w:ascii="Arial" w:hAnsi="Arial" w:cs="Arial"/>
        </w:rPr>
      </w:pPr>
      <w:r w:rsidRPr="00903F77">
        <w:rPr>
          <w:rFonts w:ascii="Arial" w:hAnsi="Arial" w:cs="Arial"/>
        </w:rPr>
        <w:lastRenderedPageBreak/>
        <w:t xml:space="preserve">Over </w:t>
      </w:r>
      <w:r w:rsidR="00024D12">
        <w:rPr>
          <w:rFonts w:ascii="Arial" w:hAnsi="Arial" w:cs="Arial"/>
        </w:rPr>
        <w:t xml:space="preserve">a mean </w:t>
      </w:r>
      <w:r w:rsidR="009F5BA5" w:rsidRPr="00903F77">
        <w:rPr>
          <w:rFonts w:ascii="Arial" w:hAnsi="Arial" w:cs="Arial"/>
        </w:rPr>
        <w:t>12.1</w:t>
      </w:r>
      <w:r w:rsidRPr="00903F77">
        <w:rPr>
          <w:rFonts w:ascii="Arial" w:hAnsi="Arial" w:cs="Arial"/>
        </w:rPr>
        <w:t xml:space="preserve"> months of follow-up, 5</w:t>
      </w:r>
      <w:r w:rsidR="009F5BA5" w:rsidRPr="00903F77">
        <w:rPr>
          <w:rFonts w:ascii="Arial" w:hAnsi="Arial" w:cs="Arial"/>
        </w:rPr>
        <w:t>1</w:t>
      </w:r>
      <w:r w:rsidRPr="00903F77">
        <w:rPr>
          <w:rFonts w:ascii="Arial" w:hAnsi="Arial" w:cs="Arial"/>
        </w:rPr>
        <w:t xml:space="preserve"> out of 5</w:t>
      </w:r>
      <w:r w:rsidR="001A6B8C">
        <w:rPr>
          <w:rFonts w:ascii="Arial" w:hAnsi="Arial" w:cs="Arial"/>
        </w:rPr>
        <w:t>9</w:t>
      </w:r>
      <w:r w:rsidRPr="00903F77">
        <w:rPr>
          <w:rFonts w:ascii="Arial" w:hAnsi="Arial" w:cs="Arial"/>
        </w:rPr>
        <w:t xml:space="preserve"> patients receiving Inflectra (infliximab) for </w:t>
      </w:r>
      <w:r w:rsidR="003F0FAA">
        <w:rPr>
          <w:rFonts w:ascii="Arial" w:hAnsi="Arial" w:cs="Arial"/>
        </w:rPr>
        <w:t xml:space="preserve">IA </w:t>
      </w:r>
      <w:r w:rsidRPr="00903F77">
        <w:rPr>
          <w:rFonts w:ascii="Arial" w:hAnsi="Arial" w:cs="Arial"/>
        </w:rPr>
        <w:t>have continued with therapy (8</w:t>
      </w:r>
      <w:r w:rsidR="009F5BA5" w:rsidRPr="00903F77">
        <w:rPr>
          <w:rFonts w:ascii="Arial" w:hAnsi="Arial" w:cs="Arial"/>
        </w:rPr>
        <w:t>6</w:t>
      </w:r>
      <w:r w:rsidRPr="00903F77">
        <w:rPr>
          <w:rFonts w:ascii="Arial" w:hAnsi="Arial" w:cs="Arial"/>
        </w:rPr>
        <w:t xml:space="preserve">%).  </w:t>
      </w:r>
      <w:r w:rsidR="00904F87">
        <w:rPr>
          <w:rFonts w:ascii="Arial" w:hAnsi="Arial" w:cs="Arial"/>
        </w:rPr>
        <w:t>Importantly, t</w:t>
      </w:r>
      <w:r w:rsidRPr="00903F77">
        <w:rPr>
          <w:rFonts w:ascii="Arial" w:hAnsi="Arial" w:cs="Arial"/>
        </w:rPr>
        <w:t xml:space="preserve">he incidence of </w:t>
      </w:r>
      <w:r w:rsidR="00904F87">
        <w:rPr>
          <w:rFonts w:ascii="Arial" w:hAnsi="Arial" w:cs="Arial"/>
        </w:rPr>
        <w:t>discontinuation of therapy due to AEs</w:t>
      </w:r>
      <w:r w:rsidRPr="00903F77">
        <w:rPr>
          <w:rFonts w:ascii="Arial" w:hAnsi="Arial" w:cs="Arial"/>
        </w:rPr>
        <w:t xml:space="preserve"> and inefficacy appear similar to the preceding 12 months of Remicade (infliximab) therapy, which supports the findings of currently available trial data </w:t>
      </w:r>
      <w:r w:rsidR="007270E6" w:rsidRPr="00903F77">
        <w:rPr>
          <w:rFonts w:ascii="Arial" w:hAnsi="Arial" w:cs="Arial"/>
        </w:rPr>
        <w:fldChar w:fldCharType="begin">
          <w:fldData xml:space="preserve">PEVuZE5vdGU+PENpdGU+PEF1dGhvcj5QYXJrPC9BdXRob3I+PFJlY051bT4yPC9SZWNOdW0+PHJl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==
</w:fldData>
        </w:fldChar>
      </w:r>
      <w:r w:rsidRPr="00903F77">
        <w:rPr>
          <w:rFonts w:ascii="Arial" w:hAnsi="Arial" w:cs="Arial"/>
        </w:rPr>
        <w:instrText xml:space="preserve"> ADDIN EN.CITE </w:instrText>
      </w:r>
      <w:r w:rsidR="007270E6" w:rsidRPr="00903F77">
        <w:rPr>
          <w:rFonts w:ascii="Arial" w:hAnsi="Arial" w:cs="Arial"/>
        </w:rPr>
        <w:fldChar w:fldCharType="begin">
          <w:fldData xml:space="preserve">PEVuZE5vdGU+PENpdGU+PEF1dGhvcj5QYXJrPC9BdXRob3I+PFJlY051bT4yPC9SZWNOdW0+PHJl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==
</w:fldData>
        </w:fldChar>
      </w:r>
      <w:r w:rsidRPr="00903F77">
        <w:rPr>
          <w:rFonts w:ascii="Arial" w:hAnsi="Arial" w:cs="Arial"/>
        </w:rPr>
        <w:instrText xml:space="preserve"> ADDIN EN.CITE.DATA </w:instrText>
      </w:r>
      <w:r w:rsidR="007270E6" w:rsidRPr="00903F77">
        <w:rPr>
          <w:rFonts w:ascii="Arial" w:hAnsi="Arial" w:cs="Arial"/>
        </w:rPr>
      </w:r>
      <w:r w:rsidR="007270E6" w:rsidRPr="00903F77">
        <w:rPr>
          <w:rFonts w:ascii="Arial" w:hAnsi="Arial" w:cs="Arial"/>
        </w:rPr>
        <w:fldChar w:fldCharType="end"/>
      </w:r>
      <w:r w:rsidR="007270E6" w:rsidRPr="00903F77">
        <w:rPr>
          <w:rFonts w:ascii="Arial" w:hAnsi="Arial" w:cs="Arial"/>
        </w:rPr>
      </w:r>
      <w:r w:rsidR="007270E6" w:rsidRPr="00903F77">
        <w:rPr>
          <w:rFonts w:ascii="Arial" w:hAnsi="Arial" w:cs="Arial"/>
        </w:rPr>
        <w:fldChar w:fldCharType="separate"/>
      </w:r>
      <w:r w:rsidRPr="00903F77">
        <w:rPr>
          <w:rFonts w:ascii="Arial" w:hAnsi="Arial" w:cs="Arial"/>
        </w:rPr>
        <w:t>[6, 7]</w:t>
      </w:r>
      <w:r w:rsidR="007270E6" w:rsidRPr="00903F77">
        <w:rPr>
          <w:rFonts w:ascii="Arial" w:hAnsi="Arial" w:cs="Arial"/>
        </w:rPr>
        <w:fldChar w:fldCharType="end"/>
      </w:r>
      <w:r w:rsidRPr="00903F77">
        <w:rPr>
          <w:rFonts w:ascii="Arial" w:hAnsi="Arial" w:cs="Arial"/>
        </w:rPr>
        <w:t xml:space="preserve">.  </w:t>
      </w:r>
    </w:p>
    <w:p w:rsidR="00184030" w:rsidRPr="00903F77" w:rsidRDefault="00184030" w:rsidP="00494BB4">
      <w:pPr>
        <w:spacing w:after="0" w:line="480" w:lineRule="auto"/>
        <w:jc w:val="both"/>
        <w:rPr>
          <w:rFonts w:ascii="Arial" w:hAnsi="Arial" w:cs="Arial"/>
        </w:rPr>
      </w:pPr>
      <w:r w:rsidRPr="00903F77">
        <w:rPr>
          <w:rFonts w:ascii="Arial" w:hAnsi="Arial" w:cs="Arial"/>
        </w:rPr>
        <w:t xml:space="preserve">When the decision was made to switch from Remicade (infliximab) to Inflectra (infliximab), the local cost price per vial of Remicade (infliximab) was </w:t>
      </w:r>
      <w:r w:rsidR="0058607F">
        <w:rPr>
          <w:rFonts w:ascii="Arial" w:hAnsi="Arial" w:cs="Arial"/>
        </w:rPr>
        <w:t xml:space="preserve">significantly </w:t>
      </w:r>
      <w:r w:rsidRPr="00903F77">
        <w:rPr>
          <w:rFonts w:ascii="Arial" w:hAnsi="Arial" w:cs="Arial"/>
        </w:rPr>
        <w:t>higher than for Inflectra (infliximab)</w:t>
      </w:r>
      <w:r w:rsidR="0003511A">
        <w:rPr>
          <w:rFonts w:ascii="Arial" w:hAnsi="Arial" w:cs="Arial"/>
        </w:rPr>
        <w:t xml:space="preserve"> providing</w:t>
      </w:r>
      <w:r w:rsidR="0058607F">
        <w:rPr>
          <w:rFonts w:ascii="Arial" w:hAnsi="Arial" w:cs="Arial"/>
        </w:rPr>
        <w:t xml:space="preserve"> a </w:t>
      </w:r>
      <w:r w:rsidRPr="00903F77">
        <w:rPr>
          <w:rFonts w:ascii="Arial" w:hAnsi="Arial" w:cs="Arial"/>
        </w:rPr>
        <w:t xml:space="preserve">potential for cost saving </w:t>
      </w:r>
      <w:r w:rsidR="0058607F">
        <w:rPr>
          <w:rFonts w:ascii="Arial" w:hAnsi="Arial" w:cs="Arial"/>
        </w:rPr>
        <w:t xml:space="preserve">that was reinvested in our clinical service via a </w:t>
      </w:r>
      <w:r w:rsidRPr="00903F77">
        <w:rPr>
          <w:rFonts w:ascii="Arial" w:hAnsi="Arial" w:cs="Arial"/>
        </w:rPr>
        <w:t xml:space="preserve">gain-share agreement.  </w:t>
      </w:r>
      <w:r w:rsidR="00AD2D1E">
        <w:rPr>
          <w:rFonts w:ascii="Arial" w:hAnsi="Arial" w:cs="Arial"/>
        </w:rPr>
        <w:t>A</w:t>
      </w:r>
      <w:r w:rsidR="00904F87">
        <w:rPr>
          <w:rFonts w:ascii="Arial" w:hAnsi="Arial" w:cs="Arial"/>
        </w:rPr>
        <w:t>lthough cost pressures are an important reality of providing healthcare we wanted to approach the switch to a biosimilar infliximab in a measured way</w:t>
      </w:r>
      <w:r w:rsidR="003476F6">
        <w:rPr>
          <w:rFonts w:ascii="Arial" w:hAnsi="Arial" w:cs="Arial"/>
        </w:rPr>
        <w:t>, providing clear information to patients</w:t>
      </w:r>
      <w:r w:rsidR="00351916">
        <w:rPr>
          <w:rFonts w:ascii="Arial" w:hAnsi="Arial" w:cs="Arial"/>
        </w:rPr>
        <w:t xml:space="preserve">.  </w:t>
      </w:r>
      <w:r w:rsidR="00904F87">
        <w:rPr>
          <w:rFonts w:ascii="Arial" w:hAnsi="Arial" w:cs="Arial"/>
        </w:rPr>
        <w:t>We think that this contributed to the high rate of patient acceptance of this change to treatment.</w:t>
      </w:r>
    </w:p>
    <w:p w:rsidR="00184030" w:rsidRPr="00903F77" w:rsidRDefault="00547513" w:rsidP="00494BB4">
      <w:pPr>
        <w:spacing w:after="0" w:line="480" w:lineRule="auto"/>
        <w:jc w:val="both"/>
        <w:rPr>
          <w:rFonts w:ascii="Arial" w:hAnsi="Arial" w:cs="Arial"/>
        </w:rPr>
      </w:pPr>
      <w:r>
        <w:rPr>
          <w:rFonts w:ascii="Arial" w:hAnsi="Arial" w:cs="Arial"/>
        </w:rPr>
        <w:t>There are some limitations with this</w:t>
      </w:r>
      <w:r w:rsidR="00646EBB" w:rsidRPr="00646EBB">
        <w:rPr>
          <w:rFonts w:ascii="Arial" w:hAnsi="Arial" w:cs="Arial"/>
        </w:rPr>
        <w:t xml:space="preserve"> </w:t>
      </w:r>
      <w:r w:rsidR="00646EBB">
        <w:rPr>
          <w:rFonts w:ascii="Arial" w:hAnsi="Arial" w:cs="Arial"/>
        </w:rPr>
        <w:t>real life clinical</w:t>
      </w:r>
      <w:r>
        <w:rPr>
          <w:rFonts w:ascii="Arial" w:hAnsi="Arial" w:cs="Arial"/>
        </w:rPr>
        <w:t xml:space="preserve"> study. </w:t>
      </w:r>
      <w:r w:rsidR="00184030" w:rsidRPr="00903F77">
        <w:rPr>
          <w:rFonts w:ascii="Arial" w:hAnsi="Arial" w:cs="Arial"/>
        </w:rPr>
        <w:t xml:space="preserve">The completeness of the database relies on </w:t>
      </w:r>
      <w:r w:rsidR="0058607F">
        <w:rPr>
          <w:rFonts w:ascii="Arial" w:hAnsi="Arial" w:cs="Arial"/>
        </w:rPr>
        <w:t xml:space="preserve">the </w:t>
      </w:r>
      <w:r w:rsidR="00904F87">
        <w:rPr>
          <w:rFonts w:ascii="Arial" w:hAnsi="Arial" w:cs="Arial"/>
        </w:rPr>
        <w:t xml:space="preserve">quality of the </w:t>
      </w:r>
      <w:r w:rsidR="0058607F">
        <w:rPr>
          <w:rFonts w:ascii="Arial" w:hAnsi="Arial" w:cs="Arial"/>
        </w:rPr>
        <w:t xml:space="preserve">records of </w:t>
      </w:r>
      <w:r w:rsidR="009B1B15">
        <w:rPr>
          <w:rFonts w:ascii="Arial" w:hAnsi="Arial" w:cs="Arial"/>
        </w:rPr>
        <w:t>the clinical team (CH and SB)</w:t>
      </w:r>
      <w:r w:rsidR="00904F87">
        <w:rPr>
          <w:rFonts w:ascii="Arial" w:hAnsi="Arial" w:cs="Arial"/>
        </w:rPr>
        <w:t>working in the biologics clinic</w:t>
      </w:r>
      <w:r w:rsidR="0049236A">
        <w:rPr>
          <w:rFonts w:ascii="Arial" w:hAnsi="Arial" w:cs="Arial"/>
        </w:rPr>
        <w:t>,</w:t>
      </w:r>
      <w:r w:rsidR="00904F87">
        <w:rPr>
          <w:rFonts w:ascii="Arial" w:hAnsi="Arial" w:cs="Arial"/>
        </w:rPr>
        <w:t xml:space="preserve"> </w:t>
      </w:r>
      <w:r w:rsidR="0058607F">
        <w:rPr>
          <w:rFonts w:ascii="Arial" w:hAnsi="Arial" w:cs="Arial"/>
        </w:rPr>
        <w:t xml:space="preserve">but </w:t>
      </w:r>
      <w:r w:rsidR="0058607F">
        <w:rPr>
          <w:rFonts w:ascii="Arial" w:hAnsi="Arial" w:cs="Arial"/>
        </w:rPr>
        <w:lastRenderedPageBreak/>
        <w:t>has prove</w:t>
      </w:r>
      <w:r w:rsidR="00C56382">
        <w:rPr>
          <w:rFonts w:ascii="Arial" w:hAnsi="Arial" w:cs="Arial"/>
        </w:rPr>
        <w:t xml:space="preserve">n </w:t>
      </w:r>
      <w:r w:rsidR="0058607F">
        <w:rPr>
          <w:rFonts w:ascii="Arial" w:hAnsi="Arial" w:cs="Arial"/>
        </w:rPr>
        <w:t>valuable in other studies</w:t>
      </w:r>
      <w:r w:rsidR="000133A7">
        <w:rPr>
          <w:rFonts w:ascii="Arial" w:hAnsi="Arial" w:cs="Arial"/>
        </w:rPr>
        <w:t xml:space="preserve"> [8]. </w:t>
      </w:r>
      <w:r>
        <w:rPr>
          <w:rFonts w:ascii="Arial" w:hAnsi="Arial" w:cs="Arial"/>
        </w:rPr>
        <w:t xml:space="preserve"> </w:t>
      </w:r>
      <w:r w:rsidR="00AD2D1E" w:rsidRPr="00903F77">
        <w:rPr>
          <w:rFonts w:ascii="Arial" w:hAnsi="Arial" w:cs="Arial"/>
        </w:rPr>
        <w:t xml:space="preserve">If </w:t>
      </w:r>
      <w:r w:rsidR="00AD2D1E">
        <w:rPr>
          <w:rFonts w:ascii="Arial" w:hAnsi="Arial" w:cs="Arial"/>
        </w:rPr>
        <w:t>AEs</w:t>
      </w:r>
      <w:r w:rsidR="00AD2D1E" w:rsidRPr="00903F77">
        <w:rPr>
          <w:rFonts w:ascii="Arial" w:hAnsi="Arial" w:cs="Arial"/>
        </w:rPr>
        <w:t xml:space="preserve"> or clinical inefficacy occurred</w:t>
      </w:r>
      <w:r w:rsidR="00AD2D1E">
        <w:rPr>
          <w:rFonts w:ascii="Arial" w:hAnsi="Arial" w:cs="Arial"/>
        </w:rPr>
        <w:t xml:space="preserve"> in the</w:t>
      </w:r>
      <w:r w:rsidR="0058607F">
        <w:rPr>
          <w:rFonts w:ascii="Arial" w:hAnsi="Arial" w:cs="Arial"/>
        </w:rPr>
        <w:t xml:space="preserve"> p</w:t>
      </w:r>
      <w:r w:rsidR="00184030" w:rsidRPr="00903F77">
        <w:rPr>
          <w:rFonts w:ascii="Arial" w:hAnsi="Arial" w:cs="Arial"/>
        </w:rPr>
        <w:t xml:space="preserve">atients newly started on Inflectra </w:t>
      </w:r>
      <w:r w:rsidR="00AF3E4A">
        <w:rPr>
          <w:rFonts w:ascii="Arial" w:hAnsi="Arial" w:cs="Arial"/>
        </w:rPr>
        <w:t xml:space="preserve">(infliximab) </w:t>
      </w:r>
      <w:r w:rsidR="0058607F">
        <w:rPr>
          <w:rFonts w:ascii="Arial" w:hAnsi="Arial" w:cs="Arial"/>
        </w:rPr>
        <w:t xml:space="preserve">as their first </w:t>
      </w:r>
      <w:r w:rsidR="00184030" w:rsidRPr="00903F77">
        <w:rPr>
          <w:rFonts w:ascii="Arial" w:hAnsi="Arial" w:cs="Arial"/>
        </w:rPr>
        <w:t>infliximab</w:t>
      </w:r>
      <w:r w:rsidR="00351916">
        <w:rPr>
          <w:rFonts w:ascii="Arial" w:hAnsi="Arial" w:cs="Arial"/>
        </w:rPr>
        <w:t xml:space="preserve"> </w:t>
      </w:r>
      <w:r w:rsidR="00184030" w:rsidRPr="00903F77">
        <w:rPr>
          <w:rFonts w:ascii="Arial" w:hAnsi="Arial" w:cs="Arial"/>
        </w:rPr>
        <w:t>they would have been missed within the remit of this study.</w:t>
      </w:r>
      <w:r w:rsidR="0058607F">
        <w:rPr>
          <w:rFonts w:ascii="Arial" w:hAnsi="Arial" w:cs="Arial"/>
        </w:rPr>
        <w:t xml:space="preserve"> </w:t>
      </w:r>
      <w:r w:rsidR="00AF3E4A">
        <w:rPr>
          <w:rFonts w:ascii="Arial" w:hAnsi="Arial" w:cs="Arial"/>
        </w:rPr>
        <w:t>As data were</w:t>
      </w:r>
      <w:r w:rsidR="00184030" w:rsidRPr="00903F77">
        <w:rPr>
          <w:rFonts w:ascii="Arial" w:hAnsi="Arial" w:cs="Arial"/>
        </w:rPr>
        <w:t xml:space="preserve"> analysed retrospectively, there was no way to prove causality between the treatment and the </w:t>
      </w:r>
      <w:r w:rsidR="00C56382">
        <w:rPr>
          <w:rFonts w:ascii="Arial" w:hAnsi="Arial" w:cs="Arial"/>
        </w:rPr>
        <w:t>AEs</w:t>
      </w:r>
      <w:r w:rsidR="00184030" w:rsidRPr="00903F77">
        <w:rPr>
          <w:rFonts w:ascii="Arial" w:hAnsi="Arial" w:cs="Arial"/>
        </w:rPr>
        <w:t xml:space="preserve"> or instances of inefficacy </w:t>
      </w:r>
      <w:r w:rsidR="0058607F">
        <w:rPr>
          <w:rFonts w:ascii="Arial" w:hAnsi="Arial" w:cs="Arial"/>
        </w:rPr>
        <w:t>that</w:t>
      </w:r>
      <w:r w:rsidR="0058607F" w:rsidRPr="00903F77">
        <w:rPr>
          <w:rFonts w:ascii="Arial" w:hAnsi="Arial" w:cs="Arial"/>
        </w:rPr>
        <w:t xml:space="preserve"> </w:t>
      </w:r>
      <w:r w:rsidR="00184030" w:rsidRPr="00903F77">
        <w:rPr>
          <w:rFonts w:ascii="Arial" w:hAnsi="Arial" w:cs="Arial"/>
        </w:rPr>
        <w:t>occurred</w:t>
      </w:r>
      <w:r w:rsidR="00A70B85">
        <w:rPr>
          <w:rFonts w:ascii="Arial" w:hAnsi="Arial" w:cs="Arial"/>
        </w:rPr>
        <w:t>.</w:t>
      </w:r>
      <w:r w:rsidR="006C153D">
        <w:rPr>
          <w:rFonts w:ascii="Arial" w:hAnsi="Arial" w:cs="Arial"/>
        </w:rPr>
        <w:t xml:space="preserve"> </w:t>
      </w:r>
      <w:r w:rsidR="009B1B15">
        <w:rPr>
          <w:rFonts w:ascii="Arial" w:hAnsi="Arial" w:cs="Arial"/>
        </w:rPr>
        <w:t xml:space="preserve"> </w:t>
      </w:r>
      <w:r w:rsidR="00AD2D1E">
        <w:rPr>
          <w:rFonts w:ascii="Arial" w:hAnsi="Arial" w:cs="Arial"/>
        </w:rPr>
        <w:t>D</w:t>
      </w:r>
      <w:r w:rsidR="00184030" w:rsidRPr="00903F77">
        <w:rPr>
          <w:rFonts w:ascii="Arial" w:hAnsi="Arial" w:cs="Arial"/>
        </w:rPr>
        <w:t xml:space="preserve">etection of </w:t>
      </w:r>
      <w:r w:rsidR="00C56382">
        <w:rPr>
          <w:rFonts w:ascii="Arial" w:hAnsi="Arial" w:cs="Arial"/>
        </w:rPr>
        <w:t>AEs</w:t>
      </w:r>
      <w:r w:rsidR="00184030" w:rsidRPr="00903F77">
        <w:rPr>
          <w:rFonts w:ascii="Arial" w:hAnsi="Arial" w:cs="Arial"/>
        </w:rPr>
        <w:t xml:space="preserve"> relied heavily on patient reporting.  As patient consent</w:t>
      </w:r>
      <w:r w:rsidR="00B42554">
        <w:rPr>
          <w:rFonts w:ascii="Arial" w:hAnsi="Arial" w:cs="Arial"/>
        </w:rPr>
        <w:t xml:space="preserve"> to switch</w:t>
      </w:r>
      <w:r w:rsidR="00184030" w:rsidRPr="00903F77">
        <w:rPr>
          <w:rFonts w:ascii="Arial" w:hAnsi="Arial" w:cs="Arial"/>
        </w:rPr>
        <w:t xml:space="preserve"> was sought, this may have influenced patient interpretation of events.</w:t>
      </w:r>
    </w:p>
    <w:p w:rsidR="00184030" w:rsidRPr="00903F77" w:rsidRDefault="00184030" w:rsidP="00494BB4">
      <w:pPr>
        <w:spacing w:after="0" w:line="480" w:lineRule="auto"/>
        <w:jc w:val="both"/>
        <w:rPr>
          <w:rFonts w:ascii="Arial" w:hAnsi="Arial" w:cs="Arial"/>
        </w:rPr>
      </w:pPr>
      <w:r w:rsidRPr="00903F77">
        <w:rPr>
          <w:rFonts w:ascii="Arial" w:hAnsi="Arial" w:cs="Arial"/>
        </w:rPr>
        <w:t xml:space="preserve">In conclusion, from the data provided in this study, there does not appear to be any </w:t>
      </w:r>
      <w:r w:rsidR="00F4011A">
        <w:rPr>
          <w:rFonts w:ascii="Arial" w:hAnsi="Arial" w:cs="Arial"/>
        </w:rPr>
        <w:t>significan</w:t>
      </w:r>
      <w:r w:rsidR="0058607F">
        <w:rPr>
          <w:rFonts w:ascii="Arial" w:hAnsi="Arial" w:cs="Arial"/>
        </w:rPr>
        <w:t xml:space="preserve">t </w:t>
      </w:r>
      <w:r w:rsidRPr="00903F77">
        <w:rPr>
          <w:rFonts w:ascii="Arial" w:hAnsi="Arial" w:cs="Arial"/>
        </w:rPr>
        <w:t xml:space="preserve">difference in </w:t>
      </w:r>
      <w:r w:rsidR="0058607F">
        <w:rPr>
          <w:rFonts w:ascii="Arial" w:hAnsi="Arial" w:cs="Arial"/>
        </w:rPr>
        <w:t xml:space="preserve">the </w:t>
      </w:r>
      <w:r w:rsidRPr="00903F77">
        <w:rPr>
          <w:rFonts w:ascii="Arial" w:hAnsi="Arial" w:cs="Arial"/>
        </w:rPr>
        <w:t>safety profile or efficacy of Inflectra (infliximab) versus Remicade (infliximab)</w:t>
      </w:r>
      <w:r w:rsidR="0058607F">
        <w:rPr>
          <w:rFonts w:ascii="Arial" w:hAnsi="Arial" w:cs="Arial"/>
        </w:rPr>
        <w:t xml:space="preserve"> in real world use.</w:t>
      </w:r>
      <w:r w:rsidR="00C56382">
        <w:rPr>
          <w:rFonts w:ascii="Arial" w:hAnsi="Arial" w:cs="Arial"/>
        </w:rPr>
        <w:t xml:space="preserve"> In addition, patients appear accepting of this change.</w:t>
      </w:r>
    </w:p>
    <w:p w:rsidR="00184030" w:rsidRPr="00903F77" w:rsidRDefault="00184030" w:rsidP="00494BB4">
      <w:pPr>
        <w:spacing w:after="0" w:line="480" w:lineRule="auto"/>
        <w:jc w:val="both"/>
        <w:rPr>
          <w:rFonts w:ascii="Arial" w:hAnsi="Arial" w:cs="Arial"/>
        </w:rPr>
      </w:pPr>
    </w:p>
    <w:p w:rsidR="00184030" w:rsidRDefault="00184030" w:rsidP="00494BB4">
      <w:pPr>
        <w:spacing w:after="0" w:line="480" w:lineRule="auto"/>
        <w:jc w:val="both"/>
        <w:rPr>
          <w:rFonts w:ascii="Arial" w:hAnsi="Arial" w:cs="Arial"/>
          <w:b/>
        </w:rPr>
      </w:pPr>
      <w:r w:rsidRPr="00F4011A">
        <w:rPr>
          <w:rFonts w:ascii="Arial" w:hAnsi="Arial" w:cs="Arial"/>
          <w:b/>
        </w:rPr>
        <w:t>Conflict of Interest Statement</w:t>
      </w:r>
    </w:p>
    <w:p w:rsidR="007F01BD" w:rsidRDefault="007F01BD" w:rsidP="00494BB4">
      <w:pPr>
        <w:spacing w:after="0" w:line="480" w:lineRule="auto"/>
        <w:jc w:val="both"/>
        <w:rPr>
          <w:rFonts w:ascii="Arial" w:hAnsi="Arial" w:cs="Arial"/>
        </w:rPr>
      </w:pPr>
      <w:r w:rsidRPr="00F4011A">
        <w:rPr>
          <w:rFonts w:ascii="Arial" w:hAnsi="Arial" w:cs="Arial"/>
        </w:rPr>
        <w:t>CJE has received research</w:t>
      </w:r>
      <w:r w:rsidR="00442A96" w:rsidRPr="00F4011A">
        <w:rPr>
          <w:rFonts w:ascii="Arial" w:hAnsi="Arial" w:cs="Arial"/>
        </w:rPr>
        <w:t xml:space="preserve"> support, delivered educational talks and taken part in advisory boards for Abbvie, Pfizer, MSD, Biogen, Celltrion, Napp, Roche, Celgene, UCB, Samsung bioepis.</w:t>
      </w:r>
    </w:p>
    <w:p w:rsidR="00547513" w:rsidRDefault="00547513" w:rsidP="00494BB4">
      <w:pPr>
        <w:spacing w:after="0" w:line="480" w:lineRule="auto"/>
        <w:jc w:val="both"/>
        <w:rPr>
          <w:rFonts w:ascii="Arial" w:hAnsi="Arial" w:cs="Arial"/>
        </w:rPr>
      </w:pPr>
    </w:p>
    <w:p w:rsidR="00547513" w:rsidRPr="00442A96" w:rsidRDefault="00547513" w:rsidP="00494BB4">
      <w:pPr>
        <w:spacing w:after="0" w:line="480" w:lineRule="auto"/>
        <w:jc w:val="both"/>
        <w:rPr>
          <w:rFonts w:ascii="Arial" w:hAnsi="Arial" w:cs="Arial"/>
        </w:rPr>
      </w:pPr>
      <w:r>
        <w:rPr>
          <w:rFonts w:ascii="Arial" w:hAnsi="Arial" w:cs="Arial"/>
        </w:rPr>
        <w:t>CH has delivered educational talks and taken part in advisory boards for Abbvie, UCB, BMS, Janssen, Roche and Novartis</w:t>
      </w:r>
      <w:r w:rsidR="00A30D38">
        <w:rPr>
          <w:rFonts w:ascii="Arial" w:hAnsi="Arial" w:cs="Arial"/>
        </w:rPr>
        <w:t>.</w:t>
      </w:r>
    </w:p>
    <w:p w:rsidR="00184030" w:rsidRPr="00903F77" w:rsidRDefault="00184030" w:rsidP="00494BB4">
      <w:pPr>
        <w:spacing w:after="0" w:line="480" w:lineRule="auto"/>
        <w:jc w:val="both"/>
        <w:rPr>
          <w:rFonts w:ascii="Arial" w:hAnsi="Arial" w:cs="Arial"/>
        </w:rPr>
      </w:pPr>
    </w:p>
    <w:p w:rsidR="00184030" w:rsidRPr="00F4011A" w:rsidRDefault="00184030" w:rsidP="00494BB4">
      <w:pPr>
        <w:spacing w:after="0" w:line="480" w:lineRule="auto"/>
        <w:jc w:val="both"/>
        <w:rPr>
          <w:rFonts w:ascii="Arial" w:hAnsi="Arial" w:cs="Arial"/>
          <w:b/>
        </w:rPr>
      </w:pPr>
      <w:r w:rsidRPr="00F4011A">
        <w:rPr>
          <w:rFonts w:ascii="Arial" w:hAnsi="Arial" w:cs="Arial"/>
          <w:b/>
        </w:rPr>
        <w:t>Funding Statement</w:t>
      </w:r>
    </w:p>
    <w:p w:rsidR="00184030" w:rsidRPr="00903F77" w:rsidRDefault="00184030" w:rsidP="00494BB4">
      <w:pPr>
        <w:spacing w:after="0" w:line="480" w:lineRule="auto"/>
        <w:jc w:val="both"/>
        <w:rPr>
          <w:rFonts w:ascii="Arial" w:hAnsi="Arial" w:cs="Arial"/>
        </w:rPr>
      </w:pPr>
      <w:r w:rsidRPr="00903F77">
        <w:rPr>
          <w:rFonts w:ascii="Arial" w:hAnsi="Arial" w:cs="Arial"/>
        </w:rPr>
        <w:t>No specific funding was received from any funding bodies to carry out the work described in this manuscript</w:t>
      </w:r>
      <w:r w:rsidR="00A30D38">
        <w:rPr>
          <w:rFonts w:ascii="Arial" w:hAnsi="Arial" w:cs="Arial"/>
        </w:rPr>
        <w:t>.</w:t>
      </w:r>
    </w:p>
    <w:p w:rsidR="00184030" w:rsidRPr="00903F77" w:rsidRDefault="00184030" w:rsidP="00494BB4">
      <w:pPr>
        <w:spacing w:after="0" w:line="480" w:lineRule="auto"/>
        <w:jc w:val="both"/>
        <w:rPr>
          <w:rFonts w:ascii="Arial" w:hAnsi="Arial" w:cs="Arial"/>
        </w:rPr>
      </w:pPr>
    </w:p>
    <w:p w:rsidR="00184030" w:rsidRPr="00903F77" w:rsidRDefault="00184030" w:rsidP="00494BB4">
      <w:pPr>
        <w:spacing w:after="0" w:line="480" w:lineRule="auto"/>
        <w:jc w:val="both"/>
        <w:rPr>
          <w:rFonts w:ascii="Arial" w:hAnsi="Arial" w:cs="Arial"/>
        </w:rPr>
      </w:pPr>
      <w:r w:rsidRPr="00903F77">
        <w:rPr>
          <w:rFonts w:ascii="Arial" w:hAnsi="Arial" w:cs="Arial"/>
        </w:rPr>
        <w:br w:type="page"/>
      </w:r>
    </w:p>
    <w:p w:rsidR="00184030" w:rsidRPr="00F4011A" w:rsidRDefault="00184030" w:rsidP="00F4011A">
      <w:pPr>
        <w:jc w:val="both"/>
        <w:rPr>
          <w:rFonts w:ascii="Arial" w:hAnsi="Arial" w:cs="Arial"/>
          <w:b/>
        </w:rPr>
      </w:pPr>
      <w:r w:rsidRPr="00F4011A">
        <w:rPr>
          <w:rFonts w:ascii="Arial" w:hAnsi="Arial" w:cs="Arial"/>
          <w:b/>
        </w:rPr>
        <w:lastRenderedPageBreak/>
        <w:t>References</w:t>
      </w:r>
    </w:p>
    <w:p w:rsidR="00184030" w:rsidRPr="00903F77" w:rsidRDefault="00184030" w:rsidP="00F4011A">
      <w:pPr>
        <w:jc w:val="both"/>
        <w:rPr>
          <w:rFonts w:ascii="Arial" w:hAnsi="Arial" w:cs="Arial"/>
        </w:rPr>
      </w:pPr>
    </w:p>
    <w:p w:rsidR="00184030" w:rsidRPr="009E0A35" w:rsidRDefault="007270E6" w:rsidP="00F4011A">
      <w:pPr>
        <w:jc w:val="both"/>
        <w:rPr>
          <w:rFonts w:ascii="Arial" w:hAnsi="Arial" w:cs="Arial"/>
        </w:rPr>
      </w:pPr>
      <w:r w:rsidRPr="009E0A35">
        <w:rPr>
          <w:rFonts w:ascii="Arial" w:hAnsi="Arial" w:cs="Arial"/>
        </w:rPr>
        <w:fldChar w:fldCharType="begin"/>
      </w:r>
      <w:r w:rsidR="00184030" w:rsidRPr="009E0A35">
        <w:rPr>
          <w:rFonts w:ascii="Arial" w:hAnsi="Arial" w:cs="Arial"/>
        </w:rPr>
        <w:instrText xml:space="preserve"> ADDIN EN.REFLIST </w:instrText>
      </w:r>
      <w:r w:rsidRPr="009E0A35">
        <w:rPr>
          <w:rFonts w:ascii="Arial" w:hAnsi="Arial" w:cs="Arial"/>
        </w:rPr>
        <w:fldChar w:fldCharType="separate"/>
      </w:r>
      <w:r w:rsidR="00184030" w:rsidRPr="009E0A35">
        <w:rPr>
          <w:rFonts w:ascii="Arial" w:hAnsi="Arial" w:cs="Arial"/>
        </w:rPr>
        <w:t>1.</w:t>
      </w:r>
      <w:r w:rsidR="00184030" w:rsidRPr="009E0A35">
        <w:rPr>
          <w:rFonts w:ascii="Arial" w:hAnsi="Arial" w:cs="Arial"/>
        </w:rPr>
        <w:tab/>
        <w:t>E</w:t>
      </w:r>
      <w:r w:rsidR="004026DB" w:rsidRPr="009E0A35">
        <w:rPr>
          <w:rFonts w:ascii="Arial" w:hAnsi="Arial" w:cs="Arial"/>
        </w:rPr>
        <w:t xml:space="preserve">uropean Medicines Agency Committee for Medicinal Products for Human Use. Remsima: EPAR- Public assessment report. </w:t>
      </w:r>
      <w:r w:rsidR="009E0A35" w:rsidRPr="009E0A35">
        <w:rPr>
          <w:rFonts w:ascii="Arial" w:hAnsi="Arial" w:cs="Arial"/>
        </w:rPr>
        <w:t xml:space="preserve">EMA/CHMP/589317/2013. </w:t>
      </w:r>
      <w:r w:rsidR="004026DB" w:rsidRPr="009E0A35">
        <w:rPr>
          <w:rFonts w:ascii="Arial" w:hAnsi="Arial" w:cs="Arial"/>
        </w:rPr>
        <w:t xml:space="preserve">London: </w:t>
      </w:r>
      <w:r w:rsidR="00AD05E9">
        <w:rPr>
          <w:rFonts w:ascii="Arial" w:hAnsi="Arial" w:cs="Arial"/>
        </w:rPr>
        <w:t>European Medicines Agency; 2013:</w:t>
      </w:r>
      <w:r w:rsidR="009E0A35" w:rsidRPr="009E0A35">
        <w:rPr>
          <w:rFonts w:ascii="Arial" w:hAnsi="Arial" w:cs="Arial"/>
        </w:rPr>
        <w:t>13-97.</w:t>
      </w:r>
    </w:p>
    <w:p w:rsidR="00184030" w:rsidRPr="009E0A35" w:rsidRDefault="00184030" w:rsidP="00F4011A">
      <w:pPr>
        <w:jc w:val="both"/>
        <w:rPr>
          <w:rFonts w:ascii="Arial" w:hAnsi="Arial" w:cs="Arial"/>
        </w:rPr>
      </w:pPr>
      <w:r w:rsidRPr="009E0A35">
        <w:rPr>
          <w:rFonts w:ascii="Arial" w:hAnsi="Arial" w:cs="Arial"/>
        </w:rPr>
        <w:t>2.</w:t>
      </w:r>
      <w:r w:rsidRPr="009E0A35">
        <w:rPr>
          <w:rFonts w:ascii="Arial" w:hAnsi="Arial" w:cs="Arial"/>
        </w:rPr>
        <w:tab/>
      </w:r>
      <w:r w:rsidR="009E0A35" w:rsidRPr="009E0A35">
        <w:rPr>
          <w:rFonts w:ascii="Arial" w:hAnsi="Arial" w:cs="Arial"/>
          <w:lang w:eastAsia="en-GB"/>
        </w:rPr>
        <w:t>Nam JL, Ramiro S, Gaujoux-Viala C, Takase K, Leon-Garcia M, Emery P, et al. Efficacy of biological disease-modifying antirheumatic drugs: a systematic literature review informing the 2013 update of the EULAR recommendations for the management of rheumatoid arthritis. Ann Rheum Dis 2014 Mar;</w:t>
      </w:r>
      <w:r w:rsidR="009E0A35">
        <w:rPr>
          <w:rFonts w:ascii="Arial" w:hAnsi="Arial" w:cs="Arial"/>
          <w:lang w:eastAsia="en-GB"/>
        </w:rPr>
        <w:t xml:space="preserve"> </w:t>
      </w:r>
      <w:r w:rsidR="009E0A35" w:rsidRPr="009E0A35">
        <w:rPr>
          <w:rFonts w:ascii="Arial" w:hAnsi="Arial" w:cs="Arial"/>
          <w:lang w:eastAsia="en-GB"/>
        </w:rPr>
        <w:t>73(3):516-28.</w:t>
      </w:r>
    </w:p>
    <w:p w:rsidR="00184030" w:rsidRPr="009E0A35" w:rsidRDefault="00184030" w:rsidP="00F4011A">
      <w:pPr>
        <w:jc w:val="both"/>
        <w:rPr>
          <w:rFonts w:ascii="Arial" w:hAnsi="Arial" w:cs="Arial"/>
        </w:rPr>
      </w:pPr>
      <w:r w:rsidRPr="009E0A35">
        <w:rPr>
          <w:rFonts w:ascii="Arial" w:hAnsi="Arial" w:cs="Arial"/>
        </w:rPr>
        <w:t>3.</w:t>
      </w:r>
      <w:r w:rsidRPr="009E0A35">
        <w:rPr>
          <w:rFonts w:ascii="Arial" w:hAnsi="Arial" w:cs="Arial"/>
        </w:rPr>
        <w:tab/>
      </w:r>
      <w:r w:rsidRPr="009E6934">
        <w:rPr>
          <w:rFonts w:ascii="Arial" w:hAnsi="Arial" w:cs="Arial"/>
        </w:rPr>
        <w:t>Yoo DH, The rise of biosimilars: potential benefits and drawbacks in rheumatoid arthritis</w:t>
      </w:r>
      <w:r w:rsidR="009E0A35" w:rsidRPr="009E6934">
        <w:rPr>
          <w:rFonts w:ascii="Arial" w:hAnsi="Arial" w:cs="Arial"/>
        </w:rPr>
        <w:t xml:space="preserve">. </w:t>
      </w:r>
      <w:r w:rsidR="009E0A35">
        <w:rPr>
          <w:rFonts w:ascii="Arial" w:hAnsi="Arial" w:cs="Arial"/>
        </w:rPr>
        <w:t>Expert Rev</w:t>
      </w:r>
      <w:r w:rsidR="009E6934">
        <w:rPr>
          <w:rFonts w:ascii="Arial" w:hAnsi="Arial" w:cs="Arial"/>
        </w:rPr>
        <w:t xml:space="preserve"> </w:t>
      </w:r>
      <w:r w:rsidR="009E0A35">
        <w:rPr>
          <w:rFonts w:ascii="Arial" w:hAnsi="Arial" w:cs="Arial"/>
        </w:rPr>
        <w:t>Clin Immunol 2014</w:t>
      </w:r>
      <w:r w:rsidR="009E6934">
        <w:rPr>
          <w:rFonts w:ascii="Arial" w:hAnsi="Arial" w:cs="Arial"/>
        </w:rPr>
        <w:t xml:space="preserve"> Aug;</w:t>
      </w:r>
      <w:r w:rsidR="00AD05E9">
        <w:rPr>
          <w:rFonts w:ascii="Arial" w:hAnsi="Arial" w:cs="Arial"/>
        </w:rPr>
        <w:t>10(8):</w:t>
      </w:r>
      <w:r w:rsidR="009E0A35">
        <w:rPr>
          <w:rFonts w:ascii="Arial" w:hAnsi="Arial" w:cs="Arial"/>
        </w:rPr>
        <w:t>981-983.</w:t>
      </w:r>
      <w:r w:rsidR="009E6934">
        <w:rPr>
          <w:rFonts w:ascii="Arial" w:hAnsi="Arial" w:cs="Arial"/>
        </w:rPr>
        <w:t xml:space="preserve"> </w:t>
      </w:r>
    </w:p>
    <w:p w:rsidR="00184030" w:rsidRPr="009E0A35" w:rsidRDefault="00184030" w:rsidP="00F4011A">
      <w:pPr>
        <w:jc w:val="both"/>
        <w:rPr>
          <w:rFonts w:ascii="Arial" w:hAnsi="Arial" w:cs="Arial"/>
        </w:rPr>
      </w:pPr>
      <w:r w:rsidRPr="009E0A35">
        <w:rPr>
          <w:rFonts w:ascii="Arial" w:hAnsi="Arial" w:cs="Arial"/>
        </w:rPr>
        <w:t>4.</w:t>
      </w:r>
      <w:r w:rsidRPr="009E0A35">
        <w:rPr>
          <w:rFonts w:ascii="Arial" w:hAnsi="Arial" w:cs="Arial"/>
        </w:rPr>
        <w:tab/>
        <w:t>E</w:t>
      </w:r>
      <w:r w:rsidR="009E0A35">
        <w:rPr>
          <w:rFonts w:ascii="Arial" w:hAnsi="Arial" w:cs="Arial"/>
        </w:rPr>
        <w:t xml:space="preserve">uropean Medicines Agency Committee for Medicinal Products for Human Use. </w:t>
      </w:r>
      <w:r w:rsidRPr="009E0A35">
        <w:rPr>
          <w:rFonts w:ascii="Arial" w:hAnsi="Arial" w:cs="Arial"/>
        </w:rPr>
        <w:t xml:space="preserve"> Guideline on similar biological medicinal products. </w:t>
      </w:r>
      <w:r w:rsidR="009E0A35" w:rsidRPr="009E0A35">
        <w:rPr>
          <w:rFonts w:ascii="Arial" w:hAnsi="Arial" w:cs="Arial"/>
          <w:color w:val="000000"/>
          <w:shd w:val="clear" w:color="auto" w:fill="FFFFFF"/>
        </w:rPr>
        <w:t>CHMP/437/04 Rev.1</w:t>
      </w:r>
      <w:r w:rsidR="009E0A35">
        <w:rPr>
          <w:rFonts w:ascii="Arial" w:hAnsi="Arial" w:cs="Arial"/>
          <w:color w:val="000000"/>
          <w:shd w:val="clear" w:color="auto" w:fill="FFFFFF"/>
        </w:rPr>
        <w:t>. London: Eu</w:t>
      </w:r>
      <w:r w:rsidR="00AD05E9">
        <w:rPr>
          <w:rFonts w:ascii="Arial" w:hAnsi="Arial" w:cs="Arial"/>
          <w:color w:val="000000"/>
          <w:shd w:val="clear" w:color="auto" w:fill="FFFFFF"/>
        </w:rPr>
        <w:t>ropean Medicines Agency; 2014:</w:t>
      </w:r>
      <w:r w:rsidR="009E0A35">
        <w:rPr>
          <w:rFonts w:ascii="Arial" w:hAnsi="Arial" w:cs="Arial"/>
          <w:color w:val="000000"/>
          <w:shd w:val="clear" w:color="auto" w:fill="FFFFFF"/>
        </w:rPr>
        <w:t>4-6</w:t>
      </w:r>
      <w:r w:rsidRPr="009E0A35">
        <w:rPr>
          <w:rFonts w:ascii="Arial" w:hAnsi="Arial" w:cs="Arial"/>
        </w:rPr>
        <w:t>.</w:t>
      </w:r>
    </w:p>
    <w:p w:rsidR="00184030" w:rsidRPr="009E0A35" w:rsidRDefault="00184030" w:rsidP="00F4011A">
      <w:pPr>
        <w:jc w:val="both"/>
        <w:rPr>
          <w:rFonts w:ascii="Arial" w:hAnsi="Arial" w:cs="Arial"/>
        </w:rPr>
      </w:pPr>
      <w:r w:rsidRPr="009E0A35">
        <w:rPr>
          <w:rFonts w:ascii="Arial" w:hAnsi="Arial" w:cs="Arial"/>
        </w:rPr>
        <w:t>5.</w:t>
      </w:r>
      <w:r w:rsidRPr="009E0A35">
        <w:rPr>
          <w:rFonts w:ascii="Arial" w:hAnsi="Arial" w:cs="Arial"/>
        </w:rPr>
        <w:tab/>
        <w:t>W</w:t>
      </w:r>
      <w:r w:rsidR="009E0A35">
        <w:rPr>
          <w:rFonts w:ascii="Arial" w:hAnsi="Arial" w:cs="Arial"/>
        </w:rPr>
        <w:t>orld Health Organisation</w:t>
      </w:r>
      <w:r w:rsidR="002659D5">
        <w:rPr>
          <w:rFonts w:ascii="Arial" w:hAnsi="Arial" w:cs="Arial"/>
        </w:rPr>
        <w:t xml:space="preserve">, Expert Committee on Biological Standardisation. </w:t>
      </w:r>
      <w:r w:rsidRPr="009E0A35">
        <w:rPr>
          <w:rFonts w:ascii="Arial" w:hAnsi="Arial" w:cs="Arial"/>
        </w:rPr>
        <w:t xml:space="preserve">Guidelines on evaluation of similar Biotherapeutic Products (SBPs), Annex 2, Technical Report Series No. 977. </w:t>
      </w:r>
      <w:r w:rsidR="002659D5">
        <w:rPr>
          <w:rFonts w:ascii="Arial" w:hAnsi="Arial" w:cs="Arial"/>
        </w:rPr>
        <w:t>Geneva</w:t>
      </w:r>
      <w:r w:rsidRPr="009E0A35">
        <w:rPr>
          <w:rFonts w:ascii="Arial" w:hAnsi="Arial" w:cs="Arial"/>
        </w:rPr>
        <w:t>, Expert Committee on Biological Standardization</w:t>
      </w:r>
      <w:r w:rsidR="002659D5">
        <w:rPr>
          <w:rFonts w:ascii="Arial" w:hAnsi="Arial" w:cs="Arial"/>
        </w:rPr>
        <w:t>;</w:t>
      </w:r>
      <w:r w:rsidR="002659D5" w:rsidRPr="002659D5">
        <w:rPr>
          <w:rFonts w:ascii="Arial" w:hAnsi="Arial" w:cs="Arial"/>
        </w:rPr>
        <w:t xml:space="preserve"> </w:t>
      </w:r>
      <w:r w:rsidR="002659D5" w:rsidRPr="009E0A35">
        <w:rPr>
          <w:rFonts w:ascii="Arial" w:hAnsi="Arial" w:cs="Arial"/>
        </w:rPr>
        <w:t>2009</w:t>
      </w:r>
      <w:r w:rsidR="00AD05E9">
        <w:rPr>
          <w:rFonts w:ascii="Arial" w:hAnsi="Arial" w:cs="Arial"/>
        </w:rPr>
        <w:t>:</w:t>
      </w:r>
      <w:r w:rsidR="002659D5">
        <w:rPr>
          <w:rFonts w:ascii="Arial" w:hAnsi="Arial" w:cs="Arial"/>
        </w:rPr>
        <w:t>3-28.</w:t>
      </w:r>
    </w:p>
    <w:p w:rsidR="002659D5" w:rsidRPr="002659D5" w:rsidRDefault="00184030" w:rsidP="002659D5">
      <w:pPr>
        <w:autoSpaceDE w:val="0"/>
        <w:autoSpaceDN w:val="0"/>
        <w:adjustRightInd w:val="0"/>
        <w:spacing w:after="0" w:line="240" w:lineRule="auto"/>
        <w:rPr>
          <w:rFonts w:ascii="Arial" w:hAnsi="Arial" w:cs="Arial"/>
          <w:lang w:eastAsia="en-GB"/>
        </w:rPr>
      </w:pPr>
      <w:r w:rsidRPr="009E0A35">
        <w:rPr>
          <w:rFonts w:ascii="Arial" w:hAnsi="Arial" w:cs="Arial"/>
        </w:rPr>
        <w:t>6.</w:t>
      </w:r>
      <w:r w:rsidRPr="009E0A35">
        <w:rPr>
          <w:rFonts w:ascii="Arial" w:hAnsi="Arial" w:cs="Arial"/>
        </w:rPr>
        <w:tab/>
      </w:r>
      <w:r w:rsidR="002659D5" w:rsidRPr="002659D5">
        <w:rPr>
          <w:rFonts w:ascii="Arial" w:hAnsi="Arial" w:cs="Arial"/>
          <w:lang w:eastAsia="en-GB"/>
        </w:rPr>
        <w:t>Yoo DH, Racewicz A, Brzezicki J, Yatsyshyn R, Arteaga ET, Baranauskaite A, et al. A phase III randomized study to evaluate the efficacy and safety of CT-P13 compared with reference infliximab in patients with active rheumatoid arthritis: 54-week results from the PLANETRA study. Arthritis Res Ther</w:t>
      </w:r>
      <w:r w:rsidR="002659D5">
        <w:rPr>
          <w:rFonts w:ascii="Arial" w:hAnsi="Arial" w:cs="Arial"/>
          <w:lang w:eastAsia="en-GB"/>
        </w:rPr>
        <w:t xml:space="preserve"> 2016</w:t>
      </w:r>
      <w:r w:rsidR="00753CCF">
        <w:rPr>
          <w:rFonts w:ascii="Arial" w:hAnsi="Arial" w:cs="Arial"/>
          <w:lang w:eastAsia="en-GB"/>
        </w:rPr>
        <w:t xml:space="preserve"> Apr 2</w:t>
      </w:r>
      <w:r w:rsidR="002659D5">
        <w:rPr>
          <w:rFonts w:ascii="Arial" w:hAnsi="Arial" w:cs="Arial"/>
          <w:lang w:eastAsia="en-GB"/>
        </w:rPr>
        <w:t>;</w:t>
      </w:r>
      <w:r w:rsidR="002659D5" w:rsidRPr="002659D5">
        <w:rPr>
          <w:rFonts w:ascii="Arial" w:hAnsi="Arial" w:cs="Arial"/>
          <w:lang w:eastAsia="en-GB"/>
        </w:rPr>
        <w:t>18:82.</w:t>
      </w:r>
    </w:p>
    <w:p w:rsidR="002659D5" w:rsidRDefault="002659D5" w:rsidP="002659D5">
      <w:pPr>
        <w:autoSpaceDE w:val="0"/>
        <w:autoSpaceDN w:val="0"/>
        <w:adjustRightInd w:val="0"/>
        <w:spacing w:after="0" w:line="240" w:lineRule="auto"/>
        <w:rPr>
          <w:rFonts w:ascii="Arial" w:hAnsi="Arial" w:cs="Arial"/>
          <w:sz w:val="24"/>
          <w:szCs w:val="24"/>
          <w:lang w:eastAsia="en-GB"/>
        </w:rPr>
      </w:pPr>
    </w:p>
    <w:p w:rsidR="002659D5" w:rsidRDefault="00184030" w:rsidP="002659D5">
      <w:pPr>
        <w:autoSpaceDE w:val="0"/>
        <w:autoSpaceDN w:val="0"/>
        <w:adjustRightInd w:val="0"/>
        <w:spacing w:after="0" w:line="240" w:lineRule="auto"/>
        <w:rPr>
          <w:rFonts w:ascii="Arial" w:hAnsi="Arial" w:cs="Arial"/>
          <w:lang w:eastAsia="en-GB"/>
        </w:rPr>
      </w:pPr>
      <w:r w:rsidRPr="009E0A35">
        <w:rPr>
          <w:rFonts w:ascii="Arial" w:hAnsi="Arial" w:cs="Arial"/>
        </w:rPr>
        <w:t>7.</w:t>
      </w:r>
      <w:r w:rsidRPr="009E0A35">
        <w:rPr>
          <w:rFonts w:ascii="Arial" w:hAnsi="Arial" w:cs="Arial"/>
        </w:rPr>
        <w:tab/>
      </w:r>
      <w:r w:rsidR="002659D5" w:rsidRPr="002659D5">
        <w:rPr>
          <w:rFonts w:ascii="Arial" w:hAnsi="Arial" w:cs="Arial"/>
          <w:lang w:eastAsia="en-GB"/>
        </w:rPr>
        <w:t>Park W, Yoo DH, Jaworski J, Brzezicki J, Gnylorybov A, Kadinov V, et al. Comparable long-term efficacy, as assessed by patient-reported outcomes, safety and pharmacokinetics, of CT-P13 and reference infliximab in patients with ankylosing spondylitis: 54-week results from the randomized, parallel-group PLANETAS study. Arthritis Res Ther</w:t>
      </w:r>
      <w:r w:rsidR="002659D5">
        <w:rPr>
          <w:rFonts w:ascii="Arial" w:hAnsi="Arial" w:cs="Arial"/>
          <w:lang w:eastAsia="en-GB"/>
        </w:rPr>
        <w:t xml:space="preserve"> 2016</w:t>
      </w:r>
      <w:r w:rsidR="00753CCF">
        <w:rPr>
          <w:rFonts w:ascii="Arial" w:hAnsi="Arial" w:cs="Arial"/>
          <w:lang w:eastAsia="en-GB"/>
        </w:rPr>
        <w:t xml:space="preserve"> Jan 20</w:t>
      </w:r>
      <w:r w:rsidR="002659D5">
        <w:rPr>
          <w:rFonts w:ascii="Arial" w:hAnsi="Arial" w:cs="Arial"/>
          <w:lang w:eastAsia="en-GB"/>
        </w:rPr>
        <w:t>;</w:t>
      </w:r>
      <w:r w:rsidR="002659D5" w:rsidRPr="002659D5">
        <w:rPr>
          <w:rFonts w:ascii="Arial" w:hAnsi="Arial" w:cs="Arial"/>
          <w:lang w:eastAsia="en-GB"/>
        </w:rPr>
        <w:t>18:25.</w:t>
      </w:r>
    </w:p>
    <w:p w:rsidR="000133A7" w:rsidRDefault="000133A7" w:rsidP="002659D5">
      <w:pPr>
        <w:autoSpaceDE w:val="0"/>
        <w:autoSpaceDN w:val="0"/>
        <w:adjustRightInd w:val="0"/>
        <w:spacing w:after="0" w:line="240" w:lineRule="auto"/>
        <w:rPr>
          <w:rFonts w:ascii="Arial" w:hAnsi="Arial" w:cs="Arial"/>
          <w:lang w:eastAsia="en-GB"/>
        </w:rPr>
      </w:pPr>
    </w:p>
    <w:p w:rsidR="000133A7" w:rsidRPr="000133A7" w:rsidRDefault="000133A7" w:rsidP="002659D5">
      <w:pPr>
        <w:autoSpaceDE w:val="0"/>
        <w:autoSpaceDN w:val="0"/>
        <w:adjustRightInd w:val="0"/>
        <w:spacing w:after="0" w:line="240" w:lineRule="auto"/>
        <w:rPr>
          <w:rFonts w:ascii="Arial" w:hAnsi="Arial" w:cs="Arial"/>
          <w:lang w:eastAsia="en-GB"/>
        </w:rPr>
      </w:pPr>
      <w:r w:rsidRPr="000133A7">
        <w:rPr>
          <w:rFonts w:ascii="Arial" w:hAnsi="Arial" w:cs="Arial"/>
          <w:lang w:eastAsia="en-GB"/>
        </w:rPr>
        <w:t xml:space="preserve">8. </w:t>
      </w:r>
      <w:r w:rsidRPr="000133A7">
        <w:rPr>
          <w:rFonts w:ascii="Arial" w:hAnsi="Arial" w:cs="Arial"/>
          <w:lang w:eastAsia="en-GB"/>
        </w:rPr>
        <w:tab/>
        <w:t>Marks JL, Holroyd CR, Dimitrov BD, Armstrong RD, Calogeras A, Cooper C, et al. Does combined clinical and ultrasound assessment allow selection of individuals with rheumatoid arthritis for sustained reduction of anti-tumor necrosis factor therapy? Arthritis Care Res (Hoboken) 2015 May;67(6):746-53</w:t>
      </w:r>
      <w:r w:rsidR="009A374E">
        <w:rPr>
          <w:rFonts w:ascii="Arial" w:hAnsi="Arial" w:cs="Arial"/>
          <w:lang w:eastAsia="en-GB"/>
        </w:rPr>
        <w:t>.</w:t>
      </w:r>
    </w:p>
    <w:p w:rsidR="000133A7" w:rsidRPr="002659D5" w:rsidRDefault="000133A7" w:rsidP="000133A7">
      <w:pPr>
        <w:ind w:firstLine="720"/>
        <w:jc w:val="both"/>
        <w:rPr>
          <w:rFonts w:ascii="Arial" w:hAnsi="Arial" w:cs="Arial"/>
        </w:rPr>
      </w:pPr>
    </w:p>
    <w:p w:rsidR="00184030" w:rsidRPr="009E0A35" w:rsidRDefault="00184030" w:rsidP="00F4011A">
      <w:pPr>
        <w:jc w:val="both"/>
        <w:rPr>
          <w:rFonts w:ascii="Arial" w:hAnsi="Arial" w:cs="Arial"/>
        </w:rPr>
      </w:pPr>
    </w:p>
    <w:p w:rsidR="00B61C86" w:rsidRDefault="007270E6" w:rsidP="00F4011A">
      <w:pPr>
        <w:jc w:val="both"/>
        <w:rPr>
          <w:rFonts w:ascii="Arial" w:hAnsi="Arial" w:cs="Arial"/>
        </w:rPr>
      </w:pPr>
      <w:r w:rsidRPr="009E0A35">
        <w:rPr>
          <w:rFonts w:ascii="Arial" w:hAnsi="Arial" w:cs="Arial"/>
        </w:rPr>
        <w:fldChar w:fldCharType="end"/>
      </w:r>
    </w:p>
    <w:p w:rsidR="00B61C86" w:rsidRDefault="00B61C86">
      <w:pPr>
        <w:spacing w:after="0" w:line="240" w:lineRule="auto"/>
        <w:rPr>
          <w:rFonts w:ascii="Arial" w:hAnsi="Arial" w:cs="Arial"/>
        </w:rPr>
      </w:pPr>
    </w:p>
    <w:sectPr w:rsidR="00B61C86" w:rsidSect="009A5ECF">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247F" w:rsidRDefault="001F247F" w:rsidP="006F1F38">
      <w:pPr>
        <w:spacing w:after="0" w:line="240" w:lineRule="auto"/>
      </w:pPr>
      <w:r>
        <w:separator/>
      </w:r>
    </w:p>
  </w:endnote>
  <w:endnote w:type="continuationSeparator" w:id="0">
    <w:p w:rsidR="001F247F" w:rsidRDefault="001F247F" w:rsidP="006F1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564847"/>
      <w:docPartObj>
        <w:docPartGallery w:val="Page Numbers (Bottom of Page)"/>
        <w:docPartUnique/>
      </w:docPartObj>
    </w:sdtPr>
    <w:sdtEndPr>
      <w:rPr>
        <w:noProof/>
      </w:rPr>
    </w:sdtEndPr>
    <w:sdtContent>
      <w:p w:rsidR="00024D12" w:rsidRDefault="007270E6">
        <w:pPr>
          <w:pStyle w:val="Footer"/>
          <w:jc w:val="right"/>
        </w:pPr>
        <w:r>
          <w:fldChar w:fldCharType="begin"/>
        </w:r>
        <w:r w:rsidR="00024D12">
          <w:instrText xml:space="preserve"> PAGE   \* MERGEFORMAT </w:instrText>
        </w:r>
        <w:r>
          <w:fldChar w:fldCharType="separate"/>
        </w:r>
        <w:r w:rsidR="0051560A">
          <w:rPr>
            <w:noProof/>
          </w:rPr>
          <w:t>2</w:t>
        </w:r>
        <w:r>
          <w:rPr>
            <w:noProof/>
          </w:rPr>
          <w:fldChar w:fldCharType="end"/>
        </w:r>
      </w:p>
    </w:sdtContent>
  </w:sdt>
  <w:p w:rsidR="00024D12" w:rsidRDefault="00024D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247F" w:rsidRDefault="001F247F" w:rsidP="006F1F38">
      <w:pPr>
        <w:spacing w:after="0" w:line="240" w:lineRule="auto"/>
      </w:pPr>
      <w:r>
        <w:separator/>
      </w:r>
    </w:p>
  </w:footnote>
  <w:footnote w:type="continuationSeparator" w:id="0">
    <w:p w:rsidR="001F247F" w:rsidRDefault="001F247F" w:rsidP="006F1F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5D56200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F38"/>
    <w:rsid w:val="0001301D"/>
    <w:rsid w:val="000133A7"/>
    <w:rsid w:val="00015AEC"/>
    <w:rsid w:val="00021530"/>
    <w:rsid w:val="0002342F"/>
    <w:rsid w:val="0002390A"/>
    <w:rsid w:val="00024D12"/>
    <w:rsid w:val="000308E5"/>
    <w:rsid w:val="0003511A"/>
    <w:rsid w:val="000661ED"/>
    <w:rsid w:val="000B39A7"/>
    <w:rsid w:val="000D1BCD"/>
    <w:rsid w:val="00101773"/>
    <w:rsid w:val="00104919"/>
    <w:rsid w:val="00136F01"/>
    <w:rsid w:val="00151F89"/>
    <w:rsid w:val="001550AB"/>
    <w:rsid w:val="00184030"/>
    <w:rsid w:val="001A2AA6"/>
    <w:rsid w:val="001A6B8C"/>
    <w:rsid w:val="001B25B7"/>
    <w:rsid w:val="001F247F"/>
    <w:rsid w:val="002271E6"/>
    <w:rsid w:val="00245990"/>
    <w:rsid w:val="002543E8"/>
    <w:rsid w:val="00264924"/>
    <w:rsid w:val="002659D5"/>
    <w:rsid w:val="002678F1"/>
    <w:rsid w:val="002B503A"/>
    <w:rsid w:val="002B7F3C"/>
    <w:rsid w:val="002D21AD"/>
    <w:rsid w:val="00316AD7"/>
    <w:rsid w:val="003476F6"/>
    <w:rsid w:val="003507DF"/>
    <w:rsid w:val="00351916"/>
    <w:rsid w:val="0035434C"/>
    <w:rsid w:val="003815AB"/>
    <w:rsid w:val="003A2A13"/>
    <w:rsid w:val="003C285C"/>
    <w:rsid w:val="003E283A"/>
    <w:rsid w:val="003F0FAA"/>
    <w:rsid w:val="004026DB"/>
    <w:rsid w:val="00442A96"/>
    <w:rsid w:val="00475106"/>
    <w:rsid w:val="00491BF1"/>
    <w:rsid w:val="0049236A"/>
    <w:rsid w:val="00494BB4"/>
    <w:rsid w:val="00497539"/>
    <w:rsid w:val="004A47D3"/>
    <w:rsid w:val="004A7373"/>
    <w:rsid w:val="005143A9"/>
    <w:rsid w:val="0051560A"/>
    <w:rsid w:val="00542F4C"/>
    <w:rsid w:val="00547513"/>
    <w:rsid w:val="00570B52"/>
    <w:rsid w:val="0058607F"/>
    <w:rsid w:val="005875CF"/>
    <w:rsid w:val="0059191A"/>
    <w:rsid w:val="005937A1"/>
    <w:rsid w:val="005D6A3A"/>
    <w:rsid w:val="005F4826"/>
    <w:rsid w:val="006200F2"/>
    <w:rsid w:val="00646EBB"/>
    <w:rsid w:val="00662B26"/>
    <w:rsid w:val="006644A8"/>
    <w:rsid w:val="0067310F"/>
    <w:rsid w:val="006C153D"/>
    <w:rsid w:val="006F1F38"/>
    <w:rsid w:val="00704769"/>
    <w:rsid w:val="007270E6"/>
    <w:rsid w:val="00734E67"/>
    <w:rsid w:val="007403DC"/>
    <w:rsid w:val="007476FC"/>
    <w:rsid w:val="00753CCF"/>
    <w:rsid w:val="0075780E"/>
    <w:rsid w:val="00793038"/>
    <w:rsid w:val="007F01BD"/>
    <w:rsid w:val="00806810"/>
    <w:rsid w:val="0081042A"/>
    <w:rsid w:val="00813C4A"/>
    <w:rsid w:val="00842F42"/>
    <w:rsid w:val="00864DE9"/>
    <w:rsid w:val="0088037A"/>
    <w:rsid w:val="00886D28"/>
    <w:rsid w:val="008953D4"/>
    <w:rsid w:val="00895890"/>
    <w:rsid w:val="008B19F3"/>
    <w:rsid w:val="008D00A0"/>
    <w:rsid w:val="00903F77"/>
    <w:rsid w:val="00904F87"/>
    <w:rsid w:val="00917528"/>
    <w:rsid w:val="009479E0"/>
    <w:rsid w:val="0095229F"/>
    <w:rsid w:val="00953C2D"/>
    <w:rsid w:val="009770BD"/>
    <w:rsid w:val="009A374E"/>
    <w:rsid w:val="009A5ECF"/>
    <w:rsid w:val="009B1B15"/>
    <w:rsid w:val="009B1EF3"/>
    <w:rsid w:val="009E0A35"/>
    <w:rsid w:val="009E6934"/>
    <w:rsid w:val="009F5BA5"/>
    <w:rsid w:val="00A15A63"/>
    <w:rsid w:val="00A15A71"/>
    <w:rsid w:val="00A30D38"/>
    <w:rsid w:val="00A3179A"/>
    <w:rsid w:val="00A67CFA"/>
    <w:rsid w:val="00A70B85"/>
    <w:rsid w:val="00AB3ED0"/>
    <w:rsid w:val="00AD05E9"/>
    <w:rsid w:val="00AD2D1E"/>
    <w:rsid w:val="00AF3E4A"/>
    <w:rsid w:val="00AF57D9"/>
    <w:rsid w:val="00B11540"/>
    <w:rsid w:val="00B42554"/>
    <w:rsid w:val="00B61C86"/>
    <w:rsid w:val="00BC4C51"/>
    <w:rsid w:val="00BD23AA"/>
    <w:rsid w:val="00BF44A1"/>
    <w:rsid w:val="00BF6B99"/>
    <w:rsid w:val="00C56382"/>
    <w:rsid w:val="00C923DC"/>
    <w:rsid w:val="00D10D92"/>
    <w:rsid w:val="00D33654"/>
    <w:rsid w:val="00D70806"/>
    <w:rsid w:val="00D9610D"/>
    <w:rsid w:val="00DC599C"/>
    <w:rsid w:val="00E21169"/>
    <w:rsid w:val="00E41992"/>
    <w:rsid w:val="00E67B40"/>
    <w:rsid w:val="00E744C2"/>
    <w:rsid w:val="00EC040B"/>
    <w:rsid w:val="00ED2E27"/>
    <w:rsid w:val="00F4011A"/>
    <w:rsid w:val="00F43E62"/>
    <w:rsid w:val="00F74295"/>
    <w:rsid w:val="00F77A34"/>
    <w:rsid w:val="00FA1112"/>
    <w:rsid w:val="00FB61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9A66848-3A2D-4BD4-A9C7-FE1F0BE08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1F38"/>
    <w:pPr>
      <w:spacing w:after="200" w:line="276" w:lineRule="auto"/>
    </w:pPr>
    <w:rPr>
      <w:lang w:eastAsia="en-US"/>
    </w:rPr>
  </w:style>
  <w:style w:type="paragraph" w:styleId="Heading3">
    <w:name w:val="heading 3"/>
    <w:basedOn w:val="Normal"/>
    <w:next w:val="Normal"/>
    <w:link w:val="Heading3Char"/>
    <w:uiPriority w:val="99"/>
    <w:qFormat/>
    <w:rsid w:val="006F1F38"/>
    <w:pPr>
      <w:keepNext/>
      <w:keepLines/>
      <w:spacing w:before="200" w:after="0"/>
      <w:outlineLvl w:val="2"/>
    </w:pPr>
    <w:rPr>
      <w:rFonts w:ascii="Calibri Light" w:eastAsia="MS Gothic" w:hAnsi="Calibri Light"/>
      <w:b/>
      <w:bCs/>
      <w:color w:val="5B9BD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6F1F38"/>
    <w:rPr>
      <w:rFonts w:ascii="Calibri Light" w:eastAsia="MS Gothic" w:hAnsi="Calibri Light" w:cs="Times New Roman"/>
      <w:b/>
      <w:bCs/>
      <w:color w:val="5B9BD5"/>
    </w:rPr>
  </w:style>
  <w:style w:type="character" w:customStyle="1" w:styleId="InternetLink">
    <w:name w:val="Internet Link"/>
    <w:basedOn w:val="DefaultParagraphFont"/>
    <w:uiPriority w:val="99"/>
    <w:rsid w:val="006F1F38"/>
    <w:rPr>
      <w:rFonts w:cs="Times New Roman"/>
      <w:color w:val="0563C1"/>
      <w:u w:val="single"/>
    </w:rPr>
  </w:style>
  <w:style w:type="paragraph" w:styleId="ListParagraph">
    <w:name w:val="List Paragraph"/>
    <w:basedOn w:val="Normal"/>
    <w:uiPriority w:val="99"/>
    <w:qFormat/>
    <w:rsid w:val="006F1F38"/>
    <w:pPr>
      <w:spacing w:after="160" w:line="259" w:lineRule="auto"/>
      <w:ind w:left="720"/>
      <w:contextualSpacing/>
    </w:pPr>
  </w:style>
  <w:style w:type="paragraph" w:styleId="NormalWeb">
    <w:name w:val="Normal (Web)"/>
    <w:basedOn w:val="Normal"/>
    <w:uiPriority w:val="99"/>
    <w:semiHidden/>
    <w:rsid w:val="006F1F38"/>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basedOn w:val="DefaultParagraphFont"/>
    <w:uiPriority w:val="99"/>
    <w:rsid w:val="006F1F38"/>
    <w:rPr>
      <w:rFonts w:cs="Times New Roman"/>
      <w:color w:val="0563C1"/>
      <w:u w:val="single"/>
    </w:rPr>
  </w:style>
  <w:style w:type="table" w:styleId="TableGrid">
    <w:name w:val="Table Grid"/>
    <w:basedOn w:val="TableNormal"/>
    <w:uiPriority w:val="99"/>
    <w:rsid w:val="006F1F38"/>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F1F38"/>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6F1F38"/>
    <w:rPr>
      <w:rFonts w:cs="Times New Roman"/>
    </w:rPr>
  </w:style>
  <w:style w:type="paragraph" w:styleId="Footer">
    <w:name w:val="footer"/>
    <w:basedOn w:val="Normal"/>
    <w:link w:val="FooterChar"/>
    <w:uiPriority w:val="99"/>
    <w:rsid w:val="006F1F38"/>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6F1F38"/>
    <w:rPr>
      <w:rFonts w:cs="Times New Roman"/>
    </w:rPr>
  </w:style>
  <w:style w:type="character" w:styleId="CommentReference">
    <w:name w:val="annotation reference"/>
    <w:basedOn w:val="DefaultParagraphFont"/>
    <w:uiPriority w:val="99"/>
    <w:semiHidden/>
    <w:rsid w:val="00662B26"/>
    <w:rPr>
      <w:rFonts w:cs="Times New Roman"/>
      <w:sz w:val="18"/>
      <w:szCs w:val="18"/>
    </w:rPr>
  </w:style>
  <w:style w:type="paragraph" w:styleId="CommentText">
    <w:name w:val="annotation text"/>
    <w:basedOn w:val="Normal"/>
    <w:link w:val="CommentTextChar"/>
    <w:uiPriority w:val="99"/>
    <w:semiHidden/>
    <w:rsid w:val="00662B26"/>
    <w:pPr>
      <w:spacing w:line="240" w:lineRule="auto"/>
    </w:pPr>
    <w:rPr>
      <w:sz w:val="24"/>
      <w:szCs w:val="24"/>
    </w:rPr>
  </w:style>
  <w:style w:type="character" w:customStyle="1" w:styleId="CommentTextChar">
    <w:name w:val="Comment Text Char"/>
    <w:basedOn w:val="DefaultParagraphFont"/>
    <w:link w:val="CommentText"/>
    <w:uiPriority w:val="99"/>
    <w:semiHidden/>
    <w:locked/>
    <w:rsid w:val="00662B26"/>
    <w:rPr>
      <w:rFonts w:cs="Times New Roman"/>
      <w:sz w:val="24"/>
      <w:szCs w:val="24"/>
    </w:rPr>
  </w:style>
  <w:style w:type="paragraph" w:styleId="CommentSubject">
    <w:name w:val="annotation subject"/>
    <w:basedOn w:val="CommentText"/>
    <w:next w:val="CommentText"/>
    <w:link w:val="CommentSubjectChar"/>
    <w:uiPriority w:val="99"/>
    <w:semiHidden/>
    <w:rsid w:val="00662B26"/>
    <w:rPr>
      <w:b/>
      <w:bCs/>
      <w:sz w:val="20"/>
      <w:szCs w:val="20"/>
    </w:rPr>
  </w:style>
  <w:style w:type="character" w:customStyle="1" w:styleId="CommentSubjectChar">
    <w:name w:val="Comment Subject Char"/>
    <w:basedOn w:val="CommentTextChar"/>
    <w:link w:val="CommentSubject"/>
    <w:uiPriority w:val="99"/>
    <w:semiHidden/>
    <w:locked/>
    <w:rsid w:val="00662B26"/>
    <w:rPr>
      <w:rFonts w:cs="Times New Roman"/>
      <w:b/>
      <w:bCs/>
      <w:sz w:val="20"/>
      <w:szCs w:val="20"/>
    </w:rPr>
  </w:style>
  <w:style w:type="paragraph" w:styleId="BalloonText">
    <w:name w:val="Balloon Text"/>
    <w:basedOn w:val="Normal"/>
    <w:link w:val="BalloonTextChar"/>
    <w:uiPriority w:val="99"/>
    <w:semiHidden/>
    <w:rsid w:val="00662B2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662B26"/>
    <w:rPr>
      <w:rFonts w:ascii="Lucida Grande" w:hAnsi="Lucida Grande" w:cs="Lucida Grande"/>
      <w:sz w:val="18"/>
      <w:szCs w:val="18"/>
    </w:rPr>
  </w:style>
  <w:style w:type="paragraph" w:styleId="Revision">
    <w:name w:val="Revision"/>
    <w:hidden/>
    <w:uiPriority w:val="99"/>
    <w:semiHidden/>
    <w:rsid w:val="002678F1"/>
    <w:rPr>
      <w:lang w:eastAsia="en-US"/>
    </w:rPr>
  </w:style>
  <w:style w:type="paragraph" w:styleId="EndnoteText">
    <w:name w:val="endnote text"/>
    <w:basedOn w:val="Normal"/>
    <w:link w:val="EndnoteTextChar"/>
    <w:uiPriority w:val="99"/>
    <w:semiHidden/>
    <w:unhideWhenUsed/>
    <w:rsid w:val="000133A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133A7"/>
    <w:rPr>
      <w:sz w:val="20"/>
      <w:szCs w:val="20"/>
      <w:lang w:eastAsia="en-US"/>
    </w:rPr>
  </w:style>
  <w:style w:type="character" w:styleId="EndnoteReference">
    <w:name w:val="endnote reference"/>
    <w:basedOn w:val="DefaultParagraphFont"/>
    <w:uiPriority w:val="99"/>
    <w:semiHidden/>
    <w:unhideWhenUsed/>
    <w:rsid w:val="000133A7"/>
    <w:rPr>
      <w:vertAlign w:val="superscript"/>
    </w:rPr>
  </w:style>
  <w:style w:type="character" w:customStyle="1" w:styleId="jrnl">
    <w:name w:val="jrnl"/>
    <w:basedOn w:val="DefaultParagraphFont"/>
    <w:rsid w:val="009E6934"/>
  </w:style>
  <w:style w:type="character" w:customStyle="1" w:styleId="apple-converted-space">
    <w:name w:val="apple-converted-space"/>
    <w:basedOn w:val="DefaultParagraphFont"/>
    <w:rsid w:val="00753CCF"/>
  </w:style>
  <w:style w:type="character" w:customStyle="1" w:styleId="highlight">
    <w:name w:val="highlight"/>
    <w:basedOn w:val="DefaultParagraphFont"/>
    <w:rsid w:val="00753C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972606">
      <w:bodyDiv w:val="1"/>
      <w:marLeft w:val="0"/>
      <w:marRight w:val="0"/>
      <w:marTop w:val="0"/>
      <w:marBottom w:val="0"/>
      <w:divBdr>
        <w:top w:val="none" w:sz="0" w:space="0" w:color="auto"/>
        <w:left w:val="none" w:sz="0" w:space="0" w:color="auto"/>
        <w:bottom w:val="none" w:sz="0" w:space="0" w:color="auto"/>
        <w:right w:val="none" w:sz="0" w:space="0" w:color="auto"/>
      </w:divBdr>
    </w:div>
    <w:div w:id="1894000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opher.Holroyd@uhs.nhs.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Maray</b:Tag>
    <b:SourceType>JournalArticle</b:SourceType>
    <b:Guid>{DC96F432-F992-4C75-91AA-3D32BF8C611E}</b:Guid>
    <b:Author>
      <b:Author>
        <b:NameList>
          <b:Person>
            <b:Last>Marks JL</b:Last>
            <b:First>Holroyd</b:First>
            <b:Middle>CR, Dimitrov BD, Armstrong RD, Calogeras A, Cooper C, et al.</b:Middle>
          </b:Person>
        </b:NameList>
      </b:Author>
    </b:Author>
    <b:Title>Does combined clinical and ultrasound assessment allow selection of individuals with rheumatoid arthritis for sustained reduction of anti-tumor necrosis factor therapy?</b:Title>
    <b:JournalName>Arthritis Care Res (Hoboken)</b:JournalName>
    <b:Year>2015 May</b:Year>
    <b:Pages>67(6):746-53</b:Pages>
    <b:RefOrder>1</b:RefOrder>
  </b:Source>
</b:Sources>
</file>

<file path=customXml/itemProps1.xml><?xml version="1.0" encoding="utf-8"?>
<ds:datastoreItem xmlns:ds="http://schemas.openxmlformats.org/officeDocument/2006/customXml" ds:itemID="{EBB325E3-35E5-467B-B634-BF74EBE75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3065</Words>
  <Characters>17477</Characters>
  <Application>Microsoft Office Word</Application>
  <DocSecurity>4</DocSecurity>
  <Lines>145</Lines>
  <Paragraphs>41</Paragraphs>
  <ScaleCrop>false</ScaleCrop>
  <HeadingPairs>
    <vt:vector size="2" baseType="variant">
      <vt:variant>
        <vt:lpstr>Title</vt:lpstr>
      </vt:variant>
      <vt:variant>
        <vt:i4>1</vt:i4>
      </vt:variant>
    </vt:vector>
  </HeadingPairs>
  <TitlesOfParts>
    <vt:vector size="1" baseType="lpstr">
      <vt:lpstr>Switching to Biosimilar Infliximab: Real World Data from the Southampton Biological Therapies Review Service</vt:lpstr>
    </vt:vector>
  </TitlesOfParts>
  <Company>UHS</Company>
  <LinksUpToDate>false</LinksUpToDate>
  <CharactersWithSpaces>20501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Switching to Biosimilar Infliximab: Real World Data from the Southampton Biological Therapies Review Service</dc:title>
  <dc:creator>matt dipper</dc:creator>
  <cp:lastModifiedBy>Karen Drake</cp:lastModifiedBy>
  <cp:revision>2</cp:revision>
  <cp:lastPrinted>2018-01-29T15:27:00Z</cp:lastPrinted>
  <dcterms:created xsi:type="dcterms:W3CDTF">2018-01-29T15:34:00Z</dcterms:created>
  <dcterms:modified xsi:type="dcterms:W3CDTF">2018-01-29T15:34:00Z</dcterms:modified>
</cp:coreProperties>
</file>