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3C095" w14:textId="3132AE0F" w:rsidR="00823310" w:rsidRPr="00BE0FC3" w:rsidRDefault="007F750E" w:rsidP="00BD63F6">
      <w:pPr>
        <w:pStyle w:val="Title1"/>
        <w:outlineLvl w:val="0"/>
        <w:rPr>
          <w:lang w:val="en-US"/>
        </w:rPr>
      </w:pPr>
      <w:r>
        <w:rPr>
          <w:lang w:val="en-US"/>
        </w:rPr>
        <w:t>[</w:t>
      </w:r>
      <w:proofErr w:type="gramStart"/>
      <w:r>
        <w:rPr>
          <w:lang w:val="en-US"/>
        </w:rPr>
        <w:t>3]</w:t>
      </w:r>
      <w:r w:rsidR="00BD63F6" w:rsidRPr="00BE0FC3">
        <w:rPr>
          <w:lang w:val="en-US"/>
        </w:rPr>
        <w:t>Rotaxane</w:t>
      </w:r>
      <w:proofErr w:type="gramEnd"/>
      <w:r w:rsidR="00BD63F6" w:rsidRPr="00BE0FC3">
        <w:rPr>
          <w:lang w:val="en-US"/>
        </w:rPr>
        <w:t xml:space="preserve"> Host Selects Between </w:t>
      </w:r>
      <w:r w:rsidR="00DF776E">
        <w:rPr>
          <w:lang w:val="en-US"/>
        </w:rPr>
        <w:t>Stereoisomers</w:t>
      </w:r>
    </w:p>
    <w:p w14:paraId="0A5000B4" w14:textId="7009B5C5" w:rsidR="00F007F5" w:rsidRPr="00BE0FC3" w:rsidRDefault="00C03F38" w:rsidP="00BD63F6">
      <w:pPr>
        <w:pStyle w:val="Authors"/>
        <w:outlineLvl w:val="0"/>
        <w:rPr>
          <w:lang w:val="en-US"/>
        </w:rPr>
      </w:pPr>
      <w:r w:rsidRPr="00BE0FC3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 wp14:anchorId="012C731F" wp14:editId="5083EC36">
                <wp:simplePos x="0" y="0"/>
                <wp:positionH relativeFrom="column">
                  <wp:posOffset>-81915</wp:posOffset>
                </wp:positionH>
                <wp:positionV relativeFrom="page">
                  <wp:posOffset>9406890</wp:posOffset>
                </wp:positionV>
                <wp:extent cx="3150235" cy="553085"/>
                <wp:effectExtent l="4445" t="0" r="0" b="0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5530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36498" w14:textId="77777777" w:rsidR="00BF14BC" w:rsidRPr="00713C4F" w:rsidRDefault="00BF14BC" w:rsidP="00713C4F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 w:rsidR="00F93A50">
                              <w:rPr>
                                <w:lang w:val="en-GB"/>
                              </w:rPr>
                              <w:t>Dr M. Denis, Professor S. M. Goldup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713C4F">
                              <w:rPr>
                                <w:lang w:val="en-GB"/>
                              </w:rPr>
                              <w:t>Chemistry, University of Southampton, Southampton, SO17 1BJ, UK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="00713C4F">
                              <w:rPr>
                                <w:lang w:val="en-GB"/>
                              </w:rPr>
                              <w:t>s.goldup@soton.ac.uk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12C731F"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740.7pt;width:248.05pt;height:43.55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" stroked="f">
                <v:fill opacity="0"/>
                <v:textbox>
                  <w:txbxContent>
                    <w:p w14:paraId="5F236498" w14:textId="77777777" w:rsidR="00BF14BC" w:rsidRPr="00713C4F" w:rsidRDefault="00BF14BC" w:rsidP="00713C4F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 w:rsidR="00F93A50">
                        <w:rPr>
                          <w:lang w:val="en-GB"/>
                        </w:rPr>
                        <w:t>Dr M. Denis, Professor S. M. Goldup</w:t>
                      </w:r>
                      <w:r>
                        <w:rPr>
                          <w:lang w:val="en-GB"/>
                        </w:rPr>
                        <w:br/>
                      </w:r>
                      <w:r w:rsidR="00713C4F">
                        <w:rPr>
                          <w:lang w:val="en-GB"/>
                        </w:rPr>
                        <w:t>Chemistry, University of Southampton, Southampton, SO17 1BJ, UK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="00713C4F">
                        <w:rPr>
                          <w:lang w:val="en-GB"/>
                        </w:rPr>
                        <w:t>s.goldup@soton.ac.uk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F93A50" w:rsidRPr="00BE0FC3">
        <w:rPr>
          <w:lang w:val="en-US"/>
        </w:rPr>
        <w:t>M. Denis</w:t>
      </w:r>
      <w:r w:rsidR="00F007F5" w:rsidRPr="00BE0FC3">
        <w:rPr>
          <w:lang w:val="en-US"/>
        </w:rPr>
        <w:t xml:space="preserve">, and </w:t>
      </w:r>
      <w:r w:rsidR="00F93A50" w:rsidRPr="00BE0FC3">
        <w:rPr>
          <w:lang w:val="en-US"/>
        </w:rPr>
        <w:t>S. M. Goldup</w:t>
      </w:r>
      <w:r w:rsidR="00F007F5" w:rsidRPr="00BE0FC3">
        <w:rPr>
          <w:lang w:val="en-US"/>
        </w:rPr>
        <w:t>*</w:t>
      </w:r>
    </w:p>
    <w:p w14:paraId="3A37B46F" w14:textId="77777777" w:rsidR="006D4F77" w:rsidRPr="00BE0FC3" w:rsidRDefault="006D4F77" w:rsidP="006D4F77">
      <w:pPr>
        <w:pStyle w:val="Dedication"/>
        <w:rPr>
          <w:lang w:val="en-US"/>
        </w:rPr>
        <w:sectPr w:rsidR="006D4F77" w:rsidRPr="00BE0FC3" w:rsidSect="00205632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701A2216" w14:textId="2ECD2A00" w:rsidR="00644F78" w:rsidRDefault="00440D6B" w:rsidP="0044688F">
      <w:pPr>
        <w:pStyle w:val="P1withoutIndendation"/>
        <w:rPr>
          <w:lang w:val="en-US"/>
        </w:rPr>
      </w:pPr>
      <w:r>
        <w:rPr>
          <w:lang w:val="en-US"/>
        </w:rPr>
        <w:t>Thanks to</w:t>
      </w:r>
      <w:r w:rsidR="00713C4F" w:rsidRPr="00BE0FC3">
        <w:rPr>
          <w:lang w:val="en-US"/>
        </w:rPr>
        <w:t xml:space="preserve"> the </w:t>
      </w:r>
      <w:r w:rsidR="009B7280">
        <w:rPr>
          <w:lang w:val="en-US"/>
        </w:rPr>
        <w:t>Nobel Prize winning</w:t>
      </w:r>
      <w:r w:rsidR="006F7D14" w:rsidRPr="00BE0FC3">
        <w:rPr>
          <w:lang w:val="en-US"/>
        </w:rPr>
        <w:t xml:space="preserve"> </w:t>
      </w:r>
      <w:r w:rsidR="00713C4F" w:rsidRPr="00BE0FC3">
        <w:rPr>
          <w:lang w:val="en-US"/>
        </w:rPr>
        <w:t xml:space="preserve">work of </w:t>
      </w:r>
      <w:r>
        <w:rPr>
          <w:lang w:val="en-US"/>
        </w:rPr>
        <w:t xml:space="preserve">Knowles, </w:t>
      </w:r>
      <w:proofErr w:type="spellStart"/>
      <w:r>
        <w:rPr>
          <w:lang w:val="en-US"/>
        </w:rPr>
        <w:t>Noyor</w:t>
      </w:r>
      <w:r w:rsidR="009B7280">
        <w:rPr>
          <w:lang w:val="en-US"/>
        </w:rPr>
        <w:t>i</w:t>
      </w:r>
      <w:proofErr w:type="spellEnd"/>
      <w:r>
        <w:rPr>
          <w:lang w:val="en-US"/>
        </w:rPr>
        <w:t xml:space="preserve"> and</w:t>
      </w:r>
      <w:r w:rsidR="006F7D14" w:rsidRPr="00BE0FC3">
        <w:rPr>
          <w:lang w:val="en-US"/>
        </w:rPr>
        <w:t xml:space="preserve"> </w:t>
      </w:r>
      <w:proofErr w:type="spellStart"/>
      <w:proofErr w:type="gramStart"/>
      <w:r w:rsidR="00713C4F" w:rsidRPr="00BE0FC3">
        <w:rPr>
          <w:lang w:val="en-US"/>
        </w:rPr>
        <w:t>Sharpless</w:t>
      </w:r>
      <w:proofErr w:type="spellEnd"/>
      <w:r w:rsidR="00713C4F" w:rsidRPr="00BE0FC3">
        <w:rPr>
          <w:lang w:val="en-US"/>
        </w:rPr>
        <w:t>,</w:t>
      </w:r>
      <w:r w:rsidR="005F37AE">
        <w:rPr>
          <w:vertAlign w:val="superscript"/>
          <w:lang w:val="en-US"/>
        </w:rPr>
        <w:t>[</w:t>
      </w:r>
      <w:proofErr w:type="gramEnd"/>
      <w:r w:rsidR="005F37AE">
        <w:rPr>
          <w:rStyle w:val="EndnoteReference"/>
          <w:lang w:val="en-US"/>
        </w:rPr>
        <w:endnoteReference w:id="2"/>
      </w:r>
      <w:r w:rsidR="005F37AE">
        <w:rPr>
          <w:vertAlign w:val="superscript"/>
          <w:lang w:val="en-US"/>
        </w:rPr>
        <w:t>]</w:t>
      </w:r>
      <w:r w:rsidR="00713C4F" w:rsidRPr="00BE0FC3">
        <w:rPr>
          <w:lang w:val="en-US"/>
        </w:rPr>
        <w:t xml:space="preserve"> </w:t>
      </w:r>
      <w:r>
        <w:rPr>
          <w:lang w:val="en-US"/>
        </w:rPr>
        <w:t>and</w:t>
      </w:r>
      <w:r w:rsidR="006F7D14" w:rsidRPr="00BE0FC3">
        <w:rPr>
          <w:lang w:val="en-US"/>
        </w:rPr>
        <w:t xml:space="preserve"> many others</w:t>
      </w:r>
      <w:r>
        <w:rPr>
          <w:lang w:val="en-US"/>
        </w:rPr>
        <w:t xml:space="preserve"> since</w:t>
      </w:r>
      <w:r w:rsidR="006F7D14" w:rsidRPr="00BE0FC3">
        <w:rPr>
          <w:lang w:val="en-US"/>
        </w:rPr>
        <w:t>, man-made catalysts have come to challeng</w:t>
      </w:r>
      <w:r w:rsidR="00644F78">
        <w:rPr>
          <w:lang w:val="en-US"/>
        </w:rPr>
        <w:t>e the gold-</w:t>
      </w:r>
      <w:r w:rsidR="006F7D14" w:rsidRPr="00BE0FC3">
        <w:rPr>
          <w:lang w:val="en-US"/>
        </w:rPr>
        <w:t xml:space="preserve">standard </w:t>
      </w:r>
      <w:r w:rsidR="00BE0FC3" w:rsidRPr="00BE0FC3">
        <w:rPr>
          <w:lang w:val="en-US"/>
        </w:rPr>
        <w:t>set by</w:t>
      </w:r>
      <w:r w:rsidR="006F7D14" w:rsidRPr="00BE0FC3">
        <w:rPr>
          <w:lang w:val="en-US"/>
        </w:rPr>
        <w:t xml:space="preserve"> nature’s enzymes in terms of </w:t>
      </w:r>
      <w:proofErr w:type="spellStart"/>
      <w:r w:rsidR="00A95D52">
        <w:rPr>
          <w:lang w:val="en-US"/>
        </w:rPr>
        <w:t>enantio</w:t>
      </w:r>
      <w:r w:rsidR="006F7D14" w:rsidRPr="00BE0FC3">
        <w:rPr>
          <w:lang w:val="en-US"/>
        </w:rPr>
        <w:t>selectivity</w:t>
      </w:r>
      <w:proofErr w:type="spellEnd"/>
      <w:r w:rsidR="006F7D14" w:rsidRPr="00BE0FC3">
        <w:rPr>
          <w:lang w:val="en-US"/>
        </w:rPr>
        <w:t xml:space="preserve">. More importantly, artificial catalysts allow transformations that </w:t>
      </w:r>
      <w:r w:rsidR="00BE0FC3" w:rsidRPr="00BE0FC3">
        <w:rPr>
          <w:lang w:val="en-US"/>
        </w:rPr>
        <w:t>enzymes have not evolved to carry out and, whereas for the most part a distinct enzyme is required for each pair of substrates, modern synthetic catalysts often exhibit broad substrate scope and high stereoselectivity.</w:t>
      </w:r>
      <w:r w:rsidR="0044688F">
        <w:rPr>
          <w:lang w:val="en-US"/>
        </w:rPr>
        <w:t xml:space="preserve"> </w:t>
      </w:r>
      <w:r w:rsidR="00BE0FC3">
        <w:rPr>
          <w:lang w:val="en-US"/>
        </w:rPr>
        <w:t xml:space="preserve">Conversely, artificial systems still struggle to compete with the other well-known function of </w:t>
      </w:r>
      <w:r w:rsidR="0044688F">
        <w:rPr>
          <w:lang w:val="en-US"/>
        </w:rPr>
        <w:t>proteins</w:t>
      </w:r>
      <w:r w:rsidR="00BE0FC3">
        <w:rPr>
          <w:lang w:val="en-US"/>
        </w:rPr>
        <w:t>, the selective binding of small molecule guests</w:t>
      </w:r>
      <w:r w:rsidR="00644F78">
        <w:rPr>
          <w:lang w:val="en-US"/>
        </w:rPr>
        <w:t xml:space="preserve"> and the transduction of this binding event into a measurable signal,</w:t>
      </w:r>
      <w:r w:rsidR="00DD77AE">
        <w:rPr>
          <w:lang w:val="en-US"/>
        </w:rPr>
        <w:t xml:space="preserve"> with discrimination between </w:t>
      </w:r>
      <w:r w:rsidR="003641A0">
        <w:rPr>
          <w:lang w:val="en-US"/>
        </w:rPr>
        <w:t>subtle</w:t>
      </w:r>
      <w:r w:rsidR="00DD77AE">
        <w:rPr>
          <w:lang w:val="en-US"/>
        </w:rPr>
        <w:t xml:space="preserve"> changes in molecular structure such as stereochemistry</w:t>
      </w:r>
      <w:r w:rsidR="00BE0FC3">
        <w:rPr>
          <w:lang w:val="en-US"/>
        </w:rPr>
        <w:t>.</w:t>
      </w:r>
    </w:p>
    <w:p w14:paraId="0D1A6322" w14:textId="567A10FF" w:rsidR="00295646" w:rsidRDefault="00A028A2" w:rsidP="008A1757">
      <w:pPr>
        <w:pStyle w:val="P1withoutIndendation"/>
        <w:ind w:firstLine="284"/>
        <w:rPr>
          <w:lang w:val="en-US"/>
        </w:rPr>
      </w:pPr>
      <w:r>
        <w:rPr>
          <w:lang w:val="en-US"/>
        </w:rPr>
        <w:t>The</w:t>
      </w:r>
      <w:r w:rsidR="00BE0FC3">
        <w:rPr>
          <w:lang w:val="en-US"/>
        </w:rPr>
        <w:t xml:space="preserve"> exquisite </w:t>
      </w:r>
      <w:r w:rsidR="00C67009">
        <w:rPr>
          <w:lang w:val="en-US"/>
        </w:rPr>
        <w:t>selectivity of nature’s host</w:t>
      </w:r>
      <w:r>
        <w:rPr>
          <w:lang w:val="en-US"/>
        </w:rPr>
        <w:t>s</w:t>
      </w:r>
      <w:r w:rsidR="00C67009">
        <w:rPr>
          <w:lang w:val="en-US"/>
        </w:rPr>
        <w:t xml:space="preserve"> is linked to the high stereoselectivity of </w:t>
      </w:r>
      <w:r w:rsidR="00BE0FC3">
        <w:rPr>
          <w:lang w:val="en-US"/>
        </w:rPr>
        <w:t>enzymes</w:t>
      </w:r>
      <w:r w:rsidR="00C67009">
        <w:rPr>
          <w:lang w:val="en-US"/>
        </w:rPr>
        <w:t xml:space="preserve">; both are manifestations of the size and shape selectivity embodied by </w:t>
      </w:r>
      <w:r>
        <w:rPr>
          <w:lang w:val="en-US"/>
        </w:rPr>
        <w:t xml:space="preserve">Emil </w:t>
      </w:r>
      <w:r w:rsidR="00C67009">
        <w:rPr>
          <w:lang w:val="en-US"/>
        </w:rPr>
        <w:t>Fischer’s lock-and-key hypothesis</w:t>
      </w:r>
      <w:r w:rsidR="009B7280">
        <w:rPr>
          <w:vertAlign w:val="superscript"/>
          <w:lang w:val="en-US"/>
        </w:rPr>
        <w:t xml:space="preserve"> </w:t>
      </w:r>
      <w:r w:rsidR="00C67009">
        <w:rPr>
          <w:lang w:val="en-US"/>
        </w:rPr>
        <w:t xml:space="preserve">and rely on a well-defined cavity within the protein that </w:t>
      </w:r>
      <w:r>
        <w:rPr>
          <w:lang w:val="en-US"/>
        </w:rPr>
        <w:t>discriminates between guests or substrates. However, application of nature’s sensors in a non-natural context suffers from the same challenges as enzymatic catalysts</w:t>
      </w:r>
      <w:r w:rsidR="00A72B1A">
        <w:rPr>
          <w:lang w:val="en-US"/>
        </w:rPr>
        <w:t xml:space="preserve"> in that</w:t>
      </w:r>
      <w:r w:rsidR="00DD77AE">
        <w:rPr>
          <w:lang w:val="en-US"/>
        </w:rPr>
        <w:t xml:space="preserve"> recognition </w:t>
      </w:r>
      <w:r w:rsidR="00A72B1A">
        <w:rPr>
          <w:lang w:val="en-US"/>
        </w:rPr>
        <w:t>typically must</w:t>
      </w:r>
      <w:r w:rsidR="00DD77AE">
        <w:rPr>
          <w:lang w:val="en-US"/>
        </w:rPr>
        <w:t xml:space="preserve"> take place under aqueous conditions and</w:t>
      </w:r>
      <w:r w:rsidR="00A72B1A">
        <w:rPr>
          <w:lang w:val="en-US"/>
        </w:rPr>
        <w:t>,</w:t>
      </w:r>
      <w:r w:rsidR="00DD77AE">
        <w:rPr>
          <w:lang w:val="en-US"/>
        </w:rPr>
        <w:t xml:space="preserve"> </w:t>
      </w:r>
      <w:r w:rsidR="00A72B1A">
        <w:rPr>
          <w:lang w:val="en-US"/>
        </w:rPr>
        <w:t>for</w:t>
      </w:r>
      <w:r w:rsidR="0044688F">
        <w:rPr>
          <w:lang w:val="en-US"/>
        </w:rPr>
        <w:t xml:space="preserve"> the most selective examples, </w:t>
      </w:r>
      <w:r w:rsidR="00A72B1A">
        <w:rPr>
          <w:lang w:val="en-US"/>
        </w:rPr>
        <w:t>a specific</w:t>
      </w:r>
      <w:r w:rsidR="00DD77AE">
        <w:rPr>
          <w:lang w:val="en-US"/>
        </w:rPr>
        <w:t xml:space="preserve"> host is required for each gues</w:t>
      </w:r>
      <w:r w:rsidR="00A72B1A">
        <w:rPr>
          <w:lang w:val="en-US"/>
        </w:rPr>
        <w:t xml:space="preserve">t. These drawbacks </w:t>
      </w:r>
      <w:r w:rsidR="003641A0">
        <w:rPr>
          <w:lang w:val="en-US"/>
        </w:rPr>
        <w:t xml:space="preserve">limit the application of </w:t>
      </w:r>
      <w:r w:rsidR="00340B05">
        <w:rPr>
          <w:lang w:val="en-US"/>
        </w:rPr>
        <w:t>protein hosts</w:t>
      </w:r>
      <w:r w:rsidR="003641A0">
        <w:rPr>
          <w:lang w:val="en-US"/>
        </w:rPr>
        <w:t xml:space="preserve"> to the recogni</w:t>
      </w:r>
      <w:r w:rsidR="00A72B1A">
        <w:rPr>
          <w:lang w:val="en-US"/>
        </w:rPr>
        <w:t>tion of non-biological analytes, and in particular, to the non-invasive determination stereochemical purity, a contemporary challenge with the advent of high-throughput reaction screeni</w:t>
      </w:r>
      <w:r w:rsidR="00DB60B4">
        <w:rPr>
          <w:lang w:val="en-US"/>
        </w:rPr>
        <w:t>ng</w:t>
      </w:r>
      <w:r w:rsidR="00340B05">
        <w:rPr>
          <w:lang w:val="en-US"/>
        </w:rPr>
        <w:t>,</w:t>
      </w:r>
      <w:r w:rsidR="00DB60B4">
        <w:rPr>
          <w:lang w:val="en-US"/>
        </w:rPr>
        <w:t xml:space="preserve"> in which enantiomeric excess </w:t>
      </w:r>
      <w:r w:rsidR="0037046B">
        <w:rPr>
          <w:lang w:val="en-US"/>
        </w:rPr>
        <w:t>(</w:t>
      </w:r>
      <w:proofErr w:type="spellStart"/>
      <w:r w:rsidR="0037046B" w:rsidRPr="0037046B">
        <w:rPr>
          <w:i/>
          <w:lang w:val="en-US"/>
        </w:rPr>
        <w:t>ee</w:t>
      </w:r>
      <w:proofErr w:type="spellEnd"/>
      <w:r w:rsidR="0037046B">
        <w:rPr>
          <w:lang w:val="en-US"/>
        </w:rPr>
        <w:t xml:space="preserve">) </w:t>
      </w:r>
      <w:r w:rsidR="00A72B1A">
        <w:rPr>
          <w:lang w:val="en-US"/>
        </w:rPr>
        <w:t>determination by chiral stationary phase HPLC is often the limiting analytical step.</w:t>
      </w:r>
      <w:r w:rsidR="00014AF3">
        <w:rPr>
          <w:vertAlign w:val="superscript"/>
          <w:lang w:val="en-US"/>
        </w:rPr>
        <w:t>[</w:t>
      </w:r>
      <w:r w:rsidR="00014AF3">
        <w:rPr>
          <w:rStyle w:val="EndnoteReference"/>
          <w:lang w:val="en-US"/>
        </w:rPr>
        <w:endnoteReference w:id="3"/>
      </w:r>
      <w:r w:rsidR="00014AF3">
        <w:rPr>
          <w:vertAlign w:val="superscript"/>
          <w:lang w:val="en-US"/>
        </w:rPr>
        <w:t>]</w:t>
      </w:r>
      <w:r w:rsidR="00A72B1A">
        <w:rPr>
          <w:lang w:val="en-US"/>
        </w:rPr>
        <w:t xml:space="preserve"> </w:t>
      </w:r>
      <w:r w:rsidR="008A1757">
        <w:rPr>
          <w:lang w:val="en-US"/>
        </w:rPr>
        <w:t>As a result, a</w:t>
      </w:r>
      <w:r w:rsidR="00DD77AE">
        <w:rPr>
          <w:lang w:val="en-US"/>
        </w:rPr>
        <w:t xml:space="preserve"> number of </w:t>
      </w:r>
      <w:r w:rsidR="00014AF3">
        <w:rPr>
          <w:lang w:val="en-US"/>
        </w:rPr>
        <w:t xml:space="preserve">artificial </w:t>
      </w:r>
      <w:r w:rsidR="00DD77AE">
        <w:rPr>
          <w:lang w:val="en-US"/>
        </w:rPr>
        <w:t>strategies have been developed</w:t>
      </w:r>
      <w:r w:rsidR="0037046B">
        <w:rPr>
          <w:lang w:val="en-US"/>
        </w:rPr>
        <w:t xml:space="preserve"> for </w:t>
      </w:r>
      <w:r w:rsidR="00340B05">
        <w:rPr>
          <w:lang w:val="en-US"/>
        </w:rPr>
        <w:t>the selective binding and reporting of stereoisomers</w:t>
      </w:r>
      <w:r w:rsidR="00DD77AE">
        <w:rPr>
          <w:lang w:val="en-US"/>
        </w:rPr>
        <w:t>,</w:t>
      </w:r>
      <w:r w:rsidR="00014AF3" w:rsidRPr="00014AF3">
        <w:rPr>
          <w:vertAlign w:val="superscript"/>
          <w:lang w:val="en-US"/>
        </w:rPr>
        <w:t xml:space="preserve"> </w:t>
      </w:r>
      <w:r w:rsidR="00DD77AE">
        <w:rPr>
          <w:lang w:val="en-US"/>
        </w:rPr>
        <w:t xml:space="preserve">typically involving </w:t>
      </w:r>
      <w:r w:rsidR="003641A0">
        <w:rPr>
          <w:lang w:val="en-US"/>
        </w:rPr>
        <w:t>metal coordination or dynamic coval</w:t>
      </w:r>
      <w:r w:rsidR="00295646">
        <w:rPr>
          <w:lang w:val="en-US"/>
        </w:rPr>
        <w:t>ent chemistry.</w:t>
      </w:r>
      <w:r w:rsidR="00014AF3">
        <w:rPr>
          <w:vertAlign w:val="superscript"/>
          <w:lang w:val="en-US"/>
        </w:rPr>
        <w:t>[</w:t>
      </w:r>
      <w:r w:rsidR="00014AF3">
        <w:rPr>
          <w:rStyle w:val="EndnoteReference"/>
          <w:lang w:val="en-US"/>
        </w:rPr>
        <w:endnoteReference w:id="4"/>
      </w:r>
      <w:r w:rsidR="00014AF3">
        <w:rPr>
          <w:vertAlign w:val="superscript"/>
          <w:lang w:val="en-US"/>
        </w:rPr>
        <w:t>]</w:t>
      </w:r>
    </w:p>
    <w:p w14:paraId="708FD12A" w14:textId="243901EF" w:rsidR="00295646" w:rsidRDefault="00295646" w:rsidP="00295646">
      <w:pPr>
        <w:pStyle w:val="P1withoutIndendation"/>
        <w:ind w:firstLine="284"/>
        <w:rPr>
          <w:lang w:val="en-US"/>
        </w:rPr>
      </w:pPr>
      <w:r>
        <w:rPr>
          <w:lang w:val="en-US"/>
        </w:rPr>
        <w:t>W</w:t>
      </w:r>
      <w:r w:rsidR="003641A0">
        <w:rPr>
          <w:lang w:val="en-US"/>
        </w:rPr>
        <w:t xml:space="preserve">riting in </w:t>
      </w:r>
      <w:proofErr w:type="spellStart"/>
      <w:r w:rsidR="003641A0" w:rsidRPr="003641A0">
        <w:rPr>
          <w:i/>
          <w:lang w:val="en-US"/>
        </w:rPr>
        <w:t>Angewandte</w:t>
      </w:r>
      <w:proofErr w:type="spellEnd"/>
      <w:r w:rsidR="003641A0" w:rsidRPr="003641A0">
        <w:rPr>
          <w:i/>
          <w:lang w:val="en-US"/>
        </w:rPr>
        <w:t xml:space="preserve"> </w:t>
      </w:r>
      <w:proofErr w:type="spellStart"/>
      <w:r w:rsidR="003641A0" w:rsidRPr="003641A0">
        <w:rPr>
          <w:i/>
          <w:lang w:val="en-US"/>
        </w:rPr>
        <w:t>Chemie</w:t>
      </w:r>
      <w:proofErr w:type="spellEnd"/>
      <w:r w:rsidR="003641A0">
        <w:rPr>
          <w:lang w:val="en-US"/>
        </w:rPr>
        <w:t xml:space="preserve">, Beer and co-workers </w:t>
      </w:r>
      <w:r w:rsidR="00340B05">
        <w:rPr>
          <w:lang w:val="en-US"/>
        </w:rPr>
        <w:t>demonstrate</w:t>
      </w:r>
      <w:r w:rsidR="003641A0">
        <w:rPr>
          <w:lang w:val="en-US"/>
        </w:rPr>
        <w:t xml:space="preserve"> </w:t>
      </w:r>
      <w:r>
        <w:rPr>
          <w:lang w:val="en-US"/>
        </w:rPr>
        <w:t xml:space="preserve">a new approach to the selective binding and reporting of stereoisomers using mechanical bonding to produce a well-defined three-dimensional binding </w:t>
      </w:r>
      <w:proofErr w:type="gramStart"/>
      <w:r>
        <w:rPr>
          <w:lang w:val="en-US"/>
        </w:rPr>
        <w:t>pocket.</w:t>
      </w:r>
      <w:r w:rsidR="0001035E">
        <w:rPr>
          <w:vertAlign w:val="superscript"/>
          <w:lang w:val="en-US"/>
        </w:rPr>
        <w:t>[</w:t>
      </w:r>
      <w:proofErr w:type="gramEnd"/>
      <w:r w:rsidR="0001035E">
        <w:rPr>
          <w:rStyle w:val="EndnoteReference"/>
          <w:lang w:val="en-US"/>
        </w:rPr>
        <w:endnoteReference w:id="5"/>
      </w:r>
      <w:r w:rsidR="0001035E">
        <w:rPr>
          <w:vertAlign w:val="superscript"/>
          <w:lang w:val="en-US"/>
        </w:rPr>
        <w:t>]</w:t>
      </w:r>
      <w:r>
        <w:rPr>
          <w:lang w:val="en-US"/>
        </w:rPr>
        <w:t xml:space="preserve"> Their strategy</w:t>
      </w:r>
      <w:r w:rsidR="00340B05">
        <w:rPr>
          <w:lang w:val="en-US"/>
        </w:rPr>
        <w:t xml:space="preserve"> </w:t>
      </w:r>
      <w:r w:rsidR="003641A0">
        <w:rPr>
          <w:lang w:val="en-US"/>
        </w:rPr>
        <w:t xml:space="preserve">builds on their previous work on the </w:t>
      </w:r>
      <w:r w:rsidR="00E80514">
        <w:rPr>
          <w:lang w:val="en-US"/>
        </w:rPr>
        <w:t>use of</w:t>
      </w:r>
      <w:r w:rsidR="003641A0">
        <w:rPr>
          <w:lang w:val="en-US"/>
        </w:rPr>
        <w:t xml:space="preserve"> rotaxanes and catenanes </w:t>
      </w:r>
      <w:r w:rsidR="00E80514">
        <w:rPr>
          <w:lang w:val="en-US"/>
        </w:rPr>
        <w:t>as</w:t>
      </w:r>
      <w:r w:rsidR="003641A0">
        <w:rPr>
          <w:lang w:val="en-US"/>
        </w:rPr>
        <w:t xml:space="preserve"> selective </w:t>
      </w:r>
      <w:r w:rsidR="00E80514">
        <w:rPr>
          <w:lang w:val="en-US"/>
        </w:rPr>
        <w:t>hosts fo</w:t>
      </w:r>
      <w:r w:rsidR="00D123BB">
        <w:rPr>
          <w:lang w:val="en-US"/>
        </w:rPr>
        <w:t>r</w:t>
      </w:r>
      <w:r w:rsidR="00E80514">
        <w:rPr>
          <w:lang w:val="en-US"/>
        </w:rPr>
        <w:t xml:space="preserve"> anionic guests,</w:t>
      </w:r>
      <w:r w:rsidR="00D972BF">
        <w:rPr>
          <w:vertAlign w:val="superscript"/>
          <w:lang w:val="en-US"/>
        </w:rPr>
        <w:t>[</w:t>
      </w:r>
      <w:r w:rsidR="00D972BF">
        <w:rPr>
          <w:rStyle w:val="EndnoteReference"/>
          <w:lang w:val="en-US"/>
        </w:rPr>
        <w:endnoteReference w:id="6"/>
      </w:r>
      <w:r w:rsidR="00D972BF">
        <w:rPr>
          <w:vertAlign w:val="superscript"/>
          <w:lang w:val="en-US"/>
        </w:rPr>
        <w:t>]</w:t>
      </w:r>
      <w:r w:rsidR="00E80514">
        <w:rPr>
          <w:lang w:val="en-US"/>
        </w:rPr>
        <w:t xml:space="preserve"> and</w:t>
      </w:r>
      <w:r w:rsidR="003641A0">
        <w:rPr>
          <w:lang w:val="en-US"/>
        </w:rPr>
        <w:t xml:space="preserve"> </w:t>
      </w:r>
      <w:r w:rsidR="00E80514">
        <w:rPr>
          <w:lang w:val="en-US"/>
        </w:rPr>
        <w:t>borrows</w:t>
      </w:r>
      <w:r w:rsidR="003641A0">
        <w:rPr>
          <w:lang w:val="en-US"/>
        </w:rPr>
        <w:t xml:space="preserve"> </w:t>
      </w:r>
      <w:r w:rsidR="00B903FD">
        <w:rPr>
          <w:lang w:val="en-US"/>
        </w:rPr>
        <w:t xml:space="preserve">ideas from asymmetric catalysis </w:t>
      </w:r>
      <w:r w:rsidR="003641A0">
        <w:rPr>
          <w:lang w:val="en-US"/>
        </w:rPr>
        <w:t xml:space="preserve">and </w:t>
      </w:r>
      <w:r w:rsidR="0044688F">
        <w:rPr>
          <w:lang w:val="en-US"/>
        </w:rPr>
        <w:t>protein hosts</w:t>
      </w:r>
      <w:r w:rsidR="003641A0">
        <w:rPr>
          <w:lang w:val="en-US"/>
        </w:rPr>
        <w:t>.</w:t>
      </w:r>
    </w:p>
    <w:p w14:paraId="348F2B99" w14:textId="53AF7348" w:rsidR="00BE0FC3" w:rsidRDefault="0072325F" w:rsidP="00295646">
      <w:pPr>
        <w:pStyle w:val="P1withoutIndendation"/>
        <w:ind w:firstLine="284"/>
        <w:rPr>
          <w:lang w:val="en-US"/>
        </w:rPr>
      </w:pPr>
      <w:r>
        <w:rPr>
          <w:lang w:val="en-US"/>
        </w:rPr>
        <w:t xml:space="preserve">Chiral </w:t>
      </w:r>
      <w:r w:rsidR="0029215D">
        <w:rPr>
          <w:lang w:val="en-US"/>
        </w:rPr>
        <w:t>[</w:t>
      </w:r>
      <w:proofErr w:type="gramStart"/>
      <w:r w:rsidR="0029215D">
        <w:rPr>
          <w:lang w:val="en-US"/>
        </w:rPr>
        <w:t>3]</w:t>
      </w:r>
      <w:r>
        <w:rPr>
          <w:lang w:val="en-US"/>
        </w:rPr>
        <w:t>r</w:t>
      </w:r>
      <w:r w:rsidR="00E80514">
        <w:rPr>
          <w:lang w:val="en-US"/>
        </w:rPr>
        <w:t>otaxane</w:t>
      </w:r>
      <w:proofErr w:type="gramEnd"/>
      <w:r w:rsidR="00E80514">
        <w:rPr>
          <w:lang w:val="en-US"/>
        </w:rPr>
        <w:t xml:space="preserve"> </w:t>
      </w:r>
      <w:r w:rsidR="00E80514">
        <w:rPr>
          <w:b/>
          <w:lang w:val="en-US"/>
        </w:rPr>
        <w:t>1</w:t>
      </w:r>
      <w:r w:rsidR="00E80514">
        <w:rPr>
          <w:lang w:val="en-US"/>
        </w:rPr>
        <w:t xml:space="preserve"> </w:t>
      </w:r>
      <w:r w:rsidR="00D972BF">
        <w:rPr>
          <w:lang w:val="en-US"/>
        </w:rPr>
        <w:t xml:space="preserve">(Figure 1) </w:t>
      </w:r>
      <w:r w:rsidR="00E80514">
        <w:rPr>
          <w:lang w:val="en-US"/>
        </w:rPr>
        <w:t xml:space="preserve">was synthesized in good yield using </w:t>
      </w:r>
      <w:r w:rsidR="00D972BF">
        <w:rPr>
          <w:lang w:val="en-US"/>
        </w:rPr>
        <w:t>chloride as a template to assemble the precursors</w:t>
      </w:r>
      <w:r w:rsidR="00E80514">
        <w:rPr>
          <w:lang w:val="en-US"/>
        </w:rPr>
        <w:t xml:space="preserve">. </w:t>
      </w:r>
      <w:r w:rsidR="0001035E">
        <w:rPr>
          <w:lang w:val="en-US"/>
        </w:rPr>
        <w:t xml:space="preserve">Rotaxane </w:t>
      </w:r>
      <w:r w:rsidR="0001035E">
        <w:rPr>
          <w:b/>
          <w:lang w:val="en-US"/>
        </w:rPr>
        <w:t xml:space="preserve">1 </w:t>
      </w:r>
      <w:r w:rsidR="00F80921">
        <w:rPr>
          <w:lang w:val="en-US"/>
        </w:rPr>
        <w:t>ha</w:t>
      </w:r>
      <w:r w:rsidR="00E80514">
        <w:rPr>
          <w:lang w:val="en-US"/>
        </w:rPr>
        <w:t>s two binding sites for anions in the form of</w:t>
      </w:r>
      <w:r w:rsidR="00A70FD9">
        <w:rPr>
          <w:lang w:val="en-US"/>
        </w:rPr>
        <w:t xml:space="preserve"> the mixed hydrogen-bonding/halogen-bonding regions presented by the </w:t>
      </w:r>
      <w:r w:rsidR="0029215D">
        <w:rPr>
          <w:lang w:val="en-US"/>
        </w:rPr>
        <w:t>amide units and polarized C-I b</w:t>
      </w:r>
      <w:r w:rsidR="00D55D81">
        <w:rPr>
          <w:lang w:val="en-US"/>
        </w:rPr>
        <w:t>o</w:t>
      </w:r>
      <w:r w:rsidR="0029215D">
        <w:rPr>
          <w:lang w:val="en-US"/>
        </w:rPr>
        <w:t xml:space="preserve">nds brought into coincidence by the </w:t>
      </w:r>
      <w:r w:rsidR="00A70FD9">
        <w:rPr>
          <w:lang w:val="en-US"/>
        </w:rPr>
        <w:t xml:space="preserve">macrocycles </w:t>
      </w:r>
      <w:r w:rsidR="0044688F">
        <w:rPr>
          <w:lang w:val="en-US"/>
        </w:rPr>
        <w:t>wrapped around the</w:t>
      </w:r>
      <w:r w:rsidR="00A70FD9">
        <w:rPr>
          <w:lang w:val="en-US"/>
        </w:rPr>
        <w:t xml:space="preserve"> axle. Accordingly, small anions such as chloride </w:t>
      </w:r>
      <w:r w:rsidR="004B0D96">
        <w:rPr>
          <w:lang w:val="en-US"/>
        </w:rPr>
        <w:t xml:space="preserve">were found by </w:t>
      </w:r>
      <w:r w:rsidR="004B0D96" w:rsidRPr="004B0D96">
        <w:rPr>
          <w:vertAlign w:val="superscript"/>
          <w:lang w:val="en-US"/>
        </w:rPr>
        <w:t>1</w:t>
      </w:r>
      <w:r w:rsidR="004B0D96">
        <w:rPr>
          <w:lang w:val="en-US"/>
        </w:rPr>
        <w:t xml:space="preserve">H NMR analysis to </w:t>
      </w:r>
      <w:r w:rsidR="00A70FD9">
        <w:rPr>
          <w:lang w:val="en-US"/>
        </w:rPr>
        <w:t xml:space="preserve">bind to rotaxane </w:t>
      </w:r>
      <w:r w:rsidR="00A70FD9">
        <w:rPr>
          <w:b/>
          <w:lang w:val="en-US"/>
        </w:rPr>
        <w:t>1</w:t>
      </w:r>
      <w:r w:rsidR="00A70FD9">
        <w:rPr>
          <w:lang w:val="en-US"/>
        </w:rPr>
        <w:t xml:space="preserve"> in a </w:t>
      </w:r>
      <w:proofErr w:type="gramStart"/>
      <w:r w:rsidR="00D55D81">
        <w:rPr>
          <w:lang w:val="en-US"/>
        </w:rPr>
        <w:t>1</w:t>
      </w:r>
      <w:r w:rsidR="00A70FD9">
        <w:rPr>
          <w:lang w:val="en-US"/>
        </w:rPr>
        <w:t xml:space="preserve"> :</w:t>
      </w:r>
      <w:proofErr w:type="gramEnd"/>
      <w:r w:rsidR="00A70FD9">
        <w:rPr>
          <w:lang w:val="en-US"/>
        </w:rPr>
        <w:t xml:space="preserve"> </w:t>
      </w:r>
      <w:r w:rsidR="00D55D81">
        <w:rPr>
          <w:lang w:val="en-US"/>
        </w:rPr>
        <w:t>2</w:t>
      </w:r>
      <w:r w:rsidR="00A70FD9">
        <w:rPr>
          <w:lang w:val="en-US"/>
        </w:rPr>
        <w:t xml:space="preserve"> fashion</w:t>
      </w:r>
      <w:r w:rsidR="00B51ABE">
        <w:rPr>
          <w:lang w:val="en-US"/>
        </w:rPr>
        <w:t>,</w:t>
      </w:r>
      <w:r w:rsidR="00A70FD9">
        <w:rPr>
          <w:lang w:val="en-US"/>
        </w:rPr>
        <w:t xml:space="preserve"> </w:t>
      </w:r>
      <w:r w:rsidR="00B51ABE">
        <w:rPr>
          <w:lang w:val="en-US"/>
        </w:rPr>
        <w:t xml:space="preserve">one </w:t>
      </w:r>
      <w:r w:rsidR="00A70FD9">
        <w:rPr>
          <w:lang w:val="en-US"/>
        </w:rPr>
        <w:t xml:space="preserve">within the cavity of </w:t>
      </w:r>
      <w:r w:rsidR="00B51ABE">
        <w:rPr>
          <w:lang w:val="en-US"/>
        </w:rPr>
        <w:t>each</w:t>
      </w:r>
      <w:r w:rsidR="00A70FD9">
        <w:rPr>
          <w:lang w:val="en-US"/>
        </w:rPr>
        <w:t xml:space="preserve"> macrocycle. </w:t>
      </w:r>
      <w:r w:rsidR="0044688F">
        <w:rPr>
          <w:lang w:val="en-US"/>
        </w:rPr>
        <w:t>In contrast, and consistent with previous work</w:t>
      </w:r>
      <w:r w:rsidR="0069077F">
        <w:rPr>
          <w:lang w:val="en-US"/>
        </w:rPr>
        <w:t xml:space="preserve"> by Beer and co-workers with </w:t>
      </w:r>
      <w:proofErr w:type="spellStart"/>
      <w:r w:rsidR="0069077F">
        <w:rPr>
          <w:lang w:val="en-US"/>
        </w:rPr>
        <w:t>sulphate</w:t>
      </w:r>
      <w:proofErr w:type="spellEnd"/>
      <w:r w:rsidR="0069077F">
        <w:rPr>
          <w:lang w:val="en-US"/>
        </w:rPr>
        <w:t xml:space="preserve"> and nitrate </w:t>
      </w:r>
      <w:proofErr w:type="gramStart"/>
      <w:r w:rsidR="0069077F">
        <w:rPr>
          <w:lang w:val="en-US"/>
        </w:rPr>
        <w:t>anions</w:t>
      </w:r>
      <w:r w:rsidR="00A70FD9">
        <w:rPr>
          <w:lang w:val="en-US"/>
        </w:rPr>
        <w:t>,</w:t>
      </w:r>
      <w:r w:rsidR="0001035E">
        <w:rPr>
          <w:vertAlign w:val="superscript"/>
          <w:lang w:val="en-US"/>
        </w:rPr>
        <w:t>[</w:t>
      </w:r>
      <w:proofErr w:type="gramEnd"/>
      <w:r w:rsidR="0001035E">
        <w:rPr>
          <w:rStyle w:val="EndnoteReference"/>
          <w:lang w:val="en-US"/>
        </w:rPr>
        <w:endnoteReference w:id="7"/>
      </w:r>
      <w:r w:rsidR="0001035E">
        <w:rPr>
          <w:vertAlign w:val="superscript"/>
          <w:lang w:val="en-US"/>
        </w:rPr>
        <w:t>]</w:t>
      </w:r>
      <w:r w:rsidR="00A70FD9">
        <w:rPr>
          <w:lang w:val="en-US"/>
        </w:rPr>
        <w:t xml:space="preserve"> bulkier </w:t>
      </w:r>
      <w:r>
        <w:rPr>
          <w:lang w:val="en-US"/>
        </w:rPr>
        <w:t>di-</w:t>
      </w:r>
      <w:r w:rsidR="00A70FD9">
        <w:rPr>
          <w:lang w:val="en-US"/>
        </w:rPr>
        <w:t>anions</w:t>
      </w:r>
      <w:r w:rsidR="004B0D96">
        <w:rPr>
          <w:lang w:val="en-US"/>
        </w:rPr>
        <w:t xml:space="preserve"> such as </w:t>
      </w:r>
      <w:proofErr w:type="spellStart"/>
      <w:r w:rsidR="004B0D96">
        <w:rPr>
          <w:lang w:val="en-US"/>
        </w:rPr>
        <w:t>dicarboxylates</w:t>
      </w:r>
      <w:proofErr w:type="spellEnd"/>
      <w:r w:rsidR="004B0D96">
        <w:rPr>
          <w:lang w:val="en-US"/>
        </w:rPr>
        <w:t xml:space="preserve"> bound in a 1</w:t>
      </w:r>
      <w:r w:rsidR="0001035E">
        <w:rPr>
          <w:lang w:val="en-US"/>
        </w:rPr>
        <w:t xml:space="preserve"> </w:t>
      </w:r>
      <w:r w:rsidR="004B0D96">
        <w:rPr>
          <w:lang w:val="en-US"/>
        </w:rPr>
        <w:t>:</w:t>
      </w:r>
      <w:r w:rsidR="0001035E">
        <w:rPr>
          <w:lang w:val="en-US"/>
        </w:rPr>
        <w:t xml:space="preserve"> </w:t>
      </w:r>
      <w:r w:rsidR="004B0D96">
        <w:rPr>
          <w:lang w:val="en-US"/>
        </w:rPr>
        <w:t xml:space="preserve">1 manner </w:t>
      </w:r>
      <w:r w:rsidR="0001035E">
        <w:rPr>
          <w:lang w:val="en-US"/>
        </w:rPr>
        <w:t>to</w:t>
      </w:r>
      <w:r>
        <w:rPr>
          <w:lang w:val="en-US"/>
        </w:rPr>
        <w:t xml:space="preserve"> rotaxane </w:t>
      </w:r>
      <w:r>
        <w:rPr>
          <w:b/>
          <w:lang w:val="en-US"/>
        </w:rPr>
        <w:t>1</w:t>
      </w:r>
      <w:r>
        <w:rPr>
          <w:lang w:val="en-US"/>
        </w:rPr>
        <w:t xml:space="preserve"> </w:t>
      </w:r>
      <w:r w:rsidR="0001035E">
        <w:rPr>
          <w:lang w:val="en-US"/>
        </w:rPr>
        <w:t xml:space="preserve">with the guest sandwiched </w:t>
      </w:r>
      <w:r>
        <w:rPr>
          <w:lang w:val="en-US"/>
        </w:rPr>
        <w:t xml:space="preserve">between the </w:t>
      </w:r>
      <w:r w:rsidR="0029215D">
        <w:rPr>
          <w:lang w:val="en-US"/>
        </w:rPr>
        <w:t>binding sites</w:t>
      </w:r>
      <w:r>
        <w:rPr>
          <w:lang w:val="en-US"/>
        </w:rPr>
        <w:t xml:space="preserve">, </w:t>
      </w:r>
      <w:r>
        <w:rPr>
          <w:lang w:val="en-US"/>
        </w:rPr>
        <w:t xml:space="preserve">rather than </w:t>
      </w:r>
      <w:proofErr w:type="spellStart"/>
      <w:r>
        <w:rPr>
          <w:lang w:val="en-US"/>
        </w:rPr>
        <w:t>endotopically</w:t>
      </w:r>
      <w:proofErr w:type="spellEnd"/>
      <w:r>
        <w:rPr>
          <w:lang w:val="en-US"/>
        </w:rPr>
        <w:t xml:space="preserve"> within the ring cavity.</w:t>
      </w:r>
      <w:r w:rsidR="00427C16">
        <w:rPr>
          <w:lang w:val="en-US"/>
        </w:rPr>
        <w:t xml:space="preserve"> The binding mode of the </w:t>
      </w:r>
      <w:proofErr w:type="spellStart"/>
      <w:r w:rsidR="00427C16">
        <w:rPr>
          <w:lang w:val="en-US"/>
        </w:rPr>
        <w:t>dicarboxylate</w:t>
      </w:r>
      <w:proofErr w:type="spellEnd"/>
      <w:r w:rsidR="00427C16">
        <w:rPr>
          <w:lang w:val="en-US"/>
        </w:rPr>
        <w:t xml:space="preserve"> anion along the axle requires the guest to be </w:t>
      </w:r>
      <w:r w:rsidR="0029215D">
        <w:rPr>
          <w:lang w:val="en-US"/>
        </w:rPr>
        <w:t>in</w:t>
      </w:r>
      <w:r w:rsidR="00427C16">
        <w:rPr>
          <w:lang w:val="en-US"/>
        </w:rPr>
        <w:t xml:space="preserve"> close contact with the chiral, stereo-differentiating </w:t>
      </w:r>
      <w:proofErr w:type="spellStart"/>
      <w:r w:rsidR="0029215D">
        <w:rPr>
          <w:lang w:val="en-US"/>
        </w:rPr>
        <w:t>B</w:t>
      </w:r>
      <w:r w:rsidR="00427C16">
        <w:rPr>
          <w:lang w:val="en-US"/>
        </w:rPr>
        <w:t>inol</w:t>
      </w:r>
      <w:proofErr w:type="spellEnd"/>
      <w:r w:rsidR="00427C16">
        <w:rPr>
          <w:lang w:val="en-US"/>
        </w:rPr>
        <w:t xml:space="preserve"> unit and the C</w:t>
      </w:r>
      <w:r w:rsidR="00427C16">
        <w:rPr>
          <w:vertAlign w:val="subscript"/>
          <w:lang w:val="en-US"/>
        </w:rPr>
        <w:t>2</w:t>
      </w:r>
      <w:r w:rsidR="00427C16">
        <w:rPr>
          <w:lang w:val="en-US"/>
        </w:rPr>
        <w:t>-symmetry of the host ensures that even non-symmetrical guests such as glutamic acid have only one available binding orientation relative to the axle</w:t>
      </w:r>
      <w:r w:rsidR="0029215D">
        <w:rPr>
          <w:lang w:val="en-US"/>
        </w:rPr>
        <w:t>, a strategy that is well-used in the design of enantioselective catalysts</w:t>
      </w:r>
      <w:r w:rsidR="00427C16">
        <w:rPr>
          <w:lang w:val="en-US"/>
        </w:rPr>
        <w:t>. Furthermore, each binding region of the host presents the guest a number of attractive, highly directional (hydrogen- and halogen-bonds</w:t>
      </w:r>
      <w:r w:rsidR="00FF64A2">
        <w:rPr>
          <w:lang w:val="en-US"/>
        </w:rPr>
        <w:t>; abbreviated to HB and XB respectively</w:t>
      </w:r>
      <w:r w:rsidR="00427C16">
        <w:rPr>
          <w:lang w:val="en-US"/>
        </w:rPr>
        <w:t>) interactions, ensurin</w:t>
      </w:r>
      <w:r w:rsidR="00B903FD">
        <w:rPr>
          <w:lang w:val="en-US"/>
        </w:rPr>
        <w:t>g strong and structured binding and by sandwiching the guest between the sterically bulky “walls” created by the macrocycles, it is isolated from its surroundings, both features of enzymatic hosts.</w:t>
      </w:r>
    </w:p>
    <w:p w14:paraId="76D8F1C1" w14:textId="3911FF59" w:rsidR="00DD332C" w:rsidRPr="00BE0FC3" w:rsidRDefault="00421537" w:rsidP="00DD332C">
      <w:pPr>
        <w:spacing w:before="360"/>
        <w:rPr>
          <w:rFonts w:ascii="Arial" w:hAnsi="Arial" w:cs="Arial"/>
          <w:color w:val="FF0000"/>
          <w:sz w:val="14"/>
          <w:szCs w:val="16"/>
          <w:lang w:val="en-US"/>
        </w:rPr>
      </w:pPr>
      <w:bookmarkStart w:id="0" w:name="_GoBack"/>
      <w:bookmarkEnd w:id="0"/>
      <w:r w:rsidRPr="00421537">
        <w:rPr>
          <w:rFonts w:ascii="Arial" w:hAnsi="Arial" w:cs="Arial"/>
          <w:color w:val="FF0000"/>
          <w:sz w:val="14"/>
          <w:szCs w:val="16"/>
          <w:lang w:val="en-US"/>
        </w:rPr>
        <w:drawing>
          <wp:inline distT="0" distB="0" distL="0" distR="0" wp14:anchorId="7422D0F4" wp14:editId="027DCAC8">
            <wp:extent cx="3035300" cy="246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2E0F" w14:textId="5265C5ED" w:rsidR="00DD332C" w:rsidRPr="002078CA" w:rsidRDefault="00DD332C" w:rsidP="00DD332C">
      <w:pPr>
        <w:pStyle w:val="FigureCaption"/>
      </w:pPr>
      <w:r w:rsidRPr="00BE0FC3">
        <w:rPr>
          <w:b/>
          <w:lang w:val="en-US"/>
        </w:rPr>
        <w:t>Figure 1.</w:t>
      </w:r>
      <w:r w:rsidRPr="00BE0FC3">
        <w:rPr>
          <w:lang w:val="en-US"/>
        </w:rPr>
        <w:t xml:space="preserve"> </w:t>
      </w:r>
      <w:r>
        <w:rPr>
          <w:lang w:val="en-US"/>
        </w:rPr>
        <w:t xml:space="preserve">Structures of </w:t>
      </w:r>
      <w:r w:rsidR="001E4331">
        <w:rPr>
          <w:lang w:val="en-US"/>
        </w:rPr>
        <w:t>[</w:t>
      </w:r>
      <w:proofErr w:type="gramStart"/>
      <w:r w:rsidR="001E4331">
        <w:rPr>
          <w:lang w:val="en-US"/>
        </w:rPr>
        <w:t>3]</w:t>
      </w:r>
      <w:r>
        <w:rPr>
          <w:lang w:val="en-US"/>
        </w:rPr>
        <w:t>rotaxane</w:t>
      </w:r>
      <w:proofErr w:type="gramEnd"/>
      <w:r>
        <w:rPr>
          <w:lang w:val="en-US"/>
        </w:rPr>
        <w:t xml:space="preserve"> </w:t>
      </w:r>
      <w:r>
        <w:rPr>
          <w:b/>
          <w:lang w:val="en-US"/>
        </w:rPr>
        <w:t>1</w:t>
      </w:r>
      <w:r w:rsidR="00D55D81">
        <w:rPr>
          <w:b/>
          <w:lang w:val="en-US"/>
        </w:rPr>
        <w:t xml:space="preserve"> </w:t>
      </w:r>
      <w:r w:rsidR="00D55D81">
        <w:rPr>
          <w:lang w:val="en-US"/>
        </w:rPr>
        <w:t>(PF</w:t>
      </w:r>
      <w:r w:rsidR="00D55D81" w:rsidRPr="00D55D81">
        <w:rPr>
          <w:vertAlign w:val="subscript"/>
          <w:lang w:val="en-US"/>
        </w:rPr>
        <w:t>6</w:t>
      </w:r>
      <w:r w:rsidR="00D55D81">
        <w:rPr>
          <w:lang w:val="en-US"/>
        </w:rPr>
        <w:t xml:space="preserve"> counter anions omitted)</w:t>
      </w:r>
      <w:r>
        <w:rPr>
          <w:lang w:val="en-US"/>
        </w:rPr>
        <w:t xml:space="preserve">, and the </w:t>
      </w:r>
      <w:proofErr w:type="spellStart"/>
      <w:r>
        <w:rPr>
          <w:lang w:val="en-US"/>
        </w:rPr>
        <w:t>dicarboxylate</w:t>
      </w:r>
      <w:proofErr w:type="spellEnd"/>
      <w:r>
        <w:rPr>
          <w:lang w:val="en-US"/>
        </w:rPr>
        <w:t xml:space="preserve"> guests studied</w:t>
      </w:r>
      <w:r w:rsidR="002078CA">
        <w:rPr>
          <w:lang w:val="en-US"/>
        </w:rPr>
        <w:t xml:space="preserve"> and their binding constants (M</w:t>
      </w:r>
      <w:r w:rsidR="002078CA">
        <w:rPr>
          <w:vertAlign w:val="superscript"/>
          <w:lang w:val="en-US"/>
        </w:rPr>
        <w:t>-1</w:t>
      </w:r>
      <w:r w:rsidR="002078CA">
        <w:rPr>
          <w:lang w:val="en-US"/>
        </w:rPr>
        <w:t>)</w:t>
      </w:r>
      <w:r w:rsidR="00D55D81">
        <w:rPr>
          <w:lang w:val="en-US"/>
        </w:rPr>
        <w:t xml:space="preserve"> with </w:t>
      </w:r>
      <w:r w:rsidR="00D55D81">
        <w:rPr>
          <w:b/>
          <w:lang w:val="en-US"/>
        </w:rPr>
        <w:t xml:space="preserve">1 </w:t>
      </w:r>
      <w:r w:rsidR="002078CA">
        <w:rPr>
          <w:lang w:val="en-US"/>
        </w:rPr>
        <w:t xml:space="preserve">determined by fluorescence titration </w:t>
      </w:r>
      <w:r w:rsidR="002078CA" w:rsidRPr="00DD332C">
        <w:rPr>
          <w:lang w:val="en-US"/>
        </w:rPr>
        <w:t>in</w:t>
      </w:r>
      <w:r w:rsidR="002078CA">
        <w:rPr>
          <w:lang w:val="en-US"/>
        </w:rPr>
        <w:t xml:space="preserve"> </w:t>
      </w:r>
      <w:r w:rsidR="002078CA" w:rsidRPr="001E4331">
        <w:t>CHCl</w:t>
      </w:r>
      <w:r w:rsidR="002078CA" w:rsidRPr="001E4331">
        <w:rPr>
          <w:vertAlign w:val="subscript"/>
        </w:rPr>
        <w:t>3</w:t>
      </w:r>
      <w:r w:rsidR="002078CA">
        <w:t>-</w:t>
      </w:r>
      <w:r w:rsidR="002078CA" w:rsidRPr="001E4331">
        <w:t>CH</w:t>
      </w:r>
      <w:r w:rsidR="002078CA" w:rsidRPr="001E4331">
        <w:rPr>
          <w:vertAlign w:val="subscript"/>
        </w:rPr>
        <w:t>3</w:t>
      </w:r>
      <w:r w:rsidR="002078CA">
        <w:t>OH-</w:t>
      </w:r>
      <w:r w:rsidR="002078CA" w:rsidRPr="001E4331">
        <w:t>H</w:t>
      </w:r>
      <w:r w:rsidR="002078CA" w:rsidRPr="001E4331">
        <w:rPr>
          <w:vertAlign w:val="subscript"/>
        </w:rPr>
        <w:t>2</w:t>
      </w:r>
      <w:r w:rsidR="002078CA" w:rsidRPr="001E4331">
        <w:t>O 60:39:1</w:t>
      </w:r>
      <w:r w:rsidR="002078CA">
        <w:t xml:space="preserve"> </w:t>
      </w:r>
      <w:r w:rsidR="002078CA">
        <w:rPr>
          <w:lang w:val="en-US"/>
        </w:rPr>
        <w:t>at 293 K</w:t>
      </w:r>
      <w:r w:rsidR="00D55D81">
        <w:rPr>
          <w:lang w:val="en-US"/>
        </w:rPr>
        <w:t>.</w:t>
      </w:r>
    </w:p>
    <w:p w14:paraId="5E558BF7" w14:textId="2369EC53" w:rsidR="0011103B" w:rsidRDefault="00EB69A2" w:rsidP="00343F00">
      <w:pPr>
        <w:pStyle w:val="P1withoutIndendation"/>
        <w:ind w:firstLine="284"/>
        <w:rPr>
          <w:lang w:val="en-US"/>
        </w:rPr>
      </w:pPr>
      <w:r>
        <w:rPr>
          <w:lang w:val="en-US"/>
        </w:rPr>
        <w:t xml:space="preserve">Analysis of the selectivity of binding reveals that the host is able to differentiate both between geometric isomers, in the case of fumarate </w:t>
      </w:r>
      <w:r w:rsidR="0001035E" w:rsidRPr="0001035E">
        <w:rPr>
          <w:i/>
          <w:lang w:val="en-US"/>
        </w:rPr>
        <w:t>vs</w:t>
      </w:r>
      <w:r w:rsidR="0001035E">
        <w:rPr>
          <w:lang w:val="en-US"/>
        </w:rPr>
        <w:t xml:space="preserve"> maleate </w:t>
      </w:r>
      <w:r>
        <w:rPr>
          <w:lang w:val="en-US"/>
        </w:rPr>
        <w:t>and enantiomers, in the case of (</w:t>
      </w:r>
      <w:r w:rsidRPr="006D15CC">
        <w:rPr>
          <w:i/>
          <w:lang w:val="en-US"/>
        </w:rPr>
        <w:t>R</w:t>
      </w:r>
      <w:r>
        <w:rPr>
          <w:lang w:val="en-US"/>
        </w:rPr>
        <w:t>)- vs (</w:t>
      </w:r>
      <w:r w:rsidRPr="006D15CC">
        <w:rPr>
          <w:i/>
          <w:lang w:val="en-US"/>
        </w:rPr>
        <w:t>S</w:t>
      </w:r>
      <w:r>
        <w:rPr>
          <w:lang w:val="en-US"/>
        </w:rPr>
        <w:t xml:space="preserve">)-glutamate. Furthermore, the emission of the </w:t>
      </w:r>
      <w:proofErr w:type="spellStart"/>
      <w:r>
        <w:rPr>
          <w:lang w:val="en-US"/>
        </w:rPr>
        <w:t>binol</w:t>
      </w:r>
      <w:proofErr w:type="spellEnd"/>
      <w:r>
        <w:rPr>
          <w:lang w:val="en-US"/>
        </w:rPr>
        <w:t xml:space="preserve"> moiety provides a luminescent response to guest binding, allowing the binding event to </w:t>
      </w:r>
      <w:r w:rsidR="000E4624">
        <w:rPr>
          <w:lang w:val="en-US"/>
        </w:rPr>
        <w:t xml:space="preserve">be </w:t>
      </w:r>
      <w:r>
        <w:rPr>
          <w:lang w:val="en-US"/>
        </w:rPr>
        <w:t>reported optically.</w:t>
      </w:r>
      <w:r w:rsidR="00427C16">
        <w:rPr>
          <w:lang w:val="en-US"/>
        </w:rPr>
        <w:t xml:space="preserve"> </w:t>
      </w:r>
      <w:r>
        <w:rPr>
          <w:lang w:val="en-US"/>
        </w:rPr>
        <w:t>Molecular modelling underlines the benefit of using the mechanical bond to engineer a flexible, sterically crowded binding pocket and sheds some light on the observed selectivity.</w:t>
      </w:r>
      <w:r w:rsidR="00343F00">
        <w:rPr>
          <w:lang w:val="en-US"/>
        </w:rPr>
        <w:t xml:space="preserve"> Firstly, all of the guests studied were </w:t>
      </w:r>
      <w:r w:rsidR="0011103B">
        <w:rPr>
          <w:lang w:val="en-US"/>
        </w:rPr>
        <w:t>predicted</w:t>
      </w:r>
      <w:r w:rsidR="00343F00">
        <w:rPr>
          <w:lang w:val="en-US"/>
        </w:rPr>
        <w:t xml:space="preserve"> to interact with both binding sites </w:t>
      </w:r>
      <w:r w:rsidR="0001035E">
        <w:rPr>
          <w:lang w:val="en-US"/>
        </w:rPr>
        <w:t xml:space="preserve">in a similar manner </w:t>
      </w:r>
      <w:r w:rsidR="00343F00">
        <w:rPr>
          <w:lang w:val="en-US"/>
        </w:rPr>
        <w:t>despite significant differences in the distance between the</w:t>
      </w:r>
      <w:r w:rsidR="0001035E">
        <w:rPr>
          <w:lang w:val="en-US"/>
        </w:rPr>
        <w:t>ir</w:t>
      </w:r>
      <w:r w:rsidR="00343F00">
        <w:rPr>
          <w:lang w:val="en-US"/>
        </w:rPr>
        <w:t xml:space="preserve"> carboxylate groups. This is </w:t>
      </w:r>
      <w:r w:rsidR="00427C16">
        <w:rPr>
          <w:lang w:val="en-US"/>
        </w:rPr>
        <w:t xml:space="preserve">due to the flexibility of the </w:t>
      </w:r>
      <w:proofErr w:type="spellStart"/>
      <w:r w:rsidR="00427C16">
        <w:rPr>
          <w:lang w:val="en-US"/>
        </w:rPr>
        <w:t>Binol</w:t>
      </w:r>
      <w:proofErr w:type="spellEnd"/>
      <w:r w:rsidR="00427C16">
        <w:rPr>
          <w:lang w:val="en-US"/>
        </w:rPr>
        <w:t xml:space="preserve"> unit and </w:t>
      </w:r>
      <w:r w:rsidR="0029215D">
        <w:rPr>
          <w:lang w:val="en-US"/>
        </w:rPr>
        <w:t xml:space="preserve">the threaded arrangements of the macrocycles, </w:t>
      </w:r>
      <w:r w:rsidR="00343F00">
        <w:rPr>
          <w:lang w:val="en-US"/>
        </w:rPr>
        <w:t>in keeping with previous work from</w:t>
      </w:r>
      <w:r w:rsidR="006D15CC">
        <w:rPr>
          <w:lang w:val="en-US"/>
        </w:rPr>
        <w:t xml:space="preserve"> Sauvage and co-workers </w:t>
      </w:r>
      <w:r w:rsidR="00343F00">
        <w:rPr>
          <w:lang w:val="en-US"/>
        </w:rPr>
        <w:t>who showed that</w:t>
      </w:r>
      <w:r w:rsidR="006D15CC">
        <w:rPr>
          <w:lang w:val="en-US"/>
        </w:rPr>
        <w:t xml:space="preserve"> the restricted movement of </w:t>
      </w:r>
      <w:r w:rsidR="006314FB">
        <w:rPr>
          <w:lang w:val="en-US"/>
        </w:rPr>
        <w:t>macrocycles</w:t>
      </w:r>
      <w:r w:rsidR="006D15CC">
        <w:rPr>
          <w:lang w:val="en-US"/>
        </w:rPr>
        <w:t xml:space="preserve"> along an axle in a [3]rotaxane can provide a flexible binding pocket for different sized guests.</w:t>
      </w:r>
      <w:r w:rsidR="0001035E">
        <w:rPr>
          <w:vertAlign w:val="superscript"/>
          <w:lang w:val="en-US"/>
        </w:rPr>
        <w:t>[</w:t>
      </w:r>
      <w:r w:rsidR="0001035E">
        <w:rPr>
          <w:rStyle w:val="EndnoteReference"/>
          <w:lang w:val="en-US"/>
        </w:rPr>
        <w:endnoteReference w:id="8"/>
      </w:r>
      <w:r w:rsidR="0001035E">
        <w:rPr>
          <w:vertAlign w:val="superscript"/>
          <w:lang w:val="en-US"/>
        </w:rPr>
        <w:t>]</w:t>
      </w:r>
      <w:r w:rsidR="006D15CC">
        <w:rPr>
          <w:lang w:val="en-US"/>
        </w:rPr>
        <w:t xml:space="preserve"> </w:t>
      </w:r>
      <w:r w:rsidR="0011103B">
        <w:rPr>
          <w:lang w:val="en-US"/>
        </w:rPr>
        <w:t>Secondly</w:t>
      </w:r>
      <w:r w:rsidR="00F80921">
        <w:rPr>
          <w:lang w:val="en-US"/>
        </w:rPr>
        <w:t xml:space="preserve">, the </w:t>
      </w:r>
      <w:r w:rsidR="008C4FAC">
        <w:rPr>
          <w:lang w:val="en-US"/>
        </w:rPr>
        <w:t xml:space="preserve">end walls of the binding pocket, which are formed by the macrocycles, </w:t>
      </w:r>
      <w:r w:rsidR="00427C16">
        <w:rPr>
          <w:lang w:val="en-US"/>
        </w:rPr>
        <w:t xml:space="preserve">fold around the guest to </w:t>
      </w:r>
      <w:r w:rsidR="0001035E">
        <w:rPr>
          <w:lang w:val="en-US"/>
        </w:rPr>
        <w:t xml:space="preserve">create a crowded binding pocket that </w:t>
      </w:r>
      <w:r w:rsidR="006314FB">
        <w:rPr>
          <w:lang w:val="en-US"/>
        </w:rPr>
        <w:t>serve</w:t>
      </w:r>
      <w:r w:rsidR="0001035E">
        <w:rPr>
          <w:lang w:val="en-US"/>
        </w:rPr>
        <w:t>s</w:t>
      </w:r>
      <w:r w:rsidR="006314FB">
        <w:rPr>
          <w:lang w:val="en-US"/>
        </w:rPr>
        <w:t xml:space="preserve"> to </w:t>
      </w:r>
      <w:r w:rsidR="008C4FAC">
        <w:rPr>
          <w:lang w:val="en-US"/>
        </w:rPr>
        <w:t xml:space="preserve">exclude solvent </w:t>
      </w:r>
      <w:r w:rsidR="008C4FAC">
        <w:rPr>
          <w:lang w:val="en-US"/>
        </w:rPr>
        <w:lastRenderedPageBreak/>
        <w:t>from the hydrophilic carboxylate region, much as the binding pocket of an enzyme ensure</w:t>
      </w:r>
      <w:r w:rsidR="006314FB">
        <w:rPr>
          <w:lang w:val="en-US"/>
        </w:rPr>
        <w:t>s</w:t>
      </w:r>
      <w:r w:rsidR="008C4FAC">
        <w:rPr>
          <w:lang w:val="en-US"/>
        </w:rPr>
        <w:t xml:space="preserve"> controlled solvation of the guest.</w:t>
      </w:r>
    </w:p>
    <w:p w14:paraId="77B527D6" w14:textId="4C7D6653" w:rsidR="00C51015" w:rsidRPr="00BE0FC3" w:rsidRDefault="00755FE3" w:rsidP="00C51015">
      <w:pPr>
        <w:spacing w:before="360"/>
        <w:rPr>
          <w:rFonts w:ascii="Arial" w:hAnsi="Arial" w:cs="Arial"/>
          <w:color w:val="FF0000"/>
          <w:sz w:val="14"/>
          <w:szCs w:val="16"/>
          <w:lang w:val="en-US"/>
        </w:rPr>
      </w:pPr>
      <w:r>
        <w:rPr>
          <w:rFonts w:ascii="Arial" w:hAnsi="Arial" w:cs="Arial"/>
          <w:noProof/>
          <w:color w:val="FF0000"/>
          <w:sz w:val="14"/>
          <w:szCs w:val="16"/>
          <w:lang w:val="en-GB" w:eastAsia="en-GB"/>
        </w:rPr>
        <w:drawing>
          <wp:inline distT="0" distB="0" distL="0" distR="0" wp14:anchorId="455D34D7" wp14:editId="1315F5A5">
            <wp:extent cx="3095625" cy="14541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2 model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9E64" w14:textId="0FE38046" w:rsidR="00C51015" w:rsidRDefault="00C51015" w:rsidP="00C51015">
      <w:pPr>
        <w:pStyle w:val="FigureCaption"/>
        <w:rPr>
          <w:lang w:val="en-US"/>
        </w:rPr>
      </w:pPr>
      <w:r w:rsidRPr="00BE0FC3">
        <w:rPr>
          <w:b/>
          <w:lang w:val="en-US"/>
        </w:rPr>
        <w:t xml:space="preserve">Figure </w:t>
      </w:r>
      <w:r>
        <w:rPr>
          <w:b/>
          <w:lang w:val="en-US"/>
        </w:rPr>
        <w:t>2</w:t>
      </w:r>
      <w:r w:rsidRPr="00BE0FC3">
        <w:rPr>
          <w:b/>
          <w:lang w:val="en-US"/>
        </w:rPr>
        <w:t>.</w:t>
      </w:r>
      <w:r w:rsidRPr="00BE0FC3">
        <w:rPr>
          <w:lang w:val="en-US"/>
        </w:rPr>
        <w:t xml:space="preserve"> </w:t>
      </w:r>
      <w:r>
        <w:rPr>
          <w:lang w:val="en-US"/>
        </w:rPr>
        <w:t xml:space="preserve">Modelled structures </w:t>
      </w:r>
      <w:r w:rsidR="00F24BB0">
        <w:rPr>
          <w:lang w:val="en-US"/>
        </w:rPr>
        <w:t>of the host-guest complexes of [</w:t>
      </w:r>
      <w:proofErr w:type="gramStart"/>
      <w:r w:rsidR="00F24BB0">
        <w:rPr>
          <w:lang w:val="en-US"/>
        </w:rPr>
        <w:t>3]rotaxane</w:t>
      </w:r>
      <w:proofErr w:type="gramEnd"/>
      <w:r w:rsidR="00F24BB0">
        <w:rPr>
          <w:lang w:val="en-US"/>
        </w:rPr>
        <w:t xml:space="preserve"> </w:t>
      </w:r>
      <w:r w:rsidR="00F24BB0">
        <w:rPr>
          <w:b/>
          <w:lang w:val="en-US"/>
        </w:rPr>
        <w:t>1</w:t>
      </w:r>
      <w:r>
        <w:rPr>
          <w:lang w:val="en-US"/>
        </w:rPr>
        <w:t xml:space="preserve"> </w:t>
      </w:r>
      <w:r w:rsidR="00F24BB0">
        <w:rPr>
          <w:lang w:val="en-US"/>
        </w:rPr>
        <w:t>with a) (</w:t>
      </w:r>
      <w:r w:rsidR="00F24BB0" w:rsidRPr="00F24BB0">
        <w:rPr>
          <w:i/>
          <w:lang w:val="en-US"/>
        </w:rPr>
        <w:t>S</w:t>
      </w:r>
      <w:r w:rsidR="00F24BB0">
        <w:rPr>
          <w:lang w:val="en-US"/>
        </w:rPr>
        <w:t>)-glutamate and b) (</w:t>
      </w:r>
      <w:r w:rsidR="00F24BB0" w:rsidRPr="00F24BB0">
        <w:rPr>
          <w:i/>
          <w:lang w:val="en-US"/>
        </w:rPr>
        <w:t>R</w:t>
      </w:r>
      <w:r w:rsidR="00F24BB0">
        <w:rPr>
          <w:lang w:val="en-US"/>
        </w:rPr>
        <w:t>)-</w:t>
      </w:r>
      <w:r>
        <w:rPr>
          <w:lang w:val="en-US"/>
        </w:rPr>
        <w:t>glutamate.</w:t>
      </w:r>
    </w:p>
    <w:p w14:paraId="32A313D4" w14:textId="061B6970" w:rsidR="0072325F" w:rsidRPr="006E6C76" w:rsidRDefault="0011103B" w:rsidP="00343F00">
      <w:pPr>
        <w:pStyle w:val="P1withoutIndendation"/>
        <w:ind w:firstLine="284"/>
        <w:rPr>
          <w:lang w:val="en-US"/>
        </w:rPr>
      </w:pPr>
      <w:r>
        <w:rPr>
          <w:lang w:val="en-US"/>
        </w:rPr>
        <w:t xml:space="preserve">Modelling of the binding of fumarate compared with maleate suggests that the discrimination between these guests is due to both </w:t>
      </w:r>
      <w:r w:rsidR="00427C16">
        <w:rPr>
          <w:lang w:val="en-US"/>
        </w:rPr>
        <w:t xml:space="preserve">to </w:t>
      </w:r>
      <w:r>
        <w:rPr>
          <w:lang w:val="en-US"/>
        </w:rPr>
        <w:t>size</w:t>
      </w:r>
      <w:r w:rsidR="00427C16">
        <w:rPr>
          <w:lang w:val="en-US"/>
        </w:rPr>
        <w:t>/</w:t>
      </w:r>
      <w:r>
        <w:rPr>
          <w:lang w:val="en-US"/>
        </w:rPr>
        <w:t>shape complementarity and differences in the solvation of the guests bound to the receptor lead</w:t>
      </w:r>
      <w:r w:rsidR="00755FE3">
        <w:rPr>
          <w:lang w:val="en-US"/>
        </w:rPr>
        <w:t>ing</w:t>
      </w:r>
      <w:r>
        <w:rPr>
          <w:lang w:val="en-US"/>
        </w:rPr>
        <w:t xml:space="preserve"> to relative binding constants for </w:t>
      </w:r>
      <w:r w:rsidR="00755FE3">
        <w:rPr>
          <w:lang w:val="en-US"/>
        </w:rPr>
        <w:t xml:space="preserve">fumarate </w:t>
      </w:r>
      <w:r w:rsidR="00755FE3" w:rsidRPr="00BA1B69">
        <w:rPr>
          <w:i/>
          <w:lang w:val="en-US"/>
        </w:rPr>
        <w:t>vs</w:t>
      </w:r>
      <w:r w:rsidR="00755FE3">
        <w:rPr>
          <w:lang w:val="en-US"/>
        </w:rPr>
        <w:t xml:space="preserve"> maleate of 4.4 : 1</w:t>
      </w:r>
      <w:r>
        <w:rPr>
          <w:lang w:val="en-US"/>
        </w:rPr>
        <w:t>. In contrast, the differentiation between the enantiomers of glutamate appears to be driven largely by shape complementarity</w:t>
      </w:r>
      <w:r w:rsidR="00B9221E">
        <w:rPr>
          <w:lang w:val="en-US"/>
        </w:rPr>
        <w:t>;</w:t>
      </w:r>
      <w:r>
        <w:rPr>
          <w:lang w:val="en-US"/>
        </w:rPr>
        <w:t xml:space="preserve"> </w:t>
      </w:r>
      <w:r w:rsidR="00B9221E">
        <w:rPr>
          <w:lang w:val="en-US"/>
        </w:rPr>
        <w:t xml:space="preserve">models (Figure 2) indicate that </w:t>
      </w:r>
      <w:r w:rsidR="00755FE3">
        <w:rPr>
          <w:lang w:val="en-US"/>
        </w:rPr>
        <w:t>(</w:t>
      </w:r>
      <w:r w:rsidR="00B9221E">
        <w:rPr>
          <w:i/>
          <w:lang w:val="en-US"/>
        </w:rPr>
        <w:t>S</w:t>
      </w:r>
      <w:r w:rsidR="00755FE3">
        <w:rPr>
          <w:lang w:val="en-US"/>
        </w:rPr>
        <w:t xml:space="preserve">)-glutamate </w:t>
      </w:r>
      <w:r w:rsidR="00B9221E">
        <w:rPr>
          <w:lang w:val="en-US"/>
        </w:rPr>
        <w:t xml:space="preserve">is </w:t>
      </w:r>
      <w:r w:rsidR="00755FE3">
        <w:rPr>
          <w:lang w:val="en-US"/>
        </w:rPr>
        <w:t>embedded more effectively within the cavity formed between the macrocycles</w:t>
      </w:r>
      <w:r>
        <w:rPr>
          <w:lang w:val="en-US"/>
        </w:rPr>
        <w:t xml:space="preserve"> </w:t>
      </w:r>
      <w:r w:rsidR="00B9221E">
        <w:rPr>
          <w:lang w:val="en-US"/>
        </w:rPr>
        <w:t xml:space="preserve">than (R)-glutamate </w:t>
      </w:r>
      <w:r>
        <w:rPr>
          <w:lang w:val="en-US"/>
        </w:rPr>
        <w:t>lead</w:t>
      </w:r>
      <w:r w:rsidR="00755FE3">
        <w:rPr>
          <w:lang w:val="en-US"/>
        </w:rPr>
        <w:t>ing</w:t>
      </w:r>
      <w:r>
        <w:rPr>
          <w:lang w:val="en-US"/>
        </w:rPr>
        <w:t xml:space="preserve"> to a large relative binding constant of </w:t>
      </w:r>
      <w:r w:rsidR="00BA1B69">
        <w:rPr>
          <w:lang w:val="en-US"/>
        </w:rPr>
        <w:t>5.7</w:t>
      </w:r>
      <w:r>
        <w:rPr>
          <w:lang w:val="en-US"/>
        </w:rPr>
        <w:t xml:space="preserve"> : </w:t>
      </w:r>
      <w:r w:rsidR="00BA1B69">
        <w:rPr>
          <w:lang w:val="en-US"/>
        </w:rPr>
        <w:t>1</w:t>
      </w:r>
      <w:r>
        <w:rPr>
          <w:lang w:val="en-US"/>
        </w:rPr>
        <w:t xml:space="preserve"> for (</w:t>
      </w:r>
      <w:r w:rsidRPr="00BA1B69">
        <w:rPr>
          <w:i/>
          <w:lang w:val="en-US"/>
        </w:rPr>
        <w:t>S</w:t>
      </w:r>
      <w:r w:rsidR="006E6C76">
        <w:rPr>
          <w:lang w:val="en-US"/>
        </w:rPr>
        <w:t>)-</w:t>
      </w:r>
      <w:r w:rsidR="00BA1B69">
        <w:rPr>
          <w:lang w:val="en-US"/>
        </w:rPr>
        <w:t xml:space="preserve"> </w:t>
      </w:r>
      <w:r w:rsidR="00BA1B69" w:rsidRPr="00B9221E">
        <w:rPr>
          <w:i/>
          <w:lang w:val="en-US"/>
        </w:rPr>
        <w:t>vs</w:t>
      </w:r>
      <w:r w:rsidR="00BA1B69">
        <w:rPr>
          <w:lang w:val="en-US"/>
        </w:rPr>
        <w:t xml:space="preserve"> (</w:t>
      </w:r>
      <w:r w:rsidR="00BA1B69" w:rsidRPr="00BA1B69">
        <w:rPr>
          <w:i/>
          <w:lang w:val="en-US"/>
        </w:rPr>
        <w:t>R</w:t>
      </w:r>
      <w:r w:rsidR="00BA1B69">
        <w:rPr>
          <w:lang w:val="en-US"/>
        </w:rPr>
        <w:t>)-</w:t>
      </w:r>
      <w:r w:rsidR="006E6C76">
        <w:rPr>
          <w:lang w:val="en-US"/>
        </w:rPr>
        <w:t>glutamate.</w:t>
      </w:r>
      <w:r w:rsidR="0001035E">
        <w:rPr>
          <w:lang w:val="en-US"/>
        </w:rPr>
        <w:t xml:space="preserve"> </w:t>
      </w:r>
      <w:r w:rsidR="00B903FD">
        <w:rPr>
          <w:lang w:val="en-US"/>
        </w:rPr>
        <w:t>In contrast,</w:t>
      </w:r>
      <w:r>
        <w:rPr>
          <w:lang w:val="en-US"/>
        </w:rPr>
        <w:t xml:space="preserve"> the corresponding non-interlocked axle</w:t>
      </w:r>
      <w:r w:rsidR="00B903FD">
        <w:rPr>
          <w:lang w:val="en-US"/>
        </w:rPr>
        <w:t>,</w:t>
      </w:r>
      <w:r>
        <w:rPr>
          <w:lang w:val="en-US"/>
        </w:rPr>
        <w:t xml:space="preserve"> which contains the same stereo</w:t>
      </w:r>
      <w:r w:rsidR="00AA45F7">
        <w:rPr>
          <w:lang w:val="en-US"/>
        </w:rPr>
        <w:t>-</w:t>
      </w:r>
      <w:r>
        <w:rPr>
          <w:lang w:val="en-US"/>
        </w:rPr>
        <w:t xml:space="preserve">differentiating </w:t>
      </w:r>
      <w:proofErr w:type="spellStart"/>
      <w:r>
        <w:rPr>
          <w:lang w:val="en-US"/>
        </w:rPr>
        <w:t>Binol</w:t>
      </w:r>
      <w:proofErr w:type="spellEnd"/>
      <w:r>
        <w:rPr>
          <w:lang w:val="en-US"/>
        </w:rPr>
        <w:t xml:space="preserve"> unit</w:t>
      </w:r>
      <w:r w:rsidR="00ED59C7">
        <w:rPr>
          <w:lang w:val="en-US"/>
        </w:rPr>
        <w:t xml:space="preserve"> but lacks the constrained binding pocket provided by the macrocycles</w:t>
      </w:r>
      <w:r>
        <w:rPr>
          <w:lang w:val="en-US"/>
        </w:rPr>
        <w:t xml:space="preserve"> underlines the </w:t>
      </w:r>
      <w:r w:rsidR="00CB0841">
        <w:rPr>
          <w:lang w:val="en-US"/>
        </w:rPr>
        <w:t>importance of the mechanical bond</w:t>
      </w:r>
      <w:r w:rsidR="00B903FD">
        <w:rPr>
          <w:lang w:val="en-US"/>
        </w:rPr>
        <w:t>;</w:t>
      </w:r>
      <w:r w:rsidR="00CB0841">
        <w:rPr>
          <w:lang w:val="en-US"/>
        </w:rPr>
        <w:t xml:space="preserve"> </w:t>
      </w:r>
      <w:r w:rsidR="00BA1B69">
        <w:rPr>
          <w:lang w:val="en-US"/>
        </w:rPr>
        <w:t xml:space="preserve">the </w:t>
      </w:r>
      <w:r w:rsidR="00CB0841">
        <w:rPr>
          <w:lang w:val="en-US"/>
        </w:rPr>
        <w:t xml:space="preserve">axle </w:t>
      </w:r>
      <w:r w:rsidR="00B903FD">
        <w:rPr>
          <w:lang w:val="en-US"/>
        </w:rPr>
        <w:t>does not</w:t>
      </w:r>
      <w:r w:rsidR="00BA1B69">
        <w:rPr>
          <w:lang w:val="en-US"/>
        </w:rPr>
        <w:t xml:space="preserve"> differentiate between the enantiomers of glutamate, which have essentially the same binding constants.</w:t>
      </w:r>
    </w:p>
    <w:p w14:paraId="3C018DA0" w14:textId="79ED2DAF" w:rsidR="00DA0FD0" w:rsidRDefault="00C51015" w:rsidP="00B05132">
      <w:pPr>
        <w:pStyle w:val="P1withoutIndendation"/>
        <w:ind w:firstLine="284"/>
        <w:rPr>
          <w:lang w:val="en-US"/>
        </w:rPr>
      </w:pPr>
      <w:r>
        <w:rPr>
          <w:lang w:val="en-US"/>
        </w:rPr>
        <w:t>This work, combined with previous work from the same authors that employed a simpler [</w:t>
      </w:r>
      <w:proofErr w:type="gramStart"/>
      <w:r>
        <w:rPr>
          <w:lang w:val="en-US"/>
        </w:rPr>
        <w:t>2]rotaxane</w:t>
      </w:r>
      <w:proofErr w:type="gramEnd"/>
      <w:r w:rsidR="001679F8">
        <w:rPr>
          <w:vertAlign w:val="superscript"/>
          <w:lang w:val="en-US"/>
        </w:rPr>
        <w:t>[</w:t>
      </w:r>
      <w:r w:rsidR="001679F8">
        <w:rPr>
          <w:rStyle w:val="EndnoteReference"/>
          <w:lang w:val="en-US"/>
        </w:rPr>
        <w:endnoteReference w:id="9"/>
      </w:r>
      <w:r w:rsidR="001679F8">
        <w:rPr>
          <w:vertAlign w:val="superscript"/>
          <w:lang w:val="en-US"/>
        </w:rPr>
        <w:t>]</w:t>
      </w:r>
      <w:r>
        <w:rPr>
          <w:lang w:val="en-US"/>
        </w:rPr>
        <w:t xml:space="preserve"> and a report from </w:t>
      </w:r>
      <w:proofErr w:type="spellStart"/>
      <w:r>
        <w:rPr>
          <w:lang w:val="en-US"/>
        </w:rPr>
        <w:t>Niememe</w:t>
      </w:r>
      <w:r w:rsidR="001600DA">
        <w:rPr>
          <w:lang w:val="en-US"/>
        </w:rPr>
        <w:t>ye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and co-workers </w:t>
      </w:r>
      <w:r w:rsidR="001679F8">
        <w:rPr>
          <w:lang w:val="en-US"/>
        </w:rPr>
        <w:t>who demonstrated a</w:t>
      </w:r>
      <w:r>
        <w:rPr>
          <w:lang w:val="en-US"/>
        </w:rPr>
        <w:t xml:space="preserve"> </w:t>
      </w:r>
      <w:proofErr w:type="spellStart"/>
      <w:r w:rsidR="001679F8">
        <w:rPr>
          <w:lang w:val="en-US"/>
        </w:rPr>
        <w:t>Binol</w:t>
      </w:r>
      <w:proofErr w:type="spellEnd"/>
      <w:r w:rsidR="001679F8">
        <w:rPr>
          <w:lang w:val="en-US"/>
        </w:rPr>
        <w:t>-based [2]</w:t>
      </w:r>
      <w:r>
        <w:rPr>
          <w:lang w:val="en-US"/>
        </w:rPr>
        <w:t xml:space="preserve">catenane host for </w:t>
      </w:r>
      <w:proofErr w:type="spellStart"/>
      <w:r>
        <w:rPr>
          <w:lang w:val="en-US"/>
        </w:rPr>
        <w:t>dianionic</w:t>
      </w:r>
      <w:proofErr w:type="spellEnd"/>
      <w:r>
        <w:rPr>
          <w:lang w:val="en-US"/>
        </w:rPr>
        <w:t xml:space="preserve"> guests,</w:t>
      </w:r>
      <w:r w:rsidR="001679F8">
        <w:rPr>
          <w:vertAlign w:val="superscript"/>
          <w:lang w:val="en-US"/>
        </w:rPr>
        <w:t>[</w:t>
      </w:r>
      <w:r w:rsidR="001679F8">
        <w:rPr>
          <w:rStyle w:val="EndnoteReference"/>
          <w:lang w:val="en-US"/>
        </w:rPr>
        <w:endnoteReference w:id="10"/>
      </w:r>
      <w:r w:rsidR="001679F8">
        <w:rPr>
          <w:vertAlign w:val="superscript"/>
          <w:lang w:val="en-US"/>
        </w:rPr>
        <w:t>]</w:t>
      </w:r>
      <w:r w:rsidR="001679F8">
        <w:rPr>
          <w:lang w:val="en-US"/>
        </w:rPr>
        <w:t xml:space="preserve"> </w:t>
      </w:r>
      <w:r>
        <w:rPr>
          <w:lang w:val="en-US"/>
        </w:rPr>
        <w:t xml:space="preserve"> underlines the unexploited potential of interlocked molecules </w:t>
      </w:r>
      <w:r w:rsidR="001679F8">
        <w:rPr>
          <w:lang w:val="en-US"/>
        </w:rPr>
        <w:t>as scaffolds for the development of enantioselective hosts and related sensors.</w:t>
      </w:r>
      <w:r w:rsidR="00C82850">
        <w:rPr>
          <w:lang w:val="en-US"/>
        </w:rPr>
        <w:t xml:space="preserve"> </w:t>
      </w:r>
      <w:r w:rsidR="00B775BD">
        <w:rPr>
          <w:lang w:val="en-US"/>
        </w:rPr>
        <w:t>Furthermore,</w:t>
      </w:r>
      <w:r w:rsidR="00DD332C">
        <w:rPr>
          <w:lang w:val="en-US"/>
        </w:rPr>
        <w:t xml:space="preserve"> whereas the stereochemistry of </w:t>
      </w:r>
      <w:r w:rsidR="003E3B92">
        <w:rPr>
          <w:lang w:val="en-US"/>
        </w:rPr>
        <w:t xml:space="preserve">[3]rotaxane </w:t>
      </w:r>
      <w:r w:rsidR="00DD332C">
        <w:rPr>
          <w:b/>
          <w:lang w:val="en-US"/>
        </w:rPr>
        <w:t>1</w:t>
      </w:r>
      <w:r w:rsidR="00DD332C">
        <w:rPr>
          <w:lang w:val="en-US"/>
        </w:rPr>
        <w:t xml:space="preserve"> can </w:t>
      </w:r>
      <w:r w:rsidR="00DD332C">
        <w:rPr>
          <w:lang w:val="en-US"/>
        </w:rPr>
        <w:t xml:space="preserve">be attributed to the </w:t>
      </w:r>
      <w:proofErr w:type="spellStart"/>
      <w:r w:rsidR="00DA0FD0">
        <w:rPr>
          <w:lang w:val="en-US"/>
        </w:rPr>
        <w:t>B</w:t>
      </w:r>
      <w:r w:rsidR="00DD332C">
        <w:rPr>
          <w:lang w:val="en-US"/>
        </w:rPr>
        <w:t>inol</w:t>
      </w:r>
      <w:proofErr w:type="spellEnd"/>
      <w:r w:rsidR="00DD332C">
        <w:rPr>
          <w:lang w:val="en-US"/>
        </w:rPr>
        <w:t xml:space="preserve"> covalent axial stereogenic unit, interlocked molecules have the potential to display chirality purely as a result of their mechanical </w:t>
      </w:r>
      <w:r w:rsidR="00233616">
        <w:rPr>
          <w:lang w:val="en-US"/>
        </w:rPr>
        <w:t>structure, including mechanical planar</w:t>
      </w:r>
      <w:r w:rsidR="001600DA">
        <w:rPr>
          <w:vertAlign w:val="superscript"/>
          <w:lang w:val="en-US"/>
        </w:rPr>
        <w:t>[</w:t>
      </w:r>
      <w:r w:rsidR="001600DA">
        <w:rPr>
          <w:rStyle w:val="EndnoteReference"/>
          <w:lang w:val="en-US"/>
        </w:rPr>
        <w:endnoteReference w:id="11"/>
      </w:r>
      <w:r w:rsidR="001600DA">
        <w:rPr>
          <w:vertAlign w:val="superscript"/>
          <w:lang w:val="en-US"/>
        </w:rPr>
        <w:t>]</w:t>
      </w:r>
      <w:r w:rsidR="00DA0FD0" w:rsidRPr="00DA0FD0">
        <w:rPr>
          <w:lang w:val="en-US"/>
        </w:rPr>
        <w:t>,</w:t>
      </w:r>
      <w:r w:rsidR="00DA0FD0">
        <w:rPr>
          <w:lang w:val="en-US"/>
        </w:rPr>
        <w:t xml:space="preserve"> </w:t>
      </w:r>
      <w:r w:rsidR="00233616">
        <w:rPr>
          <w:lang w:val="en-US"/>
        </w:rPr>
        <w:t>topological</w:t>
      </w:r>
      <w:r w:rsidR="008D08C2">
        <w:rPr>
          <w:vertAlign w:val="superscript"/>
          <w:lang w:val="en-US"/>
        </w:rPr>
        <w:t>[</w:t>
      </w:r>
      <w:r w:rsidR="008D08C2">
        <w:rPr>
          <w:rStyle w:val="EndnoteReference"/>
          <w:lang w:val="en-US"/>
        </w:rPr>
        <w:endnoteReference w:id="12"/>
      </w:r>
      <w:r w:rsidR="008D08C2">
        <w:rPr>
          <w:vertAlign w:val="superscript"/>
          <w:lang w:val="en-US"/>
        </w:rPr>
        <w:t>]</w:t>
      </w:r>
      <w:r w:rsidR="00233616">
        <w:rPr>
          <w:lang w:val="en-US"/>
        </w:rPr>
        <w:t xml:space="preserve"> or mechanical axial</w:t>
      </w:r>
      <w:r w:rsidR="008D08C2">
        <w:rPr>
          <w:vertAlign w:val="superscript"/>
          <w:lang w:val="en-US"/>
        </w:rPr>
        <w:t>[</w:t>
      </w:r>
      <w:r w:rsidR="008D08C2">
        <w:rPr>
          <w:rStyle w:val="EndnoteReference"/>
          <w:lang w:val="en-US"/>
        </w:rPr>
        <w:endnoteReference w:id="13"/>
      </w:r>
      <w:r w:rsidR="008D08C2">
        <w:rPr>
          <w:vertAlign w:val="superscript"/>
          <w:lang w:val="en-US"/>
        </w:rPr>
        <w:t>]</w:t>
      </w:r>
      <w:r w:rsidR="00DA0FD0">
        <w:rPr>
          <w:lang w:val="en-US"/>
        </w:rPr>
        <w:t xml:space="preserve"> chirality.</w:t>
      </w:r>
      <w:r w:rsidR="00DA0FD0">
        <w:rPr>
          <w:vertAlign w:val="superscript"/>
          <w:lang w:val="en-US"/>
        </w:rPr>
        <w:t>[</w:t>
      </w:r>
      <w:r w:rsidR="00DA0FD0">
        <w:rPr>
          <w:rStyle w:val="EndnoteReference"/>
          <w:lang w:val="en-US"/>
        </w:rPr>
        <w:endnoteReference w:id="14"/>
      </w:r>
      <w:r w:rsidR="00DA0FD0">
        <w:rPr>
          <w:vertAlign w:val="superscript"/>
          <w:lang w:val="en-US"/>
        </w:rPr>
        <w:t>]</w:t>
      </w:r>
      <w:r w:rsidR="00DA0FD0">
        <w:rPr>
          <w:lang w:val="en-US"/>
        </w:rPr>
        <w:t xml:space="preserve"> </w:t>
      </w:r>
      <w:r w:rsidR="00905C77">
        <w:rPr>
          <w:lang w:val="en-US"/>
        </w:rPr>
        <w:t>These unusual forms of stereochemistry have</w:t>
      </w:r>
      <w:r w:rsidR="00DD332C">
        <w:rPr>
          <w:lang w:val="en-US"/>
        </w:rPr>
        <w:t xml:space="preserve"> the potential to generate a well-defined chiral environment in which the </w:t>
      </w:r>
      <w:r w:rsidR="00905C77">
        <w:rPr>
          <w:lang w:val="en-US"/>
        </w:rPr>
        <w:t>molecular chirality is the result of a stereogenic unit that involves the entire structure.</w:t>
      </w:r>
      <w:r w:rsidR="00DD332C">
        <w:rPr>
          <w:lang w:val="en-US"/>
        </w:rPr>
        <w:t xml:space="preserve"> </w:t>
      </w:r>
    </w:p>
    <w:p w14:paraId="41C05746" w14:textId="6592D262" w:rsidR="00DD332C" w:rsidRDefault="00B775BD" w:rsidP="00DD332C">
      <w:pPr>
        <w:pStyle w:val="P1withIndendation"/>
        <w:rPr>
          <w:lang w:val="en-US"/>
        </w:rPr>
      </w:pPr>
      <w:r>
        <w:rPr>
          <w:lang w:val="en-US"/>
        </w:rPr>
        <w:t xml:space="preserve">In conclusion, the highly </w:t>
      </w:r>
      <w:proofErr w:type="spellStart"/>
      <w:r>
        <w:rPr>
          <w:lang w:val="en-US"/>
        </w:rPr>
        <w:t>stereoselective</w:t>
      </w:r>
      <w:proofErr w:type="spellEnd"/>
      <w:r>
        <w:rPr>
          <w:lang w:val="en-US"/>
        </w:rPr>
        <w:t xml:space="preserve"> binding of the stereoisomers studied to [</w:t>
      </w:r>
      <w:proofErr w:type="gramStart"/>
      <w:r>
        <w:rPr>
          <w:lang w:val="en-US"/>
        </w:rPr>
        <w:t>3]rotaxane</w:t>
      </w:r>
      <w:proofErr w:type="gramEnd"/>
      <w:r>
        <w:rPr>
          <w:lang w:val="en-US"/>
        </w:rPr>
        <w:t xml:space="preserve"> </w:t>
      </w:r>
      <w:r>
        <w:rPr>
          <w:b/>
          <w:lang w:val="en-US"/>
        </w:rPr>
        <w:t xml:space="preserve">1 </w:t>
      </w:r>
      <w:r>
        <w:rPr>
          <w:lang w:val="en-US"/>
        </w:rPr>
        <w:t xml:space="preserve">suggest that the use of the mechanical bond to engineer a binding pocket has long term potential for the development of </w:t>
      </w:r>
      <w:proofErr w:type="spellStart"/>
      <w:r>
        <w:rPr>
          <w:lang w:val="en-US"/>
        </w:rPr>
        <w:t>stereoselective</w:t>
      </w:r>
      <w:proofErr w:type="spellEnd"/>
      <w:r>
        <w:rPr>
          <w:lang w:val="en-US"/>
        </w:rPr>
        <w:t xml:space="preserve"> hosts. </w:t>
      </w:r>
      <w:r w:rsidR="00DD332C">
        <w:rPr>
          <w:lang w:val="en-US"/>
        </w:rPr>
        <w:t>Given the relative i</w:t>
      </w:r>
      <w:r w:rsidR="00233616">
        <w:rPr>
          <w:lang w:val="en-US"/>
        </w:rPr>
        <w:t>nfancy of</w:t>
      </w:r>
      <w:r w:rsidR="00905C77">
        <w:rPr>
          <w:lang w:val="en-US"/>
        </w:rPr>
        <w:t xml:space="preserve"> </w:t>
      </w:r>
      <w:proofErr w:type="spellStart"/>
      <w:r w:rsidR="001600DA">
        <w:rPr>
          <w:lang w:val="en-US"/>
        </w:rPr>
        <w:t>stereoselective</w:t>
      </w:r>
      <w:proofErr w:type="spellEnd"/>
      <w:r w:rsidR="001600DA">
        <w:rPr>
          <w:lang w:val="en-US"/>
        </w:rPr>
        <w:t xml:space="preserve"> binding and sensing by interlocked molecules and the wealth of unexplored stereochemical properties available for study, the work by Beer and co-workers suggests a bright future for interlocked molecules in the development of hosts for challenging applications</w:t>
      </w:r>
      <w:r w:rsidR="003E3B92">
        <w:rPr>
          <w:lang w:val="en-US"/>
        </w:rPr>
        <w:t xml:space="preserve">, in addition to the established role of rotaxanes and catenanes in the development of molecular </w:t>
      </w:r>
      <w:proofErr w:type="gramStart"/>
      <w:r w:rsidR="003E3B92">
        <w:rPr>
          <w:lang w:val="en-US"/>
        </w:rPr>
        <w:t>machines</w:t>
      </w:r>
      <w:r w:rsidR="001600DA">
        <w:rPr>
          <w:lang w:val="en-US"/>
        </w:rPr>
        <w:t>.</w:t>
      </w:r>
      <w:r w:rsidR="003E3B92">
        <w:rPr>
          <w:vertAlign w:val="superscript"/>
          <w:lang w:val="en-US"/>
        </w:rPr>
        <w:t>[</w:t>
      </w:r>
      <w:proofErr w:type="gramEnd"/>
      <w:r w:rsidR="003E3B92">
        <w:rPr>
          <w:rStyle w:val="EndnoteReference"/>
          <w:lang w:val="en-US"/>
        </w:rPr>
        <w:endnoteReference w:id="15"/>
      </w:r>
      <w:r w:rsidR="003E3B92">
        <w:rPr>
          <w:vertAlign w:val="superscript"/>
          <w:lang w:val="en-US"/>
        </w:rPr>
        <w:t>]</w:t>
      </w:r>
    </w:p>
    <w:p w14:paraId="73ABF111" w14:textId="5F1B021D" w:rsidR="00233616" w:rsidRPr="00BE0FC3" w:rsidRDefault="00B775BD" w:rsidP="00233616">
      <w:pPr>
        <w:spacing w:before="360"/>
        <w:rPr>
          <w:rFonts w:ascii="Arial" w:hAnsi="Arial" w:cs="Arial"/>
          <w:color w:val="FF0000"/>
          <w:sz w:val="14"/>
          <w:szCs w:val="16"/>
          <w:lang w:val="en-US"/>
        </w:rPr>
      </w:pPr>
      <w:r>
        <w:rPr>
          <w:rFonts w:ascii="Arial" w:hAnsi="Arial" w:cs="Arial"/>
          <w:noProof/>
          <w:color w:val="FF0000"/>
          <w:sz w:val="14"/>
          <w:szCs w:val="16"/>
          <w:lang w:val="en-GB" w:eastAsia="en-GB"/>
        </w:rPr>
        <w:drawing>
          <wp:inline distT="0" distB="0" distL="0" distR="0" wp14:anchorId="2A2CF00C" wp14:editId="36743369">
            <wp:extent cx="3093720" cy="649224"/>
            <wp:effectExtent l="0" t="0" r="508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3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0D77" w14:textId="0A6C5610" w:rsidR="00233616" w:rsidRDefault="00233616" w:rsidP="00233616">
      <w:pPr>
        <w:pStyle w:val="FigureCaption"/>
        <w:rPr>
          <w:lang w:val="en-US"/>
        </w:rPr>
      </w:pPr>
      <w:r w:rsidRPr="00BE0FC3">
        <w:rPr>
          <w:b/>
          <w:lang w:val="en-US"/>
        </w:rPr>
        <w:t xml:space="preserve">Figure </w:t>
      </w:r>
      <w:r>
        <w:rPr>
          <w:b/>
          <w:lang w:val="en-US"/>
        </w:rPr>
        <w:t>3</w:t>
      </w:r>
      <w:r w:rsidRPr="00BE0FC3">
        <w:rPr>
          <w:b/>
          <w:lang w:val="en-US"/>
        </w:rPr>
        <w:t>.</w:t>
      </w:r>
      <w:r w:rsidRPr="00BE0FC3">
        <w:rPr>
          <w:lang w:val="en-US"/>
        </w:rPr>
        <w:t xml:space="preserve"> </w:t>
      </w:r>
      <w:r w:rsidR="00D45492">
        <w:rPr>
          <w:lang w:val="en-US"/>
        </w:rPr>
        <w:t>Schematic structures of examples of m</w:t>
      </w:r>
      <w:r>
        <w:rPr>
          <w:lang w:val="en-US"/>
        </w:rPr>
        <w:t>echanical stereogenic units</w:t>
      </w:r>
      <w:r w:rsidR="00D45492">
        <w:rPr>
          <w:lang w:val="en-US"/>
        </w:rPr>
        <w:t xml:space="preserve"> that lead to molecular chirality even when the covalent subcomponents are achiral: a) mechanical planar chiral rotaxane; b) topologically chiral catenane’ c) mechanically axially chiral catenane.</w:t>
      </w:r>
    </w:p>
    <w:p w14:paraId="468C288B" w14:textId="0742410C" w:rsidR="00E4350D" w:rsidRPr="00BE0FC3" w:rsidRDefault="00014AF3" w:rsidP="00BD63F6">
      <w:pPr>
        <w:pStyle w:val="HAcknowledgements"/>
        <w:outlineLvl w:val="0"/>
        <w:rPr>
          <w:color w:val="FF0000"/>
          <w:lang w:val="en-US"/>
        </w:rPr>
      </w:pPr>
      <w:r>
        <w:rPr>
          <w:lang w:val="en-US"/>
        </w:rPr>
        <w:t>Acknowledgements</w:t>
      </w:r>
    </w:p>
    <w:p w14:paraId="09FC35F7" w14:textId="6932EFBA" w:rsidR="00E4350D" w:rsidRPr="00BE0FC3" w:rsidRDefault="00014AF3" w:rsidP="00EB27E9">
      <w:pPr>
        <w:pStyle w:val="Acknowledgements"/>
        <w:rPr>
          <w:lang w:val="en-US"/>
        </w:rPr>
      </w:pPr>
      <w:r>
        <w:rPr>
          <w:lang w:val="en-US"/>
        </w:rPr>
        <w:t>MD thanks the EPSRC and University of Southampton for a Doctoral Prize Fellowship. SMG acknowledges support from the European Research Council (</w:t>
      </w:r>
      <w:r w:rsidR="00B903FD" w:rsidRPr="00683741">
        <w:rPr>
          <w:lang w:val="en-US"/>
        </w:rPr>
        <w:t>Consolidator Grant Agreement no. 724987)</w:t>
      </w:r>
      <w:r>
        <w:rPr>
          <w:lang w:val="en-US"/>
        </w:rPr>
        <w:t>.</w:t>
      </w:r>
    </w:p>
    <w:p w14:paraId="25B51024" w14:textId="587AC3E0" w:rsidR="00A33868" w:rsidRPr="00BE0FC3" w:rsidRDefault="00F45722" w:rsidP="00ED59C7">
      <w:pPr>
        <w:pStyle w:val="Keywords"/>
        <w:rPr>
          <w:lang w:val="en-US"/>
        </w:rPr>
      </w:pPr>
      <w:r w:rsidRPr="00BE0FC3">
        <w:rPr>
          <w:b/>
          <w:lang w:val="en-US"/>
        </w:rPr>
        <w:t>Keywords:</w:t>
      </w:r>
      <w:r w:rsidRPr="00BE0FC3">
        <w:rPr>
          <w:lang w:val="en-US"/>
        </w:rPr>
        <w:t xml:space="preserve"> </w:t>
      </w:r>
      <w:r w:rsidR="00ED59C7">
        <w:rPr>
          <w:lang w:val="en-US"/>
        </w:rPr>
        <w:t>rotaxane</w:t>
      </w:r>
      <w:r w:rsidRPr="00BE0FC3">
        <w:rPr>
          <w:lang w:val="en-US"/>
        </w:rPr>
        <w:t xml:space="preserve"> • </w:t>
      </w:r>
      <w:proofErr w:type="spellStart"/>
      <w:r w:rsidR="00ED59C7">
        <w:rPr>
          <w:lang w:val="en-US"/>
        </w:rPr>
        <w:t>stereoselective</w:t>
      </w:r>
      <w:proofErr w:type="spellEnd"/>
      <w:r w:rsidRPr="00BE0FC3">
        <w:rPr>
          <w:lang w:val="en-US"/>
        </w:rPr>
        <w:t xml:space="preserve"> • </w:t>
      </w:r>
      <w:r w:rsidR="00AA14F4">
        <w:rPr>
          <w:lang w:val="en-US"/>
        </w:rPr>
        <w:t>anions</w:t>
      </w:r>
      <w:r w:rsidRPr="00BE0FC3">
        <w:rPr>
          <w:lang w:val="en-US"/>
        </w:rPr>
        <w:t xml:space="preserve"> • </w:t>
      </w:r>
      <w:r w:rsidR="00AA14F4">
        <w:rPr>
          <w:lang w:val="en-US"/>
        </w:rPr>
        <w:t>host-guest</w:t>
      </w:r>
      <w:r w:rsidRPr="00BE0FC3">
        <w:rPr>
          <w:lang w:val="en-US"/>
        </w:rPr>
        <w:t xml:space="preserve"> • </w:t>
      </w:r>
      <w:r w:rsidR="00AA14F4">
        <w:rPr>
          <w:lang w:val="en-US"/>
        </w:rPr>
        <w:t>supramolecular</w:t>
      </w:r>
    </w:p>
    <w:p w14:paraId="5B26DFC3" w14:textId="77777777" w:rsidR="00773C4B" w:rsidRPr="00BE0FC3" w:rsidRDefault="00773C4B" w:rsidP="00773C4B">
      <w:pPr>
        <w:rPr>
          <w:lang w:val="en-US"/>
        </w:rPr>
        <w:sectPr w:rsidR="00773C4B" w:rsidRPr="00BE0FC3" w:rsidSect="000D37AC">
          <w:endnotePr>
            <w:numFmt w:val="decimal"/>
          </w:endnotePr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7D631C0B" w14:textId="77777777" w:rsidR="00773C4B" w:rsidRPr="00BE0FC3" w:rsidRDefault="00773C4B" w:rsidP="00773C4B">
      <w:pPr>
        <w:rPr>
          <w:bCs/>
          <w:lang w:val="en-US"/>
        </w:rPr>
      </w:pPr>
    </w:p>
    <w:sectPr w:rsidR="00773C4B" w:rsidRPr="00BE0FC3" w:rsidSect="00B6605E">
      <w:type w:val="continuous"/>
      <w:pgSz w:w="11906" w:h="16838" w:code="9"/>
      <w:pgMar w:top="1134" w:right="936" w:bottom="1134" w:left="936" w:header="1021" w:footer="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910A6" w14:textId="77777777" w:rsidR="008706FC" w:rsidRDefault="008706FC"/>
  </w:endnote>
  <w:endnote w:type="continuationSeparator" w:id="0">
    <w:p w14:paraId="5F300D23" w14:textId="77777777" w:rsidR="008706FC" w:rsidRDefault="008706FC"/>
  </w:endnote>
  <w:endnote w:type="continuationNotice" w:id="1">
    <w:p w14:paraId="09EB6283" w14:textId="77777777" w:rsidR="008706FC" w:rsidRDefault="008706FC"/>
  </w:endnote>
  <w:endnote w:id="2">
    <w:p w14:paraId="087EEAF1" w14:textId="54A9D1EE" w:rsidR="005F37AE" w:rsidRPr="00644F78" w:rsidRDefault="005F37AE" w:rsidP="005F37AE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1740A6" w:rsidRPr="001740A6">
        <w:t xml:space="preserve">W. S. Knowles, </w:t>
      </w:r>
      <w:proofErr w:type="spellStart"/>
      <w:r w:rsidR="001740A6">
        <w:rPr>
          <w:i/>
          <w:iCs/>
        </w:rPr>
        <w:t>Angew</w:t>
      </w:r>
      <w:proofErr w:type="spellEnd"/>
      <w:r w:rsidR="001740A6">
        <w:rPr>
          <w:i/>
          <w:iCs/>
        </w:rPr>
        <w:t>. Chem. Int. E</w:t>
      </w:r>
      <w:r w:rsidR="001740A6" w:rsidRPr="001740A6">
        <w:rPr>
          <w:i/>
          <w:iCs/>
        </w:rPr>
        <w:t>d.</w:t>
      </w:r>
      <w:r w:rsidR="001740A6" w:rsidRPr="001740A6">
        <w:t xml:space="preserve"> </w:t>
      </w:r>
      <w:r w:rsidR="001740A6" w:rsidRPr="001740A6">
        <w:rPr>
          <w:b/>
          <w:bCs/>
        </w:rPr>
        <w:t>2002</w:t>
      </w:r>
      <w:r w:rsidR="001740A6" w:rsidRPr="001740A6">
        <w:t xml:space="preserve">, </w:t>
      </w:r>
      <w:r w:rsidR="001740A6" w:rsidRPr="001740A6">
        <w:rPr>
          <w:i/>
          <w:iCs/>
        </w:rPr>
        <w:t>41</w:t>
      </w:r>
      <w:r w:rsidR="001740A6" w:rsidRPr="001740A6">
        <w:t>, 1998–2007.</w:t>
      </w:r>
      <w:r w:rsidR="001740A6">
        <w:t xml:space="preserve"> </w:t>
      </w:r>
      <w:r w:rsidR="00B6605E" w:rsidRPr="00B6605E">
        <w:t xml:space="preserve">R. </w:t>
      </w:r>
      <w:proofErr w:type="spellStart"/>
      <w:r w:rsidR="00B6605E" w:rsidRPr="00B6605E">
        <w:t>Noyori</w:t>
      </w:r>
      <w:proofErr w:type="spellEnd"/>
      <w:r w:rsidR="00B6605E" w:rsidRPr="00B6605E">
        <w:t xml:space="preserve">, </w:t>
      </w:r>
      <w:proofErr w:type="spellStart"/>
      <w:r w:rsidR="00B6605E" w:rsidRPr="00B6605E">
        <w:rPr>
          <w:i/>
          <w:iCs/>
        </w:rPr>
        <w:t>Angew</w:t>
      </w:r>
      <w:proofErr w:type="spellEnd"/>
      <w:r w:rsidR="00B6605E" w:rsidRPr="00B6605E">
        <w:rPr>
          <w:i/>
          <w:iCs/>
        </w:rPr>
        <w:t>. Chem. Int. Ed.</w:t>
      </w:r>
      <w:r w:rsidR="00B6605E" w:rsidRPr="00B6605E">
        <w:t xml:space="preserve"> </w:t>
      </w:r>
      <w:r w:rsidR="00B6605E" w:rsidRPr="00B6605E">
        <w:rPr>
          <w:b/>
          <w:bCs/>
        </w:rPr>
        <w:t>2002</w:t>
      </w:r>
      <w:r w:rsidR="00B6605E" w:rsidRPr="00B6605E">
        <w:t xml:space="preserve">, </w:t>
      </w:r>
      <w:r w:rsidR="00B6605E" w:rsidRPr="00B6605E">
        <w:rPr>
          <w:i/>
          <w:iCs/>
        </w:rPr>
        <w:t>41</w:t>
      </w:r>
      <w:r w:rsidR="00B6605E" w:rsidRPr="00B6605E">
        <w:t>, 2008–2022.</w:t>
      </w:r>
      <w:r w:rsidR="00B6605E">
        <w:t xml:space="preserve"> </w:t>
      </w:r>
      <w:r w:rsidR="00A87089" w:rsidRPr="00A87089">
        <w:t xml:space="preserve">K. B. </w:t>
      </w:r>
      <w:proofErr w:type="spellStart"/>
      <w:r w:rsidR="00A87089" w:rsidRPr="00A87089">
        <w:t>Sharpless</w:t>
      </w:r>
      <w:proofErr w:type="spellEnd"/>
      <w:r w:rsidR="00A87089" w:rsidRPr="00A87089">
        <w:t xml:space="preserve">, </w:t>
      </w:r>
      <w:proofErr w:type="spellStart"/>
      <w:r w:rsidR="001740A6">
        <w:rPr>
          <w:i/>
          <w:iCs/>
        </w:rPr>
        <w:t>Angew</w:t>
      </w:r>
      <w:proofErr w:type="spellEnd"/>
      <w:r w:rsidR="001740A6">
        <w:rPr>
          <w:i/>
          <w:iCs/>
        </w:rPr>
        <w:t>. Chem.</w:t>
      </w:r>
      <w:r w:rsidR="00A87089" w:rsidRPr="00A87089">
        <w:rPr>
          <w:i/>
          <w:iCs/>
        </w:rPr>
        <w:t xml:space="preserve"> Int. Ed.</w:t>
      </w:r>
      <w:r w:rsidR="00A87089" w:rsidRPr="00A87089">
        <w:t xml:space="preserve"> </w:t>
      </w:r>
      <w:r w:rsidR="00A87089" w:rsidRPr="00A87089">
        <w:rPr>
          <w:b/>
          <w:bCs/>
        </w:rPr>
        <w:t>2002</w:t>
      </w:r>
      <w:r w:rsidR="00A87089" w:rsidRPr="00A87089">
        <w:t xml:space="preserve">, </w:t>
      </w:r>
      <w:r w:rsidR="00A87089" w:rsidRPr="00A87089">
        <w:rPr>
          <w:i/>
          <w:iCs/>
        </w:rPr>
        <w:t>41</w:t>
      </w:r>
      <w:r w:rsidR="00A87089" w:rsidRPr="00A87089">
        <w:t>, 2024.</w:t>
      </w:r>
      <w:r w:rsidRPr="00644F78">
        <w:rPr>
          <w:lang w:val="en-US"/>
        </w:rPr>
        <w:t xml:space="preserve"> </w:t>
      </w:r>
    </w:p>
  </w:endnote>
  <w:endnote w:id="3">
    <w:p w14:paraId="7F6DC473" w14:textId="11173AF5" w:rsidR="00014AF3" w:rsidRPr="00644F78" w:rsidRDefault="00014AF3" w:rsidP="00014AF3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D04367" w:rsidRPr="00D04367">
        <w:t xml:space="preserve">K. D. Collins, T. </w:t>
      </w:r>
      <w:proofErr w:type="spellStart"/>
      <w:r w:rsidR="00D04367" w:rsidRPr="00D04367">
        <w:t>Gensch</w:t>
      </w:r>
      <w:proofErr w:type="spellEnd"/>
      <w:r w:rsidR="00D04367" w:rsidRPr="00D04367">
        <w:t xml:space="preserve">, F. </w:t>
      </w:r>
      <w:proofErr w:type="spellStart"/>
      <w:r w:rsidR="00D04367" w:rsidRPr="00D04367">
        <w:t>Glorius</w:t>
      </w:r>
      <w:proofErr w:type="spellEnd"/>
      <w:r w:rsidR="00D04367" w:rsidRPr="00D04367">
        <w:t xml:space="preserve">, </w:t>
      </w:r>
      <w:r w:rsidR="00D04367" w:rsidRPr="00D04367">
        <w:rPr>
          <w:i/>
          <w:iCs/>
        </w:rPr>
        <w:t>Nat. Chem.</w:t>
      </w:r>
      <w:r w:rsidR="00D04367" w:rsidRPr="00D04367">
        <w:t xml:space="preserve"> </w:t>
      </w:r>
      <w:r w:rsidR="00D04367" w:rsidRPr="00D04367">
        <w:rPr>
          <w:b/>
          <w:bCs/>
        </w:rPr>
        <w:t>2014</w:t>
      </w:r>
      <w:r w:rsidR="00D04367" w:rsidRPr="00D04367">
        <w:t xml:space="preserve">, </w:t>
      </w:r>
      <w:r w:rsidR="00D04367" w:rsidRPr="00D04367">
        <w:rPr>
          <w:i/>
          <w:iCs/>
        </w:rPr>
        <w:t>6</w:t>
      </w:r>
      <w:r w:rsidR="00D04367" w:rsidRPr="00D04367">
        <w:t>, 859–871.</w:t>
      </w:r>
      <w:r w:rsidRPr="00644F78">
        <w:rPr>
          <w:lang w:val="en-US"/>
        </w:rPr>
        <w:t xml:space="preserve"> </w:t>
      </w:r>
    </w:p>
  </w:endnote>
  <w:endnote w:id="4">
    <w:p w14:paraId="1AE34AA6" w14:textId="4749300C" w:rsidR="00014AF3" w:rsidRPr="00644F78" w:rsidRDefault="00014AF3" w:rsidP="00014AF3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B05132" w:rsidRPr="00B05132">
        <w:t xml:space="preserve">H. H. Jo, C. Y. Lin, E. V. </w:t>
      </w:r>
      <w:proofErr w:type="spellStart"/>
      <w:r w:rsidR="00B05132" w:rsidRPr="00B05132">
        <w:t>Anslyn</w:t>
      </w:r>
      <w:proofErr w:type="spellEnd"/>
      <w:r w:rsidR="00B05132" w:rsidRPr="00B05132">
        <w:t xml:space="preserve">, </w:t>
      </w:r>
      <w:r w:rsidR="00B05132" w:rsidRPr="00B05132">
        <w:rPr>
          <w:i/>
          <w:iCs/>
        </w:rPr>
        <w:t>Acc. Chem. Res.</w:t>
      </w:r>
      <w:r w:rsidR="00B05132" w:rsidRPr="00B05132">
        <w:t xml:space="preserve"> </w:t>
      </w:r>
      <w:r w:rsidR="00B05132" w:rsidRPr="00B05132">
        <w:rPr>
          <w:bCs/>
        </w:rPr>
        <w:t>2014</w:t>
      </w:r>
      <w:r w:rsidR="00B05132" w:rsidRPr="00B05132">
        <w:t xml:space="preserve">, </w:t>
      </w:r>
      <w:r w:rsidR="00B05132" w:rsidRPr="00B05132">
        <w:rPr>
          <w:i/>
          <w:iCs/>
        </w:rPr>
        <w:t>47</w:t>
      </w:r>
      <w:r w:rsidR="00B05132" w:rsidRPr="00B05132">
        <w:t>, 2212–2221.</w:t>
      </w:r>
      <w:r w:rsidRPr="00644F78">
        <w:rPr>
          <w:lang w:val="en-US"/>
        </w:rPr>
        <w:t xml:space="preserve"> </w:t>
      </w:r>
    </w:p>
  </w:endnote>
  <w:endnote w:id="5">
    <w:p w14:paraId="7B6B2C7C" w14:textId="375A160B" w:rsidR="0001035E" w:rsidRPr="00644F78" w:rsidRDefault="0001035E" w:rsidP="0001035E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3E3B92" w:rsidRPr="003E3B92">
        <w:t xml:space="preserve">J. Y. C. Lim, I. Marques, V. Félix, P. D. Beer, </w:t>
      </w:r>
      <w:proofErr w:type="spellStart"/>
      <w:r w:rsidR="003E3B92">
        <w:rPr>
          <w:i/>
          <w:iCs/>
        </w:rPr>
        <w:t>Angew</w:t>
      </w:r>
      <w:proofErr w:type="spellEnd"/>
      <w:r w:rsidR="003E3B92">
        <w:rPr>
          <w:i/>
          <w:iCs/>
        </w:rPr>
        <w:t>. Chem.</w:t>
      </w:r>
      <w:r w:rsidR="003E3B92" w:rsidRPr="003E3B92">
        <w:rPr>
          <w:i/>
          <w:iCs/>
        </w:rPr>
        <w:t xml:space="preserve"> Int. Ed.</w:t>
      </w:r>
      <w:r w:rsidR="003E3B92" w:rsidRPr="003E3B92">
        <w:t xml:space="preserve"> </w:t>
      </w:r>
      <w:r w:rsidR="003E3B92" w:rsidRPr="003E3B92">
        <w:rPr>
          <w:b/>
          <w:bCs/>
        </w:rPr>
        <w:t>2017</w:t>
      </w:r>
      <w:r w:rsidR="003E3B92" w:rsidRPr="003E3B92">
        <w:t>, DOI 10.1002/anie.201711176.</w:t>
      </w:r>
      <w:r w:rsidRPr="00644F78">
        <w:rPr>
          <w:lang w:val="en-US"/>
        </w:rPr>
        <w:t xml:space="preserve"> </w:t>
      </w:r>
    </w:p>
  </w:endnote>
  <w:endnote w:id="6">
    <w:p w14:paraId="4747CF35" w14:textId="77777777" w:rsidR="00D972BF" w:rsidRPr="00644F78" w:rsidRDefault="00D972BF" w:rsidP="00D972BF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Pr="00520921">
        <w:t xml:space="preserve">M. S. Vickers, P. D. Beer, </w:t>
      </w:r>
      <w:r w:rsidRPr="00520921">
        <w:rPr>
          <w:i/>
          <w:iCs/>
        </w:rPr>
        <w:t>Chem. Soc. Rev.</w:t>
      </w:r>
      <w:r w:rsidRPr="00520921">
        <w:t xml:space="preserve"> </w:t>
      </w:r>
      <w:r w:rsidRPr="00520921">
        <w:rPr>
          <w:b/>
          <w:bCs/>
        </w:rPr>
        <w:t>2007</w:t>
      </w:r>
      <w:r w:rsidRPr="00520921">
        <w:t xml:space="preserve">, </w:t>
      </w:r>
      <w:r w:rsidRPr="00520921">
        <w:rPr>
          <w:i/>
          <w:iCs/>
        </w:rPr>
        <w:t>36</w:t>
      </w:r>
      <w:r w:rsidRPr="00520921">
        <w:t>, 211–</w:t>
      </w:r>
      <w:r>
        <w:t>2</w:t>
      </w:r>
      <w:r w:rsidRPr="00520921">
        <w:t>25.</w:t>
      </w:r>
      <w:r w:rsidRPr="00644F78">
        <w:rPr>
          <w:lang w:val="en-US"/>
        </w:rPr>
        <w:t xml:space="preserve"> </w:t>
      </w:r>
    </w:p>
  </w:endnote>
  <w:endnote w:id="7">
    <w:p w14:paraId="4F083B79" w14:textId="20EF8B85" w:rsidR="0001035E" w:rsidRPr="00644F78" w:rsidRDefault="0001035E" w:rsidP="0001035E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5C3279" w:rsidRPr="005C3279">
        <w:t xml:space="preserve">N. H. Evans, C. J. </w:t>
      </w:r>
      <w:proofErr w:type="spellStart"/>
      <w:r w:rsidR="005C3279" w:rsidRPr="005C3279">
        <w:t>Serpell</w:t>
      </w:r>
      <w:proofErr w:type="spellEnd"/>
      <w:r w:rsidR="005C3279" w:rsidRPr="005C3279">
        <w:t xml:space="preserve">, P. D. Beer, </w:t>
      </w:r>
      <w:r w:rsidR="005C3279">
        <w:rPr>
          <w:i/>
          <w:iCs/>
        </w:rPr>
        <w:t xml:space="preserve">Chem. </w:t>
      </w:r>
      <w:proofErr w:type="spellStart"/>
      <w:r w:rsidR="005C3279">
        <w:rPr>
          <w:i/>
          <w:iCs/>
        </w:rPr>
        <w:t>Commun</w:t>
      </w:r>
      <w:proofErr w:type="spellEnd"/>
      <w:r w:rsidR="005C3279">
        <w:rPr>
          <w:i/>
          <w:iCs/>
        </w:rPr>
        <w:t>.</w:t>
      </w:r>
      <w:r w:rsidR="005C3279" w:rsidRPr="005C3279">
        <w:t xml:space="preserve"> </w:t>
      </w:r>
      <w:r w:rsidR="005C3279" w:rsidRPr="005C3279">
        <w:rPr>
          <w:b/>
          <w:bCs/>
        </w:rPr>
        <w:t>2011</w:t>
      </w:r>
      <w:r w:rsidR="005C3279" w:rsidRPr="005C3279">
        <w:t xml:space="preserve">, </w:t>
      </w:r>
      <w:r w:rsidR="005C3279" w:rsidRPr="005C3279">
        <w:rPr>
          <w:i/>
          <w:iCs/>
        </w:rPr>
        <w:t>47</w:t>
      </w:r>
      <w:r w:rsidR="005C3279" w:rsidRPr="005C3279">
        <w:t>, 8775–</w:t>
      </w:r>
      <w:r w:rsidR="005C3279">
        <w:t>877</w:t>
      </w:r>
      <w:r w:rsidR="005C3279" w:rsidRPr="005C3279">
        <w:t>7.</w:t>
      </w:r>
    </w:p>
  </w:endnote>
  <w:endnote w:id="8">
    <w:p w14:paraId="720EABA3" w14:textId="2BD8CDC0" w:rsidR="0001035E" w:rsidRPr="00644F78" w:rsidRDefault="0001035E" w:rsidP="0001035E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687F94" w:rsidRPr="00687F94">
        <w:t xml:space="preserve">J. Frey, C. </w:t>
      </w:r>
      <w:proofErr w:type="spellStart"/>
      <w:r w:rsidR="00687F94" w:rsidRPr="00687F94">
        <w:t>Tock</w:t>
      </w:r>
      <w:proofErr w:type="spellEnd"/>
      <w:r w:rsidR="00687F94" w:rsidRPr="00687F94">
        <w:t xml:space="preserve">, J. P. Collin, V. </w:t>
      </w:r>
      <w:proofErr w:type="spellStart"/>
      <w:r w:rsidR="00687F94" w:rsidRPr="00687F94">
        <w:t>Heitz</w:t>
      </w:r>
      <w:proofErr w:type="spellEnd"/>
      <w:r w:rsidR="00687F94" w:rsidRPr="00687F94">
        <w:t xml:space="preserve">, J. P. Sauvage, </w:t>
      </w:r>
      <w:r w:rsidR="00687F94" w:rsidRPr="00687F94">
        <w:rPr>
          <w:i/>
          <w:iCs/>
        </w:rPr>
        <w:t>J. Am. Chem. Soc.</w:t>
      </w:r>
      <w:r w:rsidR="00687F94" w:rsidRPr="00687F94">
        <w:t xml:space="preserve"> </w:t>
      </w:r>
      <w:r w:rsidR="00687F94" w:rsidRPr="00687F94">
        <w:rPr>
          <w:b/>
          <w:bCs/>
        </w:rPr>
        <w:t>2008</w:t>
      </w:r>
      <w:r w:rsidR="00687F94" w:rsidRPr="00687F94">
        <w:t xml:space="preserve">, </w:t>
      </w:r>
      <w:r w:rsidR="00687F94" w:rsidRPr="00687F94">
        <w:rPr>
          <w:i/>
          <w:iCs/>
        </w:rPr>
        <w:t>130</w:t>
      </w:r>
      <w:r w:rsidR="00AA45F7">
        <w:t>, 4592–4593</w:t>
      </w:r>
      <w:r>
        <w:rPr>
          <w:lang w:val="en-US"/>
        </w:rPr>
        <w:t>.</w:t>
      </w:r>
      <w:r w:rsidRPr="00644F78">
        <w:rPr>
          <w:lang w:val="en-US"/>
        </w:rPr>
        <w:t xml:space="preserve"> </w:t>
      </w:r>
    </w:p>
  </w:endnote>
  <w:endnote w:id="9">
    <w:p w14:paraId="584152E1" w14:textId="519F06C2" w:rsidR="001679F8" w:rsidRPr="00644F78" w:rsidRDefault="001679F8" w:rsidP="001679F8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5C3279" w:rsidRPr="005C3279">
        <w:t xml:space="preserve">J. Y. C. Lim, I. Marques, V. Félix, P. D. Beer, </w:t>
      </w:r>
      <w:r w:rsidR="005C3279" w:rsidRPr="005C3279">
        <w:rPr>
          <w:i/>
          <w:iCs/>
        </w:rPr>
        <w:t>J. Am. Chem. Soc.</w:t>
      </w:r>
      <w:r w:rsidR="005C3279" w:rsidRPr="005C3279">
        <w:t xml:space="preserve"> </w:t>
      </w:r>
      <w:r w:rsidR="005C3279" w:rsidRPr="005C3279">
        <w:rPr>
          <w:b/>
          <w:bCs/>
        </w:rPr>
        <w:t>2017</w:t>
      </w:r>
      <w:r w:rsidR="005C3279" w:rsidRPr="005C3279">
        <w:t xml:space="preserve">, </w:t>
      </w:r>
      <w:r w:rsidR="005C3279" w:rsidRPr="005C3279">
        <w:rPr>
          <w:i/>
          <w:iCs/>
        </w:rPr>
        <w:t>139</w:t>
      </w:r>
      <w:r w:rsidR="00AA45F7">
        <w:t>, 12228–12239</w:t>
      </w:r>
      <w:r>
        <w:rPr>
          <w:lang w:val="en-US"/>
        </w:rPr>
        <w:t>.</w:t>
      </w:r>
      <w:r w:rsidRPr="00644F78">
        <w:rPr>
          <w:lang w:val="en-US"/>
        </w:rPr>
        <w:t xml:space="preserve"> </w:t>
      </w:r>
    </w:p>
  </w:endnote>
  <w:endnote w:id="10">
    <w:p w14:paraId="1B004E9B" w14:textId="34A56840" w:rsidR="001679F8" w:rsidRPr="008D08C2" w:rsidRDefault="001679F8" w:rsidP="008D08C2">
      <w:pPr>
        <w:pStyle w:val="References"/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5C3279">
        <w:t xml:space="preserve">a) </w:t>
      </w:r>
      <w:r w:rsidR="005C3279" w:rsidRPr="005C3279">
        <w:t xml:space="preserve">R. </w:t>
      </w:r>
      <w:proofErr w:type="spellStart"/>
      <w:r w:rsidR="005C3279" w:rsidRPr="005C3279">
        <w:t>Mitra</w:t>
      </w:r>
      <w:proofErr w:type="spellEnd"/>
      <w:r w:rsidR="005C3279" w:rsidRPr="005C3279">
        <w:t xml:space="preserve">, M. Thiele, F. </w:t>
      </w:r>
      <w:proofErr w:type="spellStart"/>
      <w:r w:rsidR="005C3279" w:rsidRPr="005C3279">
        <w:t>Octa-Smolin</w:t>
      </w:r>
      <w:proofErr w:type="spellEnd"/>
      <w:r w:rsidR="005C3279" w:rsidRPr="005C3279">
        <w:t xml:space="preserve">, M. C. </w:t>
      </w:r>
      <w:proofErr w:type="spellStart"/>
      <w:r w:rsidR="005C3279" w:rsidRPr="005C3279">
        <w:t>Letzel</w:t>
      </w:r>
      <w:proofErr w:type="spellEnd"/>
      <w:r w:rsidR="005C3279" w:rsidRPr="005C3279">
        <w:t xml:space="preserve">, J. Niemeyer, </w:t>
      </w:r>
      <w:r w:rsidR="005C3279" w:rsidRPr="005C3279">
        <w:rPr>
          <w:i/>
          <w:iCs/>
        </w:rPr>
        <w:t xml:space="preserve">Chem. </w:t>
      </w:r>
      <w:proofErr w:type="spellStart"/>
      <w:r w:rsidR="005C3279" w:rsidRPr="005C3279">
        <w:rPr>
          <w:i/>
          <w:iCs/>
        </w:rPr>
        <w:t>Commun</w:t>
      </w:r>
      <w:proofErr w:type="spellEnd"/>
      <w:r w:rsidR="005C3279" w:rsidRPr="005C3279">
        <w:rPr>
          <w:i/>
          <w:iCs/>
        </w:rPr>
        <w:t>.</w:t>
      </w:r>
      <w:r w:rsidR="005C3279" w:rsidRPr="005C3279">
        <w:rPr>
          <w:b/>
        </w:rPr>
        <w:t xml:space="preserve"> </w:t>
      </w:r>
      <w:r w:rsidR="005C3279" w:rsidRPr="005C3279">
        <w:rPr>
          <w:b/>
          <w:bCs/>
        </w:rPr>
        <w:t>2016</w:t>
      </w:r>
      <w:r w:rsidR="005C3279" w:rsidRPr="005C3279">
        <w:t xml:space="preserve">, </w:t>
      </w:r>
      <w:r w:rsidR="005C3279" w:rsidRPr="005C3279">
        <w:rPr>
          <w:i/>
          <w:iCs/>
        </w:rPr>
        <w:t>52</w:t>
      </w:r>
      <w:r w:rsidR="005C3279" w:rsidRPr="005C3279">
        <w:t>, 5977–5980.</w:t>
      </w:r>
      <w:r w:rsidR="005C3279">
        <w:t xml:space="preserve"> b)</w:t>
      </w:r>
      <w:r w:rsidR="008D08C2">
        <w:t xml:space="preserve"> </w:t>
      </w:r>
      <w:r w:rsidR="008D08C2" w:rsidRPr="008D08C2">
        <w:t xml:space="preserve">R. </w:t>
      </w:r>
      <w:proofErr w:type="spellStart"/>
      <w:r w:rsidR="008D08C2" w:rsidRPr="008D08C2">
        <w:t>Mitra</w:t>
      </w:r>
      <w:proofErr w:type="spellEnd"/>
      <w:r w:rsidR="008D08C2" w:rsidRPr="008D08C2">
        <w:t xml:space="preserve">, H. Zhu, S. </w:t>
      </w:r>
      <w:proofErr w:type="spellStart"/>
      <w:r w:rsidR="008D08C2" w:rsidRPr="008D08C2">
        <w:t>Grimme</w:t>
      </w:r>
      <w:proofErr w:type="spellEnd"/>
      <w:r w:rsidR="008D08C2" w:rsidRPr="008D08C2">
        <w:t xml:space="preserve">, J. Niemeyer, </w:t>
      </w:r>
      <w:proofErr w:type="spellStart"/>
      <w:r w:rsidR="008D08C2" w:rsidRPr="008D08C2">
        <w:rPr>
          <w:i/>
          <w:iCs/>
        </w:rPr>
        <w:t>Angew</w:t>
      </w:r>
      <w:proofErr w:type="spellEnd"/>
      <w:r w:rsidR="008D08C2" w:rsidRPr="008D08C2">
        <w:rPr>
          <w:i/>
          <w:iCs/>
        </w:rPr>
        <w:t>. Chem</w:t>
      </w:r>
      <w:r w:rsidR="008D08C2">
        <w:rPr>
          <w:i/>
          <w:iCs/>
        </w:rPr>
        <w:t>.</w:t>
      </w:r>
      <w:r w:rsidR="008D08C2" w:rsidRPr="008D08C2">
        <w:rPr>
          <w:i/>
          <w:iCs/>
        </w:rPr>
        <w:t xml:space="preserve"> Int. Ed.</w:t>
      </w:r>
      <w:r w:rsidR="008D08C2" w:rsidRPr="008D08C2">
        <w:t xml:space="preserve"> </w:t>
      </w:r>
      <w:r w:rsidR="008D08C2" w:rsidRPr="008D08C2">
        <w:rPr>
          <w:b/>
          <w:bCs/>
        </w:rPr>
        <w:t>2017</w:t>
      </w:r>
      <w:r w:rsidR="008D08C2" w:rsidRPr="008D08C2">
        <w:t xml:space="preserve">, </w:t>
      </w:r>
      <w:r w:rsidR="008D08C2" w:rsidRPr="008D08C2">
        <w:rPr>
          <w:i/>
          <w:iCs/>
        </w:rPr>
        <w:t>56</w:t>
      </w:r>
      <w:r w:rsidR="008D08C2" w:rsidRPr="008D08C2">
        <w:t>, 11456–11459.</w:t>
      </w:r>
      <w:r w:rsidRPr="00644F78">
        <w:rPr>
          <w:lang w:val="en-US"/>
        </w:rPr>
        <w:t xml:space="preserve"> </w:t>
      </w:r>
    </w:p>
  </w:endnote>
  <w:endnote w:id="11">
    <w:p w14:paraId="544A32EF" w14:textId="1A0610C2" w:rsidR="001600DA" w:rsidRPr="00644F78" w:rsidRDefault="001600DA" w:rsidP="001600DA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Pr="001600DA">
        <w:t xml:space="preserve">R. J. </w:t>
      </w:r>
      <w:proofErr w:type="spellStart"/>
      <w:r w:rsidRPr="001600DA">
        <w:t>Bordoli</w:t>
      </w:r>
      <w:proofErr w:type="spellEnd"/>
      <w:r w:rsidRPr="001600DA">
        <w:t xml:space="preserve">, S. M. Goldup, </w:t>
      </w:r>
      <w:r w:rsidRPr="001600DA">
        <w:rPr>
          <w:i/>
          <w:iCs/>
        </w:rPr>
        <w:t>J. Am. Chem. Soc.</w:t>
      </w:r>
      <w:r w:rsidRPr="001600DA">
        <w:t xml:space="preserve"> </w:t>
      </w:r>
      <w:r w:rsidRPr="001600DA">
        <w:rPr>
          <w:b/>
          <w:bCs/>
        </w:rPr>
        <w:t>2014</w:t>
      </w:r>
      <w:r w:rsidRPr="001600DA">
        <w:t xml:space="preserve">, </w:t>
      </w:r>
      <w:r w:rsidRPr="001600DA">
        <w:rPr>
          <w:i/>
          <w:iCs/>
        </w:rPr>
        <w:t>136</w:t>
      </w:r>
      <w:r w:rsidRPr="001600DA">
        <w:t>, 4817–</w:t>
      </w:r>
      <w:r>
        <w:t>48</w:t>
      </w:r>
      <w:r w:rsidRPr="001600DA">
        <w:t>20.</w:t>
      </w:r>
      <w:r w:rsidRPr="00644F78">
        <w:rPr>
          <w:lang w:val="en-US"/>
        </w:rPr>
        <w:t xml:space="preserve"> </w:t>
      </w:r>
    </w:p>
  </w:endnote>
  <w:endnote w:id="12">
    <w:p w14:paraId="4354C3D3" w14:textId="65D86D85" w:rsidR="008D08C2" w:rsidRPr="00644F78" w:rsidRDefault="008D08C2" w:rsidP="008D08C2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Pr="008D08C2">
        <w:t xml:space="preserve">D. K. Mitchell, J.-P. Sauvage, </w:t>
      </w:r>
      <w:proofErr w:type="spellStart"/>
      <w:r w:rsidR="00AA45F7">
        <w:rPr>
          <w:i/>
          <w:iCs/>
        </w:rPr>
        <w:t>Angew</w:t>
      </w:r>
      <w:proofErr w:type="spellEnd"/>
      <w:r w:rsidR="00AA45F7">
        <w:rPr>
          <w:i/>
          <w:iCs/>
        </w:rPr>
        <w:t>. Chem. Int. Ed. Engl.</w:t>
      </w:r>
      <w:r w:rsidRPr="008D08C2">
        <w:t xml:space="preserve"> </w:t>
      </w:r>
      <w:r w:rsidRPr="00AA45F7">
        <w:rPr>
          <w:b/>
          <w:bCs/>
        </w:rPr>
        <w:t>1988</w:t>
      </w:r>
      <w:r w:rsidRPr="008D08C2">
        <w:t xml:space="preserve">, </w:t>
      </w:r>
      <w:r w:rsidRPr="008D08C2">
        <w:rPr>
          <w:i/>
          <w:iCs/>
        </w:rPr>
        <w:t>27</w:t>
      </w:r>
      <w:r>
        <w:t>, 930–931.</w:t>
      </w:r>
    </w:p>
  </w:endnote>
  <w:endnote w:id="13">
    <w:p w14:paraId="4F988293" w14:textId="5B2EF52B" w:rsidR="008D08C2" w:rsidRPr="00644F78" w:rsidRDefault="008D08C2" w:rsidP="008D08C2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3E3B92" w:rsidRPr="003E3B92">
        <w:t xml:space="preserve">C. P. McArdle, S. Van, M. C. Jennings, R. J. </w:t>
      </w:r>
      <w:proofErr w:type="spellStart"/>
      <w:r w:rsidR="003E3B92" w:rsidRPr="003E3B92">
        <w:t>Puddephatt</w:t>
      </w:r>
      <w:proofErr w:type="spellEnd"/>
      <w:r w:rsidR="003E3B92" w:rsidRPr="003E3B92">
        <w:t xml:space="preserve">, </w:t>
      </w:r>
      <w:r w:rsidR="003E3B92" w:rsidRPr="003E3B92">
        <w:rPr>
          <w:i/>
          <w:iCs/>
        </w:rPr>
        <w:t>J. Am. Chem. Soc.</w:t>
      </w:r>
      <w:r w:rsidR="003E3B92" w:rsidRPr="003E3B92">
        <w:t xml:space="preserve"> </w:t>
      </w:r>
      <w:r w:rsidR="003E3B92" w:rsidRPr="003E3B92">
        <w:rPr>
          <w:b/>
          <w:bCs/>
        </w:rPr>
        <w:t>2002</w:t>
      </w:r>
      <w:r w:rsidR="003E3B92" w:rsidRPr="003E3B92">
        <w:t xml:space="preserve">, </w:t>
      </w:r>
      <w:r w:rsidR="003E3B92" w:rsidRPr="003E3B92">
        <w:rPr>
          <w:i/>
          <w:iCs/>
        </w:rPr>
        <w:t>124</w:t>
      </w:r>
      <w:r w:rsidR="003E3B92" w:rsidRPr="003E3B92">
        <w:t>, 3959–3965.</w:t>
      </w:r>
    </w:p>
  </w:endnote>
  <w:endnote w:id="14">
    <w:p w14:paraId="2518F9ED" w14:textId="77734103" w:rsidR="00DA0FD0" w:rsidRPr="00D52F1B" w:rsidRDefault="00DA0FD0" w:rsidP="00D52F1B">
      <w:pPr>
        <w:pStyle w:val="References"/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="00B775BD">
        <w:rPr>
          <w:lang w:val="en-US"/>
        </w:rPr>
        <w:t xml:space="preserve">These forms of stereochemistry are a static product of the symmetry properties of the covalent subcomponents and their mechanical constitution. For examples of dynamic stereochemistry </w:t>
      </w:r>
      <w:r w:rsidR="00D52F1B">
        <w:rPr>
          <w:lang w:val="en-US"/>
        </w:rPr>
        <w:t xml:space="preserve">as a result of the mechanical bond </w:t>
      </w:r>
      <w:r w:rsidR="00B775BD">
        <w:rPr>
          <w:lang w:val="en-US"/>
        </w:rPr>
        <w:t xml:space="preserve">see: </w:t>
      </w:r>
      <w:r w:rsidR="00D52F1B" w:rsidRPr="00D52F1B">
        <w:t xml:space="preserve">S. A. </w:t>
      </w:r>
      <w:proofErr w:type="spellStart"/>
      <w:r w:rsidR="00D52F1B" w:rsidRPr="00D52F1B">
        <w:t>Vignon</w:t>
      </w:r>
      <w:proofErr w:type="spellEnd"/>
      <w:r w:rsidR="00D52F1B" w:rsidRPr="00D52F1B">
        <w:t xml:space="preserve">, J. Wong, H. Tseng, J. F. Stoddart, </w:t>
      </w:r>
      <w:r w:rsidR="00D52F1B" w:rsidRPr="00D52F1B">
        <w:rPr>
          <w:i/>
          <w:iCs/>
        </w:rPr>
        <w:t>Org. Lett.</w:t>
      </w:r>
      <w:r w:rsidR="00D52F1B" w:rsidRPr="00D52F1B">
        <w:t xml:space="preserve"> </w:t>
      </w:r>
      <w:r w:rsidR="00D52F1B" w:rsidRPr="00D52F1B">
        <w:rPr>
          <w:bCs/>
        </w:rPr>
        <w:t>2004</w:t>
      </w:r>
      <w:r w:rsidR="00D52F1B" w:rsidRPr="00D52F1B">
        <w:t xml:space="preserve">, </w:t>
      </w:r>
      <w:r w:rsidR="00D52F1B" w:rsidRPr="00D52F1B">
        <w:rPr>
          <w:i/>
          <w:iCs/>
        </w:rPr>
        <w:t>6</w:t>
      </w:r>
      <w:r w:rsidR="00D52F1B" w:rsidRPr="00D52F1B">
        <w:t>, 1095–1098.</w:t>
      </w:r>
      <w:r w:rsidR="00D52F1B">
        <w:t xml:space="preserve"> </w:t>
      </w:r>
      <w:r w:rsidR="00D52F1B" w:rsidRPr="00D52F1B">
        <w:t xml:space="preserve">M. Alvarez-Pérez, S. M. Goldup, D. A. Leigh, A. M. Z. </w:t>
      </w:r>
      <w:proofErr w:type="spellStart"/>
      <w:r w:rsidR="00D52F1B" w:rsidRPr="00D52F1B">
        <w:t>Slawin</w:t>
      </w:r>
      <w:proofErr w:type="spellEnd"/>
      <w:r w:rsidR="00D52F1B" w:rsidRPr="00D52F1B">
        <w:t xml:space="preserve">, </w:t>
      </w:r>
      <w:r w:rsidR="00D52F1B" w:rsidRPr="00D52F1B">
        <w:rPr>
          <w:i/>
          <w:iCs/>
        </w:rPr>
        <w:t>J. Am. Chem. Soc.</w:t>
      </w:r>
      <w:r w:rsidR="00D52F1B" w:rsidRPr="00D52F1B">
        <w:t xml:space="preserve"> </w:t>
      </w:r>
      <w:r w:rsidR="00D52F1B" w:rsidRPr="00D52F1B">
        <w:rPr>
          <w:b/>
          <w:bCs/>
        </w:rPr>
        <w:t>2008</w:t>
      </w:r>
      <w:r w:rsidR="00D52F1B" w:rsidRPr="00D52F1B">
        <w:t xml:space="preserve">, </w:t>
      </w:r>
      <w:r w:rsidR="00D52F1B" w:rsidRPr="00D52F1B">
        <w:rPr>
          <w:i/>
          <w:iCs/>
        </w:rPr>
        <w:t>130</w:t>
      </w:r>
      <w:r w:rsidR="00D52F1B" w:rsidRPr="00D52F1B">
        <w:t>, 1836–1838.</w:t>
      </w:r>
      <w:r w:rsidR="00D52F1B">
        <w:t xml:space="preserve"> </w:t>
      </w:r>
      <w:r w:rsidRPr="008D08C2">
        <w:t xml:space="preserve">Y. </w:t>
      </w:r>
      <w:proofErr w:type="spellStart"/>
      <w:r w:rsidRPr="008D08C2">
        <w:t>Cakmak</w:t>
      </w:r>
      <w:proofErr w:type="spellEnd"/>
      <w:r w:rsidRPr="008D08C2">
        <w:t xml:space="preserve">, S. </w:t>
      </w:r>
      <w:proofErr w:type="spellStart"/>
      <w:r w:rsidRPr="008D08C2">
        <w:t>Erbas-Cakmak</w:t>
      </w:r>
      <w:proofErr w:type="spellEnd"/>
      <w:r w:rsidRPr="008D08C2">
        <w:t xml:space="preserve">, D. A. Leigh, </w:t>
      </w:r>
      <w:r w:rsidRPr="008D08C2">
        <w:rPr>
          <w:i/>
          <w:iCs/>
        </w:rPr>
        <w:t>J. Am. Chem. Soc.</w:t>
      </w:r>
      <w:r w:rsidRPr="008D08C2">
        <w:t xml:space="preserve"> </w:t>
      </w:r>
      <w:r w:rsidRPr="008D08C2">
        <w:rPr>
          <w:b/>
          <w:bCs/>
        </w:rPr>
        <w:t>2016</w:t>
      </w:r>
      <w:r w:rsidRPr="008D08C2">
        <w:t xml:space="preserve">, </w:t>
      </w:r>
      <w:r w:rsidRPr="008D08C2">
        <w:rPr>
          <w:i/>
          <w:iCs/>
        </w:rPr>
        <w:t>138</w:t>
      </w:r>
      <w:r w:rsidRPr="008D08C2">
        <w:t>, 1749–1751.</w:t>
      </w:r>
    </w:p>
  </w:endnote>
  <w:endnote w:id="15">
    <w:p w14:paraId="5159ED62" w14:textId="3ED7EDF9" w:rsidR="003E3B92" w:rsidRPr="00644F78" w:rsidRDefault="003E3B92" w:rsidP="003E3B92">
      <w:pPr>
        <w:pStyle w:val="References"/>
        <w:rPr>
          <w:lang w:val="en-US"/>
        </w:rPr>
      </w:pPr>
      <w:r>
        <w:rPr>
          <w:lang w:val="en-US"/>
        </w:rPr>
        <w:t>[</w:t>
      </w:r>
      <w:r w:rsidRPr="00644F78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Pr="003E3B92">
        <w:t xml:space="preserve">C. J. </w:t>
      </w:r>
      <w:proofErr w:type="spellStart"/>
      <w:r w:rsidRPr="003E3B92">
        <w:t>Bruns</w:t>
      </w:r>
      <w:proofErr w:type="spellEnd"/>
      <w:r w:rsidRPr="003E3B92">
        <w:t xml:space="preserve">, J. F. Stoddart, </w:t>
      </w:r>
      <w:r w:rsidRPr="003E3B92">
        <w:rPr>
          <w:i/>
          <w:iCs/>
        </w:rPr>
        <w:t>The Nature of the Mechanical Bond: From Molecules to Machines</w:t>
      </w:r>
      <w:r w:rsidRPr="003E3B92">
        <w:t xml:space="preserve">, Wiley, </w:t>
      </w:r>
      <w:r w:rsidRPr="003E3B92">
        <w:rPr>
          <w:bCs/>
        </w:rPr>
        <w:t>2016</w:t>
      </w:r>
      <w:r w:rsidRPr="003E3B92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A3AB5" w14:textId="77777777" w:rsidR="00205632" w:rsidRDefault="00205632" w:rsidP="000C4579">
    <w:pPr>
      <w:pStyle w:val="Footer"/>
      <w:pBdr>
        <w:top w:val="single" w:sz="18" w:space="1" w:color="C0C0C0"/>
      </w:pBdr>
    </w:pPr>
  </w:p>
  <w:p w14:paraId="7A0B00A6" w14:textId="77777777" w:rsidR="00205632" w:rsidRDefault="00205632" w:rsidP="000C4579">
    <w:pPr>
      <w:pStyle w:val="Footer"/>
    </w:pPr>
  </w:p>
  <w:p w14:paraId="1324EAC6" w14:textId="77777777" w:rsidR="00205632" w:rsidRDefault="00205632" w:rsidP="000C4579">
    <w:pPr>
      <w:pStyle w:val="Footer"/>
    </w:pPr>
  </w:p>
  <w:p w14:paraId="0A4F7B2F" w14:textId="77777777" w:rsidR="00205632" w:rsidRPr="00205632" w:rsidRDefault="00205632" w:rsidP="000C4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3BE60" w14:textId="77777777" w:rsidR="008706FC" w:rsidRDefault="008706FC">
      <w:r>
        <w:separator/>
      </w:r>
    </w:p>
  </w:footnote>
  <w:footnote w:type="continuationSeparator" w:id="0">
    <w:p w14:paraId="6E0D465F" w14:textId="77777777" w:rsidR="008706FC" w:rsidRDefault="00870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E625F" w14:textId="7071A8C3" w:rsidR="00C8278A" w:rsidRPr="00C8278A" w:rsidRDefault="008706FC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6A92A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486" o:spid="_x0000_s2051" type="#_x0000_t75" alt="Wiley-VCH_gedreht" style="position:absolute;margin-left:0;margin-top:0;width:688.65pt;height:937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  <w:r w:rsidR="00C03F38"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2406075B" wp14:editId="336CCFEE">
          <wp:extent cx="1457325" cy="3714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490E63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88F12" w14:textId="3F167F71" w:rsidR="00BF14BC" w:rsidRPr="00971FC5" w:rsidRDefault="008706FC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16239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487" o:spid="_x0000_s2050" type="#_x0000_t75" alt="Wiley-VCH_gedreht" style="position:absolute;margin-left:0;margin-top:0;width:688.65pt;height:937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  <w:r w:rsidR="00C03F38" w:rsidRPr="00971FC5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6D8967FF" wp14:editId="7027B9F9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12700" b="635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89">
      <w:rPr>
        <w:rFonts w:ascii="Arial Narrow" w:hAnsi="Arial Narrow" w:cs="Arial"/>
        <w:b/>
        <w:bCs/>
        <w:color w:val="C0C0C0"/>
        <w:sz w:val="32"/>
        <w:szCs w:val="36"/>
      </w:rPr>
      <w:t>HIGHLIGHT</w:t>
    </w:r>
    <w:r w:rsidR="001D7ECC" w:rsidRPr="00971FC5">
      <w:rPr>
        <w:rFonts w:ascii="Arial Narrow" w:hAnsi="Arial Narrow" w:cs="Arial"/>
        <w:sz w:val="32"/>
        <w:szCs w:val="36"/>
      </w:rPr>
      <w:tab/>
    </w:r>
    <w:r w:rsidR="001D7EC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819EA" w14:textId="77777777" w:rsidR="00FE7F47" w:rsidRDefault="008706FC">
    <w:pPr>
      <w:pStyle w:val="Header"/>
    </w:pPr>
    <w:r>
      <w:rPr>
        <w:noProof/>
        <w:lang w:eastAsia="zh-CN"/>
      </w:rPr>
      <w:pict w14:anchorId="4B6790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485" o:spid="_x0000_s2049" type="#_x0000_t75" alt="Wiley-VCH_gedreht" style="position:absolute;margin-left:0;margin-top:0;width:688.65pt;height:937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F6"/>
    <w:rsid w:val="00000EAC"/>
    <w:rsid w:val="0000214A"/>
    <w:rsid w:val="00002DBC"/>
    <w:rsid w:val="00003927"/>
    <w:rsid w:val="00003A35"/>
    <w:rsid w:val="0000457A"/>
    <w:rsid w:val="0001035E"/>
    <w:rsid w:val="00010410"/>
    <w:rsid w:val="00011D51"/>
    <w:rsid w:val="00013DD7"/>
    <w:rsid w:val="00014AF3"/>
    <w:rsid w:val="00022DB4"/>
    <w:rsid w:val="00027F3A"/>
    <w:rsid w:val="00033C26"/>
    <w:rsid w:val="00033D1A"/>
    <w:rsid w:val="00033F43"/>
    <w:rsid w:val="00036490"/>
    <w:rsid w:val="0004091A"/>
    <w:rsid w:val="00042BF0"/>
    <w:rsid w:val="00045AB9"/>
    <w:rsid w:val="0005096E"/>
    <w:rsid w:val="0005140E"/>
    <w:rsid w:val="00055485"/>
    <w:rsid w:val="0006281D"/>
    <w:rsid w:val="00063E0F"/>
    <w:rsid w:val="0006489B"/>
    <w:rsid w:val="000650AB"/>
    <w:rsid w:val="0006694D"/>
    <w:rsid w:val="000669E3"/>
    <w:rsid w:val="00066B8E"/>
    <w:rsid w:val="00070064"/>
    <w:rsid w:val="00070B55"/>
    <w:rsid w:val="00070E0D"/>
    <w:rsid w:val="0007315F"/>
    <w:rsid w:val="00077560"/>
    <w:rsid w:val="0008077D"/>
    <w:rsid w:val="0009539C"/>
    <w:rsid w:val="00095C2F"/>
    <w:rsid w:val="000A37F3"/>
    <w:rsid w:val="000A77DC"/>
    <w:rsid w:val="000B6DF3"/>
    <w:rsid w:val="000C1DBD"/>
    <w:rsid w:val="000C4579"/>
    <w:rsid w:val="000C53F1"/>
    <w:rsid w:val="000D37AC"/>
    <w:rsid w:val="000D70F8"/>
    <w:rsid w:val="000D75B7"/>
    <w:rsid w:val="000D7701"/>
    <w:rsid w:val="000E0815"/>
    <w:rsid w:val="000E0CEA"/>
    <w:rsid w:val="000E0EC4"/>
    <w:rsid w:val="000E1C81"/>
    <w:rsid w:val="000E4624"/>
    <w:rsid w:val="000E517A"/>
    <w:rsid w:val="000E5FDC"/>
    <w:rsid w:val="000E718F"/>
    <w:rsid w:val="000E76B8"/>
    <w:rsid w:val="000F29A4"/>
    <w:rsid w:val="000F2C63"/>
    <w:rsid w:val="000F2EA1"/>
    <w:rsid w:val="000F5BD1"/>
    <w:rsid w:val="000F7847"/>
    <w:rsid w:val="001037A1"/>
    <w:rsid w:val="00103EF7"/>
    <w:rsid w:val="00104119"/>
    <w:rsid w:val="0010543E"/>
    <w:rsid w:val="00105F97"/>
    <w:rsid w:val="00107E8C"/>
    <w:rsid w:val="0011103B"/>
    <w:rsid w:val="001158DE"/>
    <w:rsid w:val="00120F2E"/>
    <w:rsid w:val="001237B3"/>
    <w:rsid w:val="0012381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B89"/>
    <w:rsid w:val="001475BF"/>
    <w:rsid w:val="00152E6D"/>
    <w:rsid w:val="00155FB7"/>
    <w:rsid w:val="0015631F"/>
    <w:rsid w:val="00157C67"/>
    <w:rsid w:val="001600DA"/>
    <w:rsid w:val="0016203E"/>
    <w:rsid w:val="00162C56"/>
    <w:rsid w:val="001639AE"/>
    <w:rsid w:val="001654DF"/>
    <w:rsid w:val="00166BEB"/>
    <w:rsid w:val="00166D41"/>
    <w:rsid w:val="001678B6"/>
    <w:rsid w:val="001679F8"/>
    <w:rsid w:val="0017048F"/>
    <w:rsid w:val="001709B6"/>
    <w:rsid w:val="00172F48"/>
    <w:rsid w:val="001732A4"/>
    <w:rsid w:val="001740A6"/>
    <w:rsid w:val="001800AA"/>
    <w:rsid w:val="0018165B"/>
    <w:rsid w:val="00181774"/>
    <w:rsid w:val="00184380"/>
    <w:rsid w:val="00186601"/>
    <w:rsid w:val="001878D0"/>
    <w:rsid w:val="0019014F"/>
    <w:rsid w:val="0019058C"/>
    <w:rsid w:val="00194818"/>
    <w:rsid w:val="00194A21"/>
    <w:rsid w:val="00196DEB"/>
    <w:rsid w:val="00197F42"/>
    <w:rsid w:val="001A0D55"/>
    <w:rsid w:val="001A3120"/>
    <w:rsid w:val="001A39AE"/>
    <w:rsid w:val="001A438D"/>
    <w:rsid w:val="001B0DFC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F1C"/>
    <w:rsid w:val="001E4331"/>
    <w:rsid w:val="001F16EF"/>
    <w:rsid w:val="001F1A2D"/>
    <w:rsid w:val="001F252B"/>
    <w:rsid w:val="001F4235"/>
    <w:rsid w:val="001F45C3"/>
    <w:rsid w:val="001F4EE4"/>
    <w:rsid w:val="00200C6E"/>
    <w:rsid w:val="0020306E"/>
    <w:rsid w:val="00205632"/>
    <w:rsid w:val="002078CA"/>
    <w:rsid w:val="00212CDE"/>
    <w:rsid w:val="00213D0E"/>
    <w:rsid w:val="002221BA"/>
    <w:rsid w:val="00222D97"/>
    <w:rsid w:val="0022537E"/>
    <w:rsid w:val="0022582C"/>
    <w:rsid w:val="00227CA0"/>
    <w:rsid w:val="00232C14"/>
    <w:rsid w:val="00233616"/>
    <w:rsid w:val="002362C7"/>
    <w:rsid w:val="00241D85"/>
    <w:rsid w:val="00242E54"/>
    <w:rsid w:val="002433F0"/>
    <w:rsid w:val="00243927"/>
    <w:rsid w:val="00260EDA"/>
    <w:rsid w:val="00261387"/>
    <w:rsid w:val="00261882"/>
    <w:rsid w:val="0026553A"/>
    <w:rsid w:val="00265DCA"/>
    <w:rsid w:val="00267F8A"/>
    <w:rsid w:val="002702BC"/>
    <w:rsid w:val="0027068B"/>
    <w:rsid w:val="00287256"/>
    <w:rsid w:val="00287B32"/>
    <w:rsid w:val="00291C93"/>
    <w:rsid w:val="0029215D"/>
    <w:rsid w:val="00295646"/>
    <w:rsid w:val="002A36FA"/>
    <w:rsid w:val="002A561E"/>
    <w:rsid w:val="002A69D1"/>
    <w:rsid w:val="002B16E2"/>
    <w:rsid w:val="002B22BA"/>
    <w:rsid w:val="002B25E2"/>
    <w:rsid w:val="002B453B"/>
    <w:rsid w:val="002B7CA9"/>
    <w:rsid w:val="002C36E0"/>
    <w:rsid w:val="002C6B86"/>
    <w:rsid w:val="002D0B17"/>
    <w:rsid w:val="002D24CB"/>
    <w:rsid w:val="002D42FF"/>
    <w:rsid w:val="002D5148"/>
    <w:rsid w:val="002D5B99"/>
    <w:rsid w:val="002E066F"/>
    <w:rsid w:val="002E2CA8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16F4"/>
    <w:rsid w:val="00312ED2"/>
    <w:rsid w:val="0032048F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75FF"/>
    <w:rsid w:val="0033054D"/>
    <w:rsid w:val="00331B5E"/>
    <w:rsid w:val="00333FAD"/>
    <w:rsid w:val="0033586B"/>
    <w:rsid w:val="00336A5A"/>
    <w:rsid w:val="003403BB"/>
    <w:rsid w:val="00340A08"/>
    <w:rsid w:val="00340B05"/>
    <w:rsid w:val="00343F00"/>
    <w:rsid w:val="003447D7"/>
    <w:rsid w:val="0034496B"/>
    <w:rsid w:val="00354B57"/>
    <w:rsid w:val="003641A0"/>
    <w:rsid w:val="00364753"/>
    <w:rsid w:val="00364A2A"/>
    <w:rsid w:val="003657B6"/>
    <w:rsid w:val="00366676"/>
    <w:rsid w:val="0037046B"/>
    <w:rsid w:val="00375415"/>
    <w:rsid w:val="00376792"/>
    <w:rsid w:val="00376F37"/>
    <w:rsid w:val="0038506F"/>
    <w:rsid w:val="00390DD7"/>
    <w:rsid w:val="00396BE2"/>
    <w:rsid w:val="003B04BA"/>
    <w:rsid w:val="003B0FC4"/>
    <w:rsid w:val="003B6C60"/>
    <w:rsid w:val="003B70C8"/>
    <w:rsid w:val="003C134A"/>
    <w:rsid w:val="003C1CCA"/>
    <w:rsid w:val="003C2972"/>
    <w:rsid w:val="003C2C9C"/>
    <w:rsid w:val="003C6E1A"/>
    <w:rsid w:val="003D0F51"/>
    <w:rsid w:val="003D1C1A"/>
    <w:rsid w:val="003E3B92"/>
    <w:rsid w:val="003E54CD"/>
    <w:rsid w:val="003E7319"/>
    <w:rsid w:val="003F1223"/>
    <w:rsid w:val="003F2556"/>
    <w:rsid w:val="003F50D4"/>
    <w:rsid w:val="0040080D"/>
    <w:rsid w:val="004024A8"/>
    <w:rsid w:val="0040270E"/>
    <w:rsid w:val="00403876"/>
    <w:rsid w:val="004062B1"/>
    <w:rsid w:val="004070B6"/>
    <w:rsid w:val="004072DD"/>
    <w:rsid w:val="00411AA6"/>
    <w:rsid w:val="00414412"/>
    <w:rsid w:val="00415971"/>
    <w:rsid w:val="00416B05"/>
    <w:rsid w:val="00421537"/>
    <w:rsid w:val="00422AFE"/>
    <w:rsid w:val="00423593"/>
    <w:rsid w:val="00424978"/>
    <w:rsid w:val="0042545B"/>
    <w:rsid w:val="00427C16"/>
    <w:rsid w:val="00427CBD"/>
    <w:rsid w:val="00431151"/>
    <w:rsid w:val="00432307"/>
    <w:rsid w:val="00435D6F"/>
    <w:rsid w:val="00436338"/>
    <w:rsid w:val="00437B5A"/>
    <w:rsid w:val="00440D6B"/>
    <w:rsid w:val="00444E3C"/>
    <w:rsid w:val="00445D5C"/>
    <w:rsid w:val="004465F9"/>
    <w:rsid w:val="004466B0"/>
    <w:rsid w:val="0044688F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0FBB"/>
    <w:rsid w:val="00473029"/>
    <w:rsid w:val="00473EE4"/>
    <w:rsid w:val="00477B4C"/>
    <w:rsid w:val="00477B99"/>
    <w:rsid w:val="004841CA"/>
    <w:rsid w:val="00485C84"/>
    <w:rsid w:val="00486215"/>
    <w:rsid w:val="0048630D"/>
    <w:rsid w:val="00490E63"/>
    <w:rsid w:val="004921CF"/>
    <w:rsid w:val="004930F0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7D4"/>
    <w:rsid w:val="004B0B74"/>
    <w:rsid w:val="004B0D96"/>
    <w:rsid w:val="004B1783"/>
    <w:rsid w:val="004B5349"/>
    <w:rsid w:val="004B65AE"/>
    <w:rsid w:val="004B7661"/>
    <w:rsid w:val="004C1836"/>
    <w:rsid w:val="004C22E6"/>
    <w:rsid w:val="004C2834"/>
    <w:rsid w:val="004C2FAC"/>
    <w:rsid w:val="004C3CC9"/>
    <w:rsid w:val="004C450E"/>
    <w:rsid w:val="004C471F"/>
    <w:rsid w:val="004C5F41"/>
    <w:rsid w:val="004C6D04"/>
    <w:rsid w:val="004D090A"/>
    <w:rsid w:val="004D31C6"/>
    <w:rsid w:val="004D4293"/>
    <w:rsid w:val="004D5ABB"/>
    <w:rsid w:val="004D6DB8"/>
    <w:rsid w:val="004E3F83"/>
    <w:rsid w:val="004E4A53"/>
    <w:rsid w:val="004E4DFF"/>
    <w:rsid w:val="004E5278"/>
    <w:rsid w:val="004E74F4"/>
    <w:rsid w:val="004F0129"/>
    <w:rsid w:val="004F257F"/>
    <w:rsid w:val="004F35CD"/>
    <w:rsid w:val="00501639"/>
    <w:rsid w:val="00501EFF"/>
    <w:rsid w:val="0050277D"/>
    <w:rsid w:val="005035EB"/>
    <w:rsid w:val="0050689B"/>
    <w:rsid w:val="005068AA"/>
    <w:rsid w:val="00506EDB"/>
    <w:rsid w:val="00511093"/>
    <w:rsid w:val="00512A8E"/>
    <w:rsid w:val="00520422"/>
    <w:rsid w:val="0052085F"/>
    <w:rsid w:val="00520921"/>
    <w:rsid w:val="0052404D"/>
    <w:rsid w:val="00530284"/>
    <w:rsid w:val="005321B0"/>
    <w:rsid w:val="0053418A"/>
    <w:rsid w:val="005349D6"/>
    <w:rsid w:val="00536BC1"/>
    <w:rsid w:val="00537F36"/>
    <w:rsid w:val="00541205"/>
    <w:rsid w:val="005433DE"/>
    <w:rsid w:val="0054420E"/>
    <w:rsid w:val="005472E5"/>
    <w:rsid w:val="0055057E"/>
    <w:rsid w:val="00550B0C"/>
    <w:rsid w:val="0055113D"/>
    <w:rsid w:val="005551F3"/>
    <w:rsid w:val="00556A65"/>
    <w:rsid w:val="00561C0E"/>
    <w:rsid w:val="005662EA"/>
    <w:rsid w:val="00567B5A"/>
    <w:rsid w:val="00567C18"/>
    <w:rsid w:val="0057009B"/>
    <w:rsid w:val="005735B3"/>
    <w:rsid w:val="00573ACA"/>
    <w:rsid w:val="005801F0"/>
    <w:rsid w:val="005826CC"/>
    <w:rsid w:val="005839B9"/>
    <w:rsid w:val="00586DF8"/>
    <w:rsid w:val="00591AB8"/>
    <w:rsid w:val="00597954"/>
    <w:rsid w:val="005A7F41"/>
    <w:rsid w:val="005B10C2"/>
    <w:rsid w:val="005B15A7"/>
    <w:rsid w:val="005B3509"/>
    <w:rsid w:val="005B430B"/>
    <w:rsid w:val="005B43B7"/>
    <w:rsid w:val="005B5D4F"/>
    <w:rsid w:val="005B6716"/>
    <w:rsid w:val="005B6C80"/>
    <w:rsid w:val="005B71FC"/>
    <w:rsid w:val="005C08BF"/>
    <w:rsid w:val="005C3279"/>
    <w:rsid w:val="005C4CEE"/>
    <w:rsid w:val="005C4F38"/>
    <w:rsid w:val="005C5196"/>
    <w:rsid w:val="005D1EBB"/>
    <w:rsid w:val="005D43FD"/>
    <w:rsid w:val="005D65E6"/>
    <w:rsid w:val="005E5D45"/>
    <w:rsid w:val="005F19CB"/>
    <w:rsid w:val="005F37AE"/>
    <w:rsid w:val="005F5348"/>
    <w:rsid w:val="005F58A6"/>
    <w:rsid w:val="005F74E7"/>
    <w:rsid w:val="006011C8"/>
    <w:rsid w:val="006024FD"/>
    <w:rsid w:val="0060310C"/>
    <w:rsid w:val="00605777"/>
    <w:rsid w:val="00605FAC"/>
    <w:rsid w:val="006150DB"/>
    <w:rsid w:val="006200AB"/>
    <w:rsid w:val="00620450"/>
    <w:rsid w:val="00620753"/>
    <w:rsid w:val="00620911"/>
    <w:rsid w:val="00620C61"/>
    <w:rsid w:val="00627F57"/>
    <w:rsid w:val="006314FB"/>
    <w:rsid w:val="006373B3"/>
    <w:rsid w:val="00644209"/>
    <w:rsid w:val="00644F78"/>
    <w:rsid w:val="00647525"/>
    <w:rsid w:val="006479FE"/>
    <w:rsid w:val="00654E17"/>
    <w:rsid w:val="00656634"/>
    <w:rsid w:val="0066216C"/>
    <w:rsid w:val="00665E34"/>
    <w:rsid w:val="006675EA"/>
    <w:rsid w:val="0067094A"/>
    <w:rsid w:val="00671E1E"/>
    <w:rsid w:val="006722A0"/>
    <w:rsid w:val="006724B9"/>
    <w:rsid w:val="00672587"/>
    <w:rsid w:val="0067512C"/>
    <w:rsid w:val="00677AB5"/>
    <w:rsid w:val="00677D6F"/>
    <w:rsid w:val="006812E2"/>
    <w:rsid w:val="00681A96"/>
    <w:rsid w:val="00685DA5"/>
    <w:rsid w:val="0068673B"/>
    <w:rsid w:val="00687F94"/>
    <w:rsid w:val="0069077F"/>
    <w:rsid w:val="00694EC1"/>
    <w:rsid w:val="006956E5"/>
    <w:rsid w:val="0069644B"/>
    <w:rsid w:val="006976AD"/>
    <w:rsid w:val="00697E3B"/>
    <w:rsid w:val="006A108F"/>
    <w:rsid w:val="006A2254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5CC"/>
    <w:rsid w:val="006D184F"/>
    <w:rsid w:val="006D2D7B"/>
    <w:rsid w:val="006D31D6"/>
    <w:rsid w:val="006D3595"/>
    <w:rsid w:val="006D4F77"/>
    <w:rsid w:val="006D6793"/>
    <w:rsid w:val="006E041E"/>
    <w:rsid w:val="006E5BEA"/>
    <w:rsid w:val="006E6C76"/>
    <w:rsid w:val="006E7083"/>
    <w:rsid w:val="006F0EB7"/>
    <w:rsid w:val="006F6671"/>
    <w:rsid w:val="006F77BC"/>
    <w:rsid w:val="006F7D14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3C4F"/>
    <w:rsid w:val="00714DB9"/>
    <w:rsid w:val="00714DC9"/>
    <w:rsid w:val="0071700B"/>
    <w:rsid w:val="00717BD5"/>
    <w:rsid w:val="00720FED"/>
    <w:rsid w:val="0072325F"/>
    <w:rsid w:val="007249D7"/>
    <w:rsid w:val="007252DA"/>
    <w:rsid w:val="00732798"/>
    <w:rsid w:val="00737264"/>
    <w:rsid w:val="007406C2"/>
    <w:rsid w:val="007407AE"/>
    <w:rsid w:val="00740CE1"/>
    <w:rsid w:val="0074126C"/>
    <w:rsid w:val="00741B47"/>
    <w:rsid w:val="00745DE7"/>
    <w:rsid w:val="00746C0D"/>
    <w:rsid w:val="00750326"/>
    <w:rsid w:val="0075278E"/>
    <w:rsid w:val="00754F5F"/>
    <w:rsid w:val="00755FE3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65B4"/>
    <w:rsid w:val="007776E8"/>
    <w:rsid w:val="007815C4"/>
    <w:rsid w:val="00783FBE"/>
    <w:rsid w:val="0078628B"/>
    <w:rsid w:val="0078784C"/>
    <w:rsid w:val="007958BF"/>
    <w:rsid w:val="007A6D99"/>
    <w:rsid w:val="007A7E01"/>
    <w:rsid w:val="007B05F5"/>
    <w:rsid w:val="007B6A97"/>
    <w:rsid w:val="007C13B2"/>
    <w:rsid w:val="007C2805"/>
    <w:rsid w:val="007C3D60"/>
    <w:rsid w:val="007C5712"/>
    <w:rsid w:val="007C672F"/>
    <w:rsid w:val="007D0337"/>
    <w:rsid w:val="007D0701"/>
    <w:rsid w:val="007D2ED9"/>
    <w:rsid w:val="007E2CB8"/>
    <w:rsid w:val="007E3A49"/>
    <w:rsid w:val="007E52D5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7F750E"/>
    <w:rsid w:val="00804822"/>
    <w:rsid w:val="00813005"/>
    <w:rsid w:val="00813FEF"/>
    <w:rsid w:val="00817ACD"/>
    <w:rsid w:val="00823310"/>
    <w:rsid w:val="008249B7"/>
    <w:rsid w:val="00826879"/>
    <w:rsid w:val="008272FD"/>
    <w:rsid w:val="00827A4E"/>
    <w:rsid w:val="00832891"/>
    <w:rsid w:val="008339A8"/>
    <w:rsid w:val="00836959"/>
    <w:rsid w:val="00847D4E"/>
    <w:rsid w:val="00851D03"/>
    <w:rsid w:val="008536CE"/>
    <w:rsid w:val="00854C3B"/>
    <w:rsid w:val="00855988"/>
    <w:rsid w:val="00856D80"/>
    <w:rsid w:val="00860C40"/>
    <w:rsid w:val="00862A5B"/>
    <w:rsid w:val="00862D4C"/>
    <w:rsid w:val="0086441B"/>
    <w:rsid w:val="00865C7C"/>
    <w:rsid w:val="00870558"/>
    <w:rsid w:val="008706FC"/>
    <w:rsid w:val="00873E64"/>
    <w:rsid w:val="00874EBC"/>
    <w:rsid w:val="00875FFC"/>
    <w:rsid w:val="008773A8"/>
    <w:rsid w:val="00880861"/>
    <w:rsid w:val="00884733"/>
    <w:rsid w:val="00886901"/>
    <w:rsid w:val="008935DC"/>
    <w:rsid w:val="00896252"/>
    <w:rsid w:val="0089651C"/>
    <w:rsid w:val="00896608"/>
    <w:rsid w:val="008A1757"/>
    <w:rsid w:val="008A75A2"/>
    <w:rsid w:val="008C0905"/>
    <w:rsid w:val="008C0F4C"/>
    <w:rsid w:val="008C26A3"/>
    <w:rsid w:val="008C4A56"/>
    <w:rsid w:val="008C4FAC"/>
    <w:rsid w:val="008C642F"/>
    <w:rsid w:val="008D05CC"/>
    <w:rsid w:val="008D08C2"/>
    <w:rsid w:val="008D0D68"/>
    <w:rsid w:val="008D306F"/>
    <w:rsid w:val="008D3292"/>
    <w:rsid w:val="008D3912"/>
    <w:rsid w:val="008E1877"/>
    <w:rsid w:val="008E4C32"/>
    <w:rsid w:val="008E76E5"/>
    <w:rsid w:val="008F195C"/>
    <w:rsid w:val="008F3789"/>
    <w:rsid w:val="008F37E2"/>
    <w:rsid w:val="008F525A"/>
    <w:rsid w:val="008F5663"/>
    <w:rsid w:val="008F6D3F"/>
    <w:rsid w:val="008F71A1"/>
    <w:rsid w:val="008F7FE1"/>
    <w:rsid w:val="00900B9E"/>
    <w:rsid w:val="00901A45"/>
    <w:rsid w:val="00902AF3"/>
    <w:rsid w:val="00905C77"/>
    <w:rsid w:val="00915FA4"/>
    <w:rsid w:val="009179FB"/>
    <w:rsid w:val="009203FD"/>
    <w:rsid w:val="0092483C"/>
    <w:rsid w:val="009264DF"/>
    <w:rsid w:val="009273BC"/>
    <w:rsid w:val="009317ED"/>
    <w:rsid w:val="0093355D"/>
    <w:rsid w:val="00935D92"/>
    <w:rsid w:val="009361EB"/>
    <w:rsid w:val="00941003"/>
    <w:rsid w:val="009425B3"/>
    <w:rsid w:val="00945BF2"/>
    <w:rsid w:val="0094711E"/>
    <w:rsid w:val="0094724E"/>
    <w:rsid w:val="00952951"/>
    <w:rsid w:val="00953A07"/>
    <w:rsid w:val="00954442"/>
    <w:rsid w:val="0095513F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1D8C"/>
    <w:rsid w:val="00971FC5"/>
    <w:rsid w:val="00972425"/>
    <w:rsid w:val="009733F5"/>
    <w:rsid w:val="0098401D"/>
    <w:rsid w:val="009849E5"/>
    <w:rsid w:val="0098683C"/>
    <w:rsid w:val="0098753E"/>
    <w:rsid w:val="009923A9"/>
    <w:rsid w:val="00996071"/>
    <w:rsid w:val="009964CD"/>
    <w:rsid w:val="00997637"/>
    <w:rsid w:val="009A27D2"/>
    <w:rsid w:val="009A3E4B"/>
    <w:rsid w:val="009A53C8"/>
    <w:rsid w:val="009A6414"/>
    <w:rsid w:val="009B3D65"/>
    <w:rsid w:val="009B426B"/>
    <w:rsid w:val="009B5513"/>
    <w:rsid w:val="009B626F"/>
    <w:rsid w:val="009B7251"/>
    <w:rsid w:val="009B7280"/>
    <w:rsid w:val="009C0ABF"/>
    <w:rsid w:val="009C43E7"/>
    <w:rsid w:val="009D14CA"/>
    <w:rsid w:val="009D4E01"/>
    <w:rsid w:val="009D5757"/>
    <w:rsid w:val="009D7DB0"/>
    <w:rsid w:val="009E1D78"/>
    <w:rsid w:val="009E20AB"/>
    <w:rsid w:val="009E295D"/>
    <w:rsid w:val="009E5B17"/>
    <w:rsid w:val="009E78B5"/>
    <w:rsid w:val="009E7925"/>
    <w:rsid w:val="009E798E"/>
    <w:rsid w:val="009F1127"/>
    <w:rsid w:val="009F3B08"/>
    <w:rsid w:val="009F6FBF"/>
    <w:rsid w:val="009F70DC"/>
    <w:rsid w:val="00A001C3"/>
    <w:rsid w:val="00A028A2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5F2C"/>
    <w:rsid w:val="00A70FD9"/>
    <w:rsid w:val="00A71DC3"/>
    <w:rsid w:val="00A72188"/>
    <w:rsid w:val="00A72B1A"/>
    <w:rsid w:val="00A734EF"/>
    <w:rsid w:val="00A737D3"/>
    <w:rsid w:val="00A73873"/>
    <w:rsid w:val="00A8041F"/>
    <w:rsid w:val="00A8062A"/>
    <w:rsid w:val="00A807A5"/>
    <w:rsid w:val="00A842F8"/>
    <w:rsid w:val="00A8458D"/>
    <w:rsid w:val="00A87089"/>
    <w:rsid w:val="00A87B0A"/>
    <w:rsid w:val="00A93198"/>
    <w:rsid w:val="00A95D52"/>
    <w:rsid w:val="00A9668D"/>
    <w:rsid w:val="00A97137"/>
    <w:rsid w:val="00AA14F4"/>
    <w:rsid w:val="00AA1BF0"/>
    <w:rsid w:val="00AA4441"/>
    <w:rsid w:val="00AA45F7"/>
    <w:rsid w:val="00AA5045"/>
    <w:rsid w:val="00AA73FE"/>
    <w:rsid w:val="00AA7D8F"/>
    <w:rsid w:val="00AB14AF"/>
    <w:rsid w:val="00AC390C"/>
    <w:rsid w:val="00AC51F3"/>
    <w:rsid w:val="00AC532F"/>
    <w:rsid w:val="00AC710B"/>
    <w:rsid w:val="00AC768E"/>
    <w:rsid w:val="00AC7B67"/>
    <w:rsid w:val="00AD0B89"/>
    <w:rsid w:val="00AD17D8"/>
    <w:rsid w:val="00AD47D4"/>
    <w:rsid w:val="00AD62D8"/>
    <w:rsid w:val="00AE1546"/>
    <w:rsid w:val="00AE33D9"/>
    <w:rsid w:val="00AE7A63"/>
    <w:rsid w:val="00AF267E"/>
    <w:rsid w:val="00AF63C3"/>
    <w:rsid w:val="00AF7CE1"/>
    <w:rsid w:val="00B00E7C"/>
    <w:rsid w:val="00B011E3"/>
    <w:rsid w:val="00B025A3"/>
    <w:rsid w:val="00B0301F"/>
    <w:rsid w:val="00B0351C"/>
    <w:rsid w:val="00B03934"/>
    <w:rsid w:val="00B048B1"/>
    <w:rsid w:val="00B05132"/>
    <w:rsid w:val="00B11686"/>
    <w:rsid w:val="00B12C6B"/>
    <w:rsid w:val="00B13276"/>
    <w:rsid w:val="00B139D9"/>
    <w:rsid w:val="00B22DD8"/>
    <w:rsid w:val="00B23F46"/>
    <w:rsid w:val="00B26826"/>
    <w:rsid w:val="00B31D15"/>
    <w:rsid w:val="00B31D8E"/>
    <w:rsid w:val="00B32E81"/>
    <w:rsid w:val="00B34146"/>
    <w:rsid w:val="00B351C5"/>
    <w:rsid w:val="00B35552"/>
    <w:rsid w:val="00B437D7"/>
    <w:rsid w:val="00B43C10"/>
    <w:rsid w:val="00B46744"/>
    <w:rsid w:val="00B477DB"/>
    <w:rsid w:val="00B50307"/>
    <w:rsid w:val="00B5050B"/>
    <w:rsid w:val="00B50EBF"/>
    <w:rsid w:val="00B51ABE"/>
    <w:rsid w:val="00B53ED3"/>
    <w:rsid w:val="00B54E3D"/>
    <w:rsid w:val="00B55214"/>
    <w:rsid w:val="00B55FAF"/>
    <w:rsid w:val="00B64AEB"/>
    <w:rsid w:val="00B64D08"/>
    <w:rsid w:val="00B6605E"/>
    <w:rsid w:val="00B70A39"/>
    <w:rsid w:val="00B70AB2"/>
    <w:rsid w:val="00B72EEE"/>
    <w:rsid w:val="00B76F72"/>
    <w:rsid w:val="00B775BD"/>
    <w:rsid w:val="00B809B1"/>
    <w:rsid w:val="00B824F1"/>
    <w:rsid w:val="00B87183"/>
    <w:rsid w:val="00B903FD"/>
    <w:rsid w:val="00B9221E"/>
    <w:rsid w:val="00B92AD4"/>
    <w:rsid w:val="00BA1684"/>
    <w:rsid w:val="00BA1B69"/>
    <w:rsid w:val="00BA7D6F"/>
    <w:rsid w:val="00BB1819"/>
    <w:rsid w:val="00BB42DF"/>
    <w:rsid w:val="00BB4EBA"/>
    <w:rsid w:val="00BB5DA9"/>
    <w:rsid w:val="00BC014F"/>
    <w:rsid w:val="00BC0164"/>
    <w:rsid w:val="00BC28D4"/>
    <w:rsid w:val="00BC5B54"/>
    <w:rsid w:val="00BC78A2"/>
    <w:rsid w:val="00BD142D"/>
    <w:rsid w:val="00BD505D"/>
    <w:rsid w:val="00BD61A7"/>
    <w:rsid w:val="00BD63F6"/>
    <w:rsid w:val="00BE09CA"/>
    <w:rsid w:val="00BE0FC3"/>
    <w:rsid w:val="00BE114C"/>
    <w:rsid w:val="00BE7761"/>
    <w:rsid w:val="00BF03A9"/>
    <w:rsid w:val="00BF0F57"/>
    <w:rsid w:val="00BF14BC"/>
    <w:rsid w:val="00BF5157"/>
    <w:rsid w:val="00BF59F6"/>
    <w:rsid w:val="00BF7292"/>
    <w:rsid w:val="00C00948"/>
    <w:rsid w:val="00C03F38"/>
    <w:rsid w:val="00C047F9"/>
    <w:rsid w:val="00C06CDB"/>
    <w:rsid w:val="00C06D0F"/>
    <w:rsid w:val="00C070FB"/>
    <w:rsid w:val="00C13799"/>
    <w:rsid w:val="00C2460C"/>
    <w:rsid w:val="00C2552A"/>
    <w:rsid w:val="00C308BE"/>
    <w:rsid w:val="00C31F5F"/>
    <w:rsid w:val="00C32053"/>
    <w:rsid w:val="00C36154"/>
    <w:rsid w:val="00C40FD8"/>
    <w:rsid w:val="00C41733"/>
    <w:rsid w:val="00C423BC"/>
    <w:rsid w:val="00C43D44"/>
    <w:rsid w:val="00C462C4"/>
    <w:rsid w:val="00C51015"/>
    <w:rsid w:val="00C55A65"/>
    <w:rsid w:val="00C60C71"/>
    <w:rsid w:val="00C632B3"/>
    <w:rsid w:val="00C63B7C"/>
    <w:rsid w:val="00C67009"/>
    <w:rsid w:val="00C70D48"/>
    <w:rsid w:val="00C71038"/>
    <w:rsid w:val="00C7592C"/>
    <w:rsid w:val="00C77158"/>
    <w:rsid w:val="00C77DFE"/>
    <w:rsid w:val="00C80D4B"/>
    <w:rsid w:val="00C8278A"/>
    <w:rsid w:val="00C82850"/>
    <w:rsid w:val="00C8558C"/>
    <w:rsid w:val="00C85ABE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675A"/>
    <w:rsid w:val="00CA72F1"/>
    <w:rsid w:val="00CB0841"/>
    <w:rsid w:val="00CB0CF2"/>
    <w:rsid w:val="00CB2DCB"/>
    <w:rsid w:val="00CB4591"/>
    <w:rsid w:val="00CB6F85"/>
    <w:rsid w:val="00CC0473"/>
    <w:rsid w:val="00CC1794"/>
    <w:rsid w:val="00CC1E8D"/>
    <w:rsid w:val="00CC3970"/>
    <w:rsid w:val="00CC3ED1"/>
    <w:rsid w:val="00CC4988"/>
    <w:rsid w:val="00CD619B"/>
    <w:rsid w:val="00CD66D5"/>
    <w:rsid w:val="00CE0A40"/>
    <w:rsid w:val="00CE1852"/>
    <w:rsid w:val="00CE2946"/>
    <w:rsid w:val="00CE4329"/>
    <w:rsid w:val="00CF1014"/>
    <w:rsid w:val="00CF7619"/>
    <w:rsid w:val="00D00EA0"/>
    <w:rsid w:val="00D01999"/>
    <w:rsid w:val="00D01A50"/>
    <w:rsid w:val="00D02AFB"/>
    <w:rsid w:val="00D04367"/>
    <w:rsid w:val="00D05D33"/>
    <w:rsid w:val="00D123BB"/>
    <w:rsid w:val="00D160F3"/>
    <w:rsid w:val="00D17B72"/>
    <w:rsid w:val="00D17E86"/>
    <w:rsid w:val="00D201E6"/>
    <w:rsid w:val="00D20FFB"/>
    <w:rsid w:val="00D23118"/>
    <w:rsid w:val="00D2517E"/>
    <w:rsid w:val="00D25CD7"/>
    <w:rsid w:val="00D3261D"/>
    <w:rsid w:val="00D33A08"/>
    <w:rsid w:val="00D35F06"/>
    <w:rsid w:val="00D36226"/>
    <w:rsid w:val="00D45492"/>
    <w:rsid w:val="00D455D4"/>
    <w:rsid w:val="00D45E62"/>
    <w:rsid w:val="00D46DC4"/>
    <w:rsid w:val="00D5062B"/>
    <w:rsid w:val="00D52F1B"/>
    <w:rsid w:val="00D53541"/>
    <w:rsid w:val="00D55D81"/>
    <w:rsid w:val="00D55E39"/>
    <w:rsid w:val="00D60633"/>
    <w:rsid w:val="00D620FF"/>
    <w:rsid w:val="00D63E1C"/>
    <w:rsid w:val="00D65A90"/>
    <w:rsid w:val="00D65BF3"/>
    <w:rsid w:val="00D73D35"/>
    <w:rsid w:val="00D74C34"/>
    <w:rsid w:val="00D761E4"/>
    <w:rsid w:val="00D7679A"/>
    <w:rsid w:val="00D76A3B"/>
    <w:rsid w:val="00D815D8"/>
    <w:rsid w:val="00D83505"/>
    <w:rsid w:val="00D872B1"/>
    <w:rsid w:val="00D91D07"/>
    <w:rsid w:val="00D972BF"/>
    <w:rsid w:val="00DA0FD0"/>
    <w:rsid w:val="00DA55F6"/>
    <w:rsid w:val="00DB5F38"/>
    <w:rsid w:val="00DB60B4"/>
    <w:rsid w:val="00DC1CC0"/>
    <w:rsid w:val="00DC273F"/>
    <w:rsid w:val="00DC38B8"/>
    <w:rsid w:val="00DC4475"/>
    <w:rsid w:val="00DC58C0"/>
    <w:rsid w:val="00DD1489"/>
    <w:rsid w:val="00DD332C"/>
    <w:rsid w:val="00DD3A2B"/>
    <w:rsid w:val="00DD61DE"/>
    <w:rsid w:val="00DD7094"/>
    <w:rsid w:val="00DD77AE"/>
    <w:rsid w:val="00DE11A5"/>
    <w:rsid w:val="00DE25A0"/>
    <w:rsid w:val="00DE4E91"/>
    <w:rsid w:val="00DE680B"/>
    <w:rsid w:val="00DF0B35"/>
    <w:rsid w:val="00DF39D2"/>
    <w:rsid w:val="00DF56A7"/>
    <w:rsid w:val="00DF6BBB"/>
    <w:rsid w:val="00DF7125"/>
    <w:rsid w:val="00DF776E"/>
    <w:rsid w:val="00E017F3"/>
    <w:rsid w:val="00E01912"/>
    <w:rsid w:val="00E02FD6"/>
    <w:rsid w:val="00E04749"/>
    <w:rsid w:val="00E07A22"/>
    <w:rsid w:val="00E142DF"/>
    <w:rsid w:val="00E16674"/>
    <w:rsid w:val="00E21911"/>
    <w:rsid w:val="00E2417A"/>
    <w:rsid w:val="00E25B4B"/>
    <w:rsid w:val="00E26437"/>
    <w:rsid w:val="00E37F4B"/>
    <w:rsid w:val="00E411A9"/>
    <w:rsid w:val="00E4350D"/>
    <w:rsid w:val="00E4387D"/>
    <w:rsid w:val="00E43A22"/>
    <w:rsid w:val="00E5325E"/>
    <w:rsid w:val="00E54CEB"/>
    <w:rsid w:val="00E557D7"/>
    <w:rsid w:val="00E55E85"/>
    <w:rsid w:val="00E55EED"/>
    <w:rsid w:val="00E560EA"/>
    <w:rsid w:val="00E62588"/>
    <w:rsid w:val="00E6313E"/>
    <w:rsid w:val="00E7396A"/>
    <w:rsid w:val="00E73FD6"/>
    <w:rsid w:val="00E74EFA"/>
    <w:rsid w:val="00E75850"/>
    <w:rsid w:val="00E76CD4"/>
    <w:rsid w:val="00E80514"/>
    <w:rsid w:val="00E8153C"/>
    <w:rsid w:val="00E86CF4"/>
    <w:rsid w:val="00E90586"/>
    <w:rsid w:val="00E9183E"/>
    <w:rsid w:val="00E91C1D"/>
    <w:rsid w:val="00E936B6"/>
    <w:rsid w:val="00E9443C"/>
    <w:rsid w:val="00E94476"/>
    <w:rsid w:val="00E948E4"/>
    <w:rsid w:val="00E960BA"/>
    <w:rsid w:val="00E96C90"/>
    <w:rsid w:val="00E9768D"/>
    <w:rsid w:val="00EA067A"/>
    <w:rsid w:val="00EA1A26"/>
    <w:rsid w:val="00EA2F92"/>
    <w:rsid w:val="00EA5A23"/>
    <w:rsid w:val="00EA7141"/>
    <w:rsid w:val="00EB27E9"/>
    <w:rsid w:val="00EB2E7B"/>
    <w:rsid w:val="00EB5774"/>
    <w:rsid w:val="00EB6169"/>
    <w:rsid w:val="00EB64CF"/>
    <w:rsid w:val="00EB69A2"/>
    <w:rsid w:val="00EB74A3"/>
    <w:rsid w:val="00EC1F3E"/>
    <w:rsid w:val="00EC65CA"/>
    <w:rsid w:val="00ED2C01"/>
    <w:rsid w:val="00ED59C7"/>
    <w:rsid w:val="00ED7B9C"/>
    <w:rsid w:val="00EE2467"/>
    <w:rsid w:val="00EE3131"/>
    <w:rsid w:val="00EE6127"/>
    <w:rsid w:val="00EE6D9A"/>
    <w:rsid w:val="00EE7426"/>
    <w:rsid w:val="00EF0027"/>
    <w:rsid w:val="00EF0F49"/>
    <w:rsid w:val="00EF26EB"/>
    <w:rsid w:val="00EF291C"/>
    <w:rsid w:val="00EF584E"/>
    <w:rsid w:val="00F007F5"/>
    <w:rsid w:val="00F01D4C"/>
    <w:rsid w:val="00F02583"/>
    <w:rsid w:val="00F04C12"/>
    <w:rsid w:val="00F052B6"/>
    <w:rsid w:val="00F115D4"/>
    <w:rsid w:val="00F14219"/>
    <w:rsid w:val="00F14A3D"/>
    <w:rsid w:val="00F1565A"/>
    <w:rsid w:val="00F156C3"/>
    <w:rsid w:val="00F24BB0"/>
    <w:rsid w:val="00F25E14"/>
    <w:rsid w:val="00F271F7"/>
    <w:rsid w:val="00F36B32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7230C"/>
    <w:rsid w:val="00F74C22"/>
    <w:rsid w:val="00F80921"/>
    <w:rsid w:val="00F80B2F"/>
    <w:rsid w:val="00F81D1A"/>
    <w:rsid w:val="00F84389"/>
    <w:rsid w:val="00F851EC"/>
    <w:rsid w:val="00F854CA"/>
    <w:rsid w:val="00F855A7"/>
    <w:rsid w:val="00F86B1F"/>
    <w:rsid w:val="00F87AF0"/>
    <w:rsid w:val="00F93A5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698B"/>
    <w:rsid w:val="00FC2F42"/>
    <w:rsid w:val="00FC2F44"/>
    <w:rsid w:val="00FC62BC"/>
    <w:rsid w:val="00FC63D2"/>
    <w:rsid w:val="00FD1481"/>
    <w:rsid w:val="00FD30D6"/>
    <w:rsid w:val="00FD6378"/>
    <w:rsid w:val="00FE2612"/>
    <w:rsid w:val="00FE2DE8"/>
    <w:rsid w:val="00FE76A1"/>
    <w:rsid w:val="00FE7F47"/>
    <w:rsid w:val="00FF018B"/>
    <w:rsid w:val="00FF0708"/>
    <w:rsid w:val="00FF0CF2"/>
    <w:rsid w:val="00FF170B"/>
    <w:rsid w:val="00FF3038"/>
    <w:rsid w:val="00FF432E"/>
    <w:rsid w:val="00FF47AC"/>
    <w:rsid w:val="00FF64A2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3B0A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440D6B"/>
  </w:style>
  <w:style w:type="character" w:customStyle="1" w:styleId="EndnoteTextChar">
    <w:name w:val="Endnote Text Char"/>
    <w:basedOn w:val="DefaultParagraphFont"/>
    <w:link w:val="EndnoteText"/>
    <w:uiPriority w:val="99"/>
    <w:rsid w:val="00440D6B"/>
    <w:rPr>
      <w:sz w:val="24"/>
      <w:szCs w:val="24"/>
      <w:lang w:val="de-DE" w:eastAsia="ja-JP"/>
    </w:rPr>
  </w:style>
  <w:style w:type="character" w:styleId="EndnoteReference">
    <w:name w:val="endnote reference"/>
    <w:basedOn w:val="DefaultParagraphFont"/>
    <w:uiPriority w:val="99"/>
    <w:unhideWhenUsed/>
    <w:rsid w:val="00440D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4F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F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F78"/>
    <w:rPr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F7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F78"/>
    <w:rPr>
      <w:b/>
      <w:bCs/>
      <w:sz w:val="24"/>
      <w:szCs w:val="24"/>
      <w:lang w:val="de-DE" w:eastAsia="ja-JP"/>
    </w:rPr>
  </w:style>
  <w:style w:type="character" w:styleId="Strong">
    <w:name w:val="Strong"/>
    <w:basedOn w:val="DefaultParagraphFont"/>
    <w:uiPriority w:val="22"/>
    <w:qFormat/>
    <w:rsid w:val="0011103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C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g/Dropbox/publications/pubs%20submitted/2018%20Angew%20Highlight%20Beer/highligh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30BE95-CB6B-8348-8117-5D62C794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highlight.dot</Template>
  <TotalTime>0</TotalTime>
  <Pages>2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((Title))</vt:lpstr>
    </vt:vector>
  </TitlesOfParts>
  <Company>WILEY-VCH Verlag GmbH &amp; Co. KGaA</Company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Steve Goldup</dc:creator>
  <cp:keywords/>
  <cp:lastModifiedBy>Steve Goldup</cp:lastModifiedBy>
  <cp:revision>2</cp:revision>
  <cp:lastPrinted>2018-01-17T08:43:00Z</cp:lastPrinted>
  <dcterms:created xsi:type="dcterms:W3CDTF">2018-01-19T18:46:00Z</dcterms:created>
  <dcterms:modified xsi:type="dcterms:W3CDTF">2018-01-19T18:46:00Z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http://csl.mendeley.com/styles/20484711/JACS-direct</vt:lpwstr>
  </property>
  <property fmtid="{D5CDD505-2E9C-101B-9397-08002B2CF9AE}" pid="3" name="Mendeley Recent Style Name 0_1">
    <vt:lpwstr>American Chemical Society (page-first) - Steve Goldup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http://www.zotero.org/styles/angewandte-chemie</vt:lpwstr>
  </property>
  <property fmtid="{D5CDD505-2E9C-101B-9397-08002B2CF9AE}" pid="9" name="Mendeley Recent Style Name 3_1">
    <vt:lpwstr>Angewandte Chemie International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</Properties>
</file>