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73D" w:rsidRPr="00942766" w:rsidRDefault="004E273D" w:rsidP="004E273D">
      <w:pPr>
        <w:pStyle w:val="Heading1"/>
        <w:spacing w:before="0" w:line="480" w:lineRule="auto"/>
        <w:jc w:val="center"/>
        <w:rPr>
          <w:rFonts w:ascii="Cambria" w:hAnsi="Cambria" w:cs="Times New Roman"/>
          <w:sz w:val="24"/>
          <w:szCs w:val="24"/>
        </w:rPr>
      </w:pPr>
      <w:r w:rsidRPr="00942766">
        <w:rPr>
          <w:rFonts w:ascii="Cambria" w:hAnsi="Cambria" w:cs="Times New Roman"/>
          <w:sz w:val="24"/>
          <w:szCs w:val="24"/>
        </w:rPr>
        <w:t>Societal costs of permanent childhood hearing loss at teen age:</w:t>
      </w:r>
    </w:p>
    <w:p w:rsidR="004E273D" w:rsidRPr="00942766" w:rsidRDefault="004E273D" w:rsidP="004E273D">
      <w:pPr>
        <w:pStyle w:val="Heading1"/>
        <w:spacing w:before="0" w:line="480" w:lineRule="auto"/>
        <w:jc w:val="center"/>
        <w:rPr>
          <w:rFonts w:ascii="Cambria" w:hAnsi="Cambria" w:cs="Times New Roman"/>
          <w:sz w:val="24"/>
          <w:szCs w:val="24"/>
        </w:rPr>
      </w:pPr>
      <w:r w:rsidRPr="00942766">
        <w:rPr>
          <w:rFonts w:ascii="Cambria" w:hAnsi="Cambria" w:cs="Times New Roman"/>
          <w:sz w:val="24"/>
          <w:szCs w:val="24"/>
        </w:rPr>
        <w:t>a cross-sectional cohort follow-up study of universal newborn hearing screening</w:t>
      </w:r>
    </w:p>
    <w:p w:rsidR="004E273D" w:rsidRPr="00942766" w:rsidRDefault="004E273D" w:rsidP="004E273D">
      <w:pPr>
        <w:rPr>
          <w:rFonts w:ascii="Cambria" w:hAnsi="Cambria"/>
        </w:rPr>
      </w:pPr>
    </w:p>
    <w:p w:rsidR="004E273D" w:rsidRPr="00942766" w:rsidRDefault="004E273D" w:rsidP="004E273D">
      <w:pPr>
        <w:rPr>
          <w:rFonts w:ascii="Cambria" w:hAnsi="Cambria"/>
        </w:rPr>
      </w:pPr>
      <w:r w:rsidRPr="00942766">
        <w:rPr>
          <w:rFonts w:ascii="Cambria" w:hAnsi="Cambria"/>
        </w:rPr>
        <w:t>Maria Chorozoglou*, Merle Mahon PhD**, Hannah Pimperton PhD*, Sarah Worsfold PhD*, &amp; Colin R Kennedy MBBS MD*</w:t>
      </w:r>
      <w:r w:rsidRPr="00942766">
        <w:rPr>
          <w:rFonts w:ascii="Cambria" w:hAnsi="Cambria"/>
          <w:iCs/>
          <w:vertAlign w:val="superscript"/>
        </w:rPr>
        <w:t>+</w:t>
      </w:r>
    </w:p>
    <w:p w:rsidR="004E273D" w:rsidRPr="00942766" w:rsidRDefault="004E273D" w:rsidP="004E273D">
      <w:pPr>
        <w:rPr>
          <w:rFonts w:ascii="Cambria" w:hAnsi="Cambria"/>
        </w:rPr>
      </w:pPr>
      <w:r w:rsidRPr="00942766">
        <w:rPr>
          <w:rFonts w:ascii="Cambria" w:hAnsi="Cambria"/>
        </w:rPr>
        <w:t>*: Faculty of Medicine, University of Southampton, Southampton SO16 6YD</w:t>
      </w:r>
    </w:p>
    <w:p w:rsidR="004E273D" w:rsidRPr="00942766" w:rsidRDefault="004E273D" w:rsidP="004E273D">
      <w:pPr>
        <w:rPr>
          <w:rFonts w:ascii="Cambria" w:hAnsi="Cambria"/>
        </w:rPr>
      </w:pPr>
      <w:r w:rsidRPr="00942766">
        <w:rPr>
          <w:rFonts w:ascii="Cambria" w:hAnsi="Cambria"/>
        </w:rPr>
        <w:t>**: Language and Cognition Research Department, UCL, London WC1E 6BT</w:t>
      </w:r>
      <w:r w:rsidRPr="00942766">
        <w:rPr>
          <w:rFonts w:ascii="Cambria" w:hAnsi="Cambria"/>
          <w:bCs/>
        </w:rPr>
        <w:t xml:space="preserve"> </w:t>
      </w:r>
    </w:p>
    <w:p w:rsidR="004E273D" w:rsidRPr="00942766" w:rsidRDefault="004E273D" w:rsidP="004E273D">
      <w:pPr>
        <w:rPr>
          <w:rFonts w:ascii="Cambria" w:hAnsi="Cambria"/>
          <w:iCs/>
        </w:rPr>
      </w:pPr>
      <w:r w:rsidRPr="00942766">
        <w:rPr>
          <w:rFonts w:ascii="Cambria" w:hAnsi="Cambria"/>
          <w:iCs/>
          <w:vertAlign w:val="superscript"/>
        </w:rPr>
        <w:t>+</w:t>
      </w:r>
      <w:r w:rsidRPr="00942766">
        <w:rPr>
          <w:rFonts w:ascii="Cambria" w:hAnsi="Cambria"/>
          <w:iCs/>
        </w:rPr>
        <w:t xml:space="preserve">: University Hospital Southampton NHS Foundation Trust, Southampton, UK </w:t>
      </w:r>
    </w:p>
    <w:p w:rsidR="004E273D" w:rsidRPr="00942766" w:rsidRDefault="004E273D" w:rsidP="004E273D">
      <w:pPr>
        <w:rPr>
          <w:rFonts w:ascii="Cambria" w:hAnsi="Cambria"/>
        </w:rPr>
      </w:pPr>
    </w:p>
    <w:p w:rsidR="004E273D" w:rsidRPr="00942766" w:rsidRDefault="004E273D" w:rsidP="004E273D">
      <w:pPr>
        <w:rPr>
          <w:rFonts w:ascii="Cambria" w:hAnsi="Cambria"/>
        </w:rPr>
      </w:pPr>
      <w:r w:rsidRPr="00942766">
        <w:rPr>
          <w:rFonts w:ascii="Cambria" w:hAnsi="Cambria"/>
          <w:b/>
          <w:bCs/>
        </w:rPr>
        <w:t>Address correspondence to:</w:t>
      </w:r>
      <w:r w:rsidRPr="00942766">
        <w:rPr>
          <w:rFonts w:ascii="Cambria" w:hAnsi="Cambria"/>
        </w:rPr>
        <w:t xml:space="preserve"> Professor Colin Kennedy, Mailpoint 803G, Southampton General Hospital, Southampton SO16 6YD, UK. [</w:t>
      </w:r>
      <w:hyperlink r:id="rId8" w:history="1">
        <w:r w:rsidRPr="00942766">
          <w:rPr>
            <w:rStyle w:val="Hyperlink"/>
            <w:rFonts w:ascii="Cambria" w:hAnsi="Cambria"/>
            <w:color w:val="auto"/>
          </w:rPr>
          <w:t>crk1@soton.ac.uk</w:t>
        </w:r>
      </w:hyperlink>
      <w:r w:rsidRPr="00942766">
        <w:rPr>
          <w:rFonts w:ascii="Cambria" w:hAnsi="Cambria"/>
        </w:rPr>
        <w:t xml:space="preserve">], </w:t>
      </w:r>
    </w:p>
    <w:p w:rsidR="004E273D" w:rsidRPr="00942766" w:rsidRDefault="004E273D" w:rsidP="004E273D">
      <w:pPr>
        <w:rPr>
          <w:rFonts w:ascii="Cambria" w:hAnsi="Cambria"/>
        </w:rPr>
      </w:pPr>
      <w:r w:rsidRPr="00942766">
        <w:rPr>
          <w:rFonts w:ascii="Cambria" w:hAnsi="Cambria"/>
        </w:rPr>
        <w:t xml:space="preserve">Tel: 0044 (0)238 120 6678 </w:t>
      </w:r>
      <w:r w:rsidRPr="00942766">
        <w:rPr>
          <w:rFonts w:ascii="Cambria" w:hAnsi="Cambria"/>
        </w:rPr>
        <w:tab/>
        <w:t>Fax: 0044 (0)238 120 6420</w:t>
      </w:r>
    </w:p>
    <w:p w:rsidR="004E273D" w:rsidRPr="00942766" w:rsidRDefault="004E273D" w:rsidP="004E273D">
      <w:pPr>
        <w:rPr>
          <w:rFonts w:ascii="Cambria" w:hAnsi="Cambria"/>
        </w:rPr>
      </w:pPr>
    </w:p>
    <w:p w:rsidR="004E273D" w:rsidRPr="00942766" w:rsidRDefault="004E273D" w:rsidP="004E273D">
      <w:pPr>
        <w:rPr>
          <w:rFonts w:ascii="Cambria" w:hAnsi="Cambria"/>
        </w:rPr>
      </w:pPr>
    </w:p>
    <w:p w:rsidR="004E273D" w:rsidRPr="00942766" w:rsidRDefault="004E273D" w:rsidP="004E273D">
      <w:pPr>
        <w:rPr>
          <w:rFonts w:ascii="Cambria" w:hAnsi="Cambria"/>
        </w:rPr>
      </w:pPr>
      <w:r w:rsidRPr="00942766">
        <w:rPr>
          <w:rFonts w:ascii="Cambria" w:hAnsi="Cambria"/>
          <w:b/>
          <w:bCs/>
        </w:rPr>
        <w:t>Word Count:</w:t>
      </w:r>
      <w:r w:rsidRPr="00942766">
        <w:rPr>
          <w:rFonts w:ascii="Cambria" w:hAnsi="Cambria"/>
        </w:rPr>
        <w:t xml:space="preserve"> Abstract 2</w:t>
      </w:r>
      <w:r w:rsidR="00C10717" w:rsidRPr="00942766">
        <w:rPr>
          <w:rFonts w:ascii="Cambria" w:hAnsi="Cambria"/>
        </w:rPr>
        <w:t>98</w:t>
      </w:r>
      <w:r w:rsidRPr="00942766">
        <w:rPr>
          <w:rFonts w:ascii="Cambria" w:hAnsi="Cambria"/>
        </w:rPr>
        <w:t xml:space="preserve"> words, Text </w:t>
      </w:r>
      <w:r w:rsidR="00E035A3" w:rsidRPr="00942766">
        <w:rPr>
          <w:rFonts w:ascii="Cambria" w:hAnsi="Cambria"/>
        </w:rPr>
        <w:t>32</w:t>
      </w:r>
      <w:r w:rsidR="005A24F2" w:rsidRPr="00942766">
        <w:rPr>
          <w:rFonts w:ascii="Cambria" w:hAnsi="Cambria"/>
        </w:rPr>
        <w:t>17</w:t>
      </w:r>
      <w:r w:rsidRPr="00942766">
        <w:rPr>
          <w:rFonts w:ascii="Cambria" w:hAnsi="Cambria"/>
        </w:rPr>
        <w:t xml:space="preserve"> words, Tables 5, online Appendix 1 </w:t>
      </w:r>
    </w:p>
    <w:p w:rsidR="004E273D" w:rsidRPr="00942766" w:rsidRDefault="004E273D" w:rsidP="004E273D">
      <w:pPr>
        <w:rPr>
          <w:rFonts w:ascii="Cambria" w:hAnsi="Cambria"/>
        </w:rPr>
      </w:pPr>
    </w:p>
    <w:p w:rsidR="004E273D" w:rsidRPr="00942766" w:rsidRDefault="004E273D" w:rsidP="004E273D">
      <w:pPr>
        <w:pStyle w:val="Heading1"/>
        <w:spacing w:before="0" w:line="480" w:lineRule="auto"/>
        <w:rPr>
          <w:rFonts w:ascii="Cambria" w:hAnsi="Cambria" w:cs="Times New Roman"/>
          <w:sz w:val="24"/>
          <w:szCs w:val="24"/>
        </w:rPr>
      </w:pPr>
    </w:p>
    <w:p w:rsidR="004E273D" w:rsidRPr="00942766" w:rsidRDefault="004E273D" w:rsidP="004E273D">
      <w:pPr>
        <w:pStyle w:val="Heading1"/>
        <w:spacing w:before="0" w:line="480" w:lineRule="auto"/>
        <w:rPr>
          <w:rFonts w:ascii="Cambria" w:hAnsi="Cambria" w:cs="Times New Roman"/>
          <w:sz w:val="24"/>
          <w:szCs w:val="24"/>
        </w:rPr>
      </w:pPr>
    </w:p>
    <w:p w:rsidR="004E273D" w:rsidRPr="00942766" w:rsidRDefault="004E273D" w:rsidP="004E273D">
      <w:pPr>
        <w:rPr>
          <w:rFonts w:ascii="Cambria" w:hAnsi="Cambria"/>
        </w:rPr>
      </w:pPr>
    </w:p>
    <w:p w:rsidR="004E273D" w:rsidRPr="00942766" w:rsidRDefault="004E273D" w:rsidP="004E273D">
      <w:pPr>
        <w:rPr>
          <w:rFonts w:ascii="Cambria" w:hAnsi="Cambria"/>
        </w:rPr>
      </w:pPr>
    </w:p>
    <w:p w:rsidR="004E273D" w:rsidRPr="00942766" w:rsidRDefault="004E273D" w:rsidP="004E273D">
      <w:pPr>
        <w:rPr>
          <w:rFonts w:ascii="Cambria" w:hAnsi="Cambria"/>
        </w:rPr>
      </w:pPr>
    </w:p>
    <w:p w:rsidR="004E273D" w:rsidRPr="00942766" w:rsidRDefault="004E273D" w:rsidP="004E273D">
      <w:pPr>
        <w:rPr>
          <w:rFonts w:ascii="Cambria" w:hAnsi="Cambria"/>
        </w:rPr>
      </w:pPr>
    </w:p>
    <w:p w:rsidR="004E273D" w:rsidRPr="00942766" w:rsidRDefault="004E273D" w:rsidP="004E273D">
      <w:pPr>
        <w:rPr>
          <w:rFonts w:ascii="Cambria" w:hAnsi="Cambria"/>
        </w:rPr>
      </w:pPr>
    </w:p>
    <w:p w:rsidR="004E273D" w:rsidRPr="00942766" w:rsidRDefault="004E273D" w:rsidP="004E273D">
      <w:pPr>
        <w:rPr>
          <w:rFonts w:ascii="Cambria" w:hAnsi="Cambria"/>
        </w:rPr>
      </w:pPr>
    </w:p>
    <w:p w:rsidR="004E273D" w:rsidRPr="00942766" w:rsidRDefault="004E273D" w:rsidP="004E273D">
      <w:pPr>
        <w:rPr>
          <w:rFonts w:ascii="Cambria" w:hAnsi="Cambria"/>
        </w:rPr>
      </w:pPr>
    </w:p>
    <w:p w:rsidR="004E273D" w:rsidRPr="00942766" w:rsidRDefault="004E273D" w:rsidP="004E273D">
      <w:pPr>
        <w:rPr>
          <w:rFonts w:ascii="Cambria" w:hAnsi="Cambria"/>
          <w:b/>
        </w:rPr>
      </w:pPr>
      <w:r w:rsidRPr="00942766">
        <w:rPr>
          <w:rFonts w:ascii="Cambria" w:hAnsi="Cambria"/>
          <w:b/>
        </w:rPr>
        <w:br w:type="page"/>
      </w:r>
    </w:p>
    <w:p w:rsidR="004E273D" w:rsidRPr="00942766" w:rsidRDefault="004E273D" w:rsidP="004E273D">
      <w:pPr>
        <w:spacing w:line="480" w:lineRule="auto"/>
        <w:jc w:val="center"/>
        <w:rPr>
          <w:rFonts w:ascii="Cambria" w:hAnsi="Cambria"/>
          <w:b/>
        </w:rPr>
      </w:pPr>
      <w:r w:rsidRPr="00942766">
        <w:rPr>
          <w:rFonts w:ascii="Cambria" w:hAnsi="Cambria"/>
          <w:b/>
        </w:rPr>
        <w:lastRenderedPageBreak/>
        <w:t>ABSTRACT</w:t>
      </w:r>
    </w:p>
    <w:p w:rsidR="004E273D" w:rsidRPr="00942766" w:rsidRDefault="004E273D" w:rsidP="004E273D">
      <w:pPr>
        <w:spacing w:line="480" w:lineRule="auto"/>
        <w:rPr>
          <w:rFonts w:ascii="Cambria" w:hAnsi="Cambria"/>
        </w:rPr>
      </w:pPr>
      <w:r w:rsidRPr="00942766">
        <w:rPr>
          <w:rFonts w:ascii="Cambria" w:hAnsi="Cambria"/>
          <w:b/>
        </w:rPr>
        <w:t>Objective</w:t>
      </w:r>
      <w:r w:rsidRPr="00942766">
        <w:rPr>
          <w:rFonts w:ascii="Cambria" w:hAnsi="Cambria"/>
        </w:rPr>
        <w:t xml:space="preserve">: </w:t>
      </w:r>
      <w:r w:rsidR="00BE6DB9" w:rsidRPr="00942766">
        <w:rPr>
          <w:rFonts w:ascii="Cambria" w:hAnsi="Cambria"/>
          <w:iCs/>
        </w:rPr>
        <w:t xml:space="preserve">To investigate the effects </w:t>
      </w:r>
      <w:r w:rsidR="00B13451" w:rsidRPr="00942766">
        <w:rPr>
          <w:rFonts w:ascii="Cambria" w:hAnsi="Cambria"/>
          <w:iCs/>
        </w:rPr>
        <w:t xml:space="preserve">in adolescence </w:t>
      </w:r>
      <w:r w:rsidR="00BE6DB9" w:rsidRPr="00942766">
        <w:rPr>
          <w:rFonts w:ascii="Cambria" w:hAnsi="Cambria"/>
          <w:iCs/>
        </w:rPr>
        <w:t xml:space="preserve">of bilateral Permanent Childhood Hearing Loss (PCHL) </w:t>
      </w:r>
      <w:r w:rsidR="00BE6DB9" w:rsidRPr="00942766">
        <w:rPr>
          <w:rFonts w:ascii="Cambria" w:hAnsi="Cambria"/>
          <w:iCs/>
          <w:u w:val="single"/>
        </w:rPr>
        <w:t>&gt;</w:t>
      </w:r>
      <w:r w:rsidR="00BE6DB9" w:rsidRPr="00942766">
        <w:rPr>
          <w:rFonts w:ascii="Cambria" w:hAnsi="Cambria"/>
          <w:iCs/>
        </w:rPr>
        <w:t>40 dB and of exposure to Universal Newborn Hearing Screening (UNHS) on societal costs accrued over the preceding 12 months</w:t>
      </w:r>
      <w:r w:rsidR="00B13451" w:rsidRPr="00942766">
        <w:rPr>
          <w:rFonts w:ascii="Cambria" w:hAnsi="Cambria"/>
          <w:iCs/>
        </w:rPr>
        <w:t>.</w:t>
      </w:r>
    </w:p>
    <w:p w:rsidR="004E273D" w:rsidRPr="00942766" w:rsidRDefault="004E273D" w:rsidP="004E273D">
      <w:pPr>
        <w:spacing w:line="480" w:lineRule="auto"/>
        <w:rPr>
          <w:rFonts w:ascii="Cambria" w:hAnsi="Cambria"/>
        </w:rPr>
      </w:pPr>
      <w:r w:rsidRPr="00942766">
        <w:rPr>
          <w:rFonts w:ascii="Cambria" w:hAnsi="Cambria"/>
          <w:b/>
        </w:rPr>
        <w:t>Design, Setting, Participants</w:t>
      </w:r>
      <w:r w:rsidRPr="00942766">
        <w:rPr>
          <w:rFonts w:ascii="Cambria" w:hAnsi="Cambria"/>
        </w:rPr>
        <w:t>: A</w:t>
      </w:r>
      <w:r w:rsidR="00655096" w:rsidRPr="00942766">
        <w:rPr>
          <w:rFonts w:ascii="Cambria" w:hAnsi="Cambria"/>
        </w:rPr>
        <w:t>n observational cohort study of a</w:t>
      </w:r>
      <w:r w:rsidRPr="00942766">
        <w:rPr>
          <w:rFonts w:ascii="Cambria" w:hAnsi="Cambria"/>
        </w:rPr>
        <w:t xml:space="preserve"> sample of 110 </w:t>
      </w:r>
      <w:r w:rsidR="00B13451" w:rsidRPr="00942766">
        <w:rPr>
          <w:rFonts w:ascii="Cambria" w:hAnsi="Cambria"/>
        </w:rPr>
        <w:t xml:space="preserve">adolescents </w:t>
      </w:r>
      <w:r w:rsidR="00B13451" w:rsidRPr="00942766">
        <w:rPr>
          <w:rFonts w:ascii="Cambria" w:hAnsi="Cambria"/>
          <w:iCs/>
        </w:rPr>
        <w:t>aged 13 to 20 years</w:t>
      </w:r>
      <w:r w:rsidRPr="00942766">
        <w:rPr>
          <w:rFonts w:ascii="Cambria" w:hAnsi="Cambria"/>
        </w:rPr>
        <w:t xml:space="preserve">, 73 with PCHL and 37 </w:t>
      </w:r>
      <w:r w:rsidR="00655096" w:rsidRPr="00942766">
        <w:rPr>
          <w:rFonts w:ascii="Cambria" w:hAnsi="Cambria"/>
        </w:rPr>
        <w:t xml:space="preserve">in a </w:t>
      </w:r>
      <w:r w:rsidRPr="00942766">
        <w:rPr>
          <w:rFonts w:ascii="Cambria" w:hAnsi="Cambria"/>
        </w:rPr>
        <w:t>normally hearing comparison group (HCG)</w:t>
      </w:r>
      <w:r w:rsidR="00655096" w:rsidRPr="00942766">
        <w:rPr>
          <w:rFonts w:ascii="Cambria" w:hAnsi="Cambria"/>
        </w:rPr>
        <w:t xml:space="preserve"> closely similar in respect of place and date of birth to those with PCHL</w:t>
      </w:r>
      <w:r w:rsidRPr="00942766">
        <w:rPr>
          <w:rFonts w:ascii="Cambria" w:hAnsi="Cambria"/>
        </w:rPr>
        <w:t xml:space="preserve">, drawn from a </w:t>
      </w:r>
      <w:r w:rsidR="00655096" w:rsidRPr="00942766">
        <w:rPr>
          <w:rFonts w:ascii="Cambria" w:hAnsi="Cambria"/>
        </w:rPr>
        <w:t xml:space="preserve">1992-97 </w:t>
      </w:r>
      <w:r w:rsidRPr="00942766">
        <w:rPr>
          <w:rFonts w:ascii="Cambria" w:hAnsi="Cambria"/>
        </w:rPr>
        <w:t xml:space="preserve">cohort of 157,000 births in Southern England, </w:t>
      </w:r>
      <w:r w:rsidR="00655096" w:rsidRPr="00942766">
        <w:rPr>
          <w:rFonts w:ascii="Cambria" w:hAnsi="Cambria"/>
        </w:rPr>
        <w:t>half of whom had been exposed to a UNHS programme.</w:t>
      </w:r>
      <w:r w:rsidRPr="00942766">
        <w:rPr>
          <w:rFonts w:ascii="Cambria" w:hAnsi="Cambria"/>
        </w:rPr>
        <w:t xml:space="preserve"> </w:t>
      </w:r>
    </w:p>
    <w:p w:rsidR="004E273D" w:rsidRPr="00942766" w:rsidRDefault="004E273D" w:rsidP="004E273D">
      <w:pPr>
        <w:spacing w:line="480" w:lineRule="auto"/>
        <w:rPr>
          <w:rFonts w:ascii="Cambria" w:hAnsi="Cambria"/>
          <w:b/>
        </w:rPr>
      </w:pPr>
      <w:r w:rsidRPr="00942766">
        <w:rPr>
          <w:rFonts w:ascii="Cambria" w:hAnsi="Cambria"/>
          <w:b/>
          <w:bCs/>
        </w:rPr>
        <w:t>Intervention</w:t>
      </w:r>
      <w:r w:rsidRPr="00942766">
        <w:rPr>
          <w:rFonts w:ascii="Cambria" w:hAnsi="Cambria"/>
          <w:b/>
        </w:rPr>
        <w:t xml:space="preserve">: </w:t>
      </w:r>
      <w:r w:rsidRPr="00942766">
        <w:rPr>
          <w:rFonts w:ascii="Cambria" w:hAnsi="Cambria"/>
        </w:rPr>
        <w:t>Birth in periods with and without UNHS.</w:t>
      </w:r>
      <w:r w:rsidRPr="00942766">
        <w:rPr>
          <w:rFonts w:ascii="Cambria" w:hAnsi="Cambria"/>
          <w:b/>
        </w:rPr>
        <w:t xml:space="preserve"> </w:t>
      </w:r>
    </w:p>
    <w:p w:rsidR="004E273D" w:rsidRPr="00942766" w:rsidRDefault="004E273D" w:rsidP="004E273D">
      <w:pPr>
        <w:spacing w:line="480" w:lineRule="auto"/>
        <w:rPr>
          <w:rFonts w:ascii="Cambria" w:hAnsi="Cambria"/>
        </w:rPr>
      </w:pPr>
      <w:r w:rsidRPr="00942766">
        <w:rPr>
          <w:rFonts w:ascii="Cambria" w:hAnsi="Cambria"/>
          <w:b/>
        </w:rPr>
        <w:t>Outcome Measures:</w:t>
      </w:r>
      <w:r w:rsidRPr="00942766">
        <w:rPr>
          <w:rFonts w:ascii="Cambria" w:hAnsi="Cambria"/>
        </w:rPr>
        <w:t xml:space="preserve"> </w:t>
      </w:r>
      <w:r w:rsidR="00655096" w:rsidRPr="00942766">
        <w:rPr>
          <w:rFonts w:ascii="Cambria" w:hAnsi="Cambria"/>
        </w:rPr>
        <w:t>R</w:t>
      </w:r>
      <w:r w:rsidRPr="00942766">
        <w:rPr>
          <w:rFonts w:ascii="Cambria" w:hAnsi="Cambria"/>
        </w:rPr>
        <w:t xml:space="preserve">esource use and costs </w:t>
      </w:r>
      <w:r w:rsidR="00655096" w:rsidRPr="00942766">
        <w:rPr>
          <w:rFonts w:ascii="Cambria" w:hAnsi="Cambria"/>
        </w:rPr>
        <w:t>in the preceding 12 month period,</w:t>
      </w:r>
      <w:r w:rsidRPr="00942766">
        <w:rPr>
          <w:rFonts w:ascii="Cambria" w:hAnsi="Cambria"/>
        </w:rPr>
        <w:t xml:space="preserve"> estimated from interview </w:t>
      </w:r>
      <w:r w:rsidR="00655096" w:rsidRPr="00942766">
        <w:rPr>
          <w:rFonts w:ascii="Cambria" w:hAnsi="Cambria"/>
        </w:rPr>
        <w:t xml:space="preserve">at a mean age of 16.9 years </w:t>
      </w:r>
      <w:r w:rsidRPr="00942766">
        <w:rPr>
          <w:rFonts w:ascii="Cambria" w:hAnsi="Cambria"/>
        </w:rPr>
        <w:t>and review of medical records. Effects on costs were examined in regression models.</w:t>
      </w:r>
    </w:p>
    <w:p w:rsidR="004E273D" w:rsidRPr="00942766" w:rsidRDefault="004E273D" w:rsidP="004E273D">
      <w:pPr>
        <w:spacing w:line="480" w:lineRule="auto"/>
        <w:rPr>
          <w:rFonts w:ascii="Cambria" w:hAnsi="Cambria"/>
        </w:rPr>
      </w:pPr>
      <w:r w:rsidRPr="00942766">
        <w:rPr>
          <w:rFonts w:ascii="Cambria" w:hAnsi="Cambria"/>
          <w:b/>
        </w:rPr>
        <w:t>Results</w:t>
      </w:r>
      <w:r w:rsidRPr="00942766">
        <w:rPr>
          <w:rFonts w:ascii="Cambria" w:hAnsi="Cambria"/>
        </w:rPr>
        <w:t xml:space="preserve">: </w:t>
      </w:r>
      <w:r w:rsidR="00352165" w:rsidRPr="00942766">
        <w:rPr>
          <w:rFonts w:ascii="Cambria" w:hAnsi="Cambria"/>
        </w:rPr>
        <w:t xml:space="preserve">Mean total costs for </w:t>
      </w:r>
      <w:r w:rsidRPr="00942766">
        <w:rPr>
          <w:rFonts w:ascii="Cambria" w:hAnsi="Cambria"/>
        </w:rPr>
        <w:t>participants with PCHL and the HCG were £15,914 and £5,883 respectively (difference £10,031</w:t>
      </w:r>
      <w:r w:rsidR="00EF20C5" w:rsidRPr="00942766">
        <w:rPr>
          <w:rFonts w:ascii="Cambria" w:hAnsi="Cambria"/>
        </w:rPr>
        <w:t>,</w:t>
      </w:r>
      <w:r w:rsidRPr="00942766">
        <w:rPr>
          <w:rFonts w:ascii="Cambria" w:hAnsi="Cambria"/>
        </w:rPr>
        <w:t xml:space="preserve"> </w:t>
      </w:r>
      <w:r w:rsidR="00EF20C5" w:rsidRPr="00942766">
        <w:rPr>
          <w:rFonts w:ascii="Cambria" w:hAnsi="Cambria"/>
        </w:rPr>
        <w:t xml:space="preserve">95% CI </w:t>
      </w:r>
      <w:r w:rsidR="00CA204D" w:rsidRPr="00942766">
        <w:rPr>
          <w:rFonts w:ascii="Cambria" w:hAnsi="Cambria"/>
        </w:rPr>
        <w:t>£</w:t>
      </w:r>
      <w:r w:rsidRPr="00942766">
        <w:rPr>
          <w:rFonts w:ascii="Cambria" w:hAnsi="Cambria"/>
        </w:rPr>
        <w:t xml:space="preserve">6,460 to </w:t>
      </w:r>
      <w:r w:rsidR="00CA204D" w:rsidRPr="00942766">
        <w:rPr>
          <w:rFonts w:ascii="Cambria" w:hAnsi="Cambria"/>
        </w:rPr>
        <w:t>£</w:t>
      </w:r>
      <w:r w:rsidRPr="00942766">
        <w:rPr>
          <w:rFonts w:ascii="Cambria" w:hAnsi="Cambria"/>
        </w:rPr>
        <w:t>13,603)</w:t>
      </w:r>
      <w:r w:rsidR="00EF20C5" w:rsidRPr="00942766">
        <w:rPr>
          <w:rFonts w:ascii="Cambria" w:hAnsi="Cambria"/>
        </w:rPr>
        <w:t>,</w:t>
      </w:r>
      <w:r w:rsidRPr="00942766">
        <w:rPr>
          <w:rFonts w:ascii="Cambria" w:hAnsi="Cambria"/>
        </w:rPr>
        <w:t xml:space="preserve"> primarily driven by a difference in educational costs.  Compared to the HCG, additional </w:t>
      </w:r>
      <w:r w:rsidR="00EF20C5" w:rsidRPr="00942766">
        <w:rPr>
          <w:rFonts w:ascii="Cambria" w:hAnsi="Cambria"/>
        </w:rPr>
        <w:t xml:space="preserve">mean </w:t>
      </w:r>
      <w:r w:rsidRPr="00942766">
        <w:rPr>
          <w:rFonts w:ascii="Cambria" w:hAnsi="Cambria"/>
        </w:rPr>
        <w:t xml:space="preserve">costs </w:t>
      </w:r>
      <w:r w:rsidR="00EF20C5" w:rsidRPr="00942766">
        <w:rPr>
          <w:rFonts w:ascii="Cambria" w:hAnsi="Cambria"/>
        </w:rPr>
        <w:t xml:space="preserve">associated with </w:t>
      </w:r>
      <w:r w:rsidRPr="00942766">
        <w:rPr>
          <w:rFonts w:ascii="Cambria" w:hAnsi="Cambria"/>
        </w:rPr>
        <w:t xml:space="preserve">PCHL of moderate, severe and profound severity were £5,916, £6,605 and £18,437 respectively. The presence of </w:t>
      </w:r>
      <w:r w:rsidR="009F5712" w:rsidRPr="00942766">
        <w:rPr>
          <w:rFonts w:ascii="Cambria" w:hAnsi="Cambria"/>
        </w:rPr>
        <w:t xml:space="preserve">not only PCHL but also </w:t>
      </w:r>
      <w:r w:rsidRPr="00942766">
        <w:rPr>
          <w:rFonts w:ascii="Cambria" w:hAnsi="Cambria"/>
        </w:rPr>
        <w:t>a</w:t>
      </w:r>
      <w:r w:rsidR="009F5712" w:rsidRPr="00942766">
        <w:rPr>
          <w:rFonts w:ascii="Cambria" w:hAnsi="Cambria"/>
        </w:rPr>
        <w:t>n additional</w:t>
      </w:r>
      <w:r w:rsidRPr="00942766">
        <w:rPr>
          <w:rFonts w:ascii="Cambria" w:hAnsi="Cambria"/>
        </w:rPr>
        <w:t xml:space="preserve"> medical condition (AMC)</w:t>
      </w:r>
      <w:r w:rsidR="009F5712" w:rsidRPr="00942766">
        <w:rPr>
          <w:rFonts w:ascii="Cambria" w:hAnsi="Cambria"/>
        </w:rPr>
        <w:t xml:space="preserve"> </w:t>
      </w:r>
      <w:r w:rsidRPr="00942766">
        <w:rPr>
          <w:rFonts w:ascii="Cambria" w:hAnsi="Cambria"/>
        </w:rPr>
        <w:t>increased costs by £15,385 (</w:t>
      </w:r>
      <w:r w:rsidR="00EF20C5" w:rsidRPr="00942766">
        <w:rPr>
          <w:rFonts w:ascii="Cambria" w:hAnsi="Cambria"/>
        </w:rPr>
        <w:t xml:space="preserve">95%CI </w:t>
      </w:r>
      <w:r w:rsidR="00CA204D" w:rsidRPr="00942766">
        <w:rPr>
          <w:rFonts w:ascii="Cambria" w:hAnsi="Cambria"/>
        </w:rPr>
        <w:t>£</w:t>
      </w:r>
      <w:r w:rsidRPr="00942766">
        <w:rPr>
          <w:rFonts w:ascii="Cambria" w:hAnsi="Cambria"/>
        </w:rPr>
        <w:t xml:space="preserve">8,532 to </w:t>
      </w:r>
      <w:r w:rsidR="00CA204D" w:rsidRPr="00942766">
        <w:rPr>
          <w:rFonts w:ascii="Cambria" w:hAnsi="Cambria"/>
        </w:rPr>
        <w:t>£</w:t>
      </w:r>
      <w:r w:rsidRPr="00942766">
        <w:rPr>
          <w:rFonts w:ascii="Cambria" w:hAnsi="Cambria"/>
        </w:rPr>
        <w:t xml:space="preserve">22,238). </w:t>
      </w:r>
      <w:r w:rsidR="00EF20C5" w:rsidRPr="00942766">
        <w:rPr>
          <w:rFonts w:ascii="Cambria" w:hAnsi="Cambria"/>
        </w:rPr>
        <w:t>An increase of one unit in receptive language z score was associated with £1,616 (</w:t>
      </w:r>
      <w:r w:rsidR="00CF0707" w:rsidRPr="00942766">
        <w:rPr>
          <w:rFonts w:ascii="Cambria" w:hAnsi="Cambria"/>
        </w:rPr>
        <w:t xml:space="preserve">95%CI </w:t>
      </w:r>
      <w:r w:rsidR="00EF20C5" w:rsidRPr="00942766">
        <w:rPr>
          <w:rFonts w:ascii="Cambria" w:hAnsi="Cambria"/>
        </w:rPr>
        <w:t xml:space="preserve">£842 to £2,389) lower costs.  </w:t>
      </w:r>
      <w:r w:rsidRPr="00942766">
        <w:rPr>
          <w:rFonts w:ascii="Cambria" w:hAnsi="Cambria"/>
        </w:rPr>
        <w:t>Birth during periods of UNHS was not associated with significantly lower overall</w:t>
      </w:r>
      <w:r w:rsidRPr="00942766" w:rsidDel="004C7A6A">
        <w:rPr>
          <w:rFonts w:ascii="Cambria" w:hAnsi="Cambria"/>
        </w:rPr>
        <w:t xml:space="preserve"> </w:t>
      </w:r>
      <w:r w:rsidRPr="00942766">
        <w:rPr>
          <w:rFonts w:ascii="Cambria" w:hAnsi="Cambria"/>
        </w:rPr>
        <w:t>costs (differe</w:t>
      </w:r>
      <w:r w:rsidR="00400B80" w:rsidRPr="00942766">
        <w:rPr>
          <w:rFonts w:ascii="Cambria" w:hAnsi="Cambria"/>
        </w:rPr>
        <w:t>nce £3,594</w:t>
      </w:r>
      <w:r w:rsidR="00EF20C5" w:rsidRPr="00942766">
        <w:rPr>
          <w:rFonts w:ascii="Cambria" w:hAnsi="Cambria"/>
        </w:rPr>
        <w:t xml:space="preserve">, 95%CI </w:t>
      </w:r>
      <w:r w:rsidR="0083450D" w:rsidRPr="00942766">
        <w:rPr>
          <w:rFonts w:ascii="Cambria" w:hAnsi="Cambria"/>
        </w:rPr>
        <w:t>-</w:t>
      </w:r>
      <w:r w:rsidR="00CA204D" w:rsidRPr="00942766">
        <w:rPr>
          <w:rFonts w:ascii="Cambria" w:hAnsi="Cambria"/>
        </w:rPr>
        <w:t xml:space="preserve">£2,918 </w:t>
      </w:r>
      <w:r w:rsidR="00400B80" w:rsidRPr="00942766">
        <w:rPr>
          <w:rFonts w:ascii="Cambria" w:hAnsi="Cambria"/>
        </w:rPr>
        <w:t>to</w:t>
      </w:r>
      <w:r w:rsidR="0083450D" w:rsidRPr="00942766">
        <w:rPr>
          <w:rFonts w:ascii="Cambria" w:hAnsi="Cambria"/>
        </w:rPr>
        <w:t xml:space="preserve"> </w:t>
      </w:r>
      <w:r w:rsidR="00CA204D" w:rsidRPr="00942766">
        <w:rPr>
          <w:rFonts w:ascii="Cambria" w:hAnsi="Cambria"/>
        </w:rPr>
        <w:t>£10,106</w:t>
      </w:r>
      <w:r w:rsidR="00400B80" w:rsidRPr="00942766">
        <w:rPr>
          <w:rFonts w:ascii="Cambria" w:hAnsi="Cambria"/>
        </w:rPr>
        <w:t>)</w:t>
      </w:r>
      <w:r w:rsidRPr="00942766">
        <w:rPr>
          <w:rFonts w:ascii="Cambria" w:hAnsi="Cambria"/>
        </w:rPr>
        <w:t xml:space="preserve">. </w:t>
      </w:r>
    </w:p>
    <w:p w:rsidR="004E273D" w:rsidRPr="00942766" w:rsidRDefault="004E273D" w:rsidP="004E273D">
      <w:pPr>
        <w:spacing w:line="480" w:lineRule="auto"/>
        <w:rPr>
          <w:rFonts w:ascii="Cambria" w:hAnsi="Cambria"/>
        </w:rPr>
      </w:pPr>
      <w:r w:rsidRPr="00942766">
        <w:rPr>
          <w:rFonts w:ascii="Cambria" w:hAnsi="Cambria"/>
          <w:b/>
        </w:rPr>
        <w:t>Conclusions</w:t>
      </w:r>
      <w:r w:rsidRPr="00942766">
        <w:rPr>
          <w:rFonts w:ascii="Cambria" w:hAnsi="Cambria"/>
        </w:rPr>
        <w:t xml:space="preserve">: The societal cost of PCHL was greater with more severe losses and in the presence of AMC and was lower in children with superior language scores. </w:t>
      </w:r>
      <w:r w:rsidR="00DA783E" w:rsidRPr="00942766">
        <w:rPr>
          <w:rFonts w:ascii="Cambria" w:hAnsi="Cambria"/>
        </w:rPr>
        <w:t>The</w:t>
      </w:r>
      <w:r w:rsidR="00E43056" w:rsidRPr="00942766">
        <w:rPr>
          <w:rFonts w:ascii="Cambria" w:hAnsi="Cambria"/>
        </w:rPr>
        <w:t>re was no statistically significant reduction in</w:t>
      </w:r>
      <w:r w:rsidR="00DA783E" w:rsidRPr="00942766">
        <w:rPr>
          <w:rFonts w:ascii="Cambria" w:hAnsi="Cambria"/>
        </w:rPr>
        <w:t xml:space="preserve"> cost</w:t>
      </w:r>
      <w:r w:rsidR="00E43056" w:rsidRPr="00942766">
        <w:rPr>
          <w:rFonts w:ascii="Cambria" w:hAnsi="Cambria"/>
        </w:rPr>
        <w:t xml:space="preserve">s associated with birth in periods with </w:t>
      </w:r>
      <w:r w:rsidR="00DA783E" w:rsidRPr="00942766">
        <w:rPr>
          <w:rFonts w:ascii="Cambria" w:hAnsi="Cambria"/>
        </w:rPr>
        <w:t>UNHS</w:t>
      </w:r>
      <w:r w:rsidR="00E43056" w:rsidRPr="00942766">
        <w:rPr>
          <w:rFonts w:ascii="Cambria" w:hAnsi="Cambria"/>
        </w:rPr>
        <w:t>.</w:t>
      </w:r>
      <w:r w:rsidR="00DA783E" w:rsidRPr="00942766">
        <w:rPr>
          <w:rFonts w:ascii="Cambria" w:hAnsi="Cambria"/>
        </w:rPr>
        <w:t xml:space="preserve"> </w:t>
      </w:r>
    </w:p>
    <w:p w:rsidR="004E273D" w:rsidRPr="00942766" w:rsidRDefault="004E273D" w:rsidP="004E273D">
      <w:pPr>
        <w:spacing w:line="480" w:lineRule="auto"/>
        <w:rPr>
          <w:rFonts w:ascii="Cambria" w:hAnsi="Cambria"/>
        </w:rPr>
      </w:pPr>
      <w:r w:rsidRPr="00942766">
        <w:rPr>
          <w:rFonts w:ascii="Cambria" w:hAnsi="Cambria"/>
          <w:b/>
          <w:bCs/>
        </w:rPr>
        <w:lastRenderedPageBreak/>
        <w:t xml:space="preserve">Trial Registration: </w:t>
      </w:r>
      <w:hyperlink r:id="rId9" w:history="1">
        <w:r w:rsidRPr="00942766">
          <w:rPr>
            <w:rStyle w:val="Hyperlink"/>
            <w:rFonts w:ascii="Cambria" w:hAnsi="Cambria"/>
            <w:bCs/>
            <w:color w:val="auto"/>
          </w:rPr>
          <w:t>http://www.controlled-trials.com/ISRCTN03307358/hearing+outcomes+in+teenagers</w:t>
        </w:r>
      </w:hyperlink>
      <w:r w:rsidRPr="00942766">
        <w:rPr>
          <w:rFonts w:ascii="Cambria" w:hAnsi="Cambria"/>
          <w:bCs/>
        </w:rPr>
        <w:t> </w:t>
      </w:r>
    </w:p>
    <w:p w:rsidR="004E273D" w:rsidRPr="00942766" w:rsidRDefault="004E273D" w:rsidP="004E273D">
      <w:pPr>
        <w:rPr>
          <w:rFonts w:ascii="Cambria" w:eastAsia="Calibri" w:hAnsi="Cambria"/>
        </w:rPr>
      </w:pPr>
      <w:r w:rsidRPr="00942766">
        <w:rPr>
          <w:rFonts w:ascii="Cambria" w:eastAsia="Calibri" w:hAnsi="Cambria"/>
        </w:rPr>
        <w:br w:type="page"/>
      </w:r>
    </w:p>
    <w:p w:rsidR="004E273D" w:rsidRPr="00942766" w:rsidRDefault="004E273D" w:rsidP="004E273D">
      <w:pPr>
        <w:pStyle w:val="Heading1"/>
        <w:spacing w:line="480" w:lineRule="auto"/>
        <w:rPr>
          <w:rFonts w:ascii="Cambria" w:hAnsi="Cambria" w:cs="Times New Roman"/>
          <w:sz w:val="24"/>
          <w:szCs w:val="24"/>
        </w:rPr>
      </w:pPr>
      <w:r w:rsidRPr="00942766">
        <w:rPr>
          <w:rFonts w:ascii="Cambria" w:hAnsi="Cambria" w:cs="Times New Roman"/>
          <w:sz w:val="24"/>
          <w:szCs w:val="24"/>
        </w:rPr>
        <w:lastRenderedPageBreak/>
        <w:t xml:space="preserve">INTRODUCTION </w:t>
      </w:r>
    </w:p>
    <w:p w:rsidR="002C6511" w:rsidRPr="00942766" w:rsidRDefault="004E273D" w:rsidP="004E273D">
      <w:pPr>
        <w:spacing w:line="480" w:lineRule="auto"/>
        <w:rPr>
          <w:rFonts w:ascii="Cambria" w:hAnsi="Cambria"/>
        </w:rPr>
      </w:pPr>
      <w:r w:rsidRPr="00942766">
        <w:rPr>
          <w:rFonts w:ascii="Cambria" w:hAnsi="Cambria"/>
        </w:rPr>
        <w:t xml:space="preserve">Permanent Childhood Hearing Loss (PCHL) </w:t>
      </w:r>
      <w:r w:rsidR="00537731" w:rsidRPr="00942766">
        <w:rPr>
          <w:rFonts w:ascii="Cambria" w:hAnsi="Cambria"/>
        </w:rPr>
        <w:t>is the commonest sensory impairment. It  affecting more than 112 per 100,000 children at birth</w:t>
      </w:r>
      <w:r w:rsidR="00D71C51" w:rsidRPr="00942766">
        <w:rPr>
          <w:rFonts w:ascii="Cambria" w:hAnsi="Cambria"/>
        </w:rPr>
        <w:t>(1)</w:t>
      </w:r>
      <w:r w:rsidR="00537731" w:rsidRPr="00942766">
        <w:rPr>
          <w:rFonts w:ascii="Cambria" w:hAnsi="Cambria"/>
        </w:rPr>
        <w:t xml:space="preserve"> and </w:t>
      </w:r>
      <w:r w:rsidRPr="00942766">
        <w:rPr>
          <w:rFonts w:ascii="Cambria" w:hAnsi="Cambria"/>
        </w:rPr>
        <w:t>incurs substantial economic costs to society</w:t>
      </w:r>
      <w:r w:rsidR="00E03134" w:rsidRPr="00942766">
        <w:rPr>
          <w:rFonts w:ascii="Cambria" w:hAnsi="Cambria"/>
        </w:rPr>
        <w:t>(2)</w:t>
      </w:r>
      <w:r w:rsidRPr="00942766">
        <w:rPr>
          <w:rFonts w:ascii="Cambria" w:hAnsi="Cambria"/>
        </w:rPr>
        <w:t>, including  those related to special education</w:t>
      </w:r>
      <w:r w:rsidR="00E03134" w:rsidRPr="00942766">
        <w:rPr>
          <w:rFonts w:ascii="Cambria" w:hAnsi="Cambria"/>
        </w:rPr>
        <w:t>(3, 4)</w:t>
      </w:r>
      <w:r w:rsidRPr="00942766">
        <w:rPr>
          <w:rFonts w:ascii="Cambria" w:hAnsi="Cambria"/>
        </w:rPr>
        <w:t>, employment</w:t>
      </w:r>
      <w:r w:rsidR="00E03134" w:rsidRPr="00942766">
        <w:rPr>
          <w:rFonts w:ascii="Cambria" w:hAnsi="Cambria"/>
        </w:rPr>
        <w:t>(3, 4)</w:t>
      </w:r>
      <w:r w:rsidRPr="00942766">
        <w:rPr>
          <w:rFonts w:ascii="Cambria" w:hAnsi="Cambria"/>
        </w:rPr>
        <w:t>, vocational rehabilitation</w:t>
      </w:r>
      <w:r w:rsidR="00E03134" w:rsidRPr="00942766">
        <w:rPr>
          <w:rFonts w:ascii="Cambria" w:hAnsi="Cambria"/>
        </w:rPr>
        <w:t>(3, 5)</w:t>
      </w:r>
      <w:r w:rsidRPr="00942766">
        <w:rPr>
          <w:rFonts w:ascii="Cambria" w:hAnsi="Cambria"/>
        </w:rPr>
        <w:t>, hearing aids, cochlear implants,  and other medical interventions</w:t>
      </w:r>
      <w:r w:rsidR="00E03134" w:rsidRPr="00942766">
        <w:rPr>
          <w:rFonts w:ascii="Cambria" w:hAnsi="Cambria"/>
        </w:rPr>
        <w:t>(3, 5)</w:t>
      </w:r>
      <w:r w:rsidRPr="00942766">
        <w:rPr>
          <w:rFonts w:ascii="Cambria" w:hAnsi="Cambria"/>
        </w:rPr>
        <w:t>. These costs to society are particularly high in severe and profound PCHL of pre-lingual onset and early intervention might confer substantial lifetime financial gains</w:t>
      </w:r>
      <w:r w:rsidR="00E03134" w:rsidRPr="00942766">
        <w:rPr>
          <w:rFonts w:ascii="Cambria" w:hAnsi="Cambria"/>
        </w:rPr>
        <w:t>(5)</w:t>
      </w:r>
      <w:r w:rsidRPr="00942766">
        <w:rPr>
          <w:rFonts w:ascii="Cambria" w:hAnsi="Cambria"/>
        </w:rPr>
        <w:t>. Universal Newborn Hearing Screening (UNHS) has been shown to increase the proportion of cases of PCHL that are detected early</w:t>
      </w:r>
      <w:r w:rsidR="00E03134" w:rsidRPr="00942766">
        <w:rPr>
          <w:rFonts w:ascii="Cambria" w:hAnsi="Cambria"/>
        </w:rPr>
        <w:t>(</w:t>
      </w:r>
      <w:r w:rsidR="00D228B2" w:rsidRPr="00942766">
        <w:rPr>
          <w:rFonts w:ascii="Cambria" w:hAnsi="Cambria"/>
        </w:rPr>
        <w:t xml:space="preserve">1, </w:t>
      </w:r>
      <w:r w:rsidR="00E03134" w:rsidRPr="00942766">
        <w:rPr>
          <w:rFonts w:ascii="Cambria" w:hAnsi="Cambria"/>
        </w:rPr>
        <w:t>6-8)</w:t>
      </w:r>
      <w:r w:rsidRPr="00942766">
        <w:rPr>
          <w:rFonts w:ascii="Cambria" w:hAnsi="Cambria"/>
        </w:rPr>
        <w:t xml:space="preserve">. </w:t>
      </w:r>
    </w:p>
    <w:p w:rsidR="004E273D" w:rsidRPr="00942766" w:rsidRDefault="004E273D" w:rsidP="004E273D">
      <w:pPr>
        <w:spacing w:line="480" w:lineRule="auto"/>
        <w:rPr>
          <w:rFonts w:ascii="Cambria" w:hAnsi="Cambria"/>
        </w:rPr>
      </w:pPr>
      <w:r w:rsidRPr="00942766">
        <w:rPr>
          <w:rFonts w:ascii="Cambria" w:hAnsi="Cambria"/>
        </w:rPr>
        <w:t>UNHS adds to financial costs in the first year of life</w:t>
      </w:r>
      <w:r w:rsidR="00BE6DB9" w:rsidRPr="00942766">
        <w:rPr>
          <w:rFonts w:ascii="Cambria" w:hAnsi="Cambria"/>
        </w:rPr>
        <w:t>, both because of the cost of administering a UNHS programme</w:t>
      </w:r>
      <w:r w:rsidR="005C37C9" w:rsidRPr="00942766">
        <w:rPr>
          <w:rFonts w:ascii="Cambria" w:hAnsi="Cambria"/>
        </w:rPr>
        <w:t xml:space="preserve">, </w:t>
      </w:r>
      <w:r w:rsidR="005C37C9" w:rsidRPr="00942766">
        <w:rPr>
          <w:rFonts w:ascii="Cambria" w:hAnsi="Cambria"/>
          <w:iCs/>
        </w:rPr>
        <w:t>estimated in 1998 as £13,881 per annum f</w:t>
      </w:r>
      <w:r w:rsidR="006762F8" w:rsidRPr="00942766">
        <w:rPr>
          <w:rFonts w:ascii="Cambria" w:hAnsi="Cambria"/>
          <w:iCs/>
        </w:rPr>
        <w:t>or a district with 1,000 births</w:t>
      </w:r>
      <w:r w:rsidR="00E03134" w:rsidRPr="00942766">
        <w:rPr>
          <w:rFonts w:ascii="Cambria" w:hAnsi="Cambria"/>
        </w:rPr>
        <w:t>(9)</w:t>
      </w:r>
      <w:r w:rsidR="006762F8" w:rsidRPr="00942766">
        <w:rPr>
          <w:rFonts w:ascii="Cambria" w:hAnsi="Cambria"/>
        </w:rPr>
        <w:t>,</w:t>
      </w:r>
      <w:r w:rsidR="00E03134" w:rsidRPr="00942766">
        <w:rPr>
          <w:rFonts w:ascii="Cambria" w:hAnsi="Cambria"/>
        </w:rPr>
        <w:t xml:space="preserve"> </w:t>
      </w:r>
      <w:r w:rsidR="00BE6DB9" w:rsidRPr="00942766">
        <w:rPr>
          <w:rFonts w:ascii="Cambria" w:hAnsi="Cambria"/>
        </w:rPr>
        <w:t>and because of the additional costs of management of identified cases during the months that would otherwise precede identification of the PCHI. On the other hand,</w:t>
      </w:r>
      <w:r w:rsidRPr="00942766">
        <w:rPr>
          <w:rFonts w:ascii="Cambria" w:hAnsi="Cambria"/>
        </w:rPr>
        <w:t xml:space="preserve"> earlier identification of children born with PCHL can facilitate earlier access to linguistic input and better language and literacy skills</w:t>
      </w:r>
      <w:r w:rsidR="00E03134" w:rsidRPr="00942766">
        <w:rPr>
          <w:rFonts w:ascii="Cambria" w:hAnsi="Cambria"/>
        </w:rPr>
        <w:t>(10-16)</w:t>
      </w:r>
      <w:r w:rsidRPr="00942766">
        <w:rPr>
          <w:rFonts w:ascii="Cambria" w:hAnsi="Cambria"/>
        </w:rPr>
        <w:t xml:space="preserve"> and may thus reduce cost subsequent to infancy. </w:t>
      </w:r>
      <w:r w:rsidR="002C6511" w:rsidRPr="00942766">
        <w:rPr>
          <w:rFonts w:ascii="Cambria" w:hAnsi="Cambria"/>
        </w:rPr>
        <w:t>More research into the long-term cost-effectiveness of UNHS is needed</w:t>
      </w:r>
      <w:r w:rsidR="00E03134" w:rsidRPr="00942766">
        <w:rPr>
          <w:rFonts w:ascii="Cambria" w:hAnsi="Cambria"/>
        </w:rPr>
        <w:t>(17)</w:t>
      </w:r>
      <w:r w:rsidR="002C6511" w:rsidRPr="00942766">
        <w:rPr>
          <w:rFonts w:ascii="Cambria" w:hAnsi="Cambria"/>
        </w:rPr>
        <w:t xml:space="preserve"> and r</w:t>
      </w:r>
      <w:r w:rsidR="002C6511" w:rsidRPr="00942766">
        <w:rPr>
          <w:rFonts w:ascii="Cambria" w:hAnsi="Cambria"/>
          <w:iCs/>
        </w:rPr>
        <w:t>igorous data on long-term economic consequences of PCHL are required to conduct cost-effectiveness evaluation of UNHS programmes that take into account the long-term consequences of hearing loss</w:t>
      </w:r>
      <w:r w:rsidR="00C97911" w:rsidRPr="00942766">
        <w:rPr>
          <w:rFonts w:ascii="Cambria" w:hAnsi="Cambria"/>
          <w:iCs/>
        </w:rPr>
        <w:t>(</w:t>
      </w:r>
      <w:r w:rsidR="003F00D0" w:rsidRPr="00942766">
        <w:rPr>
          <w:rFonts w:ascii="Cambria" w:hAnsi="Cambria"/>
          <w:iCs/>
        </w:rPr>
        <w:t>18</w:t>
      </w:r>
      <w:r w:rsidR="00C97911" w:rsidRPr="00942766">
        <w:rPr>
          <w:rFonts w:ascii="Cambria" w:hAnsi="Cambria"/>
          <w:iCs/>
        </w:rPr>
        <w:t>)</w:t>
      </w:r>
      <w:r w:rsidR="00537731" w:rsidRPr="00942766">
        <w:rPr>
          <w:rFonts w:ascii="Cambria" w:hAnsi="Cambria"/>
          <w:iCs/>
        </w:rPr>
        <w:t xml:space="preserve">. </w:t>
      </w:r>
      <w:r w:rsidRPr="00942766">
        <w:rPr>
          <w:rFonts w:ascii="Cambria" w:hAnsi="Cambria"/>
        </w:rPr>
        <w:t>There is, however, very little direct evidence regarding the long-term economic implications of PCHL</w:t>
      </w:r>
      <w:r w:rsidR="00E03134" w:rsidRPr="00942766">
        <w:rPr>
          <w:rFonts w:ascii="Cambria" w:hAnsi="Cambria"/>
        </w:rPr>
        <w:t>(18)</w:t>
      </w:r>
      <w:r w:rsidRPr="00942766">
        <w:rPr>
          <w:rFonts w:ascii="Cambria" w:hAnsi="Cambria"/>
        </w:rPr>
        <w:t xml:space="preserve"> or the effect on them of UNHS for PCHL. </w:t>
      </w:r>
    </w:p>
    <w:p w:rsidR="000E1E57" w:rsidRPr="00942766" w:rsidRDefault="004E273D" w:rsidP="004E273D">
      <w:pPr>
        <w:spacing w:line="480" w:lineRule="auto"/>
        <w:rPr>
          <w:rFonts w:ascii="Cambria" w:hAnsi="Cambria"/>
          <w:iCs/>
        </w:rPr>
      </w:pPr>
      <w:r w:rsidRPr="00942766">
        <w:rPr>
          <w:rFonts w:ascii="Cambria" w:hAnsi="Cambria"/>
        </w:rPr>
        <w:t>Prior to 2000, attempts to model the long-term costs and outcomes of PCHL were limited by lack of data</w:t>
      </w:r>
      <w:r w:rsidR="00E03134" w:rsidRPr="00942766">
        <w:rPr>
          <w:rFonts w:ascii="Cambria" w:hAnsi="Cambria"/>
        </w:rPr>
        <w:t>(3)</w:t>
      </w:r>
      <w:r w:rsidRPr="00942766">
        <w:rPr>
          <w:rFonts w:ascii="Cambria" w:hAnsi="Cambria"/>
        </w:rPr>
        <w:t xml:space="preserve"> and uncertainty regarding the effectiveness of UNHS</w:t>
      </w:r>
      <w:r w:rsidR="00E03134" w:rsidRPr="00942766">
        <w:rPr>
          <w:rFonts w:ascii="Cambria" w:hAnsi="Cambria"/>
        </w:rPr>
        <w:t>(5, 19)</w:t>
      </w:r>
      <w:r w:rsidRPr="00942766">
        <w:rPr>
          <w:rFonts w:ascii="Cambria" w:hAnsi="Cambria"/>
        </w:rPr>
        <w:t xml:space="preserve">.  From 2003 onwards, UNHS has been implemented in </w:t>
      </w:r>
      <w:r w:rsidR="00EF20C5" w:rsidRPr="00942766">
        <w:rPr>
          <w:rFonts w:ascii="Cambria" w:hAnsi="Cambria"/>
        </w:rPr>
        <w:t xml:space="preserve">in the UK, USA and numerous other countries in the light of high grade evidence of the benefits </w:t>
      </w:r>
      <w:r w:rsidRPr="00942766">
        <w:rPr>
          <w:rFonts w:ascii="Cambria" w:hAnsi="Cambria"/>
        </w:rPr>
        <w:t>of UNHS</w:t>
      </w:r>
      <w:r w:rsidR="00E03134" w:rsidRPr="00942766">
        <w:rPr>
          <w:rFonts w:ascii="Cambria" w:hAnsi="Cambria"/>
        </w:rPr>
        <w:t>(14, 20)</w:t>
      </w:r>
      <w:r w:rsidRPr="00942766">
        <w:rPr>
          <w:rFonts w:ascii="Cambria" w:hAnsi="Cambria"/>
        </w:rPr>
        <w:t xml:space="preserve"> </w:t>
      </w:r>
      <w:r w:rsidR="002C6511" w:rsidRPr="00942766">
        <w:rPr>
          <w:rFonts w:ascii="Cambria" w:hAnsi="Cambria"/>
        </w:rPr>
        <w:t xml:space="preserve">and </w:t>
      </w:r>
      <w:r w:rsidR="002C6511" w:rsidRPr="00942766">
        <w:rPr>
          <w:rFonts w:ascii="Cambria" w:hAnsi="Cambria"/>
        </w:rPr>
        <w:lastRenderedPageBreak/>
        <w:t>there has been significant progress in the provision of paediatric audiological services</w:t>
      </w:r>
      <w:r w:rsidR="00E03134" w:rsidRPr="00942766">
        <w:rPr>
          <w:rFonts w:ascii="Cambria" w:hAnsi="Cambria"/>
        </w:rPr>
        <w:t>(</w:t>
      </w:r>
      <w:r w:rsidR="003F00D0" w:rsidRPr="00942766">
        <w:rPr>
          <w:rFonts w:ascii="Cambria" w:hAnsi="Cambria"/>
        </w:rPr>
        <w:t>21, 22</w:t>
      </w:r>
      <w:r w:rsidR="00E03134" w:rsidRPr="00942766">
        <w:rPr>
          <w:rFonts w:ascii="Cambria" w:hAnsi="Cambria"/>
        </w:rPr>
        <w:t>)</w:t>
      </w:r>
      <w:r w:rsidR="002C6511" w:rsidRPr="00942766">
        <w:rPr>
          <w:rFonts w:ascii="Cambria" w:hAnsi="Cambria"/>
        </w:rPr>
        <w:t xml:space="preserve">.  </w:t>
      </w:r>
      <w:r w:rsidRPr="00942766">
        <w:rPr>
          <w:rFonts w:ascii="Cambria" w:hAnsi="Cambria"/>
        </w:rPr>
        <w:t>In 2009 an estimated 5073 cases of PCHL were detected by UNHS</w:t>
      </w:r>
      <w:r w:rsidR="00F27EAD" w:rsidRPr="00942766">
        <w:rPr>
          <w:rFonts w:ascii="Cambria" w:hAnsi="Cambria"/>
        </w:rPr>
        <w:t>(</w:t>
      </w:r>
      <w:r w:rsidR="003F00D0" w:rsidRPr="00942766">
        <w:rPr>
          <w:rFonts w:ascii="Cambria" w:hAnsi="Cambria"/>
        </w:rPr>
        <w:t>23</w:t>
      </w:r>
      <w:r w:rsidR="00F27EAD" w:rsidRPr="00942766">
        <w:rPr>
          <w:rFonts w:ascii="Cambria" w:hAnsi="Cambria"/>
        </w:rPr>
        <w:t>)</w:t>
      </w:r>
      <w:r w:rsidR="002C6511" w:rsidRPr="00942766">
        <w:rPr>
          <w:rFonts w:ascii="Cambria" w:hAnsi="Cambria"/>
        </w:rPr>
        <w:t xml:space="preserve"> and accounted for over 4</w:t>
      </w:r>
      <w:r w:rsidR="00537731" w:rsidRPr="00942766">
        <w:rPr>
          <w:rFonts w:ascii="Cambria" w:hAnsi="Cambria"/>
        </w:rPr>
        <w:t>3</w:t>
      </w:r>
      <w:r w:rsidR="002C6511" w:rsidRPr="00942766">
        <w:rPr>
          <w:rFonts w:ascii="Cambria" w:hAnsi="Cambria"/>
        </w:rPr>
        <w:t xml:space="preserve">% of the confirmed cases of all </w:t>
      </w:r>
      <w:r w:rsidR="00537731" w:rsidRPr="00942766">
        <w:rPr>
          <w:rFonts w:ascii="Cambria" w:hAnsi="Cambria"/>
        </w:rPr>
        <w:t xml:space="preserve">29 </w:t>
      </w:r>
      <w:r w:rsidR="002C6511" w:rsidRPr="00942766">
        <w:rPr>
          <w:rFonts w:ascii="Cambria" w:hAnsi="Cambria"/>
        </w:rPr>
        <w:t>medical conditions for which universal newborn screening is mandated in the USA (ibid).</w:t>
      </w:r>
      <w:r w:rsidR="00EF20C5" w:rsidRPr="00942766">
        <w:rPr>
          <w:rFonts w:ascii="Cambria" w:hAnsi="Cambria"/>
        </w:rPr>
        <w:t xml:space="preserve"> </w:t>
      </w:r>
      <w:r w:rsidR="00296FBD" w:rsidRPr="00942766">
        <w:rPr>
          <w:rFonts w:ascii="Cambria" w:hAnsi="Cambria"/>
          <w:iCs/>
        </w:rPr>
        <w:t xml:space="preserve"> </w:t>
      </w:r>
      <w:r w:rsidR="002C6511" w:rsidRPr="00942766">
        <w:rPr>
          <w:rFonts w:ascii="Cambria" w:hAnsi="Cambria"/>
        </w:rPr>
        <w:t>The hypothesis that early detection of PCHL reduces the costs of education in the long term</w:t>
      </w:r>
      <w:r w:rsidR="00E03134" w:rsidRPr="00942766">
        <w:rPr>
          <w:rFonts w:ascii="Cambria" w:hAnsi="Cambria"/>
        </w:rPr>
        <w:t>(</w:t>
      </w:r>
      <w:r w:rsidR="003F00D0" w:rsidRPr="00942766">
        <w:rPr>
          <w:rFonts w:ascii="Cambria" w:hAnsi="Cambria"/>
        </w:rPr>
        <w:t>3, 12, 21</w:t>
      </w:r>
      <w:r w:rsidR="006518F3" w:rsidRPr="00942766">
        <w:rPr>
          <w:rFonts w:ascii="Cambria" w:hAnsi="Cambria"/>
        </w:rPr>
        <w:t>, 24</w:t>
      </w:r>
      <w:r w:rsidR="0071027F" w:rsidRPr="00942766">
        <w:rPr>
          <w:rFonts w:ascii="Cambria" w:hAnsi="Cambria"/>
        </w:rPr>
        <w:t>)</w:t>
      </w:r>
      <w:r w:rsidR="002C6511" w:rsidRPr="00942766">
        <w:rPr>
          <w:rFonts w:ascii="Cambria" w:hAnsi="Cambria"/>
        </w:rPr>
        <w:t xml:space="preserve"> and thus offsets the initial costs of UNHS incurred in infancy warrants examination.</w:t>
      </w:r>
    </w:p>
    <w:p w:rsidR="004E273D" w:rsidRPr="00942766" w:rsidRDefault="00296FBD" w:rsidP="004E273D">
      <w:pPr>
        <w:spacing w:line="480" w:lineRule="auto"/>
        <w:rPr>
          <w:rFonts w:ascii="Cambria" w:eastAsiaTheme="majorEastAsia" w:hAnsi="Cambria"/>
          <w:b/>
          <w:bCs/>
        </w:rPr>
      </w:pPr>
      <w:r w:rsidRPr="00942766">
        <w:rPr>
          <w:rFonts w:ascii="Cambria" w:hAnsi="Cambria"/>
          <w:iCs/>
        </w:rPr>
        <w:t>W</w:t>
      </w:r>
      <w:r w:rsidR="004E273D" w:rsidRPr="00942766">
        <w:rPr>
          <w:rFonts w:ascii="Cambria" w:hAnsi="Cambria"/>
        </w:rPr>
        <w:t>e have previously reported that the economic costs of bilateral PCHL in the preceding year of life among participants in the present study when they were aged 5-10 years were £14,092 for children with PCHL compared to £4,207 for normally hearing children. Furthermore, each unit increase in the z-score for receptive language among children with PCHL was associated with a statistically significant £2,553 reduction in cost in the preceding year. Compared to birth during periods without UNHS, birth during periods with UNHS was associated with a smaller cost reduction of £2,213, that fell short of statistical significance</w:t>
      </w:r>
      <w:r w:rsidR="00652200" w:rsidRPr="00942766">
        <w:rPr>
          <w:rFonts w:ascii="Cambria" w:hAnsi="Cambria"/>
        </w:rPr>
        <w:t>(25)</w:t>
      </w:r>
      <w:r w:rsidR="004E273D" w:rsidRPr="00942766">
        <w:rPr>
          <w:rFonts w:ascii="Cambria" w:hAnsi="Cambria"/>
        </w:rPr>
        <w:t>.  The participants in that study were subsequently further evaluated at age 13-20 years in the Hearing Outcomes in Teenagers (HOT) Project. We report here on the effects of the severity of their PCHL, of birth during periods with UNHS, of early confirmation of PCHL, and of their language ability and reading skills on the societal costs of PCHL.</w:t>
      </w:r>
    </w:p>
    <w:p w:rsidR="004E273D" w:rsidRPr="00942766" w:rsidRDefault="004E273D" w:rsidP="004E273D">
      <w:pPr>
        <w:pStyle w:val="Heading1"/>
        <w:spacing w:line="480" w:lineRule="auto"/>
        <w:rPr>
          <w:rFonts w:ascii="Cambria" w:hAnsi="Cambria" w:cs="Times New Roman"/>
          <w:sz w:val="24"/>
          <w:szCs w:val="24"/>
        </w:rPr>
      </w:pPr>
      <w:r w:rsidRPr="00942766">
        <w:rPr>
          <w:rFonts w:ascii="Cambria" w:hAnsi="Cambria" w:cs="Times New Roman"/>
          <w:sz w:val="24"/>
          <w:szCs w:val="24"/>
        </w:rPr>
        <w:t xml:space="preserve">PARTICIPANTS AND METHODS </w:t>
      </w:r>
    </w:p>
    <w:p w:rsidR="004E273D" w:rsidRPr="00942766" w:rsidRDefault="004E273D" w:rsidP="004E273D">
      <w:pPr>
        <w:pStyle w:val="Heading3"/>
        <w:spacing w:line="480" w:lineRule="auto"/>
        <w:rPr>
          <w:rFonts w:ascii="Cambria" w:hAnsi="Cambria" w:cs="Times New Roman"/>
          <w:b/>
          <w:color w:val="auto"/>
        </w:rPr>
      </w:pPr>
      <w:r w:rsidRPr="00942766">
        <w:rPr>
          <w:rFonts w:ascii="Cambria" w:hAnsi="Cambria" w:cs="Times New Roman"/>
          <w:b/>
          <w:color w:val="auto"/>
        </w:rPr>
        <w:t>Study Sample</w:t>
      </w:r>
    </w:p>
    <w:p w:rsidR="004E273D" w:rsidRPr="00942766" w:rsidRDefault="003817C9" w:rsidP="004E273D">
      <w:pPr>
        <w:spacing w:line="480" w:lineRule="auto"/>
        <w:rPr>
          <w:rFonts w:ascii="Cambria" w:hAnsi="Cambria"/>
        </w:rPr>
      </w:pPr>
      <w:r w:rsidRPr="00942766">
        <w:rPr>
          <w:rFonts w:ascii="Cambria" w:hAnsi="Cambria"/>
          <w:bCs/>
        </w:rPr>
        <w:t xml:space="preserve">The study sample </w:t>
      </w:r>
      <w:r w:rsidR="004E273D" w:rsidRPr="00942766">
        <w:rPr>
          <w:rFonts w:ascii="Cambria" w:hAnsi="Cambria"/>
          <w:bCs/>
        </w:rPr>
        <w:t xml:space="preserve">was drawn from </w:t>
      </w:r>
      <w:r w:rsidR="004E273D" w:rsidRPr="00942766">
        <w:rPr>
          <w:rFonts w:ascii="Cambria" w:hAnsi="Cambria"/>
        </w:rPr>
        <w:t>157,000 children born in two birth cohorts in eight districts of Southern England</w:t>
      </w:r>
      <w:r w:rsidR="004E273D" w:rsidRPr="00942766">
        <w:rPr>
          <w:rFonts w:ascii="Cambria" w:hAnsi="Cambria"/>
          <w:bCs/>
        </w:rPr>
        <w:t xml:space="preserve"> between 1992-97. </w:t>
      </w:r>
      <w:r w:rsidR="004E273D" w:rsidRPr="00942766">
        <w:rPr>
          <w:rFonts w:ascii="Cambria" w:hAnsi="Cambria"/>
        </w:rPr>
        <w:t>The Wessex cohort was born over a 36-month peri</w:t>
      </w:r>
      <w:r w:rsidR="007E3EC5" w:rsidRPr="00942766">
        <w:rPr>
          <w:rFonts w:ascii="Cambria" w:hAnsi="Cambria"/>
        </w:rPr>
        <w:t>od in four districts that</w:t>
      </w:r>
      <w:r w:rsidR="004E273D" w:rsidRPr="00942766">
        <w:rPr>
          <w:rFonts w:ascii="Cambria" w:hAnsi="Cambria"/>
        </w:rPr>
        <w:t xml:space="preserve"> formed the population for the Wessex Trial; a quasi-experimental trial in which UNHS was or was not undertaken in alternating 4-6 month </w:t>
      </w:r>
      <w:r w:rsidR="004E273D" w:rsidRPr="00942766">
        <w:rPr>
          <w:rFonts w:ascii="Cambria" w:hAnsi="Cambria"/>
        </w:rPr>
        <w:lastRenderedPageBreak/>
        <w:t>periods in two pairs of hospitals, with UNHS equipment and personnel moving back and forth between the paired hospitals. UNHS increased the rate of early identification for infants with PCHL</w:t>
      </w:r>
      <w:r w:rsidR="00652200" w:rsidRPr="00942766">
        <w:rPr>
          <w:rFonts w:ascii="Cambria" w:hAnsi="Cambria"/>
        </w:rPr>
        <w:t>(1, 6, 14)</w:t>
      </w:r>
      <w:r w:rsidR="00CF40CD" w:rsidRPr="00942766">
        <w:rPr>
          <w:rFonts w:ascii="Cambria" w:hAnsi="Cambria"/>
        </w:rPr>
        <w:t>.</w:t>
      </w:r>
      <w:r w:rsidR="004E273D" w:rsidRPr="00942766" w:rsidDel="0020230C">
        <w:rPr>
          <w:rFonts w:ascii="Cambria" w:hAnsi="Cambria"/>
        </w:rPr>
        <w:t xml:space="preserve"> </w:t>
      </w:r>
      <w:r w:rsidR="00450EC2" w:rsidRPr="00942766">
        <w:rPr>
          <w:rFonts w:ascii="Cambria" w:hAnsi="Cambria"/>
        </w:rPr>
        <w:t xml:space="preserve"> T</w:t>
      </w:r>
      <w:r w:rsidR="004E273D" w:rsidRPr="00942766">
        <w:rPr>
          <w:rFonts w:ascii="Cambria" w:hAnsi="Cambria"/>
        </w:rPr>
        <w:t xml:space="preserve">he Greater London birth cohort was born in two pairs of health districts </w:t>
      </w:r>
      <w:r w:rsidR="00BB3575" w:rsidRPr="00942766">
        <w:rPr>
          <w:rFonts w:ascii="Cambria" w:hAnsi="Cambria"/>
        </w:rPr>
        <w:t>in</w:t>
      </w:r>
      <w:r w:rsidR="004E273D" w:rsidRPr="00942766">
        <w:rPr>
          <w:rFonts w:ascii="Cambria" w:hAnsi="Cambria"/>
        </w:rPr>
        <w:t xml:space="preserve"> Greater London over a 60 month period. Each pair included one of the only two districts in the UK offering UNHS at that time and an immediately neighbouring district.</w:t>
      </w:r>
    </w:p>
    <w:p w:rsidR="00B64946" w:rsidRPr="00942766" w:rsidRDefault="004E273D" w:rsidP="004E273D">
      <w:pPr>
        <w:spacing w:before="240" w:line="480" w:lineRule="auto"/>
        <w:rPr>
          <w:rFonts w:ascii="Cambria" w:hAnsi="Cambria"/>
          <w:bCs/>
        </w:rPr>
      </w:pPr>
      <w:r w:rsidRPr="00942766">
        <w:rPr>
          <w:rFonts w:ascii="Cambria" w:hAnsi="Cambria"/>
        </w:rPr>
        <w:t xml:space="preserve">The language, reading, behaviour and resource use in children with PCHL in these two birth cohorts, and in a normally hearing comparison group (HCG) was assessed in 183 children (120 with PCHL and 63 </w:t>
      </w:r>
      <w:r w:rsidR="007477D9" w:rsidRPr="00942766">
        <w:rPr>
          <w:rFonts w:ascii="Cambria" w:hAnsi="Cambria"/>
        </w:rPr>
        <w:t xml:space="preserve">in the </w:t>
      </w:r>
      <w:r w:rsidRPr="00942766">
        <w:rPr>
          <w:rFonts w:ascii="Cambria" w:hAnsi="Cambria"/>
        </w:rPr>
        <w:t>HCG) at a mean age of 7.9 years</w:t>
      </w:r>
      <w:r w:rsidR="00652200" w:rsidRPr="00942766">
        <w:rPr>
          <w:rFonts w:ascii="Cambria" w:hAnsi="Cambria"/>
        </w:rPr>
        <w:t>(13, 15, 25, 26)</w:t>
      </w:r>
      <w:r w:rsidRPr="00942766">
        <w:rPr>
          <w:rFonts w:ascii="Cambria" w:hAnsi="Cambria"/>
        </w:rPr>
        <w:t xml:space="preserve">. Further assessment of 114 (73 PCHL and 37 </w:t>
      </w:r>
      <w:r w:rsidRPr="00942766">
        <w:rPr>
          <w:rFonts w:ascii="Cambria" w:hAnsi="Cambria"/>
          <w:bCs/>
        </w:rPr>
        <w:t>HCG</w:t>
      </w:r>
      <w:r w:rsidRPr="00942766">
        <w:rPr>
          <w:rFonts w:ascii="Cambria" w:hAnsi="Cambria"/>
        </w:rPr>
        <w:t xml:space="preserve">) of the sample was undertaken in the </w:t>
      </w:r>
      <w:r w:rsidR="00B64946" w:rsidRPr="00942766">
        <w:rPr>
          <w:rFonts w:ascii="Cambria" w:hAnsi="Cambria"/>
        </w:rPr>
        <w:t xml:space="preserve">Hearing Outcomes at Teen </w:t>
      </w:r>
      <w:r w:rsidR="005237F8" w:rsidRPr="00942766">
        <w:rPr>
          <w:rFonts w:ascii="Cambria" w:hAnsi="Cambria"/>
        </w:rPr>
        <w:t>A</w:t>
      </w:r>
      <w:r w:rsidR="00B64946" w:rsidRPr="00942766">
        <w:rPr>
          <w:rFonts w:ascii="Cambria" w:hAnsi="Cambria"/>
        </w:rPr>
        <w:t>ge (</w:t>
      </w:r>
      <w:r w:rsidRPr="00942766">
        <w:rPr>
          <w:rFonts w:ascii="Cambria" w:hAnsi="Cambria"/>
        </w:rPr>
        <w:t>HOT</w:t>
      </w:r>
      <w:r w:rsidR="00B64946" w:rsidRPr="00942766">
        <w:rPr>
          <w:rFonts w:ascii="Cambria" w:hAnsi="Cambria"/>
        </w:rPr>
        <w:t>)</w:t>
      </w:r>
      <w:r w:rsidRPr="00942766">
        <w:rPr>
          <w:rFonts w:ascii="Cambria" w:hAnsi="Cambria"/>
        </w:rPr>
        <w:t xml:space="preserve"> Project at a mean age of 16.9 years</w:t>
      </w:r>
      <w:r w:rsidR="00652200" w:rsidRPr="00942766">
        <w:rPr>
          <w:rFonts w:ascii="Cambria" w:hAnsi="Cambria"/>
        </w:rPr>
        <w:t>(</w:t>
      </w:r>
      <w:r w:rsidR="003F00D0" w:rsidRPr="00942766">
        <w:rPr>
          <w:rFonts w:ascii="Cambria" w:hAnsi="Cambria"/>
        </w:rPr>
        <w:t>27-</w:t>
      </w:r>
      <w:r w:rsidR="00652200" w:rsidRPr="00942766">
        <w:rPr>
          <w:rFonts w:ascii="Cambria" w:hAnsi="Cambria"/>
        </w:rPr>
        <w:t>29)</w:t>
      </w:r>
      <w:r w:rsidRPr="00942766">
        <w:rPr>
          <w:rFonts w:ascii="Cambria" w:hAnsi="Cambria"/>
        </w:rPr>
        <w:t xml:space="preserve">. </w:t>
      </w:r>
      <w:r w:rsidR="0077782D" w:rsidRPr="00942766">
        <w:rPr>
          <w:rFonts w:ascii="Cambria" w:hAnsi="Cambria"/>
        </w:rPr>
        <w:t>A flow diagram of participants through to completion of the HOT study was published</w:t>
      </w:r>
      <w:r w:rsidR="007477D9" w:rsidRPr="00942766">
        <w:rPr>
          <w:rFonts w:ascii="Cambria" w:hAnsi="Cambria"/>
        </w:rPr>
        <w:t xml:space="preserve"> </w:t>
      </w:r>
      <w:r w:rsidR="0077782D" w:rsidRPr="00942766">
        <w:rPr>
          <w:rFonts w:ascii="Cambria" w:hAnsi="Cambria"/>
        </w:rPr>
        <w:t>in our report of the effect of UNHS on reading comprehension, the primary outcome</w:t>
      </w:r>
      <w:r w:rsidR="00C10717" w:rsidRPr="00942766">
        <w:rPr>
          <w:rFonts w:ascii="Cambria" w:hAnsi="Cambria"/>
        </w:rPr>
        <w:t>(</w:t>
      </w:r>
      <w:r w:rsidR="003F00D0" w:rsidRPr="00942766">
        <w:rPr>
          <w:rFonts w:ascii="Cambria" w:hAnsi="Cambria"/>
        </w:rPr>
        <w:t>28</w:t>
      </w:r>
      <w:r w:rsidR="00C10717" w:rsidRPr="00942766">
        <w:rPr>
          <w:rFonts w:ascii="Cambria" w:hAnsi="Cambria"/>
        </w:rPr>
        <w:t>)</w:t>
      </w:r>
      <w:r w:rsidR="0077782D" w:rsidRPr="00942766">
        <w:rPr>
          <w:rFonts w:ascii="Cambria" w:hAnsi="Cambria"/>
        </w:rPr>
        <w:t xml:space="preserve">.  </w:t>
      </w:r>
      <w:r w:rsidR="000E1E57" w:rsidRPr="00942766">
        <w:rPr>
          <w:rFonts w:ascii="Cambria" w:hAnsi="Cambria"/>
          <w:bCs/>
        </w:rPr>
        <w:t>The design included one participant in a normally hearing comparison group (HCG) for every two participants with PCHL in the expectation of providing three equally sized groups: participants with PCHL exposed and not exposed to a UNHS programme and participants in the HCG</w:t>
      </w:r>
      <w:r w:rsidR="00B64946" w:rsidRPr="00942766">
        <w:rPr>
          <w:rFonts w:ascii="Cambria" w:hAnsi="Cambria"/>
          <w:bCs/>
        </w:rPr>
        <w:t xml:space="preserve">. </w:t>
      </w:r>
    </w:p>
    <w:p w:rsidR="004E273D" w:rsidRPr="00942766" w:rsidRDefault="004E273D" w:rsidP="004E273D">
      <w:pPr>
        <w:spacing w:before="240" w:line="480" w:lineRule="auto"/>
        <w:rPr>
          <w:rFonts w:ascii="Cambria" w:hAnsi="Cambria"/>
        </w:rPr>
      </w:pPr>
      <w:r w:rsidRPr="00942766">
        <w:rPr>
          <w:rFonts w:ascii="Cambria" w:hAnsi="Cambria"/>
        </w:rPr>
        <w:t>Written informed consent was obtained from principal caregivers and the teenage participants. This study was approved by the Southampton and South West Hampshire Research Ethics Committee.</w:t>
      </w:r>
    </w:p>
    <w:p w:rsidR="004E273D" w:rsidRPr="00942766" w:rsidRDefault="004E273D" w:rsidP="004E273D">
      <w:pPr>
        <w:pStyle w:val="Heading3"/>
        <w:spacing w:line="480" w:lineRule="auto"/>
        <w:rPr>
          <w:rFonts w:ascii="Cambria" w:hAnsi="Cambria" w:cs="Times New Roman"/>
          <w:b/>
          <w:color w:val="auto"/>
        </w:rPr>
      </w:pPr>
      <w:r w:rsidRPr="00942766">
        <w:rPr>
          <w:rFonts w:ascii="Cambria" w:hAnsi="Cambria" w:cs="Times New Roman"/>
          <w:b/>
          <w:color w:val="auto"/>
        </w:rPr>
        <w:lastRenderedPageBreak/>
        <w:t xml:space="preserve">Measures </w:t>
      </w:r>
    </w:p>
    <w:p w:rsidR="004E273D" w:rsidRPr="00942766" w:rsidRDefault="004E273D" w:rsidP="004E273D">
      <w:pPr>
        <w:pStyle w:val="Heading3"/>
        <w:spacing w:line="480" w:lineRule="auto"/>
        <w:rPr>
          <w:rFonts w:ascii="Cambria" w:eastAsiaTheme="minorEastAsia" w:hAnsi="Cambria" w:cs="Times New Roman"/>
          <w:b/>
          <w:bCs/>
          <w:color w:val="auto"/>
        </w:rPr>
      </w:pPr>
      <w:r w:rsidRPr="00942766">
        <w:rPr>
          <w:rFonts w:ascii="Cambria" w:eastAsiaTheme="minorEastAsia" w:hAnsi="Cambria" w:cs="Times New Roman"/>
          <w:color w:val="auto"/>
        </w:rPr>
        <w:t>Severity of PCHL was classified according to average pure tone thresholds across four frequencies of sound in the better ear as moderate (</w:t>
      </w:r>
      <w:r w:rsidRPr="00942766">
        <w:rPr>
          <w:rFonts w:ascii="Cambria" w:eastAsiaTheme="minorEastAsia" w:hAnsi="Cambria" w:cs="Times New Roman"/>
          <w:color w:val="auto"/>
          <w:u w:val="single"/>
        </w:rPr>
        <w:t>&gt;</w:t>
      </w:r>
      <w:r w:rsidRPr="00942766">
        <w:rPr>
          <w:rFonts w:ascii="Cambria" w:eastAsiaTheme="minorEastAsia" w:hAnsi="Cambria" w:cs="Times New Roman"/>
          <w:color w:val="auto"/>
        </w:rPr>
        <w:t>40-70 decibels hearing level (dB)), severe (71-95 dB), or profound (&gt;95 dB).  Intellectual disability (defined by non-verbal ability scores), genetic syndrome, visual loss, and cerebral palsy</w:t>
      </w:r>
      <w:r w:rsidRPr="00942766" w:rsidDel="005518A7">
        <w:rPr>
          <w:rFonts w:ascii="Cambria" w:eastAsiaTheme="minorEastAsia" w:hAnsi="Cambria" w:cs="Times New Roman"/>
          <w:color w:val="auto"/>
        </w:rPr>
        <w:t xml:space="preserve"> </w:t>
      </w:r>
      <w:r w:rsidRPr="00942766">
        <w:rPr>
          <w:rFonts w:ascii="Cambria" w:eastAsiaTheme="minorEastAsia" w:hAnsi="Cambria" w:cs="Times New Roman"/>
          <w:color w:val="auto"/>
        </w:rPr>
        <w:t>were recorded as additional medical conditions (AMC).  Methods of assessing participants’ reading comprehension, receptive language ability, non-verbal ability and other outcomes have been reported previously</w:t>
      </w:r>
      <w:r w:rsidR="00652200" w:rsidRPr="00942766">
        <w:rPr>
          <w:rFonts w:ascii="Cambria" w:eastAsiaTheme="minorEastAsia" w:hAnsi="Cambria" w:cs="Times New Roman"/>
          <w:color w:val="auto"/>
        </w:rPr>
        <w:t>(</w:t>
      </w:r>
      <w:r w:rsidR="003F00D0" w:rsidRPr="00942766">
        <w:rPr>
          <w:rFonts w:ascii="Cambria" w:eastAsiaTheme="minorEastAsia" w:hAnsi="Cambria" w:cs="Times New Roman"/>
          <w:color w:val="auto"/>
        </w:rPr>
        <w:t>27-</w:t>
      </w:r>
      <w:r w:rsidR="00652200" w:rsidRPr="00942766">
        <w:rPr>
          <w:rFonts w:ascii="Cambria" w:eastAsiaTheme="minorEastAsia" w:hAnsi="Cambria" w:cs="Times New Roman"/>
          <w:color w:val="auto"/>
        </w:rPr>
        <w:t>29)</w:t>
      </w:r>
      <w:r w:rsidRPr="00942766">
        <w:rPr>
          <w:rFonts w:ascii="Cambria" w:eastAsiaTheme="minorEastAsia" w:hAnsi="Cambria" w:cs="Times New Roman"/>
          <w:color w:val="auto"/>
        </w:rPr>
        <w:t>. Occupation of the head of the household and maternal educational level were, as in our previous 2001-04 assessment</w:t>
      </w:r>
      <w:r w:rsidR="00652200" w:rsidRPr="00942766">
        <w:rPr>
          <w:rFonts w:ascii="Cambria" w:eastAsiaTheme="minorEastAsia" w:hAnsi="Cambria" w:cs="Times New Roman"/>
          <w:color w:val="auto"/>
        </w:rPr>
        <w:t>(25)</w:t>
      </w:r>
      <w:r w:rsidRPr="00942766">
        <w:rPr>
          <w:rFonts w:ascii="Cambria" w:eastAsiaTheme="minorEastAsia" w:hAnsi="Cambria" w:cs="Times New Roman"/>
          <w:color w:val="auto"/>
        </w:rPr>
        <w:t>, described using  UK 2001 national census categories</w:t>
      </w:r>
      <w:r w:rsidR="00652200" w:rsidRPr="00942766">
        <w:rPr>
          <w:rFonts w:ascii="Cambria" w:eastAsiaTheme="minorEastAsia" w:hAnsi="Cambria" w:cs="Times New Roman"/>
          <w:color w:val="auto"/>
        </w:rPr>
        <w:t>(30)</w:t>
      </w:r>
      <w:r w:rsidRPr="00942766">
        <w:rPr>
          <w:rFonts w:ascii="Cambria" w:eastAsiaTheme="minorEastAsia" w:hAnsi="Cambria" w:cs="Times New Roman"/>
          <w:color w:val="auto"/>
        </w:rPr>
        <w:t>.</w:t>
      </w:r>
    </w:p>
    <w:p w:rsidR="004E273D" w:rsidRPr="00942766" w:rsidRDefault="004E273D" w:rsidP="004E273D">
      <w:pPr>
        <w:pStyle w:val="Heading3"/>
        <w:spacing w:line="480" w:lineRule="auto"/>
        <w:rPr>
          <w:rFonts w:ascii="Cambria" w:eastAsiaTheme="minorEastAsia" w:hAnsi="Cambria" w:cs="Times New Roman"/>
          <w:b/>
          <w:bCs/>
          <w:color w:val="auto"/>
        </w:rPr>
      </w:pPr>
      <w:r w:rsidRPr="00942766">
        <w:rPr>
          <w:rFonts w:ascii="Cambria" w:eastAsiaTheme="minorEastAsia" w:hAnsi="Cambria" w:cs="Times New Roman"/>
          <w:b/>
          <w:color w:val="auto"/>
        </w:rPr>
        <w:t xml:space="preserve">Resource use and costs </w:t>
      </w:r>
    </w:p>
    <w:p w:rsidR="004E273D" w:rsidRPr="00942766" w:rsidRDefault="004E273D" w:rsidP="004E273D">
      <w:pPr>
        <w:spacing w:line="480" w:lineRule="auto"/>
        <w:rPr>
          <w:rFonts w:ascii="Cambria" w:hAnsi="Cambria"/>
        </w:rPr>
      </w:pPr>
      <w:r w:rsidRPr="00942766">
        <w:rPr>
          <w:rFonts w:ascii="Cambria" w:hAnsi="Cambria"/>
        </w:rPr>
        <w:t>Resource use was considered from the health care provider, National Health Service (NHS), Personal Social Services (PSS) and societal perspective, including costs borne by the family. It was estimated by retrospective examination of each child’s audiology records coupled with data on resource use in seven domains (</w:t>
      </w:r>
      <w:r w:rsidRPr="00942766">
        <w:rPr>
          <w:rFonts w:ascii="Cambria" w:hAnsi="Cambria"/>
          <w:i/>
        </w:rPr>
        <w:t>vide infra</w:t>
      </w:r>
      <w:r w:rsidRPr="00942766">
        <w:rPr>
          <w:rFonts w:ascii="Cambria" w:hAnsi="Cambria"/>
        </w:rPr>
        <w:t>) obtained by the four study research assistants at interviews of parents in their homes using instruments previously developed for our 2001-04 study of the same families</w:t>
      </w:r>
      <w:r w:rsidR="00652200" w:rsidRPr="00942766">
        <w:rPr>
          <w:rFonts w:ascii="Cambria" w:hAnsi="Cambria"/>
        </w:rPr>
        <w:t>(25)</w:t>
      </w:r>
      <w:r w:rsidRPr="00942766">
        <w:rPr>
          <w:rFonts w:ascii="Cambria" w:hAnsi="Cambria"/>
        </w:rPr>
        <w:t xml:space="preserve">. These data covered use of a range of services during the preceding 6 months, a period short enough for recall to be reliable, and were extrapolated to provide an estimate of annual cost.  The research staff involved in the follow-up study were unaware of the age of initial referral and management and, in the case of the Wessex subgroup, blind to whether or not the child was born in a period with UNHS. </w:t>
      </w:r>
    </w:p>
    <w:p w:rsidR="004E273D" w:rsidRPr="00942766" w:rsidRDefault="004E273D" w:rsidP="004E273D">
      <w:pPr>
        <w:spacing w:line="480" w:lineRule="auto"/>
        <w:rPr>
          <w:rFonts w:ascii="Cambria" w:hAnsi="Cambria"/>
        </w:rPr>
      </w:pPr>
      <w:r w:rsidRPr="00942766">
        <w:rPr>
          <w:rFonts w:ascii="Cambria" w:hAnsi="Cambria"/>
        </w:rPr>
        <w:t>All unit costs adopted in the analysis were based on 2012/13 price indexes. Health and Community Health Services (HCHS) pay and price indices were used to inflate costs, where appropriate</w:t>
      </w:r>
      <w:r w:rsidR="00652200" w:rsidRPr="00942766">
        <w:rPr>
          <w:rFonts w:ascii="Cambria" w:hAnsi="Cambria"/>
        </w:rPr>
        <w:t>(31)</w:t>
      </w:r>
      <w:r w:rsidRPr="00942766">
        <w:rPr>
          <w:rFonts w:ascii="Cambria" w:hAnsi="Cambria"/>
        </w:rPr>
        <w:t xml:space="preserve">. </w:t>
      </w:r>
      <w:r w:rsidR="006762F8" w:rsidRPr="00942766">
        <w:rPr>
          <w:rFonts w:ascii="Cambria" w:hAnsi="Cambria"/>
        </w:rPr>
        <w:t>Published sources of unit costs</w:t>
      </w:r>
      <w:r w:rsidRPr="00942766">
        <w:rPr>
          <w:rFonts w:ascii="Cambria" w:hAnsi="Cambria"/>
        </w:rPr>
        <w:t xml:space="preserve"> included NHS Reference </w:t>
      </w:r>
      <w:r w:rsidRPr="00942766">
        <w:rPr>
          <w:rFonts w:ascii="Cambria" w:hAnsi="Cambria"/>
        </w:rPr>
        <w:lastRenderedPageBreak/>
        <w:t>Costs</w:t>
      </w:r>
      <w:r w:rsidR="00652200" w:rsidRPr="00942766">
        <w:rPr>
          <w:rFonts w:ascii="Cambria" w:hAnsi="Cambria"/>
        </w:rPr>
        <w:t>(32)</w:t>
      </w:r>
      <w:r w:rsidRPr="00942766">
        <w:rPr>
          <w:rFonts w:ascii="Cambria" w:hAnsi="Cambria"/>
        </w:rPr>
        <w:t xml:space="preserve"> and the Personal Social Services Resource Unit estimates</w:t>
      </w:r>
      <w:r w:rsidR="00652200" w:rsidRPr="00942766">
        <w:rPr>
          <w:rFonts w:ascii="Cambria" w:hAnsi="Cambria"/>
        </w:rPr>
        <w:t>(31)</w:t>
      </w:r>
      <w:r w:rsidRPr="00942766">
        <w:rPr>
          <w:rFonts w:ascii="Cambria" w:hAnsi="Cambria"/>
        </w:rPr>
        <w:t>. Unit costs for schooling were accessed individually for each school (from the UK Department for Education for state schools and from individual schools for the private sector) and the mean unit cost estimates for each type of school were included in the analysis</w:t>
      </w:r>
      <w:r w:rsidR="00652200" w:rsidRPr="00942766">
        <w:rPr>
          <w:rFonts w:ascii="Cambria" w:hAnsi="Cambria"/>
        </w:rPr>
        <w:t>(33)</w:t>
      </w:r>
      <w:r w:rsidRPr="00942766">
        <w:rPr>
          <w:rFonts w:ascii="Cambria" w:hAnsi="Cambria"/>
        </w:rPr>
        <w:t xml:space="preserve">. Other unit cost estimates were obtained from Local Authorities and local suppliers.  </w:t>
      </w:r>
    </w:p>
    <w:p w:rsidR="004E273D" w:rsidRPr="00942766" w:rsidRDefault="004E273D" w:rsidP="004E273D">
      <w:pPr>
        <w:spacing w:line="480" w:lineRule="auto"/>
        <w:rPr>
          <w:rFonts w:ascii="Cambria" w:hAnsi="Cambria"/>
        </w:rPr>
      </w:pPr>
      <w:r w:rsidRPr="00942766">
        <w:rPr>
          <w:rFonts w:ascii="Cambria" w:hAnsi="Cambria"/>
        </w:rPr>
        <w:t xml:space="preserve">Costs, estimated at the individual person level, are presented in the form of </w:t>
      </w:r>
      <w:r w:rsidR="0071015E" w:rsidRPr="00942766">
        <w:rPr>
          <w:rFonts w:ascii="Cambria" w:hAnsi="Cambria"/>
        </w:rPr>
        <w:t xml:space="preserve">group </w:t>
      </w:r>
      <w:r w:rsidRPr="00942766">
        <w:rPr>
          <w:rFonts w:ascii="Cambria" w:hAnsi="Cambria"/>
        </w:rPr>
        <w:t xml:space="preserve">means and standard deviations in seven domains: hospital outpatient and inpatient services, including cochlear implantation; community health and social care services; respite and foster care; local authority loaned/provided equipment and home adaptations; educational services including special educational needs provision; parents’ lost productivity; and other household-borne costs, including household purchased equipment and home adaptations.   </w:t>
      </w:r>
    </w:p>
    <w:p w:rsidR="004E273D" w:rsidRPr="00942766" w:rsidRDefault="004E273D" w:rsidP="004E273D">
      <w:pPr>
        <w:pStyle w:val="Heading3"/>
        <w:spacing w:line="480" w:lineRule="auto"/>
        <w:rPr>
          <w:rFonts w:ascii="Cambria" w:hAnsi="Cambria" w:cs="Times New Roman"/>
          <w:b/>
          <w:bCs/>
          <w:color w:val="auto"/>
        </w:rPr>
      </w:pPr>
      <w:r w:rsidRPr="00942766">
        <w:rPr>
          <w:rFonts w:ascii="Cambria" w:hAnsi="Cambria" w:cs="Times New Roman"/>
          <w:b/>
          <w:color w:val="auto"/>
        </w:rPr>
        <w:t>Statistical analysis</w:t>
      </w:r>
    </w:p>
    <w:p w:rsidR="00FA76A1" w:rsidRPr="00942766" w:rsidRDefault="004E273D" w:rsidP="004E273D">
      <w:pPr>
        <w:pStyle w:val="Heading3"/>
        <w:spacing w:line="480" w:lineRule="auto"/>
        <w:rPr>
          <w:rFonts w:ascii="Cambria" w:hAnsi="Cambria" w:cs="Times New Roman"/>
          <w:color w:val="auto"/>
        </w:rPr>
      </w:pPr>
      <w:r w:rsidRPr="00942766">
        <w:rPr>
          <w:rFonts w:ascii="Cambria" w:hAnsi="Cambria" w:cs="Times New Roman"/>
          <w:color w:val="auto"/>
        </w:rPr>
        <w:t xml:space="preserve">The primary outcome variable </w:t>
      </w:r>
      <w:r w:rsidR="00FA76A1" w:rsidRPr="00942766">
        <w:rPr>
          <w:rFonts w:ascii="Cambria" w:hAnsi="Cambria" w:cs="Times New Roman"/>
          <w:color w:val="auto"/>
        </w:rPr>
        <w:t xml:space="preserve">for the economic study reported here </w:t>
      </w:r>
      <w:r w:rsidRPr="00942766">
        <w:rPr>
          <w:rFonts w:ascii="Cambria" w:hAnsi="Cambria" w:cs="Times New Roman"/>
          <w:color w:val="auto"/>
        </w:rPr>
        <w:t xml:space="preserve">was total costs which were compared between the teenagers with PCHL and the HCG. </w:t>
      </w:r>
      <w:r w:rsidR="00FF67D4" w:rsidRPr="00942766">
        <w:rPr>
          <w:rFonts w:ascii="Cambria" w:hAnsi="Cambria" w:cs="Times New Roman"/>
          <w:iCs/>
          <w:color w:val="auto"/>
        </w:rPr>
        <w:t>As the time-frame for the cost analysis was one year, discounting applied to economic evaluations in excess of a one-year time frame, was not necessary.</w:t>
      </w:r>
      <w:r w:rsidRPr="00942766">
        <w:rPr>
          <w:rFonts w:ascii="Cambria" w:hAnsi="Cambria" w:cs="Times New Roman"/>
          <w:color w:val="auto"/>
        </w:rPr>
        <w:t xml:space="preserve"> </w:t>
      </w:r>
    </w:p>
    <w:p w:rsidR="00FA76A1" w:rsidRPr="00942766" w:rsidRDefault="00FA76A1" w:rsidP="00FA76A1">
      <w:pPr>
        <w:spacing w:before="240" w:line="480" w:lineRule="auto"/>
        <w:rPr>
          <w:rFonts w:ascii="Cambria" w:hAnsi="Cambria"/>
        </w:rPr>
      </w:pPr>
      <w:r w:rsidRPr="00942766">
        <w:rPr>
          <w:rFonts w:ascii="Cambria" w:hAnsi="Cambria"/>
          <w:bCs/>
        </w:rPr>
        <w:t xml:space="preserve">The target sample size of 96 children with PCHL for the HOT project, i.e. 80% of </w:t>
      </w:r>
      <w:r w:rsidR="0071015E" w:rsidRPr="00942766">
        <w:rPr>
          <w:rFonts w:ascii="Cambria" w:hAnsi="Cambria"/>
          <w:bCs/>
        </w:rPr>
        <w:t xml:space="preserve">the </w:t>
      </w:r>
      <w:r w:rsidRPr="00942766">
        <w:rPr>
          <w:rFonts w:ascii="Cambria" w:hAnsi="Cambria"/>
          <w:bCs/>
        </w:rPr>
        <w:t xml:space="preserve">participants with PCHL </w:t>
      </w:r>
      <w:r w:rsidR="0071015E" w:rsidRPr="00942766">
        <w:rPr>
          <w:rFonts w:ascii="Cambria" w:hAnsi="Cambria"/>
          <w:bCs/>
        </w:rPr>
        <w:t xml:space="preserve">that had been </w:t>
      </w:r>
      <w:r w:rsidRPr="00942766">
        <w:rPr>
          <w:rFonts w:ascii="Cambria" w:hAnsi="Cambria"/>
          <w:bCs/>
        </w:rPr>
        <w:t xml:space="preserve">assessed at a mean age of </w:t>
      </w:r>
      <w:r w:rsidR="0071015E" w:rsidRPr="00942766">
        <w:rPr>
          <w:rFonts w:ascii="Cambria" w:hAnsi="Cambria"/>
          <w:bCs/>
        </w:rPr>
        <w:t>7.</w:t>
      </w:r>
      <w:r w:rsidRPr="00942766">
        <w:rPr>
          <w:rFonts w:ascii="Cambria" w:hAnsi="Cambria"/>
          <w:bCs/>
        </w:rPr>
        <w:t>9 years, was estimated to provide 90% power at 5% significance level (two tailed) to detect a 0.67 SD effect size of UNHS on reading comprehension, the pre-specified primary outcome measure</w:t>
      </w:r>
      <w:r w:rsidR="0071015E" w:rsidRPr="00942766">
        <w:rPr>
          <w:rFonts w:ascii="Cambria" w:hAnsi="Cambria"/>
          <w:bCs/>
        </w:rPr>
        <w:t xml:space="preserve"> in the HOT study</w:t>
      </w:r>
      <w:r w:rsidRPr="00942766">
        <w:rPr>
          <w:rFonts w:ascii="Cambria" w:hAnsi="Cambria"/>
          <w:bCs/>
        </w:rPr>
        <w:t xml:space="preserve">, in participants with PCHL. </w:t>
      </w:r>
      <w:r w:rsidR="0071015E" w:rsidRPr="00942766">
        <w:rPr>
          <w:rFonts w:ascii="Cambria" w:hAnsi="Cambria"/>
          <w:bCs/>
        </w:rPr>
        <w:t xml:space="preserve">Sample size was determined by </w:t>
      </w:r>
      <w:r w:rsidR="005D0620" w:rsidRPr="00942766">
        <w:rPr>
          <w:rFonts w:ascii="Cambria" w:hAnsi="Cambria"/>
          <w:bCs/>
        </w:rPr>
        <w:t xml:space="preserve">the above </w:t>
      </w:r>
      <w:r w:rsidR="0071015E" w:rsidRPr="00942766">
        <w:rPr>
          <w:rFonts w:ascii="Cambria" w:hAnsi="Cambria"/>
          <w:bCs/>
        </w:rPr>
        <w:t>p</w:t>
      </w:r>
      <w:r w:rsidRPr="00942766">
        <w:rPr>
          <w:rFonts w:ascii="Cambria" w:hAnsi="Cambria"/>
          <w:bCs/>
        </w:rPr>
        <w:t>ower calculation</w:t>
      </w:r>
      <w:r w:rsidR="005D0620" w:rsidRPr="00942766">
        <w:rPr>
          <w:rFonts w:ascii="Cambria" w:hAnsi="Cambria"/>
          <w:bCs/>
        </w:rPr>
        <w:t xml:space="preserve"> rather than any separate power calculation relating to power to detect group differences in </w:t>
      </w:r>
      <w:r w:rsidRPr="00942766">
        <w:rPr>
          <w:rFonts w:ascii="Cambria" w:hAnsi="Cambria"/>
          <w:bCs/>
        </w:rPr>
        <w:t xml:space="preserve">costs, </w:t>
      </w:r>
      <w:r w:rsidR="0071015E" w:rsidRPr="00942766">
        <w:rPr>
          <w:rFonts w:ascii="Cambria" w:hAnsi="Cambria"/>
          <w:bCs/>
        </w:rPr>
        <w:t>the</w:t>
      </w:r>
      <w:r w:rsidRPr="00942766">
        <w:rPr>
          <w:rFonts w:ascii="Cambria" w:hAnsi="Cambria"/>
          <w:bCs/>
        </w:rPr>
        <w:t xml:space="preserve"> secondary outcome</w:t>
      </w:r>
      <w:r w:rsidR="0071015E" w:rsidRPr="00942766">
        <w:rPr>
          <w:rFonts w:ascii="Cambria" w:hAnsi="Cambria"/>
          <w:bCs/>
        </w:rPr>
        <w:t xml:space="preserve"> reported here.</w:t>
      </w:r>
      <w:r w:rsidRPr="00942766">
        <w:rPr>
          <w:rFonts w:ascii="Cambria" w:hAnsi="Cambria"/>
          <w:bCs/>
        </w:rPr>
        <w:t xml:space="preserve"> </w:t>
      </w:r>
    </w:p>
    <w:p w:rsidR="004E273D" w:rsidRPr="00942766" w:rsidRDefault="004E273D" w:rsidP="004E273D">
      <w:pPr>
        <w:pStyle w:val="Heading3"/>
        <w:spacing w:line="480" w:lineRule="auto"/>
        <w:rPr>
          <w:rFonts w:ascii="Cambria" w:hAnsi="Cambria" w:cs="Times New Roman"/>
          <w:b/>
          <w:bCs/>
          <w:color w:val="auto"/>
        </w:rPr>
      </w:pPr>
      <w:r w:rsidRPr="00942766">
        <w:rPr>
          <w:rFonts w:ascii="Cambria" w:hAnsi="Cambria" w:cs="Times New Roman"/>
          <w:color w:val="auto"/>
        </w:rPr>
        <w:lastRenderedPageBreak/>
        <w:t>Among participants with PCHL, the effect on costs was assessed in four regression models, each with one independent variable of interest: birth during periods with UNHS; ‘early’</w:t>
      </w:r>
      <w:r w:rsidRPr="00942766" w:rsidDel="006E3E05">
        <w:rPr>
          <w:rFonts w:ascii="Cambria" w:hAnsi="Cambria" w:cs="Times New Roman"/>
          <w:color w:val="auto"/>
        </w:rPr>
        <w:t xml:space="preserve"> </w:t>
      </w:r>
      <w:r w:rsidRPr="00942766">
        <w:rPr>
          <w:rFonts w:ascii="Cambria" w:hAnsi="Cambria" w:cs="Times New Roman"/>
          <w:color w:val="auto"/>
        </w:rPr>
        <w:t xml:space="preserve">confirmation of PCHL; receptive language ability z-score; and reading comprehension z-score.  These effects are presented unadjusted and adjusted </w:t>
      </w:r>
      <w:r w:rsidR="005D0620" w:rsidRPr="00942766">
        <w:rPr>
          <w:rFonts w:ascii="Cambria" w:hAnsi="Cambria" w:cs="Times New Roman"/>
          <w:color w:val="auto"/>
        </w:rPr>
        <w:t xml:space="preserve">in two regressions models. The first model adjusted </w:t>
      </w:r>
      <w:r w:rsidRPr="00942766">
        <w:rPr>
          <w:rFonts w:ascii="Cambria" w:hAnsi="Cambria" w:cs="Times New Roman"/>
          <w:color w:val="auto"/>
        </w:rPr>
        <w:t>for cochlear implantation and the presence of additional medical conditions (AMC)</w:t>
      </w:r>
      <w:r w:rsidR="005D0620" w:rsidRPr="00942766">
        <w:rPr>
          <w:rFonts w:ascii="Cambria" w:hAnsi="Cambria" w:cs="Times New Roman"/>
          <w:color w:val="auto"/>
        </w:rPr>
        <w:t xml:space="preserve"> and the second model added severity of PCHI into that regression model</w:t>
      </w:r>
      <w:r w:rsidR="00124EDF" w:rsidRPr="00942766">
        <w:rPr>
          <w:rFonts w:ascii="Cambria" w:hAnsi="Cambria" w:cs="Times New Roman"/>
          <w:color w:val="auto"/>
        </w:rPr>
        <w:t>.</w:t>
      </w:r>
    </w:p>
    <w:p w:rsidR="004E273D" w:rsidRPr="00942766" w:rsidRDefault="004E273D" w:rsidP="004E273D">
      <w:pPr>
        <w:rPr>
          <w:rFonts w:ascii="Cambria" w:hAnsi="Cambria"/>
          <w:b/>
        </w:rPr>
      </w:pPr>
    </w:p>
    <w:p w:rsidR="004E273D" w:rsidRPr="00942766" w:rsidRDefault="004E273D" w:rsidP="004E273D">
      <w:pPr>
        <w:spacing w:line="480" w:lineRule="auto"/>
        <w:rPr>
          <w:rFonts w:ascii="Cambria" w:hAnsi="Cambria"/>
        </w:rPr>
      </w:pPr>
      <w:r w:rsidRPr="00942766">
        <w:rPr>
          <w:rFonts w:ascii="Cambria" w:hAnsi="Cambria"/>
        </w:rPr>
        <w:t>As violation of normality was confirmed (Shapiro-Wilk p&lt;.05), mean differences between groups are presented with 95% confidence intervals (95%CI) estimated by bootstrapping</w:t>
      </w:r>
      <w:r w:rsidR="00E74188" w:rsidRPr="00942766">
        <w:rPr>
          <w:rFonts w:ascii="Cambria" w:hAnsi="Cambria"/>
        </w:rPr>
        <w:t xml:space="preserve"> (1,000 replications)</w:t>
      </w:r>
      <w:r w:rsidRPr="00942766">
        <w:rPr>
          <w:rFonts w:ascii="Cambria" w:hAnsi="Cambria"/>
        </w:rPr>
        <w:t>. In addition to conventional ordinary least squares (OLS) regression analysis, generalised linear models (GLMs) using non-normal distributions, and the alternative model specifications were examined for robustness to deviations from normality and equality of variance in costs</w:t>
      </w:r>
      <w:r w:rsidR="00F27EAD" w:rsidRPr="00942766">
        <w:rPr>
          <w:rFonts w:ascii="Cambria" w:hAnsi="Cambria"/>
        </w:rPr>
        <w:t>(34)</w:t>
      </w:r>
      <w:r w:rsidRPr="00942766">
        <w:rPr>
          <w:rFonts w:ascii="Cambria" w:hAnsi="Cambria"/>
        </w:rPr>
        <w:t>. OLS and GLM analyses gave very similar results so we used OLS findings with robust standard errors. All analyses were carried out using STATA 12® and R 3.1.1®.</w:t>
      </w:r>
    </w:p>
    <w:p w:rsidR="004E273D" w:rsidRPr="00942766" w:rsidRDefault="004E273D" w:rsidP="004E273D">
      <w:pPr>
        <w:spacing w:after="200" w:line="480" w:lineRule="auto"/>
        <w:rPr>
          <w:rFonts w:ascii="Cambria" w:eastAsiaTheme="majorEastAsia" w:hAnsi="Cambria"/>
          <w:b/>
          <w:bCs/>
          <w:lang w:eastAsia="en-US"/>
        </w:rPr>
      </w:pPr>
      <w:r w:rsidRPr="00942766">
        <w:rPr>
          <w:rFonts w:ascii="Cambria" w:hAnsi="Cambria"/>
        </w:rPr>
        <w:br w:type="page"/>
      </w:r>
    </w:p>
    <w:p w:rsidR="004E273D" w:rsidRPr="00942766" w:rsidRDefault="004E273D" w:rsidP="004E273D">
      <w:pPr>
        <w:pStyle w:val="Heading1"/>
        <w:spacing w:line="480" w:lineRule="auto"/>
        <w:rPr>
          <w:rFonts w:ascii="Cambria" w:hAnsi="Cambria" w:cs="Times New Roman"/>
          <w:sz w:val="24"/>
          <w:szCs w:val="24"/>
        </w:rPr>
      </w:pPr>
      <w:r w:rsidRPr="00942766">
        <w:rPr>
          <w:rFonts w:ascii="Cambria" w:hAnsi="Cambria" w:cs="Times New Roman"/>
          <w:sz w:val="24"/>
          <w:szCs w:val="24"/>
        </w:rPr>
        <w:lastRenderedPageBreak/>
        <w:t>RESULTS</w:t>
      </w:r>
    </w:p>
    <w:p w:rsidR="004E273D" w:rsidRPr="00942766" w:rsidRDefault="00923ADD" w:rsidP="004E273D">
      <w:pPr>
        <w:spacing w:line="480" w:lineRule="auto"/>
        <w:rPr>
          <w:rFonts w:ascii="Cambria" w:hAnsi="Cambria"/>
        </w:rPr>
      </w:pPr>
      <w:r w:rsidRPr="00942766">
        <w:rPr>
          <w:rFonts w:ascii="Cambria" w:hAnsi="Cambria"/>
        </w:rPr>
        <w:t xml:space="preserve">Four </w:t>
      </w:r>
      <w:r w:rsidR="0071015E" w:rsidRPr="00942766">
        <w:rPr>
          <w:rFonts w:ascii="Cambria" w:hAnsi="Cambria"/>
        </w:rPr>
        <w:t xml:space="preserve">of 114 </w:t>
      </w:r>
      <w:r w:rsidRPr="00942766">
        <w:rPr>
          <w:rFonts w:ascii="Cambria" w:hAnsi="Cambria"/>
        </w:rPr>
        <w:t xml:space="preserve">participants </w:t>
      </w:r>
      <w:r w:rsidR="0071015E" w:rsidRPr="00942766">
        <w:rPr>
          <w:rFonts w:ascii="Cambria" w:hAnsi="Cambria"/>
        </w:rPr>
        <w:t xml:space="preserve">in the HOT study </w:t>
      </w:r>
      <w:r w:rsidRPr="00942766">
        <w:rPr>
          <w:rFonts w:ascii="Cambria" w:hAnsi="Cambria"/>
        </w:rPr>
        <w:t>did not return the completed economic questionnaire</w:t>
      </w:r>
      <w:r w:rsidR="0071015E" w:rsidRPr="00942766">
        <w:rPr>
          <w:rFonts w:ascii="Cambria" w:hAnsi="Cambria"/>
        </w:rPr>
        <w:t xml:space="preserve"> and </w:t>
      </w:r>
      <w:r w:rsidRPr="00942766">
        <w:rPr>
          <w:rFonts w:ascii="Cambria" w:hAnsi="Cambria"/>
        </w:rPr>
        <w:t xml:space="preserve">resource use is </w:t>
      </w:r>
      <w:r w:rsidR="0071015E" w:rsidRPr="00942766">
        <w:rPr>
          <w:rFonts w:ascii="Cambria" w:hAnsi="Cambria"/>
        </w:rPr>
        <w:t xml:space="preserve">therefore </w:t>
      </w:r>
      <w:r w:rsidRPr="00942766">
        <w:rPr>
          <w:rFonts w:ascii="Cambria" w:hAnsi="Cambria"/>
        </w:rPr>
        <w:t xml:space="preserve">reported </w:t>
      </w:r>
      <w:r w:rsidR="0071015E" w:rsidRPr="00942766">
        <w:rPr>
          <w:rFonts w:ascii="Cambria" w:hAnsi="Cambria"/>
        </w:rPr>
        <w:t xml:space="preserve">in </w:t>
      </w:r>
      <w:r w:rsidR="005237F8" w:rsidRPr="00942766">
        <w:rPr>
          <w:rFonts w:ascii="Cambria" w:hAnsi="Cambria"/>
        </w:rPr>
        <w:t xml:space="preserve">110 participants in </w:t>
      </w:r>
      <w:r w:rsidR="0071015E" w:rsidRPr="00942766">
        <w:rPr>
          <w:rFonts w:ascii="Cambria" w:hAnsi="Cambria"/>
        </w:rPr>
        <w:t>this economic study</w:t>
      </w:r>
      <w:r w:rsidR="005237F8" w:rsidRPr="00942766">
        <w:rPr>
          <w:rFonts w:ascii="Cambria" w:hAnsi="Cambria"/>
        </w:rPr>
        <w:t>.</w:t>
      </w:r>
      <w:r w:rsidRPr="00942766">
        <w:rPr>
          <w:rFonts w:ascii="Cambria" w:hAnsi="Cambria"/>
        </w:rPr>
        <w:t xml:space="preserve"> </w:t>
      </w:r>
      <w:r w:rsidRPr="00942766" w:rsidDel="00923ADD">
        <w:rPr>
          <w:rFonts w:ascii="Cambria" w:hAnsi="Cambria"/>
        </w:rPr>
        <w:t xml:space="preserve"> </w:t>
      </w:r>
      <w:r w:rsidR="004E273D" w:rsidRPr="00942766">
        <w:rPr>
          <w:rFonts w:ascii="Cambria" w:hAnsi="Cambria"/>
        </w:rPr>
        <w:t xml:space="preserve">The mean (SD) age of the participants was 16.9 (1.4) years. Of the participants with PCHL, 32 (44%), 18 (25%) and 23 (32%) had moderate, severe and profound PCHL respectively (Table 1). </w:t>
      </w:r>
      <w:r w:rsidR="004E273D" w:rsidRPr="00942766">
        <w:rPr>
          <w:rFonts w:ascii="Cambria" w:hAnsi="Cambria"/>
          <w:lang w:val="en-US"/>
        </w:rPr>
        <w:t xml:space="preserve">For the PCHL group there were no significant differences of gender, severity of PCHL, mother’s educational qualifications, or English as the main language at home between participants and those lost to follow-up in </w:t>
      </w:r>
      <w:r w:rsidR="004E273D" w:rsidRPr="00942766">
        <w:rPr>
          <w:rFonts w:ascii="Cambria" w:hAnsi="Cambria"/>
        </w:rPr>
        <w:t>the larger sample of 120 children with PCHL, who had been assessed at 7.9 years</w:t>
      </w:r>
      <w:r w:rsidR="008A5FA3" w:rsidRPr="00942766">
        <w:rPr>
          <w:rFonts w:ascii="Cambria" w:hAnsi="Cambria"/>
        </w:rPr>
        <w:t>(</w:t>
      </w:r>
      <w:r w:rsidR="006762F8" w:rsidRPr="00942766">
        <w:rPr>
          <w:rFonts w:ascii="Cambria" w:hAnsi="Cambria"/>
        </w:rPr>
        <w:t>27</w:t>
      </w:r>
      <w:r w:rsidR="008A5FA3" w:rsidRPr="00942766">
        <w:rPr>
          <w:rFonts w:ascii="Cambria" w:hAnsi="Cambria"/>
        </w:rPr>
        <w:t>)</w:t>
      </w:r>
      <w:r w:rsidR="004E273D" w:rsidRPr="00942766">
        <w:rPr>
          <w:rFonts w:ascii="Cambria" w:hAnsi="Cambria"/>
        </w:rPr>
        <w:t>.</w:t>
      </w:r>
      <w:r w:rsidR="004E273D" w:rsidRPr="00942766">
        <w:rPr>
          <w:rFonts w:ascii="Cambria" w:hAnsi="Cambria"/>
          <w:lang w:val="en-US"/>
        </w:rPr>
        <w:t xml:space="preserve"> </w:t>
      </w:r>
      <w:r w:rsidR="004E273D" w:rsidRPr="00942766">
        <w:rPr>
          <w:rFonts w:ascii="Cambria" w:hAnsi="Cambria"/>
        </w:rPr>
        <w:t xml:space="preserve">Additional demographic characteristics by UNHS status and by timing of confirmation of PCHL are presented in Appendix Table 1. </w:t>
      </w:r>
      <w:r w:rsidR="00525861" w:rsidRPr="00942766">
        <w:rPr>
          <w:rFonts w:ascii="Cambria" w:hAnsi="Cambria"/>
        </w:rPr>
        <w:t>Appendix Table 1 and our previous reports indicate that the (approximately) half of our study population with PCHL that was born in periods with UNHS was similar to the other half born in periods without UNHS</w:t>
      </w:r>
      <w:r w:rsidR="00525861" w:rsidRPr="00942766">
        <w:rPr>
          <w:rFonts w:ascii="Cambria" w:hAnsi="Cambria"/>
          <w:b/>
        </w:rPr>
        <w:t xml:space="preserve"> </w:t>
      </w:r>
      <w:r w:rsidR="00525861" w:rsidRPr="00942766">
        <w:rPr>
          <w:rFonts w:ascii="Cambria" w:hAnsi="Cambria"/>
        </w:rPr>
        <w:t>with respect to the severity of their PCHL</w:t>
      </w:r>
      <w:r w:rsidR="00525861" w:rsidRPr="00942766">
        <w:rPr>
          <w:rFonts w:ascii="Cambria" w:hAnsi="Cambria"/>
          <w:b/>
        </w:rPr>
        <w:t xml:space="preserve">. </w:t>
      </w:r>
      <w:r w:rsidR="00525861" w:rsidRPr="00942766">
        <w:rPr>
          <w:rFonts w:ascii="Cambria" w:hAnsi="Cambria"/>
        </w:rPr>
        <w:t xml:space="preserve">That is to say severity of PCHL was not a confounder of UNHS status when considering the effect of UNHS on costs. </w:t>
      </w:r>
      <w:r w:rsidR="004E273D" w:rsidRPr="00942766">
        <w:rPr>
          <w:rFonts w:ascii="Cambria" w:hAnsi="Cambria"/>
        </w:rPr>
        <w:t>Resource use (Table 2) was combined with unit costs (Table 3) to derive total costs in all participants (Table 4).</w:t>
      </w:r>
    </w:p>
    <w:p w:rsidR="004E273D" w:rsidRPr="00942766" w:rsidRDefault="004E273D" w:rsidP="004E273D">
      <w:pPr>
        <w:pStyle w:val="Heading3"/>
        <w:spacing w:line="480" w:lineRule="auto"/>
        <w:rPr>
          <w:rFonts w:ascii="Cambria" w:hAnsi="Cambria"/>
          <w:b/>
          <w:color w:val="auto"/>
        </w:rPr>
      </w:pPr>
      <w:r w:rsidRPr="00942766">
        <w:rPr>
          <w:rFonts w:ascii="Cambria" w:hAnsi="Cambria"/>
          <w:b/>
          <w:color w:val="auto"/>
        </w:rPr>
        <w:t>Comparison between those with PCHL and the HCG</w:t>
      </w:r>
    </w:p>
    <w:p w:rsidR="004E273D" w:rsidRPr="00942766" w:rsidRDefault="004E273D" w:rsidP="004E273D">
      <w:pPr>
        <w:spacing w:line="480" w:lineRule="auto"/>
        <w:rPr>
          <w:rFonts w:ascii="Cambria" w:hAnsi="Cambria"/>
        </w:rPr>
      </w:pPr>
      <w:r w:rsidRPr="00942766">
        <w:rPr>
          <w:rFonts w:ascii="Cambria" w:hAnsi="Cambria"/>
        </w:rPr>
        <w:t>The mean (SD) cost estimates for the teenagers with PCHL and the HCG were £15,914 (14,168) and £5,883 (2,076) respectively (mean difference (95%CI) £10,031 (</w:t>
      </w:r>
      <w:r w:rsidR="0083450D" w:rsidRPr="00942766">
        <w:rPr>
          <w:rFonts w:ascii="Cambria" w:hAnsi="Cambria"/>
        </w:rPr>
        <w:t>£</w:t>
      </w:r>
      <w:r w:rsidRPr="00942766">
        <w:rPr>
          <w:rFonts w:ascii="Cambria" w:hAnsi="Cambria"/>
        </w:rPr>
        <w:t>6,459 to £13,603),</w:t>
      </w:r>
      <w:r w:rsidRPr="00942766">
        <w:rPr>
          <w:rStyle w:val="CommentReference"/>
          <w:rFonts w:ascii="Cambria" w:hAnsi="Cambria"/>
        </w:rPr>
        <w:t xml:space="preserve"> </w:t>
      </w:r>
      <w:r w:rsidRPr="00942766">
        <w:rPr>
          <w:rFonts w:ascii="Cambria" w:hAnsi="Cambria"/>
        </w:rPr>
        <w:t xml:space="preserve">p&lt;.001) (Table 4). Both educational costs and the sum of all other costs differed significantly between these groups. The educational cost difference of £6,752 was the main cost driver (Table 4). </w:t>
      </w:r>
    </w:p>
    <w:p w:rsidR="004E273D" w:rsidRPr="00942766" w:rsidRDefault="004E273D" w:rsidP="004E273D">
      <w:pPr>
        <w:pStyle w:val="Heading3"/>
        <w:spacing w:line="480" w:lineRule="auto"/>
        <w:rPr>
          <w:rFonts w:ascii="Cambria" w:hAnsi="Cambria"/>
          <w:b/>
          <w:color w:val="auto"/>
        </w:rPr>
      </w:pPr>
      <w:r w:rsidRPr="00942766">
        <w:rPr>
          <w:rFonts w:ascii="Cambria" w:hAnsi="Cambria"/>
          <w:b/>
          <w:color w:val="auto"/>
        </w:rPr>
        <w:lastRenderedPageBreak/>
        <w:t xml:space="preserve">Comparisons within </w:t>
      </w:r>
      <w:r w:rsidR="0071015E" w:rsidRPr="00942766">
        <w:rPr>
          <w:rFonts w:ascii="Cambria" w:hAnsi="Cambria"/>
          <w:b/>
          <w:color w:val="auto"/>
        </w:rPr>
        <w:t xml:space="preserve">the </w:t>
      </w:r>
      <w:r w:rsidRPr="00942766">
        <w:rPr>
          <w:rFonts w:ascii="Cambria" w:hAnsi="Cambria"/>
          <w:b/>
          <w:color w:val="auto"/>
        </w:rPr>
        <w:t xml:space="preserve">PCHL group </w:t>
      </w:r>
    </w:p>
    <w:p w:rsidR="00470B05" w:rsidRPr="00942766" w:rsidRDefault="004E273D" w:rsidP="00470B05">
      <w:pPr>
        <w:spacing w:line="480" w:lineRule="auto"/>
        <w:ind w:firstLine="720"/>
        <w:rPr>
          <w:rFonts w:ascii="Cambria" w:hAnsi="Cambria"/>
        </w:rPr>
      </w:pPr>
      <w:r w:rsidRPr="00942766">
        <w:rPr>
          <w:rFonts w:ascii="Cambria" w:hAnsi="Cambria"/>
          <w:b/>
        </w:rPr>
        <w:t>Effect of severity of PCHL:</w:t>
      </w:r>
      <w:r w:rsidRPr="00942766">
        <w:rPr>
          <w:rFonts w:ascii="Cambria" w:hAnsi="Cambria"/>
        </w:rPr>
        <w:t xml:space="preserve"> Moderate, severe and profound PCHLs were associated with mean costs of £11,799, £12,489 and £24,320 respectively (Table 4). The mean cost differences from the HCG for moderate, severe and profound PCHL were £5,916, £6,605 and £18,437 respectively. The mean difference (95%CI) in the cost of profound compared to other severities of PCHL was £12,273 (</w:t>
      </w:r>
      <w:r w:rsidR="0083450D" w:rsidRPr="00942766">
        <w:rPr>
          <w:rFonts w:ascii="Cambria" w:hAnsi="Cambria"/>
        </w:rPr>
        <w:t>£4,808 to £</w:t>
      </w:r>
      <w:r w:rsidRPr="00942766">
        <w:rPr>
          <w:rFonts w:ascii="Cambria" w:hAnsi="Cambria"/>
        </w:rPr>
        <w:t>19,738) (p= .002). The higher cost of attendance at boarding and independent special schools was the main cost driver:  the p</w:t>
      </w:r>
      <w:r w:rsidR="005D0620" w:rsidRPr="00942766">
        <w:rPr>
          <w:rFonts w:ascii="Cambria" w:hAnsi="Cambria"/>
        </w:rPr>
        <w:t xml:space="preserve">ercentage </w:t>
      </w:r>
      <w:r w:rsidRPr="00942766">
        <w:rPr>
          <w:rFonts w:ascii="Cambria" w:hAnsi="Cambria"/>
        </w:rPr>
        <w:t>(95%CI) of teenagers with moderate, severe and profound PCHL attending residential schools was 8 (1</w:t>
      </w:r>
      <w:r w:rsidR="005C37C9" w:rsidRPr="00942766">
        <w:rPr>
          <w:rFonts w:ascii="Cambria" w:hAnsi="Cambria"/>
        </w:rPr>
        <w:t xml:space="preserve"> </w:t>
      </w:r>
      <w:r w:rsidR="005D0620" w:rsidRPr="00942766">
        <w:rPr>
          <w:rFonts w:ascii="Cambria" w:hAnsi="Cambria"/>
        </w:rPr>
        <w:t>to 42</w:t>
      </w:r>
      <w:r w:rsidRPr="00942766">
        <w:rPr>
          <w:rFonts w:ascii="Cambria" w:hAnsi="Cambria"/>
        </w:rPr>
        <w:t>)</w:t>
      </w:r>
      <w:r w:rsidR="005D0620" w:rsidRPr="00942766">
        <w:rPr>
          <w:rFonts w:ascii="Cambria" w:hAnsi="Cambria"/>
        </w:rPr>
        <w:t>%</w:t>
      </w:r>
      <w:r w:rsidRPr="00942766">
        <w:rPr>
          <w:rFonts w:ascii="Cambria" w:hAnsi="Cambria"/>
        </w:rPr>
        <w:t>, 15 (4</w:t>
      </w:r>
      <w:r w:rsidR="005D0620" w:rsidRPr="00942766">
        <w:rPr>
          <w:rFonts w:ascii="Cambria" w:hAnsi="Cambria"/>
        </w:rPr>
        <w:t xml:space="preserve"> to </w:t>
      </w:r>
      <w:r w:rsidRPr="00942766">
        <w:rPr>
          <w:rFonts w:ascii="Cambria" w:hAnsi="Cambria"/>
        </w:rPr>
        <w:t>47)</w:t>
      </w:r>
      <w:r w:rsidR="005D0620" w:rsidRPr="00942766">
        <w:rPr>
          <w:rFonts w:ascii="Cambria" w:hAnsi="Cambria"/>
        </w:rPr>
        <w:t>%</w:t>
      </w:r>
      <w:r w:rsidRPr="00942766">
        <w:rPr>
          <w:rFonts w:ascii="Cambria" w:hAnsi="Cambria"/>
        </w:rPr>
        <w:t xml:space="preserve"> and 77 (46</w:t>
      </w:r>
      <w:r w:rsidR="005D0620" w:rsidRPr="00942766">
        <w:rPr>
          <w:rFonts w:ascii="Cambria" w:hAnsi="Cambria"/>
        </w:rPr>
        <w:t xml:space="preserve"> to </w:t>
      </w:r>
      <w:r w:rsidRPr="00942766">
        <w:rPr>
          <w:rFonts w:ascii="Cambria" w:hAnsi="Cambria"/>
        </w:rPr>
        <w:t>93)</w:t>
      </w:r>
      <w:r w:rsidR="005D0620" w:rsidRPr="00942766">
        <w:rPr>
          <w:rFonts w:ascii="Cambria" w:hAnsi="Cambria"/>
        </w:rPr>
        <w:t>%</w:t>
      </w:r>
      <w:r w:rsidRPr="00942766">
        <w:rPr>
          <w:rFonts w:ascii="Cambria" w:hAnsi="Cambria"/>
        </w:rPr>
        <w:t xml:space="preserve"> respectively and the p</w:t>
      </w:r>
      <w:r w:rsidR="005D0620" w:rsidRPr="00942766">
        <w:rPr>
          <w:rFonts w:ascii="Cambria" w:hAnsi="Cambria"/>
        </w:rPr>
        <w:t xml:space="preserve">ercentage </w:t>
      </w:r>
      <w:r w:rsidRPr="00942766">
        <w:rPr>
          <w:rFonts w:ascii="Cambria" w:hAnsi="Cambria"/>
        </w:rPr>
        <w:t>(95%CI) attending mainstream schools was 68 (48</w:t>
      </w:r>
      <w:r w:rsidR="005D0620" w:rsidRPr="00942766">
        <w:rPr>
          <w:rFonts w:ascii="Cambria" w:hAnsi="Cambria"/>
        </w:rPr>
        <w:t xml:space="preserve"> to </w:t>
      </w:r>
      <w:r w:rsidRPr="00942766">
        <w:rPr>
          <w:rFonts w:ascii="Cambria" w:hAnsi="Cambria"/>
        </w:rPr>
        <w:t>83)</w:t>
      </w:r>
      <w:r w:rsidR="005D0620" w:rsidRPr="00942766">
        <w:rPr>
          <w:rFonts w:ascii="Cambria" w:hAnsi="Cambria"/>
        </w:rPr>
        <w:t>%</w:t>
      </w:r>
      <w:r w:rsidRPr="00942766">
        <w:rPr>
          <w:rFonts w:ascii="Cambria" w:hAnsi="Cambria"/>
        </w:rPr>
        <w:t>, 18 (7</w:t>
      </w:r>
      <w:r w:rsidR="005D0620" w:rsidRPr="00942766">
        <w:rPr>
          <w:rFonts w:ascii="Cambria" w:hAnsi="Cambria"/>
        </w:rPr>
        <w:t xml:space="preserve">to </w:t>
      </w:r>
      <w:r w:rsidRPr="00942766">
        <w:rPr>
          <w:rFonts w:ascii="Cambria" w:hAnsi="Cambria"/>
        </w:rPr>
        <w:t>37)</w:t>
      </w:r>
      <w:r w:rsidR="005D0620" w:rsidRPr="00942766">
        <w:rPr>
          <w:rFonts w:ascii="Cambria" w:hAnsi="Cambria"/>
        </w:rPr>
        <w:t>%</w:t>
      </w:r>
      <w:r w:rsidRPr="00942766">
        <w:rPr>
          <w:rFonts w:ascii="Cambria" w:hAnsi="Cambria"/>
        </w:rPr>
        <w:t xml:space="preserve"> and 14 (5</w:t>
      </w:r>
      <w:r w:rsidR="005D0620" w:rsidRPr="00942766">
        <w:rPr>
          <w:rFonts w:ascii="Cambria" w:hAnsi="Cambria"/>
        </w:rPr>
        <w:t xml:space="preserve"> to </w:t>
      </w:r>
      <w:r w:rsidRPr="00942766">
        <w:rPr>
          <w:rFonts w:ascii="Cambria" w:hAnsi="Cambria"/>
        </w:rPr>
        <w:t>33)</w:t>
      </w:r>
      <w:r w:rsidR="005D0620" w:rsidRPr="00942766">
        <w:rPr>
          <w:rFonts w:ascii="Cambria" w:hAnsi="Cambria"/>
        </w:rPr>
        <w:t>%</w:t>
      </w:r>
      <w:r w:rsidRPr="00942766">
        <w:rPr>
          <w:rFonts w:ascii="Cambria" w:hAnsi="Cambria"/>
        </w:rPr>
        <w:t xml:space="preserve"> respectively. Community health, social care and hospital-based services costs all increased significantly with severity (Table 4). For those with profound </w:t>
      </w:r>
      <w:r w:rsidR="0071015E" w:rsidRPr="00942766">
        <w:rPr>
          <w:rFonts w:ascii="Cambria" w:hAnsi="Cambria"/>
        </w:rPr>
        <w:t>PCHL</w:t>
      </w:r>
      <w:r w:rsidRPr="00942766">
        <w:rPr>
          <w:rFonts w:ascii="Cambria" w:hAnsi="Cambria"/>
        </w:rPr>
        <w:t xml:space="preserve">, the </w:t>
      </w:r>
      <w:r w:rsidR="00EF197E" w:rsidRPr="00942766">
        <w:rPr>
          <w:rFonts w:ascii="Cambria" w:hAnsi="Cambria"/>
        </w:rPr>
        <w:t xml:space="preserve">cost of cochlear implantation was only incurred during the assessed period of resource use in a small proportion but the group </w:t>
      </w:r>
      <w:r w:rsidRPr="00942766">
        <w:rPr>
          <w:rFonts w:ascii="Cambria" w:hAnsi="Cambria"/>
        </w:rPr>
        <w:t>mean cost of cochlear implant (£2,652</w:t>
      </w:r>
      <w:r w:rsidR="00470B05" w:rsidRPr="00942766">
        <w:rPr>
          <w:rFonts w:ascii="Cambria" w:hAnsi="Cambria"/>
        </w:rPr>
        <w:t>)</w:t>
      </w:r>
      <w:r w:rsidR="00EF197E" w:rsidRPr="00942766">
        <w:rPr>
          <w:rFonts w:ascii="Cambria" w:hAnsi="Cambria"/>
        </w:rPr>
        <w:t xml:space="preserve"> </w:t>
      </w:r>
      <w:r w:rsidR="00470B05" w:rsidRPr="00942766">
        <w:rPr>
          <w:rFonts w:ascii="Cambria" w:hAnsi="Cambria"/>
        </w:rPr>
        <w:t>was</w:t>
      </w:r>
      <w:r w:rsidRPr="00942766">
        <w:rPr>
          <w:rFonts w:ascii="Cambria" w:hAnsi="Cambria"/>
        </w:rPr>
        <w:t xml:space="preserve"> </w:t>
      </w:r>
      <w:r w:rsidR="00EF197E" w:rsidRPr="00942766">
        <w:rPr>
          <w:rFonts w:ascii="Cambria" w:hAnsi="Cambria"/>
        </w:rPr>
        <w:t xml:space="preserve">nevertheless </w:t>
      </w:r>
      <w:r w:rsidRPr="00942766">
        <w:rPr>
          <w:rFonts w:ascii="Cambria" w:hAnsi="Cambria"/>
        </w:rPr>
        <w:t xml:space="preserve">a key cost driver (Table 4). </w:t>
      </w:r>
    </w:p>
    <w:p w:rsidR="00470B05" w:rsidRPr="00942766" w:rsidRDefault="004E273D" w:rsidP="00470B05">
      <w:pPr>
        <w:spacing w:line="480" w:lineRule="auto"/>
        <w:ind w:firstLine="720"/>
        <w:rPr>
          <w:rFonts w:ascii="Cambria" w:hAnsi="Cambria"/>
        </w:rPr>
      </w:pPr>
      <w:r w:rsidRPr="00942766">
        <w:rPr>
          <w:rFonts w:ascii="Cambria" w:hAnsi="Cambria"/>
          <w:b/>
        </w:rPr>
        <w:t>Effect of additional medical conditions (AMC):</w:t>
      </w:r>
      <w:r w:rsidRPr="00942766">
        <w:rPr>
          <w:rFonts w:ascii="Cambria" w:hAnsi="Cambria"/>
        </w:rPr>
        <w:t xml:space="preserve"> Of those </w:t>
      </w:r>
      <w:r w:rsidR="00DB6DC5" w:rsidRPr="00942766">
        <w:rPr>
          <w:rFonts w:ascii="Cambria" w:hAnsi="Cambria"/>
        </w:rPr>
        <w:t xml:space="preserve">participants </w:t>
      </w:r>
      <w:r w:rsidRPr="00942766">
        <w:rPr>
          <w:rFonts w:ascii="Cambria" w:hAnsi="Cambria"/>
        </w:rPr>
        <w:t>with AMC, 56</w:t>
      </w:r>
      <w:r w:rsidR="00DB6DC5" w:rsidRPr="00942766">
        <w:rPr>
          <w:rFonts w:ascii="Cambria" w:hAnsi="Cambria"/>
        </w:rPr>
        <w:t xml:space="preserve">%, 19% and 25% </w:t>
      </w:r>
      <w:r w:rsidRPr="00942766">
        <w:rPr>
          <w:rFonts w:ascii="Cambria" w:hAnsi="Cambria"/>
        </w:rPr>
        <w:t xml:space="preserve">had moderate, severe, and profound PCHL respectively. Overall, the presence of a medical condition additional to PCHL </w:t>
      </w:r>
      <w:r w:rsidR="003B0E71" w:rsidRPr="00942766">
        <w:rPr>
          <w:rFonts w:ascii="Cambria" w:hAnsi="Cambria"/>
        </w:rPr>
        <w:t xml:space="preserve">was associated with higher </w:t>
      </w:r>
      <w:r w:rsidRPr="00942766">
        <w:rPr>
          <w:rFonts w:ascii="Cambria" w:hAnsi="Cambria"/>
        </w:rPr>
        <w:t>mean costs (95%CI) by £15,385 (</w:t>
      </w:r>
      <w:r w:rsidR="0083450D" w:rsidRPr="00942766">
        <w:rPr>
          <w:rFonts w:ascii="Cambria" w:hAnsi="Cambria"/>
        </w:rPr>
        <w:t>£</w:t>
      </w:r>
      <w:r w:rsidRPr="00942766">
        <w:rPr>
          <w:rFonts w:ascii="Cambria" w:hAnsi="Cambria"/>
        </w:rPr>
        <w:t xml:space="preserve">8,533 to </w:t>
      </w:r>
      <w:r w:rsidR="0083450D" w:rsidRPr="00942766">
        <w:rPr>
          <w:rFonts w:ascii="Cambria" w:hAnsi="Cambria"/>
        </w:rPr>
        <w:t>£</w:t>
      </w:r>
      <w:r w:rsidRPr="00942766">
        <w:rPr>
          <w:rFonts w:ascii="Cambria" w:hAnsi="Cambria"/>
        </w:rPr>
        <w:t xml:space="preserve">22,238). This </w:t>
      </w:r>
      <w:r w:rsidR="003B0E71" w:rsidRPr="00942766">
        <w:rPr>
          <w:rFonts w:ascii="Cambria" w:hAnsi="Cambria"/>
        </w:rPr>
        <w:t xml:space="preserve">cost difference </w:t>
      </w:r>
      <w:r w:rsidRPr="00942766">
        <w:rPr>
          <w:rFonts w:ascii="Cambria" w:hAnsi="Cambria"/>
        </w:rPr>
        <w:t>was £21,876 (</w:t>
      </w:r>
      <w:r w:rsidR="0083450D" w:rsidRPr="00942766">
        <w:rPr>
          <w:rFonts w:ascii="Cambria" w:hAnsi="Cambria"/>
        </w:rPr>
        <w:t>£</w:t>
      </w:r>
      <w:r w:rsidRPr="00942766">
        <w:rPr>
          <w:rFonts w:ascii="Cambria" w:hAnsi="Cambria"/>
        </w:rPr>
        <w:t>13,024 to £30,728) for loss of vision, £14,200 (</w:t>
      </w:r>
      <w:r w:rsidR="0083450D" w:rsidRPr="00942766">
        <w:rPr>
          <w:rFonts w:ascii="Cambria" w:hAnsi="Cambria"/>
        </w:rPr>
        <w:t>£</w:t>
      </w:r>
      <w:r w:rsidRPr="00942766">
        <w:rPr>
          <w:rFonts w:ascii="Cambria" w:hAnsi="Cambria"/>
        </w:rPr>
        <w:t>5,620 to £22,780) for genetic syndromes, £11,728 (</w:t>
      </w:r>
      <w:r w:rsidR="0083450D" w:rsidRPr="00942766">
        <w:rPr>
          <w:rFonts w:ascii="Cambria" w:hAnsi="Cambria"/>
        </w:rPr>
        <w:t>£</w:t>
      </w:r>
      <w:r w:rsidRPr="00942766">
        <w:rPr>
          <w:rFonts w:ascii="Cambria" w:hAnsi="Cambria"/>
        </w:rPr>
        <w:t xml:space="preserve">5,456 to </w:t>
      </w:r>
      <w:r w:rsidR="0083450D" w:rsidRPr="00942766">
        <w:rPr>
          <w:rFonts w:ascii="Cambria" w:hAnsi="Cambria"/>
        </w:rPr>
        <w:t>£</w:t>
      </w:r>
      <w:r w:rsidRPr="00942766">
        <w:rPr>
          <w:rFonts w:ascii="Cambria" w:hAnsi="Cambria"/>
        </w:rPr>
        <w:t>18,000) for intellectual disability, and £1,642 (</w:t>
      </w:r>
      <w:r w:rsidR="0083450D" w:rsidRPr="00942766">
        <w:rPr>
          <w:rFonts w:ascii="Cambria" w:hAnsi="Cambria"/>
        </w:rPr>
        <w:t>-£</w:t>
      </w:r>
      <w:r w:rsidRPr="00942766">
        <w:rPr>
          <w:rFonts w:ascii="Cambria" w:hAnsi="Cambria"/>
        </w:rPr>
        <w:t xml:space="preserve">8,013 to </w:t>
      </w:r>
      <w:r w:rsidR="0083450D" w:rsidRPr="00942766">
        <w:rPr>
          <w:rFonts w:ascii="Cambria" w:hAnsi="Cambria"/>
        </w:rPr>
        <w:t>£</w:t>
      </w:r>
      <w:r w:rsidRPr="00942766">
        <w:rPr>
          <w:rFonts w:ascii="Cambria" w:hAnsi="Cambria"/>
        </w:rPr>
        <w:t>11,296) for cerebral palsy.  For the moderate, severe, and profound groups, the mean costs by severity for the PCHL group with and without AMC (n=16,57) were £22,436, £36,318, £33,990 and £7,637, £7,723, £22,285 respectively.</w:t>
      </w:r>
      <w:r w:rsidRPr="00942766" w:rsidDel="00D35AFA">
        <w:rPr>
          <w:rFonts w:ascii="Cambria" w:hAnsi="Cambria"/>
        </w:rPr>
        <w:t xml:space="preserve"> </w:t>
      </w:r>
      <w:r w:rsidRPr="00942766">
        <w:rPr>
          <w:rFonts w:ascii="Cambria" w:hAnsi="Cambria"/>
        </w:rPr>
        <w:t xml:space="preserve"> </w:t>
      </w:r>
    </w:p>
    <w:p w:rsidR="003D13A9" w:rsidRPr="00942766" w:rsidRDefault="004E273D" w:rsidP="00080173">
      <w:pPr>
        <w:spacing w:line="480" w:lineRule="auto"/>
        <w:ind w:firstLine="720"/>
        <w:rPr>
          <w:rFonts w:ascii="Cambria" w:hAnsi="Cambria"/>
          <w:b/>
        </w:rPr>
      </w:pPr>
      <w:r w:rsidRPr="00942766">
        <w:rPr>
          <w:rFonts w:ascii="Cambria" w:hAnsi="Cambria"/>
          <w:b/>
        </w:rPr>
        <w:lastRenderedPageBreak/>
        <w:t>Effect of birth during periods with UNHS:</w:t>
      </w:r>
      <w:r w:rsidRPr="00942766">
        <w:rPr>
          <w:rFonts w:ascii="Cambria" w:hAnsi="Cambria"/>
        </w:rPr>
        <w:t xml:space="preserve"> In children with PCHL, the total mean annual costs associated with birth in period</w:t>
      </w:r>
      <w:r w:rsidR="00EF197E" w:rsidRPr="00942766">
        <w:rPr>
          <w:rFonts w:ascii="Cambria" w:hAnsi="Cambria"/>
        </w:rPr>
        <w:t>s</w:t>
      </w:r>
      <w:r w:rsidRPr="00942766">
        <w:rPr>
          <w:rFonts w:ascii="Cambria" w:hAnsi="Cambria"/>
        </w:rPr>
        <w:t xml:space="preserve"> with and without UNHS were £14,043 and £17,637 respectively (mean difference £3,594, 95%CI -</w:t>
      </w:r>
      <w:r w:rsidR="003B0E71" w:rsidRPr="00942766">
        <w:rPr>
          <w:rFonts w:ascii="Cambria" w:hAnsi="Cambria"/>
        </w:rPr>
        <w:t xml:space="preserve">£2,918 to </w:t>
      </w:r>
      <w:r w:rsidR="0083450D" w:rsidRPr="00942766">
        <w:rPr>
          <w:rFonts w:ascii="Cambria" w:hAnsi="Cambria"/>
        </w:rPr>
        <w:t>£</w:t>
      </w:r>
      <w:r w:rsidRPr="00942766">
        <w:rPr>
          <w:rFonts w:ascii="Cambria" w:hAnsi="Cambria"/>
        </w:rPr>
        <w:t>10,106</w:t>
      </w:r>
      <w:r w:rsidR="00EF197E" w:rsidRPr="00942766">
        <w:rPr>
          <w:rFonts w:ascii="Cambria" w:hAnsi="Cambria"/>
        </w:rPr>
        <w:t>, p=0.28</w:t>
      </w:r>
      <w:r w:rsidRPr="00942766">
        <w:rPr>
          <w:rFonts w:ascii="Cambria" w:hAnsi="Cambria"/>
        </w:rPr>
        <w:t xml:space="preserve">) (Table 5). The cost difference was mainly associated with placement of a higher </w:t>
      </w:r>
      <w:r w:rsidR="003B0E71" w:rsidRPr="00942766">
        <w:rPr>
          <w:rFonts w:ascii="Cambria" w:hAnsi="Cambria"/>
        </w:rPr>
        <w:t xml:space="preserve">percentage </w:t>
      </w:r>
      <w:r w:rsidRPr="00942766">
        <w:rPr>
          <w:rFonts w:ascii="Cambria" w:hAnsi="Cambria"/>
        </w:rPr>
        <w:t>(95% CI) of those born in periods with UNHS in local mainstream schools 61(41 to 78)</w:t>
      </w:r>
      <w:r w:rsidR="003B0E71" w:rsidRPr="00942766">
        <w:rPr>
          <w:rFonts w:ascii="Cambria" w:hAnsi="Cambria"/>
        </w:rPr>
        <w:t>%</w:t>
      </w:r>
      <w:r w:rsidRPr="00942766">
        <w:rPr>
          <w:rFonts w:ascii="Cambria" w:hAnsi="Cambria"/>
        </w:rPr>
        <w:t xml:space="preserve"> compared to 39(22</w:t>
      </w:r>
      <w:r w:rsidR="003B0E71" w:rsidRPr="00942766">
        <w:rPr>
          <w:rFonts w:ascii="Cambria" w:hAnsi="Cambria"/>
        </w:rPr>
        <w:t xml:space="preserve"> to </w:t>
      </w:r>
      <w:r w:rsidRPr="00942766">
        <w:rPr>
          <w:rFonts w:ascii="Cambria" w:hAnsi="Cambria"/>
        </w:rPr>
        <w:t>59)</w:t>
      </w:r>
      <w:r w:rsidR="003B0E71" w:rsidRPr="00942766">
        <w:rPr>
          <w:rFonts w:ascii="Cambria" w:hAnsi="Cambria"/>
        </w:rPr>
        <w:t>%</w:t>
      </w:r>
      <w:r w:rsidRPr="00942766">
        <w:rPr>
          <w:rFonts w:ascii="Cambria" w:hAnsi="Cambria"/>
        </w:rPr>
        <w:t xml:space="preserve">.   </w:t>
      </w:r>
    </w:p>
    <w:p w:rsidR="003D13A9" w:rsidRPr="00942766" w:rsidRDefault="004E273D" w:rsidP="00080173">
      <w:pPr>
        <w:spacing w:line="480" w:lineRule="auto"/>
        <w:ind w:firstLine="720"/>
        <w:rPr>
          <w:rFonts w:ascii="Cambria" w:hAnsi="Cambria"/>
          <w:b/>
        </w:rPr>
      </w:pPr>
      <w:r w:rsidRPr="00942766">
        <w:rPr>
          <w:rFonts w:ascii="Cambria" w:hAnsi="Cambria"/>
          <w:b/>
        </w:rPr>
        <w:t>Effect of early confirmation</w:t>
      </w:r>
      <w:r w:rsidRPr="00942766">
        <w:rPr>
          <w:rFonts w:ascii="Cambria" w:hAnsi="Cambria"/>
        </w:rPr>
        <w:t xml:space="preserve">: Early confirmation of PCHL, like birth in periods with UNHS, was </w:t>
      </w:r>
      <w:r w:rsidR="00EE5D99" w:rsidRPr="00942766">
        <w:rPr>
          <w:rFonts w:ascii="Cambria" w:hAnsi="Cambria"/>
        </w:rPr>
        <w:t xml:space="preserve">not associated with a </w:t>
      </w:r>
      <w:r w:rsidRPr="00942766">
        <w:rPr>
          <w:rFonts w:ascii="Cambria" w:hAnsi="Cambria"/>
        </w:rPr>
        <w:t>significant</w:t>
      </w:r>
      <w:r w:rsidR="00EE5D99" w:rsidRPr="00942766">
        <w:rPr>
          <w:rFonts w:ascii="Cambria" w:hAnsi="Cambria"/>
        </w:rPr>
        <w:t xml:space="preserve"> difference in </w:t>
      </w:r>
      <w:r w:rsidRPr="00942766">
        <w:rPr>
          <w:rFonts w:ascii="Cambria" w:hAnsi="Cambria"/>
        </w:rPr>
        <w:t xml:space="preserve">cost </w:t>
      </w:r>
      <w:r w:rsidR="00EF197E" w:rsidRPr="00942766">
        <w:rPr>
          <w:rFonts w:ascii="Cambria" w:hAnsi="Cambria"/>
        </w:rPr>
        <w:t>(cost difference £2,824</w:t>
      </w:r>
      <w:r w:rsidR="00C07782" w:rsidRPr="00942766">
        <w:rPr>
          <w:rFonts w:ascii="Cambria" w:hAnsi="Cambria"/>
        </w:rPr>
        <w:t xml:space="preserve">, 95%CI </w:t>
      </w:r>
      <w:r w:rsidR="00E014F5" w:rsidRPr="00942766">
        <w:rPr>
          <w:rFonts w:ascii="Cambria" w:hAnsi="Cambria"/>
        </w:rPr>
        <w:t>£3,733 to £</w:t>
      </w:r>
      <w:r w:rsidR="00C07782" w:rsidRPr="00942766">
        <w:rPr>
          <w:rFonts w:ascii="Cambria" w:hAnsi="Cambria"/>
        </w:rPr>
        <w:t>9,382</w:t>
      </w:r>
      <w:r w:rsidR="00E014F5" w:rsidRPr="00942766">
        <w:rPr>
          <w:rFonts w:ascii="Cambria" w:hAnsi="Cambria"/>
        </w:rPr>
        <w:t>,</w:t>
      </w:r>
      <w:r w:rsidR="00C07782" w:rsidRPr="00942766">
        <w:rPr>
          <w:rFonts w:ascii="Cambria" w:hAnsi="Cambria"/>
        </w:rPr>
        <w:t xml:space="preserve"> p=0.39</w:t>
      </w:r>
      <w:r w:rsidR="00EF197E" w:rsidRPr="00942766">
        <w:rPr>
          <w:rFonts w:ascii="Cambria" w:hAnsi="Cambria"/>
        </w:rPr>
        <w:t>)</w:t>
      </w:r>
      <w:r w:rsidRPr="00942766">
        <w:rPr>
          <w:rFonts w:ascii="Cambria" w:hAnsi="Cambria"/>
        </w:rPr>
        <w:t>(Table 5). Th</w:t>
      </w:r>
      <w:r w:rsidR="00EF197E" w:rsidRPr="00942766">
        <w:rPr>
          <w:rFonts w:ascii="Cambria" w:hAnsi="Cambria"/>
        </w:rPr>
        <w:t xml:space="preserve">e cost </w:t>
      </w:r>
      <w:r w:rsidRPr="00942766">
        <w:rPr>
          <w:rFonts w:ascii="Cambria" w:hAnsi="Cambria"/>
        </w:rPr>
        <w:t>difference remained non-significant when only participants without an AMC (n=57) were included in the analysis</w:t>
      </w:r>
      <w:r w:rsidR="00DE2248" w:rsidRPr="00942766">
        <w:rPr>
          <w:rFonts w:ascii="Cambria" w:hAnsi="Cambria"/>
        </w:rPr>
        <w:t xml:space="preserve"> (difference £1,487, 95%CI -£5,164</w:t>
      </w:r>
      <w:r w:rsidR="00DE2248" w:rsidRPr="00942766" w:rsidDel="00EF197E">
        <w:rPr>
          <w:rFonts w:ascii="Cambria" w:hAnsi="Cambria"/>
        </w:rPr>
        <w:t xml:space="preserve"> </w:t>
      </w:r>
      <w:r w:rsidR="00DE2248" w:rsidRPr="00942766">
        <w:rPr>
          <w:rFonts w:ascii="Cambria" w:hAnsi="Cambria"/>
        </w:rPr>
        <w:t>to £8,138).</w:t>
      </w:r>
      <w:r w:rsidR="00525861" w:rsidRPr="00942766">
        <w:rPr>
          <w:rFonts w:ascii="Cambria" w:hAnsi="Cambria"/>
        </w:rPr>
        <w:t xml:space="preserve">  As there is a</w:t>
      </w:r>
      <w:r w:rsidR="00DE2248" w:rsidRPr="00942766">
        <w:rPr>
          <w:rFonts w:ascii="Cambria" w:hAnsi="Cambria"/>
        </w:rPr>
        <w:t xml:space="preserve">n association </w:t>
      </w:r>
      <w:r w:rsidR="00525861" w:rsidRPr="00942766">
        <w:rPr>
          <w:rFonts w:ascii="Cambria" w:hAnsi="Cambria"/>
        </w:rPr>
        <w:t xml:space="preserve">between </w:t>
      </w:r>
      <w:r w:rsidR="00DE2248" w:rsidRPr="00942766">
        <w:rPr>
          <w:rFonts w:ascii="Cambria" w:hAnsi="Cambria"/>
        </w:rPr>
        <w:t xml:space="preserve">early confirmation of PCHL and greater severity of PCHL, it is necessary to adjust for severity in multivariate analysis. In that analysis (right hand model in Table 5) no effect of early confirmation of PCHL on costs is apparent. </w:t>
      </w:r>
    </w:p>
    <w:p w:rsidR="00B3672B" w:rsidRPr="00942766" w:rsidRDefault="004E273D" w:rsidP="00080173">
      <w:pPr>
        <w:spacing w:line="480" w:lineRule="auto"/>
        <w:ind w:firstLine="720"/>
        <w:rPr>
          <w:rFonts w:ascii="Cambria" w:eastAsiaTheme="majorEastAsia" w:hAnsi="Cambria"/>
          <w:bCs/>
          <w:lang w:eastAsia="en-US"/>
        </w:rPr>
      </w:pPr>
      <w:r w:rsidRPr="00942766">
        <w:rPr>
          <w:rFonts w:ascii="Cambria" w:hAnsi="Cambria"/>
          <w:b/>
        </w:rPr>
        <w:t>Effects of language and reading z score:</w:t>
      </w:r>
      <w:r w:rsidRPr="00942766">
        <w:rPr>
          <w:rFonts w:ascii="Cambria" w:hAnsi="Cambria"/>
        </w:rPr>
        <w:t xml:space="preserve"> Each unit increase in receptive language ability z-score was associated with significantly lower annual costs by £1,616 </w:t>
      </w:r>
      <w:r w:rsidR="00345306" w:rsidRPr="00942766">
        <w:rPr>
          <w:rFonts w:ascii="Cambria" w:hAnsi="Cambria"/>
        </w:rPr>
        <w:t xml:space="preserve"> (95% CI </w:t>
      </w:r>
      <w:r w:rsidR="00B4447D" w:rsidRPr="00942766">
        <w:rPr>
          <w:rFonts w:ascii="Cambria" w:hAnsi="Cambria"/>
        </w:rPr>
        <w:t>£</w:t>
      </w:r>
      <w:r w:rsidRPr="00942766">
        <w:rPr>
          <w:rFonts w:ascii="Cambria" w:hAnsi="Cambria"/>
        </w:rPr>
        <w:t xml:space="preserve">842 to </w:t>
      </w:r>
      <w:r w:rsidR="00B4447D" w:rsidRPr="00942766">
        <w:rPr>
          <w:rFonts w:ascii="Cambria" w:hAnsi="Cambria"/>
        </w:rPr>
        <w:t>£</w:t>
      </w:r>
      <w:r w:rsidRPr="00942766">
        <w:rPr>
          <w:rFonts w:ascii="Cambria" w:hAnsi="Cambria"/>
        </w:rPr>
        <w:t>2,389) (p&lt;. 001). Similarly, each unit increase in reading ability z-score was associated with marginally significantly lower annual costs by £1,887</w:t>
      </w:r>
      <w:r w:rsidR="00345306" w:rsidRPr="00942766">
        <w:rPr>
          <w:rFonts w:ascii="Cambria" w:hAnsi="Cambria"/>
        </w:rPr>
        <w:t xml:space="preserve"> (</w:t>
      </w:r>
      <w:r w:rsidR="00C07782" w:rsidRPr="00942766">
        <w:rPr>
          <w:rFonts w:ascii="Cambria" w:hAnsi="Cambria"/>
        </w:rPr>
        <w:t xml:space="preserve">95%CI </w:t>
      </w:r>
      <w:r w:rsidRPr="00942766">
        <w:rPr>
          <w:rFonts w:ascii="Cambria" w:hAnsi="Cambria"/>
        </w:rPr>
        <w:t>-</w:t>
      </w:r>
      <w:r w:rsidR="00B4447D" w:rsidRPr="00942766">
        <w:rPr>
          <w:rFonts w:ascii="Cambria" w:hAnsi="Cambria"/>
        </w:rPr>
        <w:t>£</w:t>
      </w:r>
      <w:r w:rsidRPr="00942766">
        <w:rPr>
          <w:rFonts w:ascii="Cambria" w:hAnsi="Cambria"/>
        </w:rPr>
        <w:t xml:space="preserve">1,234 to </w:t>
      </w:r>
      <w:r w:rsidR="00B4447D" w:rsidRPr="00942766">
        <w:rPr>
          <w:rFonts w:ascii="Cambria" w:hAnsi="Cambria"/>
        </w:rPr>
        <w:t>£</w:t>
      </w:r>
      <w:r w:rsidRPr="00942766">
        <w:rPr>
          <w:rFonts w:ascii="Cambria" w:hAnsi="Cambria"/>
        </w:rPr>
        <w:t>3,516</w:t>
      </w:r>
      <w:r w:rsidR="00C07782" w:rsidRPr="00942766">
        <w:rPr>
          <w:rFonts w:ascii="Cambria" w:hAnsi="Cambria"/>
        </w:rPr>
        <w:t xml:space="preserve">, </w:t>
      </w:r>
      <w:r w:rsidRPr="00942766">
        <w:rPr>
          <w:rFonts w:ascii="Cambria" w:hAnsi="Cambria"/>
        </w:rPr>
        <w:t>p=. 053</w:t>
      </w:r>
      <w:r w:rsidR="00345306" w:rsidRPr="00942766">
        <w:rPr>
          <w:rFonts w:ascii="Cambria" w:hAnsi="Cambria"/>
        </w:rPr>
        <w:t>)</w:t>
      </w:r>
      <w:r w:rsidRPr="00942766">
        <w:rPr>
          <w:rFonts w:ascii="Cambria" w:hAnsi="Cambria"/>
        </w:rPr>
        <w:t xml:space="preserve"> (Table 5). Both of these effects fell short of statistical significance in multivariate analysis, </w:t>
      </w:r>
      <w:r w:rsidR="00B3672B" w:rsidRPr="00942766">
        <w:rPr>
          <w:rFonts w:ascii="Cambria" w:hAnsi="Cambria"/>
        </w:rPr>
        <w:t xml:space="preserve">although the effect of receptive language score on costs remained marginally significant </w:t>
      </w:r>
      <w:r w:rsidR="0071574B" w:rsidRPr="00942766">
        <w:rPr>
          <w:rFonts w:ascii="Cambria" w:hAnsi="Cambria"/>
        </w:rPr>
        <w:t xml:space="preserve">(0.05&lt;p&lt;0.1) </w:t>
      </w:r>
      <w:r w:rsidR="00B3672B" w:rsidRPr="00942766">
        <w:rPr>
          <w:rFonts w:ascii="Cambria" w:hAnsi="Cambria"/>
        </w:rPr>
        <w:t xml:space="preserve">after adjusting for the effects of cochlear implantation and AMC on costs but not when additional adjustment for severity of PCHL was added into the model </w:t>
      </w:r>
      <w:r w:rsidRPr="00942766">
        <w:rPr>
          <w:rFonts w:ascii="Cambria" w:hAnsi="Cambria"/>
        </w:rPr>
        <w:t xml:space="preserve">(Table 5). </w:t>
      </w:r>
      <w:r w:rsidR="00B3672B" w:rsidRPr="00942766">
        <w:rPr>
          <w:rFonts w:ascii="Cambria" w:hAnsi="Cambria"/>
        </w:rPr>
        <w:t>This is considered further in the Discussion below.</w:t>
      </w:r>
    </w:p>
    <w:p w:rsidR="004E273D" w:rsidRPr="00942766" w:rsidRDefault="004E273D" w:rsidP="004E273D">
      <w:pPr>
        <w:pStyle w:val="Heading1"/>
        <w:spacing w:line="480" w:lineRule="auto"/>
        <w:rPr>
          <w:rFonts w:ascii="Cambria" w:hAnsi="Cambria" w:cs="Times New Roman"/>
          <w:b w:val="0"/>
          <w:sz w:val="24"/>
          <w:szCs w:val="24"/>
        </w:rPr>
      </w:pPr>
      <w:r w:rsidRPr="00942766">
        <w:rPr>
          <w:rFonts w:ascii="Cambria" w:hAnsi="Cambria" w:cs="Times New Roman"/>
          <w:b w:val="0"/>
          <w:sz w:val="24"/>
          <w:szCs w:val="24"/>
        </w:rPr>
        <w:lastRenderedPageBreak/>
        <w:t xml:space="preserve">DISCUSSION </w:t>
      </w:r>
    </w:p>
    <w:p w:rsidR="006C326A" w:rsidRPr="00942766" w:rsidRDefault="00FA0268" w:rsidP="006C326A">
      <w:pPr>
        <w:spacing w:line="480" w:lineRule="auto"/>
        <w:rPr>
          <w:rFonts w:ascii="Cambria" w:hAnsi="Cambria"/>
        </w:rPr>
      </w:pPr>
      <w:r w:rsidRPr="00942766">
        <w:rPr>
          <w:rFonts w:ascii="Cambria" w:hAnsi="Cambria"/>
          <w:iCs/>
        </w:rPr>
        <w:t xml:space="preserve">Compared with participants of similar age with normal hearing, the presence of bilateral PCHL </w:t>
      </w:r>
      <w:r w:rsidR="001B261F" w:rsidRPr="00942766">
        <w:rPr>
          <w:rFonts w:ascii="Cambria" w:hAnsi="Cambria"/>
          <w:iCs/>
          <w:u w:val="single"/>
        </w:rPr>
        <w:t>&gt;</w:t>
      </w:r>
      <w:r w:rsidR="001B261F" w:rsidRPr="00942766">
        <w:rPr>
          <w:rFonts w:ascii="Cambria" w:hAnsi="Cambria"/>
          <w:iCs/>
        </w:rPr>
        <w:t xml:space="preserve">40 dB at age 13 to 20 years was associated with </w:t>
      </w:r>
      <w:r w:rsidR="0071574B" w:rsidRPr="00942766">
        <w:rPr>
          <w:rFonts w:ascii="Cambria" w:hAnsi="Cambria"/>
          <w:iCs/>
        </w:rPr>
        <w:t xml:space="preserve">2.7 fold higher </w:t>
      </w:r>
      <w:r w:rsidR="001B261F" w:rsidRPr="00942766">
        <w:rPr>
          <w:rFonts w:ascii="Cambria" w:hAnsi="Cambria"/>
          <w:iCs/>
        </w:rPr>
        <w:t>costs in the preceding 12 month period</w:t>
      </w:r>
      <w:r w:rsidR="00F93E52" w:rsidRPr="00942766">
        <w:rPr>
          <w:rFonts w:ascii="Cambria" w:hAnsi="Cambria"/>
          <w:iCs/>
        </w:rPr>
        <w:t xml:space="preserve"> and the </w:t>
      </w:r>
      <w:r w:rsidR="004E273D" w:rsidRPr="00942766">
        <w:rPr>
          <w:rFonts w:ascii="Cambria" w:hAnsi="Cambria"/>
        </w:rPr>
        <w:t xml:space="preserve">presence of pre-specified medical conditions in addition to PCHL </w:t>
      </w:r>
      <w:r w:rsidR="00F93E52" w:rsidRPr="00942766">
        <w:rPr>
          <w:rFonts w:ascii="Cambria" w:hAnsi="Cambria"/>
        </w:rPr>
        <w:t>increased</w:t>
      </w:r>
      <w:r w:rsidR="004E273D" w:rsidRPr="00942766">
        <w:rPr>
          <w:rFonts w:ascii="Cambria" w:hAnsi="Cambria"/>
        </w:rPr>
        <w:t xml:space="preserve"> costs almost two fold</w:t>
      </w:r>
      <w:r w:rsidR="00F93E52" w:rsidRPr="00942766">
        <w:rPr>
          <w:rFonts w:ascii="Cambria" w:hAnsi="Cambria"/>
        </w:rPr>
        <w:t>.</w:t>
      </w:r>
      <w:r w:rsidR="004E273D" w:rsidRPr="00942766">
        <w:rPr>
          <w:rFonts w:ascii="Cambria" w:hAnsi="Cambria"/>
        </w:rPr>
        <w:t xml:space="preserve"> </w:t>
      </w:r>
      <w:r w:rsidR="006C326A" w:rsidRPr="00942766">
        <w:rPr>
          <w:rFonts w:ascii="Cambria" w:hAnsi="Cambria"/>
        </w:rPr>
        <w:t xml:space="preserve">No statistically significant association was found between </w:t>
      </w:r>
      <w:r w:rsidR="00DE2248" w:rsidRPr="00942766">
        <w:rPr>
          <w:rFonts w:ascii="Cambria" w:hAnsi="Cambria"/>
        </w:rPr>
        <w:t xml:space="preserve">either </w:t>
      </w:r>
      <w:r w:rsidR="006C326A" w:rsidRPr="00942766">
        <w:rPr>
          <w:rFonts w:ascii="Cambria" w:hAnsi="Cambria"/>
        </w:rPr>
        <w:t xml:space="preserve">birth in periods with UNHS or early confirmation of PCHL and costs in adolescence. </w:t>
      </w:r>
    </w:p>
    <w:p w:rsidR="00A430AC" w:rsidRPr="00942766" w:rsidRDefault="00F93E52" w:rsidP="00080173">
      <w:pPr>
        <w:spacing w:line="480" w:lineRule="auto"/>
        <w:rPr>
          <w:rFonts w:ascii="Cambria" w:hAnsi="Cambria"/>
        </w:rPr>
      </w:pPr>
      <w:r w:rsidRPr="00942766">
        <w:rPr>
          <w:rFonts w:ascii="Cambria" w:hAnsi="Cambria"/>
        </w:rPr>
        <w:t>In participants with PCHL, s</w:t>
      </w:r>
      <w:r w:rsidR="00C07782" w:rsidRPr="00942766">
        <w:rPr>
          <w:rFonts w:ascii="Cambria" w:hAnsi="Cambria"/>
        </w:rPr>
        <w:t xml:space="preserve">uperior language skills were associated with lower costs and this remained marginally significant </w:t>
      </w:r>
      <w:r w:rsidR="006C326A" w:rsidRPr="00942766">
        <w:rPr>
          <w:rFonts w:ascii="Cambria" w:hAnsi="Cambria"/>
        </w:rPr>
        <w:t xml:space="preserve">(0.05&lt;p&lt;0.1) </w:t>
      </w:r>
      <w:r w:rsidR="00C07782" w:rsidRPr="00942766">
        <w:rPr>
          <w:rFonts w:ascii="Cambria" w:hAnsi="Cambria"/>
        </w:rPr>
        <w:t xml:space="preserve">after adjustment for the presence of a cochlear implant or an additional medical condition but </w:t>
      </w:r>
      <w:r w:rsidR="006C326A" w:rsidRPr="00942766">
        <w:rPr>
          <w:rFonts w:ascii="Cambria" w:hAnsi="Cambria"/>
        </w:rPr>
        <w:t xml:space="preserve">not after adjustment for severity of PCHL. Superior receptive language scores were associated with significantly lower costs in the same birth cohort when assessed 9 </w:t>
      </w:r>
      <w:r w:rsidR="006762F8" w:rsidRPr="00942766">
        <w:rPr>
          <w:rFonts w:ascii="Cambria" w:hAnsi="Cambria"/>
        </w:rPr>
        <w:t>years earlier at age 5-10 years</w:t>
      </w:r>
      <w:r w:rsidR="008A5FA3" w:rsidRPr="00942766">
        <w:rPr>
          <w:rFonts w:ascii="Cambria" w:hAnsi="Cambria"/>
        </w:rPr>
        <w:t>(25)</w:t>
      </w:r>
      <w:r w:rsidR="006C326A" w:rsidRPr="00942766">
        <w:rPr>
          <w:rFonts w:ascii="Cambria" w:hAnsi="Cambria"/>
          <w:b/>
        </w:rPr>
        <w:t xml:space="preserve">. </w:t>
      </w:r>
      <w:r w:rsidR="0079507C" w:rsidRPr="00942766">
        <w:rPr>
          <w:rFonts w:ascii="Cambria" w:hAnsi="Cambria"/>
        </w:rPr>
        <w:t xml:space="preserve">The costs associated with superior language at age 5-10 years remained significantly lower after adjustment for severity of PCHL (ibid, Table 5) but not in the present study at age 13-20 years.  However the latter regression model may represent over-adjustment if the effect of severity of PCHL on cost is mediated by the well-recognised inverse relationship between severity of PCHL and receptive language(2-5), as seems particularly likely in the case of educational costs.  </w:t>
      </w:r>
      <w:r w:rsidR="006C326A" w:rsidRPr="00942766">
        <w:rPr>
          <w:rFonts w:ascii="Cambria" w:hAnsi="Cambria"/>
        </w:rPr>
        <w:t xml:space="preserve">In that earlier report, the reduction in cost associated with a unit increase in the z-score for receptive language was equivalent to 28.6% of </w:t>
      </w:r>
      <w:r w:rsidR="0071574B" w:rsidRPr="00942766">
        <w:rPr>
          <w:rFonts w:ascii="Cambria" w:hAnsi="Cambria"/>
        </w:rPr>
        <w:t xml:space="preserve">total </w:t>
      </w:r>
      <w:r w:rsidR="006C326A" w:rsidRPr="00942766">
        <w:rPr>
          <w:rFonts w:ascii="Cambria" w:hAnsi="Cambria"/>
        </w:rPr>
        <w:t xml:space="preserve">excess group mean </w:t>
      </w:r>
      <w:r w:rsidR="0071574B" w:rsidRPr="00942766">
        <w:rPr>
          <w:rFonts w:ascii="Cambria" w:hAnsi="Cambria"/>
        </w:rPr>
        <w:t xml:space="preserve">annual </w:t>
      </w:r>
      <w:r w:rsidR="006C326A" w:rsidRPr="00942766">
        <w:rPr>
          <w:rFonts w:ascii="Cambria" w:hAnsi="Cambria"/>
        </w:rPr>
        <w:t xml:space="preserve">costs associated with PCHL whereas in the present study </w:t>
      </w:r>
      <w:r w:rsidR="003D13A9" w:rsidRPr="00942766">
        <w:rPr>
          <w:rFonts w:ascii="Cambria" w:hAnsi="Cambria"/>
        </w:rPr>
        <w:t xml:space="preserve">showed that </w:t>
      </w:r>
      <w:r w:rsidR="006C326A" w:rsidRPr="00942766">
        <w:rPr>
          <w:rFonts w:ascii="Cambria" w:hAnsi="Cambria"/>
        </w:rPr>
        <w:t xml:space="preserve">the equivalent figure </w:t>
      </w:r>
      <w:r w:rsidR="003D13A9" w:rsidRPr="00942766">
        <w:rPr>
          <w:rFonts w:ascii="Cambria" w:hAnsi="Cambria"/>
        </w:rPr>
        <w:t>had fallen to 16.1% of those costs in adolescence.</w:t>
      </w:r>
      <w:r w:rsidR="006C326A" w:rsidRPr="00942766">
        <w:rPr>
          <w:rFonts w:ascii="Cambria" w:hAnsi="Cambria"/>
        </w:rPr>
        <w:t xml:space="preserve"> </w:t>
      </w:r>
      <w:r w:rsidR="0079507C" w:rsidRPr="00942766">
        <w:rPr>
          <w:rFonts w:ascii="Cambria" w:hAnsi="Cambria"/>
        </w:rPr>
        <w:t xml:space="preserve">The absence of significant difference in the current evaluation may be due to this lower contribution of receptive language to total excess annual cost in adolescence compared to children 5-10 years old but the total overall costs (from 0 to 20 years) may still be affected by receptive language score and further </w:t>
      </w:r>
      <w:r w:rsidR="0079507C" w:rsidRPr="00942766">
        <w:rPr>
          <w:rFonts w:ascii="Cambria" w:hAnsi="Cambria"/>
        </w:rPr>
        <w:lastRenderedPageBreak/>
        <w:t xml:space="preserve">economic evaluation are required to assess this. </w:t>
      </w:r>
      <w:r w:rsidR="006C326A" w:rsidRPr="00942766">
        <w:rPr>
          <w:rFonts w:ascii="Cambria" w:hAnsi="Cambria"/>
        </w:rPr>
        <w:t xml:space="preserve">Taken together the previous and present evaluations in our study cohort do provide some support for the hypothesis that superior language scores </w:t>
      </w:r>
      <w:r w:rsidR="00A430AC" w:rsidRPr="00942766">
        <w:rPr>
          <w:rFonts w:ascii="Cambria" w:hAnsi="Cambria"/>
        </w:rPr>
        <w:t xml:space="preserve">are associated with lower costs </w:t>
      </w:r>
      <w:r w:rsidR="006C326A" w:rsidRPr="00942766">
        <w:rPr>
          <w:rFonts w:ascii="Cambria" w:hAnsi="Cambria"/>
        </w:rPr>
        <w:t xml:space="preserve">in </w:t>
      </w:r>
      <w:r w:rsidR="00A430AC" w:rsidRPr="00942766">
        <w:rPr>
          <w:rFonts w:ascii="Cambria" w:hAnsi="Cambria"/>
        </w:rPr>
        <w:t xml:space="preserve">PCHL during childhood and adolescence. </w:t>
      </w:r>
      <w:r w:rsidR="00437B31" w:rsidRPr="00942766">
        <w:rPr>
          <w:rFonts w:ascii="Cambria" w:hAnsi="Cambria"/>
        </w:rPr>
        <w:t>A full economic evaluation integrating all costs from birth to adolescence and the costs of screening would be required to better assess the cost effectiveness of universal hearing screening.</w:t>
      </w:r>
      <w:r w:rsidR="006C326A" w:rsidRPr="00942766">
        <w:rPr>
          <w:rFonts w:ascii="Cambria" w:hAnsi="Cambria"/>
        </w:rPr>
        <w:t xml:space="preserve"> </w:t>
      </w:r>
    </w:p>
    <w:p w:rsidR="00A5616F" w:rsidRPr="00942766" w:rsidRDefault="00A5616F" w:rsidP="00A5616F">
      <w:pPr>
        <w:spacing w:line="480" w:lineRule="auto"/>
        <w:rPr>
          <w:rFonts w:ascii="Cambria" w:hAnsi="Cambria"/>
        </w:rPr>
      </w:pPr>
      <w:r w:rsidRPr="00942766">
        <w:rPr>
          <w:rFonts w:ascii="Cambria" w:hAnsi="Cambria"/>
          <w:iCs/>
        </w:rPr>
        <w:t xml:space="preserve">The seven year range of age at time of assessment is consequent upon the study design i.e. an evaluation of a five-year birth cohort conducted over a three year study period. This is both a limitation, in that it makes the estimate for any one year of age less precise, and a strength, in that it makes the findings more generalizable to teenagers in general. </w:t>
      </w:r>
    </w:p>
    <w:p w:rsidR="003D13A9" w:rsidRPr="00942766" w:rsidRDefault="00A430AC" w:rsidP="00080173">
      <w:pPr>
        <w:spacing w:line="480" w:lineRule="auto"/>
        <w:rPr>
          <w:rFonts w:ascii="Cambria" w:hAnsi="Cambria"/>
        </w:rPr>
      </w:pPr>
      <w:r w:rsidRPr="00942766">
        <w:rPr>
          <w:rFonts w:ascii="Cambria" w:hAnsi="Cambria"/>
        </w:rPr>
        <w:t xml:space="preserve">The two </w:t>
      </w:r>
      <w:r w:rsidR="00A5616F" w:rsidRPr="00942766">
        <w:rPr>
          <w:rFonts w:ascii="Cambria" w:hAnsi="Cambria"/>
        </w:rPr>
        <w:t xml:space="preserve">principal </w:t>
      </w:r>
      <w:r w:rsidRPr="00942766">
        <w:rPr>
          <w:rFonts w:ascii="Cambria" w:hAnsi="Cambria"/>
        </w:rPr>
        <w:t xml:space="preserve">limitations of the study were </w:t>
      </w:r>
      <w:r w:rsidR="00A5616F" w:rsidRPr="00942766">
        <w:rPr>
          <w:rFonts w:ascii="Cambria" w:hAnsi="Cambria"/>
        </w:rPr>
        <w:t xml:space="preserve">the </w:t>
      </w:r>
      <w:r w:rsidRPr="00942766">
        <w:rPr>
          <w:rFonts w:ascii="Cambria" w:hAnsi="Cambria"/>
        </w:rPr>
        <w:t xml:space="preserve">modest </w:t>
      </w:r>
      <w:r w:rsidR="00A5616F" w:rsidRPr="00942766">
        <w:rPr>
          <w:rFonts w:ascii="Cambria" w:hAnsi="Cambria"/>
        </w:rPr>
        <w:t xml:space="preserve">study size with 120 </w:t>
      </w:r>
      <w:r w:rsidRPr="00942766">
        <w:rPr>
          <w:rFonts w:ascii="Cambria" w:hAnsi="Cambria"/>
        </w:rPr>
        <w:t>participants at the outset and further reduction in its power to look at subgroups (e.g. severities of PCHL) by slow but steady loss of participants over the 17 years of follow-up</w:t>
      </w:r>
      <w:r w:rsidR="00DE2248" w:rsidRPr="00942766">
        <w:rPr>
          <w:rFonts w:ascii="Cambria" w:hAnsi="Cambria"/>
        </w:rPr>
        <w:t xml:space="preserve">, </w:t>
      </w:r>
      <w:r w:rsidRPr="00942766">
        <w:rPr>
          <w:rFonts w:ascii="Cambria" w:hAnsi="Cambria"/>
        </w:rPr>
        <w:t>albeit without apparent attrition bias</w:t>
      </w:r>
      <w:r w:rsidR="008A5FA3" w:rsidRPr="00942766">
        <w:rPr>
          <w:rFonts w:ascii="Cambria" w:hAnsi="Cambria"/>
        </w:rPr>
        <w:t>(</w:t>
      </w:r>
      <w:r w:rsidR="006762F8" w:rsidRPr="00942766">
        <w:rPr>
          <w:rFonts w:ascii="Cambria" w:hAnsi="Cambria"/>
        </w:rPr>
        <w:t>27, 28</w:t>
      </w:r>
      <w:r w:rsidR="008A5FA3" w:rsidRPr="00942766">
        <w:rPr>
          <w:rFonts w:ascii="Cambria" w:hAnsi="Cambria"/>
        </w:rPr>
        <w:t>)</w:t>
      </w:r>
      <w:r w:rsidRPr="00942766">
        <w:rPr>
          <w:rFonts w:ascii="Cambria" w:hAnsi="Cambria"/>
        </w:rPr>
        <w:t xml:space="preserve">. This long period of follow-up </w:t>
      </w:r>
      <w:r w:rsidR="00A5616F" w:rsidRPr="00942766">
        <w:rPr>
          <w:rFonts w:ascii="Cambria" w:hAnsi="Cambria"/>
        </w:rPr>
        <w:t xml:space="preserve">provides data that are </w:t>
      </w:r>
      <w:r w:rsidR="009674A9" w:rsidRPr="00942766">
        <w:rPr>
          <w:rFonts w:ascii="Cambria" w:hAnsi="Cambria"/>
        </w:rPr>
        <w:t xml:space="preserve">rare because of the </w:t>
      </w:r>
      <w:r w:rsidR="00A5616F" w:rsidRPr="00942766">
        <w:rPr>
          <w:rFonts w:ascii="Cambria" w:hAnsi="Cambria"/>
        </w:rPr>
        <w:t>extremely difficult</w:t>
      </w:r>
      <w:r w:rsidR="009674A9" w:rsidRPr="00942766">
        <w:rPr>
          <w:rFonts w:ascii="Cambria" w:hAnsi="Cambria"/>
        </w:rPr>
        <w:t xml:space="preserve">y of obtaining them but </w:t>
      </w:r>
      <w:r w:rsidR="00A5616F" w:rsidRPr="00942766">
        <w:rPr>
          <w:rFonts w:ascii="Cambria" w:hAnsi="Cambria"/>
        </w:rPr>
        <w:t xml:space="preserve">also limits the generalisability of these findings to babies currently being born because newborns will now be offered paediatric audiology services that have adapted to UNHS in the 25 years since recruitment of newborns into our study began. </w:t>
      </w:r>
      <w:r w:rsidRPr="00942766">
        <w:rPr>
          <w:rFonts w:ascii="Cambria" w:hAnsi="Cambria"/>
        </w:rPr>
        <w:t xml:space="preserve"> </w:t>
      </w:r>
    </w:p>
    <w:p w:rsidR="004E273D" w:rsidRPr="00942766" w:rsidRDefault="00A430AC" w:rsidP="006C326A">
      <w:pPr>
        <w:spacing w:line="480" w:lineRule="auto"/>
        <w:rPr>
          <w:rFonts w:ascii="Cambria" w:hAnsi="Cambria"/>
        </w:rPr>
      </w:pPr>
      <w:r w:rsidRPr="00942766">
        <w:rPr>
          <w:rFonts w:ascii="Cambria" w:hAnsi="Cambria"/>
        </w:rPr>
        <w:t>The receptive language skills, which we found to be superior in children with PCHL born in periods with UNHS in our study population</w:t>
      </w:r>
      <w:r w:rsidR="008A5FA3" w:rsidRPr="00942766">
        <w:rPr>
          <w:rFonts w:ascii="Cambria" w:hAnsi="Cambria"/>
        </w:rPr>
        <w:t>(13)</w:t>
      </w:r>
      <w:r w:rsidRPr="00942766">
        <w:rPr>
          <w:rFonts w:ascii="Cambria" w:hAnsi="Cambria"/>
        </w:rPr>
        <w:t xml:space="preserve">, should receive greater benefit </w:t>
      </w:r>
      <w:r w:rsidR="0071574B" w:rsidRPr="00942766">
        <w:rPr>
          <w:rFonts w:ascii="Cambria" w:hAnsi="Cambria"/>
        </w:rPr>
        <w:t xml:space="preserve">in current and future birth cohorts </w:t>
      </w:r>
      <w:r w:rsidR="009674A9" w:rsidRPr="00942766">
        <w:rPr>
          <w:rFonts w:ascii="Cambria" w:hAnsi="Cambria"/>
        </w:rPr>
        <w:t xml:space="preserve">than </w:t>
      </w:r>
      <w:r w:rsidR="00DE2248" w:rsidRPr="00942766">
        <w:rPr>
          <w:rFonts w:ascii="Cambria" w:hAnsi="Cambria"/>
        </w:rPr>
        <w:t xml:space="preserve">those observed </w:t>
      </w:r>
      <w:r w:rsidR="009674A9" w:rsidRPr="00942766">
        <w:rPr>
          <w:rFonts w:ascii="Cambria" w:hAnsi="Cambria"/>
        </w:rPr>
        <w:t xml:space="preserve">in our study cohort </w:t>
      </w:r>
      <w:r w:rsidR="0071574B" w:rsidRPr="00942766">
        <w:rPr>
          <w:rFonts w:ascii="Cambria" w:hAnsi="Cambria"/>
        </w:rPr>
        <w:t xml:space="preserve">because of </w:t>
      </w:r>
      <w:r w:rsidRPr="00942766">
        <w:rPr>
          <w:rFonts w:ascii="Cambria" w:hAnsi="Cambria"/>
        </w:rPr>
        <w:t xml:space="preserve">the much </w:t>
      </w:r>
      <w:r w:rsidR="0071574B" w:rsidRPr="00942766">
        <w:rPr>
          <w:rFonts w:ascii="Cambria" w:hAnsi="Cambria"/>
        </w:rPr>
        <w:t xml:space="preserve">clearer care pathways </w:t>
      </w:r>
      <w:r w:rsidR="00DE2248" w:rsidRPr="00942766">
        <w:rPr>
          <w:rFonts w:ascii="Cambria" w:hAnsi="Cambria"/>
        </w:rPr>
        <w:t xml:space="preserve">that now </w:t>
      </w:r>
      <w:r w:rsidR="0071574B" w:rsidRPr="00942766">
        <w:rPr>
          <w:rFonts w:ascii="Cambria" w:hAnsi="Cambria"/>
        </w:rPr>
        <w:t xml:space="preserve">lead from UNHS to early intervention for PCHL. </w:t>
      </w:r>
      <w:r w:rsidR="00A5616F" w:rsidRPr="00942766">
        <w:rPr>
          <w:rFonts w:ascii="Cambria" w:hAnsi="Cambria"/>
        </w:rPr>
        <w:t>W</w:t>
      </w:r>
      <w:r w:rsidRPr="00942766">
        <w:rPr>
          <w:rFonts w:ascii="Cambria" w:hAnsi="Cambria"/>
        </w:rPr>
        <w:t xml:space="preserve">e </w:t>
      </w:r>
      <w:r w:rsidR="009674A9" w:rsidRPr="00942766">
        <w:rPr>
          <w:rFonts w:ascii="Cambria" w:hAnsi="Cambria"/>
        </w:rPr>
        <w:t xml:space="preserve">therefore </w:t>
      </w:r>
      <w:r w:rsidR="00A5616F" w:rsidRPr="00942766">
        <w:rPr>
          <w:rFonts w:ascii="Cambria" w:hAnsi="Cambria"/>
        </w:rPr>
        <w:t xml:space="preserve">predict that </w:t>
      </w:r>
      <w:r w:rsidRPr="00942766">
        <w:rPr>
          <w:rFonts w:ascii="Cambria" w:hAnsi="Cambria"/>
        </w:rPr>
        <w:t xml:space="preserve">the </w:t>
      </w:r>
      <w:r w:rsidR="00DE2248" w:rsidRPr="00942766">
        <w:rPr>
          <w:rFonts w:ascii="Cambria" w:hAnsi="Cambria"/>
        </w:rPr>
        <w:t xml:space="preserve">lower </w:t>
      </w:r>
      <w:r w:rsidRPr="00942766">
        <w:rPr>
          <w:rFonts w:ascii="Cambria" w:hAnsi="Cambria"/>
        </w:rPr>
        <w:t xml:space="preserve">costs associated with superior language skills that we observed in this study population </w:t>
      </w:r>
      <w:r w:rsidR="00DE2248" w:rsidRPr="00942766">
        <w:rPr>
          <w:rFonts w:ascii="Cambria" w:hAnsi="Cambria"/>
        </w:rPr>
        <w:t xml:space="preserve">in childhood and adolescence </w:t>
      </w:r>
      <w:r w:rsidRPr="00942766">
        <w:rPr>
          <w:rFonts w:ascii="Cambria" w:hAnsi="Cambria"/>
        </w:rPr>
        <w:t>w</w:t>
      </w:r>
      <w:r w:rsidR="009674A9" w:rsidRPr="00942766">
        <w:rPr>
          <w:rFonts w:ascii="Cambria" w:hAnsi="Cambria"/>
        </w:rPr>
        <w:t xml:space="preserve">ill </w:t>
      </w:r>
      <w:r w:rsidRPr="00942766">
        <w:rPr>
          <w:rFonts w:ascii="Cambria" w:hAnsi="Cambria"/>
        </w:rPr>
        <w:t xml:space="preserve">be more </w:t>
      </w:r>
      <w:r w:rsidR="0071574B" w:rsidRPr="00942766">
        <w:rPr>
          <w:rFonts w:ascii="Cambria" w:hAnsi="Cambria"/>
        </w:rPr>
        <w:lastRenderedPageBreak/>
        <w:t>strongly associated with UNHS</w:t>
      </w:r>
      <w:r w:rsidR="00A5616F" w:rsidRPr="00942766">
        <w:rPr>
          <w:rFonts w:ascii="Cambria" w:hAnsi="Cambria"/>
        </w:rPr>
        <w:t xml:space="preserve"> in a </w:t>
      </w:r>
      <w:r w:rsidR="00DE2248" w:rsidRPr="00942766">
        <w:rPr>
          <w:rFonts w:ascii="Cambria" w:hAnsi="Cambria"/>
        </w:rPr>
        <w:t xml:space="preserve">current or future </w:t>
      </w:r>
      <w:r w:rsidR="00A5616F" w:rsidRPr="00942766">
        <w:rPr>
          <w:rFonts w:ascii="Cambria" w:hAnsi="Cambria"/>
        </w:rPr>
        <w:t>birth cohort</w:t>
      </w:r>
      <w:r w:rsidR="0071574B" w:rsidRPr="00942766">
        <w:rPr>
          <w:rFonts w:ascii="Cambria" w:hAnsi="Cambria"/>
        </w:rPr>
        <w:t>. In other words, m</w:t>
      </w:r>
      <w:r w:rsidR="006C326A" w:rsidRPr="00942766">
        <w:rPr>
          <w:rFonts w:ascii="Cambria" w:hAnsi="Cambria"/>
        </w:rPr>
        <w:t xml:space="preserve">anagement strategies made possible by UNHS could have the potential to </w:t>
      </w:r>
      <w:r w:rsidR="00A5616F" w:rsidRPr="00942766">
        <w:rPr>
          <w:rFonts w:ascii="Cambria" w:hAnsi="Cambria"/>
        </w:rPr>
        <w:t>lead to significantly</w:t>
      </w:r>
      <w:r w:rsidR="009674A9" w:rsidRPr="00942766">
        <w:rPr>
          <w:rFonts w:ascii="Cambria" w:hAnsi="Cambria"/>
        </w:rPr>
        <w:t xml:space="preserve"> </w:t>
      </w:r>
      <w:r w:rsidR="006C326A" w:rsidRPr="00942766">
        <w:rPr>
          <w:rFonts w:ascii="Cambria" w:hAnsi="Cambria"/>
        </w:rPr>
        <w:t>reduce</w:t>
      </w:r>
      <w:r w:rsidR="00A5616F" w:rsidRPr="00942766">
        <w:rPr>
          <w:rFonts w:ascii="Cambria" w:hAnsi="Cambria"/>
        </w:rPr>
        <w:t>d</w:t>
      </w:r>
      <w:r w:rsidR="006C326A" w:rsidRPr="00942766">
        <w:rPr>
          <w:rFonts w:ascii="Cambria" w:hAnsi="Cambria"/>
        </w:rPr>
        <w:t xml:space="preserve"> </w:t>
      </w:r>
      <w:r w:rsidR="00A5616F" w:rsidRPr="00942766">
        <w:rPr>
          <w:rFonts w:ascii="Cambria" w:hAnsi="Cambria"/>
        </w:rPr>
        <w:t xml:space="preserve">future </w:t>
      </w:r>
      <w:r w:rsidR="006C326A" w:rsidRPr="00942766">
        <w:rPr>
          <w:rFonts w:ascii="Cambria" w:hAnsi="Cambria"/>
        </w:rPr>
        <w:t>costs</w:t>
      </w:r>
      <w:r w:rsidR="009674A9" w:rsidRPr="00942766">
        <w:rPr>
          <w:rFonts w:ascii="Cambria" w:hAnsi="Cambria"/>
        </w:rPr>
        <w:t xml:space="preserve"> as a result of superior language skills</w:t>
      </w:r>
      <w:r w:rsidR="00A5616F" w:rsidRPr="00942766">
        <w:rPr>
          <w:rFonts w:ascii="Cambria" w:hAnsi="Cambria"/>
        </w:rPr>
        <w:t>.</w:t>
      </w:r>
      <w:r w:rsidR="006C326A" w:rsidRPr="00942766">
        <w:rPr>
          <w:rFonts w:ascii="Cambria" w:hAnsi="Cambria"/>
        </w:rPr>
        <w:t xml:space="preserve">   </w:t>
      </w:r>
    </w:p>
    <w:p w:rsidR="004E273D" w:rsidRPr="00942766" w:rsidRDefault="004E273D" w:rsidP="004E273D">
      <w:pPr>
        <w:spacing w:line="480" w:lineRule="auto"/>
        <w:rPr>
          <w:rFonts w:ascii="Cambria" w:hAnsi="Cambria"/>
        </w:rPr>
      </w:pPr>
      <w:r w:rsidRPr="00942766">
        <w:rPr>
          <w:rFonts w:ascii="Cambria" w:hAnsi="Cambria"/>
        </w:rPr>
        <w:t>Reports of societal costs in more recent and larger birth cohorts exposed to UNHS, such as those reported in the Netherlands</w:t>
      </w:r>
      <w:r w:rsidR="008713F0" w:rsidRPr="00942766">
        <w:rPr>
          <w:rFonts w:ascii="Cambria" w:hAnsi="Cambria"/>
        </w:rPr>
        <w:t>(8)</w:t>
      </w:r>
      <w:r w:rsidRPr="00942766">
        <w:rPr>
          <w:rFonts w:ascii="Cambria" w:hAnsi="Cambria"/>
        </w:rPr>
        <w:t xml:space="preserve"> and Australia</w:t>
      </w:r>
      <w:r w:rsidR="008713F0" w:rsidRPr="00942766">
        <w:rPr>
          <w:rFonts w:ascii="Cambria" w:hAnsi="Cambria"/>
        </w:rPr>
        <w:t>(35)</w:t>
      </w:r>
      <w:r w:rsidRPr="00942766">
        <w:rPr>
          <w:rFonts w:ascii="Cambria" w:hAnsi="Cambria"/>
        </w:rPr>
        <w:t>, are therefore awaited to confirm and extend our observations.  Future research should, in addition, consider extracting resource utilisation from large national databases as a cost-effective approach to economic evaluation of UNHS.</w:t>
      </w:r>
    </w:p>
    <w:p w:rsidR="004E273D" w:rsidRPr="00942766" w:rsidRDefault="004E273D" w:rsidP="004E273D">
      <w:pPr>
        <w:spacing w:line="480" w:lineRule="auto"/>
        <w:rPr>
          <w:rFonts w:ascii="Cambria" w:hAnsi="Cambria"/>
        </w:rPr>
      </w:pPr>
      <w:r w:rsidRPr="00942766">
        <w:rPr>
          <w:rFonts w:ascii="Cambria" w:hAnsi="Cambria"/>
        </w:rPr>
        <w:t xml:space="preserve">The </w:t>
      </w:r>
      <w:r w:rsidR="003D13A9" w:rsidRPr="00942766">
        <w:rPr>
          <w:rFonts w:ascii="Cambria" w:hAnsi="Cambria"/>
        </w:rPr>
        <w:t xml:space="preserve">messages for policy makers </w:t>
      </w:r>
      <w:r w:rsidRPr="00942766">
        <w:rPr>
          <w:rFonts w:ascii="Cambria" w:hAnsi="Cambria"/>
        </w:rPr>
        <w:t xml:space="preserve">of the </w:t>
      </w:r>
      <w:r w:rsidR="003D13A9" w:rsidRPr="00942766">
        <w:rPr>
          <w:rFonts w:ascii="Cambria" w:hAnsi="Cambria"/>
        </w:rPr>
        <w:t xml:space="preserve">associations observed, both at 5-10 years and in adolescence, </w:t>
      </w:r>
      <w:r w:rsidRPr="00942766">
        <w:rPr>
          <w:rFonts w:ascii="Cambria" w:hAnsi="Cambria"/>
        </w:rPr>
        <w:t xml:space="preserve">in </w:t>
      </w:r>
      <w:r w:rsidR="003D13A9" w:rsidRPr="00942766">
        <w:rPr>
          <w:rFonts w:ascii="Cambria" w:hAnsi="Cambria"/>
        </w:rPr>
        <w:t xml:space="preserve">the birth </w:t>
      </w:r>
      <w:r w:rsidRPr="00942766">
        <w:rPr>
          <w:rFonts w:ascii="Cambria" w:hAnsi="Cambria"/>
        </w:rPr>
        <w:t>cohort</w:t>
      </w:r>
      <w:r w:rsidR="003D13A9" w:rsidRPr="00942766">
        <w:rPr>
          <w:rFonts w:ascii="Cambria" w:hAnsi="Cambria"/>
        </w:rPr>
        <w:t xml:space="preserve"> reported here include confirmation of the association between </w:t>
      </w:r>
      <w:r w:rsidRPr="00942766">
        <w:rPr>
          <w:rFonts w:ascii="Cambria" w:hAnsi="Cambria"/>
        </w:rPr>
        <w:t xml:space="preserve">PCHL </w:t>
      </w:r>
      <w:r w:rsidR="003D13A9" w:rsidRPr="00942766">
        <w:rPr>
          <w:rFonts w:ascii="Cambria" w:hAnsi="Cambria"/>
        </w:rPr>
        <w:t xml:space="preserve">and </w:t>
      </w:r>
      <w:r w:rsidRPr="00942766">
        <w:rPr>
          <w:rFonts w:ascii="Cambria" w:hAnsi="Cambria"/>
        </w:rPr>
        <w:t xml:space="preserve">significantly increased cost to society and </w:t>
      </w:r>
      <w:r w:rsidR="003D13A9" w:rsidRPr="00942766">
        <w:rPr>
          <w:rFonts w:ascii="Cambria" w:hAnsi="Cambria"/>
        </w:rPr>
        <w:t xml:space="preserve">the suggestion </w:t>
      </w:r>
      <w:r w:rsidRPr="00942766">
        <w:rPr>
          <w:rFonts w:ascii="Cambria" w:hAnsi="Cambria"/>
        </w:rPr>
        <w:t xml:space="preserve">that interventions that improve language skills may not only bring benefit to the individual with PCHL but may also be seen as a financial investment that </w:t>
      </w:r>
      <w:r w:rsidR="003D13A9" w:rsidRPr="00942766">
        <w:rPr>
          <w:rFonts w:ascii="Cambria" w:hAnsi="Cambria"/>
        </w:rPr>
        <w:t>sh</w:t>
      </w:r>
      <w:r w:rsidRPr="00942766">
        <w:rPr>
          <w:rFonts w:ascii="Cambria" w:hAnsi="Cambria"/>
        </w:rPr>
        <w:t xml:space="preserve">ould bring longer term cost savings through reductions in educational spending. These findings need confirmation in other, larger birth cohorts. </w:t>
      </w:r>
    </w:p>
    <w:p w:rsidR="004E273D" w:rsidRPr="00942766" w:rsidRDefault="004E273D" w:rsidP="004E273D">
      <w:pPr>
        <w:spacing w:line="480" w:lineRule="auto"/>
        <w:rPr>
          <w:rFonts w:ascii="Cambria" w:hAnsi="Cambria"/>
        </w:rPr>
      </w:pPr>
    </w:p>
    <w:p w:rsidR="004E273D" w:rsidRPr="00942766" w:rsidRDefault="004E273D" w:rsidP="004E273D">
      <w:pPr>
        <w:spacing w:line="480" w:lineRule="auto"/>
        <w:rPr>
          <w:rFonts w:ascii="Cambria" w:hAnsi="Cambria"/>
          <w:b/>
        </w:rPr>
      </w:pPr>
      <w:r w:rsidRPr="00942766">
        <w:rPr>
          <w:rFonts w:ascii="Cambria" w:hAnsi="Cambria"/>
          <w:b/>
        </w:rPr>
        <w:t>Acknowledgements</w:t>
      </w:r>
    </w:p>
    <w:p w:rsidR="004E273D" w:rsidRPr="00942766" w:rsidRDefault="004E273D" w:rsidP="004E273D">
      <w:pPr>
        <w:spacing w:line="480" w:lineRule="auto"/>
        <w:rPr>
          <w:rFonts w:ascii="Cambria" w:hAnsi="Cambria"/>
        </w:rPr>
      </w:pPr>
      <w:r w:rsidRPr="00942766">
        <w:rPr>
          <w:rFonts w:ascii="Cambria" w:hAnsi="Cambria"/>
        </w:rPr>
        <w:t xml:space="preserve">We thank the research assistants Eleanore Coulthard, Joanne Pickersgill, Lisa Shipway and Zahra Taghizadeh; the other members of the HOT study steering group that had sight of the first draft manuscript (Jim Stevenson, Jana Kreppner, Emmanouela Terletski and HM Yuen); the audiologists Margaret Baldwin, Alyson Bumby, Adrian Dighe, Harpreet Nijar, David Reed, Joy Roberts, Sue Robinson, Salim Suleman, Rosbin Syed, and Huw Thomas; and the other medical and educational professionals who supported this study. We thank particularly the participating teenagers and their families. We thank Jo Lord at the Southampton Health Technology Assessment Centre for commenting on an </w:t>
      </w:r>
      <w:r w:rsidRPr="00942766">
        <w:rPr>
          <w:rFonts w:ascii="Cambria" w:hAnsi="Cambria"/>
        </w:rPr>
        <w:lastRenderedPageBreak/>
        <w:t>earlier draft of the manuscript. No remuneration was offered for these acknowledgements.</w:t>
      </w:r>
    </w:p>
    <w:p w:rsidR="004E273D" w:rsidRPr="00942766" w:rsidRDefault="004E273D" w:rsidP="004E273D">
      <w:pPr>
        <w:spacing w:line="480" w:lineRule="auto"/>
        <w:rPr>
          <w:rFonts w:ascii="Cambria" w:hAnsi="Cambria"/>
        </w:rPr>
      </w:pPr>
      <w:r w:rsidRPr="00942766">
        <w:rPr>
          <w:rFonts w:ascii="Cambria" w:hAnsi="Cambria"/>
          <w:b/>
          <w:bCs/>
        </w:rPr>
        <w:t xml:space="preserve">Funding and role of the funder: </w:t>
      </w:r>
      <w:r w:rsidRPr="00942766">
        <w:rPr>
          <w:rFonts w:ascii="Cambria" w:hAnsi="Cambria"/>
        </w:rPr>
        <w:t>this work was</w:t>
      </w:r>
      <w:r w:rsidRPr="00942766">
        <w:rPr>
          <w:rFonts w:ascii="Cambria" w:hAnsi="Cambria"/>
          <w:b/>
          <w:bCs/>
        </w:rPr>
        <w:t xml:space="preserve"> </w:t>
      </w:r>
      <w:r w:rsidRPr="00942766">
        <w:rPr>
          <w:rFonts w:ascii="Cambria" w:hAnsi="Cambria"/>
        </w:rPr>
        <w:t>funded by The Wellcome Trust (Grant number: 089251/Z/09/Z) which had no role in the design, conduct of the study, collection analysis and interpretation of the data, preparation, review or approval of the manuscript, or the decision to submit the manuscript for publication.</w:t>
      </w:r>
    </w:p>
    <w:p w:rsidR="00012AEF" w:rsidRPr="00942766" w:rsidRDefault="00012AEF" w:rsidP="004E273D">
      <w:pPr>
        <w:spacing w:line="480" w:lineRule="auto"/>
        <w:rPr>
          <w:rFonts w:ascii="Cambria" w:hAnsi="Cambria"/>
          <w:b/>
          <w:bCs/>
        </w:rPr>
      </w:pPr>
    </w:p>
    <w:p w:rsidR="004E273D" w:rsidRPr="00942766" w:rsidRDefault="004E273D" w:rsidP="004E273D">
      <w:pPr>
        <w:spacing w:line="480" w:lineRule="auto"/>
        <w:rPr>
          <w:rFonts w:ascii="Cambria" w:hAnsi="Cambria"/>
        </w:rPr>
      </w:pPr>
      <w:r w:rsidRPr="00942766">
        <w:rPr>
          <w:rFonts w:ascii="Cambria" w:hAnsi="Cambria"/>
          <w:b/>
          <w:bCs/>
        </w:rPr>
        <w:t xml:space="preserve">Financial disclosure and conflicts of interest: </w:t>
      </w:r>
      <w:r w:rsidRPr="00942766">
        <w:rPr>
          <w:rFonts w:ascii="Cambria" w:hAnsi="Cambria"/>
        </w:rPr>
        <w:t xml:space="preserve">the authors have no relevant financial interests outside the submitted work or conflicts of interest involving the work under consideration for publication or other relationships or activities that readers could perceive to have influenced or that give the appearance of influencing the submitted work to disclose. </w:t>
      </w:r>
    </w:p>
    <w:p w:rsidR="00012AEF" w:rsidRPr="00942766" w:rsidRDefault="00012AEF" w:rsidP="004E273D">
      <w:pPr>
        <w:spacing w:line="480" w:lineRule="auto"/>
        <w:rPr>
          <w:rFonts w:ascii="Cambria" w:hAnsi="Cambria"/>
          <w:b/>
          <w:bCs/>
        </w:rPr>
      </w:pPr>
    </w:p>
    <w:p w:rsidR="004E273D" w:rsidRPr="00942766" w:rsidRDefault="004E273D" w:rsidP="004E273D">
      <w:pPr>
        <w:spacing w:line="480" w:lineRule="auto"/>
        <w:rPr>
          <w:rFonts w:ascii="Cambria" w:hAnsi="Cambria"/>
          <w:b/>
          <w:bCs/>
        </w:rPr>
      </w:pPr>
      <w:r w:rsidRPr="00942766">
        <w:rPr>
          <w:rFonts w:ascii="Cambria" w:hAnsi="Cambria"/>
          <w:b/>
          <w:bCs/>
        </w:rPr>
        <w:t xml:space="preserve">Data access: </w:t>
      </w:r>
      <w:r w:rsidRPr="00942766">
        <w:rPr>
          <w:rFonts w:ascii="Cambria" w:hAnsi="Cambria"/>
          <w:bCs/>
        </w:rPr>
        <w:t>MC</w:t>
      </w:r>
      <w:r w:rsidRPr="00942766">
        <w:rPr>
          <w:rFonts w:ascii="Cambria" w:hAnsi="Cambria"/>
          <w:b/>
          <w:bCs/>
        </w:rPr>
        <w:t xml:space="preserve"> </w:t>
      </w:r>
      <w:r w:rsidRPr="00942766">
        <w:rPr>
          <w:rFonts w:ascii="Cambria" w:hAnsi="Cambria"/>
        </w:rPr>
        <w:t>and CRK had full access to all the data in the study and take responsibility for the integrity of the data and the accuracy of the data analysis.</w:t>
      </w:r>
      <w:r w:rsidRPr="00942766">
        <w:rPr>
          <w:rFonts w:ascii="Cambria" w:hAnsi="Cambria"/>
          <w:b/>
          <w:bCs/>
        </w:rPr>
        <w:t xml:space="preserve"> </w:t>
      </w:r>
    </w:p>
    <w:p w:rsidR="00012AEF" w:rsidRPr="00942766" w:rsidRDefault="00012AEF" w:rsidP="004E273D">
      <w:pPr>
        <w:spacing w:line="480" w:lineRule="auto"/>
        <w:rPr>
          <w:rFonts w:ascii="Cambria" w:hAnsi="Cambria"/>
          <w:b/>
          <w:bCs/>
        </w:rPr>
      </w:pPr>
    </w:p>
    <w:p w:rsidR="004E273D" w:rsidRPr="00942766" w:rsidRDefault="004E273D" w:rsidP="004E273D">
      <w:pPr>
        <w:spacing w:line="480" w:lineRule="auto"/>
        <w:rPr>
          <w:rFonts w:ascii="Cambria" w:hAnsi="Cambria"/>
          <w:iCs/>
        </w:rPr>
      </w:pPr>
      <w:r w:rsidRPr="00942766">
        <w:rPr>
          <w:rFonts w:ascii="Cambria" w:hAnsi="Cambria"/>
          <w:b/>
          <w:bCs/>
        </w:rPr>
        <w:t xml:space="preserve">Author Contributions: </w:t>
      </w:r>
      <w:r w:rsidRPr="00942766">
        <w:rPr>
          <w:rFonts w:ascii="Cambria" w:hAnsi="Cambria"/>
          <w:bCs/>
        </w:rPr>
        <w:t>Maria Chorozoglou</w:t>
      </w:r>
      <w:r w:rsidRPr="00942766">
        <w:rPr>
          <w:rFonts w:ascii="Cambria" w:hAnsi="Cambria"/>
          <w:b/>
          <w:bCs/>
        </w:rPr>
        <w:t xml:space="preserve"> </w:t>
      </w:r>
      <w:r w:rsidRPr="00942766">
        <w:rPr>
          <w:rFonts w:ascii="Cambria" w:hAnsi="Cambria"/>
          <w:iCs/>
        </w:rPr>
        <w:t xml:space="preserve">drafted the manuscript, </w:t>
      </w:r>
      <w:r w:rsidR="00BE1B29" w:rsidRPr="00942766">
        <w:rPr>
          <w:rFonts w:ascii="Cambria" w:hAnsi="Cambria"/>
          <w:iCs/>
        </w:rPr>
        <w:t xml:space="preserve">conducted the economic analysis </w:t>
      </w:r>
      <w:r w:rsidRPr="00942766">
        <w:rPr>
          <w:rFonts w:ascii="Cambria" w:hAnsi="Cambria"/>
          <w:iCs/>
        </w:rPr>
        <w:t>and approved the final manuscript. Hannah Pimperton oversaw the conduct and analysis of the study</w:t>
      </w:r>
      <w:r w:rsidR="00470B05" w:rsidRPr="00942766">
        <w:rPr>
          <w:rFonts w:ascii="Cambria" w:hAnsi="Cambria"/>
          <w:iCs/>
        </w:rPr>
        <w:t>.</w:t>
      </w:r>
    </w:p>
    <w:p w:rsidR="004E273D" w:rsidRPr="00942766" w:rsidRDefault="004E273D" w:rsidP="004E273D">
      <w:pPr>
        <w:spacing w:line="480" w:lineRule="auto"/>
        <w:rPr>
          <w:rFonts w:ascii="Cambria" w:hAnsi="Cambria"/>
          <w:iCs/>
        </w:rPr>
      </w:pPr>
      <w:r w:rsidRPr="00942766">
        <w:rPr>
          <w:rFonts w:ascii="Cambria" w:hAnsi="Cambria"/>
          <w:iCs/>
        </w:rPr>
        <w:t xml:space="preserve">Merle Mahon, Sarah Worsfold assisted in the design and supervision of the study, assisted with manuscript preparation and approved the final manuscript. </w:t>
      </w:r>
    </w:p>
    <w:p w:rsidR="004E273D" w:rsidRPr="00942766" w:rsidRDefault="004E273D" w:rsidP="004E273D">
      <w:pPr>
        <w:spacing w:line="480" w:lineRule="auto"/>
        <w:rPr>
          <w:rFonts w:ascii="Cambria" w:hAnsi="Cambria"/>
          <w:iCs/>
        </w:rPr>
      </w:pPr>
      <w:r w:rsidRPr="00942766">
        <w:rPr>
          <w:rFonts w:ascii="Cambria" w:hAnsi="Cambria"/>
          <w:iCs/>
        </w:rPr>
        <w:t xml:space="preserve">Colin Kennedy designed and supervised the study, assisted in manuscript preparation and approved the final manuscript. </w:t>
      </w:r>
    </w:p>
    <w:p w:rsidR="004E273D" w:rsidRPr="00942766" w:rsidRDefault="004E273D" w:rsidP="004E273D">
      <w:pPr>
        <w:spacing w:line="480" w:lineRule="auto"/>
        <w:rPr>
          <w:rFonts w:ascii="Cambria" w:hAnsi="Cambria"/>
        </w:rPr>
      </w:pPr>
    </w:p>
    <w:p w:rsidR="004E273D" w:rsidRPr="00942766" w:rsidRDefault="004E273D" w:rsidP="004E273D">
      <w:pPr>
        <w:spacing w:line="480" w:lineRule="auto"/>
        <w:rPr>
          <w:rFonts w:ascii="Cambria" w:hAnsi="Cambria"/>
        </w:rPr>
      </w:pPr>
      <w:r w:rsidRPr="00942766">
        <w:rPr>
          <w:rFonts w:ascii="Cambria" w:hAnsi="Cambria"/>
        </w:rPr>
        <w:br w:type="page"/>
      </w:r>
    </w:p>
    <w:p w:rsidR="004E273D" w:rsidRPr="00942766" w:rsidRDefault="004E273D" w:rsidP="004E273D">
      <w:pPr>
        <w:spacing w:line="480" w:lineRule="auto"/>
        <w:rPr>
          <w:rFonts w:ascii="Cambria" w:hAnsi="Cambria"/>
          <w:b/>
        </w:rPr>
      </w:pPr>
      <w:r w:rsidRPr="00942766">
        <w:rPr>
          <w:rFonts w:ascii="Cambria" w:hAnsi="Cambria"/>
          <w:b/>
        </w:rPr>
        <w:lastRenderedPageBreak/>
        <w:t>What is already known on this topic</w:t>
      </w:r>
    </w:p>
    <w:p w:rsidR="004E273D" w:rsidRPr="00942766" w:rsidRDefault="004E273D" w:rsidP="004E273D">
      <w:pPr>
        <w:pStyle w:val="ListParagraph"/>
        <w:numPr>
          <w:ilvl w:val="0"/>
          <w:numId w:val="8"/>
        </w:numPr>
        <w:spacing w:line="480" w:lineRule="auto"/>
        <w:rPr>
          <w:rFonts w:ascii="Cambria" w:hAnsi="Cambria" w:cs="Times New Roman"/>
          <w:sz w:val="24"/>
          <w:szCs w:val="24"/>
        </w:rPr>
      </w:pPr>
      <w:r w:rsidRPr="00942766">
        <w:rPr>
          <w:rFonts w:ascii="Cambria" w:hAnsi="Cambria" w:cs="Times New Roman"/>
          <w:sz w:val="24"/>
          <w:szCs w:val="24"/>
        </w:rPr>
        <w:t>The consequences of permanent childhood hearing loss (PCHL) can include impairment in language skills and academic achievement</w:t>
      </w:r>
      <w:r w:rsidR="00BC7676" w:rsidRPr="00942766">
        <w:rPr>
          <w:rFonts w:ascii="Cambria" w:hAnsi="Cambria" w:cs="Times New Roman"/>
          <w:sz w:val="24"/>
          <w:szCs w:val="24"/>
        </w:rPr>
        <w:t xml:space="preserve"> which become more marked with more severe PCHL</w:t>
      </w:r>
      <w:r w:rsidRPr="00942766">
        <w:rPr>
          <w:rFonts w:ascii="Cambria" w:hAnsi="Cambria" w:cs="Times New Roman"/>
          <w:sz w:val="24"/>
          <w:szCs w:val="24"/>
        </w:rPr>
        <w:t xml:space="preserve">. </w:t>
      </w:r>
    </w:p>
    <w:p w:rsidR="004E273D" w:rsidRPr="00942766" w:rsidRDefault="004E273D" w:rsidP="004E273D">
      <w:pPr>
        <w:pStyle w:val="ListParagraph"/>
        <w:numPr>
          <w:ilvl w:val="0"/>
          <w:numId w:val="8"/>
        </w:numPr>
        <w:spacing w:line="480" w:lineRule="auto"/>
        <w:rPr>
          <w:rFonts w:ascii="Cambria" w:hAnsi="Cambria" w:cs="Times New Roman"/>
          <w:sz w:val="24"/>
          <w:szCs w:val="24"/>
        </w:rPr>
      </w:pPr>
      <w:r w:rsidRPr="00942766">
        <w:rPr>
          <w:rFonts w:ascii="Cambria" w:hAnsi="Cambria" w:cs="Times New Roman"/>
          <w:sz w:val="24"/>
          <w:szCs w:val="24"/>
        </w:rPr>
        <w:t xml:space="preserve">Birth during periods with universal neonatal hearing screening (UNHS) is associated with benefits to language </w:t>
      </w:r>
      <w:r w:rsidR="00BC7676" w:rsidRPr="00942766">
        <w:rPr>
          <w:rFonts w:ascii="Cambria" w:hAnsi="Cambria" w:cs="Times New Roman"/>
          <w:sz w:val="24"/>
          <w:szCs w:val="24"/>
        </w:rPr>
        <w:t xml:space="preserve">and reading </w:t>
      </w:r>
      <w:r w:rsidRPr="00942766">
        <w:rPr>
          <w:rFonts w:ascii="Cambria" w:hAnsi="Cambria" w:cs="Times New Roman"/>
          <w:sz w:val="24"/>
          <w:szCs w:val="24"/>
        </w:rPr>
        <w:t xml:space="preserve">abilities </w:t>
      </w:r>
    </w:p>
    <w:p w:rsidR="004E273D" w:rsidRPr="00942766" w:rsidRDefault="004E273D" w:rsidP="004E273D">
      <w:pPr>
        <w:pStyle w:val="ListParagraph"/>
        <w:numPr>
          <w:ilvl w:val="0"/>
          <w:numId w:val="8"/>
        </w:numPr>
        <w:spacing w:line="480" w:lineRule="auto"/>
        <w:rPr>
          <w:rFonts w:ascii="Cambria" w:hAnsi="Cambria" w:cs="Times New Roman"/>
          <w:sz w:val="24"/>
          <w:szCs w:val="24"/>
        </w:rPr>
      </w:pPr>
      <w:r w:rsidRPr="00942766">
        <w:rPr>
          <w:rFonts w:ascii="Cambria" w:hAnsi="Cambria" w:cs="Times New Roman"/>
          <w:sz w:val="24"/>
          <w:szCs w:val="24"/>
        </w:rPr>
        <w:t xml:space="preserve">The societal costs of pre-lingual PCHL </w:t>
      </w:r>
      <w:r w:rsidR="00BC7676" w:rsidRPr="00942766">
        <w:rPr>
          <w:rFonts w:ascii="Cambria" w:hAnsi="Cambria" w:cs="Times New Roman"/>
          <w:sz w:val="24"/>
          <w:szCs w:val="24"/>
        </w:rPr>
        <w:t xml:space="preserve">at 7-9 years </w:t>
      </w:r>
      <w:r w:rsidRPr="00942766">
        <w:rPr>
          <w:rFonts w:ascii="Cambria" w:hAnsi="Cambria" w:cs="Times New Roman"/>
          <w:sz w:val="24"/>
          <w:szCs w:val="24"/>
        </w:rPr>
        <w:t>increase with its severity and are inversely related to language abilities.</w:t>
      </w:r>
    </w:p>
    <w:p w:rsidR="004E273D" w:rsidRPr="00942766" w:rsidRDefault="004E273D" w:rsidP="004E273D">
      <w:pPr>
        <w:spacing w:line="480" w:lineRule="auto"/>
        <w:rPr>
          <w:rFonts w:ascii="Cambria" w:hAnsi="Cambria"/>
          <w:b/>
        </w:rPr>
      </w:pPr>
      <w:r w:rsidRPr="00942766">
        <w:rPr>
          <w:rFonts w:ascii="Cambria" w:hAnsi="Cambria"/>
          <w:b/>
        </w:rPr>
        <w:t xml:space="preserve">What this study adds: </w:t>
      </w:r>
    </w:p>
    <w:p w:rsidR="004E273D" w:rsidRPr="00942766" w:rsidRDefault="004E273D" w:rsidP="004E273D">
      <w:pPr>
        <w:pStyle w:val="ListParagraph"/>
        <w:numPr>
          <w:ilvl w:val="0"/>
          <w:numId w:val="9"/>
        </w:numPr>
        <w:spacing w:line="480" w:lineRule="auto"/>
        <w:rPr>
          <w:rFonts w:ascii="Cambria" w:hAnsi="Cambria" w:cs="Times New Roman"/>
          <w:sz w:val="24"/>
          <w:szCs w:val="24"/>
        </w:rPr>
      </w:pPr>
      <w:r w:rsidRPr="00942766">
        <w:rPr>
          <w:rFonts w:ascii="Cambria" w:hAnsi="Cambria" w:cs="Times New Roman"/>
          <w:sz w:val="24"/>
          <w:szCs w:val="24"/>
        </w:rPr>
        <w:t xml:space="preserve">The presence of bilateral PCHL </w:t>
      </w:r>
      <w:r w:rsidRPr="00942766">
        <w:rPr>
          <w:rFonts w:ascii="Cambria" w:hAnsi="Cambria" w:cs="Times New Roman"/>
          <w:sz w:val="24"/>
          <w:szCs w:val="24"/>
          <w:u w:val="single"/>
        </w:rPr>
        <w:t>&gt;</w:t>
      </w:r>
      <w:r w:rsidRPr="00942766">
        <w:rPr>
          <w:rFonts w:ascii="Cambria" w:hAnsi="Cambria" w:cs="Times New Roman"/>
          <w:sz w:val="24"/>
          <w:szCs w:val="24"/>
        </w:rPr>
        <w:t xml:space="preserve">40 dB, if moderate or severe, is associated with total </w:t>
      </w:r>
      <w:r w:rsidR="009674A9" w:rsidRPr="00942766">
        <w:rPr>
          <w:rFonts w:ascii="Cambria" w:hAnsi="Cambria" w:cs="Times New Roman"/>
          <w:sz w:val="24"/>
          <w:szCs w:val="24"/>
        </w:rPr>
        <w:t xml:space="preserve">annual </w:t>
      </w:r>
      <w:r w:rsidRPr="00942766">
        <w:rPr>
          <w:rFonts w:ascii="Cambria" w:hAnsi="Cambria" w:cs="Times New Roman"/>
          <w:sz w:val="24"/>
          <w:szCs w:val="24"/>
        </w:rPr>
        <w:t>cost</w:t>
      </w:r>
      <w:r w:rsidR="00FB03B6" w:rsidRPr="00942766">
        <w:rPr>
          <w:rFonts w:ascii="Cambria" w:hAnsi="Cambria" w:cs="Times New Roman"/>
          <w:sz w:val="24"/>
          <w:szCs w:val="24"/>
        </w:rPr>
        <w:t xml:space="preserve">s that are 2.7 times higher than those in adolescents with normal hearing. </w:t>
      </w:r>
      <w:r w:rsidRPr="00942766">
        <w:rPr>
          <w:rFonts w:ascii="Cambria" w:hAnsi="Cambria" w:cs="Times New Roman"/>
          <w:sz w:val="24"/>
          <w:szCs w:val="24"/>
        </w:rPr>
        <w:t xml:space="preserve"> </w:t>
      </w:r>
    </w:p>
    <w:p w:rsidR="004E273D" w:rsidRPr="00942766" w:rsidRDefault="004E273D" w:rsidP="004E273D">
      <w:pPr>
        <w:pStyle w:val="ListParagraph"/>
        <w:numPr>
          <w:ilvl w:val="0"/>
          <w:numId w:val="9"/>
        </w:numPr>
        <w:spacing w:line="480" w:lineRule="auto"/>
        <w:rPr>
          <w:rFonts w:ascii="Cambria" w:hAnsi="Cambria" w:cs="Times New Roman"/>
          <w:sz w:val="24"/>
          <w:szCs w:val="24"/>
        </w:rPr>
      </w:pPr>
      <w:r w:rsidRPr="00942766">
        <w:rPr>
          <w:rFonts w:ascii="Cambria" w:hAnsi="Cambria" w:cs="Times New Roman"/>
          <w:sz w:val="24"/>
          <w:szCs w:val="24"/>
        </w:rPr>
        <w:t xml:space="preserve">The presence of </w:t>
      </w:r>
      <w:r w:rsidR="00BC7676" w:rsidRPr="00942766">
        <w:rPr>
          <w:rFonts w:ascii="Cambria" w:hAnsi="Cambria" w:cs="Times New Roman"/>
          <w:sz w:val="24"/>
          <w:szCs w:val="24"/>
        </w:rPr>
        <w:t xml:space="preserve">an additional medical condition </w:t>
      </w:r>
      <w:r w:rsidRPr="00942766">
        <w:rPr>
          <w:rFonts w:ascii="Cambria" w:hAnsi="Cambria" w:cs="Times New Roman"/>
          <w:sz w:val="24"/>
          <w:szCs w:val="24"/>
        </w:rPr>
        <w:t xml:space="preserve">is associated with a </w:t>
      </w:r>
      <w:r w:rsidR="00BC7676" w:rsidRPr="00942766">
        <w:rPr>
          <w:rFonts w:ascii="Cambria" w:hAnsi="Cambria" w:cs="Times New Roman"/>
          <w:sz w:val="24"/>
          <w:szCs w:val="24"/>
        </w:rPr>
        <w:t xml:space="preserve">further doubling of </w:t>
      </w:r>
      <w:r w:rsidR="009674A9" w:rsidRPr="00942766">
        <w:rPr>
          <w:rFonts w:ascii="Cambria" w:hAnsi="Cambria" w:cs="Times New Roman"/>
          <w:sz w:val="24"/>
          <w:szCs w:val="24"/>
        </w:rPr>
        <w:t xml:space="preserve">annual </w:t>
      </w:r>
      <w:r w:rsidR="00BC7676" w:rsidRPr="00942766">
        <w:rPr>
          <w:rFonts w:ascii="Cambria" w:hAnsi="Cambria" w:cs="Times New Roman"/>
          <w:sz w:val="24"/>
          <w:szCs w:val="24"/>
        </w:rPr>
        <w:t xml:space="preserve">cost </w:t>
      </w:r>
      <w:r w:rsidR="00FB03B6" w:rsidRPr="00942766">
        <w:rPr>
          <w:rFonts w:ascii="Cambria" w:hAnsi="Cambria" w:cs="Times New Roman"/>
          <w:sz w:val="24"/>
          <w:szCs w:val="24"/>
        </w:rPr>
        <w:t xml:space="preserve">in adolescence </w:t>
      </w:r>
      <w:r w:rsidR="00BC7676" w:rsidRPr="00942766">
        <w:rPr>
          <w:rFonts w:ascii="Cambria" w:hAnsi="Cambria" w:cs="Times New Roman"/>
          <w:sz w:val="24"/>
          <w:szCs w:val="24"/>
        </w:rPr>
        <w:t xml:space="preserve">compared to the cost of PCHL alone. </w:t>
      </w:r>
    </w:p>
    <w:p w:rsidR="00FB03B6" w:rsidRPr="00942766" w:rsidRDefault="009674A9">
      <w:pPr>
        <w:pStyle w:val="ListParagraph"/>
        <w:numPr>
          <w:ilvl w:val="0"/>
          <w:numId w:val="9"/>
        </w:numPr>
        <w:spacing w:line="480" w:lineRule="auto"/>
        <w:rPr>
          <w:rFonts w:ascii="Cambria" w:hAnsi="Cambria" w:cs="Times New Roman"/>
          <w:sz w:val="24"/>
          <w:szCs w:val="24"/>
        </w:rPr>
      </w:pPr>
      <w:r w:rsidRPr="00942766">
        <w:rPr>
          <w:rFonts w:ascii="Cambria" w:hAnsi="Cambria" w:cs="Times New Roman"/>
          <w:sz w:val="24"/>
          <w:szCs w:val="24"/>
        </w:rPr>
        <w:t>Superior language skills are associated with lower societal costs in adolescence but b</w:t>
      </w:r>
      <w:r w:rsidR="00FB03B6" w:rsidRPr="00942766">
        <w:rPr>
          <w:rFonts w:ascii="Cambria" w:hAnsi="Cambria" w:cs="Times New Roman"/>
          <w:sz w:val="24"/>
          <w:szCs w:val="24"/>
        </w:rPr>
        <w:t>irth in periods with UNHS was not associated with significantly lower cost</w:t>
      </w:r>
      <w:r w:rsidR="00A4106D" w:rsidRPr="00942766">
        <w:rPr>
          <w:rFonts w:ascii="Cambria" w:hAnsi="Cambria" w:cs="Times New Roman"/>
          <w:sz w:val="24"/>
          <w:szCs w:val="24"/>
        </w:rPr>
        <w:t>s</w:t>
      </w:r>
      <w:r w:rsidR="00FB03B6" w:rsidRPr="00942766">
        <w:rPr>
          <w:rFonts w:ascii="Cambria" w:hAnsi="Cambria" w:cs="Times New Roman"/>
          <w:sz w:val="24"/>
          <w:szCs w:val="24"/>
        </w:rPr>
        <w:t xml:space="preserve"> in </w:t>
      </w:r>
      <w:r w:rsidR="00A4106D" w:rsidRPr="00942766">
        <w:rPr>
          <w:rFonts w:ascii="Cambria" w:hAnsi="Cambria" w:cs="Times New Roman"/>
          <w:sz w:val="24"/>
          <w:szCs w:val="24"/>
        </w:rPr>
        <w:t>adolescents with PCHL</w:t>
      </w:r>
    </w:p>
    <w:p w:rsidR="004E273D" w:rsidRPr="00942766" w:rsidRDefault="004E273D" w:rsidP="004E273D">
      <w:pPr>
        <w:spacing w:line="480" w:lineRule="auto"/>
        <w:rPr>
          <w:rFonts w:ascii="Cambria" w:hAnsi="Cambria"/>
        </w:rPr>
      </w:pPr>
    </w:p>
    <w:p w:rsidR="004E273D" w:rsidRPr="00942766" w:rsidRDefault="004E273D" w:rsidP="004E273D">
      <w:pPr>
        <w:rPr>
          <w:rFonts w:ascii="Cambria" w:hAnsi="Cambria"/>
        </w:rPr>
      </w:pPr>
      <w:r w:rsidRPr="00942766">
        <w:rPr>
          <w:rFonts w:ascii="Cambria" w:hAnsi="Cambria"/>
        </w:rPr>
        <w:br w:type="page"/>
      </w:r>
    </w:p>
    <w:p w:rsidR="00080173" w:rsidRPr="00942766" w:rsidRDefault="00080173" w:rsidP="00080173">
      <w:pPr>
        <w:spacing w:line="480" w:lineRule="auto"/>
        <w:rPr>
          <w:b/>
        </w:rPr>
      </w:pPr>
      <w:r w:rsidRPr="00942766">
        <w:rPr>
          <w:b/>
        </w:rPr>
        <w:lastRenderedPageBreak/>
        <w:t>References:</w:t>
      </w:r>
    </w:p>
    <w:p w:rsidR="005964D8" w:rsidRPr="00942766" w:rsidRDefault="005964D8" w:rsidP="005964D8">
      <w:pPr>
        <w:spacing w:line="480" w:lineRule="auto"/>
      </w:pPr>
    </w:p>
    <w:p w:rsidR="005964D8" w:rsidRPr="00942766" w:rsidRDefault="005964D8" w:rsidP="005964D8">
      <w:pPr>
        <w:spacing w:line="480" w:lineRule="auto"/>
      </w:pPr>
      <w:r w:rsidRPr="00942766">
        <w:t>1.</w:t>
      </w:r>
      <w:r w:rsidRPr="00942766">
        <w:tab/>
        <w:t>Kennedy C, McCann D, Campbell MJ, Kimm L, Thornton R. Universal newborn screening for permanent childhood hearing impairment: an 8-year follow-up of a controlled trial. The Lancet. 2005;366(9486):660-2.</w:t>
      </w:r>
    </w:p>
    <w:p w:rsidR="005964D8" w:rsidRPr="00942766" w:rsidRDefault="005964D8" w:rsidP="005964D8">
      <w:pPr>
        <w:spacing w:line="480" w:lineRule="auto"/>
      </w:pPr>
      <w:r w:rsidRPr="00942766">
        <w:t>2.</w:t>
      </w:r>
      <w:r w:rsidRPr="00942766">
        <w:tab/>
        <w:t>Jarvelin MR, Maki-Torkko E, Sorri MJ, Rantakallio PT. Effect of hearing impairment on educational outcomes and employment up to the age of 25 years in northern Finland. British journal of audiology. 1997;31(3):165-75.</w:t>
      </w:r>
    </w:p>
    <w:p w:rsidR="005964D8" w:rsidRPr="00942766" w:rsidRDefault="005964D8" w:rsidP="005964D8">
      <w:pPr>
        <w:spacing w:line="480" w:lineRule="auto"/>
      </w:pPr>
      <w:r w:rsidRPr="00942766">
        <w:t>3.</w:t>
      </w:r>
      <w:r w:rsidRPr="00942766">
        <w:tab/>
        <w:t>Keren R, Helfand M, Homer C, McPhillips H, Lieu TA. Projected Cost-Effectiveness of Statewide Universal Newborn Hearing Screening. Pediatrics. 2002;110(5):855-64.</w:t>
      </w:r>
    </w:p>
    <w:p w:rsidR="005964D8" w:rsidRPr="00942766" w:rsidRDefault="005964D8" w:rsidP="005964D8">
      <w:pPr>
        <w:spacing w:line="480" w:lineRule="auto"/>
      </w:pPr>
      <w:r w:rsidRPr="00942766">
        <w:t>4.</w:t>
      </w:r>
      <w:r w:rsidRPr="00942766">
        <w:tab/>
        <w:t>Ruben RJ. Redefining the survival of the fittest: communication disorders in the 21st century. The Laryngoscope. 2000;110(2 Pt 1):241-5.</w:t>
      </w:r>
    </w:p>
    <w:p w:rsidR="005964D8" w:rsidRPr="00942766" w:rsidRDefault="005964D8" w:rsidP="005964D8">
      <w:pPr>
        <w:spacing w:line="480" w:lineRule="auto"/>
      </w:pPr>
      <w:r w:rsidRPr="00942766">
        <w:t>5.</w:t>
      </w:r>
      <w:r w:rsidRPr="00942766">
        <w:tab/>
        <w:t>Mohr PE, Feldman JJ, Dunbar JL, McConkey-Robbins A, Niparko JK, Rittenhouse RK, et al. The societal costs of severe to profound hearing loss in the United States. International journal of technology assessment in health care. 2000;16(4):1120-35.</w:t>
      </w:r>
    </w:p>
    <w:p w:rsidR="005964D8" w:rsidRPr="00942766" w:rsidRDefault="005964D8" w:rsidP="005964D8">
      <w:pPr>
        <w:spacing w:line="480" w:lineRule="auto"/>
      </w:pPr>
      <w:r w:rsidRPr="00942766">
        <w:t>6.</w:t>
      </w:r>
      <w:r w:rsidRPr="00942766">
        <w:tab/>
        <w:t>Kennedy CR, Kimm, L. and Cafarelli Dees, D. Controlled trial of universal neonatal screening for early identification of permanent childhood hearing impairment. . Lancet (London, England). 1998;352(9145):1957-64.</w:t>
      </w:r>
    </w:p>
    <w:p w:rsidR="005964D8" w:rsidRPr="00942766" w:rsidRDefault="005964D8" w:rsidP="005964D8">
      <w:pPr>
        <w:spacing w:line="480" w:lineRule="auto"/>
      </w:pPr>
      <w:r w:rsidRPr="00942766">
        <w:t>7.</w:t>
      </w:r>
      <w:r w:rsidRPr="00942766">
        <w:tab/>
        <w:t>Watkin P, Baldwin M. The longitudinal follow up of a universal neonatal hearing screen: the implications for confirming deafness in childhood. Int J Audiol. 2012;51(7):519-28.</w:t>
      </w:r>
    </w:p>
    <w:p w:rsidR="005964D8" w:rsidRPr="00942766" w:rsidRDefault="005964D8" w:rsidP="005964D8">
      <w:pPr>
        <w:spacing w:line="480" w:lineRule="auto"/>
      </w:pPr>
      <w:r w:rsidRPr="00942766">
        <w:t>8.</w:t>
      </w:r>
      <w:r w:rsidRPr="00942766">
        <w:tab/>
        <w:t>Korver AH KS, Dekker FW, et al. Newborn Hearing Screening vs Later Hearing Screening and Developmental Outcomes in Children With Permanent Childhood Hearing Impairment. JAMA. 2010;304(15):1701-8.</w:t>
      </w:r>
    </w:p>
    <w:p w:rsidR="005964D8" w:rsidRPr="00942766" w:rsidRDefault="005964D8" w:rsidP="005964D8">
      <w:pPr>
        <w:spacing w:line="480" w:lineRule="auto"/>
      </w:pPr>
      <w:r w:rsidRPr="00942766">
        <w:lastRenderedPageBreak/>
        <w:t>9.</w:t>
      </w:r>
      <w:r w:rsidRPr="00942766">
        <w:tab/>
        <w:t>Stevens JC, Hall DM, Davis A, Davies CM, Dixon S. The costs of early hearing screening in England and Wales. Arch Dis Child. 1998;78(1):14-9.</w:t>
      </w:r>
    </w:p>
    <w:p w:rsidR="005964D8" w:rsidRPr="00942766" w:rsidRDefault="005964D8" w:rsidP="005964D8">
      <w:pPr>
        <w:spacing w:line="480" w:lineRule="auto"/>
      </w:pPr>
      <w:r w:rsidRPr="00942766">
        <w:t>10.</w:t>
      </w:r>
      <w:r w:rsidRPr="00942766">
        <w:tab/>
        <w:t>Eisenberg LS. Current state of knowledge: speech recognition and production in children with hearing impairment. Ear and hearing. 2007;28(6):766-72.</w:t>
      </w:r>
    </w:p>
    <w:p w:rsidR="005964D8" w:rsidRPr="00942766" w:rsidRDefault="005964D8" w:rsidP="005964D8">
      <w:pPr>
        <w:spacing w:line="480" w:lineRule="auto"/>
      </w:pPr>
      <w:r w:rsidRPr="00942766">
        <w:t>11.</w:t>
      </w:r>
      <w:r w:rsidRPr="00942766">
        <w:tab/>
        <w:t>Moeller MP, Tomblin JB, Yoshinaga-Itano C, Connor CM, Jerger S. Current state of knowledge: language and literacy of children with hearing impairment. Ear and hearing. 2007;28(6):740-53.</w:t>
      </w:r>
    </w:p>
    <w:p w:rsidR="005964D8" w:rsidRPr="00942766" w:rsidRDefault="005964D8" w:rsidP="005964D8">
      <w:pPr>
        <w:spacing w:line="480" w:lineRule="auto"/>
      </w:pPr>
      <w:r w:rsidRPr="00942766">
        <w:t>12.</w:t>
      </w:r>
      <w:r w:rsidRPr="00942766">
        <w:tab/>
        <w:t>Thomas MSC, Johnson MH. New Advances in Understanding Sensitive Periods in Brain Development. Current Directions in Psychological Science. 2008;17(1):1-5.</w:t>
      </w:r>
    </w:p>
    <w:p w:rsidR="005964D8" w:rsidRPr="00942766" w:rsidRDefault="005964D8" w:rsidP="005964D8">
      <w:pPr>
        <w:spacing w:line="480" w:lineRule="auto"/>
      </w:pPr>
      <w:r w:rsidRPr="00942766">
        <w:t>13.</w:t>
      </w:r>
      <w:r w:rsidRPr="00942766">
        <w:tab/>
        <w:t>Kennedy CR, McCann DC, Campbell MJ, Law CM, Mullee M, Petrou S, et al. Language ability after early detection of permanent childhood hearing impairment. The New England journal of medicine. 2006;354(20):2131-41.</w:t>
      </w:r>
    </w:p>
    <w:p w:rsidR="005964D8" w:rsidRPr="00942766" w:rsidRDefault="005964D8" w:rsidP="005964D8">
      <w:pPr>
        <w:spacing w:line="480" w:lineRule="auto"/>
      </w:pPr>
      <w:r w:rsidRPr="00942766">
        <w:t>14.</w:t>
      </w:r>
      <w:r w:rsidRPr="00942766">
        <w:tab/>
        <w:t>Pimperton H, Kennedy CR. The impact of early identification of permanent childhood hearing impairment on speech and language outcomes. Arch Dis Child. 2012;97(7):648-53.</w:t>
      </w:r>
    </w:p>
    <w:p w:rsidR="005964D8" w:rsidRPr="00942766" w:rsidRDefault="005964D8" w:rsidP="005964D8">
      <w:pPr>
        <w:spacing w:line="480" w:lineRule="auto"/>
      </w:pPr>
      <w:r w:rsidRPr="00942766">
        <w:t>15.</w:t>
      </w:r>
      <w:r w:rsidRPr="00942766">
        <w:tab/>
        <w:t>Stevenson J, McCann DC, Law CM, Mullee M, Petrou S, Worsfold S, et al. The effect of early confirmation of hearing loss on the behaviour in middle childhood of children with bilateral hearing impairment. Dev Med Child Neurol. 2011;53(3):269-74.</w:t>
      </w:r>
    </w:p>
    <w:p w:rsidR="005964D8" w:rsidRPr="00942766" w:rsidRDefault="005964D8" w:rsidP="005964D8">
      <w:pPr>
        <w:spacing w:line="480" w:lineRule="auto"/>
      </w:pPr>
      <w:r w:rsidRPr="00942766">
        <w:t>16.</w:t>
      </w:r>
      <w:r w:rsidRPr="00942766">
        <w:tab/>
        <w:t>Watkin P, McCann D, Law C, Mullee M, Petrou S, Stevenson J, et al. Language ability in children with permanent hearing impairment: the influence of early management and family participation. Pediatrics. 2007;120(3):e694-701.</w:t>
      </w:r>
    </w:p>
    <w:p w:rsidR="005964D8" w:rsidRPr="00942766" w:rsidRDefault="005964D8" w:rsidP="005964D8">
      <w:pPr>
        <w:spacing w:line="480" w:lineRule="auto"/>
      </w:pPr>
      <w:r w:rsidRPr="00942766">
        <w:t>17.</w:t>
      </w:r>
      <w:r w:rsidRPr="00942766">
        <w:tab/>
        <w:t>Kemper AR, Downs SM. Making informed policy decisions about newborn hearing screening. Acad Pediatr. 2012;12(3):157-8.</w:t>
      </w:r>
    </w:p>
    <w:p w:rsidR="005964D8" w:rsidRPr="00942766" w:rsidRDefault="005964D8" w:rsidP="005964D8">
      <w:pPr>
        <w:spacing w:line="480" w:lineRule="auto"/>
      </w:pPr>
      <w:r w:rsidRPr="00942766">
        <w:t>18.</w:t>
      </w:r>
      <w:r w:rsidRPr="00942766">
        <w:tab/>
        <w:t>Colgan S, Gold L, Wirth K, Ching T, Poulakis Z, Rickards F, et al. The cost-effectiveness of universal newborn screening for bilateral permanent congenital hearing impairment: systematic review. Acad Pediatr. 2012;12(3):171-80.</w:t>
      </w:r>
    </w:p>
    <w:p w:rsidR="005964D8" w:rsidRPr="00942766" w:rsidRDefault="005964D8" w:rsidP="005964D8">
      <w:pPr>
        <w:spacing w:line="480" w:lineRule="auto"/>
      </w:pPr>
      <w:r w:rsidRPr="00942766">
        <w:lastRenderedPageBreak/>
        <w:t>19.</w:t>
      </w:r>
      <w:r w:rsidRPr="00942766">
        <w:tab/>
        <w:t>Thompson DC, McPhillips H, Davis RL, Lieu TL, Homer CJ, Helfand M. Universal newborn hearing screening: summary of evidence. Jama. 2001;286(16):2000-10.</w:t>
      </w:r>
    </w:p>
    <w:p w:rsidR="005964D8" w:rsidRPr="00942766" w:rsidRDefault="005964D8" w:rsidP="005964D8">
      <w:pPr>
        <w:spacing w:line="480" w:lineRule="auto"/>
      </w:pPr>
      <w:r w:rsidRPr="00942766">
        <w:t>20.</w:t>
      </w:r>
      <w:r w:rsidRPr="00942766">
        <w:tab/>
        <w:t>Nelson HD, Bougatsos C, Nygren P. Universal newborn hearing screening: systematic review to update the 2001 US Preventive Services Task Force Recommendation. Pediatrics. 2008;122(1):e266-76.</w:t>
      </w:r>
    </w:p>
    <w:p w:rsidR="005964D8" w:rsidRPr="00942766" w:rsidRDefault="005964D8" w:rsidP="005964D8">
      <w:pPr>
        <w:spacing w:line="480" w:lineRule="auto"/>
      </w:pPr>
      <w:r w:rsidRPr="00942766">
        <w:t>21.</w:t>
      </w:r>
      <w:r w:rsidRPr="00942766">
        <w:tab/>
        <w:t>Uus K, Bamford J, Young A, McCracken W. Readiness of paediatric audiology services for newborn hearing screening: findings and implications from the programme in England. Int J Audiol. 2005;44(12):712-20.</w:t>
      </w:r>
    </w:p>
    <w:p w:rsidR="005964D8" w:rsidRPr="00942766" w:rsidRDefault="005964D8" w:rsidP="005964D8">
      <w:pPr>
        <w:spacing w:line="480" w:lineRule="auto"/>
      </w:pPr>
      <w:r w:rsidRPr="00942766">
        <w:t>22.</w:t>
      </w:r>
      <w:r w:rsidRPr="00942766">
        <w:tab/>
        <w:t>Hearing JCoI. Year 2007 Position Statement: Principles and Guidelines for Early Hearing Detection and Intervention Programs. Pediatrics. 2007;120(4):898.</w:t>
      </w:r>
    </w:p>
    <w:p w:rsidR="005964D8" w:rsidRPr="00942766" w:rsidRDefault="005964D8" w:rsidP="005964D8">
      <w:pPr>
        <w:spacing w:line="480" w:lineRule="auto"/>
      </w:pPr>
      <w:r w:rsidRPr="00942766">
        <w:t>23.</w:t>
      </w:r>
      <w:r w:rsidRPr="00942766">
        <w:tab/>
        <w:t>Howell RR TS, Tait VE, Olney R, Hinton CF, Grosse S, Eichwald J, Cuthbert C, Popovic T, Glidewell J. . CDC Grand Rounds: Newborn Screening and Improved Outcomes. Morbidity and Mortality Weekly Report. 2012;61(21):390-3.</w:t>
      </w:r>
    </w:p>
    <w:p w:rsidR="005964D8" w:rsidRPr="00942766" w:rsidRDefault="005964D8" w:rsidP="005964D8">
      <w:pPr>
        <w:spacing w:line="480" w:lineRule="auto"/>
      </w:pPr>
      <w:r w:rsidRPr="00942766">
        <w:t>24.</w:t>
      </w:r>
      <w:r w:rsidRPr="00942766">
        <w:tab/>
        <w:t>Shield B. Evaluation of the Social and Economic Costs of Hearing Impairment: a report for Hear-it AISBC: Hear-it; 2006.</w:t>
      </w:r>
    </w:p>
    <w:p w:rsidR="005964D8" w:rsidRPr="00942766" w:rsidRDefault="005964D8" w:rsidP="005964D8">
      <w:pPr>
        <w:spacing w:line="480" w:lineRule="auto"/>
      </w:pPr>
      <w:r w:rsidRPr="00942766">
        <w:t>25.</w:t>
      </w:r>
      <w:r w:rsidRPr="00942766">
        <w:tab/>
        <w:t>Schroeder L, Petrou S, Kennedy C, McCann D, Law C, Watkin PM, et al. The economic costs of congenital bilateral permanent childhood hearing impairment. Pediatrics. 2006;117(4):1101-12.</w:t>
      </w:r>
    </w:p>
    <w:p w:rsidR="005964D8" w:rsidRPr="00942766" w:rsidRDefault="005964D8" w:rsidP="005964D8">
      <w:pPr>
        <w:spacing w:line="480" w:lineRule="auto"/>
      </w:pPr>
      <w:r w:rsidRPr="00942766">
        <w:t>26.</w:t>
      </w:r>
      <w:r w:rsidRPr="00942766">
        <w:tab/>
        <w:t>McCann DC, Worsfold S, Law CM, Mullee M, Petrou S, Stevenson J, et al. Reading and communication skills after universal newborn screening for permanent childhood hearing impairment. Archives of Disease in Childhood. 2009;94(4):293.</w:t>
      </w:r>
    </w:p>
    <w:p w:rsidR="005964D8" w:rsidRPr="00942766" w:rsidRDefault="005964D8" w:rsidP="005964D8">
      <w:pPr>
        <w:spacing w:line="480" w:lineRule="auto"/>
      </w:pPr>
      <w:r w:rsidRPr="00942766">
        <w:t>27.</w:t>
      </w:r>
      <w:r w:rsidRPr="00942766">
        <w:tab/>
        <w:t>Pimperton H, Kreppner, J., Mahon, M., Stevenson, J., Terlektsi , E., Worsfold, S., Yuen, H.M., &amp; Kennedy, C.R. Language outcomes in teenagers with permanent childhood hearing impairment who are spoken language users: Effects of universal newborn hearing screening and early confirmation. Ear and Hearing2017 (in press). 2017.</w:t>
      </w:r>
    </w:p>
    <w:p w:rsidR="005964D8" w:rsidRPr="00942766" w:rsidRDefault="005964D8" w:rsidP="005964D8">
      <w:pPr>
        <w:spacing w:line="480" w:lineRule="auto"/>
      </w:pPr>
      <w:r w:rsidRPr="00942766">
        <w:lastRenderedPageBreak/>
        <w:t>28.</w:t>
      </w:r>
      <w:r w:rsidRPr="00942766">
        <w:tab/>
        <w:t>Pimperton H, Blythe H, Kreppner J, Mahon M, Peacock JL, Stevenson J, et al. The impact of universal newborn hearing screening on long-term literacy outcomes: a prospective cohort study. Arch Dis Child. 2016;101(1):9-15.</w:t>
      </w:r>
    </w:p>
    <w:p w:rsidR="005964D8" w:rsidRPr="00942766" w:rsidRDefault="005964D8" w:rsidP="005964D8">
      <w:pPr>
        <w:spacing w:line="480" w:lineRule="auto"/>
      </w:pPr>
      <w:r w:rsidRPr="00942766">
        <w:t>29.</w:t>
      </w:r>
      <w:r w:rsidRPr="00942766">
        <w:tab/>
        <w:t>Stevenson J, Pimperton H, Kreppner J, Worsfold S, Terlektsi E, Kennedy C. Emotional and behaviour difficulties in teenagers with permanent childhood hearing loss. Int J Paed Otolarnyngology. 2017 (in press).</w:t>
      </w:r>
    </w:p>
    <w:p w:rsidR="005964D8" w:rsidRPr="00942766" w:rsidRDefault="005964D8" w:rsidP="005964D8">
      <w:pPr>
        <w:spacing w:line="480" w:lineRule="auto"/>
      </w:pPr>
      <w:r w:rsidRPr="00942766">
        <w:t>30.</w:t>
      </w:r>
      <w:r w:rsidRPr="00942766">
        <w:tab/>
        <w:t>Statistics OfN. Standard Occupational Classification: 2000. In: data C, editor. https://www.ons.gov.uk/census/2011census/2011censusdata/2001censusdata.</w:t>
      </w:r>
    </w:p>
    <w:p w:rsidR="005964D8" w:rsidRPr="00942766" w:rsidRDefault="005964D8" w:rsidP="005964D8">
      <w:pPr>
        <w:spacing w:line="480" w:lineRule="auto"/>
      </w:pPr>
      <w:r w:rsidRPr="00942766">
        <w:t>31.</w:t>
      </w:r>
      <w:r w:rsidRPr="00942766">
        <w:tab/>
        <w:t>Curtis L. Unit Costs of Health and Social Care. Kent, UK: Personal Social Services Research Unit; 2013.</w:t>
      </w:r>
    </w:p>
    <w:p w:rsidR="005964D8" w:rsidRPr="00942766" w:rsidRDefault="005964D8" w:rsidP="005964D8">
      <w:pPr>
        <w:spacing w:line="480" w:lineRule="auto"/>
      </w:pPr>
      <w:r w:rsidRPr="00942766">
        <w:t>32.</w:t>
      </w:r>
      <w:r w:rsidRPr="00942766">
        <w:tab/>
        <w:t>DoH. NHS Reference Costs. https://www.gov.uk/government/uploads/system/uploads/attachment_data/file/261154/nhs_reference_costs_2012-13_acc.pdf: Department Of Health; 2012-13 Published November 2013.</w:t>
      </w:r>
    </w:p>
    <w:p w:rsidR="005964D8" w:rsidRPr="00942766" w:rsidRDefault="005964D8" w:rsidP="005964D8">
      <w:pPr>
        <w:spacing w:line="480" w:lineRule="auto"/>
      </w:pPr>
      <w:r w:rsidRPr="00942766">
        <w:t>33.</w:t>
      </w:r>
      <w:r w:rsidRPr="00942766">
        <w:tab/>
        <w:t>Clifford JaT, C. Comparative Cost Review of Non-Maintained and Independent Special Schools with Local Authority Maintained special schools. Baker Tilly Company; 2012.</w:t>
      </w:r>
    </w:p>
    <w:p w:rsidR="005964D8" w:rsidRPr="00942766" w:rsidRDefault="005964D8" w:rsidP="005964D8">
      <w:pPr>
        <w:spacing w:line="480" w:lineRule="auto"/>
      </w:pPr>
      <w:r w:rsidRPr="00942766">
        <w:t>34.</w:t>
      </w:r>
      <w:r w:rsidRPr="00942766">
        <w:tab/>
        <w:t>Barber J, Thompson S. Multiple regression of cost data: use of generalised linear models. J Health Serv Res Policy. 2004;9(4):197-204.</w:t>
      </w:r>
    </w:p>
    <w:p w:rsidR="005964D8" w:rsidRPr="00942766" w:rsidRDefault="005964D8" w:rsidP="005964D8">
      <w:pPr>
        <w:spacing w:line="480" w:lineRule="auto"/>
      </w:pPr>
      <w:r w:rsidRPr="00942766">
        <w:t>35.</w:t>
      </w:r>
      <w:r w:rsidRPr="00942766">
        <w:tab/>
        <w:t>Ching TY, Dillon H, Marnane V, Hou S, Day J, Seeto M, et al. Outcomes of early- and late-identified children at 3 years of age: findings from a prospective population-based study. Ear and hearing. 2013;34(5):535-52.</w:t>
      </w:r>
    </w:p>
    <w:p w:rsidR="005964D8" w:rsidRPr="00942766" w:rsidRDefault="005964D8" w:rsidP="005964D8">
      <w:pPr>
        <w:spacing w:line="480" w:lineRule="auto"/>
      </w:pPr>
    </w:p>
    <w:p w:rsidR="00080173" w:rsidRPr="00942766" w:rsidRDefault="00080173" w:rsidP="00080173">
      <w:pPr>
        <w:spacing w:line="480" w:lineRule="auto"/>
      </w:pPr>
    </w:p>
    <w:p w:rsidR="00080173" w:rsidRPr="00942766" w:rsidRDefault="00080173" w:rsidP="00080173">
      <w:pPr>
        <w:spacing w:line="480" w:lineRule="auto"/>
      </w:pPr>
    </w:p>
    <w:p w:rsidR="00080173" w:rsidRPr="00942766" w:rsidRDefault="00080173" w:rsidP="00080173">
      <w:pPr>
        <w:spacing w:line="480" w:lineRule="auto"/>
      </w:pPr>
    </w:p>
    <w:p w:rsidR="00EF604C" w:rsidRPr="00942766" w:rsidRDefault="00EF604C" w:rsidP="00EF604C">
      <w:pPr>
        <w:rPr>
          <w:b/>
          <w:sz w:val="22"/>
        </w:rPr>
      </w:pPr>
      <w:r w:rsidRPr="00942766">
        <w:rPr>
          <w:b/>
          <w:bCs/>
          <w:sz w:val="22"/>
        </w:rPr>
        <w:lastRenderedPageBreak/>
        <w:t xml:space="preserve">Table </w:t>
      </w:r>
      <w:r w:rsidRPr="00942766">
        <w:rPr>
          <w:b/>
          <w:bCs/>
          <w:sz w:val="22"/>
        </w:rPr>
        <w:fldChar w:fldCharType="begin"/>
      </w:r>
      <w:r w:rsidRPr="00942766">
        <w:rPr>
          <w:b/>
          <w:bCs/>
          <w:sz w:val="22"/>
        </w:rPr>
        <w:instrText xml:space="preserve"> SEQ Table \* ARABIC </w:instrText>
      </w:r>
      <w:r w:rsidRPr="00942766">
        <w:rPr>
          <w:b/>
          <w:bCs/>
          <w:sz w:val="22"/>
        </w:rPr>
        <w:fldChar w:fldCharType="separate"/>
      </w:r>
      <w:r w:rsidR="00DA7ED5" w:rsidRPr="00942766">
        <w:rPr>
          <w:b/>
          <w:bCs/>
          <w:noProof/>
          <w:sz w:val="22"/>
        </w:rPr>
        <w:t>1</w:t>
      </w:r>
      <w:r w:rsidRPr="00942766">
        <w:rPr>
          <w:b/>
          <w:sz w:val="22"/>
        </w:rPr>
        <w:fldChar w:fldCharType="end"/>
      </w:r>
      <w:r w:rsidRPr="00942766">
        <w:rPr>
          <w:b/>
          <w:bCs/>
          <w:sz w:val="22"/>
        </w:rPr>
        <w:t xml:space="preserve"> Sociodemographic and clinical characteristics of study participants</w:t>
      </w:r>
    </w:p>
    <w:p w:rsidR="00335472" w:rsidRPr="00942766" w:rsidRDefault="00335472" w:rsidP="00080173"/>
    <w:tbl>
      <w:tblPr>
        <w:tblpPr w:leftFromText="180" w:rightFromText="180" w:vertAnchor="text" w:horzAnchor="page" w:tblpX="910" w:tblpY="-183"/>
        <w:tblW w:w="9020" w:type="dxa"/>
        <w:tblLayout w:type="fixed"/>
        <w:tblLook w:val="04A0" w:firstRow="1" w:lastRow="0" w:firstColumn="1" w:lastColumn="0" w:noHBand="0" w:noVBand="1"/>
      </w:tblPr>
      <w:tblGrid>
        <w:gridCol w:w="3059"/>
        <w:gridCol w:w="1193"/>
        <w:gridCol w:w="1192"/>
        <w:gridCol w:w="1192"/>
        <w:gridCol w:w="1192"/>
        <w:gridCol w:w="1192"/>
      </w:tblGrid>
      <w:tr w:rsidR="00322999" w:rsidRPr="00942766" w:rsidTr="00080173">
        <w:trPr>
          <w:trHeight w:val="340"/>
        </w:trPr>
        <w:tc>
          <w:tcPr>
            <w:tcW w:w="3059" w:type="dxa"/>
            <w:vMerge w:val="restart"/>
            <w:tcBorders>
              <w:top w:val="single" w:sz="4" w:space="0" w:color="auto"/>
              <w:left w:val="single" w:sz="4" w:space="0" w:color="auto"/>
              <w:right w:val="single" w:sz="12" w:space="0" w:color="auto"/>
            </w:tcBorders>
            <w:shd w:val="clear" w:color="auto" w:fill="auto"/>
            <w:noWrap/>
            <w:vAlign w:val="bottom"/>
          </w:tcPr>
          <w:p w:rsidR="00322999" w:rsidRPr="00942766" w:rsidRDefault="00322999" w:rsidP="002833D4">
            <w:pPr>
              <w:rPr>
                <w:b/>
                <w:bCs/>
                <w:sz w:val="18"/>
                <w:szCs w:val="18"/>
              </w:rPr>
            </w:pPr>
            <w:r w:rsidRPr="00942766">
              <w:rPr>
                <w:b/>
                <w:bCs/>
                <w:sz w:val="18"/>
                <w:szCs w:val="18"/>
              </w:rPr>
              <w:t>Variable</w:t>
            </w:r>
          </w:p>
        </w:tc>
        <w:tc>
          <w:tcPr>
            <w:tcW w:w="4769" w:type="dxa"/>
            <w:gridSpan w:val="4"/>
            <w:tcBorders>
              <w:top w:val="single" w:sz="4" w:space="0" w:color="auto"/>
              <w:left w:val="single" w:sz="12" w:space="0" w:color="auto"/>
              <w:right w:val="single" w:sz="4" w:space="0" w:color="auto"/>
            </w:tcBorders>
            <w:shd w:val="clear" w:color="auto" w:fill="auto"/>
            <w:vAlign w:val="center"/>
          </w:tcPr>
          <w:p w:rsidR="00322999" w:rsidRPr="00942766" w:rsidRDefault="00322999" w:rsidP="00080173">
            <w:pPr>
              <w:jc w:val="center"/>
              <w:rPr>
                <w:b/>
                <w:bCs/>
                <w:sz w:val="18"/>
                <w:szCs w:val="18"/>
              </w:rPr>
            </w:pPr>
            <w:r w:rsidRPr="00942766">
              <w:rPr>
                <w:b/>
                <w:bCs/>
                <w:sz w:val="18"/>
                <w:szCs w:val="18"/>
              </w:rPr>
              <w:t xml:space="preserve">Bilateral permanent childhood hearing loss </w:t>
            </w:r>
            <w:r w:rsidRPr="00942766">
              <w:rPr>
                <w:b/>
                <w:bCs/>
                <w:sz w:val="18"/>
                <w:szCs w:val="18"/>
                <w:u w:val="single"/>
              </w:rPr>
              <w:t>&gt;</w:t>
            </w:r>
            <w:r w:rsidRPr="00942766">
              <w:rPr>
                <w:b/>
                <w:bCs/>
                <w:sz w:val="18"/>
                <w:szCs w:val="18"/>
              </w:rPr>
              <w:t>40 dB</w:t>
            </w:r>
          </w:p>
        </w:tc>
        <w:tc>
          <w:tcPr>
            <w:tcW w:w="1192" w:type="dxa"/>
            <w:tcBorders>
              <w:top w:val="single" w:sz="4" w:space="0" w:color="auto"/>
              <w:left w:val="single" w:sz="4" w:space="0" w:color="auto"/>
              <w:right w:val="nil"/>
            </w:tcBorders>
            <w:shd w:val="clear" w:color="auto" w:fill="auto"/>
            <w:vAlign w:val="center"/>
          </w:tcPr>
          <w:p w:rsidR="00322999" w:rsidRPr="00942766" w:rsidRDefault="00322999" w:rsidP="00080173">
            <w:pPr>
              <w:jc w:val="center"/>
              <w:rPr>
                <w:b/>
                <w:bCs/>
                <w:sz w:val="18"/>
                <w:szCs w:val="18"/>
              </w:rPr>
            </w:pPr>
            <w:r w:rsidRPr="00942766">
              <w:rPr>
                <w:b/>
                <w:bCs/>
                <w:sz w:val="18"/>
                <w:szCs w:val="18"/>
              </w:rPr>
              <w:t>HCG</w:t>
            </w:r>
          </w:p>
        </w:tc>
      </w:tr>
      <w:tr w:rsidR="00322999" w:rsidRPr="00942766" w:rsidTr="00080173">
        <w:trPr>
          <w:trHeight w:val="340"/>
        </w:trPr>
        <w:tc>
          <w:tcPr>
            <w:tcW w:w="3059" w:type="dxa"/>
            <w:vMerge/>
            <w:tcBorders>
              <w:left w:val="single" w:sz="4" w:space="0" w:color="auto"/>
              <w:bottom w:val="single" w:sz="12" w:space="0" w:color="auto"/>
              <w:right w:val="single" w:sz="12" w:space="0" w:color="auto"/>
            </w:tcBorders>
            <w:shd w:val="clear" w:color="auto" w:fill="auto"/>
            <w:noWrap/>
            <w:vAlign w:val="bottom"/>
            <w:hideMark/>
          </w:tcPr>
          <w:p w:rsidR="00322999" w:rsidRPr="00942766" w:rsidRDefault="00322999" w:rsidP="002833D4">
            <w:pPr>
              <w:rPr>
                <w:b/>
                <w:bCs/>
                <w:sz w:val="18"/>
                <w:szCs w:val="18"/>
              </w:rPr>
            </w:pPr>
          </w:p>
        </w:tc>
        <w:tc>
          <w:tcPr>
            <w:tcW w:w="1193" w:type="dxa"/>
            <w:tcBorders>
              <w:left w:val="single" w:sz="12" w:space="0" w:color="auto"/>
              <w:bottom w:val="single" w:sz="12" w:space="0" w:color="auto"/>
              <w:right w:val="nil"/>
            </w:tcBorders>
            <w:shd w:val="clear" w:color="auto" w:fill="auto"/>
            <w:vAlign w:val="center"/>
            <w:hideMark/>
          </w:tcPr>
          <w:p w:rsidR="00322999" w:rsidRPr="00942766" w:rsidRDefault="00322999" w:rsidP="00080173">
            <w:pPr>
              <w:jc w:val="center"/>
              <w:rPr>
                <w:b/>
                <w:bCs/>
                <w:sz w:val="18"/>
                <w:szCs w:val="18"/>
              </w:rPr>
            </w:pPr>
            <w:r w:rsidRPr="00942766">
              <w:rPr>
                <w:b/>
                <w:bCs/>
                <w:sz w:val="18"/>
                <w:szCs w:val="18"/>
              </w:rPr>
              <w:t>Moderate</w:t>
            </w:r>
          </w:p>
          <w:p w:rsidR="00322999" w:rsidRPr="00942766" w:rsidRDefault="00322999" w:rsidP="00080173">
            <w:pPr>
              <w:jc w:val="center"/>
              <w:rPr>
                <w:b/>
                <w:bCs/>
                <w:sz w:val="18"/>
                <w:szCs w:val="18"/>
              </w:rPr>
            </w:pPr>
            <w:r w:rsidRPr="00942766">
              <w:rPr>
                <w:b/>
                <w:bCs/>
                <w:sz w:val="18"/>
                <w:szCs w:val="18"/>
              </w:rPr>
              <w:t>n = 32</w:t>
            </w:r>
          </w:p>
        </w:tc>
        <w:tc>
          <w:tcPr>
            <w:tcW w:w="1192" w:type="dxa"/>
            <w:tcBorders>
              <w:left w:val="nil"/>
              <w:bottom w:val="single" w:sz="12" w:space="0" w:color="auto"/>
              <w:right w:val="nil"/>
            </w:tcBorders>
            <w:shd w:val="clear" w:color="auto" w:fill="auto"/>
            <w:vAlign w:val="center"/>
            <w:hideMark/>
          </w:tcPr>
          <w:p w:rsidR="00322999" w:rsidRPr="00942766" w:rsidRDefault="00322999" w:rsidP="00080173">
            <w:pPr>
              <w:jc w:val="center"/>
              <w:rPr>
                <w:b/>
                <w:bCs/>
                <w:sz w:val="18"/>
                <w:szCs w:val="18"/>
              </w:rPr>
            </w:pPr>
            <w:r w:rsidRPr="00942766">
              <w:rPr>
                <w:b/>
                <w:bCs/>
                <w:sz w:val="18"/>
                <w:szCs w:val="18"/>
              </w:rPr>
              <w:t>Severe</w:t>
            </w:r>
          </w:p>
          <w:p w:rsidR="00322999" w:rsidRPr="00942766" w:rsidRDefault="00322999" w:rsidP="00080173">
            <w:pPr>
              <w:jc w:val="center"/>
              <w:rPr>
                <w:b/>
                <w:bCs/>
                <w:sz w:val="18"/>
                <w:szCs w:val="18"/>
              </w:rPr>
            </w:pPr>
            <w:r w:rsidRPr="00942766">
              <w:rPr>
                <w:b/>
                <w:bCs/>
                <w:sz w:val="18"/>
                <w:szCs w:val="18"/>
              </w:rPr>
              <w:t>n = 18</w:t>
            </w:r>
          </w:p>
        </w:tc>
        <w:tc>
          <w:tcPr>
            <w:tcW w:w="1192" w:type="dxa"/>
            <w:tcBorders>
              <w:left w:val="nil"/>
              <w:bottom w:val="single" w:sz="12" w:space="0" w:color="auto"/>
              <w:right w:val="nil"/>
            </w:tcBorders>
            <w:shd w:val="clear" w:color="auto" w:fill="auto"/>
            <w:vAlign w:val="center"/>
            <w:hideMark/>
          </w:tcPr>
          <w:p w:rsidR="00322999" w:rsidRPr="00942766" w:rsidRDefault="00322999" w:rsidP="00080173">
            <w:pPr>
              <w:jc w:val="center"/>
              <w:rPr>
                <w:b/>
                <w:bCs/>
                <w:sz w:val="18"/>
                <w:szCs w:val="18"/>
              </w:rPr>
            </w:pPr>
            <w:r w:rsidRPr="00942766">
              <w:rPr>
                <w:b/>
                <w:bCs/>
                <w:sz w:val="18"/>
                <w:szCs w:val="18"/>
              </w:rPr>
              <w:t>Profound</w:t>
            </w:r>
          </w:p>
          <w:p w:rsidR="00322999" w:rsidRPr="00942766" w:rsidRDefault="00322999" w:rsidP="00080173">
            <w:pPr>
              <w:jc w:val="center"/>
              <w:rPr>
                <w:b/>
                <w:bCs/>
                <w:sz w:val="18"/>
                <w:szCs w:val="18"/>
              </w:rPr>
            </w:pPr>
            <w:r w:rsidRPr="00942766">
              <w:rPr>
                <w:b/>
                <w:bCs/>
                <w:sz w:val="18"/>
                <w:szCs w:val="18"/>
              </w:rPr>
              <w:t>n = 23</w:t>
            </w:r>
          </w:p>
        </w:tc>
        <w:tc>
          <w:tcPr>
            <w:tcW w:w="1192" w:type="dxa"/>
            <w:tcBorders>
              <w:left w:val="nil"/>
              <w:bottom w:val="single" w:sz="12" w:space="0" w:color="auto"/>
              <w:right w:val="single" w:sz="4" w:space="0" w:color="auto"/>
            </w:tcBorders>
            <w:shd w:val="clear" w:color="auto" w:fill="auto"/>
            <w:vAlign w:val="center"/>
            <w:hideMark/>
          </w:tcPr>
          <w:p w:rsidR="00322999" w:rsidRPr="00942766" w:rsidRDefault="00322999" w:rsidP="00080173">
            <w:pPr>
              <w:jc w:val="center"/>
              <w:rPr>
                <w:b/>
                <w:bCs/>
                <w:sz w:val="18"/>
                <w:szCs w:val="18"/>
              </w:rPr>
            </w:pPr>
            <w:r w:rsidRPr="00942766">
              <w:rPr>
                <w:b/>
                <w:bCs/>
                <w:sz w:val="18"/>
                <w:szCs w:val="18"/>
              </w:rPr>
              <w:t xml:space="preserve">Total </w:t>
            </w:r>
          </w:p>
          <w:p w:rsidR="00322999" w:rsidRPr="00942766" w:rsidRDefault="00322999" w:rsidP="00080173">
            <w:pPr>
              <w:jc w:val="center"/>
              <w:rPr>
                <w:b/>
                <w:bCs/>
                <w:sz w:val="18"/>
                <w:szCs w:val="18"/>
              </w:rPr>
            </w:pPr>
            <w:r w:rsidRPr="00942766">
              <w:rPr>
                <w:b/>
                <w:bCs/>
                <w:sz w:val="18"/>
                <w:szCs w:val="18"/>
              </w:rPr>
              <w:t>n = 73</w:t>
            </w:r>
          </w:p>
        </w:tc>
        <w:tc>
          <w:tcPr>
            <w:tcW w:w="1192" w:type="dxa"/>
            <w:tcBorders>
              <w:left w:val="single" w:sz="4" w:space="0" w:color="auto"/>
              <w:bottom w:val="single" w:sz="12" w:space="0" w:color="auto"/>
              <w:right w:val="nil"/>
            </w:tcBorders>
            <w:shd w:val="clear" w:color="auto" w:fill="auto"/>
            <w:vAlign w:val="center"/>
            <w:hideMark/>
          </w:tcPr>
          <w:p w:rsidR="00322999" w:rsidRPr="00942766" w:rsidRDefault="00322999" w:rsidP="00080173">
            <w:pPr>
              <w:jc w:val="center"/>
              <w:rPr>
                <w:b/>
                <w:bCs/>
                <w:sz w:val="18"/>
                <w:szCs w:val="18"/>
              </w:rPr>
            </w:pPr>
            <w:r w:rsidRPr="00942766">
              <w:rPr>
                <w:b/>
                <w:bCs/>
                <w:sz w:val="18"/>
                <w:szCs w:val="18"/>
              </w:rPr>
              <w:t>n = 37</w:t>
            </w:r>
          </w:p>
        </w:tc>
      </w:tr>
      <w:tr w:rsidR="00511483" w:rsidRPr="00942766" w:rsidTr="00080173">
        <w:trPr>
          <w:trHeight w:val="300"/>
        </w:trPr>
        <w:tc>
          <w:tcPr>
            <w:tcW w:w="3059" w:type="dxa"/>
            <w:tcBorders>
              <w:top w:val="single" w:sz="12" w:space="0" w:color="auto"/>
              <w:left w:val="single" w:sz="4" w:space="0" w:color="auto"/>
              <w:right w:val="single" w:sz="12" w:space="0" w:color="auto"/>
            </w:tcBorders>
            <w:shd w:val="clear" w:color="auto" w:fill="auto"/>
            <w:noWrap/>
            <w:hideMark/>
          </w:tcPr>
          <w:p w:rsidR="00511483" w:rsidRPr="00942766" w:rsidRDefault="00511483" w:rsidP="002833D4">
            <w:pPr>
              <w:rPr>
                <w:b/>
                <w:bCs/>
                <w:sz w:val="18"/>
                <w:szCs w:val="18"/>
              </w:rPr>
            </w:pPr>
            <w:r w:rsidRPr="00942766">
              <w:rPr>
                <w:b/>
                <w:sz w:val="18"/>
                <w:szCs w:val="18"/>
              </w:rPr>
              <w:t>Age</w:t>
            </w:r>
            <w:r w:rsidRPr="00942766">
              <w:rPr>
                <w:sz w:val="18"/>
                <w:szCs w:val="18"/>
              </w:rPr>
              <w:t xml:space="preserve"> mean (s.d.) in years</w:t>
            </w:r>
          </w:p>
        </w:tc>
        <w:tc>
          <w:tcPr>
            <w:tcW w:w="1193" w:type="dxa"/>
            <w:tcBorders>
              <w:top w:val="single" w:sz="12" w:space="0" w:color="auto"/>
              <w:left w:val="single" w:sz="12" w:space="0" w:color="auto"/>
              <w:right w:val="nil"/>
            </w:tcBorders>
            <w:shd w:val="clear" w:color="auto" w:fill="auto"/>
            <w:vAlign w:val="center"/>
          </w:tcPr>
          <w:p w:rsidR="00511483" w:rsidRPr="00942766" w:rsidRDefault="00511483" w:rsidP="00080173">
            <w:pPr>
              <w:jc w:val="center"/>
              <w:rPr>
                <w:b/>
                <w:bCs/>
                <w:sz w:val="18"/>
                <w:szCs w:val="18"/>
              </w:rPr>
            </w:pPr>
            <w:r w:rsidRPr="00942766">
              <w:rPr>
                <w:sz w:val="18"/>
                <w:szCs w:val="18"/>
              </w:rPr>
              <w:t>16.9 (1.4)</w:t>
            </w:r>
          </w:p>
        </w:tc>
        <w:tc>
          <w:tcPr>
            <w:tcW w:w="1192" w:type="dxa"/>
            <w:tcBorders>
              <w:top w:val="single" w:sz="12" w:space="0" w:color="auto"/>
              <w:left w:val="nil"/>
              <w:right w:val="nil"/>
            </w:tcBorders>
            <w:shd w:val="clear" w:color="auto" w:fill="auto"/>
            <w:vAlign w:val="center"/>
          </w:tcPr>
          <w:p w:rsidR="00511483" w:rsidRPr="00942766" w:rsidRDefault="00511483" w:rsidP="00080173">
            <w:pPr>
              <w:jc w:val="center"/>
              <w:rPr>
                <w:b/>
                <w:bCs/>
                <w:sz w:val="18"/>
                <w:szCs w:val="18"/>
              </w:rPr>
            </w:pPr>
            <w:r w:rsidRPr="00942766">
              <w:rPr>
                <w:sz w:val="18"/>
                <w:szCs w:val="18"/>
              </w:rPr>
              <w:t>17.5 (1.4)</w:t>
            </w:r>
          </w:p>
        </w:tc>
        <w:tc>
          <w:tcPr>
            <w:tcW w:w="1192" w:type="dxa"/>
            <w:tcBorders>
              <w:top w:val="single" w:sz="12" w:space="0" w:color="auto"/>
              <w:left w:val="nil"/>
              <w:right w:val="nil"/>
            </w:tcBorders>
            <w:shd w:val="clear" w:color="auto" w:fill="auto"/>
            <w:vAlign w:val="center"/>
          </w:tcPr>
          <w:p w:rsidR="00511483" w:rsidRPr="00942766" w:rsidRDefault="00511483" w:rsidP="00080173">
            <w:pPr>
              <w:jc w:val="center"/>
              <w:rPr>
                <w:b/>
                <w:bCs/>
                <w:sz w:val="18"/>
                <w:szCs w:val="18"/>
              </w:rPr>
            </w:pPr>
            <w:r w:rsidRPr="00942766">
              <w:rPr>
                <w:sz w:val="18"/>
                <w:szCs w:val="18"/>
              </w:rPr>
              <w:t>16.8 (1.5)</w:t>
            </w:r>
          </w:p>
        </w:tc>
        <w:tc>
          <w:tcPr>
            <w:tcW w:w="1192" w:type="dxa"/>
            <w:tcBorders>
              <w:top w:val="single" w:sz="12" w:space="0" w:color="auto"/>
              <w:left w:val="nil"/>
              <w:right w:val="single" w:sz="4" w:space="0" w:color="auto"/>
            </w:tcBorders>
            <w:shd w:val="clear" w:color="auto" w:fill="auto"/>
            <w:vAlign w:val="center"/>
          </w:tcPr>
          <w:p w:rsidR="00511483" w:rsidRPr="00942766" w:rsidRDefault="00511483" w:rsidP="00080173">
            <w:pPr>
              <w:jc w:val="center"/>
              <w:rPr>
                <w:b/>
                <w:bCs/>
                <w:sz w:val="18"/>
                <w:szCs w:val="18"/>
              </w:rPr>
            </w:pPr>
            <w:r w:rsidRPr="00942766">
              <w:rPr>
                <w:sz w:val="18"/>
                <w:szCs w:val="18"/>
              </w:rPr>
              <w:t>17.0(1.4)</w:t>
            </w:r>
          </w:p>
        </w:tc>
        <w:tc>
          <w:tcPr>
            <w:tcW w:w="1192" w:type="dxa"/>
            <w:tcBorders>
              <w:top w:val="single" w:sz="12" w:space="0" w:color="auto"/>
              <w:left w:val="single" w:sz="4" w:space="0" w:color="auto"/>
              <w:right w:val="nil"/>
            </w:tcBorders>
            <w:shd w:val="clear" w:color="auto" w:fill="auto"/>
            <w:vAlign w:val="center"/>
          </w:tcPr>
          <w:p w:rsidR="00511483" w:rsidRPr="00942766" w:rsidRDefault="00511483" w:rsidP="00080173">
            <w:pPr>
              <w:jc w:val="center"/>
              <w:rPr>
                <w:b/>
                <w:bCs/>
                <w:sz w:val="18"/>
                <w:szCs w:val="18"/>
              </w:rPr>
            </w:pPr>
            <w:r w:rsidRPr="00942766">
              <w:rPr>
                <w:sz w:val="18"/>
                <w:szCs w:val="18"/>
              </w:rPr>
              <w:t>16.3(1.2)</w:t>
            </w:r>
          </w:p>
        </w:tc>
      </w:tr>
      <w:tr w:rsidR="00322999" w:rsidRPr="00942766" w:rsidTr="00080173">
        <w:trPr>
          <w:trHeight w:val="327"/>
        </w:trPr>
        <w:tc>
          <w:tcPr>
            <w:tcW w:w="3059" w:type="dxa"/>
            <w:tcBorders>
              <w:left w:val="single" w:sz="4" w:space="0" w:color="auto"/>
              <w:bottom w:val="single" w:sz="4" w:space="0" w:color="auto"/>
              <w:right w:val="single" w:sz="12" w:space="0" w:color="auto"/>
            </w:tcBorders>
            <w:shd w:val="clear" w:color="auto" w:fill="auto"/>
            <w:noWrap/>
          </w:tcPr>
          <w:p w:rsidR="00322999" w:rsidRPr="00942766" w:rsidRDefault="00322999" w:rsidP="00322999">
            <w:pPr>
              <w:rPr>
                <w:sz w:val="18"/>
                <w:szCs w:val="18"/>
              </w:rPr>
            </w:pPr>
          </w:p>
        </w:tc>
        <w:tc>
          <w:tcPr>
            <w:tcW w:w="1193" w:type="dxa"/>
            <w:tcBorders>
              <w:top w:val="nil"/>
              <w:left w:val="single" w:sz="12" w:space="0" w:color="auto"/>
              <w:bottom w:val="single" w:sz="4" w:space="0" w:color="auto"/>
              <w:right w:val="nil"/>
            </w:tcBorders>
            <w:shd w:val="clear" w:color="auto" w:fill="auto"/>
            <w:noWrap/>
            <w:vAlign w:val="center"/>
          </w:tcPr>
          <w:p w:rsidR="00322999" w:rsidRPr="00942766" w:rsidRDefault="00322999" w:rsidP="00080173">
            <w:pPr>
              <w:jc w:val="center"/>
              <w:rPr>
                <w:sz w:val="18"/>
                <w:szCs w:val="18"/>
              </w:rPr>
            </w:pPr>
            <w:r w:rsidRPr="00942766">
              <w:rPr>
                <w:b/>
                <w:bCs/>
                <w:sz w:val="18"/>
                <w:szCs w:val="18"/>
              </w:rPr>
              <w:t>n   (%)</w:t>
            </w:r>
          </w:p>
        </w:tc>
        <w:tc>
          <w:tcPr>
            <w:tcW w:w="1192" w:type="dxa"/>
            <w:tcBorders>
              <w:top w:val="nil"/>
              <w:left w:val="nil"/>
              <w:bottom w:val="single" w:sz="4" w:space="0" w:color="auto"/>
              <w:right w:val="nil"/>
            </w:tcBorders>
            <w:shd w:val="clear" w:color="auto" w:fill="auto"/>
            <w:noWrap/>
            <w:vAlign w:val="center"/>
          </w:tcPr>
          <w:p w:rsidR="00322999" w:rsidRPr="00942766" w:rsidRDefault="00322999" w:rsidP="00080173">
            <w:pPr>
              <w:jc w:val="center"/>
              <w:rPr>
                <w:sz w:val="18"/>
                <w:szCs w:val="18"/>
              </w:rPr>
            </w:pPr>
            <w:r w:rsidRPr="00942766">
              <w:rPr>
                <w:b/>
                <w:bCs/>
                <w:sz w:val="18"/>
                <w:szCs w:val="18"/>
              </w:rPr>
              <w:t>n  (%)</w:t>
            </w:r>
          </w:p>
        </w:tc>
        <w:tc>
          <w:tcPr>
            <w:tcW w:w="1192" w:type="dxa"/>
            <w:tcBorders>
              <w:top w:val="nil"/>
              <w:left w:val="nil"/>
              <w:bottom w:val="single" w:sz="4" w:space="0" w:color="auto"/>
              <w:right w:val="nil"/>
            </w:tcBorders>
            <w:shd w:val="clear" w:color="auto" w:fill="auto"/>
            <w:noWrap/>
            <w:vAlign w:val="center"/>
          </w:tcPr>
          <w:p w:rsidR="00322999" w:rsidRPr="00942766" w:rsidRDefault="00322999" w:rsidP="00080173">
            <w:pPr>
              <w:jc w:val="center"/>
              <w:rPr>
                <w:sz w:val="18"/>
                <w:szCs w:val="18"/>
              </w:rPr>
            </w:pPr>
            <w:r w:rsidRPr="00942766">
              <w:rPr>
                <w:b/>
                <w:bCs/>
                <w:sz w:val="18"/>
                <w:szCs w:val="18"/>
              </w:rPr>
              <w:t>n  (%)</w:t>
            </w:r>
          </w:p>
        </w:tc>
        <w:tc>
          <w:tcPr>
            <w:tcW w:w="1192" w:type="dxa"/>
            <w:tcBorders>
              <w:top w:val="nil"/>
              <w:left w:val="nil"/>
              <w:bottom w:val="single" w:sz="4" w:space="0" w:color="auto"/>
              <w:right w:val="single" w:sz="4" w:space="0" w:color="auto"/>
            </w:tcBorders>
            <w:shd w:val="clear" w:color="auto" w:fill="auto"/>
            <w:noWrap/>
            <w:vAlign w:val="center"/>
          </w:tcPr>
          <w:p w:rsidR="00322999" w:rsidRPr="00942766" w:rsidRDefault="00322999" w:rsidP="00080173">
            <w:pPr>
              <w:jc w:val="center"/>
              <w:rPr>
                <w:sz w:val="18"/>
                <w:szCs w:val="18"/>
              </w:rPr>
            </w:pPr>
            <w:r w:rsidRPr="00942766">
              <w:rPr>
                <w:b/>
                <w:bCs/>
                <w:sz w:val="18"/>
                <w:szCs w:val="18"/>
              </w:rPr>
              <w:t>n  (%)</w:t>
            </w:r>
          </w:p>
        </w:tc>
        <w:tc>
          <w:tcPr>
            <w:tcW w:w="1192" w:type="dxa"/>
            <w:tcBorders>
              <w:top w:val="nil"/>
              <w:left w:val="single" w:sz="4" w:space="0" w:color="auto"/>
              <w:bottom w:val="single" w:sz="4" w:space="0" w:color="auto"/>
              <w:right w:val="nil"/>
            </w:tcBorders>
            <w:shd w:val="clear" w:color="auto" w:fill="auto"/>
            <w:noWrap/>
            <w:vAlign w:val="center"/>
          </w:tcPr>
          <w:p w:rsidR="00322999" w:rsidRPr="00942766" w:rsidRDefault="00322999" w:rsidP="00080173">
            <w:pPr>
              <w:jc w:val="center"/>
              <w:rPr>
                <w:sz w:val="18"/>
                <w:szCs w:val="18"/>
              </w:rPr>
            </w:pPr>
            <w:r w:rsidRPr="00942766">
              <w:rPr>
                <w:b/>
                <w:bCs/>
                <w:sz w:val="18"/>
                <w:szCs w:val="18"/>
              </w:rPr>
              <w:t>n  (%)</w:t>
            </w:r>
          </w:p>
        </w:tc>
      </w:tr>
      <w:tr w:rsidR="00322999" w:rsidRPr="00942766" w:rsidTr="00080173">
        <w:trPr>
          <w:trHeight w:val="300"/>
        </w:trPr>
        <w:tc>
          <w:tcPr>
            <w:tcW w:w="3059" w:type="dxa"/>
            <w:tcBorders>
              <w:top w:val="single" w:sz="4" w:space="0" w:color="auto"/>
              <w:left w:val="single" w:sz="4" w:space="0" w:color="auto"/>
              <w:bottom w:val="nil"/>
              <w:right w:val="single" w:sz="12" w:space="0" w:color="auto"/>
            </w:tcBorders>
            <w:shd w:val="clear" w:color="auto" w:fill="auto"/>
            <w:noWrap/>
            <w:hideMark/>
          </w:tcPr>
          <w:p w:rsidR="00322999" w:rsidRPr="00942766" w:rsidRDefault="00322999" w:rsidP="002833D4">
            <w:pPr>
              <w:rPr>
                <w:sz w:val="18"/>
                <w:szCs w:val="18"/>
              </w:rPr>
            </w:pPr>
            <w:r w:rsidRPr="00942766">
              <w:rPr>
                <w:sz w:val="18"/>
                <w:szCs w:val="18"/>
              </w:rPr>
              <w:t>Female</w:t>
            </w:r>
          </w:p>
        </w:tc>
        <w:tc>
          <w:tcPr>
            <w:tcW w:w="1193" w:type="dxa"/>
            <w:tcBorders>
              <w:top w:val="single" w:sz="4" w:space="0" w:color="auto"/>
              <w:left w:val="single" w:sz="12" w:space="0" w:color="auto"/>
              <w:bottom w:val="nil"/>
              <w:right w:val="nil"/>
            </w:tcBorders>
            <w:shd w:val="clear" w:color="auto" w:fill="auto"/>
            <w:noWrap/>
            <w:vAlign w:val="center"/>
            <w:hideMark/>
          </w:tcPr>
          <w:p w:rsidR="00322999" w:rsidRPr="00942766" w:rsidRDefault="00322999" w:rsidP="00E56B26">
            <w:pPr>
              <w:jc w:val="center"/>
              <w:rPr>
                <w:sz w:val="18"/>
                <w:szCs w:val="18"/>
              </w:rPr>
            </w:pPr>
            <w:r w:rsidRPr="00942766">
              <w:rPr>
                <w:sz w:val="18"/>
                <w:szCs w:val="18"/>
              </w:rPr>
              <w:t>16 (50)</w:t>
            </w:r>
          </w:p>
        </w:tc>
        <w:tc>
          <w:tcPr>
            <w:tcW w:w="1192" w:type="dxa"/>
            <w:tcBorders>
              <w:top w:val="single" w:sz="4" w:space="0" w:color="auto"/>
              <w:left w:val="nil"/>
              <w:bottom w:val="nil"/>
              <w:right w:val="nil"/>
            </w:tcBorders>
            <w:shd w:val="clear" w:color="auto" w:fill="auto"/>
            <w:noWrap/>
            <w:vAlign w:val="center"/>
            <w:hideMark/>
          </w:tcPr>
          <w:p w:rsidR="00322999" w:rsidRPr="00942766" w:rsidRDefault="00322999" w:rsidP="00E56B26">
            <w:pPr>
              <w:jc w:val="center"/>
              <w:rPr>
                <w:sz w:val="18"/>
                <w:szCs w:val="18"/>
              </w:rPr>
            </w:pPr>
            <w:r w:rsidRPr="00942766">
              <w:rPr>
                <w:sz w:val="18"/>
                <w:szCs w:val="18"/>
              </w:rPr>
              <w:t>9 (50)</w:t>
            </w:r>
          </w:p>
        </w:tc>
        <w:tc>
          <w:tcPr>
            <w:tcW w:w="1192" w:type="dxa"/>
            <w:tcBorders>
              <w:top w:val="single" w:sz="4" w:space="0" w:color="auto"/>
              <w:left w:val="nil"/>
              <w:bottom w:val="nil"/>
              <w:right w:val="nil"/>
            </w:tcBorders>
            <w:shd w:val="clear" w:color="auto" w:fill="auto"/>
            <w:noWrap/>
            <w:vAlign w:val="center"/>
            <w:hideMark/>
          </w:tcPr>
          <w:p w:rsidR="00322999" w:rsidRPr="00942766" w:rsidRDefault="00322999" w:rsidP="00E56B26">
            <w:pPr>
              <w:jc w:val="center"/>
              <w:rPr>
                <w:sz w:val="18"/>
                <w:szCs w:val="18"/>
              </w:rPr>
            </w:pPr>
            <w:r w:rsidRPr="00942766">
              <w:rPr>
                <w:sz w:val="18"/>
                <w:szCs w:val="18"/>
              </w:rPr>
              <w:t>10 (4</w:t>
            </w:r>
            <w:r w:rsidR="00E56B26" w:rsidRPr="00942766">
              <w:rPr>
                <w:sz w:val="18"/>
                <w:szCs w:val="18"/>
              </w:rPr>
              <w:t>4</w:t>
            </w:r>
            <w:r w:rsidRPr="00942766">
              <w:rPr>
                <w:sz w:val="18"/>
                <w:szCs w:val="18"/>
              </w:rPr>
              <w:t>)</w:t>
            </w:r>
          </w:p>
        </w:tc>
        <w:tc>
          <w:tcPr>
            <w:tcW w:w="1192" w:type="dxa"/>
            <w:tcBorders>
              <w:top w:val="single" w:sz="4" w:space="0" w:color="auto"/>
              <w:left w:val="nil"/>
              <w:bottom w:val="nil"/>
              <w:right w:val="single" w:sz="4" w:space="0" w:color="auto"/>
            </w:tcBorders>
            <w:shd w:val="clear" w:color="auto" w:fill="auto"/>
            <w:noWrap/>
            <w:vAlign w:val="center"/>
            <w:hideMark/>
          </w:tcPr>
          <w:p w:rsidR="00322999" w:rsidRPr="00942766" w:rsidRDefault="00322999" w:rsidP="00E56B26">
            <w:pPr>
              <w:jc w:val="center"/>
              <w:rPr>
                <w:sz w:val="18"/>
                <w:szCs w:val="18"/>
              </w:rPr>
            </w:pPr>
            <w:r w:rsidRPr="00942766">
              <w:rPr>
                <w:sz w:val="18"/>
                <w:szCs w:val="18"/>
              </w:rPr>
              <w:t>35 (4</w:t>
            </w:r>
            <w:r w:rsidR="00E56B26" w:rsidRPr="00942766">
              <w:rPr>
                <w:sz w:val="18"/>
                <w:szCs w:val="18"/>
              </w:rPr>
              <w:t>8</w:t>
            </w:r>
            <w:r w:rsidRPr="00942766">
              <w:rPr>
                <w:sz w:val="18"/>
                <w:szCs w:val="18"/>
              </w:rPr>
              <w:t>)</w:t>
            </w:r>
          </w:p>
        </w:tc>
        <w:tc>
          <w:tcPr>
            <w:tcW w:w="1192" w:type="dxa"/>
            <w:tcBorders>
              <w:top w:val="single" w:sz="4" w:space="0" w:color="auto"/>
              <w:left w:val="single" w:sz="4" w:space="0" w:color="auto"/>
              <w:bottom w:val="nil"/>
              <w:right w:val="nil"/>
            </w:tcBorders>
            <w:shd w:val="clear" w:color="auto" w:fill="auto"/>
            <w:noWrap/>
            <w:vAlign w:val="center"/>
            <w:hideMark/>
          </w:tcPr>
          <w:p w:rsidR="00322999" w:rsidRPr="00942766" w:rsidRDefault="00322999" w:rsidP="00E56B26">
            <w:pPr>
              <w:jc w:val="center"/>
              <w:rPr>
                <w:sz w:val="18"/>
                <w:szCs w:val="18"/>
              </w:rPr>
            </w:pPr>
            <w:r w:rsidRPr="00942766">
              <w:rPr>
                <w:sz w:val="18"/>
                <w:szCs w:val="18"/>
              </w:rPr>
              <w:t>13 (35)</w:t>
            </w:r>
          </w:p>
        </w:tc>
      </w:tr>
      <w:tr w:rsidR="00322999" w:rsidRPr="00942766" w:rsidTr="00080173">
        <w:trPr>
          <w:trHeight w:val="300"/>
        </w:trPr>
        <w:tc>
          <w:tcPr>
            <w:tcW w:w="3059" w:type="dxa"/>
            <w:tcBorders>
              <w:top w:val="nil"/>
              <w:left w:val="single" w:sz="4" w:space="0" w:color="auto"/>
              <w:bottom w:val="nil"/>
              <w:right w:val="single" w:sz="12" w:space="0" w:color="auto"/>
            </w:tcBorders>
            <w:shd w:val="clear" w:color="auto" w:fill="auto"/>
            <w:noWrap/>
            <w:hideMark/>
          </w:tcPr>
          <w:p w:rsidR="00322999" w:rsidRPr="00942766" w:rsidRDefault="00322999" w:rsidP="00322999">
            <w:pPr>
              <w:rPr>
                <w:b/>
                <w:bCs/>
                <w:sz w:val="18"/>
                <w:szCs w:val="18"/>
              </w:rPr>
            </w:pPr>
            <w:r w:rsidRPr="00942766">
              <w:rPr>
                <w:b/>
                <w:bCs/>
                <w:sz w:val="18"/>
                <w:szCs w:val="18"/>
              </w:rPr>
              <w:t>Mode of communication</w:t>
            </w:r>
          </w:p>
        </w:tc>
        <w:tc>
          <w:tcPr>
            <w:tcW w:w="1193" w:type="dxa"/>
            <w:tcBorders>
              <w:top w:val="nil"/>
              <w:left w:val="single" w:sz="12" w:space="0" w:color="auto"/>
              <w:bottom w:val="nil"/>
              <w:right w:val="nil"/>
            </w:tcBorders>
            <w:shd w:val="clear" w:color="auto" w:fill="auto"/>
            <w:noWrap/>
            <w:vAlign w:val="center"/>
            <w:hideMark/>
          </w:tcPr>
          <w:p w:rsidR="00322999" w:rsidRPr="00942766" w:rsidRDefault="00322999" w:rsidP="00080173">
            <w:pPr>
              <w:jc w:val="center"/>
              <w:rPr>
                <w:b/>
                <w:bCs/>
                <w:sz w:val="18"/>
                <w:szCs w:val="18"/>
              </w:rPr>
            </w:pPr>
          </w:p>
        </w:tc>
        <w:tc>
          <w:tcPr>
            <w:tcW w:w="1192" w:type="dxa"/>
            <w:tcBorders>
              <w:top w:val="nil"/>
              <w:left w:val="nil"/>
              <w:bottom w:val="nil"/>
              <w:right w:val="nil"/>
            </w:tcBorders>
            <w:shd w:val="clear" w:color="auto" w:fill="auto"/>
            <w:noWrap/>
            <w:vAlign w:val="center"/>
            <w:hideMark/>
          </w:tcPr>
          <w:p w:rsidR="00322999" w:rsidRPr="00942766" w:rsidRDefault="00322999" w:rsidP="00080173">
            <w:pPr>
              <w:jc w:val="center"/>
              <w:rPr>
                <w:sz w:val="18"/>
                <w:szCs w:val="18"/>
              </w:rPr>
            </w:pPr>
          </w:p>
        </w:tc>
        <w:tc>
          <w:tcPr>
            <w:tcW w:w="1192" w:type="dxa"/>
            <w:tcBorders>
              <w:top w:val="nil"/>
              <w:left w:val="nil"/>
              <w:bottom w:val="nil"/>
              <w:right w:val="nil"/>
            </w:tcBorders>
            <w:shd w:val="clear" w:color="auto" w:fill="auto"/>
            <w:noWrap/>
            <w:vAlign w:val="center"/>
            <w:hideMark/>
          </w:tcPr>
          <w:p w:rsidR="00322999" w:rsidRPr="00942766" w:rsidRDefault="00322999" w:rsidP="00080173">
            <w:pPr>
              <w:jc w:val="center"/>
              <w:rPr>
                <w:sz w:val="18"/>
                <w:szCs w:val="18"/>
              </w:rPr>
            </w:pPr>
          </w:p>
        </w:tc>
        <w:tc>
          <w:tcPr>
            <w:tcW w:w="1192" w:type="dxa"/>
            <w:tcBorders>
              <w:top w:val="nil"/>
              <w:left w:val="nil"/>
              <w:bottom w:val="nil"/>
              <w:right w:val="single" w:sz="4" w:space="0" w:color="auto"/>
            </w:tcBorders>
            <w:shd w:val="clear" w:color="auto" w:fill="auto"/>
            <w:noWrap/>
            <w:vAlign w:val="center"/>
            <w:hideMark/>
          </w:tcPr>
          <w:p w:rsidR="00322999" w:rsidRPr="00942766" w:rsidRDefault="00322999" w:rsidP="00080173">
            <w:pPr>
              <w:jc w:val="center"/>
              <w:rPr>
                <w:sz w:val="18"/>
                <w:szCs w:val="18"/>
              </w:rPr>
            </w:pPr>
          </w:p>
        </w:tc>
        <w:tc>
          <w:tcPr>
            <w:tcW w:w="1192" w:type="dxa"/>
            <w:tcBorders>
              <w:top w:val="nil"/>
              <w:left w:val="single" w:sz="4" w:space="0" w:color="auto"/>
              <w:bottom w:val="nil"/>
              <w:right w:val="nil"/>
            </w:tcBorders>
            <w:shd w:val="clear" w:color="auto" w:fill="auto"/>
            <w:noWrap/>
            <w:vAlign w:val="center"/>
            <w:hideMark/>
          </w:tcPr>
          <w:p w:rsidR="00322999" w:rsidRPr="00942766" w:rsidRDefault="00322999" w:rsidP="00080173">
            <w:pPr>
              <w:jc w:val="center"/>
              <w:rPr>
                <w:sz w:val="18"/>
                <w:szCs w:val="18"/>
              </w:rPr>
            </w:pPr>
          </w:p>
        </w:tc>
      </w:tr>
      <w:tr w:rsidR="00322999" w:rsidRPr="00942766" w:rsidTr="00080173">
        <w:trPr>
          <w:trHeight w:val="340"/>
        </w:trPr>
        <w:tc>
          <w:tcPr>
            <w:tcW w:w="3059" w:type="dxa"/>
            <w:tcBorders>
              <w:top w:val="nil"/>
              <w:left w:val="single" w:sz="4" w:space="0" w:color="auto"/>
              <w:bottom w:val="nil"/>
              <w:right w:val="single" w:sz="12" w:space="0" w:color="auto"/>
            </w:tcBorders>
            <w:shd w:val="clear" w:color="auto" w:fill="auto"/>
            <w:noWrap/>
            <w:vAlign w:val="center"/>
            <w:hideMark/>
          </w:tcPr>
          <w:p w:rsidR="00322999" w:rsidRPr="00942766" w:rsidRDefault="00322999" w:rsidP="002833D4">
            <w:pPr>
              <w:jc w:val="right"/>
              <w:rPr>
                <w:sz w:val="18"/>
                <w:szCs w:val="18"/>
              </w:rPr>
            </w:pPr>
            <w:r w:rsidRPr="00942766">
              <w:rPr>
                <w:sz w:val="18"/>
                <w:szCs w:val="18"/>
              </w:rPr>
              <w:t>Oral</w:t>
            </w:r>
          </w:p>
        </w:tc>
        <w:tc>
          <w:tcPr>
            <w:tcW w:w="1193" w:type="dxa"/>
            <w:tcBorders>
              <w:top w:val="nil"/>
              <w:left w:val="single" w:sz="12" w:space="0" w:color="auto"/>
              <w:bottom w:val="nil"/>
              <w:right w:val="nil"/>
            </w:tcBorders>
            <w:shd w:val="clear" w:color="auto" w:fill="auto"/>
            <w:noWrap/>
            <w:vAlign w:val="center"/>
            <w:hideMark/>
          </w:tcPr>
          <w:p w:rsidR="00322999" w:rsidRPr="00942766" w:rsidRDefault="00322999" w:rsidP="00E56B26">
            <w:pPr>
              <w:jc w:val="center"/>
              <w:rPr>
                <w:sz w:val="18"/>
                <w:szCs w:val="18"/>
              </w:rPr>
            </w:pPr>
            <w:r w:rsidRPr="00942766">
              <w:rPr>
                <w:sz w:val="18"/>
                <w:szCs w:val="18"/>
              </w:rPr>
              <w:t>22 (6</w:t>
            </w:r>
            <w:r w:rsidR="00E56B26" w:rsidRPr="00942766">
              <w:rPr>
                <w:sz w:val="18"/>
                <w:szCs w:val="18"/>
              </w:rPr>
              <w:t>9</w:t>
            </w:r>
            <w:r w:rsidRPr="00942766">
              <w:rPr>
                <w:sz w:val="18"/>
                <w:szCs w:val="18"/>
              </w:rPr>
              <w:t>)</w:t>
            </w:r>
          </w:p>
        </w:tc>
        <w:tc>
          <w:tcPr>
            <w:tcW w:w="1192" w:type="dxa"/>
            <w:tcBorders>
              <w:top w:val="nil"/>
              <w:left w:val="nil"/>
              <w:bottom w:val="nil"/>
              <w:right w:val="nil"/>
            </w:tcBorders>
            <w:shd w:val="clear" w:color="auto" w:fill="auto"/>
            <w:noWrap/>
            <w:vAlign w:val="center"/>
            <w:hideMark/>
          </w:tcPr>
          <w:p w:rsidR="00322999" w:rsidRPr="00942766" w:rsidRDefault="00322999" w:rsidP="00E56B26">
            <w:pPr>
              <w:jc w:val="center"/>
              <w:rPr>
                <w:sz w:val="18"/>
                <w:szCs w:val="18"/>
              </w:rPr>
            </w:pPr>
            <w:r w:rsidRPr="00942766">
              <w:rPr>
                <w:sz w:val="18"/>
                <w:szCs w:val="18"/>
              </w:rPr>
              <w:t>10 (56)</w:t>
            </w:r>
            <w:r w:rsidRPr="00942766">
              <w:rPr>
                <w:sz w:val="18"/>
                <w:szCs w:val="18"/>
                <w:vertAlign w:val="superscript"/>
              </w:rPr>
              <w:t>1</w:t>
            </w:r>
          </w:p>
        </w:tc>
        <w:tc>
          <w:tcPr>
            <w:tcW w:w="1192" w:type="dxa"/>
            <w:tcBorders>
              <w:top w:val="nil"/>
              <w:left w:val="nil"/>
              <w:bottom w:val="nil"/>
              <w:right w:val="nil"/>
            </w:tcBorders>
            <w:shd w:val="clear" w:color="auto" w:fill="auto"/>
            <w:noWrap/>
            <w:vAlign w:val="center"/>
            <w:hideMark/>
          </w:tcPr>
          <w:p w:rsidR="00322999" w:rsidRPr="00942766" w:rsidRDefault="00322999" w:rsidP="00E56B26">
            <w:pPr>
              <w:jc w:val="center"/>
              <w:rPr>
                <w:sz w:val="18"/>
                <w:szCs w:val="18"/>
              </w:rPr>
            </w:pPr>
            <w:r w:rsidRPr="00942766">
              <w:rPr>
                <w:sz w:val="18"/>
                <w:szCs w:val="18"/>
              </w:rPr>
              <w:t>11 (4</w:t>
            </w:r>
            <w:r w:rsidR="00E56B26" w:rsidRPr="00942766">
              <w:rPr>
                <w:sz w:val="18"/>
                <w:szCs w:val="18"/>
              </w:rPr>
              <w:t>8</w:t>
            </w:r>
            <w:r w:rsidRPr="00942766">
              <w:rPr>
                <w:sz w:val="18"/>
                <w:szCs w:val="18"/>
              </w:rPr>
              <w:t xml:space="preserve">) </w:t>
            </w:r>
            <w:r w:rsidRPr="00942766">
              <w:rPr>
                <w:sz w:val="18"/>
                <w:szCs w:val="18"/>
                <w:vertAlign w:val="superscript"/>
              </w:rPr>
              <w:t>1</w:t>
            </w:r>
          </w:p>
        </w:tc>
        <w:tc>
          <w:tcPr>
            <w:tcW w:w="1192" w:type="dxa"/>
            <w:tcBorders>
              <w:top w:val="nil"/>
              <w:left w:val="nil"/>
              <w:bottom w:val="nil"/>
              <w:right w:val="single" w:sz="4" w:space="0" w:color="auto"/>
            </w:tcBorders>
            <w:shd w:val="clear" w:color="auto" w:fill="auto"/>
            <w:noWrap/>
            <w:vAlign w:val="center"/>
            <w:hideMark/>
          </w:tcPr>
          <w:p w:rsidR="00322999" w:rsidRPr="00942766" w:rsidRDefault="00322999" w:rsidP="00E56B26">
            <w:pPr>
              <w:jc w:val="center"/>
              <w:rPr>
                <w:sz w:val="18"/>
                <w:szCs w:val="18"/>
              </w:rPr>
            </w:pPr>
            <w:r w:rsidRPr="00942766">
              <w:rPr>
                <w:sz w:val="18"/>
                <w:szCs w:val="18"/>
              </w:rPr>
              <w:t>43 (59)</w:t>
            </w:r>
          </w:p>
        </w:tc>
        <w:tc>
          <w:tcPr>
            <w:tcW w:w="1192" w:type="dxa"/>
            <w:tcBorders>
              <w:top w:val="nil"/>
              <w:left w:val="single" w:sz="4" w:space="0" w:color="auto"/>
              <w:bottom w:val="nil"/>
              <w:right w:val="nil"/>
            </w:tcBorders>
            <w:shd w:val="clear" w:color="auto" w:fill="auto"/>
            <w:noWrap/>
            <w:vAlign w:val="center"/>
            <w:hideMark/>
          </w:tcPr>
          <w:p w:rsidR="00322999" w:rsidRPr="00942766" w:rsidRDefault="00322999" w:rsidP="00080173">
            <w:pPr>
              <w:jc w:val="center"/>
              <w:rPr>
                <w:sz w:val="18"/>
                <w:szCs w:val="18"/>
              </w:rPr>
            </w:pPr>
            <w:r w:rsidRPr="00942766">
              <w:rPr>
                <w:sz w:val="18"/>
                <w:szCs w:val="18"/>
              </w:rPr>
              <w:t>-</w:t>
            </w:r>
          </w:p>
        </w:tc>
      </w:tr>
      <w:tr w:rsidR="00322999" w:rsidRPr="00942766" w:rsidTr="00080173">
        <w:trPr>
          <w:trHeight w:val="300"/>
        </w:trPr>
        <w:tc>
          <w:tcPr>
            <w:tcW w:w="3059" w:type="dxa"/>
            <w:tcBorders>
              <w:top w:val="nil"/>
              <w:left w:val="single" w:sz="4" w:space="0" w:color="auto"/>
              <w:bottom w:val="nil"/>
              <w:right w:val="single" w:sz="12" w:space="0" w:color="auto"/>
            </w:tcBorders>
            <w:shd w:val="clear" w:color="auto" w:fill="auto"/>
            <w:noWrap/>
            <w:vAlign w:val="center"/>
            <w:hideMark/>
          </w:tcPr>
          <w:p w:rsidR="00322999" w:rsidRPr="00942766" w:rsidRDefault="00322999" w:rsidP="002833D4">
            <w:pPr>
              <w:jc w:val="right"/>
              <w:rPr>
                <w:sz w:val="18"/>
                <w:szCs w:val="18"/>
              </w:rPr>
            </w:pPr>
            <w:r w:rsidRPr="00942766">
              <w:rPr>
                <w:sz w:val="18"/>
                <w:szCs w:val="18"/>
              </w:rPr>
              <w:t>Sign</w:t>
            </w:r>
          </w:p>
        </w:tc>
        <w:tc>
          <w:tcPr>
            <w:tcW w:w="1193" w:type="dxa"/>
            <w:tcBorders>
              <w:top w:val="nil"/>
              <w:left w:val="single" w:sz="12" w:space="0" w:color="auto"/>
              <w:bottom w:val="nil"/>
              <w:right w:val="nil"/>
            </w:tcBorders>
            <w:shd w:val="clear" w:color="auto" w:fill="auto"/>
            <w:noWrap/>
            <w:vAlign w:val="center"/>
            <w:hideMark/>
          </w:tcPr>
          <w:p w:rsidR="00322999" w:rsidRPr="00942766" w:rsidRDefault="00322999" w:rsidP="00080173">
            <w:pPr>
              <w:jc w:val="center"/>
              <w:rPr>
                <w:sz w:val="18"/>
                <w:szCs w:val="18"/>
              </w:rPr>
            </w:pPr>
            <w:r w:rsidRPr="00942766">
              <w:rPr>
                <w:sz w:val="18"/>
                <w:szCs w:val="18"/>
              </w:rPr>
              <w:t>0</w:t>
            </w:r>
          </w:p>
        </w:tc>
        <w:tc>
          <w:tcPr>
            <w:tcW w:w="1192" w:type="dxa"/>
            <w:tcBorders>
              <w:top w:val="nil"/>
              <w:left w:val="nil"/>
              <w:bottom w:val="nil"/>
              <w:right w:val="nil"/>
            </w:tcBorders>
            <w:shd w:val="clear" w:color="auto" w:fill="auto"/>
            <w:noWrap/>
            <w:vAlign w:val="center"/>
            <w:hideMark/>
          </w:tcPr>
          <w:p w:rsidR="00322999" w:rsidRPr="00942766" w:rsidRDefault="00322999" w:rsidP="00080173">
            <w:pPr>
              <w:jc w:val="center"/>
              <w:rPr>
                <w:sz w:val="18"/>
                <w:szCs w:val="18"/>
              </w:rPr>
            </w:pPr>
            <w:r w:rsidRPr="00942766">
              <w:rPr>
                <w:sz w:val="18"/>
                <w:szCs w:val="18"/>
              </w:rPr>
              <w:t>0</w:t>
            </w:r>
          </w:p>
        </w:tc>
        <w:tc>
          <w:tcPr>
            <w:tcW w:w="1192" w:type="dxa"/>
            <w:tcBorders>
              <w:top w:val="nil"/>
              <w:left w:val="nil"/>
              <w:bottom w:val="nil"/>
              <w:right w:val="nil"/>
            </w:tcBorders>
            <w:shd w:val="clear" w:color="auto" w:fill="auto"/>
            <w:noWrap/>
            <w:vAlign w:val="center"/>
            <w:hideMark/>
          </w:tcPr>
          <w:p w:rsidR="00322999" w:rsidRPr="00942766" w:rsidRDefault="00322999" w:rsidP="00E56B26">
            <w:pPr>
              <w:jc w:val="center"/>
              <w:rPr>
                <w:sz w:val="18"/>
                <w:szCs w:val="18"/>
              </w:rPr>
            </w:pPr>
            <w:r w:rsidRPr="00942766">
              <w:rPr>
                <w:sz w:val="18"/>
                <w:szCs w:val="18"/>
              </w:rPr>
              <w:t>1 (4)</w:t>
            </w:r>
          </w:p>
        </w:tc>
        <w:tc>
          <w:tcPr>
            <w:tcW w:w="1192" w:type="dxa"/>
            <w:tcBorders>
              <w:top w:val="nil"/>
              <w:left w:val="nil"/>
              <w:bottom w:val="nil"/>
              <w:right w:val="single" w:sz="4" w:space="0" w:color="auto"/>
            </w:tcBorders>
            <w:shd w:val="clear" w:color="auto" w:fill="auto"/>
            <w:noWrap/>
            <w:vAlign w:val="center"/>
            <w:hideMark/>
          </w:tcPr>
          <w:p w:rsidR="00322999" w:rsidRPr="00942766" w:rsidRDefault="00322999" w:rsidP="00E56B26">
            <w:pPr>
              <w:jc w:val="center"/>
              <w:rPr>
                <w:sz w:val="18"/>
                <w:szCs w:val="18"/>
              </w:rPr>
            </w:pPr>
            <w:r w:rsidRPr="00942766">
              <w:rPr>
                <w:sz w:val="18"/>
                <w:szCs w:val="18"/>
              </w:rPr>
              <w:t>1 (1)</w:t>
            </w:r>
          </w:p>
        </w:tc>
        <w:tc>
          <w:tcPr>
            <w:tcW w:w="1192" w:type="dxa"/>
            <w:tcBorders>
              <w:top w:val="nil"/>
              <w:left w:val="single" w:sz="4" w:space="0" w:color="auto"/>
              <w:bottom w:val="nil"/>
              <w:right w:val="nil"/>
            </w:tcBorders>
            <w:shd w:val="clear" w:color="auto" w:fill="auto"/>
            <w:noWrap/>
            <w:vAlign w:val="center"/>
            <w:hideMark/>
          </w:tcPr>
          <w:p w:rsidR="00322999" w:rsidRPr="00942766" w:rsidRDefault="00322999" w:rsidP="00080173">
            <w:pPr>
              <w:jc w:val="center"/>
              <w:rPr>
                <w:sz w:val="18"/>
                <w:szCs w:val="18"/>
              </w:rPr>
            </w:pPr>
            <w:r w:rsidRPr="00942766">
              <w:rPr>
                <w:sz w:val="18"/>
                <w:szCs w:val="18"/>
              </w:rPr>
              <w:t>-</w:t>
            </w:r>
          </w:p>
        </w:tc>
      </w:tr>
      <w:tr w:rsidR="00322999" w:rsidRPr="00942766" w:rsidTr="00080173">
        <w:trPr>
          <w:trHeight w:val="300"/>
        </w:trPr>
        <w:tc>
          <w:tcPr>
            <w:tcW w:w="3059" w:type="dxa"/>
            <w:tcBorders>
              <w:top w:val="nil"/>
              <w:left w:val="single" w:sz="4" w:space="0" w:color="auto"/>
              <w:bottom w:val="nil"/>
              <w:right w:val="single" w:sz="12" w:space="0" w:color="auto"/>
            </w:tcBorders>
            <w:shd w:val="clear" w:color="auto" w:fill="auto"/>
            <w:noWrap/>
            <w:vAlign w:val="center"/>
            <w:hideMark/>
          </w:tcPr>
          <w:p w:rsidR="00322999" w:rsidRPr="00942766" w:rsidRDefault="00322999" w:rsidP="002833D4">
            <w:pPr>
              <w:jc w:val="right"/>
              <w:rPr>
                <w:sz w:val="18"/>
                <w:szCs w:val="18"/>
              </w:rPr>
            </w:pPr>
            <w:r w:rsidRPr="00942766">
              <w:rPr>
                <w:sz w:val="18"/>
                <w:szCs w:val="18"/>
              </w:rPr>
              <w:t>More than one mode</w:t>
            </w:r>
          </w:p>
        </w:tc>
        <w:tc>
          <w:tcPr>
            <w:tcW w:w="1193" w:type="dxa"/>
            <w:tcBorders>
              <w:top w:val="nil"/>
              <w:left w:val="single" w:sz="12" w:space="0" w:color="auto"/>
              <w:bottom w:val="nil"/>
              <w:right w:val="nil"/>
            </w:tcBorders>
            <w:shd w:val="clear" w:color="auto" w:fill="auto"/>
            <w:noWrap/>
            <w:vAlign w:val="center"/>
            <w:hideMark/>
          </w:tcPr>
          <w:p w:rsidR="00322999" w:rsidRPr="00942766" w:rsidRDefault="00322999" w:rsidP="00E56B26">
            <w:pPr>
              <w:jc w:val="center"/>
              <w:rPr>
                <w:sz w:val="18"/>
                <w:szCs w:val="18"/>
              </w:rPr>
            </w:pPr>
            <w:r w:rsidRPr="00942766">
              <w:rPr>
                <w:sz w:val="18"/>
                <w:szCs w:val="18"/>
              </w:rPr>
              <w:t>10 (31)</w:t>
            </w:r>
          </w:p>
        </w:tc>
        <w:tc>
          <w:tcPr>
            <w:tcW w:w="1192" w:type="dxa"/>
            <w:tcBorders>
              <w:top w:val="nil"/>
              <w:left w:val="nil"/>
              <w:bottom w:val="nil"/>
              <w:right w:val="nil"/>
            </w:tcBorders>
            <w:shd w:val="clear" w:color="auto" w:fill="auto"/>
            <w:noWrap/>
            <w:vAlign w:val="center"/>
            <w:hideMark/>
          </w:tcPr>
          <w:p w:rsidR="00322999" w:rsidRPr="00942766" w:rsidRDefault="00322999" w:rsidP="00E56B26">
            <w:pPr>
              <w:jc w:val="center"/>
              <w:rPr>
                <w:sz w:val="18"/>
                <w:szCs w:val="18"/>
              </w:rPr>
            </w:pPr>
            <w:r w:rsidRPr="00942766">
              <w:rPr>
                <w:sz w:val="18"/>
                <w:szCs w:val="18"/>
              </w:rPr>
              <w:t>8 (44)</w:t>
            </w:r>
          </w:p>
        </w:tc>
        <w:tc>
          <w:tcPr>
            <w:tcW w:w="1192" w:type="dxa"/>
            <w:tcBorders>
              <w:top w:val="nil"/>
              <w:left w:val="nil"/>
              <w:bottom w:val="nil"/>
              <w:right w:val="nil"/>
            </w:tcBorders>
            <w:shd w:val="clear" w:color="auto" w:fill="auto"/>
            <w:noWrap/>
            <w:vAlign w:val="center"/>
            <w:hideMark/>
          </w:tcPr>
          <w:p w:rsidR="00322999" w:rsidRPr="00942766" w:rsidRDefault="00322999" w:rsidP="00E56B26">
            <w:pPr>
              <w:jc w:val="center"/>
              <w:rPr>
                <w:sz w:val="18"/>
                <w:szCs w:val="18"/>
              </w:rPr>
            </w:pPr>
            <w:r w:rsidRPr="00942766">
              <w:rPr>
                <w:sz w:val="18"/>
                <w:szCs w:val="18"/>
              </w:rPr>
              <w:t>11 (48)</w:t>
            </w:r>
          </w:p>
        </w:tc>
        <w:tc>
          <w:tcPr>
            <w:tcW w:w="1192" w:type="dxa"/>
            <w:tcBorders>
              <w:top w:val="nil"/>
              <w:left w:val="nil"/>
              <w:bottom w:val="nil"/>
              <w:right w:val="single" w:sz="4" w:space="0" w:color="auto"/>
            </w:tcBorders>
            <w:shd w:val="clear" w:color="auto" w:fill="auto"/>
            <w:noWrap/>
            <w:vAlign w:val="center"/>
            <w:hideMark/>
          </w:tcPr>
          <w:p w:rsidR="00322999" w:rsidRPr="00942766" w:rsidRDefault="00322999" w:rsidP="00E56B26">
            <w:pPr>
              <w:jc w:val="center"/>
              <w:rPr>
                <w:sz w:val="18"/>
                <w:szCs w:val="18"/>
              </w:rPr>
            </w:pPr>
            <w:r w:rsidRPr="00942766">
              <w:rPr>
                <w:sz w:val="18"/>
                <w:szCs w:val="18"/>
              </w:rPr>
              <w:t>29 (40)</w:t>
            </w:r>
          </w:p>
        </w:tc>
        <w:tc>
          <w:tcPr>
            <w:tcW w:w="1192" w:type="dxa"/>
            <w:tcBorders>
              <w:top w:val="nil"/>
              <w:left w:val="single" w:sz="4" w:space="0" w:color="auto"/>
              <w:bottom w:val="nil"/>
              <w:right w:val="nil"/>
            </w:tcBorders>
            <w:shd w:val="clear" w:color="auto" w:fill="auto"/>
            <w:noWrap/>
            <w:vAlign w:val="center"/>
            <w:hideMark/>
          </w:tcPr>
          <w:p w:rsidR="00322999" w:rsidRPr="00942766" w:rsidRDefault="00322999" w:rsidP="00080173">
            <w:pPr>
              <w:jc w:val="center"/>
              <w:rPr>
                <w:sz w:val="18"/>
                <w:szCs w:val="18"/>
              </w:rPr>
            </w:pPr>
            <w:r w:rsidRPr="00942766">
              <w:rPr>
                <w:sz w:val="18"/>
                <w:szCs w:val="18"/>
              </w:rPr>
              <w:t>-</w:t>
            </w:r>
          </w:p>
        </w:tc>
      </w:tr>
      <w:tr w:rsidR="00322999" w:rsidRPr="00942766" w:rsidTr="00080173">
        <w:trPr>
          <w:trHeight w:val="340"/>
        </w:trPr>
        <w:tc>
          <w:tcPr>
            <w:tcW w:w="3059" w:type="dxa"/>
            <w:tcBorders>
              <w:top w:val="nil"/>
              <w:left w:val="single" w:sz="4" w:space="0" w:color="auto"/>
              <w:bottom w:val="nil"/>
              <w:right w:val="single" w:sz="12" w:space="0" w:color="auto"/>
            </w:tcBorders>
            <w:shd w:val="clear" w:color="auto" w:fill="auto"/>
            <w:noWrap/>
            <w:hideMark/>
          </w:tcPr>
          <w:p w:rsidR="00322999" w:rsidRPr="00942766" w:rsidRDefault="00322999" w:rsidP="00322999">
            <w:pPr>
              <w:rPr>
                <w:b/>
                <w:bCs/>
                <w:sz w:val="18"/>
                <w:szCs w:val="18"/>
              </w:rPr>
            </w:pPr>
            <w:r w:rsidRPr="00942766">
              <w:rPr>
                <w:b/>
                <w:bCs/>
                <w:sz w:val="18"/>
                <w:szCs w:val="18"/>
              </w:rPr>
              <w:t xml:space="preserve">UNHS status </w:t>
            </w:r>
          </w:p>
        </w:tc>
        <w:tc>
          <w:tcPr>
            <w:tcW w:w="1193" w:type="dxa"/>
            <w:tcBorders>
              <w:top w:val="nil"/>
              <w:left w:val="single" w:sz="12" w:space="0" w:color="auto"/>
              <w:bottom w:val="nil"/>
              <w:right w:val="nil"/>
            </w:tcBorders>
            <w:shd w:val="clear" w:color="auto" w:fill="auto"/>
            <w:noWrap/>
            <w:vAlign w:val="center"/>
            <w:hideMark/>
          </w:tcPr>
          <w:p w:rsidR="00322999" w:rsidRPr="00942766" w:rsidRDefault="00322999" w:rsidP="00080173">
            <w:pPr>
              <w:jc w:val="center"/>
              <w:rPr>
                <w:b/>
                <w:bCs/>
                <w:sz w:val="18"/>
                <w:szCs w:val="18"/>
              </w:rPr>
            </w:pPr>
          </w:p>
        </w:tc>
        <w:tc>
          <w:tcPr>
            <w:tcW w:w="1192" w:type="dxa"/>
            <w:tcBorders>
              <w:top w:val="nil"/>
              <w:left w:val="nil"/>
              <w:bottom w:val="nil"/>
              <w:right w:val="nil"/>
            </w:tcBorders>
            <w:shd w:val="clear" w:color="auto" w:fill="auto"/>
            <w:noWrap/>
            <w:vAlign w:val="center"/>
            <w:hideMark/>
          </w:tcPr>
          <w:p w:rsidR="00322999" w:rsidRPr="00942766" w:rsidRDefault="00322999" w:rsidP="00080173">
            <w:pPr>
              <w:jc w:val="center"/>
              <w:rPr>
                <w:sz w:val="18"/>
                <w:szCs w:val="18"/>
              </w:rPr>
            </w:pPr>
          </w:p>
        </w:tc>
        <w:tc>
          <w:tcPr>
            <w:tcW w:w="1192" w:type="dxa"/>
            <w:tcBorders>
              <w:top w:val="nil"/>
              <w:left w:val="nil"/>
              <w:bottom w:val="nil"/>
              <w:right w:val="nil"/>
            </w:tcBorders>
            <w:shd w:val="clear" w:color="auto" w:fill="auto"/>
            <w:noWrap/>
            <w:vAlign w:val="center"/>
            <w:hideMark/>
          </w:tcPr>
          <w:p w:rsidR="00322999" w:rsidRPr="00942766" w:rsidRDefault="00322999" w:rsidP="00080173">
            <w:pPr>
              <w:jc w:val="center"/>
              <w:rPr>
                <w:sz w:val="18"/>
                <w:szCs w:val="18"/>
              </w:rPr>
            </w:pPr>
          </w:p>
        </w:tc>
        <w:tc>
          <w:tcPr>
            <w:tcW w:w="1192" w:type="dxa"/>
            <w:tcBorders>
              <w:top w:val="nil"/>
              <w:left w:val="nil"/>
              <w:bottom w:val="nil"/>
              <w:right w:val="single" w:sz="4" w:space="0" w:color="auto"/>
            </w:tcBorders>
            <w:shd w:val="clear" w:color="auto" w:fill="auto"/>
            <w:noWrap/>
            <w:vAlign w:val="center"/>
            <w:hideMark/>
          </w:tcPr>
          <w:p w:rsidR="00322999" w:rsidRPr="00942766" w:rsidRDefault="00322999" w:rsidP="00080173">
            <w:pPr>
              <w:jc w:val="center"/>
              <w:rPr>
                <w:sz w:val="18"/>
                <w:szCs w:val="18"/>
              </w:rPr>
            </w:pPr>
          </w:p>
        </w:tc>
        <w:tc>
          <w:tcPr>
            <w:tcW w:w="1192" w:type="dxa"/>
            <w:tcBorders>
              <w:top w:val="nil"/>
              <w:left w:val="single" w:sz="4" w:space="0" w:color="auto"/>
              <w:bottom w:val="nil"/>
              <w:right w:val="nil"/>
            </w:tcBorders>
            <w:shd w:val="clear" w:color="auto" w:fill="auto"/>
            <w:noWrap/>
            <w:vAlign w:val="center"/>
            <w:hideMark/>
          </w:tcPr>
          <w:p w:rsidR="00322999" w:rsidRPr="00942766" w:rsidRDefault="00322999" w:rsidP="00080173">
            <w:pPr>
              <w:jc w:val="center"/>
              <w:rPr>
                <w:sz w:val="18"/>
                <w:szCs w:val="18"/>
              </w:rPr>
            </w:pPr>
          </w:p>
        </w:tc>
      </w:tr>
      <w:tr w:rsidR="00322999" w:rsidRPr="00942766" w:rsidTr="00080173">
        <w:trPr>
          <w:trHeight w:val="300"/>
        </w:trPr>
        <w:tc>
          <w:tcPr>
            <w:tcW w:w="3059" w:type="dxa"/>
            <w:tcBorders>
              <w:top w:val="nil"/>
              <w:left w:val="single" w:sz="4" w:space="0" w:color="auto"/>
              <w:bottom w:val="nil"/>
              <w:right w:val="single" w:sz="12" w:space="0" w:color="auto"/>
            </w:tcBorders>
            <w:shd w:val="clear" w:color="auto" w:fill="auto"/>
            <w:noWrap/>
            <w:hideMark/>
          </w:tcPr>
          <w:p w:rsidR="00322999" w:rsidRPr="00942766" w:rsidRDefault="00322999" w:rsidP="00322999">
            <w:pPr>
              <w:jc w:val="right"/>
              <w:rPr>
                <w:sz w:val="18"/>
                <w:szCs w:val="18"/>
              </w:rPr>
            </w:pPr>
            <w:r w:rsidRPr="00942766">
              <w:rPr>
                <w:sz w:val="18"/>
                <w:szCs w:val="18"/>
              </w:rPr>
              <w:t>Born in periods without UNHS</w:t>
            </w:r>
          </w:p>
        </w:tc>
        <w:tc>
          <w:tcPr>
            <w:tcW w:w="1193" w:type="dxa"/>
            <w:tcBorders>
              <w:top w:val="nil"/>
              <w:left w:val="single" w:sz="12" w:space="0" w:color="auto"/>
              <w:bottom w:val="nil"/>
              <w:right w:val="nil"/>
            </w:tcBorders>
            <w:shd w:val="clear" w:color="auto" w:fill="auto"/>
            <w:noWrap/>
            <w:vAlign w:val="center"/>
            <w:hideMark/>
          </w:tcPr>
          <w:p w:rsidR="00322999" w:rsidRPr="00942766" w:rsidRDefault="00322999" w:rsidP="00E56B26">
            <w:pPr>
              <w:jc w:val="center"/>
              <w:rPr>
                <w:sz w:val="18"/>
                <w:szCs w:val="18"/>
              </w:rPr>
            </w:pPr>
            <w:r w:rsidRPr="00942766">
              <w:rPr>
                <w:sz w:val="18"/>
                <w:szCs w:val="18"/>
              </w:rPr>
              <w:t>14 (4</w:t>
            </w:r>
            <w:r w:rsidR="00E56B26" w:rsidRPr="00942766">
              <w:rPr>
                <w:sz w:val="18"/>
                <w:szCs w:val="18"/>
              </w:rPr>
              <w:t>4</w:t>
            </w:r>
            <w:r w:rsidRPr="00942766">
              <w:rPr>
                <w:sz w:val="18"/>
                <w:szCs w:val="18"/>
              </w:rPr>
              <w:t>)</w:t>
            </w:r>
          </w:p>
        </w:tc>
        <w:tc>
          <w:tcPr>
            <w:tcW w:w="1192" w:type="dxa"/>
            <w:tcBorders>
              <w:top w:val="nil"/>
              <w:left w:val="nil"/>
              <w:bottom w:val="nil"/>
              <w:right w:val="nil"/>
            </w:tcBorders>
            <w:shd w:val="clear" w:color="auto" w:fill="auto"/>
            <w:noWrap/>
            <w:vAlign w:val="center"/>
            <w:hideMark/>
          </w:tcPr>
          <w:p w:rsidR="00322999" w:rsidRPr="00942766" w:rsidRDefault="00322999" w:rsidP="00E56B26">
            <w:pPr>
              <w:jc w:val="center"/>
              <w:rPr>
                <w:sz w:val="18"/>
                <w:szCs w:val="18"/>
              </w:rPr>
            </w:pPr>
            <w:r w:rsidRPr="00942766">
              <w:rPr>
                <w:sz w:val="18"/>
                <w:szCs w:val="18"/>
              </w:rPr>
              <w:t>10 (56)</w:t>
            </w:r>
          </w:p>
        </w:tc>
        <w:tc>
          <w:tcPr>
            <w:tcW w:w="1192" w:type="dxa"/>
            <w:tcBorders>
              <w:top w:val="nil"/>
              <w:left w:val="nil"/>
              <w:bottom w:val="nil"/>
              <w:right w:val="nil"/>
            </w:tcBorders>
            <w:shd w:val="clear" w:color="auto" w:fill="auto"/>
            <w:noWrap/>
            <w:vAlign w:val="center"/>
            <w:hideMark/>
          </w:tcPr>
          <w:p w:rsidR="00322999" w:rsidRPr="00942766" w:rsidRDefault="00322999" w:rsidP="00E56B26">
            <w:pPr>
              <w:jc w:val="center"/>
              <w:rPr>
                <w:sz w:val="18"/>
                <w:szCs w:val="18"/>
              </w:rPr>
            </w:pPr>
            <w:r w:rsidRPr="00942766">
              <w:rPr>
                <w:sz w:val="18"/>
                <w:szCs w:val="18"/>
              </w:rPr>
              <w:t>14 (6</w:t>
            </w:r>
            <w:r w:rsidR="00E56B26" w:rsidRPr="00942766">
              <w:rPr>
                <w:sz w:val="18"/>
                <w:szCs w:val="18"/>
              </w:rPr>
              <w:t>1</w:t>
            </w:r>
            <w:r w:rsidRPr="00942766">
              <w:rPr>
                <w:sz w:val="18"/>
                <w:szCs w:val="18"/>
              </w:rPr>
              <w:t>)</w:t>
            </w:r>
          </w:p>
        </w:tc>
        <w:tc>
          <w:tcPr>
            <w:tcW w:w="1192" w:type="dxa"/>
            <w:tcBorders>
              <w:top w:val="nil"/>
              <w:left w:val="nil"/>
              <w:bottom w:val="nil"/>
              <w:right w:val="single" w:sz="4" w:space="0" w:color="auto"/>
            </w:tcBorders>
            <w:shd w:val="clear" w:color="auto" w:fill="auto"/>
            <w:noWrap/>
            <w:vAlign w:val="center"/>
            <w:hideMark/>
          </w:tcPr>
          <w:p w:rsidR="00322999" w:rsidRPr="00942766" w:rsidRDefault="00322999" w:rsidP="00E56B26">
            <w:pPr>
              <w:jc w:val="center"/>
              <w:rPr>
                <w:sz w:val="18"/>
                <w:szCs w:val="18"/>
              </w:rPr>
            </w:pPr>
            <w:r w:rsidRPr="00942766">
              <w:rPr>
                <w:sz w:val="18"/>
                <w:szCs w:val="18"/>
              </w:rPr>
              <w:t>38 (52)</w:t>
            </w:r>
          </w:p>
        </w:tc>
        <w:tc>
          <w:tcPr>
            <w:tcW w:w="1192" w:type="dxa"/>
            <w:tcBorders>
              <w:top w:val="nil"/>
              <w:left w:val="single" w:sz="4" w:space="0" w:color="auto"/>
              <w:bottom w:val="nil"/>
              <w:right w:val="nil"/>
            </w:tcBorders>
            <w:shd w:val="clear" w:color="auto" w:fill="auto"/>
            <w:noWrap/>
            <w:vAlign w:val="center"/>
            <w:hideMark/>
          </w:tcPr>
          <w:p w:rsidR="00322999" w:rsidRPr="00942766" w:rsidRDefault="00322999" w:rsidP="00080173">
            <w:pPr>
              <w:jc w:val="center"/>
              <w:rPr>
                <w:sz w:val="18"/>
                <w:szCs w:val="18"/>
              </w:rPr>
            </w:pPr>
            <w:r w:rsidRPr="00942766">
              <w:rPr>
                <w:sz w:val="18"/>
                <w:szCs w:val="18"/>
              </w:rPr>
              <w:t>-</w:t>
            </w:r>
          </w:p>
        </w:tc>
      </w:tr>
      <w:tr w:rsidR="00322999" w:rsidRPr="00942766" w:rsidTr="00080173">
        <w:trPr>
          <w:trHeight w:val="300"/>
        </w:trPr>
        <w:tc>
          <w:tcPr>
            <w:tcW w:w="3059" w:type="dxa"/>
            <w:tcBorders>
              <w:top w:val="nil"/>
              <w:left w:val="single" w:sz="4" w:space="0" w:color="auto"/>
              <w:bottom w:val="nil"/>
              <w:right w:val="single" w:sz="12" w:space="0" w:color="auto"/>
            </w:tcBorders>
            <w:shd w:val="clear" w:color="auto" w:fill="auto"/>
            <w:hideMark/>
          </w:tcPr>
          <w:p w:rsidR="00322999" w:rsidRPr="00942766" w:rsidRDefault="00322999" w:rsidP="00322999">
            <w:pPr>
              <w:rPr>
                <w:b/>
                <w:bCs/>
                <w:sz w:val="18"/>
                <w:szCs w:val="18"/>
              </w:rPr>
            </w:pPr>
            <w:r w:rsidRPr="00942766">
              <w:rPr>
                <w:b/>
                <w:bCs/>
                <w:sz w:val="18"/>
                <w:szCs w:val="18"/>
              </w:rPr>
              <w:t>Age PCHL confirmed</w:t>
            </w:r>
          </w:p>
        </w:tc>
        <w:tc>
          <w:tcPr>
            <w:tcW w:w="1193" w:type="dxa"/>
            <w:tcBorders>
              <w:top w:val="nil"/>
              <w:left w:val="single" w:sz="12" w:space="0" w:color="auto"/>
              <w:bottom w:val="nil"/>
              <w:right w:val="nil"/>
            </w:tcBorders>
            <w:shd w:val="clear" w:color="auto" w:fill="auto"/>
            <w:noWrap/>
            <w:vAlign w:val="center"/>
            <w:hideMark/>
          </w:tcPr>
          <w:p w:rsidR="00322999" w:rsidRPr="00942766" w:rsidRDefault="00322999" w:rsidP="00080173">
            <w:pPr>
              <w:jc w:val="center"/>
              <w:rPr>
                <w:b/>
                <w:bCs/>
                <w:sz w:val="18"/>
                <w:szCs w:val="18"/>
              </w:rPr>
            </w:pPr>
          </w:p>
        </w:tc>
        <w:tc>
          <w:tcPr>
            <w:tcW w:w="1192" w:type="dxa"/>
            <w:tcBorders>
              <w:top w:val="nil"/>
              <w:left w:val="nil"/>
              <w:bottom w:val="nil"/>
              <w:right w:val="nil"/>
            </w:tcBorders>
            <w:shd w:val="clear" w:color="auto" w:fill="auto"/>
            <w:noWrap/>
            <w:vAlign w:val="center"/>
            <w:hideMark/>
          </w:tcPr>
          <w:p w:rsidR="00322999" w:rsidRPr="00942766" w:rsidRDefault="00322999" w:rsidP="00080173">
            <w:pPr>
              <w:jc w:val="center"/>
              <w:rPr>
                <w:sz w:val="18"/>
                <w:szCs w:val="18"/>
              </w:rPr>
            </w:pPr>
          </w:p>
        </w:tc>
        <w:tc>
          <w:tcPr>
            <w:tcW w:w="1192" w:type="dxa"/>
            <w:tcBorders>
              <w:top w:val="nil"/>
              <w:left w:val="nil"/>
              <w:bottom w:val="nil"/>
              <w:right w:val="nil"/>
            </w:tcBorders>
            <w:shd w:val="clear" w:color="auto" w:fill="auto"/>
            <w:noWrap/>
            <w:vAlign w:val="center"/>
            <w:hideMark/>
          </w:tcPr>
          <w:p w:rsidR="00322999" w:rsidRPr="00942766" w:rsidRDefault="00322999" w:rsidP="00080173">
            <w:pPr>
              <w:jc w:val="center"/>
              <w:rPr>
                <w:sz w:val="18"/>
                <w:szCs w:val="18"/>
              </w:rPr>
            </w:pPr>
          </w:p>
        </w:tc>
        <w:tc>
          <w:tcPr>
            <w:tcW w:w="1192" w:type="dxa"/>
            <w:tcBorders>
              <w:top w:val="nil"/>
              <w:left w:val="nil"/>
              <w:bottom w:val="nil"/>
              <w:right w:val="single" w:sz="4" w:space="0" w:color="auto"/>
            </w:tcBorders>
            <w:shd w:val="clear" w:color="auto" w:fill="auto"/>
            <w:noWrap/>
            <w:vAlign w:val="center"/>
            <w:hideMark/>
          </w:tcPr>
          <w:p w:rsidR="00322999" w:rsidRPr="00942766" w:rsidRDefault="00322999" w:rsidP="00080173">
            <w:pPr>
              <w:jc w:val="center"/>
              <w:rPr>
                <w:sz w:val="18"/>
                <w:szCs w:val="18"/>
              </w:rPr>
            </w:pPr>
          </w:p>
        </w:tc>
        <w:tc>
          <w:tcPr>
            <w:tcW w:w="1192" w:type="dxa"/>
            <w:tcBorders>
              <w:top w:val="nil"/>
              <w:left w:val="single" w:sz="4" w:space="0" w:color="auto"/>
              <w:bottom w:val="nil"/>
              <w:right w:val="nil"/>
            </w:tcBorders>
            <w:shd w:val="clear" w:color="auto" w:fill="auto"/>
            <w:noWrap/>
            <w:vAlign w:val="center"/>
            <w:hideMark/>
          </w:tcPr>
          <w:p w:rsidR="00322999" w:rsidRPr="00942766" w:rsidRDefault="00322999" w:rsidP="00080173">
            <w:pPr>
              <w:jc w:val="center"/>
              <w:rPr>
                <w:sz w:val="18"/>
                <w:szCs w:val="18"/>
              </w:rPr>
            </w:pPr>
          </w:p>
        </w:tc>
      </w:tr>
      <w:tr w:rsidR="00322999" w:rsidRPr="00942766" w:rsidTr="00080173">
        <w:trPr>
          <w:trHeight w:val="300"/>
        </w:trPr>
        <w:tc>
          <w:tcPr>
            <w:tcW w:w="3059" w:type="dxa"/>
            <w:tcBorders>
              <w:top w:val="nil"/>
              <w:left w:val="single" w:sz="4" w:space="0" w:color="auto"/>
              <w:bottom w:val="nil"/>
              <w:right w:val="single" w:sz="12" w:space="0" w:color="auto"/>
            </w:tcBorders>
            <w:shd w:val="clear" w:color="auto" w:fill="auto"/>
            <w:noWrap/>
            <w:vAlign w:val="center"/>
            <w:hideMark/>
          </w:tcPr>
          <w:p w:rsidR="00322999" w:rsidRPr="00942766" w:rsidRDefault="00322999" w:rsidP="002833D4">
            <w:pPr>
              <w:jc w:val="right"/>
              <w:rPr>
                <w:sz w:val="18"/>
                <w:szCs w:val="18"/>
              </w:rPr>
            </w:pPr>
            <w:r w:rsidRPr="00942766">
              <w:rPr>
                <w:sz w:val="18"/>
                <w:szCs w:val="18"/>
              </w:rPr>
              <w:t>&gt; 9 completed months</w:t>
            </w:r>
          </w:p>
        </w:tc>
        <w:tc>
          <w:tcPr>
            <w:tcW w:w="1193" w:type="dxa"/>
            <w:tcBorders>
              <w:top w:val="nil"/>
              <w:left w:val="single" w:sz="12" w:space="0" w:color="auto"/>
              <w:bottom w:val="nil"/>
              <w:right w:val="nil"/>
            </w:tcBorders>
            <w:shd w:val="clear" w:color="auto" w:fill="auto"/>
            <w:noWrap/>
            <w:vAlign w:val="center"/>
            <w:hideMark/>
          </w:tcPr>
          <w:p w:rsidR="00322999" w:rsidRPr="00942766" w:rsidRDefault="00322999" w:rsidP="00E56B26">
            <w:pPr>
              <w:jc w:val="center"/>
              <w:rPr>
                <w:sz w:val="18"/>
                <w:szCs w:val="18"/>
              </w:rPr>
            </w:pPr>
            <w:r w:rsidRPr="00942766">
              <w:rPr>
                <w:sz w:val="18"/>
                <w:szCs w:val="18"/>
              </w:rPr>
              <w:t>16 (50)</w:t>
            </w:r>
          </w:p>
        </w:tc>
        <w:tc>
          <w:tcPr>
            <w:tcW w:w="1192" w:type="dxa"/>
            <w:tcBorders>
              <w:top w:val="nil"/>
              <w:left w:val="nil"/>
              <w:bottom w:val="nil"/>
              <w:right w:val="nil"/>
            </w:tcBorders>
            <w:shd w:val="clear" w:color="auto" w:fill="auto"/>
            <w:noWrap/>
            <w:vAlign w:val="center"/>
            <w:hideMark/>
          </w:tcPr>
          <w:p w:rsidR="00322999" w:rsidRPr="00942766" w:rsidRDefault="00322999" w:rsidP="00E56B26">
            <w:pPr>
              <w:jc w:val="center"/>
              <w:rPr>
                <w:sz w:val="18"/>
                <w:szCs w:val="18"/>
              </w:rPr>
            </w:pPr>
            <w:r w:rsidRPr="00942766">
              <w:rPr>
                <w:sz w:val="18"/>
                <w:szCs w:val="18"/>
              </w:rPr>
              <w:t>12 (67)</w:t>
            </w:r>
          </w:p>
        </w:tc>
        <w:tc>
          <w:tcPr>
            <w:tcW w:w="1192" w:type="dxa"/>
            <w:tcBorders>
              <w:top w:val="nil"/>
              <w:left w:val="nil"/>
              <w:bottom w:val="nil"/>
              <w:right w:val="nil"/>
            </w:tcBorders>
            <w:shd w:val="clear" w:color="auto" w:fill="auto"/>
            <w:noWrap/>
            <w:vAlign w:val="center"/>
            <w:hideMark/>
          </w:tcPr>
          <w:p w:rsidR="00322999" w:rsidRPr="00942766" w:rsidRDefault="00322999" w:rsidP="00E56B26">
            <w:pPr>
              <w:jc w:val="center"/>
              <w:rPr>
                <w:sz w:val="18"/>
                <w:szCs w:val="18"/>
              </w:rPr>
            </w:pPr>
            <w:r w:rsidRPr="00942766">
              <w:rPr>
                <w:sz w:val="18"/>
                <w:szCs w:val="18"/>
              </w:rPr>
              <w:t>11 (48)</w:t>
            </w:r>
          </w:p>
        </w:tc>
        <w:tc>
          <w:tcPr>
            <w:tcW w:w="1192" w:type="dxa"/>
            <w:tcBorders>
              <w:top w:val="nil"/>
              <w:left w:val="nil"/>
              <w:bottom w:val="nil"/>
              <w:right w:val="single" w:sz="4" w:space="0" w:color="auto"/>
            </w:tcBorders>
            <w:shd w:val="clear" w:color="auto" w:fill="auto"/>
            <w:noWrap/>
            <w:vAlign w:val="center"/>
            <w:hideMark/>
          </w:tcPr>
          <w:p w:rsidR="00322999" w:rsidRPr="00942766" w:rsidRDefault="00322999" w:rsidP="00E56B26">
            <w:pPr>
              <w:jc w:val="center"/>
              <w:rPr>
                <w:sz w:val="18"/>
                <w:szCs w:val="18"/>
              </w:rPr>
            </w:pPr>
            <w:r w:rsidRPr="00942766">
              <w:rPr>
                <w:sz w:val="18"/>
                <w:szCs w:val="18"/>
              </w:rPr>
              <w:t>39 (53)</w:t>
            </w:r>
          </w:p>
        </w:tc>
        <w:tc>
          <w:tcPr>
            <w:tcW w:w="1192" w:type="dxa"/>
            <w:tcBorders>
              <w:top w:val="nil"/>
              <w:left w:val="single" w:sz="4" w:space="0" w:color="auto"/>
              <w:bottom w:val="nil"/>
              <w:right w:val="nil"/>
            </w:tcBorders>
            <w:shd w:val="clear" w:color="auto" w:fill="auto"/>
            <w:noWrap/>
            <w:vAlign w:val="center"/>
            <w:hideMark/>
          </w:tcPr>
          <w:p w:rsidR="00322999" w:rsidRPr="00942766" w:rsidRDefault="00322999" w:rsidP="00080173">
            <w:pPr>
              <w:jc w:val="center"/>
              <w:rPr>
                <w:sz w:val="18"/>
                <w:szCs w:val="18"/>
              </w:rPr>
            </w:pPr>
            <w:r w:rsidRPr="00942766">
              <w:rPr>
                <w:sz w:val="18"/>
                <w:szCs w:val="18"/>
              </w:rPr>
              <w:t>-</w:t>
            </w:r>
          </w:p>
        </w:tc>
      </w:tr>
      <w:tr w:rsidR="00322999" w:rsidRPr="00942766" w:rsidTr="00080173">
        <w:trPr>
          <w:trHeight w:val="300"/>
        </w:trPr>
        <w:tc>
          <w:tcPr>
            <w:tcW w:w="3059" w:type="dxa"/>
            <w:tcBorders>
              <w:top w:val="nil"/>
              <w:left w:val="single" w:sz="4" w:space="0" w:color="auto"/>
              <w:bottom w:val="nil"/>
              <w:right w:val="single" w:sz="12" w:space="0" w:color="auto"/>
            </w:tcBorders>
            <w:shd w:val="clear" w:color="auto" w:fill="auto"/>
            <w:noWrap/>
            <w:hideMark/>
          </w:tcPr>
          <w:p w:rsidR="00322999" w:rsidRPr="00942766" w:rsidRDefault="00322999" w:rsidP="00322999">
            <w:pPr>
              <w:rPr>
                <w:b/>
                <w:bCs/>
                <w:sz w:val="18"/>
                <w:szCs w:val="18"/>
              </w:rPr>
            </w:pPr>
            <w:r w:rsidRPr="00942766">
              <w:rPr>
                <w:b/>
                <w:bCs/>
                <w:sz w:val="18"/>
                <w:szCs w:val="18"/>
              </w:rPr>
              <w:t>English main language at home</w:t>
            </w:r>
          </w:p>
        </w:tc>
        <w:tc>
          <w:tcPr>
            <w:tcW w:w="1193" w:type="dxa"/>
            <w:tcBorders>
              <w:top w:val="nil"/>
              <w:left w:val="single" w:sz="12" w:space="0" w:color="auto"/>
              <w:bottom w:val="nil"/>
              <w:right w:val="nil"/>
            </w:tcBorders>
            <w:shd w:val="clear" w:color="auto" w:fill="auto"/>
            <w:noWrap/>
            <w:vAlign w:val="center"/>
            <w:hideMark/>
          </w:tcPr>
          <w:p w:rsidR="00322999" w:rsidRPr="00942766" w:rsidRDefault="00322999" w:rsidP="00E56B26">
            <w:pPr>
              <w:jc w:val="center"/>
              <w:rPr>
                <w:sz w:val="18"/>
                <w:szCs w:val="18"/>
              </w:rPr>
            </w:pPr>
            <w:r w:rsidRPr="00942766">
              <w:rPr>
                <w:sz w:val="18"/>
                <w:szCs w:val="18"/>
              </w:rPr>
              <w:t>31 (9</w:t>
            </w:r>
            <w:r w:rsidR="00E56B26" w:rsidRPr="00942766">
              <w:rPr>
                <w:sz w:val="18"/>
                <w:szCs w:val="18"/>
              </w:rPr>
              <w:t>7</w:t>
            </w:r>
            <w:r w:rsidRPr="00942766">
              <w:rPr>
                <w:sz w:val="18"/>
                <w:szCs w:val="18"/>
              </w:rPr>
              <w:t>)</w:t>
            </w:r>
          </w:p>
        </w:tc>
        <w:tc>
          <w:tcPr>
            <w:tcW w:w="1192" w:type="dxa"/>
            <w:tcBorders>
              <w:top w:val="nil"/>
              <w:left w:val="nil"/>
              <w:bottom w:val="nil"/>
              <w:right w:val="nil"/>
            </w:tcBorders>
            <w:shd w:val="clear" w:color="auto" w:fill="auto"/>
            <w:noWrap/>
            <w:vAlign w:val="center"/>
            <w:hideMark/>
          </w:tcPr>
          <w:p w:rsidR="00322999" w:rsidRPr="00942766" w:rsidRDefault="00322999" w:rsidP="00E56B26">
            <w:pPr>
              <w:jc w:val="center"/>
              <w:rPr>
                <w:sz w:val="18"/>
                <w:szCs w:val="18"/>
              </w:rPr>
            </w:pPr>
            <w:r w:rsidRPr="00942766">
              <w:rPr>
                <w:sz w:val="18"/>
                <w:szCs w:val="18"/>
              </w:rPr>
              <w:t>15 (83)</w:t>
            </w:r>
          </w:p>
        </w:tc>
        <w:tc>
          <w:tcPr>
            <w:tcW w:w="1192" w:type="dxa"/>
            <w:tcBorders>
              <w:top w:val="nil"/>
              <w:left w:val="nil"/>
              <w:bottom w:val="nil"/>
              <w:right w:val="nil"/>
            </w:tcBorders>
            <w:shd w:val="clear" w:color="auto" w:fill="auto"/>
            <w:noWrap/>
            <w:vAlign w:val="center"/>
            <w:hideMark/>
          </w:tcPr>
          <w:p w:rsidR="00322999" w:rsidRPr="00942766" w:rsidRDefault="00322999" w:rsidP="00E56B26">
            <w:pPr>
              <w:jc w:val="center"/>
              <w:rPr>
                <w:sz w:val="18"/>
                <w:szCs w:val="18"/>
              </w:rPr>
            </w:pPr>
            <w:r w:rsidRPr="00942766">
              <w:rPr>
                <w:sz w:val="18"/>
                <w:szCs w:val="18"/>
              </w:rPr>
              <w:t>18 (78)</w:t>
            </w:r>
          </w:p>
        </w:tc>
        <w:tc>
          <w:tcPr>
            <w:tcW w:w="1192" w:type="dxa"/>
            <w:tcBorders>
              <w:top w:val="nil"/>
              <w:left w:val="nil"/>
              <w:bottom w:val="nil"/>
              <w:right w:val="single" w:sz="4" w:space="0" w:color="auto"/>
            </w:tcBorders>
            <w:shd w:val="clear" w:color="auto" w:fill="auto"/>
            <w:noWrap/>
            <w:vAlign w:val="center"/>
            <w:hideMark/>
          </w:tcPr>
          <w:p w:rsidR="00322999" w:rsidRPr="00942766" w:rsidRDefault="00322999" w:rsidP="00E56B26">
            <w:pPr>
              <w:jc w:val="center"/>
              <w:rPr>
                <w:sz w:val="18"/>
                <w:szCs w:val="18"/>
              </w:rPr>
            </w:pPr>
            <w:r w:rsidRPr="00942766">
              <w:rPr>
                <w:sz w:val="18"/>
                <w:szCs w:val="18"/>
              </w:rPr>
              <w:t>64 (8</w:t>
            </w:r>
            <w:r w:rsidR="00E56B26" w:rsidRPr="00942766">
              <w:rPr>
                <w:sz w:val="18"/>
                <w:szCs w:val="18"/>
              </w:rPr>
              <w:t>8</w:t>
            </w:r>
            <w:r w:rsidRPr="00942766">
              <w:rPr>
                <w:sz w:val="18"/>
                <w:szCs w:val="18"/>
              </w:rPr>
              <w:t>)</w:t>
            </w:r>
          </w:p>
        </w:tc>
        <w:tc>
          <w:tcPr>
            <w:tcW w:w="1192" w:type="dxa"/>
            <w:tcBorders>
              <w:top w:val="nil"/>
              <w:left w:val="single" w:sz="4" w:space="0" w:color="auto"/>
              <w:bottom w:val="nil"/>
              <w:right w:val="nil"/>
            </w:tcBorders>
            <w:shd w:val="clear" w:color="auto" w:fill="auto"/>
            <w:noWrap/>
            <w:vAlign w:val="center"/>
            <w:hideMark/>
          </w:tcPr>
          <w:p w:rsidR="00322999" w:rsidRPr="00942766" w:rsidRDefault="00322999" w:rsidP="00080173">
            <w:pPr>
              <w:jc w:val="center"/>
              <w:rPr>
                <w:sz w:val="18"/>
                <w:szCs w:val="18"/>
              </w:rPr>
            </w:pPr>
            <w:r w:rsidRPr="00942766">
              <w:rPr>
                <w:sz w:val="18"/>
                <w:szCs w:val="18"/>
              </w:rPr>
              <w:t>-</w:t>
            </w:r>
          </w:p>
        </w:tc>
      </w:tr>
      <w:tr w:rsidR="00322999" w:rsidRPr="00942766" w:rsidTr="00080173">
        <w:trPr>
          <w:trHeight w:val="300"/>
        </w:trPr>
        <w:tc>
          <w:tcPr>
            <w:tcW w:w="3059" w:type="dxa"/>
            <w:tcBorders>
              <w:top w:val="nil"/>
              <w:left w:val="single" w:sz="4" w:space="0" w:color="auto"/>
              <w:bottom w:val="nil"/>
              <w:right w:val="single" w:sz="12" w:space="0" w:color="auto"/>
            </w:tcBorders>
            <w:shd w:val="clear" w:color="auto" w:fill="auto"/>
            <w:hideMark/>
          </w:tcPr>
          <w:p w:rsidR="00322999" w:rsidRPr="00942766" w:rsidRDefault="00322999" w:rsidP="00322999">
            <w:pPr>
              <w:rPr>
                <w:b/>
                <w:bCs/>
                <w:sz w:val="18"/>
                <w:szCs w:val="18"/>
              </w:rPr>
            </w:pPr>
            <w:r w:rsidRPr="00942766">
              <w:rPr>
                <w:b/>
                <w:bCs/>
                <w:sz w:val="18"/>
                <w:szCs w:val="18"/>
              </w:rPr>
              <w:t>Mother's educational qualifications</w:t>
            </w:r>
            <w:r w:rsidRPr="00942766">
              <w:rPr>
                <w:b/>
                <w:bCs/>
                <w:sz w:val="18"/>
                <w:szCs w:val="18"/>
                <w:vertAlign w:val="superscript"/>
              </w:rPr>
              <w:t>2</w:t>
            </w:r>
          </w:p>
        </w:tc>
        <w:tc>
          <w:tcPr>
            <w:tcW w:w="1193" w:type="dxa"/>
            <w:tcBorders>
              <w:top w:val="nil"/>
              <w:left w:val="single" w:sz="12" w:space="0" w:color="auto"/>
              <w:bottom w:val="nil"/>
              <w:right w:val="nil"/>
            </w:tcBorders>
            <w:shd w:val="clear" w:color="auto" w:fill="auto"/>
            <w:noWrap/>
            <w:vAlign w:val="center"/>
            <w:hideMark/>
          </w:tcPr>
          <w:p w:rsidR="00322999" w:rsidRPr="00942766" w:rsidRDefault="00322999" w:rsidP="00080173">
            <w:pPr>
              <w:jc w:val="center"/>
              <w:rPr>
                <w:b/>
                <w:bCs/>
                <w:sz w:val="18"/>
                <w:szCs w:val="18"/>
              </w:rPr>
            </w:pPr>
          </w:p>
        </w:tc>
        <w:tc>
          <w:tcPr>
            <w:tcW w:w="1192" w:type="dxa"/>
            <w:tcBorders>
              <w:top w:val="nil"/>
              <w:left w:val="nil"/>
              <w:bottom w:val="nil"/>
              <w:right w:val="nil"/>
            </w:tcBorders>
            <w:shd w:val="clear" w:color="auto" w:fill="auto"/>
            <w:noWrap/>
            <w:vAlign w:val="center"/>
            <w:hideMark/>
          </w:tcPr>
          <w:p w:rsidR="00322999" w:rsidRPr="00942766" w:rsidRDefault="00322999" w:rsidP="00080173">
            <w:pPr>
              <w:jc w:val="center"/>
              <w:rPr>
                <w:sz w:val="18"/>
                <w:szCs w:val="18"/>
              </w:rPr>
            </w:pPr>
          </w:p>
        </w:tc>
        <w:tc>
          <w:tcPr>
            <w:tcW w:w="1192" w:type="dxa"/>
            <w:tcBorders>
              <w:top w:val="nil"/>
              <w:left w:val="nil"/>
              <w:bottom w:val="nil"/>
              <w:right w:val="nil"/>
            </w:tcBorders>
            <w:shd w:val="clear" w:color="auto" w:fill="auto"/>
            <w:noWrap/>
            <w:vAlign w:val="center"/>
            <w:hideMark/>
          </w:tcPr>
          <w:p w:rsidR="00322999" w:rsidRPr="00942766" w:rsidRDefault="00322999" w:rsidP="00080173">
            <w:pPr>
              <w:jc w:val="center"/>
              <w:rPr>
                <w:sz w:val="18"/>
                <w:szCs w:val="18"/>
              </w:rPr>
            </w:pPr>
          </w:p>
        </w:tc>
        <w:tc>
          <w:tcPr>
            <w:tcW w:w="1192" w:type="dxa"/>
            <w:tcBorders>
              <w:top w:val="nil"/>
              <w:left w:val="nil"/>
              <w:bottom w:val="nil"/>
              <w:right w:val="single" w:sz="4" w:space="0" w:color="auto"/>
            </w:tcBorders>
            <w:shd w:val="clear" w:color="auto" w:fill="auto"/>
            <w:noWrap/>
            <w:vAlign w:val="center"/>
            <w:hideMark/>
          </w:tcPr>
          <w:p w:rsidR="00322999" w:rsidRPr="00942766" w:rsidRDefault="00322999" w:rsidP="00080173">
            <w:pPr>
              <w:jc w:val="center"/>
              <w:rPr>
                <w:sz w:val="18"/>
                <w:szCs w:val="18"/>
              </w:rPr>
            </w:pPr>
          </w:p>
        </w:tc>
        <w:tc>
          <w:tcPr>
            <w:tcW w:w="1192" w:type="dxa"/>
            <w:tcBorders>
              <w:top w:val="nil"/>
              <w:left w:val="single" w:sz="4" w:space="0" w:color="auto"/>
              <w:bottom w:val="nil"/>
              <w:right w:val="nil"/>
            </w:tcBorders>
            <w:shd w:val="clear" w:color="auto" w:fill="auto"/>
            <w:noWrap/>
            <w:vAlign w:val="center"/>
            <w:hideMark/>
          </w:tcPr>
          <w:p w:rsidR="00322999" w:rsidRPr="00942766" w:rsidRDefault="00322999" w:rsidP="00080173">
            <w:pPr>
              <w:jc w:val="center"/>
              <w:rPr>
                <w:sz w:val="18"/>
                <w:szCs w:val="18"/>
              </w:rPr>
            </w:pPr>
          </w:p>
        </w:tc>
      </w:tr>
      <w:tr w:rsidR="00322999" w:rsidRPr="00942766" w:rsidTr="00080173">
        <w:trPr>
          <w:trHeight w:val="300"/>
        </w:trPr>
        <w:tc>
          <w:tcPr>
            <w:tcW w:w="3059" w:type="dxa"/>
            <w:tcBorders>
              <w:top w:val="nil"/>
              <w:left w:val="single" w:sz="4" w:space="0" w:color="auto"/>
              <w:bottom w:val="nil"/>
              <w:right w:val="single" w:sz="12" w:space="0" w:color="auto"/>
            </w:tcBorders>
            <w:shd w:val="clear" w:color="auto" w:fill="auto"/>
            <w:vAlign w:val="center"/>
            <w:hideMark/>
          </w:tcPr>
          <w:p w:rsidR="00322999" w:rsidRPr="00942766" w:rsidRDefault="00322999" w:rsidP="002833D4">
            <w:pPr>
              <w:jc w:val="right"/>
              <w:rPr>
                <w:sz w:val="18"/>
                <w:szCs w:val="18"/>
              </w:rPr>
            </w:pPr>
            <w:r w:rsidRPr="00942766">
              <w:rPr>
                <w:sz w:val="18"/>
                <w:szCs w:val="18"/>
              </w:rPr>
              <w:t>No qualifications</w:t>
            </w:r>
          </w:p>
        </w:tc>
        <w:tc>
          <w:tcPr>
            <w:tcW w:w="1193" w:type="dxa"/>
            <w:tcBorders>
              <w:top w:val="nil"/>
              <w:left w:val="single" w:sz="12" w:space="0" w:color="auto"/>
              <w:bottom w:val="nil"/>
              <w:right w:val="nil"/>
            </w:tcBorders>
            <w:shd w:val="clear" w:color="auto" w:fill="auto"/>
            <w:noWrap/>
            <w:vAlign w:val="center"/>
            <w:hideMark/>
          </w:tcPr>
          <w:p w:rsidR="00322999" w:rsidRPr="00942766" w:rsidRDefault="00322999" w:rsidP="00E56B26">
            <w:pPr>
              <w:jc w:val="center"/>
              <w:rPr>
                <w:sz w:val="18"/>
                <w:szCs w:val="18"/>
              </w:rPr>
            </w:pPr>
            <w:r w:rsidRPr="00942766">
              <w:rPr>
                <w:sz w:val="18"/>
                <w:szCs w:val="18"/>
              </w:rPr>
              <w:t>3 (9)</w:t>
            </w:r>
          </w:p>
        </w:tc>
        <w:tc>
          <w:tcPr>
            <w:tcW w:w="1192" w:type="dxa"/>
            <w:tcBorders>
              <w:top w:val="nil"/>
              <w:left w:val="nil"/>
              <w:bottom w:val="nil"/>
              <w:right w:val="nil"/>
            </w:tcBorders>
            <w:shd w:val="clear" w:color="auto" w:fill="auto"/>
            <w:noWrap/>
            <w:vAlign w:val="center"/>
            <w:hideMark/>
          </w:tcPr>
          <w:p w:rsidR="00322999" w:rsidRPr="00942766" w:rsidRDefault="00322999" w:rsidP="00E56B26">
            <w:pPr>
              <w:jc w:val="center"/>
              <w:rPr>
                <w:sz w:val="18"/>
                <w:szCs w:val="18"/>
              </w:rPr>
            </w:pPr>
            <w:r w:rsidRPr="00942766">
              <w:rPr>
                <w:sz w:val="18"/>
                <w:szCs w:val="18"/>
              </w:rPr>
              <w:t>2 (11)</w:t>
            </w:r>
          </w:p>
        </w:tc>
        <w:tc>
          <w:tcPr>
            <w:tcW w:w="1192" w:type="dxa"/>
            <w:tcBorders>
              <w:top w:val="nil"/>
              <w:left w:val="nil"/>
              <w:bottom w:val="nil"/>
              <w:right w:val="nil"/>
            </w:tcBorders>
            <w:shd w:val="clear" w:color="auto" w:fill="auto"/>
            <w:noWrap/>
            <w:vAlign w:val="center"/>
            <w:hideMark/>
          </w:tcPr>
          <w:p w:rsidR="00322999" w:rsidRPr="00942766" w:rsidRDefault="00322999" w:rsidP="00E56B26">
            <w:pPr>
              <w:jc w:val="center"/>
              <w:rPr>
                <w:sz w:val="18"/>
                <w:szCs w:val="18"/>
              </w:rPr>
            </w:pPr>
            <w:r w:rsidRPr="00942766">
              <w:rPr>
                <w:sz w:val="18"/>
                <w:szCs w:val="18"/>
              </w:rPr>
              <w:t>2 (</w:t>
            </w:r>
            <w:r w:rsidR="00E56B26" w:rsidRPr="00942766">
              <w:rPr>
                <w:sz w:val="18"/>
                <w:szCs w:val="18"/>
              </w:rPr>
              <w:t>9</w:t>
            </w:r>
            <w:r w:rsidRPr="00942766">
              <w:rPr>
                <w:sz w:val="18"/>
                <w:szCs w:val="18"/>
              </w:rPr>
              <w:t>)</w:t>
            </w:r>
          </w:p>
        </w:tc>
        <w:tc>
          <w:tcPr>
            <w:tcW w:w="1192" w:type="dxa"/>
            <w:tcBorders>
              <w:top w:val="nil"/>
              <w:left w:val="nil"/>
              <w:bottom w:val="nil"/>
              <w:right w:val="single" w:sz="4" w:space="0" w:color="auto"/>
            </w:tcBorders>
            <w:shd w:val="clear" w:color="auto" w:fill="auto"/>
            <w:noWrap/>
            <w:vAlign w:val="center"/>
            <w:hideMark/>
          </w:tcPr>
          <w:p w:rsidR="00322999" w:rsidRPr="00942766" w:rsidRDefault="00322999" w:rsidP="00E56B26">
            <w:pPr>
              <w:jc w:val="center"/>
              <w:rPr>
                <w:sz w:val="18"/>
                <w:szCs w:val="18"/>
              </w:rPr>
            </w:pPr>
            <w:r w:rsidRPr="00942766">
              <w:rPr>
                <w:sz w:val="18"/>
                <w:szCs w:val="18"/>
              </w:rPr>
              <w:t>7 (</w:t>
            </w:r>
            <w:r w:rsidR="00E56B26" w:rsidRPr="00942766">
              <w:rPr>
                <w:sz w:val="18"/>
                <w:szCs w:val="18"/>
              </w:rPr>
              <w:t>10</w:t>
            </w:r>
            <w:r w:rsidRPr="00942766">
              <w:rPr>
                <w:sz w:val="18"/>
                <w:szCs w:val="18"/>
              </w:rPr>
              <w:t>)</w:t>
            </w:r>
          </w:p>
        </w:tc>
        <w:tc>
          <w:tcPr>
            <w:tcW w:w="1192" w:type="dxa"/>
            <w:tcBorders>
              <w:top w:val="nil"/>
              <w:left w:val="single" w:sz="4" w:space="0" w:color="auto"/>
              <w:bottom w:val="nil"/>
              <w:right w:val="nil"/>
            </w:tcBorders>
            <w:shd w:val="clear" w:color="auto" w:fill="auto"/>
            <w:noWrap/>
            <w:vAlign w:val="center"/>
            <w:hideMark/>
          </w:tcPr>
          <w:p w:rsidR="00322999" w:rsidRPr="00942766" w:rsidRDefault="00322999" w:rsidP="00E56B26">
            <w:pPr>
              <w:jc w:val="center"/>
              <w:rPr>
                <w:sz w:val="18"/>
                <w:szCs w:val="18"/>
              </w:rPr>
            </w:pPr>
            <w:r w:rsidRPr="00942766">
              <w:rPr>
                <w:sz w:val="18"/>
                <w:szCs w:val="18"/>
              </w:rPr>
              <w:t>2 (5)</w:t>
            </w:r>
          </w:p>
        </w:tc>
      </w:tr>
      <w:tr w:rsidR="00322999" w:rsidRPr="00942766" w:rsidTr="00080173">
        <w:trPr>
          <w:trHeight w:val="340"/>
        </w:trPr>
        <w:tc>
          <w:tcPr>
            <w:tcW w:w="3059" w:type="dxa"/>
            <w:tcBorders>
              <w:top w:val="nil"/>
              <w:left w:val="single" w:sz="4" w:space="0" w:color="auto"/>
              <w:bottom w:val="nil"/>
              <w:right w:val="single" w:sz="12" w:space="0" w:color="auto"/>
            </w:tcBorders>
            <w:shd w:val="clear" w:color="auto" w:fill="auto"/>
            <w:vAlign w:val="center"/>
            <w:hideMark/>
          </w:tcPr>
          <w:p w:rsidR="00322999" w:rsidRPr="00942766" w:rsidRDefault="00322999" w:rsidP="002833D4">
            <w:pPr>
              <w:jc w:val="right"/>
              <w:rPr>
                <w:sz w:val="18"/>
                <w:szCs w:val="18"/>
              </w:rPr>
            </w:pPr>
            <w:r w:rsidRPr="00942766">
              <w:rPr>
                <w:sz w:val="18"/>
                <w:szCs w:val="18"/>
              </w:rPr>
              <w:t>&lt;5 O-level examinations</w:t>
            </w:r>
          </w:p>
        </w:tc>
        <w:tc>
          <w:tcPr>
            <w:tcW w:w="1193" w:type="dxa"/>
            <w:tcBorders>
              <w:top w:val="nil"/>
              <w:left w:val="single" w:sz="12" w:space="0" w:color="auto"/>
              <w:bottom w:val="nil"/>
              <w:right w:val="nil"/>
            </w:tcBorders>
            <w:shd w:val="clear" w:color="auto" w:fill="auto"/>
            <w:noWrap/>
            <w:vAlign w:val="center"/>
            <w:hideMark/>
          </w:tcPr>
          <w:p w:rsidR="00322999" w:rsidRPr="00942766" w:rsidRDefault="00322999" w:rsidP="00E56B26">
            <w:pPr>
              <w:jc w:val="center"/>
              <w:rPr>
                <w:sz w:val="18"/>
                <w:szCs w:val="18"/>
              </w:rPr>
            </w:pPr>
            <w:r w:rsidRPr="00942766">
              <w:rPr>
                <w:sz w:val="18"/>
                <w:szCs w:val="18"/>
              </w:rPr>
              <w:t>4 (12)</w:t>
            </w:r>
          </w:p>
        </w:tc>
        <w:tc>
          <w:tcPr>
            <w:tcW w:w="1192" w:type="dxa"/>
            <w:tcBorders>
              <w:top w:val="nil"/>
              <w:left w:val="nil"/>
              <w:bottom w:val="nil"/>
              <w:right w:val="nil"/>
            </w:tcBorders>
            <w:shd w:val="clear" w:color="auto" w:fill="auto"/>
            <w:noWrap/>
            <w:vAlign w:val="center"/>
            <w:hideMark/>
          </w:tcPr>
          <w:p w:rsidR="00322999" w:rsidRPr="00942766" w:rsidRDefault="00322999" w:rsidP="00E56B26">
            <w:pPr>
              <w:jc w:val="center"/>
              <w:rPr>
                <w:sz w:val="18"/>
                <w:szCs w:val="18"/>
              </w:rPr>
            </w:pPr>
            <w:r w:rsidRPr="00942766">
              <w:rPr>
                <w:sz w:val="18"/>
                <w:szCs w:val="18"/>
              </w:rPr>
              <w:t xml:space="preserve">1 </w:t>
            </w:r>
            <w:r w:rsidR="00E56B26" w:rsidRPr="00942766">
              <w:rPr>
                <w:sz w:val="18"/>
                <w:szCs w:val="18"/>
              </w:rPr>
              <w:t>(</w:t>
            </w:r>
            <w:r w:rsidRPr="00942766">
              <w:rPr>
                <w:sz w:val="18"/>
                <w:szCs w:val="18"/>
              </w:rPr>
              <w:t>6)</w:t>
            </w:r>
          </w:p>
        </w:tc>
        <w:tc>
          <w:tcPr>
            <w:tcW w:w="1192" w:type="dxa"/>
            <w:tcBorders>
              <w:top w:val="nil"/>
              <w:left w:val="nil"/>
              <w:bottom w:val="nil"/>
              <w:right w:val="nil"/>
            </w:tcBorders>
            <w:shd w:val="clear" w:color="auto" w:fill="auto"/>
            <w:noWrap/>
            <w:vAlign w:val="center"/>
            <w:hideMark/>
          </w:tcPr>
          <w:p w:rsidR="00322999" w:rsidRPr="00942766" w:rsidRDefault="00322999" w:rsidP="00E56B26">
            <w:pPr>
              <w:jc w:val="center"/>
              <w:rPr>
                <w:sz w:val="18"/>
                <w:szCs w:val="18"/>
              </w:rPr>
            </w:pPr>
            <w:r w:rsidRPr="00942766">
              <w:rPr>
                <w:sz w:val="18"/>
                <w:szCs w:val="18"/>
              </w:rPr>
              <w:t>4 (17)</w:t>
            </w:r>
          </w:p>
        </w:tc>
        <w:tc>
          <w:tcPr>
            <w:tcW w:w="1192" w:type="dxa"/>
            <w:tcBorders>
              <w:top w:val="nil"/>
              <w:left w:val="nil"/>
              <w:bottom w:val="nil"/>
              <w:right w:val="single" w:sz="4" w:space="0" w:color="auto"/>
            </w:tcBorders>
            <w:shd w:val="clear" w:color="auto" w:fill="auto"/>
            <w:noWrap/>
            <w:vAlign w:val="center"/>
            <w:hideMark/>
          </w:tcPr>
          <w:p w:rsidR="00322999" w:rsidRPr="00942766" w:rsidRDefault="00322999" w:rsidP="00E56B26">
            <w:pPr>
              <w:jc w:val="center"/>
              <w:rPr>
                <w:sz w:val="18"/>
                <w:szCs w:val="18"/>
              </w:rPr>
            </w:pPr>
            <w:r w:rsidRPr="00942766">
              <w:rPr>
                <w:sz w:val="18"/>
                <w:szCs w:val="18"/>
              </w:rPr>
              <w:t>9 (12)</w:t>
            </w:r>
          </w:p>
        </w:tc>
        <w:tc>
          <w:tcPr>
            <w:tcW w:w="1192" w:type="dxa"/>
            <w:tcBorders>
              <w:top w:val="nil"/>
              <w:left w:val="single" w:sz="4" w:space="0" w:color="auto"/>
              <w:bottom w:val="nil"/>
              <w:right w:val="nil"/>
            </w:tcBorders>
            <w:shd w:val="clear" w:color="auto" w:fill="auto"/>
            <w:noWrap/>
            <w:vAlign w:val="center"/>
            <w:hideMark/>
          </w:tcPr>
          <w:p w:rsidR="00322999" w:rsidRPr="00942766" w:rsidRDefault="00322999" w:rsidP="00E56B26">
            <w:pPr>
              <w:jc w:val="center"/>
              <w:rPr>
                <w:sz w:val="18"/>
                <w:szCs w:val="18"/>
              </w:rPr>
            </w:pPr>
            <w:r w:rsidRPr="00942766">
              <w:rPr>
                <w:sz w:val="18"/>
                <w:szCs w:val="18"/>
              </w:rPr>
              <w:t>3 (8)</w:t>
            </w:r>
          </w:p>
        </w:tc>
      </w:tr>
      <w:tr w:rsidR="00322999" w:rsidRPr="00942766" w:rsidTr="00080173">
        <w:trPr>
          <w:trHeight w:val="300"/>
        </w:trPr>
        <w:tc>
          <w:tcPr>
            <w:tcW w:w="3059" w:type="dxa"/>
            <w:tcBorders>
              <w:top w:val="nil"/>
              <w:left w:val="single" w:sz="4" w:space="0" w:color="auto"/>
              <w:bottom w:val="nil"/>
              <w:right w:val="single" w:sz="12" w:space="0" w:color="auto"/>
            </w:tcBorders>
            <w:shd w:val="clear" w:color="auto" w:fill="auto"/>
            <w:vAlign w:val="center"/>
            <w:hideMark/>
          </w:tcPr>
          <w:p w:rsidR="00322999" w:rsidRPr="00942766" w:rsidRDefault="00322999" w:rsidP="002833D4">
            <w:pPr>
              <w:jc w:val="right"/>
              <w:rPr>
                <w:sz w:val="18"/>
                <w:szCs w:val="18"/>
              </w:rPr>
            </w:pPr>
            <w:r w:rsidRPr="00942766">
              <w:rPr>
                <w:sz w:val="18"/>
                <w:szCs w:val="18"/>
              </w:rPr>
              <w:t>≥5 O-level examinations</w:t>
            </w:r>
          </w:p>
        </w:tc>
        <w:tc>
          <w:tcPr>
            <w:tcW w:w="1193" w:type="dxa"/>
            <w:tcBorders>
              <w:top w:val="nil"/>
              <w:left w:val="single" w:sz="12" w:space="0" w:color="auto"/>
              <w:bottom w:val="nil"/>
              <w:right w:val="nil"/>
            </w:tcBorders>
            <w:shd w:val="clear" w:color="auto" w:fill="auto"/>
            <w:noWrap/>
            <w:vAlign w:val="center"/>
            <w:hideMark/>
          </w:tcPr>
          <w:p w:rsidR="00322999" w:rsidRPr="00942766" w:rsidRDefault="00322999" w:rsidP="00E56B26">
            <w:pPr>
              <w:jc w:val="center"/>
              <w:rPr>
                <w:sz w:val="18"/>
                <w:szCs w:val="18"/>
              </w:rPr>
            </w:pPr>
            <w:r w:rsidRPr="00942766">
              <w:rPr>
                <w:sz w:val="18"/>
                <w:szCs w:val="18"/>
              </w:rPr>
              <w:t>9 (28)</w:t>
            </w:r>
          </w:p>
        </w:tc>
        <w:tc>
          <w:tcPr>
            <w:tcW w:w="1192" w:type="dxa"/>
            <w:tcBorders>
              <w:top w:val="nil"/>
              <w:left w:val="nil"/>
              <w:bottom w:val="nil"/>
              <w:right w:val="nil"/>
            </w:tcBorders>
            <w:shd w:val="clear" w:color="auto" w:fill="auto"/>
            <w:noWrap/>
            <w:vAlign w:val="center"/>
            <w:hideMark/>
          </w:tcPr>
          <w:p w:rsidR="00322999" w:rsidRPr="00942766" w:rsidRDefault="00322999" w:rsidP="00E56B26">
            <w:pPr>
              <w:jc w:val="center"/>
              <w:rPr>
                <w:sz w:val="18"/>
                <w:szCs w:val="18"/>
              </w:rPr>
            </w:pPr>
            <w:r w:rsidRPr="00942766">
              <w:rPr>
                <w:sz w:val="18"/>
                <w:szCs w:val="18"/>
              </w:rPr>
              <w:t>7 (39)</w:t>
            </w:r>
          </w:p>
        </w:tc>
        <w:tc>
          <w:tcPr>
            <w:tcW w:w="1192" w:type="dxa"/>
            <w:tcBorders>
              <w:top w:val="nil"/>
              <w:left w:val="nil"/>
              <w:bottom w:val="nil"/>
              <w:right w:val="nil"/>
            </w:tcBorders>
            <w:shd w:val="clear" w:color="auto" w:fill="auto"/>
            <w:noWrap/>
            <w:vAlign w:val="center"/>
            <w:hideMark/>
          </w:tcPr>
          <w:p w:rsidR="00322999" w:rsidRPr="00942766" w:rsidRDefault="00322999" w:rsidP="00E56B26">
            <w:pPr>
              <w:jc w:val="center"/>
              <w:rPr>
                <w:sz w:val="18"/>
                <w:szCs w:val="18"/>
              </w:rPr>
            </w:pPr>
            <w:r w:rsidRPr="00942766">
              <w:rPr>
                <w:sz w:val="18"/>
                <w:szCs w:val="18"/>
              </w:rPr>
              <w:t>8 (3</w:t>
            </w:r>
            <w:r w:rsidR="00E56B26" w:rsidRPr="00942766">
              <w:rPr>
                <w:sz w:val="18"/>
                <w:szCs w:val="18"/>
              </w:rPr>
              <w:t>5</w:t>
            </w:r>
            <w:r w:rsidRPr="00942766">
              <w:rPr>
                <w:sz w:val="18"/>
                <w:szCs w:val="18"/>
              </w:rPr>
              <w:t>)</w:t>
            </w:r>
          </w:p>
        </w:tc>
        <w:tc>
          <w:tcPr>
            <w:tcW w:w="1192" w:type="dxa"/>
            <w:tcBorders>
              <w:top w:val="nil"/>
              <w:left w:val="nil"/>
              <w:bottom w:val="nil"/>
              <w:right w:val="single" w:sz="4" w:space="0" w:color="auto"/>
            </w:tcBorders>
            <w:shd w:val="clear" w:color="auto" w:fill="auto"/>
            <w:noWrap/>
            <w:vAlign w:val="center"/>
            <w:hideMark/>
          </w:tcPr>
          <w:p w:rsidR="00322999" w:rsidRPr="00942766" w:rsidRDefault="00322999" w:rsidP="00E56B26">
            <w:pPr>
              <w:jc w:val="center"/>
              <w:rPr>
                <w:sz w:val="18"/>
                <w:szCs w:val="18"/>
              </w:rPr>
            </w:pPr>
            <w:r w:rsidRPr="00942766">
              <w:rPr>
                <w:sz w:val="18"/>
                <w:szCs w:val="18"/>
              </w:rPr>
              <w:t>24 (3</w:t>
            </w:r>
            <w:r w:rsidR="00E56B26" w:rsidRPr="00942766">
              <w:rPr>
                <w:sz w:val="18"/>
                <w:szCs w:val="18"/>
              </w:rPr>
              <w:t>3</w:t>
            </w:r>
            <w:r w:rsidRPr="00942766">
              <w:rPr>
                <w:sz w:val="18"/>
                <w:szCs w:val="18"/>
              </w:rPr>
              <w:t>)</w:t>
            </w:r>
          </w:p>
        </w:tc>
        <w:tc>
          <w:tcPr>
            <w:tcW w:w="1192" w:type="dxa"/>
            <w:tcBorders>
              <w:top w:val="nil"/>
              <w:left w:val="single" w:sz="4" w:space="0" w:color="auto"/>
              <w:bottom w:val="nil"/>
              <w:right w:val="nil"/>
            </w:tcBorders>
            <w:shd w:val="clear" w:color="auto" w:fill="auto"/>
            <w:noWrap/>
            <w:vAlign w:val="center"/>
            <w:hideMark/>
          </w:tcPr>
          <w:p w:rsidR="00322999" w:rsidRPr="00942766" w:rsidRDefault="00322999" w:rsidP="00E56B26">
            <w:pPr>
              <w:jc w:val="center"/>
              <w:rPr>
                <w:sz w:val="18"/>
                <w:szCs w:val="18"/>
              </w:rPr>
            </w:pPr>
            <w:r w:rsidRPr="00942766">
              <w:rPr>
                <w:sz w:val="18"/>
                <w:szCs w:val="18"/>
              </w:rPr>
              <w:t>13 (35)</w:t>
            </w:r>
          </w:p>
        </w:tc>
      </w:tr>
      <w:tr w:rsidR="00322999" w:rsidRPr="00942766" w:rsidTr="00080173">
        <w:trPr>
          <w:trHeight w:val="340"/>
        </w:trPr>
        <w:tc>
          <w:tcPr>
            <w:tcW w:w="3059" w:type="dxa"/>
            <w:tcBorders>
              <w:top w:val="nil"/>
              <w:left w:val="single" w:sz="4" w:space="0" w:color="auto"/>
              <w:bottom w:val="nil"/>
              <w:right w:val="single" w:sz="12" w:space="0" w:color="auto"/>
            </w:tcBorders>
            <w:shd w:val="clear" w:color="auto" w:fill="auto"/>
            <w:vAlign w:val="center"/>
            <w:hideMark/>
          </w:tcPr>
          <w:p w:rsidR="00322999" w:rsidRPr="00942766" w:rsidRDefault="00322999" w:rsidP="002833D4">
            <w:pPr>
              <w:jc w:val="right"/>
              <w:rPr>
                <w:sz w:val="18"/>
                <w:szCs w:val="18"/>
              </w:rPr>
            </w:pPr>
            <w:r w:rsidRPr="00942766">
              <w:rPr>
                <w:sz w:val="18"/>
                <w:szCs w:val="18"/>
              </w:rPr>
              <w:t>Some A-level examinations</w:t>
            </w:r>
          </w:p>
        </w:tc>
        <w:tc>
          <w:tcPr>
            <w:tcW w:w="1193" w:type="dxa"/>
            <w:tcBorders>
              <w:top w:val="nil"/>
              <w:left w:val="single" w:sz="12" w:space="0" w:color="auto"/>
              <w:bottom w:val="nil"/>
              <w:right w:val="nil"/>
            </w:tcBorders>
            <w:shd w:val="clear" w:color="auto" w:fill="auto"/>
            <w:noWrap/>
            <w:vAlign w:val="center"/>
            <w:hideMark/>
          </w:tcPr>
          <w:p w:rsidR="00322999" w:rsidRPr="00942766" w:rsidRDefault="00322999" w:rsidP="00E56B26">
            <w:pPr>
              <w:jc w:val="center"/>
              <w:rPr>
                <w:sz w:val="18"/>
                <w:szCs w:val="18"/>
              </w:rPr>
            </w:pPr>
            <w:r w:rsidRPr="00942766">
              <w:rPr>
                <w:sz w:val="18"/>
                <w:szCs w:val="18"/>
              </w:rPr>
              <w:t>8 (25)</w:t>
            </w:r>
          </w:p>
        </w:tc>
        <w:tc>
          <w:tcPr>
            <w:tcW w:w="1192" w:type="dxa"/>
            <w:tcBorders>
              <w:top w:val="nil"/>
              <w:left w:val="nil"/>
              <w:bottom w:val="nil"/>
              <w:right w:val="nil"/>
            </w:tcBorders>
            <w:shd w:val="clear" w:color="auto" w:fill="auto"/>
            <w:noWrap/>
            <w:vAlign w:val="center"/>
            <w:hideMark/>
          </w:tcPr>
          <w:p w:rsidR="00322999" w:rsidRPr="00942766" w:rsidRDefault="00322999" w:rsidP="00E56B26">
            <w:pPr>
              <w:jc w:val="center"/>
              <w:rPr>
                <w:sz w:val="18"/>
                <w:szCs w:val="18"/>
              </w:rPr>
            </w:pPr>
            <w:r w:rsidRPr="00942766">
              <w:rPr>
                <w:sz w:val="18"/>
                <w:szCs w:val="18"/>
              </w:rPr>
              <w:t>4 (22)</w:t>
            </w:r>
          </w:p>
        </w:tc>
        <w:tc>
          <w:tcPr>
            <w:tcW w:w="1192" w:type="dxa"/>
            <w:tcBorders>
              <w:top w:val="nil"/>
              <w:left w:val="nil"/>
              <w:bottom w:val="nil"/>
              <w:right w:val="nil"/>
            </w:tcBorders>
            <w:shd w:val="clear" w:color="auto" w:fill="auto"/>
            <w:noWrap/>
            <w:vAlign w:val="center"/>
            <w:hideMark/>
          </w:tcPr>
          <w:p w:rsidR="00322999" w:rsidRPr="00942766" w:rsidRDefault="00322999" w:rsidP="00E56B26">
            <w:pPr>
              <w:jc w:val="center"/>
              <w:rPr>
                <w:sz w:val="18"/>
                <w:szCs w:val="18"/>
              </w:rPr>
            </w:pPr>
            <w:r w:rsidRPr="00942766">
              <w:rPr>
                <w:sz w:val="18"/>
                <w:szCs w:val="18"/>
              </w:rPr>
              <w:t>2 (</w:t>
            </w:r>
            <w:r w:rsidR="00E56B26" w:rsidRPr="00942766">
              <w:rPr>
                <w:sz w:val="18"/>
                <w:szCs w:val="18"/>
              </w:rPr>
              <w:t>9</w:t>
            </w:r>
            <w:r w:rsidRPr="00942766">
              <w:rPr>
                <w:sz w:val="18"/>
                <w:szCs w:val="18"/>
              </w:rPr>
              <w:t>)</w:t>
            </w:r>
          </w:p>
        </w:tc>
        <w:tc>
          <w:tcPr>
            <w:tcW w:w="1192" w:type="dxa"/>
            <w:tcBorders>
              <w:top w:val="nil"/>
              <w:left w:val="nil"/>
              <w:bottom w:val="nil"/>
              <w:right w:val="single" w:sz="4" w:space="0" w:color="auto"/>
            </w:tcBorders>
            <w:shd w:val="clear" w:color="auto" w:fill="auto"/>
            <w:noWrap/>
            <w:vAlign w:val="center"/>
            <w:hideMark/>
          </w:tcPr>
          <w:p w:rsidR="00322999" w:rsidRPr="00942766" w:rsidRDefault="00322999" w:rsidP="00E56B26">
            <w:pPr>
              <w:jc w:val="center"/>
              <w:rPr>
                <w:sz w:val="18"/>
                <w:szCs w:val="18"/>
              </w:rPr>
            </w:pPr>
            <w:r w:rsidRPr="00942766">
              <w:rPr>
                <w:sz w:val="18"/>
                <w:szCs w:val="18"/>
              </w:rPr>
              <w:t>14 (19)</w:t>
            </w:r>
          </w:p>
        </w:tc>
        <w:tc>
          <w:tcPr>
            <w:tcW w:w="1192" w:type="dxa"/>
            <w:tcBorders>
              <w:top w:val="nil"/>
              <w:left w:val="single" w:sz="4" w:space="0" w:color="auto"/>
              <w:bottom w:val="nil"/>
              <w:right w:val="nil"/>
            </w:tcBorders>
            <w:shd w:val="clear" w:color="auto" w:fill="auto"/>
            <w:noWrap/>
            <w:vAlign w:val="center"/>
            <w:hideMark/>
          </w:tcPr>
          <w:p w:rsidR="00322999" w:rsidRPr="00942766" w:rsidRDefault="00322999" w:rsidP="00E56B26">
            <w:pPr>
              <w:jc w:val="center"/>
              <w:rPr>
                <w:sz w:val="18"/>
                <w:szCs w:val="18"/>
              </w:rPr>
            </w:pPr>
            <w:r w:rsidRPr="00942766">
              <w:rPr>
                <w:sz w:val="18"/>
                <w:szCs w:val="18"/>
              </w:rPr>
              <w:t>1 (</w:t>
            </w:r>
            <w:r w:rsidR="00E56B26" w:rsidRPr="00942766">
              <w:rPr>
                <w:sz w:val="18"/>
                <w:szCs w:val="18"/>
              </w:rPr>
              <w:t>3</w:t>
            </w:r>
            <w:r w:rsidRPr="00942766">
              <w:rPr>
                <w:sz w:val="18"/>
                <w:szCs w:val="18"/>
              </w:rPr>
              <w:t>)</w:t>
            </w:r>
          </w:p>
        </w:tc>
      </w:tr>
      <w:tr w:rsidR="00322999" w:rsidRPr="00942766" w:rsidTr="00080173">
        <w:trPr>
          <w:trHeight w:val="300"/>
        </w:trPr>
        <w:tc>
          <w:tcPr>
            <w:tcW w:w="3059" w:type="dxa"/>
            <w:tcBorders>
              <w:top w:val="nil"/>
              <w:left w:val="single" w:sz="4" w:space="0" w:color="auto"/>
              <w:bottom w:val="nil"/>
              <w:right w:val="single" w:sz="12" w:space="0" w:color="auto"/>
            </w:tcBorders>
            <w:shd w:val="clear" w:color="auto" w:fill="auto"/>
            <w:vAlign w:val="center"/>
            <w:hideMark/>
          </w:tcPr>
          <w:p w:rsidR="00322999" w:rsidRPr="00942766" w:rsidRDefault="00322999" w:rsidP="002833D4">
            <w:pPr>
              <w:jc w:val="right"/>
              <w:rPr>
                <w:sz w:val="18"/>
                <w:szCs w:val="18"/>
              </w:rPr>
            </w:pPr>
            <w:r w:rsidRPr="00942766">
              <w:rPr>
                <w:sz w:val="18"/>
                <w:szCs w:val="18"/>
              </w:rPr>
              <w:t>≥University degree</w:t>
            </w:r>
          </w:p>
        </w:tc>
        <w:tc>
          <w:tcPr>
            <w:tcW w:w="1193" w:type="dxa"/>
            <w:tcBorders>
              <w:top w:val="nil"/>
              <w:left w:val="single" w:sz="12" w:space="0" w:color="auto"/>
              <w:bottom w:val="nil"/>
              <w:right w:val="nil"/>
            </w:tcBorders>
            <w:shd w:val="clear" w:color="auto" w:fill="auto"/>
            <w:noWrap/>
            <w:vAlign w:val="center"/>
            <w:hideMark/>
          </w:tcPr>
          <w:p w:rsidR="00322999" w:rsidRPr="00942766" w:rsidRDefault="00322999" w:rsidP="00E56B26">
            <w:pPr>
              <w:jc w:val="center"/>
              <w:rPr>
                <w:sz w:val="18"/>
                <w:szCs w:val="18"/>
              </w:rPr>
            </w:pPr>
            <w:r w:rsidRPr="00942766">
              <w:rPr>
                <w:sz w:val="18"/>
                <w:szCs w:val="18"/>
              </w:rPr>
              <w:t>8 (25)</w:t>
            </w:r>
          </w:p>
        </w:tc>
        <w:tc>
          <w:tcPr>
            <w:tcW w:w="1192" w:type="dxa"/>
            <w:tcBorders>
              <w:top w:val="nil"/>
              <w:left w:val="nil"/>
              <w:bottom w:val="nil"/>
              <w:right w:val="nil"/>
            </w:tcBorders>
            <w:shd w:val="clear" w:color="auto" w:fill="auto"/>
            <w:noWrap/>
            <w:vAlign w:val="center"/>
            <w:hideMark/>
          </w:tcPr>
          <w:p w:rsidR="00322999" w:rsidRPr="00942766" w:rsidRDefault="00322999" w:rsidP="00E56B26">
            <w:pPr>
              <w:jc w:val="center"/>
              <w:rPr>
                <w:sz w:val="18"/>
                <w:szCs w:val="18"/>
              </w:rPr>
            </w:pPr>
            <w:r w:rsidRPr="00942766">
              <w:rPr>
                <w:sz w:val="18"/>
                <w:szCs w:val="18"/>
              </w:rPr>
              <w:t>4 (22)</w:t>
            </w:r>
          </w:p>
        </w:tc>
        <w:tc>
          <w:tcPr>
            <w:tcW w:w="1192" w:type="dxa"/>
            <w:tcBorders>
              <w:top w:val="nil"/>
              <w:left w:val="nil"/>
              <w:bottom w:val="nil"/>
              <w:right w:val="nil"/>
            </w:tcBorders>
            <w:shd w:val="clear" w:color="auto" w:fill="auto"/>
            <w:noWrap/>
            <w:vAlign w:val="center"/>
            <w:hideMark/>
          </w:tcPr>
          <w:p w:rsidR="00322999" w:rsidRPr="00942766" w:rsidRDefault="00322999" w:rsidP="00E56B26">
            <w:pPr>
              <w:jc w:val="center"/>
              <w:rPr>
                <w:sz w:val="18"/>
                <w:szCs w:val="18"/>
              </w:rPr>
            </w:pPr>
            <w:r w:rsidRPr="00942766">
              <w:rPr>
                <w:sz w:val="18"/>
                <w:szCs w:val="18"/>
              </w:rPr>
              <w:t>7 (30)</w:t>
            </w:r>
          </w:p>
        </w:tc>
        <w:tc>
          <w:tcPr>
            <w:tcW w:w="1192" w:type="dxa"/>
            <w:tcBorders>
              <w:top w:val="nil"/>
              <w:left w:val="nil"/>
              <w:bottom w:val="nil"/>
              <w:right w:val="single" w:sz="4" w:space="0" w:color="auto"/>
            </w:tcBorders>
            <w:shd w:val="clear" w:color="auto" w:fill="auto"/>
            <w:noWrap/>
            <w:vAlign w:val="center"/>
            <w:hideMark/>
          </w:tcPr>
          <w:p w:rsidR="00322999" w:rsidRPr="00942766" w:rsidRDefault="00322999" w:rsidP="00E56B26">
            <w:pPr>
              <w:jc w:val="center"/>
              <w:rPr>
                <w:sz w:val="18"/>
                <w:szCs w:val="18"/>
              </w:rPr>
            </w:pPr>
            <w:r w:rsidRPr="00942766">
              <w:rPr>
                <w:sz w:val="18"/>
                <w:szCs w:val="18"/>
              </w:rPr>
              <w:t>19 (26)</w:t>
            </w:r>
          </w:p>
        </w:tc>
        <w:tc>
          <w:tcPr>
            <w:tcW w:w="1192" w:type="dxa"/>
            <w:tcBorders>
              <w:top w:val="nil"/>
              <w:left w:val="single" w:sz="4" w:space="0" w:color="auto"/>
              <w:bottom w:val="nil"/>
              <w:right w:val="nil"/>
            </w:tcBorders>
            <w:shd w:val="clear" w:color="auto" w:fill="auto"/>
            <w:noWrap/>
            <w:vAlign w:val="center"/>
            <w:hideMark/>
          </w:tcPr>
          <w:p w:rsidR="00322999" w:rsidRPr="00942766" w:rsidRDefault="00322999" w:rsidP="00E56B26">
            <w:pPr>
              <w:jc w:val="center"/>
              <w:rPr>
                <w:sz w:val="18"/>
                <w:szCs w:val="18"/>
              </w:rPr>
            </w:pPr>
            <w:r w:rsidRPr="00942766">
              <w:rPr>
                <w:sz w:val="18"/>
                <w:szCs w:val="18"/>
              </w:rPr>
              <w:t>18 (4</w:t>
            </w:r>
            <w:r w:rsidR="00E56B26" w:rsidRPr="00942766">
              <w:rPr>
                <w:sz w:val="18"/>
                <w:szCs w:val="18"/>
              </w:rPr>
              <w:t>9</w:t>
            </w:r>
            <w:r w:rsidRPr="00942766">
              <w:rPr>
                <w:sz w:val="18"/>
                <w:szCs w:val="18"/>
              </w:rPr>
              <w:t>)</w:t>
            </w:r>
          </w:p>
        </w:tc>
      </w:tr>
      <w:tr w:rsidR="00322999" w:rsidRPr="00942766" w:rsidTr="00080173">
        <w:trPr>
          <w:trHeight w:val="340"/>
        </w:trPr>
        <w:tc>
          <w:tcPr>
            <w:tcW w:w="3059" w:type="dxa"/>
            <w:tcBorders>
              <w:top w:val="nil"/>
              <w:left w:val="single" w:sz="4" w:space="0" w:color="auto"/>
              <w:bottom w:val="nil"/>
              <w:right w:val="single" w:sz="12" w:space="0" w:color="auto"/>
            </w:tcBorders>
            <w:shd w:val="clear" w:color="auto" w:fill="auto"/>
            <w:hideMark/>
          </w:tcPr>
          <w:p w:rsidR="00322999" w:rsidRPr="00942766" w:rsidRDefault="00322999" w:rsidP="00322999">
            <w:pPr>
              <w:rPr>
                <w:b/>
                <w:bCs/>
                <w:sz w:val="18"/>
                <w:szCs w:val="18"/>
              </w:rPr>
            </w:pPr>
            <w:r w:rsidRPr="00942766">
              <w:rPr>
                <w:b/>
                <w:bCs/>
                <w:sz w:val="18"/>
                <w:szCs w:val="18"/>
              </w:rPr>
              <w:t xml:space="preserve">Social class </w:t>
            </w:r>
            <w:r w:rsidRPr="00942766">
              <w:rPr>
                <w:b/>
                <w:bCs/>
                <w:sz w:val="18"/>
                <w:szCs w:val="18"/>
                <w:vertAlign w:val="superscript"/>
              </w:rPr>
              <w:t>3</w:t>
            </w:r>
          </w:p>
        </w:tc>
        <w:tc>
          <w:tcPr>
            <w:tcW w:w="1193" w:type="dxa"/>
            <w:tcBorders>
              <w:top w:val="nil"/>
              <w:left w:val="single" w:sz="12" w:space="0" w:color="auto"/>
              <w:bottom w:val="nil"/>
              <w:right w:val="nil"/>
            </w:tcBorders>
            <w:shd w:val="clear" w:color="auto" w:fill="auto"/>
            <w:noWrap/>
            <w:vAlign w:val="center"/>
            <w:hideMark/>
          </w:tcPr>
          <w:p w:rsidR="00322999" w:rsidRPr="00942766" w:rsidRDefault="00322999" w:rsidP="00080173">
            <w:pPr>
              <w:jc w:val="center"/>
              <w:rPr>
                <w:b/>
                <w:bCs/>
                <w:sz w:val="18"/>
                <w:szCs w:val="18"/>
              </w:rPr>
            </w:pPr>
          </w:p>
        </w:tc>
        <w:tc>
          <w:tcPr>
            <w:tcW w:w="1192" w:type="dxa"/>
            <w:tcBorders>
              <w:top w:val="nil"/>
              <w:left w:val="nil"/>
              <w:bottom w:val="nil"/>
              <w:right w:val="nil"/>
            </w:tcBorders>
            <w:shd w:val="clear" w:color="auto" w:fill="auto"/>
            <w:noWrap/>
            <w:vAlign w:val="center"/>
            <w:hideMark/>
          </w:tcPr>
          <w:p w:rsidR="00322999" w:rsidRPr="00942766" w:rsidRDefault="00322999" w:rsidP="00080173">
            <w:pPr>
              <w:jc w:val="center"/>
              <w:rPr>
                <w:sz w:val="18"/>
                <w:szCs w:val="18"/>
              </w:rPr>
            </w:pPr>
          </w:p>
        </w:tc>
        <w:tc>
          <w:tcPr>
            <w:tcW w:w="1192" w:type="dxa"/>
            <w:tcBorders>
              <w:top w:val="nil"/>
              <w:left w:val="nil"/>
              <w:bottom w:val="nil"/>
              <w:right w:val="nil"/>
            </w:tcBorders>
            <w:shd w:val="clear" w:color="auto" w:fill="auto"/>
            <w:noWrap/>
            <w:vAlign w:val="center"/>
            <w:hideMark/>
          </w:tcPr>
          <w:p w:rsidR="00322999" w:rsidRPr="00942766" w:rsidRDefault="00322999" w:rsidP="00080173">
            <w:pPr>
              <w:jc w:val="center"/>
              <w:rPr>
                <w:sz w:val="18"/>
                <w:szCs w:val="18"/>
              </w:rPr>
            </w:pPr>
          </w:p>
        </w:tc>
        <w:tc>
          <w:tcPr>
            <w:tcW w:w="1192" w:type="dxa"/>
            <w:tcBorders>
              <w:top w:val="nil"/>
              <w:left w:val="nil"/>
              <w:bottom w:val="nil"/>
              <w:right w:val="single" w:sz="4" w:space="0" w:color="auto"/>
            </w:tcBorders>
            <w:shd w:val="clear" w:color="auto" w:fill="auto"/>
            <w:noWrap/>
            <w:vAlign w:val="center"/>
            <w:hideMark/>
          </w:tcPr>
          <w:p w:rsidR="00322999" w:rsidRPr="00942766" w:rsidRDefault="00322999" w:rsidP="00080173">
            <w:pPr>
              <w:jc w:val="center"/>
              <w:rPr>
                <w:sz w:val="18"/>
                <w:szCs w:val="18"/>
              </w:rPr>
            </w:pPr>
          </w:p>
        </w:tc>
        <w:tc>
          <w:tcPr>
            <w:tcW w:w="1192" w:type="dxa"/>
            <w:tcBorders>
              <w:top w:val="nil"/>
              <w:left w:val="single" w:sz="4" w:space="0" w:color="auto"/>
              <w:bottom w:val="nil"/>
              <w:right w:val="nil"/>
            </w:tcBorders>
            <w:shd w:val="clear" w:color="auto" w:fill="auto"/>
            <w:noWrap/>
            <w:vAlign w:val="center"/>
            <w:hideMark/>
          </w:tcPr>
          <w:p w:rsidR="00322999" w:rsidRPr="00942766" w:rsidRDefault="00322999" w:rsidP="00080173">
            <w:pPr>
              <w:jc w:val="center"/>
              <w:rPr>
                <w:sz w:val="18"/>
                <w:szCs w:val="18"/>
              </w:rPr>
            </w:pPr>
          </w:p>
        </w:tc>
      </w:tr>
      <w:tr w:rsidR="00322999" w:rsidRPr="00942766" w:rsidTr="00080173">
        <w:trPr>
          <w:trHeight w:val="300"/>
        </w:trPr>
        <w:tc>
          <w:tcPr>
            <w:tcW w:w="3059" w:type="dxa"/>
            <w:tcBorders>
              <w:top w:val="nil"/>
              <w:left w:val="single" w:sz="4" w:space="0" w:color="auto"/>
              <w:bottom w:val="nil"/>
              <w:right w:val="single" w:sz="12" w:space="0" w:color="auto"/>
            </w:tcBorders>
            <w:shd w:val="clear" w:color="auto" w:fill="auto"/>
            <w:noWrap/>
            <w:vAlign w:val="center"/>
            <w:hideMark/>
          </w:tcPr>
          <w:p w:rsidR="00322999" w:rsidRPr="00942766" w:rsidRDefault="00322999" w:rsidP="002833D4">
            <w:pPr>
              <w:jc w:val="right"/>
              <w:rPr>
                <w:sz w:val="18"/>
                <w:szCs w:val="18"/>
              </w:rPr>
            </w:pPr>
            <w:r w:rsidRPr="00942766">
              <w:rPr>
                <w:sz w:val="18"/>
                <w:szCs w:val="18"/>
              </w:rPr>
              <w:t>Higher occupations</w:t>
            </w:r>
          </w:p>
        </w:tc>
        <w:tc>
          <w:tcPr>
            <w:tcW w:w="1193" w:type="dxa"/>
            <w:tcBorders>
              <w:top w:val="nil"/>
              <w:left w:val="single" w:sz="12" w:space="0" w:color="auto"/>
              <w:bottom w:val="nil"/>
              <w:right w:val="nil"/>
            </w:tcBorders>
            <w:shd w:val="clear" w:color="auto" w:fill="auto"/>
            <w:noWrap/>
            <w:vAlign w:val="center"/>
            <w:hideMark/>
          </w:tcPr>
          <w:p w:rsidR="00322999" w:rsidRPr="00942766" w:rsidRDefault="00322999" w:rsidP="00E56B26">
            <w:pPr>
              <w:jc w:val="center"/>
              <w:rPr>
                <w:sz w:val="18"/>
                <w:szCs w:val="18"/>
              </w:rPr>
            </w:pPr>
            <w:r w:rsidRPr="00942766">
              <w:rPr>
                <w:sz w:val="18"/>
                <w:szCs w:val="18"/>
              </w:rPr>
              <w:t>15 (4</w:t>
            </w:r>
            <w:r w:rsidR="00E56B26" w:rsidRPr="00942766">
              <w:rPr>
                <w:sz w:val="18"/>
                <w:szCs w:val="18"/>
              </w:rPr>
              <w:t>7</w:t>
            </w:r>
            <w:r w:rsidRPr="00942766">
              <w:rPr>
                <w:sz w:val="18"/>
                <w:szCs w:val="18"/>
              </w:rPr>
              <w:t>)</w:t>
            </w:r>
          </w:p>
        </w:tc>
        <w:tc>
          <w:tcPr>
            <w:tcW w:w="1192" w:type="dxa"/>
            <w:tcBorders>
              <w:top w:val="nil"/>
              <w:left w:val="nil"/>
              <w:bottom w:val="nil"/>
              <w:right w:val="nil"/>
            </w:tcBorders>
            <w:shd w:val="clear" w:color="auto" w:fill="auto"/>
            <w:noWrap/>
            <w:vAlign w:val="center"/>
            <w:hideMark/>
          </w:tcPr>
          <w:p w:rsidR="00322999" w:rsidRPr="00942766" w:rsidRDefault="00322999" w:rsidP="00E56B26">
            <w:pPr>
              <w:jc w:val="center"/>
              <w:rPr>
                <w:sz w:val="18"/>
                <w:szCs w:val="18"/>
              </w:rPr>
            </w:pPr>
            <w:r w:rsidRPr="00942766">
              <w:rPr>
                <w:sz w:val="18"/>
                <w:szCs w:val="18"/>
              </w:rPr>
              <w:t>10 (56)</w:t>
            </w:r>
          </w:p>
        </w:tc>
        <w:tc>
          <w:tcPr>
            <w:tcW w:w="1192" w:type="dxa"/>
            <w:tcBorders>
              <w:top w:val="nil"/>
              <w:left w:val="nil"/>
              <w:bottom w:val="nil"/>
              <w:right w:val="nil"/>
            </w:tcBorders>
            <w:shd w:val="clear" w:color="auto" w:fill="auto"/>
            <w:noWrap/>
            <w:vAlign w:val="center"/>
            <w:hideMark/>
          </w:tcPr>
          <w:p w:rsidR="00322999" w:rsidRPr="00942766" w:rsidRDefault="00322999" w:rsidP="00E56B26">
            <w:pPr>
              <w:jc w:val="center"/>
              <w:rPr>
                <w:sz w:val="18"/>
                <w:szCs w:val="18"/>
              </w:rPr>
            </w:pPr>
            <w:r w:rsidRPr="00942766">
              <w:rPr>
                <w:sz w:val="18"/>
                <w:szCs w:val="18"/>
              </w:rPr>
              <w:t>11 (48)</w:t>
            </w:r>
          </w:p>
        </w:tc>
        <w:tc>
          <w:tcPr>
            <w:tcW w:w="1192" w:type="dxa"/>
            <w:tcBorders>
              <w:top w:val="nil"/>
              <w:left w:val="nil"/>
              <w:bottom w:val="nil"/>
              <w:right w:val="single" w:sz="4" w:space="0" w:color="auto"/>
            </w:tcBorders>
            <w:shd w:val="clear" w:color="auto" w:fill="auto"/>
            <w:noWrap/>
            <w:vAlign w:val="center"/>
            <w:hideMark/>
          </w:tcPr>
          <w:p w:rsidR="00322999" w:rsidRPr="00942766" w:rsidRDefault="00322999" w:rsidP="00E56B26">
            <w:pPr>
              <w:jc w:val="center"/>
              <w:rPr>
                <w:sz w:val="18"/>
                <w:szCs w:val="18"/>
              </w:rPr>
            </w:pPr>
            <w:r w:rsidRPr="00942766">
              <w:rPr>
                <w:sz w:val="18"/>
                <w:szCs w:val="18"/>
              </w:rPr>
              <w:t>36 (49)</w:t>
            </w:r>
          </w:p>
        </w:tc>
        <w:tc>
          <w:tcPr>
            <w:tcW w:w="1192" w:type="dxa"/>
            <w:tcBorders>
              <w:top w:val="nil"/>
              <w:left w:val="single" w:sz="4" w:space="0" w:color="auto"/>
              <w:bottom w:val="nil"/>
              <w:right w:val="nil"/>
            </w:tcBorders>
            <w:shd w:val="clear" w:color="auto" w:fill="auto"/>
            <w:noWrap/>
            <w:vAlign w:val="center"/>
            <w:hideMark/>
          </w:tcPr>
          <w:p w:rsidR="00322999" w:rsidRPr="00942766" w:rsidRDefault="00322999" w:rsidP="00E56B26">
            <w:pPr>
              <w:jc w:val="center"/>
              <w:rPr>
                <w:sz w:val="18"/>
                <w:szCs w:val="18"/>
              </w:rPr>
            </w:pPr>
            <w:r w:rsidRPr="00942766">
              <w:rPr>
                <w:sz w:val="18"/>
                <w:szCs w:val="18"/>
              </w:rPr>
              <w:t>26 (70)</w:t>
            </w:r>
          </w:p>
        </w:tc>
      </w:tr>
      <w:tr w:rsidR="00322999" w:rsidRPr="00942766" w:rsidTr="00080173">
        <w:trPr>
          <w:trHeight w:val="300"/>
        </w:trPr>
        <w:tc>
          <w:tcPr>
            <w:tcW w:w="3059" w:type="dxa"/>
            <w:tcBorders>
              <w:top w:val="nil"/>
              <w:left w:val="single" w:sz="4" w:space="0" w:color="auto"/>
              <w:bottom w:val="nil"/>
              <w:right w:val="single" w:sz="12" w:space="0" w:color="auto"/>
            </w:tcBorders>
            <w:shd w:val="clear" w:color="auto" w:fill="auto"/>
            <w:noWrap/>
            <w:vAlign w:val="center"/>
            <w:hideMark/>
          </w:tcPr>
          <w:p w:rsidR="00322999" w:rsidRPr="00942766" w:rsidRDefault="00322999" w:rsidP="002833D4">
            <w:pPr>
              <w:jc w:val="right"/>
              <w:rPr>
                <w:sz w:val="18"/>
                <w:szCs w:val="18"/>
              </w:rPr>
            </w:pPr>
            <w:r w:rsidRPr="00942766">
              <w:rPr>
                <w:sz w:val="18"/>
                <w:szCs w:val="18"/>
              </w:rPr>
              <w:t>Intermediate occupations</w:t>
            </w:r>
          </w:p>
        </w:tc>
        <w:tc>
          <w:tcPr>
            <w:tcW w:w="1193" w:type="dxa"/>
            <w:tcBorders>
              <w:top w:val="nil"/>
              <w:left w:val="single" w:sz="12" w:space="0" w:color="auto"/>
              <w:bottom w:val="nil"/>
              <w:right w:val="nil"/>
            </w:tcBorders>
            <w:shd w:val="clear" w:color="auto" w:fill="auto"/>
            <w:noWrap/>
            <w:vAlign w:val="center"/>
            <w:hideMark/>
          </w:tcPr>
          <w:p w:rsidR="00322999" w:rsidRPr="00942766" w:rsidRDefault="00322999" w:rsidP="00E56B26">
            <w:pPr>
              <w:jc w:val="center"/>
              <w:rPr>
                <w:sz w:val="18"/>
                <w:szCs w:val="18"/>
              </w:rPr>
            </w:pPr>
            <w:r w:rsidRPr="00942766">
              <w:rPr>
                <w:sz w:val="18"/>
                <w:szCs w:val="18"/>
              </w:rPr>
              <w:t>10 (31)</w:t>
            </w:r>
          </w:p>
        </w:tc>
        <w:tc>
          <w:tcPr>
            <w:tcW w:w="1192" w:type="dxa"/>
            <w:tcBorders>
              <w:top w:val="nil"/>
              <w:left w:val="nil"/>
              <w:bottom w:val="nil"/>
              <w:right w:val="nil"/>
            </w:tcBorders>
            <w:shd w:val="clear" w:color="auto" w:fill="auto"/>
            <w:noWrap/>
            <w:vAlign w:val="center"/>
            <w:hideMark/>
          </w:tcPr>
          <w:p w:rsidR="00322999" w:rsidRPr="00942766" w:rsidRDefault="00322999" w:rsidP="00E56B26">
            <w:pPr>
              <w:jc w:val="center"/>
              <w:rPr>
                <w:sz w:val="18"/>
                <w:szCs w:val="18"/>
              </w:rPr>
            </w:pPr>
            <w:r w:rsidRPr="00942766">
              <w:rPr>
                <w:sz w:val="18"/>
                <w:szCs w:val="18"/>
              </w:rPr>
              <w:t>3 (17)</w:t>
            </w:r>
          </w:p>
        </w:tc>
        <w:tc>
          <w:tcPr>
            <w:tcW w:w="1192" w:type="dxa"/>
            <w:tcBorders>
              <w:top w:val="nil"/>
              <w:left w:val="nil"/>
              <w:bottom w:val="nil"/>
              <w:right w:val="nil"/>
            </w:tcBorders>
            <w:shd w:val="clear" w:color="auto" w:fill="auto"/>
            <w:noWrap/>
            <w:vAlign w:val="center"/>
            <w:hideMark/>
          </w:tcPr>
          <w:p w:rsidR="00322999" w:rsidRPr="00942766" w:rsidRDefault="00322999" w:rsidP="00E56B26">
            <w:pPr>
              <w:jc w:val="center"/>
              <w:rPr>
                <w:sz w:val="18"/>
                <w:szCs w:val="18"/>
              </w:rPr>
            </w:pPr>
            <w:r w:rsidRPr="00942766">
              <w:rPr>
                <w:sz w:val="18"/>
                <w:szCs w:val="18"/>
              </w:rPr>
              <w:t>5 (2</w:t>
            </w:r>
            <w:r w:rsidR="00E56B26" w:rsidRPr="00942766">
              <w:rPr>
                <w:sz w:val="18"/>
                <w:szCs w:val="18"/>
              </w:rPr>
              <w:t>2</w:t>
            </w:r>
            <w:r w:rsidRPr="00942766">
              <w:rPr>
                <w:sz w:val="18"/>
                <w:szCs w:val="18"/>
              </w:rPr>
              <w:t>)</w:t>
            </w:r>
          </w:p>
        </w:tc>
        <w:tc>
          <w:tcPr>
            <w:tcW w:w="1192" w:type="dxa"/>
            <w:tcBorders>
              <w:top w:val="nil"/>
              <w:left w:val="nil"/>
              <w:bottom w:val="nil"/>
              <w:right w:val="single" w:sz="4" w:space="0" w:color="auto"/>
            </w:tcBorders>
            <w:shd w:val="clear" w:color="auto" w:fill="auto"/>
            <w:noWrap/>
            <w:vAlign w:val="center"/>
            <w:hideMark/>
          </w:tcPr>
          <w:p w:rsidR="00322999" w:rsidRPr="00942766" w:rsidRDefault="00322999" w:rsidP="00E56B26">
            <w:pPr>
              <w:jc w:val="center"/>
              <w:rPr>
                <w:sz w:val="18"/>
                <w:szCs w:val="18"/>
              </w:rPr>
            </w:pPr>
            <w:r w:rsidRPr="00942766">
              <w:rPr>
                <w:sz w:val="18"/>
                <w:szCs w:val="18"/>
              </w:rPr>
              <w:t>18 (2</w:t>
            </w:r>
            <w:r w:rsidR="00E56B26" w:rsidRPr="00942766">
              <w:rPr>
                <w:sz w:val="18"/>
                <w:szCs w:val="18"/>
              </w:rPr>
              <w:t>5</w:t>
            </w:r>
            <w:r w:rsidRPr="00942766">
              <w:rPr>
                <w:sz w:val="18"/>
                <w:szCs w:val="18"/>
              </w:rPr>
              <w:t>)</w:t>
            </w:r>
          </w:p>
        </w:tc>
        <w:tc>
          <w:tcPr>
            <w:tcW w:w="1192" w:type="dxa"/>
            <w:tcBorders>
              <w:top w:val="nil"/>
              <w:left w:val="single" w:sz="4" w:space="0" w:color="auto"/>
              <w:bottom w:val="nil"/>
              <w:right w:val="nil"/>
            </w:tcBorders>
            <w:shd w:val="clear" w:color="auto" w:fill="auto"/>
            <w:noWrap/>
            <w:vAlign w:val="center"/>
            <w:hideMark/>
          </w:tcPr>
          <w:p w:rsidR="00322999" w:rsidRPr="00942766" w:rsidRDefault="00322999" w:rsidP="00E56B26">
            <w:pPr>
              <w:jc w:val="center"/>
              <w:rPr>
                <w:sz w:val="18"/>
                <w:szCs w:val="18"/>
              </w:rPr>
            </w:pPr>
            <w:r w:rsidRPr="00942766">
              <w:rPr>
                <w:sz w:val="18"/>
                <w:szCs w:val="18"/>
              </w:rPr>
              <w:t>8 (2</w:t>
            </w:r>
            <w:r w:rsidR="00E56B26" w:rsidRPr="00942766">
              <w:rPr>
                <w:sz w:val="18"/>
                <w:szCs w:val="18"/>
              </w:rPr>
              <w:t>2</w:t>
            </w:r>
            <w:r w:rsidRPr="00942766">
              <w:rPr>
                <w:sz w:val="18"/>
                <w:szCs w:val="18"/>
              </w:rPr>
              <w:t>)</w:t>
            </w:r>
          </w:p>
        </w:tc>
      </w:tr>
      <w:tr w:rsidR="00322999" w:rsidRPr="00942766" w:rsidTr="00080173">
        <w:trPr>
          <w:trHeight w:val="300"/>
        </w:trPr>
        <w:tc>
          <w:tcPr>
            <w:tcW w:w="3059" w:type="dxa"/>
            <w:tcBorders>
              <w:top w:val="nil"/>
              <w:left w:val="single" w:sz="4" w:space="0" w:color="auto"/>
              <w:bottom w:val="nil"/>
              <w:right w:val="single" w:sz="12" w:space="0" w:color="auto"/>
            </w:tcBorders>
            <w:shd w:val="clear" w:color="auto" w:fill="auto"/>
            <w:noWrap/>
            <w:vAlign w:val="center"/>
            <w:hideMark/>
          </w:tcPr>
          <w:p w:rsidR="00322999" w:rsidRPr="00942766" w:rsidRDefault="00322999" w:rsidP="002833D4">
            <w:pPr>
              <w:jc w:val="right"/>
              <w:rPr>
                <w:sz w:val="18"/>
                <w:szCs w:val="18"/>
              </w:rPr>
            </w:pPr>
            <w:r w:rsidRPr="00942766">
              <w:rPr>
                <w:sz w:val="18"/>
                <w:szCs w:val="18"/>
              </w:rPr>
              <w:t>Lower occupations</w:t>
            </w:r>
          </w:p>
        </w:tc>
        <w:tc>
          <w:tcPr>
            <w:tcW w:w="1193" w:type="dxa"/>
            <w:tcBorders>
              <w:top w:val="nil"/>
              <w:left w:val="single" w:sz="12" w:space="0" w:color="auto"/>
              <w:bottom w:val="nil"/>
              <w:right w:val="nil"/>
            </w:tcBorders>
            <w:shd w:val="clear" w:color="auto" w:fill="auto"/>
            <w:noWrap/>
            <w:vAlign w:val="center"/>
            <w:hideMark/>
          </w:tcPr>
          <w:p w:rsidR="00322999" w:rsidRPr="00942766" w:rsidRDefault="00322999" w:rsidP="00E56B26">
            <w:pPr>
              <w:jc w:val="center"/>
              <w:rPr>
                <w:sz w:val="18"/>
                <w:szCs w:val="18"/>
              </w:rPr>
            </w:pPr>
            <w:r w:rsidRPr="00942766">
              <w:rPr>
                <w:sz w:val="18"/>
                <w:szCs w:val="18"/>
              </w:rPr>
              <w:t>4 (12)</w:t>
            </w:r>
          </w:p>
        </w:tc>
        <w:tc>
          <w:tcPr>
            <w:tcW w:w="1192" w:type="dxa"/>
            <w:tcBorders>
              <w:top w:val="nil"/>
              <w:left w:val="nil"/>
              <w:bottom w:val="nil"/>
              <w:right w:val="nil"/>
            </w:tcBorders>
            <w:shd w:val="clear" w:color="auto" w:fill="auto"/>
            <w:noWrap/>
            <w:vAlign w:val="center"/>
            <w:hideMark/>
          </w:tcPr>
          <w:p w:rsidR="00322999" w:rsidRPr="00942766" w:rsidRDefault="00322999" w:rsidP="00E56B26">
            <w:pPr>
              <w:jc w:val="center"/>
              <w:rPr>
                <w:sz w:val="18"/>
                <w:szCs w:val="18"/>
              </w:rPr>
            </w:pPr>
            <w:r w:rsidRPr="00942766">
              <w:rPr>
                <w:sz w:val="18"/>
                <w:szCs w:val="18"/>
              </w:rPr>
              <w:t xml:space="preserve">0 </w:t>
            </w:r>
          </w:p>
        </w:tc>
        <w:tc>
          <w:tcPr>
            <w:tcW w:w="1192" w:type="dxa"/>
            <w:tcBorders>
              <w:top w:val="nil"/>
              <w:left w:val="nil"/>
              <w:bottom w:val="nil"/>
              <w:right w:val="nil"/>
            </w:tcBorders>
            <w:shd w:val="clear" w:color="auto" w:fill="auto"/>
            <w:noWrap/>
            <w:vAlign w:val="center"/>
            <w:hideMark/>
          </w:tcPr>
          <w:p w:rsidR="00322999" w:rsidRPr="00942766" w:rsidRDefault="00322999" w:rsidP="006B6858">
            <w:pPr>
              <w:jc w:val="center"/>
              <w:rPr>
                <w:sz w:val="18"/>
                <w:szCs w:val="18"/>
              </w:rPr>
            </w:pPr>
            <w:r w:rsidRPr="00942766">
              <w:rPr>
                <w:sz w:val="18"/>
                <w:szCs w:val="18"/>
              </w:rPr>
              <w:t>5 (</w:t>
            </w:r>
            <w:r w:rsidR="006B6858" w:rsidRPr="00942766">
              <w:rPr>
                <w:sz w:val="18"/>
                <w:szCs w:val="18"/>
              </w:rPr>
              <w:t>2</w:t>
            </w:r>
            <w:r w:rsidRPr="00942766">
              <w:rPr>
                <w:sz w:val="18"/>
                <w:szCs w:val="18"/>
              </w:rPr>
              <w:t>2)</w:t>
            </w:r>
          </w:p>
        </w:tc>
        <w:tc>
          <w:tcPr>
            <w:tcW w:w="1192" w:type="dxa"/>
            <w:tcBorders>
              <w:top w:val="nil"/>
              <w:left w:val="nil"/>
              <w:bottom w:val="nil"/>
              <w:right w:val="single" w:sz="4" w:space="0" w:color="auto"/>
            </w:tcBorders>
            <w:shd w:val="clear" w:color="auto" w:fill="auto"/>
            <w:noWrap/>
            <w:vAlign w:val="center"/>
            <w:hideMark/>
          </w:tcPr>
          <w:p w:rsidR="00322999" w:rsidRPr="00942766" w:rsidRDefault="00322999" w:rsidP="006B6858">
            <w:pPr>
              <w:jc w:val="center"/>
              <w:rPr>
                <w:sz w:val="18"/>
                <w:szCs w:val="18"/>
              </w:rPr>
            </w:pPr>
            <w:r w:rsidRPr="00942766">
              <w:rPr>
                <w:sz w:val="18"/>
                <w:szCs w:val="18"/>
              </w:rPr>
              <w:t>9 (12)</w:t>
            </w:r>
          </w:p>
        </w:tc>
        <w:tc>
          <w:tcPr>
            <w:tcW w:w="1192" w:type="dxa"/>
            <w:tcBorders>
              <w:top w:val="nil"/>
              <w:left w:val="single" w:sz="4" w:space="0" w:color="auto"/>
              <w:bottom w:val="nil"/>
              <w:right w:val="nil"/>
            </w:tcBorders>
            <w:shd w:val="clear" w:color="auto" w:fill="auto"/>
            <w:noWrap/>
            <w:vAlign w:val="center"/>
            <w:hideMark/>
          </w:tcPr>
          <w:p w:rsidR="00322999" w:rsidRPr="00942766" w:rsidRDefault="00322999" w:rsidP="006B6858">
            <w:pPr>
              <w:jc w:val="center"/>
              <w:rPr>
                <w:sz w:val="18"/>
                <w:szCs w:val="18"/>
              </w:rPr>
            </w:pPr>
            <w:r w:rsidRPr="00942766">
              <w:rPr>
                <w:sz w:val="18"/>
                <w:szCs w:val="18"/>
              </w:rPr>
              <w:t>3 (8)</w:t>
            </w:r>
          </w:p>
        </w:tc>
      </w:tr>
      <w:tr w:rsidR="00322999" w:rsidRPr="00942766" w:rsidTr="00080173">
        <w:trPr>
          <w:trHeight w:val="300"/>
        </w:trPr>
        <w:tc>
          <w:tcPr>
            <w:tcW w:w="3059" w:type="dxa"/>
            <w:tcBorders>
              <w:top w:val="nil"/>
              <w:left w:val="single" w:sz="4" w:space="0" w:color="auto"/>
              <w:bottom w:val="nil"/>
              <w:right w:val="single" w:sz="12" w:space="0" w:color="auto"/>
            </w:tcBorders>
            <w:shd w:val="clear" w:color="auto" w:fill="auto"/>
            <w:noWrap/>
            <w:vAlign w:val="center"/>
            <w:hideMark/>
          </w:tcPr>
          <w:p w:rsidR="00322999" w:rsidRPr="00942766" w:rsidRDefault="00322999" w:rsidP="002833D4">
            <w:pPr>
              <w:jc w:val="right"/>
              <w:rPr>
                <w:sz w:val="18"/>
                <w:szCs w:val="18"/>
              </w:rPr>
            </w:pPr>
            <w:r w:rsidRPr="00942766">
              <w:rPr>
                <w:sz w:val="18"/>
                <w:szCs w:val="18"/>
              </w:rPr>
              <w:t>Never worked and LT unemployment</w:t>
            </w:r>
          </w:p>
        </w:tc>
        <w:tc>
          <w:tcPr>
            <w:tcW w:w="1193" w:type="dxa"/>
            <w:tcBorders>
              <w:top w:val="nil"/>
              <w:left w:val="single" w:sz="12" w:space="0" w:color="auto"/>
              <w:bottom w:val="nil"/>
              <w:right w:val="nil"/>
            </w:tcBorders>
            <w:shd w:val="clear" w:color="auto" w:fill="auto"/>
            <w:noWrap/>
            <w:vAlign w:val="center"/>
            <w:hideMark/>
          </w:tcPr>
          <w:p w:rsidR="00322999" w:rsidRPr="00942766" w:rsidRDefault="00322999" w:rsidP="006B6858">
            <w:pPr>
              <w:jc w:val="center"/>
              <w:rPr>
                <w:sz w:val="18"/>
                <w:szCs w:val="18"/>
              </w:rPr>
            </w:pPr>
            <w:r w:rsidRPr="00942766">
              <w:rPr>
                <w:sz w:val="18"/>
                <w:szCs w:val="18"/>
              </w:rPr>
              <w:t>3 (9)</w:t>
            </w:r>
          </w:p>
        </w:tc>
        <w:tc>
          <w:tcPr>
            <w:tcW w:w="1192" w:type="dxa"/>
            <w:tcBorders>
              <w:top w:val="nil"/>
              <w:left w:val="nil"/>
              <w:bottom w:val="nil"/>
              <w:right w:val="nil"/>
            </w:tcBorders>
            <w:shd w:val="clear" w:color="auto" w:fill="auto"/>
            <w:noWrap/>
            <w:vAlign w:val="center"/>
            <w:hideMark/>
          </w:tcPr>
          <w:p w:rsidR="00322999" w:rsidRPr="00942766" w:rsidRDefault="00322999" w:rsidP="006B6858">
            <w:pPr>
              <w:jc w:val="center"/>
              <w:rPr>
                <w:sz w:val="18"/>
                <w:szCs w:val="18"/>
              </w:rPr>
            </w:pPr>
            <w:r w:rsidRPr="00942766">
              <w:rPr>
                <w:sz w:val="18"/>
                <w:szCs w:val="18"/>
              </w:rPr>
              <w:t>5 (28)</w:t>
            </w:r>
          </w:p>
        </w:tc>
        <w:tc>
          <w:tcPr>
            <w:tcW w:w="1192" w:type="dxa"/>
            <w:tcBorders>
              <w:top w:val="nil"/>
              <w:left w:val="nil"/>
              <w:bottom w:val="nil"/>
              <w:right w:val="nil"/>
            </w:tcBorders>
            <w:shd w:val="clear" w:color="auto" w:fill="auto"/>
            <w:noWrap/>
            <w:vAlign w:val="center"/>
            <w:hideMark/>
          </w:tcPr>
          <w:p w:rsidR="00322999" w:rsidRPr="00942766" w:rsidRDefault="00322999" w:rsidP="006B6858">
            <w:pPr>
              <w:jc w:val="center"/>
              <w:rPr>
                <w:sz w:val="18"/>
                <w:szCs w:val="18"/>
              </w:rPr>
            </w:pPr>
            <w:r w:rsidRPr="00942766">
              <w:rPr>
                <w:sz w:val="18"/>
                <w:szCs w:val="18"/>
              </w:rPr>
              <w:t>2 (</w:t>
            </w:r>
            <w:r w:rsidR="006B6858" w:rsidRPr="00942766">
              <w:rPr>
                <w:sz w:val="18"/>
                <w:szCs w:val="18"/>
              </w:rPr>
              <w:t>9</w:t>
            </w:r>
            <w:r w:rsidRPr="00942766">
              <w:rPr>
                <w:sz w:val="18"/>
                <w:szCs w:val="18"/>
              </w:rPr>
              <w:t>)</w:t>
            </w:r>
          </w:p>
        </w:tc>
        <w:tc>
          <w:tcPr>
            <w:tcW w:w="1192" w:type="dxa"/>
            <w:tcBorders>
              <w:top w:val="nil"/>
              <w:left w:val="nil"/>
              <w:bottom w:val="nil"/>
              <w:right w:val="single" w:sz="4" w:space="0" w:color="auto"/>
            </w:tcBorders>
            <w:shd w:val="clear" w:color="auto" w:fill="auto"/>
            <w:noWrap/>
            <w:vAlign w:val="center"/>
            <w:hideMark/>
          </w:tcPr>
          <w:p w:rsidR="00322999" w:rsidRPr="00942766" w:rsidRDefault="00322999" w:rsidP="006B6858">
            <w:pPr>
              <w:jc w:val="center"/>
              <w:rPr>
                <w:sz w:val="18"/>
                <w:szCs w:val="18"/>
              </w:rPr>
            </w:pPr>
            <w:r w:rsidRPr="00942766">
              <w:rPr>
                <w:sz w:val="18"/>
                <w:szCs w:val="18"/>
              </w:rPr>
              <w:t>10 (1</w:t>
            </w:r>
            <w:r w:rsidR="006B6858" w:rsidRPr="00942766">
              <w:rPr>
                <w:sz w:val="18"/>
                <w:szCs w:val="18"/>
              </w:rPr>
              <w:t>4</w:t>
            </w:r>
            <w:r w:rsidRPr="00942766">
              <w:rPr>
                <w:sz w:val="18"/>
                <w:szCs w:val="18"/>
              </w:rPr>
              <w:t>)</w:t>
            </w:r>
          </w:p>
        </w:tc>
        <w:tc>
          <w:tcPr>
            <w:tcW w:w="1192" w:type="dxa"/>
            <w:tcBorders>
              <w:top w:val="nil"/>
              <w:left w:val="single" w:sz="4" w:space="0" w:color="auto"/>
              <w:bottom w:val="nil"/>
              <w:right w:val="nil"/>
            </w:tcBorders>
            <w:shd w:val="clear" w:color="auto" w:fill="auto"/>
            <w:noWrap/>
            <w:vAlign w:val="center"/>
            <w:hideMark/>
          </w:tcPr>
          <w:p w:rsidR="00322999" w:rsidRPr="00942766" w:rsidRDefault="00322999" w:rsidP="006B6858">
            <w:pPr>
              <w:jc w:val="center"/>
              <w:rPr>
                <w:sz w:val="18"/>
                <w:szCs w:val="18"/>
              </w:rPr>
            </w:pPr>
            <w:r w:rsidRPr="00942766">
              <w:rPr>
                <w:sz w:val="18"/>
                <w:szCs w:val="18"/>
              </w:rPr>
              <w:t xml:space="preserve">0 </w:t>
            </w:r>
          </w:p>
        </w:tc>
      </w:tr>
      <w:tr w:rsidR="00322999" w:rsidRPr="00942766" w:rsidTr="00080173">
        <w:trPr>
          <w:trHeight w:val="300"/>
        </w:trPr>
        <w:tc>
          <w:tcPr>
            <w:tcW w:w="3059" w:type="dxa"/>
            <w:tcBorders>
              <w:top w:val="nil"/>
              <w:left w:val="single" w:sz="4" w:space="0" w:color="auto"/>
              <w:bottom w:val="nil"/>
              <w:right w:val="single" w:sz="12" w:space="0" w:color="auto"/>
            </w:tcBorders>
            <w:shd w:val="clear" w:color="auto" w:fill="auto"/>
            <w:hideMark/>
          </w:tcPr>
          <w:p w:rsidR="00322999" w:rsidRPr="00942766" w:rsidRDefault="00322999" w:rsidP="00322999">
            <w:pPr>
              <w:rPr>
                <w:b/>
                <w:bCs/>
                <w:sz w:val="18"/>
                <w:szCs w:val="18"/>
              </w:rPr>
            </w:pPr>
            <w:r w:rsidRPr="00942766">
              <w:rPr>
                <w:b/>
                <w:bCs/>
                <w:sz w:val="18"/>
                <w:szCs w:val="18"/>
              </w:rPr>
              <w:t xml:space="preserve">Family Income </w:t>
            </w:r>
          </w:p>
        </w:tc>
        <w:tc>
          <w:tcPr>
            <w:tcW w:w="1193" w:type="dxa"/>
            <w:tcBorders>
              <w:top w:val="nil"/>
              <w:left w:val="single" w:sz="12" w:space="0" w:color="auto"/>
              <w:bottom w:val="nil"/>
              <w:right w:val="nil"/>
            </w:tcBorders>
            <w:shd w:val="clear" w:color="auto" w:fill="auto"/>
            <w:noWrap/>
            <w:vAlign w:val="center"/>
            <w:hideMark/>
          </w:tcPr>
          <w:p w:rsidR="00322999" w:rsidRPr="00942766" w:rsidRDefault="00322999" w:rsidP="00080173">
            <w:pPr>
              <w:jc w:val="center"/>
              <w:rPr>
                <w:b/>
                <w:bCs/>
                <w:sz w:val="18"/>
                <w:szCs w:val="18"/>
              </w:rPr>
            </w:pPr>
          </w:p>
        </w:tc>
        <w:tc>
          <w:tcPr>
            <w:tcW w:w="1192" w:type="dxa"/>
            <w:tcBorders>
              <w:top w:val="nil"/>
              <w:left w:val="nil"/>
              <w:bottom w:val="nil"/>
              <w:right w:val="nil"/>
            </w:tcBorders>
            <w:shd w:val="clear" w:color="auto" w:fill="auto"/>
            <w:noWrap/>
            <w:vAlign w:val="center"/>
            <w:hideMark/>
          </w:tcPr>
          <w:p w:rsidR="00322999" w:rsidRPr="00942766" w:rsidRDefault="00322999" w:rsidP="00080173">
            <w:pPr>
              <w:jc w:val="center"/>
              <w:rPr>
                <w:sz w:val="18"/>
                <w:szCs w:val="18"/>
              </w:rPr>
            </w:pPr>
          </w:p>
        </w:tc>
        <w:tc>
          <w:tcPr>
            <w:tcW w:w="1192" w:type="dxa"/>
            <w:tcBorders>
              <w:top w:val="nil"/>
              <w:left w:val="nil"/>
              <w:bottom w:val="nil"/>
              <w:right w:val="nil"/>
            </w:tcBorders>
            <w:shd w:val="clear" w:color="auto" w:fill="auto"/>
            <w:noWrap/>
            <w:vAlign w:val="center"/>
            <w:hideMark/>
          </w:tcPr>
          <w:p w:rsidR="00322999" w:rsidRPr="00942766" w:rsidRDefault="00322999" w:rsidP="00080173">
            <w:pPr>
              <w:jc w:val="center"/>
              <w:rPr>
                <w:sz w:val="18"/>
                <w:szCs w:val="18"/>
              </w:rPr>
            </w:pPr>
          </w:p>
        </w:tc>
        <w:tc>
          <w:tcPr>
            <w:tcW w:w="1192" w:type="dxa"/>
            <w:tcBorders>
              <w:top w:val="nil"/>
              <w:left w:val="nil"/>
              <w:bottom w:val="nil"/>
              <w:right w:val="single" w:sz="4" w:space="0" w:color="auto"/>
            </w:tcBorders>
            <w:shd w:val="clear" w:color="auto" w:fill="auto"/>
            <w:noWrap/>
            <w:vAlign w:val="center"/>
            <w:hideMark/>
          </w:tcPr>
          <w:p w:rsidR="00322999" w:rsidRPr="00942766" w:rsidRDefault="00322999" w:rsidP="00080173">
            <w:pPr>
              <w:jc w:val="center"/>
              <w:rPr>
                <w:sz w:val="18"/>
                <w:szCs w:val="18"/>
              </w:rPr>
            </w:pPr>
          </w:p>
        </w:tc>
        <w:tc>
          <w:tcPr>
            <w:tcW w:w="1192" w:type="dxa"/>
            <w:tcBorders>
              <w:top w:val="nil"/>
              <w:left w:val="single" w:sz="4" w:space="0" w:color="auto"/>
              <w:bottom w:val="nil"/>
              <w:right w:val="nil"/>
            </w:tcBorders>
            <w:shd w:val="clear" w:color="auto" w:fill="auto"/>
            <w:noWrap/>
            <w:vAlign w:val="center"/>
            <w:hideMark/>
          </w:tcPr>
          <w:p w:rsidR="00322999" w:rsidRPr="00942766" w:rsidRDefault="00322999" w:rsidP="00080173">
            <w:pPr>
              <w:jc w:val="center"/>
              <w:rPr>
                <w:sz w:val="18"/>
                <w:szCs w:val="18"/>
              </w:rPr>
            </w:pPr>
          </w:p>
        </w:tc>
      </w:tr>
      <w:tr w:rsidR="00322999" w:rsidRPr="00942766" w:rsidTr="00080173">
        <w:trPr>
          <w:trHeight w:val="300"/>
        </w:trPr>
        <w:tc>
          <w:tcPr>
            <w:tcW w:w="3059" w:type="dxa"/>
            <w:tcBorders>
              <w:top w:val="nil"/>
              <w:left w:val="single" w:sz="4" w:space="0" w:color="auto"/>
              <w:bottom w:val="nil"/>
              <w:right w:val="single" w:sz="12" w:space="0" w:color="auto"/>
            </w:tcBorders>
            <w:shd w:val="clear" w:color="auto" w:fill="auto"/>
            <w:noWrap/>
            <w:vAlign w:val="center"/>
            <w:hideMark/>
          </w:tcPr>
          <w:p w:rsidR="00322999" w:rsidRPr="00942766" w:rsidRDefault="00322999" w:rsidP="002833D4">
            <w:pPr>
              <w:jc w:val="right"/>
              <w:rPr>
                <w:sz w:val="18"/>
                <w:szCs w:val="18"/>
              </w:rPr>
            </w:pPr>
            <w:r w:rsidRPr="00942766">
              <w:rPr>
                <w:sz w:val="18"/>
                <w:szCs w:val="18"/>
              </w:rPr>
              <w:t>&lt;10k</w:t>
            </w:r>
          </w:p>
        </w:tc>
        <w:tc>
          <w:tcPr>
            <w:tcW w:w="1193" w:type="dxa"/>
            <w:tcBorders>
              <w:top w:val="nil"/>
              <w:left w:val="single" w:sz="12" w:space="0" w:color="auto"/>
              <w:bottom w:val="nil"/>
              <w:right w:val="nil"/>
            </w:tcBorders>
            <w:shd w:val="clear" w:color="auto" w:fill="auto"/>
            <w:noWrap/>
            <w:vAlign w:val="center"/>
            <w:hideMark/>
          </w:tcPr>
          <w:p w:rsidR="00322999" w:rsidRPr="00942766" w:rsidRDefault="00322999" w:rsidP="006B6858">
            <w:pPr>
              <w:jc w:val="center"/>
              <w:rPr>
                <w:sz w:val="18"/>
                <w:szCs w:val="18"/>
              </w:rPr>
            </w:pPr>
            <w:r w:rsidRPr="00942766">
              <w:rPr>
                <w:sz w:val="18"/>
                <w:szCs w:val="18"/>
              </w:rPr>
              <w:t>4 (13)</w:t>
            </w:r>
          </w:p>
        </w:tc>
        <w:tc>
          <w:tcPr>
            <w:tcW w:w="1192" w:type="dxa"/>
            <w:tcBorders>
              <w:top w:val="nil"/>
              <w:left w:val="nil"/>
              <w:bottom w:val="nil"/>
              <w:right w:val="nil"/>
            </w:tcBorders>
            <w:shd w:val="clear" w:color="auto" w:fill="auto"/>
            <w:noWrap/>
            <w:vAlign w:val="center"/>
            <w:hideMark/>
          </w:tcPr>
          <w:p w:rsidR="00322999" w:rsidRPr="00942766" w:rsidRDefault="00322999" w:rsidP="006B6858">
            <w:pPr>
              <w:jc w:val="center"/>
              <w:rPr>
                <w:sz w:val="18"/>
                <w:szCs w:val="18"/>
              </w:rPr>
            </w:pPr>
            <w:r w:rsidRPr="00942766">
              <w:rPr>
                <w:sz w:val="18"/>
                <w:szCs w:val="18"/>
              </w:rPr>
              <w:t>2 (1</w:t>
            </w:r>
            <w:r w:rsidR="006B6858" w:rsidRPr="00942766">
              <w:rPr>
                <w:sz w:val="18"/>
                <w:szCs w:val="18"/>
              </w:rPr>
              <w:t>2</w:t>
            </w:r>
            <w:r w:rsidRPr="00942766">
              <w:rPr>
                <w:sz w:val="18"/>
                <w:szCs w:val="18"/>
              </w:rPr>
              <w:t>)</w:t>
            </w:r>
          </w:p>
        </w:tc>
        <w:tc>
          <w:tcPr>
            <w:tcW w:w="1192" w:type="dxa"/>
            <w:tcBorders>
              <w:top w:val="nil"/>
              <w:left w:val="nil"/>
              <w:bottom w:val="nil"/>
              <w:right w:val="nil"/>
            </w:tcBorders>
            <w:shd w:val="clear" w:color="auto" w:fill="auto"/>
            <w:noWrap/>
            <w:vAlign w:val="center"/>
            <w:hideMark/>
          </w:tcPr>
          <w:p w:rsidR="00322999" w:rsidRPr="00942766" w:rsidRDefault="00322999" w:rsidP="006B6858">
            <w:pPr>
              <w:jc w:val="center"/>
              <w:rPr>
                <w:sz w:val="18"/>
                <w:szCs w:val="18"/>
              </w:rPr>
            </w:pPr>
            <w:r w:rsidRPr="00942766">
              <w:rPr>
                <w:sz w:val="18"/>
                <w:szCs w:val="18"/>
              </w:rPr>
              <w:t xml:space="preserve">0 </w:t>
            </w:r>
          </w:p>
        </w:tc>
        <w:tc>
          <w:tcPr>
            <w:tcW w:w="1192" w:type="dxa"/>
            <w:tcBorders>
              <w:top w:val="nil"/>
              <w:left w:val="nil"/>
              <w:bottom w:val="nil"/>
              <w:right w:val="single" w:sz="4" w:space="0" w:color="auto"/>
            </w:tcBorders>
            <w:shd w:val="clear" w:color="auto" w:fill="auto"/>
            <w:noWrap/>
            <w:vAlign w:val="center"/>
            <w:hideMark/>
          </w:tcPr>
          <w:p w:rsidR="00322999" w:rsidRPr="00942766" w:rsidRDefault="00322999" w:rsidP="006B6858">
            <w:pPr>
              <w:jc w:val="center"/>
              <w:rPr>
                <w:sz w:val="18"/>
                <w:szCs w:val="18"/>
              </w:rPr>
            </w:pPr>
            <w:r w:rsidRPr="00942766">
              <w:rPr>
                <w:sz w:val="18"/>
                <w:szCs w:val="18"/>
              </w:rPr>
              <w:t>6 (</w:t>
            </w:r>
            <w:r w:rsidR="006B6858" w:rsidRPr="00942766">
              <w:rPr>
                <w:sz w:val="18"/>
                <w:szCs w:val="18"/>
              </w:rPr>
              <w:t>9</w:t>
            </w:r>
            <w:r w:rsidRPr="00942766">
              <w:rPr>
                <w:sz w:val="18"/>
                <w:szCs w:val="18"/>
              </w:rPr>
              <w:t>)</w:t>
            </w:r>
          </w:p>
        </w:tc>
        <w:tc>
          <w:tcPr>
            <w:tcW w:w="1192" w:type="dxa"/>
            <w:tcBorders>
              <w:top w:val="nil"/>
              <w:left w:val="single" w:sz="4" w:space="0" w:color="auto"/>
              <w:bottom w:val="nil"/>
              <w:right w:val="nil"/>
            </w:tcBorders>
            <w:shd w:val="clear" w:color="auto" w:fill="auto"/>
            <w:noWrap/>
            <w:vAlign w:val="center"/>
            <w:hideMark/>
          </w:tcPr>
          <w:p w:rsidR="00322999" w:rsidRPr="00942766" w:rsidRDefault="00322999" w:rsidP="006B6858">
            <w:pPr>
              <w:jc w:val="center"/>
              <w:rPr>
                <w:sz w:val="18"/>
                <w:szCs w:val="18"/>
              </w:rPr>
            </w:pPr>
            <w:r w:rsidRPr="00942766">
              <w:rPr>
                <w:sz w:val="18"/>
                <w:szCs w:val="18"/>
              </w:rPr>
              <w:t>0</w:t>
            </w:r>
          </w:p>
        </w:tc>
      </w:tr>
      <w:tr w:rsidR="00322999" w:rsidRPr="00942766" w:rsidTr="00080173">
        <w:trPr>
          <w:trHeight w:val="300"/>
        </w:trPr>
        <w:tc>
          <w:tcPr>
            <w:tcW w:w="3059" w:type="dxa"/>
            <w:tcBorders>
              <w:top w:val="nil"/>
              <w:left w:val="single" w:sz="4" w:space="0" w:color="auto"/>
              <w:bottom w:val="nil"/>
              <w:right w:val="single" w:sz="12" w:space="0" w:color="auto"/>
            </w:tcBorders>
            <w:shd w:val="clear" w:color="auto" w:fill="auto"/>
            <w:noWrap/>
            <w:vAlign w:val="center"/>
            <w:hideMark/>
          </w:tcPr>
          <w:p w:rsidR="00322999" w:rsidRPr="00942766" w:rsidRDefault="00322999" w:rsidP="002833D4">
            <w:pPr>
              <w:jc w:val="right"/>
              <w:rPr>
                <w:sz w:val="18"/>
                <w:szCs w:val="18"/>
              </w:rPr>
            </w:pPr>
            <w:r w:rsidRPr="00942766">
              <w:rPr>
                <w:sz w:val="18"/>
                <w:szCs w:val="18"/>
              </w:rPr>
              <w:t>10-20k</w:t>
            </w:r>
          </w:p>
        </w:tc>
        <w:tc>
          <w:tcPr>
            <w:tcW w:w="1193" w:type="dxa"/>
            <w:tcBorders>
              <w:top w:val="nil"/>
              <w:left w:val="single" w:sz="12" w:space="0" w:color="auto"/>
              <w:bottom w:val="nil"/>
              <w:right w:val="nil"/>
            </w:tcBorders>
            <w:shd w:val="clear" w:color="auto" w:fill="auto"/>
            <w:noWrap/>
            <w:vAlign w:val="center"/>
            <w:hideMark/>
          </w:tcPr>
          <w:p w:rsidR="00322999" w:rsidRPr="00942766" w:rsidRDefault="00322999" w:rsidP="006B6858">
            <w:pPr>
              <w:jc w:val="center"/>
              <w:rPr>
                <w:sz w:val="18"/>
                <w:szCs w:val="18"/>
              </w:rPr>
            </w:pPr>
            <w:r w:rsidRPr="00942766">
              <w:rPr>
                <w:sz w:val="18"/>
                <w:szCs w:val="18"/>
              </w:rPr>
              <w:t>6 (20)</w:t>
            </w:r>
          </w:p>
        </w:tc>
        <w:tc>
          <w:tcPr>
            <w:tcW w:w="1192" w:type="dxa"/>
            <w:tcBorders>
              <w:top w:val="nil"/>
              <w:left w:val="nil"/>
              <w:bottom w:val="nil"/>
              <w:right w:val="nil"/>
            </w:tcBorders>
            <w:shd w:val="clear" w:color="auto" w:fill="auto"/>
            <w:noWrap/>
            <w:vAlign w:val="center"/>
            <w:hideMark/>
          </w:tcPr>
          <w:p w:rsidR="00322999" w:rsidRPr="00942766" w:rsidRDefault="00322999" w:rsidP="006B6858">
            <w:pPr>
              <w:jc w:val="center"/>
              <w:rPr>
                <w:sz w:val="18"/>
                <w:szCs w:val="18"/>
              </w:rPr>
            </w:pPr>
            <w:r w:rsidRPr="00942766">
              <w:rPr>
                <w:sz w:val="18"/>
                <w:szCs w:val="18"/>
              </w:rPr>
              <w:t>2 (1</w:t>
            </w:r>
            <w:r w:rsidR="006B6858" w:rsidRPr="00942766">
              <w:rPr>
                <w:sz w:val="18"/>
                <w:szCs w:val="18"/>
              </w:rPr>
              <w:t>2</w:t>
            </w:r>
            <w:r w:rsidRPr="00942766">
              <w:rPr>
                <w:sz w:val="18"/>
                <w:szCs w:val="18"/>
              </w:rPr>
              <w:t>)</w:t>
            </w:r>
          </w:p>
        </w:tc>
        <w:tc>
          <w:tcPr>
            <w:tcW w:w="1192" w:type="dxa"/>
            <w:tcBorders>
              <w:top w:val="nil"/>
              <w:left w:val="nil"/>
              <w:bottom w:val="nil"/>
              <w:right w:val="nil"/>
            </w:tcBorders>
            <w:shd w:val="clear" w:color="auto" w:fill="auto"/>
            <w:noWrap/>
            <w:vAlign w:val="center"/>
            <w:hideMark/>
          </w:tcPr>
          <w:p w:rsidR="00322999" w:rsidRPr="00942766" w:rsidRDefault="00322999" w:rsidP="006B6858">
            <w:pPr>
              <w:jc w:val="center"/>
              <w:rPr>
                <w:sz w:val="18"/>
                <w:szCs w:val="18"/>
              </w:rPr>
            </w:pPr>
            <w:r w:rsidRPr="00942766">
              <w:rPr>
                <w:sz w:val="18"/>
                <w:szCs w:val="18"/>
              </w:rPr>
              <w:t>7 (33)</w:t>
            </w:r>
          </w:p>
        </w:tc>
        <w:tc>
          <w:tcPr>
            <w:tcW w:w="1192" w:type="dxa"/>
            <w:tcBorders>
              <w:top w:val="nil"/>
              <w:left w:val="nil"/>
              <w:bottom w:val="nil"/>
              <w:right w:val="single" w:sz="4" w:space="0" w:color="auto"/>
            </w:tcBorders>
            <w:shd w:val="clear" w:color="auto" w:fill="auto"/>
            <w:noWrap/>
            <w:vAlign w:val="center"/>
            <w:hideMark/>
          </w:tcPr>
          <w:p w:rsidR="00322999" w:rsidRPr="00942766" w:rsidRDefault="00322999" w:rsidP="006B6858">
            <w:pPr>
              <w:jc w:val="center"/>
              <w:rPr>
                <w:sz w:val="18"/>
                <w:szCs w:val="18"/>
              </w:rPr>
            </w:pPr>
            <w:r w:rsidRPr="00942766">
              <w:rPr>
                <w:sz w:val="18"/>
                <w:szCs w:val="18"/>
              </w:rPr>
              <w:t>15 (22)</w:t>
            </w:r>
          </w:p>
        </w:tc>
        <w:tc>
          <w:tcPr>
            <w:tcW w:w="1192" w:type="dxa"/>
            <w:tcBorders>
              <w:top w:val="nil"/>
              <w:left w:val="single" w:sz="4" w:space="0" w:color="auto"/>
              <w:bottom w:val="nil"/>
              <w:right w:val="nil"/>
            </w:tcBorders>
            <w:shd w:val="clear" w:color="auto" w:fill="auto"/>
            <w:noWrap/>
            <w:vAlign w:val="center"/>
            <w:hideMark/>
          </w:tcPr>
          <w:p w:rsidR="00322999" w:rsidRPr="00942766" w:rsidRDefault="00322999" w:rsidP="006B6858">
            <w:pPr>
              <w:jc w:val="center"/>
              <w:rPr>
                <w:sz w:val="18"/>
                <w:szCs w:val="18"/>
              </w:rPr>
            </w:pPr>
            <w:r w:rsidRPr="00942766">
              <w:rPr>
                <w:sz w:val="18"/>
                <w:szCs w:val="18"/>
              </w:rPr>
              <w:t>4 (1</w:t>
            </w:r>
            <w:r w:rsidR="006B6858" w:rsidRPr="00942766">
              <w:rPr>
                <w:sz w:val="18"/>
                <w:szCs w:val="18"/>
              </w:rPr>
              <w:t>1</w:t>
            </w:r>
            <w:r w:rsidRPr="00942766">
              <w:rPr>
                <w:sz w:val="18"/>
                <w:szCs w:val="18"/>
              </w:rPr>
              <w:t>)</w:t>
            </w:r>
          </w:p>
        </w:tc>
      </w:tr>
      <w:tr w:rsidR="00322999" w:rsidRPr="00942766" w:rsidTr="00080173">
        <w:trPr>
          <w:trHeight w:val="300"/>
        </w:trPr>
        <w:tc>
          <w:tcPr>
            <w:tcW w:w="3059" w:type="dxa"/>
            <w:tcBorders>
              <w:top w:val="nil"/>
              <w:left w:val="single" w:sz="4" w:space="0" w:color="auto"/>
              <w:bottom w:val="nil"/>
              <w:right w:val="single" w:sz="12" w:space="0" w:color="auto"/>
            </w:tcBorders>
            <w:shd w:val="clear" w:color="auto" w:fill="auto"/>
            <w:noWrap/>
            <w:vAlign w:val="center"/>
            <w:hideMark/>
          </w:tcPr>
          <w:p w:rsidR="00322999" w:rsidRPr="00942766" w:rsidRDefault="00322999" w:rsidP="002833D4">
            <w:pPr>
              <w:jc w:val="right"/>
              <w:rPr>
                <w:sz w:val="18"/>
                <w:szCs w:val="18"/>
              </w:rPr>
            </w:pPr>
            <w:r w:rsidRPr="00942766">
              <w:rPr>
                <w:sz w:val="18"/>
                <w:szCs w:val="18"/>
              </w:rPr>
              <w:t>21-30k</w:t>
            </w:r>
          </w:p>
        </w:tc>
        <w:tc>
          <w:tcPr>
            <w:tcW w:w="1193" w:type="dxa"/>
            <w:tcBorders>
              <w:top w:val="nil"/>
              <w:left w:val="single" w:sz="12" w:space="0" w:color="auto"/>
              <w:bottom w:val="nil"/>
              <w:right w:val="nil"/>
            </w:tcBorders>
            <w:shd w:val="clear" w:color="auto" w:fill="auto"/>
            <w:noWrap/>
            <w:vAlign w:val="center"/>
            <w:hideMark/>
          </w:tcPr>
          <w:p w:rsidR="00322999" w:rsidRPr="00942766" w:rsidRDefault="00322999" w:rsidP="006B6858">
            <w:pPr>
              <w:jc w:val="center"/>
              <w:rPr>
                <w:sz w:val="18"/>
                <w:szCs w:val="18"/>
              </w:rPr>
            </w:pPr>
            <w:r w:rsidRPr="00942766">
              <w:rPr>
                <w:sz w:val="18"/>
                <w:szCs w:val="18"/>
              </w:rPr>
              <w:t>2 (7)</w:t>
            </w:r>
          </w:p>
        </w:tc>
        <w:tc>
          <w:tcPr>
            <w:tcW w:w="1192" w:type="dxa"/>
            <w:tcBorders>
              <w:top w:val="nil"/>
              <w:left w:val="nil"/>
              <w:bottom w:val="nil"/>
              <w:right w:val="nil"/>
            </w:tcBorders>
            <w:shd w:val="clear" w:color="auto" w:fill="auto"/>
            <w:noWrap/>
            <w:vAlign w:val="center"/>
            <w:hideMark/>
          </w:tcPr>
          <w:p w:rsidR="00322999" w:rsidRPr="00942766" w:rsidRDefault="00322999" w:rsidP="006B6858">
            <w:pPr>
              <w:jc w:val="center"/>
              <w:rPr>
                <w:sz w:val="18"/>
                <w:szCs w:val="18"/>
              </w:rPr>
            </w:pPr>
            <w:r w:rsidRPr="00942766">
              <w:rPr>
                <w:sz w:val="18"/>
                <w:szCs w:val="18"/>
              </w:rPr>
              <w:t>4 (2</w:t>
            </w:r>
            <w:r w:rsidR="006B6858" w:rsidRPr="00942766">
              <w:rPr>
                <w:sz w:val="18"/>
                <w:szCs w:val="18"/>
              </w:rPr>
              <w:t>4</w:t>
            </w:r>
            <w:r w:rsidRPr="00942766">
              <w:rPr>
                <w:sz w:val="18"/>
                <w:szCs w:val="18"/>
              </w:rPr>
              <w:t>)</w:t>
            </w:r>
          </w:p>
        </w:tc>
        <w:tc>
          <w:tcPr>
            <w:tcW w:w="1192" w:type="dxa"/>
            <w:tcBorders>
              <w:top w:val="nil"/>
              <w:left w:val="nil"/>
              <w:bottom w:val="nil"/>
              <w:right w:val="nil"/>
            </w:tcBorders>
            <w:shd w:val="clear" w:color="auto" w:fill="auto"/>
            <w:noWrap/>
            <w:vAlign w:val="center"/>
            <w:hideMark/>
          </w:tcPr>
          <w:p w:rsidR="00322999" w:rsidRPr="00942766" w:rsidRDefault="00322999" w:rsidP="006B6858">
            <w:pPr>
              <w:jc w:val="center"/>
              <w:rPr>
                <w:sz w:val="18"/>
                <w:szCs w:val="18"/>
              </w:rPr>
            </w:pPr>
            <w:r w:rsidRPr="00942766">
              <w:rPr>
                <w:sz w:val="18"/>
                <w:szCs w:val="18"/>
              </w:rPr>
              <w:t>2 (</w:t>
            </w:r>
            <w:r w:rsidR="006B6858" w:rsidRPr="00942766">
              <w:rPr>
                <w:sz w:val="18"/>
                <w:szCs w:val="18"/>
              </w:rPr>
              <w:t>10</w:t>
            </w:r>
            <w:r w:rsidRPr="00942766">
              <w:rPr>
                <w:sz w:val="18"/>
                <w:szCs w:val="18"/>
              </w:rPr>
              <w:t>)</w:t>
            </w:r>
          </w:p>
        </w:tc>
        <w:tc>
          <w:tcPr>
            <w:tcW w:w="1192" w:type="dxa"/>
            <w:tcBorders>
              <w:top w:val="nil"/>
              <w:left w:val="nil"/>
              <w:bottom w:val="nil"/>
              <w:right w:val="single" w:sz="4" w:space="0" w:color="auto"/>
            </w:tcBorders>
            <w:shd w:val="clear" w:color="auto" w:fill="auto"/>
            <w:noWrap/>
            <w:vAlign w:val="center"/>
            <w:hideMark/>
          </w:tcPr>
          <w:p w:rsidR="00322999" w:rsidRPr="00942766" w:rsidRDefault="00322999" w:rsidP="006B6858">
            <w:pPr>
              <w:jc w:val="center"/>
              <w:rPr>
                <w:sz w:val="18"/>
                <w:szCs w:val="18"/>
              </w:rPr>
            </w:pPr>
            <w:r w:rsidRPr="00942766">
              <w:rPr>
                <w:sz w:val="18"/>
                <w:szCs w:val="18"/>
              </w:rPr>
              <w:t>8 (1</w:t>
            </w:r>
            <w:r w:rsidR="006B6858" w:rsidRPr="00942766">
              <w:rPr>
                <w:sz w:val="18"/>
                <w:szCs w:val="18"/>
              </w:rPr>
              <w:t>2</w:t>
            </w:r>
            <w:r w:rsidRPr="00942766">
              <w:rPr>
                <w:sz w:val="18"/>
                <w:szCs w:val="18"/>
              </w:rPr>
              <w:t>)</w:t>
            </w:r>
          </w:p>
        </w:tc>
        <w:tc>
          <w:tcPr>
            <w:tcW w:w="1192" w:type="dxa"/>
            <w:tcBorders>
              <w:top w:val="nil"/>
              <w:left w:val="single" w:sz="4" w:space="0" w:color="auto"/>
              <w:bottom w:val="nil"/>
              <w:right w:val="nil"/>
            </w:tcBorders>
            <w:shd w:val="clear" w:color="auto" w:fill="auto"/>
            <w:noWrap/>
            <w:vAlign w:val="center"/>
            <w:hideMark/>
          </w:tcPr>
          <w:p w:rsidR="00322999" w:rsidRPr="00942766" w:rsidRDefault="00322999" w:rsidP="006B6858">
            <w:pPr>
              <w:jc w:val="center"/>
              <w:rPr>
                <w:sz w:val="18"/>
                <w:szCs w:val="18"/>
              </w:rPr>
            </w:pPr>
            <w:r w:rsidRPr="00942766">
              <w:rPr>
                <w:sz w:val="18"/>
                <w:szCs w:val="18"/>
              </w:rPr>
              <w:t>7 (19)</w:t>
            </w:r>
          </w:p>
        </w:tc>
      </w:tr>
      <w:tr w:rsidR="00322999" w:rsidRPr="00942766" w:rsidTr="00080173">
        <w:trPr>
          <w:trHeight w:val="300"/>
        </w:trPr>
        <w:tc>
          <w:tcPr>
            <w:tcW w:w="3059" w:type="dxa"/>
            <w:tcBorders>
              <w:top w:val="nil"/>
              <w:left w:val="single" w:sz="4" w:space="0" w:color="auto"/>
              <w:bottom w:val="nil"/>
              <w:right w:val="single" w:sz="12" w:space="0" w:color="auto"/>
            </w:tcBorders>
            <w:shd w:val="clear" w:color="auto" w:fill="auto"/>
            <w:noWrap/>
            <w:vAlign w:val="center"/>
            <w:hideMark/>
          </w:tcPr>
          <w:p w:rsidR="00322999" w:rsidRPr="00942766" w:rsidRDefault="00322999" w:rsidP="002833D4">
            <w:pPr>
              <w:jc w:val="right"/>
              <w:rPr>
                <w:sz w:val="18"/>
                <w:szCs w:val="18"/>
              </w:rPr>
            </w:pPr>
            <w:r w:rsidRPr="00942766">
              <w:rPr>
                <w:sz w:val="18"/>
                <w:szCs w:val="18"/>
              </w:rPr>
              <w:t>31-40k</w:t>
            </w:r>
          </w:p>
        </w:tc>
        <w:tc>
          <w:tcPr>
            <w:tcW w:w="1193" w:type="dxa"/>
            <w:tcBorders>
              <w:top w:val="nil"/>
              <w:left w:val="single" w:sz="12" w:space="0" w:color="auto"/>
              <w:bottom w:val="nil"/>
              <w:right w:val="nil"/>
            </w:tcBorders>
            <w:shd w:val="clear" w:color="auto" w:fill="auto"/>
            <w:noWrap/>
            <w:vAlign w:val="center"/>
            <w:hideMark/>
          </w:tcPr>
          <w:p w:rsidR="00322999" w:rsidRPr="00942766" w:rsidRDefault="00322999" w:rsidP="006B6858">
            <w:pPr>
              <w:jc w:val="center"/>
              <w:rPr>
                <w:sz w:val="18"/>
                <w:szCs w:val="18"/>
              </w:rPr>
            </w:pPr>
            <w:r w:rsidRPr="00942766">
              <w:rPr>
                <w:sz w:val="18"/>
                <w:szCs w:val="18"/>
              </w:rPr>
              <w:t>7 (23)</w:t>
            </w:r>
          </w:p>
        </w:tc>
        <w:tc>
          <w:tcPr>
            <w:tcW w:w="1192" w:type="dxa"/>
            <w:tcBorders>
              <w:top w:val="nil"/>
              <w:left w:val="nil"/>
              <w:bottom w:val="nil"/>
              <w:right w:val="nil"/>
            </w:tcBorders>
            <w:shd w:val="clear" w:color="auto" w:fill="auto"/>
            <w:noWrap/>
            <w:vAlign w:val="center"/>
            <w:hideMark/>
          </w:tcPr>
          <w:p w:rsidR="00322999" w:rsidRPr="00942766" w:rsidRDefault="00322999" w:rsidP="006B6858">
            <w:pPr>
              <w:jc w:val="center"/>
              <w:rPr>
                <w:sz w:val="18"/>
                <w:szCs w:val="18"/>
              </w:rPr>
            </w:pPr>
            <w:r w:rsidRPr="00942766">
              <w:rPr>
                <w:sz w:val="18"/>
                <w:szCs w:val="18"/>
              </w:rPr>
              <w:t>2 (1</w:t>
            </w:r>
            <w:r w:rsidR="006B6858" w:rsidRPr="00942766">
              <w:rPr>
                <w:sz w:val="18"/>
                <w:szCs w:val="18"/>
              </w:rPr>
              <w:t>2</w:t>
            </w:r>
            <w:r w:rsidRPr="00942766">
              <w:rPr>
                <w:sz w:val="18"/>
                <w:szCs w:val="18"/>
              </w:rPr>
              <w:t>)</w:t>
            </w:r>
          </w:p>
        </w:tc>
        <w:tc>
          <w:tcPr>
            <w:tcW w:w="1192" w:type="dxa"/>
            <w:tcBorders>
              <w:top w:val="nil"/>
              <w:left w:val="nil"/>
              <w:bottom w:val="nil"/>
              <w:right w:val="nil"/>
            </w:tcBorders>
            <w:shd w:val="clear" w:color="auto" w:fill="auto"/>
            <w:noWrap/>
            <w:vAlign w:val="center"/>
            <w:hideMark/>
          </w:tcPr>
          <w:p w:rsidR="00322999" w:rsidRPr="00942766" w:rsidRDefault="00322999" w:rsidP="006B6858">
            <w:pPr>
              <w:jc w:val="center"/>
              <w:rPr>
                <w:sz w:val="18"/>
                <w:szCs w:val="18"/>
              </w:rPr>
            </w:pPr>
            <w:r w:rsidRPr="00942766">
              <w:rPr>
                <w:sz w:val="18"/>
                <w:szCs w:val="18"/>
              </w:rPr>
              <w:t>4 (19)</w:t>
            </w:r>
          </w:p>
        </w:tc>
        <w:tc>
          <w:tcPr>
            <w:tcW w:w="1192" w:type="dxa"/>
            <w:tcBorders>
              <w:top w:val="nil"/>
              <w:left w:val="nil"/>
              <w:bottom w:val="nil"/>
              <w:right w:val="single" w:sz="4" w:space="0" w:color="auto"/>
            </w:tcBorders>
            <w:shd w:val="clear" w:color="auto" w:fill="auto"/>
            <w:noWrap/>
            <w:vAlign w:val="center"/>
            <w:hideMark/>
          </w:tcPr>
          <w:p w:rsidR="00322999" w:rsidRPr="00942766" w:rsidRDefault="00322999" w:rsidP="006B6858">
            <w:pPr>
              <w:jc w:val="center"/>
              <w:rPr>
                <w:sz w:val="18"/>
                <w:szCs w:val="18"/>
              </w:rPr>
            </w:pPr>
            <w:r w:rsidRPr="00942766">
              <w:rPr>
                <w:sz w:val="18"/>
                <w:szCs w:val="18"/>
              </w:rPr>
              <w:t>13 (19)</w:t>
            </w:r>
          </w:p>
        </w:tc>
        <w:tc>
          <w:tcPr>
            <w:tcW w:w="1192" w:type="dxa"/>
            <w:tcBorders>
              <w:top w:val="nil"/>
              <w:left w:val="single" w:sz="4" w:space="0" w:color="auto"/>
              <w:bottom w:val="nil"/>
              <w:right w:val="nil"/>
            </w:tcBorders>
            <w:shd w:val="clear" w:color="auto" w:fill="auto"/>
            <w:noWrap/>
            <w:vAlign w:val="center"/>
            <w:hideMark/>
          </w:tcPr>
          <w:p w:rsidR="00322999" w:rsidRPr="00942766" w:rsidRDefault="00322999" w:rsidP="006B6858">
            <w:pPr>
              <w:jc w:val="center"/>
              <w:rPr>
                <w:sz w:val="18"/>
                <w:szCs w:val="18"/>
              </w:rPr>
            </w:pPr>
            <w:r w:rsidRPr="00942766">
              <w:rPr>
                <w:sz w:val="18"/>
                <w:szCs w:val="18"/>
              </w:rPr>
              <w:t>4 (1</w:t>
            </w:r>
            <w:r w:rsidR="006B6858" w:rsidRPr="00942766">
              <w:rPr>
                <w:sz w:val="18"/>
                <w:szCs w:val="18"/>
              </w:rPr>
              <w:t>1</w:t>
            </w:r>
            <w:r w:rsidRPr="00942766">
              <w:rPr>
                <w:sz w:val="18"/>
                <w:szCs w:val="18"/>
              </w:rPr>
              <w:t>)</w:t>
            </w:r>
          </w:p>
        </w:tc>
      </w:tr>
      <w:tr w:rsidR="00322999" w:rsidRPr="00942766" w:rsidTr="00080173">
        <w:trPr>
          <w:trHeight w:val="300"/>
        </w:trPr>
        <w:tc>
          <w:tcPr>
            <w:tcW w:w="3059" w:type="dxa"/>
            <w:tcBorders>
              <w:top w:val="nil"/>
              <w:left w:val="single" w:sz="4" w:space="0" w:color="auto"/>
              <w:bottom w:val="nil"/>
              <w:right w:val="single" w:sz="12" w:space="0" w:color="auto"/>
            </w:tcBorders>
            <w:shd w:val="clear" w:color="auto" w:fill="auto"/>
            <w:noWrap/>
            <w:vAlign w:val="center"/>
            <w:hideMark/>
          </w:tcPr>
          <w:p w:rsidR="00322999" w:rsidRPr="00942766" w:rsidRDefault="00322999" w:rsidP="002833D4">
            <w:pPr>
              <w:jc w:val="right"/>
              <w:rPr>
                <w:sz w:val="18"/>
                <w:szCs w:val="18"/>
              </w:rPr>
            </w:pPr>
            <w:r w:rsidRPr="00942766">
              <w:rPr>
                <w:sz w:val="18"/>
                <w:szCs w:val="18"/>
              </w:rPr>
              <w:t>41-50k</w:t>
            </w:r>
          </w:p>
        </w:tc>
        <w:tc>
          <w:tcPr>
            <w:tcW w:w="1193" w:type="dxa"/>
            <w:tcBorders>
              <w:top w:val="nil"/>
              <w:left w:val="single" w:sz="12" w:space="0" w:color="auto"/>
              <w:bottom w:val="nil"/>
              <w:right w:val="nil"/>
            </w:tcBorders>
            <w:shd w:val="clear" w:color="auto" w:fill="auto"/>
            <w:noWrap/>
            <w:vAlign w:val="center"/>
            <w:hideMark/>
          </w:tcPr>
          <w:p w:rsidR="00322999" w:rsidRPr="00942766" w:rsidRDefault="00322999" w:rsidP="006B6858">
            <w:pPr>
              <w:jc w:val="center"/>
              <w:rPr>
                <w:sz w:val="18"/>
                <w:szCs w:val="18"/>
              </w:rPr>
            </w:pPr>
            <w:r w:rsidRPr="00942766">
              <w:rPr>
                <w:sz w:val="18"/>
                <w:szCs w:val="18"/>
              </w:rPr>
              <w:t>3 (10)</w:t>
            </w:r>
          </w:p>
        </w:tc>
        <w:tc>
          <w:tcPr>
            <w:tcW w:w="1192" w:type="dxa"/>
            <w:tcBorders>
              <w:top w:val="nil"/>
              <w:left w:val="nil"/>
              <w:bottom w:val="nil"/>
              <w:right w:val="nil"/>
            </w:tcBorders>
            <w:shd w:val="clear" w:color="auto" w:fill="auto"/>
            <w:noWrap/>
            <w:vAlign w:val="center"/>
            <w:hideMark/>
          </w:tcPr>
          <w:p w:rsidR="00322999" w:rsidRPr="00942766" w:rsidRDefault="00322999" w:rsidP="006B6858">
            <w:pPr>
              <w:jc w:val="center"/>
              <w:rPr>
                <w:sz w:val="18"/>
                <w:szCs w:val="18"/>
              </w:rPr>
            </w:pPr>
            <w:r w:rsidRPr="00942766">
              <w:rPr>
                <w:sz w:val="18"/>
                <w:szCs w:val="18"/>
              </w:rPr>
              <w:t>2 (1</w:t>
            </w:r>
            <w:r w:rsidR="006B6858" w:rsidRPr="00942766">
              <w:rPr>
                <w:sz w:val="18"/>
                <w:szCs w:val="18"/>
              </w:rPr>
              <w:t>2</w:t>
            </w:r>
            <w:r w:rsidRPr="00942766">
              <w:rPr>
                <w:sz w:val="18"/>
                <w:szCs w:val="18"/>
              </w:rPr>
              <w:t>)</w:t>
            </w:r>
          </w:p>
        </w:tc>
        <w:tc>
          <w:tcPr>
            <w:tcW w:w="1192" w:type="dxa"/>
            <w:tcBorders>
              <w:top w:val="nil"/>
              <w:left w:val="nil"/>
              <w:bottom w:val="nil"/>
              <w:right w:val="nil"/>
            </w:tcBorders>
            <w:shd w:val="clear" w:color="auto" w:fill="auto"/>
            <w:noWrap/>
            <w:vAlign w:val="center"/>
            <w:hideMark/>
          </w:tcPr>
          <w:p w:rsidR="00322999" w:rsidRPr="00942766" w:rsidRDefault="00322999" w:rsidP="006B6858">
            <w:pPr>
              <w:jc w:val="center"/>
              <w:rPr>
                <w:sz w:val="18"/>
                <w:szCs w:val="18"/>
              </w:rPr>
            </w:pPr>
            <w:r w:rsidRPr="00942766">
              <w:rPr>
                <w:sz w:val="18"/>
                <w:szCs w:val="18"/>
              </w:rPr>
              <w:t xml:space="preserve">1 </w:t>
            </w:r>
            <w:r w:rsidR="006B6858" w:rsidRPr="00942766">
              <w:rPr>
                <w:sz w:val="18"/>
                <w:szCs w:val="18"/>
              </w:rPr>
              <w:t>(5</w:t>
            </w:r>
            <w:r w:rsidRPr="00942766">
              <w:rPr>
                <w:sz w:val="18"/>
                <w:szCs w:val="18"/>
              </w:rPr>
              <w:t>)</w:t>
            </w:r>
          </w:p>
        </w:tc>
        <w:tc>
          <w:tcPr>
            <w:tcW w:w="1192" w:type="dxa"/>
            <w:tcBorders>
              <w:top w:val="nil"/>
              <w:left w:val="nil"/>
              <w:bottom w:val="nil"/>
              <w:right w:val="single" w:sz="4" w:space="0" w:color="auto"/>
            </w:tcBorders>
            <w:shd w:val="clear" w:color="auto" w:fill="auto"/>
            <w:noWrap/>
            <w:vAlign w:val="center"/>
            <w:hideMark/>
          </w:tcPr>
          <w:p w:rsidR="00322999" w:rsidRPr="00942766" w:rsidRDefault="00322999" w:rsidP="006B6858">
            <w:pPr>
              <w:jc w:val="center"/>
              <w:rPr>
                <w:sz w:val="18"/>
                <w:szCs w:val="18"/>
              </w:rPr>
            </w:pPr>
            <w:r w:rsidRPr="00942766">
              <w:rPr>
                <w:sz w:val="18"/>
                <w:szCs w:val="18"/>
              </w:rPr>
              <w:t>6 (</w:t>
            </w:r>
            <w:r w:rsidR="006B6858" w:rsidRPr="00942766">
              <w:rPr>
                <w:sz w:val="18"/>
                <w:szCs w:val="18"/>
              </w:rPr>
              <w:t>9</w:t>
            </w:r>
            <w:r w:rsidRPr="00942766">
              <w:rPr>
                <w:sz w:val="18"/>
                <w:szCs w:val="18"/>
              </w:rPr>
              <w:t>)</w:t>
            </w:r>
          </w:p>
        </w:tc>
        <w:tc>
          <w:tcPr>
            <w:tcW w:w="1192" w:type="dxa"/>
            <w:tcBorders>
              <w:top w:val="nil"/>
              <w:left w:val="single" w:sz="4" w:space="0" w:color="auto"/>
              <w:bottom w:val="nil"/>
              <w:right w:val="nil"/>
            </w:tcBorders>
            <w:shd w:val="clear" w:color="auto" w:fill="auto"/>
            <w:noWrap/>
            <w:vAlign w:val="center"/>
            <w:hideMark/>
          </w:tcPr>
          <w:p w:rsidR="00322999" w:rsidRPr="00942766" w:rsidRDefault="00322999" w:rsidP="006B6858">
            <w:pPr>
              <w:jc w:val="center"/>
              <w:rPr>
                <w:sz w:val="18"/>
                <w:szCs w:val="18"/>
              </w:rPr>
            </w:pPr>
            <w:r w:rsidRPr="00942766">
              <w:rPr>
                <w:sz w:val="18"/>
                <w:szCs w:val="18"/>
              </w:rPr>
              <w:t>5 (1</w:t>
            </w:r>
            <w:r w:rsidR="006B6858" w:rsidRPr="00942766">
              <w:rPr>
                <w:sz w:val="18"/>
                <w:szCs w:val="18"/>
              </w:rPr>
              <w:t>4</w:t>
            </w:r>
            <w:r w:rsidRPr="00942766">
              <w:rPr>
                <w:sz w:val="18"/>
                <w:szCs w:val="18"/>
              </w:rPr>
              <w:t>)</w:t>
            </w:r>
          </w:p>
        </w:tc>
      </w:tr>
      <w:tr w:rsidR="00322999" w:rsidRPr="00942766" w:rsidTr="00080173">
        <w:trPr>
          <w:trHeight w:val="300"/>
        </w:trPr>
        <w:tc>
          <w:tcPr>
            <w:tcW w:w="3059" w:type="dxa"/>
            <w:tcBorders>
              <w:top w:val="nil"/>
              <w:left w:val="single" w:sz="4" w:space="0" w:color="auto"/>
              <w:bottom w:val="nil"/>
              <w:right w:val="single" w:sz="12" w:space="0" w:color="auto"/>
            </w:tcBorders>
            <w:shd w:val="clear" w:color="auto" w:fill="auto"/>
            <w:noWrap/>
            <w:vAlign w:val="center"/>
            <w:hideMark/>
          </w:tcPr>
          <w:p w:rsidR="00322999" w:rsidRPr="00942766" w:rsidRDefault="00322999" w:rsidP="002833D4">
            <w:pPr>
              <w:jc w:val="right"/>
              <w:rPr>
                <w:sz w:val="18"/>
                <w:szCs w:val="18"/>
              </w:rPr>
            </w:pPr>
            <w:r w:rsidRPr="00942766">
              <w:rPr>
                <w:sz w:val="18"/>
                <w:szCs w:val="18"/>
              </w:rPr>
              <w:t>&gt;50k</w:t>
            </w:r>
          </w:p>
        </w:tc>
        <w:tc>
          <w:tcPr>
            <w:tcW w:w="1193" w:type="dxa"/>
            <w:tcBorders>
              <w:top w:val="nil"/>
              <w:left w:val="single" w:sz="12" w:space="0" w:color="auto"/>
              <w:bottom w:val="nil"/>
              <w:right w:val="nil"/>
            </w:tcBorders>
            <w:shd w:val="clear" w:color="auto" w:fill="auto"/>
            <w:noWrap/>
            <w:vAlign w:val="center"/>
            <w:hideMark/>
          </w:tcPr>
          <w:p w:rsidR="00322999" w:rsidRPr="00942766" w:rsidRDefault="00322999" w:rsidP="006B6858">
            <w:pPr>
              <w:jc w:val="center"/>
              <w:rPr>
                <w:sz w:val="18"/>
                <w:szCs w:val="18"/>
              </w:rPr>
            </w:pPr>
            <w:r w:rsidRPr="00942766">
              <w:rPr>
                <w:sz w:val="18"/>
                <w:szCs w:val="18"/>
              </w:rPr>
              <w:t>8 (27)</w:t>
            </w:r>
          </w:p>
        </w:tc>
        <w:tc>
          <w:tcPr>
            <w:tcW w:w="1192" w:type="dxa"/>
            <w:tcBorders>
              <w:top w:val="nil"/>
              <w:left w:val="nil"/>
              <w:bottom w:val="nil"/>
              <w:right w:val="nil"/>
            </w:tcBorders>
            <w:shd w:val="clear" w:color="auto" w:fill="auto"/>
            <w:noWrap/>
            <w:vAlign w:val="center"/>
            <w:hideMark/>
          </w:tcPr>
          <w:p w:rsidR="00322999" w:rsidRPr="00942766" w:rsidRDefault="00322999" w:rsidP="006B6858">
            <w:pPr>
              <w:jc w:val="center"/>
              <w:rPr>
                <w:sz w:val="18"/>
                <w:szCs w:val="18"/>
              </w:rPr>
            </w:pPr>
            <w:r w:rsidRPr="00942766">
              <w:rPr>
                <w:sz w:val="18"/>
                <w:szCs w:val="18"/>
              </w:rPr>
              <w:t>5 (29)</w:t>
            </w:r>
          </w:p>
        </w:tc>
        <w:tc>
          <w:tcPr>
            <w:tcW w:w="1192" w:type="dxa"/>
            <w:tcBorders>
              <w:top w:val="nil"/>
              <w:left w:val="nil"/>
              <w:bottom w:val="nil"/>
              <w:right w:val="nil"/>
            </w:tcBorders>
            <w:shd w:val="clear" w:color="auto" w:fill="auto"/>
            <w:noWrap/>
            <w:vAlign w:val="center"/>
            <w:hideMark/>
          </w:tcPr>
          <w:p w:rsidR="00322999" w:rsidRPr="00942766" w:rsidRDefault="00322999" w:rsidP="006B6858">
            <w:pPr>
              <w:jc w:val="center"/>
              <w:rPr>
                <w:sz w:val="18"/>
                <w:szCs w:val="18"/>
              </w:rPr>
            </w:pPr>
            <w:r w:rsidRPr="00942766">
              <w:rPr>
                <w:sz w:val="18"/>
                <w:szCs w:val="18"/>
              </w:rPr>
              <w:t>7 (33)</w:t>
            </w:r>
          </w:p>
        </w:tc>
        <w:tc>
          <w:tcPr>
            <w:tcW w:w="1192" w:type="dxa"/>
            <w:tcBorders>
              <w:top w:val="nil"/>
              <w:left w:val="nil"/>
              <w:bottom w:val="nil"/>
              <w:right w:val="single" w:sz="4" w:space="0" w:color="auto"/>
            </w:tcBorders>
            <w:shd w:val="clear" w:color="auto" w:fill="auto"/>
            <w:noWrap/>
            <w:vAlign w:val="center"/>
            <w:hideMark/>
          </w:tcPr>
          <w:p w:rsidR="00322999" w:rsidRPr="00942766" w:rsidRDefault="00322999" w:rsidP="006B6858">
            <w:pPr>
              <w:jc w:val="center"/>
              <w:rPr>
                <w:sz w:val="18"/>
                <w:szCs w:val="18"/>
              </w:rPr>
            </w:pPr>
            <w:r w:rsidRPr="00942766">
              <w:rPr>
                <w:sz w:val="18"/>
                <w:szCs w:val="18"/>
              </w:rPr>
              <w:t>20 (29)</w:t>
            </w:r>
          </w:p>
        </w:tc>
        <w:tc>
          <w:tcPr>
            <w:tcW w:w="1192" w:type="dxa"/>
            <w:tcBorders>
              <w:top w:val="nil"/>
              <w:left w:val="single" w:sz="4" w:space="0" w:color="auto"/>
              <w:bottom w:val="nil"/>
              <w:right w:val="nil"/>
            </w:tcBorders>
            <w:shd w:val="clear" w:color="auto" w:fill="auto"/>
            <w:noWrap/>
            <w:vAlign w:val="center"/>
            <w:hideMark/>
          </w:tcPr>
          <w:p w:rsidR="00322999" w:rsidRPr="00942766" w:rsidRDefault="00322999" w:rsidP="006B6858">
            <w:pPr>
              <w:jc w:val="center"/>
              <w:rPr>
                <w:sz w:val="18"/>
                <w:szCs w:val="18"/>
              </w:rPr>
            </w:pPr>
            <w:r w:rsidRPr="00942766">
              <w:rPr>
                <w:sz w:val="18"/>
                <w:szCs w:val="18"/>
              </w:rPr>
              <w:t>17 (46)</w:t>
            </w:r>
          </w:p>
        </w:tc>
      </w:tr>
      <w:tr w:rsidR="00322999" w:rsidRPr="00942766" w:rsidTr="00080173">
        <w:trPr>
          <w:trHeight w:val="340"/>
        </w:trPr>
        <w:tc>
          <w:tcPr>
            <w:tcW w:w="3059" w:type="dxa"/>
            <w:tcBorders>
              <w:top w:val="nil"/>
              <w:left w:val="single" w:sz="4" w:space="0" w:color="auto"/>
              <w:bottom w:val="nil"/>
              <w:right w:val="single" w:sz="12" w:space="0" w:color="auto"/>
            </w:tcBorders>
            <w:shd w:val="clear" w:color="auto" w:fill="auto"/>
            <w:hideMark/>
          </w:tcPr>
          <w:p w:rsidR="00322999" w:rsidRPr="00942766" w:rsidRDefault="00322999" w:rsidP="002833D4">
            <w:pPr>
              <w:rPr>
                <w:b/>
                <w:bCs/>
                <w:sz w:val="18"/>
                <w:szCs w:val="18"/>
              </w:rPr>
            </w:pPr>
            <w:r w:rsidRPr="00942766">
              <w:rPr>
                <w:b/>
                <w:bCs/>
                <w:sz w:val="18"/>
                <w:szCs w:val="18"/>
              </w:rPr>
              <w:t>Additional medical conditions</w:t>
            </w:r>
            <w:r w:rsidRPr="00942766">
              <w:rPr>
                <w:b/>
                <w:bCs/>
                <w:sz w:val="18"/>
                <w:szCs w:val="18"/>
                <w:vertAlign w:val="superscript"/>
              </w:rPr>
              <w:t>4</w:t>
            </w:r>
          </w:p>
        </w:tc>
        <w:tc>
          <w:tcPr>
            <w:tcW w:w="1193" w:type="dxa"/>
            <w:tcBorders>
              <w:top w:val="nil"/>
              <w:left w:val="single" w:sz="12" w:space="0" w:color="auto"/>
              <w:bottom w:val="nil"/>
              <w:right w:val="nil"/>
            </w:tcBorders>
            <w:shd w:val="clear" w:color="auto" w:fill="auto"/>
            <w:noWrap/>
            <w:vAlign w:val="center"/>
            <w:hideMark/>
          </w:tcPr>
          <w:p w:rsidR="00322999" w:rsidRPr="00942766" w:rsidRDefault="00322999" w:rsidP="006B6858">
            <w:pPr>
              <w:jc w:val="center"/>
              <w:rPr>
                <w:sz w:val="18"/>
                <w:szCs w:val="18"/>
              </w:rPr>
            </w:pPr>
            <w:r w:rsidRPr="00942766">
              <w:rPr>
                <w:sz w:val="18"/>
                <w:szCs w:val="18"/>
              </w:rPr>
              <w:t>9 (28)</w:t>
            </w:r>
          </w:p>
        </w:tc>
        <w:tc>
          <w:tcPr>
            <w:tcW w:w="1192" w:type="dxa"/>
            <w:tcBorders>
              <w:top w:val="nil"/>
              <w:left w:val="nil"/>
              <w:bottom w:val="nil"/>
              <w:right w:val="nil"/>
            </w:tcBorders>
            <w:shd w:val="clear" w:color="auto" w:fill="auto"/>
            <w:noWrap/>
            <w:vAlign w:val="center"/>
            <w:hideMark/>
          </w:tcPr>
          <w:p w:rsidR="00322999" w:rsidRPr="00942766" w:rsidRDefault="00322999" w:rsidP="006B6858">
            <w:pPr>
              <w:jc w:val="center"/>
              <w:rPr>
                <w:sz w:val="18"/>
                <w:szCs w:val="18"/>
              </w:rPr>
            </w:pPr>
            <w:r w:rsidRPr="00942766">
              <w:rPr>
                <w:sz w:val="18"/>
                <w:szCs w:val="18"/>
              </w:rPr>
              <w:t>3 (11)</w:t>
            </w:r>
          </w:p>
        </w:tc>
        <w:tc>
          <w:tcPr>
            <w:tcW w:w="1192" w:type="dxa"/>
            <w:tcBorders>
              <w:top w:val="nil"/>
              <w:left w:val="nil"/>
              <w:bottom w:val="nil"/>
              <w:right w:val="nil"/>
            </w:tcBorders>
            <w:shd w:val="clear" w:color="auto" w:fill="auto"/>
            <w:noWrap/>
            <w:vAlign w:val="center"/>
            <w:hideMark/>
          </w:tcPr>
          <w:p w:rsidR="00322999" w:rsidRPr="00942766" w:rsidRDefault="00322999" w:rsidP="006B6858">
            <w:pPr>
              <w:jc w:val="center"/>
              <w:rPr>
                <w:sz w:val="18"/>
                <w:szCs w:val="18"/>
              </w:rPr>
            </w:pPr>
            <w:r w:rsidRPr="00942766">
              <w:rPr>
                <w:sz w:val="18"/>
                <w:szCs w:val="18"/>
              </w:rPr>
              <w:t>4 (17)</w:t>
            </w:r>
          </w:p>
        </w:tc>
        <w:tc>
          <w:tcPr>
            <w:tcW w:w="1192" w:type="dxa"/>
            <w:tcBorders>
              <w:top w:val="nil"/>
              <w:left w:val="nil"/>
              <w:bottom w:val="nil"/>
              <w:right w:val="single" w:sz="4" w:space="0" w:color="auto"/>
            </w:tcBorders>
            <w:shd w:val="clear" w:color="auto" w:fill="auto"/>
            <w:noWrap/>
            <w:vAlign w:val="center"/>
            <w:hideMark/>
          </w:tcPr>
          <w:p w:rsidR="00322999" w:rsidRPr="00942766" w:rsidRDefault="00322999" w:rsidP="006B6858">
            <w:pPr>
              <w:jc w:val="center"/>
              <w:rPr>
                <w:sz w:val="18"/>
                <w:szCs w:val="18"/>
              </w:rPr>
            </w:pPr>
            <w:r w:rsidRPr="00942766">
              <w:rPr>
                <w:sz w:val="18"/>
                <w:szCs w:val="18"/>
              </w:rPr>
              <w:t>16 (2</w:t>
            </w:r>
            <w:r w:rsidR="006B6858" w:rsidRPr="00942766">
              <w:rPr>
                <w:sz w:val="18"/>
                <w:szCs w:val="18"/>
              </w:rPr>
              <w:t>2</w:t>
            </w:r>
            <w:r w:rsidRPr="00942766">
              <w:rPr>
                <w:sz w:val="18"/>
                <w:szCs w:val="18"/>
              </w:rPr>
              <w:t>)</w:t>
            </w:r>
          </w:p>
        </w:tc>
        <w:tc>
          <w:tcPr>
            <w:tcW w:w="1192" w:type="dxa"/>
            <w:tcBorders>
              <w:top w:val="nil"/>
              <w:left w:val="single" w:sz="4" w:space="0" w:color="auto"/>
              <w:bottom w:val="nil"/>
              <w:right w:val="nil"/>
            </w:tcBorders>
            <w:shd w:val="clear" w:color="auto" w:fill="auto"/>
            <w:noWrap/>
            <w:vAlign w:val="center"/>
            <w:hideMark/>
          </w:tcPr>
          <w:p w:rsidR="00322999" w:rsidRPr="00942766" w:rsidRDefault="00322999" w:rsidP="006B6858">
            <w:pPr>
              <w:jc w:val="center"/>
              <w:rPr>
                <w:sz w:val="18"/>
                <w:szCs w:val="18"/>
              </w:rPr>
            </w:pPr>
            <w:r w:rsidRPr="00942766">
              <w:rPr>
                <w:sz w:val="18"/>
                <w:szCs w:val="18"/>
              </w:rPr>
              <w:t>1 (</w:t>
            </w:r>
            <w:r w:rsidR="006B6858" w:rsidRPr="00942766">
              <w:rPr>
                <w:sz w:val="18"/>
                <w:szCs w:val="18"/>
              </w:rPr>
              <w:t>3</w:t>
            </w:r>
            <w:r w:rsidRPr="00942766">
              <w:rPr>
                <w:sz w:val="18"/>
                <w:szCs w:val="18"/>
              </w:rPr>
              <w:t>)</w:t>
            </w:r>
          </w:p>
        </w:tc>
      </w:tr>
      <w:tr w:rsidR="00322999" w:rsidRPr="00942766" w:rsidTr="00080173">
        <w:trPr>
          <w:trHeight w:val="300"/>
        </w:trPr>
        <w:tc>
          <w:tcPr>
            <w:tcW w:w="3059" w:type="dxa"/>
            <w:tcBorders>
              <w:top w:val="nil"/>
              <w:left w:val="single" w:sz="4" w:space="0" w:color="auto"/>
              <w:bottom w:val="nil"/>
              <w:right w:val="single" w:sz="12" w:space="0" w:color="auto"/>
            </w:tcBorders>
            <w:shd w:val="clear" w:color="auto" w:fill="auto"/>
            <w:hideMark/>
          </w:tcPr>
          <w:p w:rsidR="00322999" w:rsidRPr="00942766" w:rsidRDefault="00322999" w:rsidP="00322999">
            <w:pPr>
              <w:rPr>
                <w:b/>
                <w:bCs/>
                <w:sz w:val="18"/>
                <w:szCs w:val="18"/>
              </w:rPr>
            </w:pPr>
            <w:r w:rsidRPr="00942766">
              <w:rPr>
                <w:b/>
                <w:bCs/>
                <w:sz w:val="18"/>
                <w:szCs w:val="18"/>
              </w:rPr>
              <w:t>Hearing Aids</w:t>
            </w:r>
          </w:p>
        </w:tc>
        <w:tc>
          <w:tcPr>
            <w:tcW w:w="1193" w:type="dxa"/>
            <w:tcBorders>
              <w:top w:val="nil"/>
              <w:left w:val="single" w:sz="12" w:space="0" w:color="auto"/>
              <w:bottom w:val="nil"/>
              <w:right w:val="nil"/>
            </w:tcBorders>
            <w:shd w:val="clear" w:color="auto" w:fill="auto"/>
            <w:noWrap/>
            <w:vAlign w:val="center"/>
            <w:hideMark/>
          </w:tcPr>
          <w:p w:rsidR="00322999" w:rsidRPr="00942766" w:rsidRDefault="00322999" w:rsidP="00080173">
            <w:pPr>
              <w:jc w:val="center"/>
              <w:rPr>
                <w:b/>
                <w:bCs/>
                <w:sz w:val="18"/>
                <w:szCs w:val="18"/>
              </w:rPr>
            </w:pPr>
          </w:p>
        </w:tc>
        <w:tc>
          <w:tcPr>
            <w:tcW w:w="1192" w:type="dxa"/>
            <w:tcBorders>
              <w:top w:val="nil"/>
              <w:left w:val="nil"/>
              <w:bottom w:val="nil"/>
              <w:right w:val="nil"/>
            </w:tcBorders>
            <w:shd w:val="clear" w:color="auto" w:fill="auto"/>
            <w:noWrap/>
            <w:vAlign w:val="center"/>
            <w:hideMark/>
          </w:tcPr>
          <w:p w:rsidR="00322999" w:rsidRPr="00942766" w:rsidRDefault="00322999" w:rsidP="00080173">
            <w:pPr>
              <w:jc w:val="center"/>
              <w:rPr>
                <w:sz w:val="18"/>
                <w:szCs w:val="18"/>
              </w:rPr>
            </w:pPr>
          </w:p>
        </w:tc>
        <w:tc>
          <w:tcPr>
            <w:tcW w:w="1192" w:type="dxa"/>
            <w:tcBorders>
              <w:top w:val="nil"/>
              <w:left w:val="nil"/>
              <w:bottom w:val="nil"/>
              <w:right w:val="nil"/>
            </w:tcBorders>
            <w:shd w:val="clear" w:color="auto" w:fill="auto"/>
            <w:noWrap/>
            <w:vAlign w:val="center"/>
            <w:hideMark/>
          </w:tcPr>
          <w:p w:rsidR="00322999" w:rsidRPr="00942766" w:rsidRDefault="00322999" w:rsidP="00080173">
            <w:pPr>
              <w:jc w:val="center"/>
              <w:rPr>
                <w:sz w:val="18"/>
                <w:szCs w:val="18"/>
              </w:rPr>
            </w:pPr>
          </w:p>
        </w:tc>
        <w:tc>
          <w:tcPr>
            <w:tcW w:w="1192" w:type="dxa"/>
            <w:tcBorders>
              <w:top w:val="nil"/>
              <w:left w:val="nil"/>
              <w:bottom w:val="nil"/>
              <w:right w:val="single" w:sz="4" w:space="0" w:color="auto"/>
            </w:tcBorders>
            <w:shd w:val="clear" w:color="auto" w:fill="auto"/>
            <w:noWrap/>
            <w:vAlign w:val="center"/>
            <w:hideMark/>
          </w:tcPr>
          <w:p w:rsidR="00322999" w:rsidRPr="00942766" w:rsidRDefault="00322999" w:rsidP="00080173">
            <w:pPr>
              <w:jc w:val="center"/>
              <w:rPr>
                <w:sz w:val="18"/>
                <w:szCs w:val="18"/>
              </w:rPr>
            </w:pPr>
          </w:p>
        </w:tc>
        <w:tc>
          <w:tcPr>
            <w:tcW w:w="1192" w:type="dxa"/>
            <w:tcBorders>
              <w:top w:val="nil"/>
              <w:left w:val="single" w:sz="4" w:space="0" w:color="auto"/>
              <w:bottom w:val="nil"/>
              <w:right w:val="nil"/>
            </w:tcBorders>
            <w:shd w:val="clear" w:color="auto" w:fill="auto"/>
            <w:noWrap/>
            <w:vAlign w:val="center"/>
            <w:hideMark/>
          </w:tcPr>
          <w:p w:rsidR="00322999" w:rsidRPr="00942766" w:rsidRDefault="00322999" w:rsidP="00080173">
            <w:pPr>
              <w:jc w:val="center"/>
              <w:rPr>
                <w:sz w:val="18"/>
                <w:szCs w:val="18"/>
              </w:rPr>
            </w:pPr>
          </w:p>
        </w:tc>
      </w:tr>
      <w:tr w:rsidR="00322999" w:rsidRPr="00942766" w:rsidTr="00080173">
        <w:trPr>
          <w:trHeight w:val="336"/>
        </w:trPr>
        <w:tc>
          <w:tcPr>
            <w:tcW w:w="3059" w:type="dxa"/>
            <w:tcBorders>
              <w:top w:val="nil"/>
              <w:left w:val="single" w:sz="4" w:space="0" w:color="auto"/>
              <w:bottom w:val="nil"/>
              <w:right w:val="single" w:sz="12" w:space="0" w:color="auto"/>
            </w:tcBorders>
            <w:shd w:val="clear" w:color="auto" w:fill="auto"/>
            <w:vAlign w:val="center"/>
            <w:hideMark/>
          </w:tcPr>
          <w:p w:rsidR="00322999" w:rsidRPr="00942766" w:rsidRDefault="00322999" w:rsidP="002833D4">
            <w:pPr>
              <w:jc w:val="right"/>
              <w:rPr>
                <w:sz w:val="18"/>
                <w:szCs w:val="18"/>
              </w:rPr>
            </w:pPr>
            <w:r w:rsidRPr="00942766">
              <w:rPr>
                <w:sz w:val="18"/>
                <w:szCs w:val="18"/>
              </w:rPr>
              <w:t>No aid</w:t>
            </w:r>
          </w:p>
        </w:tc>
        <w:tc>
          <w:tcPr>
            <w:tcW w:w="1193" w:type="dxa"/>
            <w:tcBorders>
              <w:top w:val="nil"/>
              <w:left w:val="single" w:sz="12" w:space="0" w:color="auto"/>
              <w:bottom w:val="nil"/>
              <w:right w:val="nil"/>
            </w:tcBorders>
            <w:shd w:val="clear" w:color="auto" w:fill="auto"/>
            <w:noWrap/>
            <w:vAlign w:val="center"/>
            <w:hideMark/>
          </w:tcPr>
          <w:p w:rsidR="00322999" w:rsidRPr="00942766" w:rsidRDefault="00322999" w:rsidP="006B6858">
            <w:pPr>
              <w:jc w:val="center"/>
              <w:rPr>
                <w:sz w:val="18"/>
                <w:szCs w:val="18"/>
              </w:rPr>
            </w:pPr>
            <w:r w:rsidRPr="00942766">
              <w:rPr>
                <w:sz w:val="18"/>
                <w:szCs w:val="18"/>
              </w:rPr>
              <w:t>3 (9)</w:t>
            </w:r>
          </w:p>
        </w:tc>
        <w:tc>
          <w:tcPr>
            <w:tcW w:w="1192" w:type="dxa"/>
            <w:tcBorders>
              <w:top w:val="nil"/>
              <w:left w:val="nil"/>
              <w:bottom w:val="nil"/>
              <w:right w:val="nil"/>
            </w:tcBorders>
            <w:shd w:val="clear" w:color="auto" w:fill="auto"/>
            <w:noWrap/>
            <w:vAlign w:val="center"/>
            <w:hideMark/>
          </w:tcPr>
          <w:p w:rsidR="00322999" w:rsidRPr="00942766" w:rsidRDefault="00322999" w:rsidP="006B6858">
            <w:pPr>
              <w:jc w:val="center"/>
              <w:rPr>
                <w:sz w:val="18"/>
                <w:szCs w:val="18"/>
              </w:rPr>
            </w:pPr>
            <w:r w:rsidRPr="00942766">
              <w:rPr>
                <w:sz w:val="18"/>
                <w:szCs w:val="18"/>
              </w:rPr>
              <w:t>2 (17)</w:t>
            </w:r>
          </w:p>
        </w:tc>
        <w:tc>
          <w:tcPr>
            <w:tcW w:w="1192" w:type="dxa"/>
            <w:tcBorders>
              <w:top w:val="nil"/>
              <w:left w:val="nil"/>
              <w:bottom w:val="nil"/>
              <w:right w:val="nil"/>
            </w:tcBorders>
            <w:shd w:val="clear" w:color="auto" w:fill="auto"/>
            <w:noWrap/>
            <w:vAlign w:val="center"/>
            <w:hideMark/>
          </w:tcPr>
          <w:p w:rsidR="00322999" w:rsidRPr="00942766" w:rsidRDefault="00322999" w:rsidP="006B6858">
            <w:pPr>
              <w:jc w:val="center"/>
              <w:rPr>
                <w:sz w:val="18"/>
                <w:szCs w:val="18"/>
              </w:rPr>
            </w:pPr>
            <w:r w:rsidRPr="00942766">
              <w:rPr>
                <w:sz w:val="18"/>
                <w:szCs w:val="18"/>
              </w:rPr>
              <w:t>11 (48)</w:t>
            </w:r>
          </w:p>
        </w:tc>
        <w:tc>
          <w:tcPr>
            <w:tcW w:w="1192" w:type="dxa"/>
            <w:tcBorders>
              <w:top w:val="nil"/>
              <w:left w:val="nil"/>
              <w:bottom w:val="nil"/>
              <w:right w:val="single" w:sz="4" w:space="0" w:color="auto"/>
            </w:tcBorders>
            <w:shd w:val="clear" w:color="auto" w:fill="auto"/>
            <w:noWrap/>
            <w:vAlign w:val="center"/>
            <w:hideMark/>
          </w:tcPr>
          <w:p w:rsidR="00322999" w:rsidRPr="00942766" w:rsidRDefault="00322999" w:rsidP="006B6858">
            <w:pPr>
              <w:jc w:val="center"/>
              <w:rPr>
                <w:sz w:val="18"/>
                <w:szCs w:val="18"/>
              </w:rPr>
            </w:pPr>
            <w:r w:rsidRPr="00942766">
              <w:rPr>
                <w:sz w:val="18"/>
                <w:szCs w:val="18"/>
              </w:rPr>
              <w:t>16 (2</w:t>
            </w:r>
            <w:r w:rsidR="006B6858" w:rsidRPr="00942766">
              <w:rPr>
                <w:sz w:val="18"/>
                <w:szCs w:val="18"/>
              </w:rPr>
              <w:t>2</w:t>
            </w:r>
            <w:r w:rsidRPr="00942766">
              <w:rPr>
                <w:sz w:val="18"/>
                <w:szCs w:val="18"/>
              </w:rPr>
              <w:t>)</w:t>
            </w:r>
          </w:p>
        </w:tc>
        <w:tc>
          <w:tcPr>
            <w:tcW w:w="1192" w:type="dxa"/>
            <w:tcBorders>
              <w:top w:val="nil"/>
              <w:left w:val="single" w:sz="4" w:space="0" w:color="auto"/>
              <w:bottom w:val="nil"/>
              <w:right w:val="nil"/>
            </w:tcBorders>
            <w:shd w:val="clear" w:color="auto" w:fill="auto"/>
            <w:noWrap/>
            <w:vAlign w:val="center"/>
            <w:hideMark/>
          </w:tcPr>
          <w:p w:rsidR="00322999" w:rsidRPr="00942766" w:rsidRDefault="00322999" w:rsidP="00080173">
            <w:pPr>
              <w:jc w:val="center"/>
              <w:rPr>
                <w:sz w:val="18"/>
                <w:szCs w:val="18"/>
              </w:rPr>
            </w:pPr>
            <w:r w:rsidRPr="00942766">
              <w:rPr>
                <w:sz w:val="18"/>
                <w:szCs w:val="18"/>
              </w:rPr>
              <w:t>-</w:t>
            </w:r>
          </w:p>
        </w:tc>
      </w:tr>
      <w:tr w:rsidR="00322999" w:rsidRPr="00942766" w:rsidTr="00080173">
        <w:trPr>
          <w:trHeight w:val="300"/>
        </w:trPr>
        <w:tc>
          <w:tcPr>
            <w:tcW w:w="3059" w:type="dxa"/>
            <w:tcBorders>
              <w:top w:val="nil"/>
              <w:left w:val="single" w:sz="4" w:space="0" w:color="auto"/>
              <w:bottom w:val="nil"/>
              <w:right w:val="single" w:sz="12" w:space="0" w:color="auto"/>
            </w:tcBorders>
            <w:shd w:val="clear" w:color="auto" w:fill="auto"/>
            <w:vAlign w:val="center"/>
            <w:hideMark/>
          </w:tcPr>
          <w:p w:rsidR="00322999" w:rsidRPr="00942766" w:rsidRDefault="00322999" w:rsidP="002833D4">
            <w:pPr>
              <w:jc w:val="right"/>
              <w:rPr>
                <w:sz w:val="18"/>
                <w:szCs w:val="18"/>
              </w:rPr>
            </w:pPr>
            <w:r w:rsidRPr="00942766">
              <w:rPr>
                <w:sz w:val="18"/>
                <w:szCs w:val="18"/>
              </w:rPr>
              <w:t>One aid</w:t>
            </w:r>
          </w:p>
        </w:tc>
        <w:tc>
          <w:tcPr>
            <w:tcW w:w="1193" w:type="dxa"/>
            <w:tcBorders>
              <w:top w:val="nil"/>
              <w:left w:val="single" w:sz="12" w:space="0" w:color="auto"/>
              <w:bottom w:val="nil"/>
              <w:right w:val="nil"/>
            </w:tcBorders>
            <w:shd w:val="clear" w:color="auto" w:fill="auto"/>
            <w:noWrap/>
            <w:vAlign w:val="center"/>
            <w:hideMark/>
          </w:tcPr>
          <w:p w:rsidR="00322999" w:rsidRPr="00942766" w:rsidRDefault="00322999" w:rsidP="006B6858">
            <w:pPr>
              <w:jc w:val="center"/>
              <w:rPr>
                <w:sz w:val="18"/>
                <w:szCs w:val="18"/>
              </w:rPr>
            </w:pPr>
            <w:r w:rsidRPr="00942766">
              <w:rPr>
                <w:sz w:val="18"/>
                <w:szCs w:val="18"/>
              </w:rPr>
              <w:t>4 (12)</w:t>
            </w:r>
          </w:p>
        </w:tc>
        <w:tc>
          <w:tcPr>
            <w:tcW w:w="1192" w:type="dxa"/>
            <w:tcBorders>
              <w:top w:val="nil"/>
              <w:left w:val="nil"/>
              <w:bottom w:val="nil"/>
              <w:right w:val="nil"/>
            </w:tcBorders>
            <w:shd w:val="clear" w:color="auto" w:fill="auto"/>
            <w:noWrap/>
            <w:vAlign w:val="center"/>
            <w:hideMark/>
          </w:tcPr>
          <w:p w:rsidR="00322999" w:rsidRPr="00942766" w:rsidRDefault="00322999" w:rsidP="006B6858">
            <w:pPr>
              <w:jc w:val="center"/>
              <w:rPr>
                <w:sz w:val="18"/>
                <w:szCs w:val="18"/>
              </w:rPr>
            </w:pPr>
            <w:r w:rsidRPr="00942766">
              <w:rPr>
                <w:sz w:val="18"/>
                <w:szCs w:val="18"/>
              </w:rPr>
              <w:t>1 (6)</w:t>
            </w:r>
          </w:p>
        </w:tc>
        <w:tc>
          <w:tcPr>
            <w:tcW w:w="1192" w:type="dxa"/>
            <w:tcBorders>
              <w:top w:val="nil"/>
              <w:left w:val="nil"/>
              <w:bottom w:val="nil"/>
              <w:right w:val="nil"/>
            </w:tcBorders>
            <w:shd w:val="clear" w:color="auto" w:fill="auto"/>
            <w:noWrap/>
            <w:vAlign w:val="center"/>
            <w:hideMark/>
          </w:tcPr>
          <w:p w:rsidR="00322999" w:rsidRPr="00942766" w:rsidRDefault="00322999" w:rsidP="006B6858">
            <w:pPr>
              <w:jc w:val="center"/>
              <w:rPr>
                <w:sz w:val="18"/>
                <w:szCs w:val="18"/>
              </w:rPr>
            </w:pPr>
            <w:r w:rsidRPr="00942766">
              <w:rPr>
                <w:sz w:val="18"/>
                <w:szCs w:val="18"/>
              </w:rPr>
              <w:t>3 (13)</w:t>
            </w:r>
          </w:p>
        </w:tc>
        <w:tc>
          <w:tcPr>
            <w:tcW w:w="1192" w:type="dxa"/>
            <w:tcBorders>
              <w:top w:val="nil"/>
              <w:left w:val="nil"/>
              <w:bottom w:val="nil"/>
              <w:right w:val="single" w:sz="4" w:space="0" w:color="auto"/>
            </w:tcBorders>
            <w:shd w:val="clear" w:color="auto" w:fill="auto"/>
            <w:noWrap/>
            <w:vAlign w:val="center"/>
            <w:hideMark/>
          </w:tcPr>
          <w:p w:rsidR="00322999" w:rsidRPr="00942766" w:rsidRDefault="00322999" w:rsidP="006B6858">
            <w:pPr>
              <w:jc w:val="center"/>
              <w:rPr>
                <w:sz w:val="18"/>
                <w:szCs w:val="18"/>
              </w:rPr>
            </w:pPr>
            <w:r w:rsidRPr="00942766">
              <w:rPr>
                <w:sz w:val="18"/>
                <w:szCs w:val="18"/>
              </w:rPr>
              <w:t>8 (1</w:t>
            </w:r>
            <w:r w:rsidR="006B6858" w:rsidRPr="00942766">
              <w:rPr>
                <w:sz w:val="18"/>
                <w:szCs w:val="18"/>
              </w:rPr>
              <w:t>1</w:t>
            </w:r>
            <w:r w:rsidRPr="00942766">
              <w:rPr>
                <w:sz w:val="18"/>
                <w:szCs w:val="18"/>
              </w:rPr>
              <w:t>)</w:t>
            </w:r>
          </w:p>
        </w:tc>
        <w:tc>
          <w:tcPr>
            <w:tcW w:w="1192" w:type="dxa"/>
            <w:tcBorders>
              <w:top w:val="nil"/>
              <w:left w:val="single" w:sz="4" w:space="0" w:color="auto"/>
              <w:bottom w:val="nil"/>
              <w:right w:val="nil"/>
            </w:tcBorders>
            <w:shd w:val="clear" w:color="auto" w:fill="auto"/>
            <w:noWrap/>
            <w:vAlign w:val="center"/>
            <w:hideMark/>
          </w:tcPr>
          <w:p w:rsidR="00322999" w:rsidRPr="00942766" w:rsidRDefault="00322999" w:rsidP="00080173">
            <w:pPr>
              <w:jc w:val="center"/>
              <w:rPr>
                <w:sz w:val="18"/>
                <w:szCs w:val="18"/>
              </w:rPr>
            </w:pPr>
            <w:r w:rsidRPr="00942766">
              <w:rPr>
                <w:sz w:val="18"/>
                <w:szCs w:val="18"/>
              </w:rPr>
              <w:t>-</w:t>
            </w:r>
          </w:p>
        </w:tc>
      </w:tr>
      <w:tr w:rsidR="00322999" w:rsidRPr="00942766" w:rsidTr="00080173">
        <w:trPr>
          <w:trHeight w:val="300"/>
        </w:trPr>
        <w:tc>
          <w:tcPr>
            <w:tcW w:w="3059" w:type="dxa"/>
            <w:tcBorders>
              <w:top w:val="nil"/>
              <w:left w:val="single" w:sz="4" w:space="0" w:color="auto"/>
              <w:bottom w:val="nil"/>
              <w:right w:val="single" w:sz="12" w:space="0" w:color="auto"/>
            </w:tcBorders>
            <w:shd w:val="clear" w:color="auto" w:fill="auto"/>
            <w:vAlign w:val="center"/>
            <w:hideMark/>
          </w:tcPr>
          <w:p w:rsidR="00322999" w:rsidRPr="00942766" w:rsidRDefault="00322999" w:rsidP="002833D4">
            <w:pPr>
              <w:jc w:val="right"/>
              <w:rPr>
                <w:sz w:val="18"/>
                <w:szCs w:val="18"/>
              </w:rPr>
            </w:pPr>
            <w:r w:rsidRPr="00942766">
              <w:rPr>
                <w:sz w:val="18"/>
                <w:szCs w:val="18"/>
              </w:rPr>
              <w:t>Two aids</w:t>
            </w:r>
          </w:p>
        </w:tc>
        <w:tc>
          <w:tcPr>
            <w:tcW w:w="1193" w:type="dxa"/>
            <w:tcBorders>
              <w:top w:val="nil"/>
              <w:left w:val="single" w:sz="12" w:space="0" w:color="auto"/>
              <w:bottom w:val="nil"/>
              <w:right w:val="nil"/>
            </w:tcBorders>
            <w:shd w:val="clear" w:color="auto" w:fill="auto"/>
            <w:noWrap/>
            <w:vAlign w:val="center"/>
            <w:hideMark/>
          </w:tcPr>
          <w:p w:rsidR="00322999" w:rsidRPr="00942766" w:rsidRDefault="00322999" w:rsidP="006B6858">
            <w:pPr>
              <w:jc w:val="center"/>
              <w:rPr>
                <w:sz w:val="18"/>
                <w:szCs w:val="18"/>
              </w:rPr>
            </w:pPr>
            <w:r w:rsidRPr="00942766">
              <w:rPr>
                <w:sz w:val="18"/>
                <w:szCs w:val="18"/>
              </w:rPr>
              <w:t>25 (78)</w:t>
            </w:r>
          </w:p>
        </w:tc>
        <w:tc>
          <w:tcPr>
            <w:tcW w:w="1192" w:type="dxa"/>
            <w:tcBorders>
              <w:top w:val="nil"/>
              <w:left w:val="nil"/>
              <w:bottom w:val="nil"/>
              <w:right w:val="nil"/>
            </w:tcBorders>
            <w:shd w:val="clear" w:color="auto" w:fill="auto"/>
            <w:noWrap/>
            <w:vAlign w:val="center"/>
            <w:hideMark/>
          </w:tcPr>
          <w:p w:rsidR="00322999" w:rsidRPr="00942766" w:rsidRDefault="00322999" w:rsidP="006B6858">
            <w:pPr>
              <w:jc w:val="center"/>
              <w:rPr>
                <w:sz w:val="18"/>
                <w:szCs w:val="18"/>
              </w:rPr>
            </w:pPr>
            <w:r w:rsidRPr="00942766">
              <w:rPr>
                <w:sz w:val="18"/>
                <w:szCs w:val="18"/>
              </w:rPr>
              <w:t>15 (83)</w:t>
            </w:r>
          </w:p>
        </w:tc>
        <w:tc>
          <w:tcPr>
            <w:tcW w:w="1192" w:type="dxa"/>
            <w:tcBorders>
              <w:top w:val="nil"/>
              <w:left w:val="nil"/>
              <w:bottom w:val="nil"/>
              <w:right w:val="nil"/>
            </w:tcBorders>
            <w:shd w:val="clear" w:color="auto" w:fill="auto"/>
            <w:noWrap/>
            <w:vAlign w:val="center"/>
            <w:hideMark/>
          </w:tcPr>
          <w:p w:rsidR="00322999" w:rsidRPr="00942766" w:rsidRDefault="00322999" w:rsidP="006B6858">
            <w:pPr>
              <w:jc w:val="center"/>
              <w:rPr>
                <w:sz w:val="18"/>
                <w:szCs w:val="18"/>
              </w:rPr>
            </w:pPr>
            <w:r w:rsidRPr="00942766">
              <w:rPr>
                <w:sz w:val="18"/>
                <w:szCs w:val="18"/>
              </w:rPr>
              <w:t>9 (39)</w:t>
            </w:r>
          </w:p>
        </w:tc>
        <w:tc>
          <w:tcPr>
            <w:tcW w:w="1192" w:type="dxa"/>
            <w:tcBorders>
              <w:top w:val="nil"/>
              <w:left w:val="nil"/>
              <w:bottom w:val="nil"/>
              <w:right w:val="single" w:sz="4" w:space="0" w:color="auto"/>
            </w:tcBorders>
            <w:shd w:val="clear" w:color="auto" w:fill="auto"/>
            <w:noWrap/>
            <w:vAlign w:val="center"/>
            <w:hideMark/>
          </w:tcPr>
          <w:p w:rsidR="00322999" w:rsidRPr="00942766" w:rsidRDefault="00322999" w:rsidP="006B6858">
            <w:pPr>
              <w:jc w:val="center"/>
              <w:rPr>
                <w:sz w:val="18"/>
                <w:szCs w:val="18"/>
              </w:rPr>
            </w:pPr>
            <w:r w:rsidRPr="00942766">
              <w:rPr>
                <w:sz w:val="18"/>
                <w:szCs w:val="18"/>
              </w:rPr>
              <w:t>49 (67)</w:t>
            </w:r>
          </w:p>
        </w:tc>
        <w:tc>
          <w:tcPr>
            <w:tcW w:w="1192" w:type="dxa"/>
            <w:tcBorders>
              <w:top w:val="nil"/>
              <w:left w:val="single" w:sz="4" w:space="0" w:color="auto"/>
              <w:bottom w:val="nil"/>
              <w:right w:val="nil"/>
            </w:tcBorders>
            <w:shd w:val="clear" w:color="auto" w:fill="auto"/>
            <w:noWrap/>
            <w:vAlign w:val="center"/>
            <w:hideMark/>
          </w:tcPr>
          <w:p w:rsidR="00322999" w:rsidRPr="00942766" w:rsidRDefault="00322999" w:rsidP="00080173">
            <w:pPr>
              <w:jc w:val="center"/>
              <w:rPr>
                <w:sz w:val="18"/>
                <w:szCs w:val="18"/>
              </w:rPr>
            </w:pPr>
            <w:r w:rsidRPr="00942766">
              <w:rPr>
                <w:sz w:val="18"/>
                <w:szCs w:val="18"/>
              </w:rPr>
              <w:t>-</w:t>
            </w:r>
          </w:p>
        </w:tc>
      </w:tr>
      <w:tr w:rsidR="00322999" w:rsidRPr="00942766" w:rsidTr="00080173">
        <w:trPr>
          <w:trHeight w:val="300"/>
        </w:trPr>
        <w:tc>
          <w:tcPr>
            <w:tcW w:w="3059" w:type="dxa"/>
            <w:tcBorders>
              <w:top w:val="nil"/>
              <w:left w:val="single" w:sz="4" w:space="0" w:color="auto"/>
              <w:bottom w:val="nil"/>
              <w:right w:val="single" w:sz="12" w:space="0" w:color="auto"/>
            </w:tcBorders>
            <w:shd w:val="clear" w:color="auto" w:fill="auto"/>
            <w:hideMark/>
          </w:tcPr>
          <w:p w:rsidR="00322999" w:rsidRPr="00942766" w:rsidRDefault="00322999" w:rsidP="00322999">
            <w:pPr>
              <w:rPr>
                <w:b/>
                <w:bCs/>
                <w:sz w:val="18"/>
                <w:szCs w:val="18"/>
              </w:rPr>
            </w:pPr>
            <w:r w:rsidRPr="00942766">
              <w:rPr>
                <w:b/>
                <w:bCs/>
                <w:sz w:val="18"/>
                <w:szCs w:val="18"/>
              </w:rPr>
              <w:t>Number of Cochlear Implant(s)</w:t>
            </w:r>
          </w:p>
        </w:tc>
        <w:tc>
          <w:tcPr>
            <w:tcW w:w="1193" w:type="dxa"/>
            <w:tcBorders>
              <w:top w:val="nil"/>
              <w:left w:val="single" w:sz="12" w:space="0" w:color="auto"/>
              <w:bottom w:val="nil"/>
              <w:right w:val="nil"/>
            </w:tcBorders>
            <w:shd w:val="clear" w:color="auto" w:fill="auto"/>
            <w:noWrap/>
            <w:vAlign w:val="center"/>
            <w:hideMark/>
          </w:tcPr>
          <w:p w:rsidR="00322999" w:rsidRPr="00942766" w:rsidRDefault="00322999" w:rsidP="00080173">
            <w:pPr>
              <w:jc w:val="center"/>
              <w:rPr>
                <w:b/>
                <w:bCs/>
                <w:sz w:val="18"/>
                <w:szCs w:val="18"/>
              </w:rPr>
            </w:pPr>
          </w:p>
        </w:tc>
        <w:tc>
          <w:tcPr>
            <w:tcW w:w="1192" w:type="dxa"/>
            <w:tcBorders>
              <w:top w:val="nil"/>
              <w:left w:val="nil"/>
              <w:bottom w:val="nil"/>
              <w:right w:val="nil"/>
            </w:tcBorders>
            <w:shd w:val="clear" w:color="auto" w:fill="auto"/>
            <w:noWrap/>
            <w:vAlign w:val="center"/>
            <w:hideMark/>
          </w:tcPr>
          <w:p w:rsidR="00322999" w:rsidRPr="00942766" w:rsidRDefault="00322999" w:rsidP="00080173">
            <w:pPr>
              <w:jc w:val="center"/>
              <w:rPr>
                <w:sz w:val="18"/>
                <w:szCs w:val="18"/>
              </w:rPr>
            </w:pPr>
          </w:p>
        </w:tc>
        <w:tc>
          <w:tcPr>
            <w:tcW w:w="1192" w:type="dxa"/>
            <w:tcBorders>
              <w:top w:val="nil"/>
              <w:left w:val="nil"/>
              <w:bottom w:val="nil"/>
              <w:right w:val="nil"/>
            </w:tcBorders>
            <w:shd w:val="clear" w:color="auto" w:fill="auto"/>
            <w:noWrap/>
            <w:vAlign w:val="center"/>
            <w:hideMark/>
          </w:tcPr>
          <w:p w:rsidR="00322999" w:rsidRPr="00942766" w:rsidRDefault="00322999" w:rsidP="00080173">
            <w:pPr>
              <w:jc w:val="center"/>
              <w:rPr>
                <w:sz w:val="18"/>
                <w:szCs w:val="18"/>
              </w:rPr>
            </w:pPr>
          </w:p>
        </w:tc>
        <w:tc>
          <w:tcPr>
            <w:tcW w:w="1192" w:type="dxa"/>
            <w:tcBorders>
              <w:top w:val="nil"/>
              <w:left w:val="nil"/>
              <w:bottom w:val="nil"/>
              <w:right w:val="single" w:sz="4" w:space="0" w:color="auto"/>
            </w:tcBorders>
            <w:shd w:val="clear" w:color="auto" w:fill="auto"/>
            <w:noWrap/>
            <w:vAlign w:val="center"/>
            <w:hideMark/>
          </w:tcPr>
          <w:p w:rsidR="00322999" w:rsidRPr="00942766" w:rsidRDefault="00322999" w:rsidP="00080173">
            <w:pPr>
              <w:jc w:val="center"/>
              <w:rPr>
                <w:sz w:val="18"/>
                <w:szCs w:val="18"/>
              </w:rPr>
            </w:pPr>
          </w:p>
        </w:tc>
        <w:tc>
          <w:tcPr>
            <w:tcW w:w="1192" w:type="dxa"/>
            <w:tcBorders>
              <w:top w:val="nil"/>
              <w:left w:val="single" w:sz="4" w:space="0" w:color="auto"/>
              <w:bottom w:val="nil"/>
              <w:right w:val="nil"/>
            </w:tcBorders>
            <w:shd w:val="clear" w:color="auto" w:fill="auto"/>
            <w:noWrap/>
            <w:vAlign w:val="center"/>
            <w:hideMark/>
          </w:tcPr>
          <w:p w:rsidR="00322999" w:rsidRPr="00942766" w:rsidRDefault="00322999" w:rsidP="00080173">
            <w:pPr>
              <w:jc w:val="center"/>
              <w:rPr>
                <w:sz w:val="18"/>
                <w:szCs w:val="18"/>
              </w:rPr>
            </w:pPr>
          </w:p>
        </w:tc>
      </w:tr>
      <w:tr w:rsidR="00322999" w:rsidRPr="00942766" w:rsidTr="00080173">
        <w:trPr>
          <w:trHeight w:val="300"/>
        </w:trPr>
        <w:tc>
          <w:tcPr>
            <w:tcW w:w="3059" w:type="dxa"/>
            <w:tcBorders>
              <w:top w:val="nil"/>
              <w:left w:val="single" w:sz="4" w:space="0" w:color="auto"/>
              <w:bottom w:val="nil"/>
              <w:right w:val="single" w:sz="12" w:space="0" w:color="auto"/>
            </w:tcBorders>
            <w:shd w:val="clear" w:color="auto" w:fill="auto"/>
            <w:vAlign w:val="center"/>
            <w:hideMark/>
          </w:tcPr>
          <w:p w:rsidR="00322999" w:rsidRPr="00942766" w:rsidRDefault="00322999" w:rsidP="002833D4">
            <w:pPr>
              <w:jc w:val="right"/>
              <w:rPr>
                <w:sz w:val="18"/>
                <w:szCs w:val="18"/>
              </w:rPr>
            </w:pPr>
            <w:r w:rsidRPr="00942766">
              <w:rPr>
                <w:sz w:val="18"/>
                <w:szCs w:val="18"/>
              </w:rPr>
              <w:t>None</w:t>
            </w:r>
          </w:p>
        </w:tc>
        <w:tc>
          <w:tcPr>
            <w:tcW w:w="1193" w:type="dxa"/>
            <w:tcBorders>
              <w:top w:val="nil"/>
              <w:left w:val="single" w:sz="12" w:space="0" w:color="auto"/>
              <w:bottom w:val="nil"/>
              <w:right w:val="nil"/>
            </w:tcBorders>
            <w:shd w:val="clear" w:color="auto" w:fill="auto"/>
            <w:noWrap/>
            <w:vAlign w:val="center"/>
            <w:hideMark/>
          </w:tcPr>
          <w:p w:rsidR="00322999" w:rsidRPr="00942766" w:rsidRDefault="00322999" w:rsidP="006B6858">
            <w:pPr>
              <w:jc w:val="center"/>
              <w:rPr>
                <w:sz w:val="18"/>
                <w:szCs w:val="18"/>
              </w:rPr>
            </w:pPr>
            <w:r w:rsidRPr="00942766">
              <w:rPr>
                <w:sz w:val="18"/>
                <w:szCs w:val="18"/>
              </w:rPr>
              <w:t>32 (100)</w:t>
            </w:r>
          </w:p>
        </w:tc>
        <w:tc>
          <w:tcPr>
            <w:tcW w:w="1192" w:type="dxa"/>
            <w:tcBorders>
              <w:top w:val="nil"/>
              <w:left w:val="nil"/>
              <w:bottom w:val="nil"/>
              <w:right w:val="nil"/>
            </w:tcBorders>
            <w:shd w:val="clear" w:color="auto" w:fill="auto"/>
            <w:noWrap/>
            <w:vAlign w:val="center"/>
            <w:hideMark/>
          </w:tcPr>
          <w:p w:rsidR="00322999" w:rsidRPr="00942766" w:rsidRDefault="00322999" w:rsidP="006B6858">
            <w:pPr>
              <w:jc w:val="center"/>
              <w:rPr>
                <w:sz w:val="18"/>
                <w:szCs w:val="18"/>
              </w:rPr>
            </w:pPr>
            <w:r w:rsidRPr="00942766">
              <w:rPr>
                <w:sz w:val="18"/>
                <w:szCs w:val="18"/>
              </w:rPr>
              <w:t>17 (94)</w:t>
            </w:r>
          </w:p>
        </w:tc>
        <w:tc>
          <w:tcPr>
            <w:tcW w:w="1192" w:type="dxa"/>
            <w:tcBorders>
              <w:top w:val="nil"/>
              <w:left w:val="nil"/>
              <w:bottom w:val="nil"/>
              <w:right w:val="nil"/>
            </w:tcBorders>
            <w:shd w:val="clear" w:color="auto" w:fill="auto"/>
            <w:noWrap/>
            <w:vAlign w:val="center"/>
            <w:hideMark/>
          </w:tcPr>
          <w:p w:rsidR="00322999" w:rsidRPr="00942766" w:rsidRDefault="00322999" w:rsidP="006B6858">
            <w:pPr>
              <w:jc w:val="center"/>
              <w:rPr>
                <w:sz w:val="18"/>
                <w:szCs w:val="18"/>
              </w:rPr>
            </w:pPr>
            <w:r w:rsidRPr="00942766">
              <w:rPr>
                <w:sz w:val="18"/>
                <w:szCs w:val="18"/>
              </w:rPr>
              <w:t>11(48)</w:t>
            </w:r>
          </w:p>
        </w:tc>
        <w:tc>
          <w:tcPr>
            <w:tcW w:w="1192" w:type="dxa"/>
            <w:tcBorders>
              <w:top w:val="nil"/>
              <w:left w:val="nil"/>
              <w:bottom w:val="nil"/>
              <w:right w:val="single" w:sz="4" w:space="0" w:color="auto"/>
            </w:tcBorders>
            <w:shd w:val="clear" w:color="auto" w:fill="auto"/>
            <w:noWrap/>
            <w:vAlign w:val="center"/>
            <w:hideMark/>
          </w:tcPr>
          <w:p w:rsidR="00322999" w:rsidRPr="00942766" w:rsidRDefault="00322999" w:rsidP="006B6858">
            <w:pPr>
              <w:jc w:val="center"/>
              <w:rPr>
                <w:sz w:val="18"/>
                <w:szCs w:val="18"/>
              </w:rPr>
            </w:pPr>
            <w:r w:rsidRPr="00942766">
              <w:rPr>
                <w:sz w:val="18"/>
                <w:szCs w:val="18"/>
              </w:rPr>
              <w:t>59 (8</w:t>
            </w:r>
            <w:r w:rsidR="006B6858" w:rsidRPr="00942766">
              <w:rPr>
                <w:sz w:val="18"/>
                <w:szCs w:val="18"/>
              </w:rPr>
              <w:t>1</w:t>
            </w:r>
            <w:r w:rsidRPr="00942766">
              <w:rPr>
                <w:sz w:val="18"/>
                <w:szCs w:val="18"/>
              </w:rPr>
              <w:t>)</w:t>
            </w:r>
          </w:p>
        </w:tc>
        <w:tc>
          <w:tcPr>
            <w:tcW w:w="1192" w:type="dxa"/>
            <w:tcBorders>
              <w:top w:val="nil"/>
              <w:left w:val="single" w:sz="4" w:space="0" w:color="auto"/>
              <w:bottom w:val="nil"/>
              <w:right w:val="nil"/>
            </w:tcBorders>
            <w:shd w:val="clear" w:color="auto" w:fill="auto"/>
            <w:noWrap/>
            <w:vAlign w:val="center"/>
            <w:hideMark/>
          </w:tcPr>
          <w:p w:rsidR="00322999" w:rsidRPr="00942766" w:rsidRDefault="00322999" w:rsidP="00080173">
            <w:pPr>
              <w:jc w:val="center"/>
              <w:rPr>
                <w:sz w:val="18"/>
                <w:szCs w:val="18"/>
              </w:rPr>
            </w:pPr>
            <w:r w:rsidRPr="00942766">
              <w:rPr>
                <w:sz w:val="18"/>
                <w:szCs w:val="18"/>
              </w:rPr>
              <w:t>-</w:t>
            </w:r>
          </w:p>
        </w:tc>
      </w:tr>
      <w:tr w:rsidR="00322999" w:rsidRPr="00942766" w:rsidTr="00080173">
        <w:trPr>
          <w:trHeight w:val="300"/>
        </w:trPr>
        <w:tc>
          <w:tcPr>
            <w:tcW w:w="3059" w:type="dxa"/>
            <w:tcBorders>
              <w:top w:val="nil"/>
              <w:left w:val="single" w:sz="4" w:space="0" w:color="auto"/>
              <w:bottom w:val="nil"/>
              <w:right w:val="single" w:sz="12" w:space="0" w:color="auto"/>
            </w:tcBorders>
            <w:shd w:val="clear" w:color="auto" w:fill="auto"/>
            <w:vAlign w:val="center"/>
            <w:hideMark/>
          </w:tcPr>
          <w:p w:rsidR="00322999" w:rsidRPr="00942766" w:rsidRDefault="00322999" w:rsidP="002833D4">
            <w:pPr>
              <w:jc w:val="right"/>
              <w:rPr>
                <w:sz w:val="18"/>
                <w:szCs w:val="18"/>
              </w:rPr>
            </w:pPr>
            <w:r w:rsidRPr="00942766">
              <w:rPr>
                <w:sz w:val="18"/>
                <w:szCs w:val="18"/>
              </w:rPr>
              <w:t xml:space="preserve">One </w:t>
            </w:r>
          </w:p>
        </w:tc>
        <w:tc>
          <w:tcPr>
            <w:tcW w:w="1193" w:type="dxa"/>
            <w:tcBorders>
              <w:top w:val="nil"/>
              <w:left w:val="single" w:sz="12" w:space="0" w:color="auto"/>
              <w:bottom w:val="nil"/>
              <w:right w:val="nil"/>
            </w:tcBorders>
            <w:shd w:val="clear" w:color="auto" w:fill="auto"/>
            <w:noWrap/>
            <w:vAlign w:val="center"/>
            <w:hideMark/>
          </w:tcPr>
          <w:p w:rsidR="00322999" w:rsidRPr="00942766" w:rsidRDefault="00322999" w:rsidP="00080173">
            <w:pPr>
              <w:jc w:val="center"/>
              <w:rPr>
                <w:sz w:val="18"/>
                <w:szCs w:val="18"/>
              </w:rPr>
            </w:pPr>
            <w:r w:rsidRPr="00942766">
              <w:rPr>
                <w:sz w:val="18"/>
                <w:szCs w:val="18"/>
              </w:rPr>
              <w:t>-</w:t>
            </w:r>
          </w:p>
        </w:tc>
        <w:tc>
          <w:tcPr>
            <w:tcW w:w="1192" w:type="dxa"/>
            <w:tcBorders>
              <w:top w:val="nil"/>
              <w:left w:val="nil"/>
              <w:bottom w:val="nil"/>
              <w:right w:val="nil"/>
            </w:tcBorders>
            <w:shd w:val="clear" w:color="auto" w:fill="auto"/>
            <w:noWrap/>
            <w:vAlign w:val="center"/>
            <w:hideMark/>
          </w:tcPr>
          <w:p w:rsidR="00322999" w:rsidRPr="00942766" w:rsidRDefault="00322999" w:rsidP="006B6858">
            <w:pPr>
              <w:jc w:val="center"/>
              <w:rPr>
                <w:sz w:val="18"/>
                <w:szCs w:val="18"/>
              </w:rPr>
            </w:pPr>
            <w:r w:rsidRPr="00942766">
              <w:rPr>
                <w:sz w:val="18"/>
                <w:szCs w:val="18"/>
              </w:rPr>
              <w:t>1 (6)</w:t>
            </w:r>
          </w:p>
        </w:tc>
        <w:tc>
          <w:tcPr>
            <w:tcW w:w="1192" w:type="dxa"/>
            <w:tcBorders>
              <w:top w:val="nil"/>
              <w:left w:val="nil"/>
              <w:bottom w:val="nil"/>
              <w:right w:val="nil"/>
            </w:tcBorders>
            <w:shd w:val="clear" w:color="auto" w:fill="auto"/>
            <w:noWrap/>
            <w:vAlign w:val="center"/>
            <w:hideMark/>
          </w:tcPr>
          <w:p w:rsidR="00322999" w:rsidRPr="00942766" w:rsidRDefault="00322999" w:rsidP="006B6858">
            <w:pPr>
              <w:jc w:val="center"/>
              <w:rPr>
                <w:sz w:val="18"/>
                <w:szCs w:val="18"/>
              </w:rPr>
            </w:pPr>
            <w:r w:rsidRPr="00942766">
              <w:rPr>
                <w:sz w:val="18"/>
                <w:szCs w:val="18"/>
              </w:rPr>
              <w:t>7 (30)</w:t>
            </w:r>
          </w:p>
        </w:tc>
        <w:tc>
          <w:tcPr>
            <w:tcW w:w="1192" w:type="dxa"/>
            <w:tcBorders>
              <w:top w:val="nil"/>
              <w:left w:val="nil"/>
              <w:bottom w:val="nil"/>
              <w:right w:val="single" w:sz="4" w:space="0" w:color="auto"/>
            </w:tcBorders>
            <w:shd w:val="clear" w:color="auto" w:fill="auto"/>
            <w:noWrap/>
            <w:vAlign w:val="center"/>
            <w:hideMark/>
          </w:tcPr>
          <w:p w:rsidR="00322999" w:rsidRPr="00942766" w:rsidRDefault="00322999" w:rsidP="006B6858">
            <w:pPr>
              <w:jc w:val="center"/>
              <w:rPr>
                <w:sz w:val="18"/>
                <w:szCs w:val="18"/>
              </w:rPr>
            </w:pPr>
            <w:r w:rsidRPr="00942766">
              <w:rPr>
                <w:sz w:val="18"/>
                <w:szCs w:val="18"/>
              </w:rPr>
              <w:t>9 (12)</w:t>
            </w:r>
          </w:p>
        </w:tc>
        <w:tc>
          <w:tcPr>
            <w:tcW w:w="1192" w:type="dxa"/>
            <w:tcBorders>
              <w:top w:val="nil"/>
              <w:left w:val="single" w:sz="4" w:space="0" w:color="auto"/>
              <w:bottom w:val="nil"/>
              <w:right w:val="nil"/>
            </w:tcBorders>
            <w:shd w:val="clear" w:color="auto" w:fill="auto"/>
            <w:noWrap/>
            <w:vAlign w:val="center"/>
            <w:hideMark/>
          </w:tcPr>
          <w:p w:rsidR="00322999" w:rsidRPr="00942766" w:rsidRDefault="00322999" w:rsidP="00080173">
            <w:pPr>
              <w:jc w:val="center"/>
              <w:rPr>
                <w:sz w:val="18"/>
                <w:szCs w:val="18"/>
              </w:rPr>
            </w:pPr>
            <w:r w:rsidRPr="00942766">
              <w:rPr>
                <w:sz w:val="18"/>
                <w:szCs w:val="18"/>
              </w:rPr>
              <w:t>-</w:t>
            </w:r>
          </w:p>
        </w:tc>
      </w:tr>
      <w:tr w:rsidR="00322999" w:rsidRPr="00942766" w:rsidTr="00080173">
        <w:trPr>
          <w:trHeight w:val="300"/>
        </w:trPr>
        <w:tc>
          <w:tcPr>
            <w:tcW w:w="3059" w:type="dxa"/>
            <w:tcBorders>
              <w:top w:val="nil"/>
              <w:left w:val="single" w:sz="4" w:space="0" w:color="auto"/>
              <w:bottom w:val="single" w:sz="4" w:space="0" w:color="auto"/>
              <w:right w:val="single" w:sz="12" w:space="0" w:color="auto"/>
            </w:tcBorders>
            <w:shd w:val="clear" w:color="auto" w:fill="auto"/>
            <w:vAlign w:val="center"/>
            <w:hideMark/>
          </w:tcPr>
          <w:p w:rsidR="00322999" w:rsidRPr="00942766" w:rsidRDefault="00322999" w:rsidP="002833D4">
            <w:pPr>
              <w:jc w:val="right"/>
              <w:rPr>
                <w:sz w:val="18"/>
                <w:szCs w:val="18"/>
              </w:rPr>
            </w:pPr>
            <w:r w:rsidRPr="00942766">
              <w:rPr>
                <w:sz w:val="18"/>
                <w:szCs w:val="18"/>
              </w:rPr>
              <w:t xml:space="preserve">Two </w:t>
            </w:r>
          </w:p>
        </w:tc>
        <w:tc>
          <w:tcPr>
            <w:tcW w:w="1193" w:type="dxa"/>
            <w:tcBorders>
              <w:top w:val="nil"/>
              <w:left w:val="single" w:sz="12" w:space="0" w:color="auto"/>
              <w:bottom w:val="single" w:sz="4" w:space="0" w:color="auto"/>
              <w:right w:val="nil"/>
            </w:tcBorders>
            <w:shd w:val="clear" w:color="auto" w:fill="auto"/>
            <w:noWrap/>
            <w:vAlign w:val="center"/>
            <w:hideMark/>
          </w:tcPr>
          <w:p w:rsidR="00322999" w:rsidRPr="00942766" w:rsidRDefault="00322999" w:rsidP="00080173">
            <w:pPr>
              <w:jc w:val="center"/>
              <w:rPr>
                <w:sz w:val="18"/>
                <w:szCs w:val="18"/>
              </w:rPr>
            </w:pPr>
            <w:r w:rsidRPr="00942766">
              <w:rPr>
                <w:sz w:val="18"/>
                <w:szCs w:val="18"/>
              </w:rPr>
              <w:t>-</w:t>
            </w:r>
          </w:p>
        </w:tc>
        <w:tc>
          <w:tcPr>
            <w:tcW w:w="1192" w:type="dxa"/>
            <w:tcBorders>
              <w:top w:val="nil"/>
              <w:left w:val="nil"/>
              <w:bottom w:val="single" w:sz="4" w:space="0" w:color="auto"/>
              <w:right w:val="nil"/>
            </w:tcBorders>
            <w:shd w:val="clear" w:color="auto" w:fill="auto"/>
            <w:noWrap/>
            <w:vAlign w:val="center"/>
            <w:hideMark/>
          </w:tcPr>
          <w:p w:rsidR="00322999" w:rsidRPr="00942766" w:rsidRDefault="00322999" w:rsidP="00080173">
            <w:pPr>
              <w:jc w:val="center"/>
              <w:rPr>
                <w:sz w:val="18"/>
                <w:szCs w:val="18"/>
              </w:rPr>
            </w:pPr>
            <w:r w:rsidRPr="00942766">
              <w:rPr>
                <w:sz w:val="18"/>
                <w:szCs w:val="18"/>
              </w:rPr>
              <w:t>-</w:t>
            </w:r>
          </w:p>
        </w:tc>
        <w:tc>
          <w:tcPr>
            <w:tcW w:w="1192" w:type="dxa"/>
            <w:tcBorders>
              <w:top w:val="nil"/>
              <w:left w:val="nil"/>
              <w:bottom w:val="single" w:sz="4" w:space="0" w:color="auto"/>
              <w:right w:val="nil"/>
            </w:tcBorders>
            <w:shd w:val="clear" w:color="auto" w:fill="auto"/>
            <w:noWrap/>
            <w:vAlign w:val="center"/>
            <w:hideMark/>
          </w:tcPr>
          <w:p w:rsidR="00322999" w:rsidRPr="00942766" w:rsidRDefault="00322999" w:rsidP="006B6858">
            <w:pPr>
              <w:jc w:val="center"/>
              <w:rPr>
                <w:sz w:val="18"/>
                <w:szCs w:val="18"/>
              </w:rPr>
            </w:pPr>
            <w:r w:rsidRPr="00942766">
              <w:rPr>
                <w:sz w:val="18"/>
                <w:szCs w:val="18"/>
              </w:rPr>
              <w:t>5 (2</w:t>
            </w:r>
            <w:r w:rsidR="006B6858" w:rsidRPr="00942766">
              <w:rPr>
                <w:sz w:val="18"/>
                <w:szCs w:val="18"/>
              </w:rPr>
              <w:t>2</w:t>
            </w:r>
            <w:r w:rsidRPr="00942766">
              <w:rPr>
                <w:sz w:val="18"/>
                <w:szCs w:val="18"/>
              </w:rPr>
              <w:t>)</w:t>
            </w:r>
          </w:p>
        </w:tc>
        <w:tc>
          <w:tcPr>
            <w:tcW w:w="1192" w:type="dxa"/>
            <w:tcBorders>
              <w:top w:val="nil"/>
              <w:left w:val="nil"/>
              <w:bottom w:val="single" w:sz="4" w:space="0" w:color="auto"/>
              <w:right w:val="single" w:sz="4" w:space="0" w:color="auto"/>
            </w:tcBorders>
            <w:shd w:val="clear" w:color="auto" w:fill="auto"/>
            <w:noWrap/>
            <w:vAlign w:val="center"/>
            <w:hideMark/>
          </w:tcPr>
          <w:p w:rsidR="00322999" w:rsidRPr="00942766" w:rsidRDefault="00322999" w:rsidP="006B6858">
            <w:pPr>
              <w:jc w:val="center"/>
              <w:rPr>
                <w:sz w:val="18"/>
                <w:szCs w:val="18"/>
              </w:rPr>
            </w:pPr>
            <w:r w:rsidRPr="00942766">
              <w:rPr>
                <w:sz w:val="18"/>
                <w:szCs w:val="18"/>
              </w:rPr>
              <w:t>5 (</w:t>
            </w:r>
            <w:r w:rsidR="006B6858" w:rsidRPr="00942766">
              <w:rPr>
                <w:sz w:val="18"/>
                <w:szCs w:val="18"/>
              </w:rPr>
              <w:t>7</w:t>
            </w:r>
            <w:r w:rsidRPr="00942766">
              <w:rPr>
                <w:sz w:val="18"/>
                <w:szCs w:val="18"/>
              </w:rPr>
              <w:t>)</w:t>
            </w:r>
          </w:p>
        </w:tc>
        <w:tc>
          <w:tcPr>
            <w:tcW w:w="1192" w:type="dxa"/>
            <w:tcBorders>
              <w:top w:val="nil"/>
              <w:left w:val="single" w:sz="4" w:space="0" w:color="auto"/>
              <w:bottom w:val="single" w:sz="4" w:space="0" w:color="auto"/>
              <w:right w:val="nil"/>
            </w:tcBorders>
            <w:shd w:val="clear" w:color="auto" w:fill="auto"/>
            <w:noWrap/>
            <w:vAlign w:val="center"/>
            <w:hideMark/>
          </w:tcPr>
          <w:p w:rsidR="00322999" w:rsidRPr="00942766" w:rsidRDefault="00322999" w:rsidP="00080173">
            <w:pPr>
              <w:jc w:val="center"/>
              <w:rPr>
                <w:sz w:val="18"/>
                <w:szCs w:val="18"/>
              </w:rPr>
            </w:pPr>
            <w:r w:rsidRPr="00942766">
              <w:rPr>
                <w:sz w:val="18"/>
                <w:szCs w:val="18"/>
              </w:rPr>
              <w:t>-</w:t>
            </w:r>
          </w:p>
        </w:tc>
      </w:tr>
    </w:tbl>
    <w:p w:rsidR="00DA7ED5" w:rsidRPr="00942766" w:rsidRDefault="00DA7ED5" w:rsidP="00335472">
      <w:pPr>
        <w:rPr>
          <w:sz w:val="18"/>
          <w:szCs w:val="18"/>
        </w:rPr>
      </w:pPr>
    </w:p>
    <w:p w:rsidR="00DA7ED5" w:rsidRPr="00942766" w:rsidRDefault="00DA7ED5">
      <w:pPr>
        <w:rPr>
          <w:sz w:val="18"/>
          <w:szCs w:val="18"/>
        </w:rPr>
      </w:pPr>
      <w:r w:rsidRPr="00942766">
        <w:rPr>
          <w:sz w:val="18"/>
          <w:szCs w:val="18"/>
        </w:rPr>
        <w:br w:type="page"/>
      </w:r>
    </w:p>
    <w:p w:rsidR="00335472" w:rsidRPr="00942766" w:rsidRDefault="00335472" w:rsidP="00335472">
      <w:pPr>
        <w:rPr>
          <w:sz w:val="18"/>
          <w:szCs w:val="18"/>
        </w:rPr>
      </w:pPr>
      <w:r w:rsidRPr="00942766">
        <w:rPr>
          <w:sz w:val="18"/>
          <w:szCs w:val="18"/>
        </w:rPr>
        <w:lastRenderedPageBreak/>
        <w:t>HCG = Hearing Comparison Group; UNHS=Universal Newborn Hearing Screening</w:t>
      </w:r>
      <w:r w:rsidR="00322999" w:rsidRPr="00942766">
        <w:rPr>
          <w:sz w:val="18"/>
          <w:szCs w:val="18"/>
        </w:rPr>
        <w:t>;</w:t>
      </w:r>
      <w:r w:rsidRPr="00942766">
        <w:rPr>
          <w:sz w:val="18"/>
          <w:szCs w:val="18"/>
        </w:rPr>
        <w:t xml:space="preserve"> </w:t>
      </w:r>
      <w:r w:rsidR="00322999" w:rsidRPr="00942766">
        <w:rPr>
          <w:sz w:val="18"/>
          <w:szCs w:val="18"/>
        </w:rPr>
        <w:t xml:space="preserve">PCHL = Bilateral permanent childhood hearing loss </w:t>
      </w:r>
      <w:r w:rsidR="00322999" w:rsidRPr="00942766">
        <w:rPr>
          <w:sz w:val="18"/>
          <w:szCs w:val="18"/>
          <w:u w:val="single"/>
        </w:rPr>
        <w:t>&gt;</w:t>
      </w:r>
      <w:r w:rsidR="00322999" w:rsidRPr="00942766">
        <w:rPr>
          <w:sz w:val="18"/>
          <w:szCs w:val="18"/>
        </w:rPr>
        <w:t>40 dB</w:t>
      </w:r>
    </w:p>
    <w:p w:rsidR="00335472" w:rsidRPr="00942766" w:rsidRDefault="00335472" w:rsidP="00335472">
      <w:pPr>
        <w:rPr>
          <w:sz w:val="18"/>
          <w:szCs w:val="18"/>
        </w:rPr>
      </w:pPr>
      <w:r w:rsidRPr="00942766">
        <w:rPr>
          <w:sz w:val="18"/>
          <w:szCs w:val="18"/>
          <w:vertAlign w:val="superscript"/>
        </w:rPr>
        <w:t>1</w:t>
      </w:r>
      <w:r w:rsidRPr="00942766">
        <w:rPr>
          <w:sz w:val="18"/>
          <w:szCs w:val="18"/>
        </w:rPr>
        <w:t>Language other than English in one participant</w:t>
      </w:r>
    </w:p>
    <w:p w:rsidR="00335472" w:rsidRPr="00942766" w:rsidRDefault="00335472" w:rsidP="00335472">
      <w:pPr>
        <w:rPr>
          <w:sz w:val="18"/>
          <w:szCs w:val="18"/>
        </w:rPr>
      </w:pPr>
      <w:r w:rsidRPr="00942766">
        <w:rPr>
          <w:sz w:val="18"/>
          <w:szCs w:val="18"/>
          <w:vertAlign w:val="superscript"/>
        </w:rPr>
        <w:t>2</w:t>
      </w:r>
      <w:r w:rsidRPr="00942766">
        <w:rPr>
          <w:sz w:val="18"/>
          <w:szCs w:val="18"/>
        </w:rPr>
        <w:t xml:space="preserve">O levels refers to "ordinary levels" </w:t>
      </w:r>
      <w:r w:rsidR="002B3047" w:rsidRPr="00942766">
        <w:rPr>
          <w:sz w:val="18"/>
          <w:szCs w:val="18"/>
        </w:rPr>
        <w:t xml:space="preserve">UK </w:t>
      </w:r>
      <w:r w:rsidRPr="00942766">
        <w:rPr>
          <w:sz w:val="18"/>
          <w:szCs w:val="18"/>
        </w:rPr>
        <w:t xml:space="preserve">qualification achieved at 16 years. A level refers to "advanced levels" </w:t>
      </w:r>
      <w:r w:rsidR="002B3047" w:rsidRPr="00942766">
        <w:rPr>
          <w:sz w:val="18"/>
          <w:szCs w:val="18"/>
        </w:rPr>
        <w:t xml:space="preserve">UK </w:t>
      </w:r>
      <w:r w:rsidRPr="00942766">
        <w:rPr>
          <w:sz w:val="18"/>
          <w:szCs w:val="18"/>
        </w:rPr>
        <w:t>qualifications achieved at 18 years</w:t>
      </w:r>
    </w:p>
    <w:p w:rsidR="00335472" w:rsidRPr="00942766" w:rsidRDefault="00335472" w:rsidP="00335472">
      <w:pPr>
        <w:rPr>
          <w:sz w:val="18"/>
          <w:szCs w:val="18"/>
        </w:rPr>
      </w:pPr>
      <w:r w:rsidRPr="00942766">
        <w:rPr>
          <w:sz w:val="18"/>
          <w:szCs w:val="18"/>
          <w:vertAlign w:val="superscript"/>
        </w:rPr>
        <w:t>3</w:t>
      </w:r>
      <w:r w:rsidRPr="00942766">
        <w:rPr>
          <w:sz w:val="18"/>
          <w:szCs w:val="18"/>
        </w:rPr>
        <w:t>Classified according to UK National Census 2002</w:t>
      </w:r>
    </w:p>
    <w:p w:rsidR="00335472" w:rsidRPr="00942766" w:rsidRDefault="00335472" w:rsidP="00335472">
      <w:pPr>
        <w:rPr>
          <w:sz w:val="18"/>
          <w:szCs w:val="18"/>
        </w:rPr>
      </w:pPr>
      <w:r w:rsidRPr="00942766">
        <w:rPr>
          <w:sz w:val="18"/>
          <w:szCs w:val="18"/>
          <w:vertAlign w:val="superscript"/>
        </w:rPr>
        <w:t>4</w:t>
      </w:r>
      <w:r w:rsidRPr="00942766">
        <w:rPr>
          <w:sz w:val="18"/>
          <w:szCs w:val="18"/>
        </w:rPr>
        <w:t>These were: severe visual impairment, cerebral palsy, mental retardation and genetic syndrome</w:t>
      </w:r>
    </w:p>
    <w:p w:rsidR="00335472" w:rsidRPr="00942766" w:rsidRDefault="00335472" w:rsidP="00335472"/>
    <w:p w:rsidR="00335472" w:rsidRPr="00942766" w:rsidRDefault="00335472" w:rsidP="00335472">
      <w:pPr>
        <w:sectPr w:rsidR="00335472" w:rsidRPr="00942766" w:rsidSect="009E7F51">
          <w:footerReference w:type="default" r:id="rId10"/>
          <w:pgSz w:w="11900" w:h="16840"/>
          <w:pgMar w:top="1440" w:right="1440" w:bottom="1440" w:left="1440" w:header="720" w:footer="720" w:gutter="0"/>
          <w:cols w:space="720"/>
          <w:docGrid w:linePitch="360"/>
        </w:sectPr>
      </w:pPr>
    </w:p>
    <w:p w:rsidR="00335472" w:rsidRPr="00942766" w:rsidRDefault="007710A4" w:rsidP="00335472">
      <w:pPr>
        <w:pStyle w:val="Caption"/>
        <w:keepNext/>
        <w:rPr>
          <w:rFonts w:ascii="Times New Roman" w:hAnsi="Times New Roman"/>
          <w:i/>
          <w:smallCaps w:val="0"/>
          <w:sz w:val="22"/>
          <w:szCs w:val="22"/>
        </w:rPr>
      </w:pPr>
      <w:bookmarkStart w:id="0" w:name="_Toc487891343"/>
      <w:r w:rsidRPr="00942766">
        <w:rPr>
          <w:rFonts w:ascii="Times New Roman" w:hAnsi="Times New Roman"/>
          <w:smallCaps w:val="0"/>
          <w:sz w:val="22"/>
          <w:szCs w:val="22"/>
        </w:rPr>
        <w:lastRenderedPageBreak/>
        <w:t xml:space="preserve">Table 2 Estimated </w:t>
      </w:r>
      <w:r w:rsidR="00F6153B" w:rsidRPr="00942766">
        <w:rPr>
          <w:rFonts w:ascii="Times New Roman" w:hAnsi="Times New Roman"/>
          <w:smallCaps w:val="0"/>
          <w:sz w:val="22"/>
          <w:szCs w:val="22"/>
        </w:rPr>
        <w:t xml:space="preserve">group mean resource use </w:t>
      </w:r>
      <w:r w:rsidRPr="00942766">
        <w:rPr>
          <w:rFonts w:ascii="Times New Roman" w:hAnsi="Times New Roman"/>
          <w:smallCaps w:val="0"/>
          <w:sz w:val="22"/>
          <w:szCs w:val="22"/>
        </w:rPr>
        <w:t>in preceding 12 months</w:t>
      </w:r>
      <w:r w:rsidRPr="00942766" w:rsidDel="007710A4">
        <w:rPr>
          <w:rFonts w:ascii="Times New Roman" w:hAnsi="Times New Roman"/>
          <w:smallCaps w:val="0"/>
          <w:sz w:val="22"/>
          <w:szCs w:val="22"/>
        </w:rPr>
        <w:t xml:space="preserve"> </w:t>
      </w:r>
      <w:bookmarkEnd w:id="0"/>
    </w:p>
    <w:tbl>
      <w:tblPr>
        <w:tblW w:w="9541" w:type="dxa"/>
        <w:tblLook w:val="04A0" w:firstRow="1" w:lastRow="0" w:firstColumn="1" w:lastColumn="0" w:noHBand="0" w:noVBand="1"/>
      </w:tblPr>
      <w:tblGrid>
        <w:gridCol w:w="2127"/>
        <w:gridCol w:w="641"/>
        <w:gridCol w:w="832"/>
        <w:gridCol w:w="673"/>
        <w:gridCol w:w="879"/>
        <w:gridCol w:w="641"/>
        <w:gridCol w:w="736"/>
        <w:gridCol w:w="641"/>
        <w:gridCol w:w="736"/>
        <w:gridCol w:w="236"/>
        <w:gridCol w:w="663"/>
        <w:gridCol w:w="736"/>
      </w:tblGrid>
      <w:tr w:rsidR="003B32A4" w:rsidRPr="00942766" w:rsidTr="00080173">
        <w:trPr>
          <w:trHeight w:val="580"/>
        </w:trPr>
        <w:tc>
          <w:tcPr>
            <w:tcW w:w="2127" w:type="dxa"/>
            <w:tcBorders>
              <w:top w:val="single" w:sz="4" w:space="0" w:color="auto"/>
              <w:left w:val="nil"/>
              <w:right w:val="single" w:sz="8" w:space="0" w:color="auto"/>
            </w:tcBorders>
            <w:shd w:val="clear" w:color="auto" w:fill="auto"/>
            <w:noWrap/>
            <w:vAlign w:val="bottom"/>
          </w:tcPr>
          <w:p w:rsidR="002B3047" w:rsidRPr="00942766" w:rsidRDefault="002B3047" w:rsidP="00CA204D">
            <w:pPr>
              <w:rPr>
                <w:rFonts w:ascii="Calibri" w:eastAsia="Times New Roman" w:hAnsi="Calibri"/>
                <w:b/>
                <w:bCs/>
                <w:color w:val="000000"/>
                <w:sz w:val="18"/>
                <w:szCs w:val="18"/>
              </w:rPr>
            </w:pPr>
          </w:p>
        </w:tc>
        <w:tc>
          <w:tcPr>
            <w:tcW w:w="5779" w:type="dxa"/>
            <w:gridSpan w:val="8"/>
            <w:tcBorders>
              <w:top w:val="single" w:sz="4" w:space="0" w:color="auto"/>
              <w:left w:val="single" w:sz="8" w:space="0" w:color="auto"/>
              <w:right w:val="nil"/>
            </w:tcBorders>
            <w:shd w:val="clear" w:color="auto" w:fill="auto"/>
            <w:noWrap/>
          </w:tcPr>
          <w:p w:rsidR="002B3047" w:rsidRPr="00942766" w:rsidRDefault="000E5778" w:rsidP="000E5778">
            <w:pPr>
              <w:jc w:val="center"/>
              <w:rPr>
                <w:rFonts w:ascii="Calibri" w:eastAsia="Times New Roman" w:hAnsi="Calibri"/>
                <w:b/>
                <w:color w:val="000000"/>
                <w:sz w:val="18"/>
                <w:szCs w:val="18"/>
              </w:rPr>
            </w:pPr>
            <w:r w:rsidRPr="00942766">
              <w:rPr>
                <w:rFonts w:ascii="Calibri" w:eastAsia="Times New Roman" w:hAnsi="Calibri"/>
                <w:b/>
                <w:color w:val="000000"/>
                <w:sz w:val="18"/>
                <w:szCs w:val="18"/>
              </w:rPr>
              <w:t>Bilateral p</w:t>
            </w:r>
            <w:r w:rsidR="002B3047" w:rsidRPr="00942766">
              <w:rPr>
                <w:rFonts w:ascii="Calibri" w:eastAsia="Times New Roman" w:hAnsi="Calibri"/>
                <w:b/>
                <w:color w:val="000000"/>
                <w:sz w:val="18"/>
                <w:szCs w:val="18"/>
              </w:rPr>
              <w:t xml:space="preserve">ermanent childhood hearing loss </w:t>
            </w:r>
            <w:r w:rsidR="002B3047" w:rsidRPr="00942766">
              <w:rPr>
                <w:rFonts w:ascii="Calibri" w:eastAsia="Times New Roman" w:hAnsi="Calibri"/>
                <w:b/>
                <w:color w:val="000000"/>
                <w:sz w:val="18"/>
                <w:szCs w:val="18"/>
                <w:u w:val="single"/>
              </w:rPr>
              <w:t>&gt;</w:t>
            </w:r>
            <w:r w:rsidR="002B3047" w:rsidRPr="00942766">
              <w:rPr>
                <w:rFonts w:ascii="Calibri" w:eastAsia="Times New Roman" w:hAnsi="Calibri"/>
                <w:b/>
                <w:color w:val="000000"/>
                <w:sz w:val="18"/>
                <w:szCs w:val="18"/>
              </w:rPr>
              <w:t>40 dB</w:t>
            </w:r>
          </w:p>
        </w:tc>
        <w:tc>
          <w:tcPr>
            <w:tcW w:w="236" w:type="dxa"/>
            <w:tcBorders>
              <w:top w:val="single" w:sz="4" w:space="0" w:color="auto"/>
              <w:left w:val="nil"/>
              <w:right w:val="nil"/>
            </w:tcBorders>
            <w:shd w:val="clear" w:color="auto" w:fill="auto"/>
            <w:noWrap/>
          </w:tcPr>
          <w:p w:rsidR="002B3047" w:rsidRPr="00942766" w:rsidRDefault="002B3047" w:rsidP="002B3047">
            <w:pPr>
              <w:jc w:val="center"/>
              <w:rPr>
                <w:rFonts w:ascii="Calibri" w:eastAsia="Times New Roman" w:hAnsi="Calibri"/>
                <w:b/>
                <w:color w:val="000000"/>
                <w:sz w:val="18"/>
                <w:szCs w:val="18"/>
              </w:rPr>
            </w:pPr>
          </w:p>
        </w:tc>
        <w:tc>
          <w:tcPr>
            <w:tcW w:w="1399" w:type="dxa"/>
            <w:gridSpan w:val="2"/>
            <w:tcBorders>
              <w:top w:val="single" w:sz="4" w:space="0" w:color="auto"/>
              <w:left w:val="nil"/>
              <w:right w:val="nil"/>
            </w:tcBorders>
            <w:shd w:val="clear" w:color="auto" w:fill="auto"/>
            <w:noWrap/>
          </w:tcPr>
          <w:p w:rsidR="002B3047" w:rsidRPr="00942766" w:rsidRDefault="002B3047" w:rsidP="002B3047">
            <w:pPr>
              <w:jc w:val="center"/>
              <w:rPr>
                <w:rFonts w:ascii="Calibri" w:eastAsia="Times New Roman" w:hAnsi="Calibri"/>
                <w:b/>
                <w:color w:val="000000"/>
                <w:sz w:val="18"/>
                <w:szCs w:val="18"/>
              </w:rPr>
            </w:pPr>
            <w:r w:rsidRPr="00942766">
              <w:rPr>
                <w:rFonts w:ascii="Calibri" w:eastAsia="Times New Roman" w:hAnsi="Calibri"/>
                <w:b/>
                <w:color w:val="000000"/>
                <w:sz w:val="18"/>
                <w:szCs w:val="18"/>
              </w:rPr>
              <w:t xml:space="preserve">HCG </w:t>
            </w:r>
          </w:p>
          <w:p w:rsidR="002B3047" w:rsidRPr="00942766" w:rsidRDefault="002B3047" w:rsidP="002B3047">
            <w:pPr>
              <w:jc w:val="center"/>
              <w:rPr>
                <w:rFonts w:ascii="Calibri" w:eastAsia="Times New Roman" w:hAnsi="Calibri"/>
                <w:b/>
                <w:color w:val="000000"/>
                <w:sz w:val="18"/>
                <w:szCs w:val="18"/>
              </w:rPr>
            </w:pPr>
          </w:p>
        </w:tc>
      </w:tr>
      <w:tr w:rsidR="003B32A4" w:rsidRPr="00942766" w:rsidTr="00080173">
        <w:trPr>
          <w:trHeight w:val="384"/>
        </w:trPr>
        <w:tc>
          <w:tcPr>
            <w:tcW w:w="2127" w:type="dxa"/>
            <w:tcBorders>
              <w:left w:val="nil"/>
              <w:bottom w:val="single" w:sz="4" w:space="0" w:color="auto"/>
              <w:right w:val="single" w:sz="8" w:space="0" w:color="auto"/>
            </w:tcBorders>
            <w:shd w:val="clear" w:color="auto" w:fill="auto"/>
            <w:noWrap/>
            <w:vAlign w:val="bottom"/>
            <w:hideMark/>
          </w:tcPr>
          <w:p w:rsidR="00335472" w:rsidRPr="00942766" w:rsidRDefault="00335472" w:rsidP="00CA204D">
            <w:pPr>
              <w:rPr>
                <w:rFonts w:ascii="Calibri" w:eastAsia="Times New Roman" w:hAnsi="Calibri"/>
                <w:b/>
                <w:bCs/>
                <w:color w:val="000000"/>
                <w:sz w:val="18"/>
                <w:szCs w:val="18"/>
              </w:rPr>
            </w:pPr>
            <w:r w:rsidRPr="00942766">
              <w:rPr>
                <w:rFonts w:ascii="Calibri" w:eastAsia="Times New Roman" w:hAnsi="Calibri"/>
                <w:b/>
                <w:bCs/>
                <w:color w:val="000000"/>
                <w:sz w:val="18"/>
                <w:szCs w:val="18"/>
              </w:rPr>
              <w:t>Resource Items</w:t>
            </w:r>
            <w:r w:rsidR="00684B89" w:rsidRPr="00942766">
              <w:rPr>
                <w:rFonts w:ascii="Calibri" w:eastAsia="Times New Roman" w:hAnsi="Calibri"/>
                <w:b/>
                <w:bCs/>
                <w:color w:val="000000"/>
                <w:sz w:val="18"/>
                <w:szCs w:val="18"/>
              </w:rPr>
              <w:t>*</w:t>
            </w:r>
          </w:p>
        </w:tc>
        <w:tc>
          <w:tcPr>
            <w:tcW w:w="1473" w:type="dxa"/>
            <w:gridSpan w:val="2"/>
            <w:tcBorders>
              <w:left w:val="single" w:sz="8" w:space="0" w:color="auto"/>
              <w:bottom w:val="single" w:sz="4" w:space="0" w:color="auto"/>
              <w:right w:val="nil"/>
            </w:tcBorders>
            <w:shd w:val="clear" w:color="auto" w:fill="auto"/>
            <w:noWrap/>
            <w:hideMark/>
          </w:tcPr>
          <w:p w:rsidR="00335472" w:rsidRPr="00942766" w:rsidRDefault="00335472" w:rsidP="002833D4">
            <w:pPr>
              <w:jc w:val="center"/>
              <w:rPr>
                <w:rFonts w:ascii="Calibri" w:eastAsia="Times New Roman" w:hAnsi="Calibri"/>
                <w:b/>
                <w:color w:val="000000"/>
                <w:sz w:val="18"/>
                <w:szCs w:val="18"/>
              </w:rPr>
            </w:pPr>
            <w:r w:rsidRPr="00942766">
              <w:rPr>
                <w:rFonts w:ascii="Calibri" w:eastAsia="Times New Roman" w:hAnsi="Calibri"/>
                <w:b/>
                <w:color w:val="000000"/>
                <w:sz w:val="18"/>
                <w:szCs w:val="18"/>
              </w:rPr>
              <w:t>Moderate (n=32)</w:t>
            </w:r>
          </w:p>
        </w:tc>
        <w:tc>
          <w:tcPr>
            <w:tcW w:w="1552" w:type="dxa"/>
            <w:gridSpan w:val="2"/>
            <w:tcBorders>
              <w:left w:val="nil"/>
              <w:bottom w:val="single" w:sz="4" w:space="0" w:color="auto"/>
              <w:right w:val="nil"/>
            </w:tcBorders>
            <w:shd w:val="clear" w:color="auto" w:fill="auto"/>
            <w:noWrap/>
            <w:hideMark/>
          </w:tcPr>
          <w:p w:rsidR="003B32A4" w:rsidRPr="00942766" w:rsidRDefault="00335472" w:rsidP="002833D4">
            <w:pPr>
              <w:jc w:val="center"/>
              <w:rPr>
                <w:rFonts w:ascii="Calibri" w:eastAsia="Times New Roman" w:hAnsi="Calibri"/>
                <w:b/>
                <w:color w:val="000000"/>
                <w:sz w:val="18"/>
                <w:szCs w:val="18"/>
              </w:rPr>
            </w:pPr>
            <w:r w:rsidRPr="00942766">
              <w:rPr>
                <w:rFonts w:ascii="Calibri" w:eastAsia="Times New Roman" w:hAnsi="Calibri"/>
                <w:b/>
                <w:color w:val="000000"/>
                <w:sz w:val="18"/>
                <w:szCs w:val="18"/>
              </w:rPr>
              <w:t xml:space="preserve">Severe </w:t>
            </w:r>
          </w:p>
          <w:p w:rsidR="00335472" w:rsidRPr="00942766" w:rsidRDefault="00335472" w:rsidP="002833D4">
            <w:pPr>
              <w:jc w:val="center"/>
              <w:rPr>
                <w:rFonts w:ascii="Calibri" w:eastAsia="Times New Roman" w:hAnsi="Calibri"/>
                <w:b/>
                <w:color w:val="000000"/>
                <w:sz w:val="18"/>
                <w:szCs w:val="18"/>
              </w:rPr>
            </w:pPr>
            <w:r w:rsidRPr="00942766">
              <w:rPr>
                <w:rFonts w:ascii="Calibri" w:eastAsia="Times New Roman" w:hAnsi="Calibri"/>
                <w:b/>
                <w:color w:val="000000"/>
                <w:sz w:val="18"/>
                <w:szCs w:val="18"/>
              </w:rPr>
              <w:t>(n=18)</w:t>
            </w:r>
          </w:p>
        </w:tc>
        <w:tc>
          <w:tcPr>
            <w:tcW w:w="1377" w:type="dxa"/>
            <w:gridSpan w:val="2"/>
            <w:tcBorders>
              <w:left w:val="nil"/>
              <w:bottom w:val="single" w:sz="4" w:space="0" w:color="auto"/>
              <w:right w:val="nil"/>
            </w:tcBorders>
            <w:shd w:val="clear" w:color="auto" w:fill="auto"/>
            <w:noWrap/>
            <w:hideMark/>
          </w:tcPr>
          <w:p w:rsidR="00335472" w:rsidRPr="00942766" w:rsidRDefault="00335472" w:rsidP="002833D4">
            <w:pPr>
              <w:jc w:val="center"/>
              <w:rPr>
                <w:rFonts w:ascii="Calibri" w:eastAsia="Times New Roman" w:hAnsi="Calibri"/>
                <w:b/>
                <w:color w:val="000000"/>
                <w:sz w:val="18"/>
                <w:szCs w:val="18"/>
              </w:rPr>
            </w:pPr>
            <w:r w:rsidRPr="00942766">
              <w:rPr>
                <w:rFonts w:ascii="Calibri" w:eastAsia="Times New Roman" w:hAnsi="Calibri"/>
                <w:b/>
                <w:color w:val="000000"/>
                <w:sz w:val="18"/>
                <w:szCs w:val="18"/>
              </w:rPr>
              <w:t>Profound (n=23)</w:t>
            </w:r>
          </w:p>
        </w:tc>
        <w:tc>
          <w:tcPr>
            <w:tcW w:w="1377" w:type="dxa"/>
            <w:gridSpan w:val="2"/>
            <w:tcBorders>
              <w:left w:val="nil"/>
              <w:bottom w:val="single" w:sz="4" w:space="0" w:color="auto"/>
              <w:right w:val="nil"/>
            </w:tcBorders>
            <w:shd w:val="clear" w:color="auto" w:fill="auto"/>
            <w:noWrap/>
            <w:hideMark/>
          </w:tcPr>
          <w:p w:rsidR="00335472" w:rsidRPr="00942766" w:rsidRDefault="00335472" w:rsidP="002833D4">
            <w:pPr>
              <w:jc w:val="center"/>
              <w:rPr>
                <w:rFonts w:ascii="Calibri" w:eastAsia="Times New Roman" w:hAnsi="Calibri"/>
                <w:b/>
                <w:color w:val="000000"/>
                <w:sz w:val="18"/>
                <w:szCs w:val="18"/>
              </w:rPr>
            </w:pPr>
            <w:r w:rsidRPr="00942766">
              <w:rPr>
                <w:rFonts w:ascii="Calibri" w:eastAsia="Times New Roman" w:hAnsi="Calibri"/>
                <w:b/>
                <w:color w:val="000000"/>
                <w:sz w:val="18"/>
                <w:szCs w:val="18"/>
              </w:rPr>
              <w:t>Tota</w:t>
            </w:r>
            <w:r w:rsidR="002B3047" w:rsidRPr="00942766">
              <w:rPr>
                <w:rFonts w:ascii="Calibri" w:eastAsia="Times New Roman" w:hAnsi="Calibri"/>
                <w:b/>
                <w:color w:val="000000"/>
                <w:sz w:val="18"/>
                <w:szCs w:val="18"/>
              </w:rPr>
              <w:t>l</w:t>
            </w:r>
            <w:r w:rsidRPr="00942766">
              <w:rPr>
                <w:rFonts w:ascii="Calibri" w:eastAsia="Times New Roman" w:hAnsi="Calibri"/>
                <w:b/>
                <w:color w:val="000000"/>
                <w:sz w:val="18"/>
                <w:szCs w:val="18"/>
              </w:rPr>
              <w:t xml:space="preserve"> (n=73)</w:t>
            </w:r>
          </w:p>
        </w:tc>
        <w:tc>
          <w:tcPr>
            <w:tcW w:w="236" w:type="dxa"/>
            <w:tcBorders>
              <w:left w:val="nil"/>
              <w:bottom w:val="single" w:sz="4" w:space="0" w:color="auto"/>
              <w:right w:val="nil"/>
            </w:tcBorders>
            <w:shd w:val="clear" w:color="auto" w:fill="auto"/>
            <w:noWrap/>
            <w:hideMark/>
          </w:tcPr>
          <w:p w:rsidR="00335472" w:rsidRPr="00942766" w:rsidRDefault="00335472" w:rsidP="00080173">
            <w:pPr>
              <w:jc w:val="center"/>
              <w:rPr>
                <w:rFonts w:ascii="Calibri" w:eastAsia="Times New Roman" w:hAnsi="Calibri"/>
                <w:b/>
                <w:color w:val="000000"/>
                <w:sz w:val="18"/>
                <w:szCs w:val="18"/>
              </w:rPr>
            </w:pPr>
          </w:p>
        </w:tc>
        <w:tc>
          <w:tcPr>
            <w:tcW w:w="1399" w:type="dxa"/>
            <w:gridSpan w:val="2"/>
            <w:tcBorders>
              <w:left w:val="nil"/>
              <w:bottom w:val="single" w:sz="4" w:space="0" w:color="auto"/>
              <w:right w:val="nil"/>
            </w:tcBorders>
            <w:shd w:val="clear" w:color="auto" w:fill="auto"/>
            <w:noWrap/>
            <w:hideMark/>
          </w:tcPr>
          <w:p w:rsidR="00335472" w:rsidRPr="00942766" w:rsidRDefault="002B3047" w:rsidP="002833D4">
            <w:pPr>
              <w:jc w:val="center"/>
              <w:rPr>
                <w:rFonts w:ascii="Calibri" w:eastAsia="Times New Roman" w:hAnsi="Calibri"/>
                <w:b/>
                <w:color w:val="000000"/>
                <w:sz w:val="18"/>
                <w:szCs w:val="18"/>
              </w:rPr>
            </w:pPr>
            <w:r w:rsidRPr="00942766" w:rsidDel="002B3047">
              <w:rPr>
                <w:rFonts w:ascii="Calibri" w:eastAsia="Times New Roman" w:hAnsi="Calibri"/>
                <w:b/>
                <w:color w:val="000000"/>
                <w:sz w:val="18"/>
                <w:szCs w:val="18"/>
              </w:rPr>
              <w:t xml:space="preserve"> </w:t>
            </w:r>
            <w:r w:rsidR="00335472" w:rsidRPr="00942766">
              <w:rPr>
                <w:rFonts w:ascii="Calibri" w:eastAsia="Times New Roman" w:hAnsi="Calibri"/>
                <w:b/>
                <w:color w:val="000000"/>
                <w:sz w:val="18"/>
                <w:szCs w:val="18"/>
              </w:rPr>
              <w:t>(n=37)</w:t>
            </w:r>
          </w:p>
        </w:tc>
      </w:tr>
      <w:tr w:rsidR="003B32A4" w:rsidRPr="00942766" w:rsidTr="00080173">
        <w:trPr>
          <w:trHeight w:val="300"/>
        </w:trPr>
        <w:tc>
          <w:tcPr>
            <w:tcW w:w="2127" w:type="dxa"/>
            <w:tcBorders>
              <w:top w:val="nil"/>
              <w:left w:val="nil"/>
              <w:bottom w:val="nil"/>
              <w:right w:val="single" w:sz="8" w:space="0" w:color="auto"/>
            </w:tcBorders>
            <w:shd w:val="clear" w:color="auto" w:fill="auto"/>
            <w:noWrap/>
            <w:vAlign w:val="bottom"/>
            <w:hideMark/>
          </w:tcPr>
          <w:p w:rsidR="00335472" w:rsidRPr="00942766" w:rsidRDefault="00335472" w:rsidP="00CA204D">
            <w:pPr>
              <w:jc w:val="center"/>
              <w:rPr>
                <w:rFonts w:ascii="Calibri" w:eastAsia="Times New Roman" w:hAnsi="Calibri"/>
                <w:color w:val="000000"/>
                <w:sz w:val="18"/>
                <w:szCs w:val="18"/>
              </w:rPr>
            </w:pPr>
          </w:p>
        </w:tc>
        <w:tc>
          <w:tcPr>
            <w:tcW w:w="641" w:type="dxa"/>
            <w:tcBorders>
              <w:top w:val="nil"/>
              <w:left w:val="single" w:sz="8" w:space="0" w:color="auto"/>
              <w:bottom w:val="nil"/>
              <w:right w:val="nil"/>
            </w:tcBorders>
            <w:shd w:val="clear" w:color="auto" w:fill="auto"/>
            <w:noWrap/>
            <w:vAlign w:val="bottom"/>
            <w:hideMark/>
          </w:tcPr>
          <w:p w:rsidR="00335472" w:rsidRPr="00942766" w:rsidRDefault="00335472" w:rsidP="00CA204D">
            <w:pPr>
              <w:jc w:val="right"/>
              <w:rPr>
                <w:rFonts w:ascii="Calibri" w:eastAsia="Times New Roman" w:hAnsi="Calibri"/>
                <w:color w:val="000000"/>
                <w:sz w:val="18"/>
                <w:szCs w:val="18"/>
              </w:rPr>
            </w:pPr>
            <w:r w:rsidRPr="00942766">
              <w:rPr>
                <w:rFonts w:ascii="Calibri" w:eastAsia="Times New Roman" w:hAnsi="Calibri"/>
                <w:color w:val="000000"/>
                <w:sz w:val="18"/>
                <w:szCs w:val="18"/>
              </w:rPr>
              <w:t>Mean</w:t>
            </w:r>
          </w:p>
        </w:tc>
        <w:tc>
          <w:tcPr>
            <w:tcW w:w="832" w:type="dxa"/>
            <w:tcBorders>
              <w:top w:val="nil"/>
              <w:left w:val="nil"/>
              <w:bottom w:val="nil"/>
              <w:right w:val="nil"/>
            </w:tcBorders>
            <w:shd w:val="clear" w:color="auto" w:fill="auto"/>
            <w:noWrap/>
            <w:vAlign w:val="bottom"/>
            <w:hideMark/>
          </w:tcPr>
          <w:p w:rsidR="00335472" w:rsidRPr="00942766" w:rsidRDefault="00335472" w:rsidP="00CA204D">
            <w:pPr>
              <w:rPr>
                <w:rFonts w:ascii="Calibri" w:eastAsia="Times New Roman" w:hAnsi="Calibri"/>
                <w:color w:val="000000"/>
                <w:sz w:val="18"/>
                <w:szCs w:val="18"/>
              </w:rPr>
            </w:pPr>
            <w:r w:rsidRPr="00942766">
              <w:rPr>
                <w:rFonts w:ascii="Calibri" w:eastAsia="Times New Roman" w:hAnsi="Calibri"/>
                <w:color w:val="000000"/>
                <w:sz w:val="18"/>
                <w:szCs w:val="18"/>
              </w:rPr>
              <w:t>(sd)</w:t>
            </w:r>
          </w:p>
        </w:tc>
        <w:tc>
          <w:tcPr>
            <w:tcW w:w="673" w:type="dxa"/>
            <w:tcBorders>
              <w:top w:val="nil"/>
              <w:left w:val="nil"/>
              <w:bottom w:val="nil"/>
              <w:right w:val="nil"/>
            </w:tcBorders>
            <w:shd w:val="clear" w:color="auto" w:fill="auto"/>
            <w:noWrap/>
            <w:vAlign w:val="bottom"/>
            <w:hideMark/>
          </w:tcPr>
          <w:p w:rsidR="00335472" w:rsidRPr="00942766" w:rsidRDefault="00335472" w:rsidP="00CA204D">
            <w:pPr>
              <w:jc w:val="right"/>
              <w:rPr>
                <w:rFonts w:ascii="Calibri" w:eastAsia="Times New Roman" w:hAnsi="Calibri"/>
                <w:color w:val="000000"/>
                <w:sz w:val="18"/>
                <w:szCs w:val="18"/>
              </w:rPr>
            </w:pPr>
            <w:r w:rsidRPr="00942766">
              <w:rPr>
                <w:rFonts w:ascii="Calibri" w:eastAsia="Times New Roman" w:hAnsi="Calibri"/>
                <w:color w:val="000000"/>
                <w:sz w:val="18"/>
                <w:szCs w:val="18"/>
              </w:rPr>
              <w:t>Mean</w:t>
            </w:r>
          </w:p>
        </w:tc>
        <w:tc>
          <w:tcPr>
            <w:tcW w:w="879" w:type="dxa"/>
            <w:tcBorders>
              <w:top w:val="nil"/>
              <w:left w:val="nil"/>
              <w:bottom w:val="nil"/>
              <w:right w:val="nil"/>
            </w:tcBorders>
            <w:shd w:val="clear" w:color="auto" w:fill="auto"/>
            <w:noWrap/>
            <w:vAlign w:val="bottom"/>
            <w:hideMark/>
          </w:tcPr>
          <w:p w:rsidR="00335472" w:rsidRPr="00942766" w:rsidRDefault="00335472" w:rsidP="00CA204D">
            <w:pPr>
              <w:rPr>
                <w:rFonts w:ascii="Calibri" w:eastAsia="Times New Roman" w:hAnsi="Calibri"/>
                <w:color w:val="000000"/>
                <w:sz w:val="18"/>
                <w:szCs w:val="18"/>
              </w:rPr>
            </w:pPr>
            <w:r w:rsidRPr="00942766">
              <w:rPr>
                <w:rFonts w:ascii="Calibri" w:eastAsia="Times New Roman" w:hAnsi="Calibri"/>
                <w:color w:val="000000"/>
                <w:sz w:val="18"/>
                <w:szCs w:val="18"/>
              </w:rPr>
              <w:t>(sd)</w:t>
            </w:r>
          </w:p>
        </w:tc>
        <w:tc>
          <w:tcPr>
            <w:tcW w:w="641" w:type="dxa"/>
            <w:tcBorders>
              <w:top w:val="nil"/>
              <w:left w:val="nil"/>
              <w:bottom w:val="nil"/>
              <w:right w:val="nil"/>
            </w:tcBorders>
            <w:shd w:val="clear" w:color="auto" w:fill="auto"/>
            <w:noWrap/>
            <w:vAlign w:val="bottom"/>
            <w:hideMark/>
          </w:tcPr>
          <w:p w:rsidR="00335472" w:rsidRPr="00942766" w:rsidRDefault="00335472" w:rsidP="00CA204D">
            <w:pPr>
              <w:jc w:val="right"/>
              <w:rPr>
                <w:rFonts w:ascii="Calibri" w:eastAsia="Times New Roman" w:hAnsi="Calibri"/>
                <w:color w:val="000000"/>
                <w:sz w:val="18"/>
                <w:szCs w:val="18"/>
              </w:rPr>
            </w:pPr>
            <w:r w:rsidRPr="00942766">
              <w:rPr>
                <w:rFonts w:ascii="Calibri" w:eastAsia="Times New Roman" w:hAnsi="Calibri"/>
                <w:color w:val="000000"/>
                <w:sz w:val="18"/>
                <w:szCs w:val="18"/>
              </w:rPr>
              <w:t>Mean</w:t>
            </w:r>
          </w:p>
        </w:tc>
        <w:tc>
          <w:tcPr>
            <w:tcW w:w="736" w:type="dxa"/>
            <w:tcBorders>
              <w:top w:val="nil"/>
              <w:left w:val="nil"/>
              <w:bottom w:val="nil"/>
              <w:right w:val="nil"/>
            </w:tcBorders>
            <w:shd w:val="clear" w:color="auto" w:fill="auto"/>
            <w:noWrap/>
            <w:vAlign w:val="bottom"/>
            <w:hideMark/>
          </w:tcPr>
          <w:p w:rsidR="00335472" w:rsidRPr="00942766" w:rsidRDefault="00335472" w:rsidP="00CA204D">
            <w:pPr>
              <w:rPr>
                <w:rFonts w:ascii="Calibri" w:eastAsia="Times New Roman" w:hAnsi="Calibri"/>
                <w:color w:val="000000"/>
                <w:sz w:val="18"/>
                <w:szCs w:val="18"/>
              </w:rPr>
            </w:pPr>
            <w:r w:rsidRPr="00942766">
              <w:rPr>
                <w:rFonts w:ascii="Calibri" w:eastAsia="Times New Roman" w:hAnsi="Calibri"/>
                <w:color w:val="000000"/>
                <w:sz w:val="18"/>
                <w:szCs w:val="18"/>
              </w:rPr>
              <w:t>(sd)</w:t>
            </w:r>
          </w:p>
        </w:tc>
        <w:tc>
          <w:tcPr>
            <w:tcW w:w="641" w:type="dxa"/>
            <w:tcBorders>
              <w:top w:val="nil"/>
              <w:left w:val="nil"/>
              <w:bottom w:val="nil"/>
              <w:right w:val="nil"/>
            </w:tcBorders>
            <w:shd w:val="clear" w:color="auto" w:fill="auto"/>
            <w:noWrap/>
            <w:vAlign w:val="bottom"/>
            <w:hideMark/>
          </w:tcPr>
          <w:p w:rsidR="00335472" w:rsidRPr="00942766" w:rsidRDefault="00335472" w:rsidP="00CA204D">
            <w:pPr>
              <w:jc w:val="right"/>
              <w:rPr>
                <w:rFonts w:ascii="Calibri" w:eastAsia="Times New Roman" w:hAnsi="Calibri"/>
                <w:color w:val="000000"/>
                <w:sz w:val="18"/>
                <w:szCs w:val="18"/>
              </w:rPr>
            </w:pPr>
            <w:r w:rsidRPr="00942766">
              <w:rPr>
                <w:rFonts w:ascii="Calibri" w:eastAsia="Times New Roman" w:hAnsi="Calibri"/>
                <w:color w:val="000000"/>
                <w:sz w:val="18"/>
                <w:szCs w:val="18"/>
              </w:rPr>
              <w:t>Mean</w:t>
            </w:r>
          </w:p>
        </w:tc>
        <w:tc>
          <w:tcPr>
            <w:tcW w:w="736" w:type="dxa"/>
            <w:tcBorders>
              <w:top w:val="nil"/>
              <w:left w:val="nil"/>
              <w:bottom w:val="nil"/>
              <w:right w:val="nil"/>
            </w:tcBorders>
            <w:shd w:val="clear" w:color="auto" w:fill="auto"/>
            <w:noWrap/>
            <w:vAlign w:val="bottom"/>
            <w:hideMark/>
          </w:tcPr>
          <w:p w:rsidR="00335472" w:rsidRPr="00942766" w:rsidRDefault="00335472" w:rsidP="00CA204D">
            <w:pPr>
              <w:rPr>
                <w:rFonts w:ascii="Calibri" w:eastAsia="Times New Roman" w:hAnsi="Calibri"/>
                <w:color w:val="000000"/>
                <w:sz w:val="18"/>
                <w:szCs w:val="18"/>
              </w:rPr>
            </w:pPr>
            <w:r w:rsidRPr="00942766">
              <w:rPr>
                <w:rFonts w:ascii="Calibri" w:eastAsia="Times New Roman" w:hAnsi="Calibri"/>
                <w:color w:val="000000"/>
                <w:sz w:val="18"/>
                <w:szCs w:val="18"/>
              </w:rPr>
              <w:t>(sd)</w:t>
            </w:r>
          </w:p>
        </w:tc>
        <w:tc>
          <w:tcPr>
            <w:tcW w:w="236" w:type="dxa"/>
            <w:tcBorders>
              <w:top w:val="nil"/>
              <w:left w:val="nil"/>
              <w:bottom w:val="nil"/>
              <w:right w:val="nil"/>
            </w:tcBorders>
            <w:shd w:val="clear" w:color="auto" w:fill="auto"/>
            <w:noWrap/>
            <w:vAlign w:val="bottom"/>
            <w:hideMark/>
          </w:tcPr>
          <w:p w:rsidR="00335472" w:rsidRPr="00942766" w:rsidRDefault="00335472" w:rsidP="00CA204D">
            <w:pPr>
              <w:rPr>
                <w:rFonts w:ascii="Calibri" w:eastAsia="Times New Roman" w:hAnsi="Calibri"/>
                <w:color w:val="000000"/>
                <w:sz w:val="18"/>
                <w:szCs w:val="18"/>
              </w:rPr>
            </w:pPr>
          </w:p>
        </w:tc>
        <w:tc>
          <w:tcPr>
            <w:tcW w:w="663" w:type="dxa"/>
            <w:tcBorders>
              <w:top w:val="nil"/>
              <w:left w:val="nil"/>
              <w:bottom w:val="nil"/>
              <w:right w:val="nil"/>
            </w:tcBorders>
            <w:shd w:val="clear" w:color="auto" w:fill="auto"/>
            <w:noWrap/>
            <w:vAlign w:val="bottom"/>
            <w:hideMark/>
          </w:tcPr>
          <w:p w:rsidR="00335472" w:rsidRPr="00942766" w:rsidRDefault="00335472" w:rsidP="00CA204D">
            <w:pPr>
              <w:jc w:val="right"/>
              <w:rPr>
                <w:rFonts w:ascii="Calibri" w:eastAsia="Times New Roman" w:hAnsi="Calibri"/>
                <w:color w:val="000000"/>
                <w:sz w:val="18"/>
                <w:szCs w:val="18"/>
              </w:rPr>
            </w:pPr>
            <w:r w:rsidRPr="00942766">
              <w:rPr>
                <w:rFonts w:ascii="Calibri" w:eastAsia="Times New Roman" w:hAnsi="Calibri"/>
                <w:color w:val="000000"/>
                <w:sz w:val="18"/>
                <w:szCs w:val="18"/>
              </w:rPr>
              <w:t>Mean</w:t>
            </w:r>
          </w:p>
        </w:tc>
        <w:tc>
          <w:tcPr>
            <w:tcW w:w="736" w:type="dxa"/>
            <w:tcBorders>
              <w:top w:val="nil"/>
              <w:left w:val="nil"/>
              <w:bottom w:val="nil"/>
              <w:right w:val="nil"/>
            </w:tcBorders>
            <w:shd w:val="clear" w:color="auto" w:fill="auto"/>
            <w:noWrap/>
            <w:vAlign w:val="bottom"/>
            <w:hideMark/>
          </w:tcPr>
          <w:p w:rsidR="00335472" w:rsidRPr="00942766" w:rsidRDefault="00335472" w:rsidP="00CA204D">
            <w:pPr>
              <w:rPr>
                <w:rFonts w:ascii="Calibri" w:eastAsia="Times New Roman" w:hAnsi="Calibri"/>
                <w:color w:val="000000"/>
                <w:sz w:val="18"/>
                <w:szCs w:val="18"/>
              </w:rPr>
            </w:pPr>
            <w:r w:rsidRPr="00942766">
              <w:rPr>
                <w:rFonts w:ascii="Calibri" w:eastAsia="Times New Roman" w:hAnsi="Calibri"/>
                <w:color w:val="000000"/>
                <w:sz w:val="18"/>
                <w:szCs w:val="18"/>
              </w:rPr>
              <w:t>(sd)</w:t>
            </w:r>
          </w:p>
        </w:tc>
      </w:tr>
      <w:tr w:rsidR="003B32A4" w:rsidRPr="00942766" w:rsidTr="00080173">
        <w:trPr>
          <w:trHeight w:val="300"/>
        </w:trPr>
        <w:tc>
          <w:tcPr>
            <w:tcW w:w="2127" w:type="dxa"/>
            <w:tcBorders>
              <w:top w:val="nil"/>
              <w:left w:val="nil"/>
              <w:bottom w:val="nil"/>
              <w:right w:val="single" w:sz="8" w:space="0" w:color="auto"/>
            </w:tcBorders>
            <w:shd w:val="clear" w:color="auto" w:fill="auto"/>
            <w:noWrap/>
            <w:vAlign w:val="bottom"/>
            <w:hideMark/>
          </w:tcPr>
          <w:p w:rsidR="00335472" w:rsidRPr="00942766" w:rsidRDefault="00335472" w:rsidP="002833D4">
            <w:pPr>
              <w:rPr>
                <w:rFonts w:ascii="Calibri" w:eastAsia="Times New Roman" w:hAnsi="Calibri"/>
                <w:b/>
                <w:color w:val="000000"/>
                <w:sz w:val="18"/>
                <w:szCs w:val="18"/>
              </w:rPr>
            </w:pPr>
            <w:r w:rsidRPr="00942766">
              <w:rPr>
                <w:rFonts w:ascii="Calibri" w:eastAsia="Times New Roman" w:hAnsi="Calibri"/>
                <w:b/>
                <w:color w:val="000000"/>
                <w:sz w:val="18"/>
                <w:szCs w:val="18"/>
              </w:rPr>
              <w:t xml:space="preserve">Community and social care services </w:t>
            </w:r>
            <w:r w:rsidR="003B32A4" w:rsidRPr="00942766">
              <w:rPr>
                <w:rFonts w:ascii="Calibri" w:eastAsia="Times New Roman" w:hAnsi="Calibri"/>
                <w:b/>
                <w:color w:val="000000"/>
                <w:sz w:val="18"/>
                <w:szCs w:val="18"/>
              </w:rPr>
              <w:t>contacts</w:t>
            </w:r>
          </w:p>
        </w:tc>
        <w:tc>
          <w:tcPr>
            <w:tcW w:w="641" w:type="dxa"/>
            <w:tcBorders>
              <w:top w:val="nil"/>
              <w:left w:val="single" w:sz="8" w:space="0" w:color="auto"/>
              <w:bottom w:val="nil"/>
              <w:right w:val="nil"/>
            </w:tcBorders>
            <w:shd w:val="clear" w:color="auto" w:fill="auto"/>
            <w:noWrap/>
            <w:vAlign w:val="bottom"/>
            <w:hideMark/>
          </w:tcPr>
          <w:p w:rsidR="00335472" w:rsidRPr="00942766" w:rsidRDefault="00335472" w:rsidP="00CA204D">
            <w:pPr>
              <w:rPr>
                <w:rFonts w:ascii="Calibri" w:eastAsia="Times New Roman" w:hAnsi="Calibri"/>
                <w:color w:val="000000"/>
                <w:sz w:val="13"/>
                <w:szCs w:val="13"/>
              </w:rPr>
            </w:pPr>
          </w:p>
        </w:tc>
        <w:tc>
          <w:tcPr>
            <w:tcW w:w="832" w:type="dxa"/>
            <w:tcBorders>
              <w:top w:val="nil"/>
              <w:left w:val="nil"/>
              <w:bottom w:val="nil"/>
              <w:right w:val="nil"/>
            </w:tcBorders>
            <w:shd w:val="clear" w:color="auto" w:fill="auto"/>
            <w:noWrap/>
            <w:vAlign w:val="bottom"/>
            <w:hideMark/>
          </w:tcPr>
          <w:p w:rsidR="00335472" w:rsidRPr="00942766" w:rsidRDefault="00335472" w:rsidP="00CA204D">
            <w:pPr>
              <w:jc w:val="right"/>
              <w:rPr>
                <w:rFonts w:eastAsia="Times New Roman"/>
                <w:sz w:val="13"/>
                <w:szCs w:val="13"/>
              </w:rPr>
            </w:pPr>
          </w:p>
        </w:tc>
        <w:tc>
          <w:tcPr>
            <w:tcW w:w="673" w:type="dxa"/>
            <w:tcBorders>
              <w:top w:val="nil"/>
              <w:left w:val="nil"/>
              <w:bottom w:val="nil"/>
              <w:right w:val="nil"/>
            </w:tcBorders>
            <w:shd w:val="clear" w:color="auto" w:fill="auto"/>
            <w:noWrap/>
            <w:vAlign w:val="bottom"/>
            <w:hideMark/>
          </w:tcPr>
          <w:p w:rsidR="00335472" w:rsidRPr="00942766" w:rsidRDefault="00335472" w:rsidP="00CA204D">
            <w:pPr>
              <w:rPr>
                <w:rFonts w:eastAsia="Times New Roman"/>
                <w:sz w:val="13"/>
                <w:szCs w:val="13"/>
              </w:rPr>
            </w:pPr>
          </w:p>
        </w:tc>
        <w:tc>
          <w:tcPr>
            <w:tcW w:w="879" w:type="dxa"/>
            <w:tcBorders>
              <w:top w:val="nil"/>
              <w:left w:val="nil"/>
              <w:bottom w:val="nil"/>
              <w:right w:val="nil"/>
            </w:tcBorders>
            <w:shd w:val="clear" w:color="auto" w:fill="auto"/>
            <w:noWrap/>
            <w:vAlign w:val="bottom"/>
            <w:hideMark/>
          </w:tcPr>
          <w:p w:rsidR="00335472" w:rsidRPr="00942766" w:rsidRDefault="00335472" w:rsidP="00CA204D">
            <w:pPr>
              <w:jc w:val="right"/>
              <w:rPr>
                <w:rFonts w:eastAsia="Times New Roman"/>
                <w:sz w:val="13"/>
                <w:szCs w:val="13"/>
              </w:rPr>
            </w:pPr>
          </w:p>
        </w:tc>
        <w:tc>
          <w:tcPr>
            <w:tcW w:w="641" w:type="dxa"/>
            <w:tcBorders>
              <w:top w:val="nil"/>
              <w:left w:val="nil"/>
              <w:bottom w:val="nil"/>
              <w:right w:val="nil"/>
            </w:tcBorders>
            <w:shd w:val="clear" w:color="auto" w:fill="auto"/>
            <w:noWrap/>
            <w:vAlign w:val="bottom"/>
            <w:hideMark/>
          </w:tcPr>
          <w:p w:rsidR="00335472" w:rsidRPr="00942766" w:rsidRDefault="00335472" w:rsidP="00CA204D">
            <w:pPr>
              <w:rPr>
                <w:rFonts w:eastAsia="Times New Roman"/>
                <w:sz w:val="13"/>
                <w:szCs w:val="13"/>
              </w:rPr>
            </w:pPr>
          </w:p>
        </w:tc>
        <w:tc>
          <w:tcPr>
            <w:tcW w:w="736" w:type="dxa"/>
            <w:tcBorders>
              <w:top w:val="nil"/>
              <w:left w:val="nil"/>
              <w:bottom w:val="nil"/>
              <w:right w:val="nil"/>
            </w:tcBorders>
            <w:shd w:val="clear" w:color="auto" w:fill="auto"/>
            <w:noWrap/>
            <w:vAlign w:val="bottom"/>
            <w:hideMark/>
          </w:tcPr>
          <w:p w:rsidR="00335472" w:rsidRPr="00942766" w:rsidRDefault="00335472" w:rsidP="00CA204D">
            <w:pPr>
              <w:jc w:val="right"/>
              <w:rPr>
                <w:rFonts w:eastAsia="Times New Roman"/>
                <w:sz w:val="13"/>
                <w:szCs w:val="13"/>
              </w:rPr>
            </w:pPr>
          </w:p>
        </w:tc>
        <w:tc>
          <w:tcPr>
            <w:tcW w:w="641" w:type="dxa"/>
            <w:tcBorders>
              <w:top w:val="nil"/>
              <w:left w:val="nil"/>
              <w:bottom w:val="nil"/>
              <w:right w:val="nil"/>
            </w:tcBorders>
            <w:shd w:val="clear" w:color="auto" w:fill="auto"/>
            <w:noWrap/>
            <w:vAlign w:val="bottom"/>
            <w:hideMark/>
          </w:tcPr>
          <w:p w:rsidR="00335472" w:rsidRPr="00942766" w:rsidRDefault="00335472" w:rsidP="00CA204D">
            <w:pPr>
              <w:rPr>
                <w:rFonts w:eastAsia="Times New Roman"/>
                <w:sz w:val="13"/>
                <w:szCs w:val="13"/>
              </w:rPr>
            </w:pPr>
          </w:p>
        </w:tc>
        <w:tc>
          <w:tcPr>
            <w:tcW w:w="736" w:type="dxa"/>
            <w:tcBorders>
              <w:top w:val="nil"/>
              <w:left w:val="nil"/>
              <w:bottom w:val="nil"/>
              <w:right w:val="nil"/>
            </w:tcBorders>
            <w:shd w:val="clear" w:color="auto" w:fill="auto"/>
            <w:noWrap/>
            <w:vAlign w:val="bottom"/>
            <w:hideMark/>
          </w:tcPr>
          <w:p w:rsidR="00335472" w:rsidRPr="00942766" w:rsidRDefault="00335472" w:rsidP="00CA204D">
            <w:pPr>
              <w:jc w:val="right"/>
              <w:rPr>
                <w:rFonts w:eastAsia="Times New Roman"/>
                <w:sz w:val="13"/>
                <w:szCs w:val="13"/>
              </w:rPr>
            </w:pPr>
          </w:p>
        </w:tc>
        <w:tc>
          <w:tcPr>
            <w:tcW w:w="236" w:type="dxa"/>
            <w:tcBorders>
              <w:top w:val="nil"/>
              <w:left w:val="nil"/>
              <w:bottom w:val="nil"/>
              <w:right w:val="nil"/>
            </w:tcBorders>
            <w:shd w:val="clear" w:color="auto" w:fill="auto"/>
            <w:noWrap/>
            <w:vAlign w:val="bottom"/>
            <w:hideMark/>
          </w:tcPr>
          <w:p w:rsidR="00335472" w:rsidRPr="00942766" w:rsidRDefault="00335472" w:rsidP="00CA204D">
            <w:pPr>
              <w:rPr>
                <w:rFonts w:eastAsia="Times New Roman"/>
                <w:sz w:val="13"/>
                <w:szCs w:val="13"/>
              </w:rPr>
            </w:pPr>
          </w:p>
        </w:tc>
        <w:tc>
          <w:tcPr>
            <w:tcW w:w="663" w:type="dxa"/>
            <w:tcBorders>
              <w:top w:val="nil"/>
              <w:left w:val="nil"/>
              <w:bottom w:val="nil"/>
              <w:right w:val="nil"/>
            </w:tcBorders>
            <w:shd w:val="clear" w:color="auto" w:fill="auto"/>
            <w:noWrap/>
            <w:vAlign w:val="bottom"/>
            <w:hideMark/>
          </w:tcPr>
          <w:p w:rsidR="00335472" w:rsidRPr="00942766" w:rsidRDefault="00335472" w:rsidP="00CA204D">
            <w:pPr>
              <w:rPr>
                <w:rFonts w:eastAsia="Times New Roman"/>
                <w:sz w:val="13"/>
                <w:szCs w:val="13"/>
              </w:rPr>
            </w:pPr>
          </w:p>
        </w:tc>
        <w:tc>
          <w:tcPr>
            <w:tcW w:w="736" w:type="dxa"/>
            <w:tcBorders>
              <w:top w:val="nil"/>
              <w:left w:val="nil"/>
              <w:bottom w:val="nil"/>
              <w:right w:val="nil"/>
            </w:tcBorders>
            <w:shd w:val="clear" w:color="auto" w:fill="auto"/>
            <w:noWrap/>
            <w:vAlign w:val="bottom"/>
            <w:hideMark/>
          </w:tcPr>
          <w:p w:rsidR="00335472" w:rsidRPr="00942766" w:rsidRDefault="00335472" w:rsidP="00CA204D">
            <w:pPr>
              <w:jc w:val="right"/>
              <w:rPr>
                <w:rFonts w:eastAsia="Times New Roman"/>
                <w:sz w:val="13"/>
                <w:szCs w:val="13"/>
              </w:rPr>
            </w:pPr>
          </w:p>
        </w:tc>
      </w:tr>
      <w:tr w:rsidR="003B32A4" w:rsidRPr="00942766" w:rsidTr="00080173">
        <w:trPr>
          <w:trHeight w:val="300"/>
        </w:trPr>
        <w:tc>
          <w:tcPr>
            <w:tcW w:w="2127" w:type="dxa"/>
            <w:tcBorders>
              <w:top w:val="nil"/>
              <w:left w:val="nil"/>
              <w:bottom w:val="nil"/>
              <w:right w:val="single" w:sz="8" w:space="0" w:color="auto"/>
            </w:tcBorders>
            <w:shd w:val="clear" w:color="auto" w:fill="auto"/>
            <w:noWrap/>
            <w:vAlign w:val="center"/>
            <w:hideMark/>
          </w:tcPr>
          <w:p w:rsidR="00335472" w:rsidRPr="00942766" w:rsidRDefault="00335472" w:rsidP="002833D4">
            <w:pPr>
              <w:jc w:val="right"/>
              <w:rPr>
                <w:rFonts w:ascii="Calibri" w:eastAsia="Times New Roman" w:hAnsi="Calibri"/>
                <w:color w:val="000000"/>
                <w:sz w:val="18"/>
                <w:szCs w:val="18"/>
              </w:rPr>
            </w:pPr>
            <w:r w:rsidRPr="00942766">
              <w:rPr>
                <w:rFonts w:ascii="Calibri" w:eastAsia="Times New Roman" w:hAnsi="Calibri"/>
                <w:color w:val="000000"/>
                <w:sz w:val="18"/>
                <w:szCs w:val="18"/>
              </w:rPr>
              <w:t xml:space="preserve">General practitioner </w:t>
            </w:r>
          </w:p>
        </w:tc>
        <w:tc>
          <w:tcPr>
            <w:tcW w:w="641" w:type="dxa"/>
            <w:tcBorders>
              <w:top w:val="nil"/>
              <w:left w:val="single" w:sz="8" w:space="0" w:color="auto"/>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2.25</w:t>
            </w:r>
          </w:p>
        </w:tc>
        <w:tc>
          <w:tcPr>
            <w:tcW w:w="832"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(3.04)</w:t>
            </w:r>
          </w:p>
        </w:tc>
        <w:tc>
          <w:tcPr>
            <w:tcW w:w="673"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2.89</w:t>
            </w:r>
          </w:p>
        </w:tc>
        <w:tc>
          <w:tcPr>
            <w:tcW w:w="879"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(3.51)</w:t>
            </w:r>
          </w:p>
        </w:tc>
        <w:tc>
          <w:tcPr>
            <w:tcW w:w="641"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2.70</w:t>
            </w:r>
          </w:p>
        </w:tc>
        <w:tc>
          <w:tcPr>
            <w:tcW w:w="736"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(2.80)</w:t>
            </w:r>
          </w:p>
        </w:tc>
        <w:tc>
          <w:tcPr>
            <w:tcW w:w="641"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2.55</w:t>
            </w:r>
          </w:p>
        </w:tc>
        <w:tc>
          <w:tcPr>
            <w:tcW w:w="736"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(3.06)</w:t>
            </w:r>
          </w:p>
        </w:tc>
        <w:tc>
          <w:tcPr>
            <w:tcW w:w="236"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p>
        </w:tc>
        <w:tc>
          <w:tcPr>
            <w:tcW w:w="663"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1.46</w:t>
            </w:r>
          </w:p>
        </w:tc>
        <w:tc>
          <w:tcPr>
            <w:tcW w:w="736"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(2.14)</w:t>
            </w:r>
          </w:p>
        </w:tc>
      </w:tr>
      <w:tr w:rsidR="003B32A4" w:rsidRPr="00942766" w:rsidTr="00080173">
        <w:trPr>
          <w:trHeight w:val="300"/>
        </w:trPr>
        <w:tc>
          <w:tcPr>
            <w:tcW w:w="2127" w:type="dxa"/>
            <w:tcBorders>
              <w:top w:val="nil"/>
              <w:left w:val="nil"/>
              <w:bottom w:val="nil"/>
              <w:right w:val="single" w:sz="8" w:space="0" w:color="auto"/>
            </w:tcBorders>
            <w:shd w:val="clear" w:color="auto" w:fill="auto"/>
            <w:noWrap/>
            <w:vAlign w:val="center"/>
            <w:hideMark/>
          </w:tcPr>
          <w:p w:rsidR="00335472" w:rsidRPr="00942766" w:rsidRDefault="00335472" w:rsidP="002833D4">
            <w:pPr>
              <w:jc w:val="right"/>
              <w:rPr>
                <w:rFonts w:ascii="Calibri" w:eastAsia="Times New Roman" w:hAnsi="Calibri"/>
                <w:color w:val="000000"/>
                <w:sz w:val="18"/>
                <w:szCs w:val="18"/>
              </w:rPr>
            </w:pPr>
            <w:r w:rsidRPr="00942766">
              <w:rPr>
                <w:rFonts w:ascii="Calibri" w:eastAsia="Times New Roman" w:hAnsi="Calibri"/>
                <w:color w:val="000000"/>
                <w:sz w:val="18"/>
                <w:szCs w:val="18"/>
              </w:rPr>
              <w:t>Practice nurse</w:t>
            </w:r>
          </w:p>
        </w:tc>
        <w:tc>
          <w:tcPr>
            <w:tcW w:w="641" w:type="dxa"/>
            <w:tcBorders>
              <w:top w:val="nil"/>
              <w:left w:val="single" w:sz="8" w:space="0" w:color="auto"/>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0.56</w:t>
            </w:r>
          </w:p>
        </w:tc>
        <w:tc>
          <w:tcPr>
            <w:tcW w:w="832"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(1.37)</w:t>
            </w:r>
          </w:p>
        </w:tc>
        <w:tc>
          <w:tcPr>
            <w:tcW w:w="673"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0.44</w:t>
            </w:r>
          </w:p>
        </w:tc>
        <w:tc>
          <w:tcPr>
            <w:tcW w:w="879"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(1.10)</w:t>
            </w:r>
          </w:p>
        </w:tc>
        <w:tc>
          <w:tcPr>
            <w:tcW w:w="641"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16.52</w:t>
            </w:r>
          </w:p>
        </w:tc>
        <w:tc>
          <w:tcPr>
            <w:tcW w:w="736"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(74.90)</w:t>
            </w:r>
          </w:p>
        </w:tc>
        <w:tc>
          <w:tcPr>
            <w:tcW w:w="641"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5.56</w:t>
            </w:r>
          </w:p>
        </w:tc>
        <w:tc>
          <w:tcPr>
            <w:tcW w:w="736"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(42.09)</w:t>
            </w:r>
          </w:p>
        </w:tc>
        <w:tc>
          <w:tcPr>
            <w:tcW w:w="236"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p>
        </w:tc>
        <w:tc>
          <w:tcPr>
            <w:tcW w:w="663"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0.16</w:t>
            </w:r>
          </w:p>
        </w:tc>
        <w:tc>
          <w:tcPr>
            <w:tcW w:w="736"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(0.55)</w:t>
            </w:r>
          </w:p>
        </w:tc>
      </w:tr>
      <w:tr w:rsidR="003B32A4" w:rsidRPr="00942766" w:rsidTr="00080173">
        <w:trPr>
          <w:trHeight w:val="300"/>
        </w:trPr>
        <w:tc>
          <w:tcPr>
            <w:tcW w:w="2127" w:type="dxa"/>
            <w:tcBorders>
              <w:top w:val="nil"/>
              <w:left w:val="nil"/>
              <w:bottom w:val="nil"/>
              <w:right w:val="single" w:sz="8" w:space="0" w:color="auto"/>
            </w:tcBorders>
            <w:shd w:val="clear" w:color="auto" w:fill="auto"/>
            <w:noWrap/>
            <w:vAlign w:val="center"/>
            <w:hideMark/>
          </w:tcPr>
          <w:p w:rsidR="00335472" w:rsidRPr="00942766" w:rsidRDefault="00335472" w:rsidP="002833D4">
            <w:pPr>
              <w:jc w:val="right"/>
              <w:rPr>
                <w:rFonts w:ascii="Calibri" w:eastAsia="Times New Roman" w:hAnsi="Calibri"/>
                <w:color w:val="000000"/>
                <w:sz w:val="18"/>
                <w:szCs w:val="18"/>
              </w:rPr>
            </w:pPr>
            <w:r w:rsidRPr="00942766">
              <w:rPr>
                <w:rFonts w:ascii="Calibri" w:eastAsia="Times New Roman" w:hAnsi="Calibri"/>
                <w:color w:val="000000"/>
                <w:sz w:val="18"/>
                <w:szCs w:val="18"/>
              </w:rPr>
              <w:t xml:space="preserve">Community nurse </w:t>
            </w:r>
          </w:p>
        </w:tc>
        <w:tc>
          <w:tcPr>
            <w:tcW w:w="641" w:type="dxa"/>
            <w:tcBorders>
              <w:top w:val="nil"/>
              <w:left w:val="single" w:sz="8" w:space="0" w:color="auto"/>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w:t>
            </w:r>
          </w:p>
        </w:tc>
        <w:tc>
          <w:tcPr>
            <w:tcW w:w="832"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p>
        </w:tc>
        <w:tc>
          <w:tcPr>
            <w:tcW w:w="673"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0.44</w:t>
            </w:r>
          </w:p>
        </w:tc>
        <w:tc>
          <w:tcPr>
            <w:tcW w:w="879"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(1.89)</w:t>
            </w:r>
          </w:p>
        </w:tc>
        <w:tc>
          <w:tcPr>
            <w:tcW w:w="641"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0.26</w:t>
            </w:r>
          </w:p>
        </w:tc>
        <w:tc>
          <w:tcPr>
            <w:tcW w:w="736"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(1.25)</w:t>
            </w:r>
          </w:p>
        </w:tc>
        <w:tc>
          <w:tcPr>
            <w:tcW w:w="641"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0.19</w:t>
            </w:r>
          </w:p>
        </w:tc>
        <w:tc>
          <w:tcPr>
            <w:tcW w:w="736"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(1.16)</w:t>
            </w:r>
          </w:p>
        </w:tc>
        <w:tc>
          <w:tcPr>
            <w:tcW w:w="236"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p>
        </w:tc>
        <w:tc>
          <w:tcPr>
            <w:tcW w:w="663"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0.05</w:t>
            </w:r>
          </w:p>
        </w:tc>
        <w:tc>
          <w:tcPr>
            <w:tcW w:w="736"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(0.33)</w:t>
            </w:r>
          </w:p>
        </w:tc>
      </w:tr>
      <w:tr w:rsidR="003B32A4" w:rsidRPr="00942766" w:rsidTr="00080173">
        <w:trPr>
          <w:trHeight w:val="300"/>
        </w:trPr>
        <w:tc>
          <w:tcPr>
            <w:tcW w:w="2127" w:type="dxa"/>
            <w:tcBorders>
              <w:top w:val="nil"/>
              <w:left w:val="nil"/>
              <w:bottom w:val="nil"/>
              <w:right w:val="single" w:sz="8" w:space="0" w:color="auto"/>
            </w:tcBorders>
            <w:shd w:val="clear" w:color="auto" w:fill="auto"/>
            <w:noWrap/>
            <w:vAlign w:val="center"/>
            <w:hideMark/>
          </w:tcPr>
          <w:p w:rsidR="00335472" w:rsidRPr="00942766" w:rsidRDefault="00335472" w:rsidP="002833D4">
            <w:pPr>
              <w:jc w:val="right"/>
              <w:rPr>
                <w:rFonts w:ascii="Calibri" w:eastAsia="Times New Roman" w:hAnsi="Calibri"/>
                <w:color w:val="000000"/>
                <w:sz w:val="18"/>
                <w:szCs w:val="18"/>
              </w:rPr>
            </w:pPr>
            <w:r w:rsidRPr="00942766">
              <w:rPr>
                <w:rFonts w:ascii="Calibri" w:eastAsia="Times New Roman" w:hAnsi="Calibri"/>
                <w:color w:val="000000"/>
                <w:sz w:val="18"/>
                <w:szCs w:val="18"/>
              </w:rPr>
              <w:t>Community paediatrician</w:t>
            </w:r>
          </w:p>
        </w:tc>
        <w:tc>
          <w:tcPr>
            <w:tcW w:w="641" w:type="dxa"/>
            <w:tcBorders>
              <w:top w:val="nil"/>
              <w:left w:val="single" w:sz="8" w:space="0" w:color="auto"/>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0.13</w:t>
            </w:r>
          </w:p>
        </w:tc>
        <w:tc>
          <w:tcPr>
            <w:tcW w:w="832"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(0.49)</w:t>
            </w:r>
          </w:p>
        </w:tc>
        <w:tc>
          <w:tcPr>
            <w:tcW w:w="673"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0.11</w:t>
            </w:r>
          </w:p>
        </w:tc>
        <w:tc>
          <w:tcPr>
            <w:tcW w:w="879"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(0.47)</w:t>
            </w:r>
          </w:p>
        </w:tc>
        <w:tc>
          <w:tcPr>
            <w:tcW w:w="641"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0.09</w:t>
            </w:r>
          </w:p>
        </w:tc>
        <w:tc>
          <w:tcPr>
            <w:tcW w:w="736"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(0.42)</w:t>
            </w:r>
          </w:p>
        </w:tc>
        <w:tc>
          <w:tcPr>
            <w:tcW w:w="641"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0.11</w:t>
            </w:r>
          </w:p>
        </w:tc>
        <w:tc>
          <w:tcPr>
            <w:tcW w:w="736"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(0.46)</w:t>
            </w:r>
          </w:p>
        </w:tc>
        <w:tc>
          <w:tcPr>
            <w:tcW w:w="236"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p>
        </w:tc>
        <w:tc>
          <w:tcPr>
            <w:tcW w:w="663"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0.11</w:t>
            </w:r>
          </w:p>
        </w:tc>
        <w:tc>
          <w:tcPr>
            <w:tcW w:w="736"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(0.66)</w:t>
            </w:r>
          </w:p>
        </w:tc>
      </w:tr>
      <w:tr w:rsidR="003B32A4" w:rsidRPr="00942766" w:rsidTr="00080173">
        <w:trPr>
          <w:trHeight w:val="300"/>
        </w:trPr>
        <w:tc>
          <w:tcPr>
            <w:tcW w:w="2127" w:type="dxa"/>
            <w:tcBorders>
              <w:top w:val="nil"/>
              <w:left w:val="nil"/>
              <w:bottom w:val="nil"/>
              <w:right w:val="single" w:sz="8" w:space="0" w:color="auto"/>
            </w:tcBorders>
            <w:shd w:val="clear" w:color="auto" w:fill="auto"/>
            <w:noWrap/>
            <w:vAlign w:val="center"/>
            <w:hideMark/>
          </w:tcPr>
          <w:p w:rsidR="00335472" w:rsidRPr="00942766" w:rsidRDefault="00335472" w:rsidP="002833D4">
            <w:pPr>
              <w:jc w:val="right"/>
              <w:rPr>
                <w:rFonts w:ascii="Calibri" w:eastAsia="Times New Roman" w:hAnsi="Calibri"/>
                <w:color w:val="000000"/>
                <w:sz w:val="18"/>
                <w:szCs w:val="18"/>
              </w:rPr>
            </w:pPr>
            <w:r w:rsidRPr="00942766">
              <w:rPr>
                <w:rFonts w:ascii="Calibri" w:eastAsia="Times New Roman" w:hAnsi="Calibri"/>
                <w:color w:val="000000"/>
                <w:sz w:val="18"/>
                <w:szCs w:val="18"/>
              </w:rPr>
              <w:t>Dentists</w:t>
            </w:r>
          </w:p>
        </w:tc>
        <w:tc>
          <w:tcPr>
            <w:tcW w:w="641" w:type="dxa"/>
            <w:tcBorders>
              <w:top w:val="nil"/>
              <w:left w:val="single" w:sz="8" w:space="0" w:color="auto"/>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1.44</w:t>
            </w:r>
          </w:p>
        </w:tc>
        <w:tc>
          <w:tcPr>
            <w:tcW w:w="832"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(1.27)</w:t>
            </w:r>
          </w:p>
        </w:tc>
        <w:tc>
          <w:tcPr>
            <w:tcW w:w="673"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1.67</w:t>
            </w:r>
          </w:p>
        </w:tc>
        <w:tc>
          <w:tcPr>
            <w:tcW w:w="879"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(1.41)</w:t>
            </w:r>
          </w:p>
        </w:tc>
        <w:tc>
          <w:tcPr>
            <w:tcW w:w="641"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1.39</w:t>
            </w:r>
          </w:p>
        </w:tc>
        <w:tc>
          <w:tcPr>
            <w:tcW w:w="736"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(1.12)</w:t>
            </w:r>
          </w:p>
        </w:tc>
        <w:tc>
          <w:tcPr>
            <w:tcW w:w="641"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1.48</w:t>
            </w:r>
          </w:p>
        </w:tc>
        <w:tc>
          <w:tcPr>
            <w:tcW w:w="736"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(1.25)</w:t>
            </w:r>
          </w:p>
        </w:tc>
        <w:tc>
          <w:tcPr>
            <w:tcW w:w="236"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p>
        </w:tc>
        <w:tc>
          <w:tcPr>
            <w:tcW w:w="663"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1.35</w:t>
            </w:r>
          </w:p>
        </w:tc>
        <w:tc>
          <w:tcPr>
            <w:tcW w:w="736"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(1.16)</w:t>
            </w:r>
          </w:p>
        </w:tc>
      </w:tr>
      <w:tr w:rsidR="003B32A4" w:rsidRPr="00942766" w:rsidTr="00080173">
        <w:trPr>
          <w:trHeight w:val="300"/>
        </w:trPr>
        <w:tc>
          <w:tcPr>
            <w:tcW w:w="2127" w:type="dxa"/>
            <w:tcBorders>
              <w:top w:val="nil"/>
              <w:left w:val="nil"/>
              <w:bottom w:val="nil"/>
              <w:right w:val="single" w:sz="8" w:space="0" w:color="auto"/>
            </w:tcBorders>
            <w:shd w:val="clear" w:color="auto" w:fill="auto"/>
            <w:noWrap/>
            <w:vAlign w:val="center"/>
            <w:hideMark/>
          </w:tcPr>
          <w:p w:rsidR="00335472" w:rsidRPr="00942766" w:rsidRDefault="00335472" w:rsidP="002833D4">
            <w:pPr>
              <w:jc w:val="right"/>
              <w:rPr>
                <w:rFonts w:ascii="Calibri" w:eastAsia="Times New Roman" w:hAnsi="Calibri"/>
                <w:color w:val="000000"/>
                <w:sz w:val="18"/>
                <w:szCs w:val="18"/>
              </w:rPr>
            </w:pPr>
            <w:r w:rsidRPr="00942766">
              <w:rPr>
                <w:rFonts w:ascii="Calibri" w:eastAsia="Times New Roman" w:hAnsi="Calibri"/>
                <w:color w:val="000000"/>
                <w:sz w:val="18"/>
                <w:szCs w:val="18"/>
              </w:rPr>
              <w:t>Orthodontist</w:t>
            </w:r>
          </w:p>
        </w:tc>
        <w:tc>
          <w:tcPr>
            <w:tcW w:w="641" w:type="dxa"/>
            <w:tcBorders>
              <w:top w:val="nil"/>
              <w:left w:val="single" w:sz="8" w:space="0" w:color="auto"/>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0.88</w:t>
            </w:r>
          </w:p>
        </w:tc>
        <w:tc>
          <w:tcPr>
            <w:tcW w:w="832"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(2.15)</w:t>
            </w:r>
          </w:p>
        </w:tc>
        <w:tc>
          <w:tcPr>
            <w:tcW w:w="673"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0.67</w:t>
            </w:r>
          </w:p>
        </w:tc>
        <w:tc>
          <w:tcPr>
            <w:tcW w:w="879"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(1.94)</w:t>
            </w:r>
          </w:p>
        </w:tc>
        <w:tc>
          <w:tcPr>
            <w:tcW w:w="641"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1.57</w:t>
            </w:r>
          </w:p>
        </w:tc>
        <w:tc>
          <w:tcPr>
            <w:tcW w:w="736"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(2.95)</w:t>
            </w:r>
          </w:p>
        </w:tc>
        <w:tc>
          <w:tcPr>
            <w:tcW w:w="641"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1.04</w:t>
            </w:r>
          </w:p>
        </w:tc>
        <w:tc>
          <w:tcPr>
            <w:tcW w:w="736"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(2.38)</w:t>
            </w:r>
          </w:p>
        </w:tc>
        <w:tc>
          <w:tcPr>
            <w:tcW w:w="236"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p>
        </w:tc>
        <w:tc>
          <w:tcPr>
            <w:tcW w:w="663"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1.51</w:t>
            </w:r>
          </w:p>
        </w:tc>
        <w:tc>
          <w:tcPr>
            <w:tcW w:w="736"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(2.77)</w:t>
            </w:r>
          </w:p>
        </w:tc>
      </w:tr>
      <w:tr w:rsidR="003B32A4" w:rsidRPr="00942766" w:rsidTr="00080173">
        <w:trPr>
          <w:trHeight w:val="300"/>
        </w:trPr>
        <w:tc>
          <w:tcPr>
            <w:tcW w:w="2127" w:type="dxa"/>
            <w:tcBorders>
              <w:top w:val="nil"/>
              <w:left w:val="nil"/>
              <w:bottom w:val="nil"/>
              <w:right w:val="single" w:sz="8" w:space="0" w:color="auto"/>
            </w:tcBorders>
            <w:shd w:val="clear" w:color="auto" w:fill="auto"/>
            <w:noWrap/>
            <w:vAlign w:val="center"/>
            <w:hideMark/>
          </w:tcPr>
          <w:p w:rsidR="00335472" w:rsidRPr="00942766" w:rsidRDefault="00335472" w:rsidP="002833D4">
            <w:pPr>
              <w:jc w:val="right"/>
              <w:rPr>
                <w:rFonts w:ascii="Calibri" w:eastAsia="Times New Roman" w:hAnsi="Calibri"/>
                <w:color w:val="000000"/>
                <w:sz w:val="18"/>
                <w:szCs w:val="18"/>
              </w:rPr>
            </w:pPr>
            <w:r w:rsidRPr="00942766">
              <w:rPr>
                <w:rFonts w:ascii="Calibri" w:eastAsia="Times New Roman" w:hAnsi="Calibri"/>
                <w:color w:val="000000"/>
                <w:sz w:val="18"/>
                <w:szCs w:val="18"/>
              </w:rPr>
              <w:t>Optician</w:t>
            </w:r>
          </w:p>
        </w:tc>
        <w:tc>
          <w:tcPr>
            <w:tcW w:w="641" w:type="dxa"/>
            <w:tcBorders>
              <w:top w:val="nil"/>
              <w:left w:val="single" w:sz="8" w:space="0" w:color="auto"/>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0.63</w:t>
            </w:r>
          </w:p>
        </w:tc>
        <w:tc>
          <w:tcPr>
            <w:tcW w:w="832"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(0.94)</w:t>
            </w:r>
          </w:p>
        </w:tc>
        <w:tc>
          <w:tcPr>
            <w:tcW w:w="673"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0.78</w:t>
            </w:r>
          </w:p>
        </w:tc>
        <w:tc>
          <w:tcPr>
            <w:tcW w:w="879"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(1.00)</w:t>
            </w:r>
          </w:p>
        </w:tc>
        <w:tc>
          <w:tcPr>
            <w:tcW w:w="641"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1.22</w:t>
            </w:r>
          </w:p>
        </w:tc>
        <w:tc>
          <w:tcPr>
            <w:tcW w:w="736"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(1.00)</w:t>
            </w:r>
          </w:p>
        </w:tc>
        <w:tc>
          <w:tcPr>
            <w:tcW w:w="641"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0.85</w:t>
            </w:r>
          </w:p>
        </w:tc>
        <w:tc>
          <w:tcPr>
            <w:tcW w:w="736"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(1.00)</w:t>
            </w:r>
          </w:p>
        </w:tc>
        <w:tc>
          <w:tcPr>
            <w:tcW w:w="236"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p>
        </w:tc>
        <w:tc>
          <w:tcPr>
            <w:tcW w:w="663"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0.65</w:t>
            </w:r>
          </w:p>
        </w:tc>
        <w:tc>
          <w:tcPr>
            <w:tcW w:w="736"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(0.95)</w:t>
            </w:r>
          </w:p>
        </w:tc>
      </w:tr>
      <w:tr w:rsidR="003B32A4" w:rsidRPr="00942766" w:rsidTr="00080173">
        <w:trPr>
          <w:trHeight w:val="300"/>
        </w:trPr>
        <w:tc>
          <w:tcPr>
            <w:tcW w:w="2127" w:type="dxa"/>
            <w:tcBorders>
              <w:top w:val="nil"/>
              <w:left w:val="nil"/>
              <w:bottom w:val="nil"/>
              <w:right w:val="single" w:sz="8" w:space="0" w:color="auto"/>
            </w:tcBorders>
            <w:shd w:val="clear" w:color="auto" w:fill="auto"/>
            <w:noWrap/>
            <w:vAlign w:val="center"/>
            <w:hideMark/>
          </w:tcPr>
          <w:p w:rsidR="00335472" w:rsidRPr="00942766" w:rsidRDefault="00335472" w:rsidP="002833D4">
            <w:pPr>
              <w:jc w:val="right"/>
              <w:rPr>
                <w:rFonts w:ascii="Calibri" w:eastAsia="Times New Roman" w:hAnsi="Calibri"/>
                <w:color w:val="000000"/>
                <w:sz w:val="18"/>
                <w:szCs w:val="18"/>
              </w:rPr>
            </w:pPr>
            <w:r w:rsidRPr="00942766">
              <w:rPr>
                <w:rFonts w:ascii="Calibri" w:eastAsia="Times New Roman" w:hAnsi="Calibri"/>
                <w:color w:val="000000"/>
                <w:sz w:val="18"/>
                <w:szCs w:val="18"/>
              </w:rPr>
              <w:t>Chiropodist</w:t>
            </w:r>
          </w:p>
        </w:tc>
        <w:tc>
          <w:tcPr>
            <w:tcW w:w="641" w:type="dxa"/>
            <w:tcBorders>
              <w:top w:val="nil"/>
              <w:left w:val="single" w:sz="8" w:space="0" w:color="auto"/>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0.44</w:t>
            </w:r>
          </w:p>
        </w:tc>
        <w:tc>
          <w:tcPr>
            <w:tcW w:w="832"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(1.50)</w:t>
            </w:r>
          </w:p>
        </w:tc>
        <w:tc>
          <w:tcPr>
            <w:tcW w:w="673"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w:t>
            </w:r>
          </w:p>
        </w:tc>
        <w:tc>
          <w:tcPr>
            <w:tcW w:w="879"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p>
        </w:tc>
        <w:tc>
          <w:tcPr>
            <w:tcW w:w="641"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w:t>
            </w:r>
          </w:p>
        </w:tc>
        <w:tc>
          <w:tcPr>
            <w:tcW w:w="736"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p>
        </w:tc>
        <w:tc>
          <w:tcPr>
            <w:tcW w:w="641"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0.19</w:t>
            </w:r>
          </w:p>
        </w:tc>
        <w:tc>
          <w:tcPr>
            <w:tcW w:w="736"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(1.01)</w:t>
            </w:r>
          </w:p>
        </w:tc>
        <w:tc>
          <w:tcPr>
            <w:tcW w:w="236"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p>
        </w:tc>
        <w:tc>
          <w:tcPr>
            <w:tcW w:w="663"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w:t>
            </w:r>
          </w:p>
        </w:tc>
        <w:tc>
          <w:tcPr>
            <w:tcW w:w="736"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p>
        </w:tc>
      </w:tr>
      <w:tr w:rsidR="003B32A4" w:rsidRPr="00942766" w:rsidTr="00080173">
        <w:trPr>
          <w:trHeight w:val="300"/>
        </w:trPr>
        <w:tc>
          <w:tcPr>
            <w:tcW w:w="2127" w:type="dxa"/>
            <w:tcBorders>
              <w:top w:val="nil"/>
              <w:left w:val="nil"/>
              <w:bottom w:val="nil"/>
              <w:right w:val="single" w:sz="8" w:space="0" w:color="auto"/>
            </w:tcBorders>
            <w:shd w:val="clear" w:color="auto" w:fill="auto"/>
            <w:noWrap/>
            <w:vAlign w:val="center"/>
            <w:hideMark/>
          </w:tcPr>
          <w:p w:rsidR="00335472" w:rsidRPr="00942766" w:rsidRDefault="00335472" w:rsidP="002833D4">
            <w:pPr>
              <w:jc w:val="right"/>
              <w:rPr>
                <w:rFonts w:ascii="Calibri" w:eastAsia="Times New Roman" w:hAnsi="Calibri"/>
                <w:color w:val="000000"/>
                <w:sz w:val="18"/>
                <w:szCs w:val="18"/>
              </w:rPr>
            </w:pPr>
            <w:r w:rsidRPr="00942766">
              <w:rPr>
                <w:rFonts w:ascii="Calibri" w:eastAsia="Times New Roman" w:hAnsi="Calibri"/>
                <w:color w:val="000000"/>
                <w:sz w:val="18"/>
                <w:szCs w:val="18"/>
              </w:rPr>
              <w:t>Physiotherapist</w:t>
            </w:r>
          </w:p>
        </w:tc>
        <w:tc>
          <w:tcPr>
            <w:tcW w:w="641" w:type="dxa"/>
            <w:tcBorders>
              <w:top w:val="nil"/>
              <w:left w:val="single" w:sz="8" w:space="0" w:color="auto"/>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0.63</w:t>
            </w:r>
          </w:p>
        </w:tc>
        <w:tc>
          <w:tcPr>
            <w:tcW w:w="832"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(1.86)</w:t>
            </w:r>
          </w:p>
        </w:tc>
        <w:tc>
          <w:tcPr>
            <w:tcW w:w="673"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0.22</w:t>
            </w:r>
          </w:p>
        </w:tc>
        <w:tc>
          <w:tcPr>
            <w:tcW w:w="879"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(0.65)</w:t>
            </w:r>
          </w:p>
        </w:tc>
        <w:tc>
          <w:tcPr>
            <w:tcW w:w="641"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2.35</w:t>
            </w:r>
          </w:p>
        </w:tc>
        <w:tc>
          <w:tcPr>
            <w:tcW w:w="736"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(10.03)</w:t>
            </w:r>
          </w:p>
        </w:tc>
        <w:tc>
          <w:tcPr>
            <w:tcW w:w="641"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1.07</w:t>
            </w:r>
          </w:p>
        </w:tc>
        <w:tc>
          <w:tcPr>
            <w:tcW w:w="736"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(5.76)</w:t>
            </w:r>
          </w:p>
        </w:tc>
        <w:tc>
          <w:tcPr>
            <w:tcW w:w="236"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p>
        </w:tc>
        <w:tc>
          <w:tcPr>
            <w:tcW w:w="663"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0.38</w:t>
            </w:r>
          </w:p>
        </w:tc>
        <w:tc>
          <w:tcPr>
            <w:tcW w:w="736"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(1.62)</w:t>
            </w:r>
          </w:p>
        </w:tc>
      </w:tr>
      <w:tr w:rsidR="003B32A4" w:rsidRPr="00942766" w:rsidTr="00080173">
        <w:trPr>
          <w:trHeight w:val="300"/>
        </w:trPr>
        <w:tc>
          <w:tcPr>
            <w:tcW w:w="2127" w:type="dxa"/>
            <w:tcBorders>
              <w:top w:val="nil"/>
              <w:left w:val="nil"/>
              <w:bottom w:val="nil"/>
              <w:right w:val="single" w:sz="8" w:space="0" w:color="auto"/>
            </w:tcBorders>
            <w:shd w:val="clear" w:color="auto" w:fill="auto"/>
            <w:noWrap/>
            <w:vAlign w:val="center"/>
            <w:hideMark/>
          </w:tcPr>
          <w:p w:rsidR="00335472" w:rsidRPr="00942766" w:rsidRDefault="00335472" w:rsidP="002833D4">
            <w:pPr>
              <w:jc w:val="right"/>
              <w:rPr>
                <w:rFonts w:ascii="Calibri" w:eastAsia="Times New Roman" w:hAnsi="Calibri"/>
                <w:color w:val="000000"/>
                <w:sz w:val="18"/>
                <w:szCs w:val="18"/>
              </w:rPr>
            </w:pPr>
            <w:r w:rsidRPr="00942766">
              <w:rPr>
                <w:rFonts w:ascii="Calibri" w:eastAsia="Times New Roman" w:hAnsi="Calibri"/>
                <w:color w:val="000000"/>
                <w:sz w:val="18"/>
                <w:szCs w:val="18"/>
              </w:rPr>
              <w:t>Speech and language</w:t>
            </w:r>
          </w:p>
        </w:tc>
        <w:tc>
          <w:tcPr>
            <w:tcW w:w="641" w:type="dxa"/>
            <w:tcBorders>
              <w:top w:val="nil"/>
              <w:left w:val="single" w:sz="8" w:space="0" w:color="auto"/>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1.94</w:t>
            </w:r>
          </w:p>
        </w:tc>
        <w:tc>
          <w:tcPr>
            <w:tcW w:w="832"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(9.25)</w:t>
            </w:r>
          </w:p>
        </w:tc>
        <w:tc>
          <w:tcPr>
            <w:tcW w:w="673"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17.56</w:t>
            </w:r>
          </w:p>
        </w:tc>
        <w:tc>
          <w:tcPr>
            <w:tcW w:w="879"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(56.85)</w:t>
            </w:r>
          </w:p>
        </w:tc>
        <w:tc>
          <w:tcPr>
            <w:tcW w:w="641"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18.35</w:t>
            </w:r>
          </w:p>
        </w:tc>
        <w:tc>
          <w:tcPr>
            <w:tcW w:w="736"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(38.43)</w:t>
            </w:r>
          </w:p>
        </w:tc>
        <w:tc>
          <w:tcPr>
            <w:tcW w:w="641"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10.96</w:t>
            </w:r>
          </w:p>
        </w:tc>
        <w:tc>
          <w:tcPr>
            <w:tcW w:w="736"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(36.27)</w:t>
            </w:r>
          </w:p>
        </w:tc>
        <w:tc>
          <w:tcPr>
            <w:tcW w:w="236"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p>
        </w:tc>
        <w:tc>
          <w:tcPr>
            <w:tcW w:w="663"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0.05</w:t>
            </w:r>
          </w:p>
        </w:tc>
        <w:tc>
          <w:tcPr>
            <w:tcW w:w="736"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(0.33)</w:t>
            </w:r>
          </w:p>
        </w:tc>
      </w:tr>
      <w:tr w:rsidR="003B32A4" w:rsidRPr="00942766" w:rsidTr="00080173">
        <w:trPr>
          <w:trHeight w:val="300"/>
        </w:trPr>
        <w:tc>
          <w:tcPr>
            <w:tcW w:w="2127" w:type="dxa"/>
            <w:tcBorders>
              <w:top w:val="nil"/>
              <w:left w:val="nil"/>
              <w:bottom w:val="nil"/>
              <w:right w:val="single" w:sz="8" w:space="0" w:color="auto"/>
            </w:tcBorders>
            <w:shd w:val="clear" w:color="auto" w:fill="auto"/>
            <w:noWrap/>
            <w:vAlign w:val="center"/>
            <w:hideMark/>
          </w:tcPr>
          <w:p w:rsidR="00335472" w:rsidRPr="00942766" w:rsidRDefault="00335472" w:rsidP="002833D4">
            <w:pPr>
              <w:jc w:val="right"/>
              <w:rPr>
                <w:rFonts w:ascii="Calibri" w:eastAsia="Times New Roman" w:hAnsi="Calibri"/>
                <w:sz w:val="18"/>
                <w:szCs w:val="18"/>
              </w:rPr>
            </w:pPr>
            <w:r w:rsidRPr="00942766">
              <w:rPr>
                <w:rFonts w:ascii="Calibri" w:eastAsia="Times New Roman" w:hAnsi="Calibri"/>
                <w:sz w:val="18"/>
                <w:szCs w:val="18"/>
              </w:rPr>
              <w:t>Health visitor</w:t>
            </w:r>
          </w:p>
        </w:tc>
        <w:tc>
          <w:tcPr>
            <w:tcW w:w="641" w:type="dxa"/>
            <w:tcBorders>
              <w:top w:val="nil"/>
              <w:left w:val="single" w:sz="8" w:space="0" w:color="auto"/>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1.44</w:t>
            </w:r>
          </w:p>
        </w:tc>
        <w:tc>
          <w:tcPr>
            <w:tcW w:w="832"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(1.70)</w:t>
            </w:r>
          </w:p>
        </w:tc>
        <w:tc>
          <w:tcPr>
            <w:tcW w:w="673"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1.11</w:t>
            </w:r>
          </w:p>
        </w:tc>
        <w:tc>
          <w:tcPr>
            <w:tcW w:w="879"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(1.23)</w:t>
            </w:r>
          </w:p>
        </w:tc>
        <w:tc>
          <w:tcPr>
            <w:tcW w:w="641"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1.30</w:t>
            </w:r>
          </w:p>
        </w:tc>
        <w:tc>
          <w:tcPr>
            <w:tcW w:w="736"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(1.66)</w:t>
            </w:r>
          </w:p>
        </w:tc>
        <w:tc>
          <w:tcPr>
            <w:tcW w:w="641"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1.32</w:t>
            </w:r>
          </w:p>
        </w:tc>
        <w:tc>
          <w:tcPr>
            <w:tcW w:w="736"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(1.57)</w:t>
            </w:r>
          </w:p>
        </w:tc>
        <w:tc>
          <w:tcPr>
            <w:tcW w:w="236"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p>
        </w:tc>
        <w:tc>
          <w:tcPr>
            <w:tcW w:w="663"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w:t>
            </w:r>
          </w:p>
        </w:tc>
        <w:tc>
          <w:tcPr>
            <w:tcW w:w="736"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p>
        </w:tc>
      </w:tr>
      <w:tr w:rsidR="003B32A4" w:rsidRPr="00942766" w:rsidTr="00080173">
        <w:trPr>
          <w:trHeight w:val="300"/>
        </w:trPr>
        <w:tc>
          <w:tcPr>
            <w:tcW w:w="2127" w:type="dxa"/>
            <w:tcBorders>
              <w:top w:val="nil"/>
              <w:left w:val="nil"/>
              <w:bottom w:val="nil"/>
              <w:right w:val="single" w:sz="8" w:space="0" w:color="auto"/>
            </w:tcBorders>
            <w:shd w:val="clear" w:color="auto" w:fill="auto"/>
            <w:noWrap/>
            <w:vAlign w:val="center"/>
            <w:hideMark/>
          </w:tcPr>
          <w:p w:rsidR="00335472" w:rsidRPr="00942766" w:rsidRDefault="00335472" w:rsidP="002833D4">
            <w:pPr>
              <w:jc w:val="right"/>
              <w:rPr>
                <w:rFonts w:ascii="Calibri" w:eastAsia="Times New Roman" w:hAnsi="Calibri"/>
                <w:sz w:val="18"/>
                <w:szCs w:val="18"/>
              </w:rPr>
            </w:pPr>
            <w:r w:rsidRPr="00942766">
              <w:rPr>
                <w:rFonts w:ascii="Calibri" w:eastAsia="Times New Roman" w:hAnsi="Calibri"/>
                <w:sz w:val="18"/>
                <w:szCs w:val="18"/>
              </w:rPr>
              <w:t>Home visitor</w:t>
            </w:r>
          </w:p>
        </w:tc>
        <w:tc>
          <w:tcPr>
            <w:tcW w:w="641" w:type="dxa"/>
            <w:tcBorders>
              <w:top w:val="nil"/>
              <w:left w:val="single" w:sz="8" w:space="0" w:color="auto"/>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0.31</w:t>
            </w:r>
          </w:p>
        </w:tc>
        <w:tc>
          <w:tcPr>
            <w:tcW w:w="832"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(1.15)</w:t>
            </w:r>
          </w:p>
        </w:tc>
        <w:tc>
          <w:tcPr>
            <w:tcW w:w="673"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0.44</w:t>
            </w:r>
          </w:p>
        </w:tc>
        <w:tc>
          <w:tcPr>
            <w:tcW w:w="879"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(1.46)</w:t>
            </w:r>
          </w:p>
        </w:tc>
        <w:tc>
          <w:tcPr>
            <w:tcW w:w="641"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0.96</w:t>
            </w:r>
          </w:p>
        </w:tc>
        <w:tc>
          <w:tcPr>
            <w:tcW w:w="736"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(2.75)</w:t>
            </w:r>
          </w:p>
        </w:tc>
        <w:tc>
          <w:tcPr>
            <w:tcW w:w="641"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0.55</w:t>
            </w:r>
          </w:p>
        </w:tc>
        <w:tc>
          <w:tcPr>
            <w:tcW w:w="736"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(1.86)</w:t>
            </w:r>
          </w:p>
        </w:tc>
        <w:tc>
          <w:tcPr>
            <w:tcW w:w="236"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p>
        </w:tc>
        <w:tc>
          <w:tcPr>
            <w:tcW w:w="663"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w:t>
            </w:r>
          </w:p>
        </w:tc>
        <w:tc>
          <w:tcPr>
            <w:tcW w:w="736"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p>
        </w:tc>
      </w:tr>
      <w:tr w:rsidR="003B32A4" w:rsidRPr="00942766" w:rsidTr="00080173">
        <w:trPr>
          <w:trHeight w:val="300"/>
        </w:trPr>
        <w:tc>
          <w:tcPr>
            <w:tcW w:w="2127" w:type="dxa"/>
            <w:tcBorders>
              <w:top w:val="nil"/>
              <w:left w:val="nil"/>
              <w:bottom w:val="nil"/>
              <w:right w:val="single" w:sz="8" w:space="0" w:color="auto"/>
            </w:tcBorders>
            <w:shd w:val="clear" w:color="auto" w:fill="auto"/>
            <w:noWrap/>
            <w:vAlign w:val="center"/>
            <w:hideMark/>
          </w:tcPr>
          <w:p w:rsidR="00335472" w:rsidRPr="00942766" w:rsidRDefault="00335472" w:rsidP="002833D4">
            <w:pPr>
              <w:jc w:val="right"/>
              <w:rPr>
                <w:rFonts w:ascii="Calibri" w:eastAsia="Times New Roman" w:hAnsi="Calibri"/>
                <w:color w:val="000000"/>
                <w:sz w:val="18"/>
                <w:szCs w:val="18"/>
              </w:rPr>
            </w:pPr>
            <w:r w:rsidRPr="00942766">
              <w:rPr>
                <w:rFonts w:ascii="Calibri" w:eastAsia="Times New Roman" w:hAnsi="Calibri"/>
                <w:color w:val="000000"/>
                <w:sz w:val="18"/>
                <w:szCs w:val="18"/>
              </w:rPr>
              <w:t>Social worker</w:t>
            </w:r>
          </w:p>
        </w:tc>
        <w:tc>
          <w:tcPr>
            <w:tcW w:w="641" w:type="dxa"/>
            <w:tcBorders>
              <w:top w:val="nil"/>
              <w:left w:val="single" w:sz="8" w:space="0" w:color="auto"/>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w:t>
            </w:r>
          </w:p>
        </w:tc>
        <w:tc>
          <w:tcPr>
            <w:tcW w:w="832"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p>
        </w:tc>
        <w:tc>
          <w:tcPr>
            <w:tcW w:w="673"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5.33</w:t>
            </w:r>
          </w:p>
        </w:tc>
        <w:tc>
          <w:tcPr>
            <w:tcW w:w="879"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(15.52)</w:t>
            </w:r>
          </w:p>
        </w:tc>
        <w:tc>
          <w:tcPr>
            <w:tcW w:w="641"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w:t>
            </w:r>
          </w:p>
        </w:tc>
        <w:tc>
          <w:tcPr>
            <w:tcW w:w="736"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p>
        </w:tc>
        <w:tc>
          <w:tcPr>
            <w:tcW w:w="641"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1.32</w:t>
            </w:r>
          </w:p>
        </w:tc>
        <w:tc>
          <w:tcPr>
            <w:tcW w:w="736"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(7.89)</w:t>
            </w:r>
          </w:p>
        </w:tc>
        <w:tc>
          <w:tcPr>
            <w:tcW w:w="236"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p>
        </w:tc>
        <w:tc>
          <w:tcPr>
            <w:tcW w:w="663"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w:t>
            </w:r>
          </w:p>
        </w:tc>
        <w:tc>
          <w:tcPr>
            <w:tcW w:w="736"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p>
        </w:tc>
      </w:tr>
      <w:tr w:rsidR="003B32A4" w:rsidRPr="00942766" w:rsidTr="00080173">
        <w:trPr>
          <w:trHeight w:val="300"/>
        </w:trPr>
        <w:tc>
          <w:tcPr>
            <w:tcW w:w="2127" w:type="dxa"/>
            <w:tcBorders>
              <w:top w:val="nil"/>
              <w:left w:val="nil"/>
              <w:bottom w:val="nil"/>
              <w:right w:val="single" w:sz="8" w:space="0" w:color="auto"/>
            </w:tcBorders>
            <w:shd w:val="clear" w:color="auto" w:fill="auto"/>
            <w:noWrap/>
            <w:vAlign w:val="center"/>
            <w:hideMark/>
          </w:tcPr>
          <w:p w:rsidR="00335472" w:rsidRPr="00942766" w:rsidRDefault="00335472" w:rsidP="002833D4">
            <w:pPr>
              <w:jc w:val="right"/>
              <w:rPr>
                <w:rFonts w:ascii="Calibri" w:eastAsia="Times New Roman" w:hAnsi="Calibri"/>
                <w:color w:val="000000"/>
                <w:sz w:val="18"/>
                <w:szCs w:val="18"/>
              </w:rPr>
            </w:pPr>
            <w:r w:rsidRPr="00942766">
              <w:rPr>
                <w:rFonts w:ascii="Calibri" w:eastAsia="Times New Roman" w:hAnsi="Calibri"/>
                <w:color w:val="000000"/>
                <w:sz w:val="18"/>
                <w:szCs w:val="18"/>
              </w:rPr>
              <w:t>Counsel</w:t>
            </w:r>
            <w:r w:rsidR="003B32A4" w:rsidRPr="00942766">
              <w:rPr>
                <w:rFonts w:ascii="Calibri" w:eastAsia="Times New Roman" w:hAnsi="Calibri"/>
                <w:color w:val="000000"/>
                <w:sz w:val="18"/>
                <w:szCs w:val="18"/>
              </w:rPr>
              <w:t>l</w:t>
            </w:r>
            <w:r w:rsidRPr="00942766">
              <w:rPr>
                <w:rFonts w:ascii="Calibri" w:eastAsia="Times New Roman" w:hAnsi="Calibri"/>
                <w:color w:val="000000"/>
                <w:sz w:val="18"/>
                <w:szCs w:val="18"/>
              </w:rPr>
              <w:t>or</w:t>
            </w:r>
          </w:p>
        </w:tc>
        <w:tc>
          <w:tcPr>
            <w:tcW w:w="641" w:type="dxa"/>
            <w:tcBorders>
              <w:top w:val="nil"/>
              <w:left w:val="single" w:sz="8" w:space="0" w:color="auto"/>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0.81</w:t>
            </w:r>
          </w:p>
        </w:tc>
        <w:tc>
          <w:tcPr>
            <w:tcW w:w="832"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(4.25)</w:t>
            </w:r>
          </w:p>
        </w:tc>
        <w:tc>
          <w:tcPr>
            <w:tcW w:w="673"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w:t>
            </w:r>
          </w:p>
        </w:tc>
        <w:tc>
          <w:tcPr>
            <w:tcW w:w="879"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p>
        </w:tc>
        <w:tc>
          <w:tcPr>
            <w:tcW w:w="641"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0.61</w:t>
            </w:r>
          </w:p>
        </w:tc>
        <w:tc>
          <w:tcPr>
            <w:tcW w:w="736"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(2.04)</w:t>
            </w:r>
          </w:p>
        </w:tc>
        <w:tc>
          <w:tcPr>
            <w:tcW w:w="641"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0.55</w:t>
            </w:r>
          </w:p>
        </w:tc>
        <w:tc>
          <w:tcPr>
            <w:tcW w:w="736"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(3.02)</w:t>
            </w:r>
          </w:p>
        </w:tc>
        <w:tc>
          <w:tcPr>
            <w:tcW w:w="236"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p>
        </w:tc>
        <w:tc>
          <w:tcPr>
            <w:tcW w:w="663"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0.05</w:t>
            </w:r>
          </w:p>
        </w:tc>
        <w:tc>
          <w:tcPr>
            <w:tcW w:w="736"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(0.33)</w:t>
            </w:r>
          </w:p>
        </w:tc>
      </w:tr>
      <w:tr w:rsidR="003B32A4" w:rsidRPr="00942766" w:rsidTr="00080173">
        <w:trPr>
          <w:trHeight w:val="300"/>
        </w:trPr>
        <w:tc>
          <w:tcPr>
            <w:tcW w:w="2127" w:type="dxa"/>
            <w:tcBorders>
              <w:top w:val="nil"/>
              <w:left w:val="nil"/>
              <w:bottom w:val="nil"/>
              <w:right w:val="single" w:sz="8" w:space="0" w:color="auto"/>
            </w:tcBorders>
            <w:shd w:val="clear" w:color="auto" w:fill="auto"/>
            <w:noWrap/>
            <w:vAlign w:val="center"/>
            <w:hideMark/>
          </w:tcPr>
          <w:p w:rsidR="00335472" w:rsidRPr="00942766" w:rsidRDefault="00335472" w:rsidP="002833D4">
            <w:pPr>
              <w:jc w:val="right"/>
              <w:rPr>
                <w:rFonts w:ascii="Calibri" w:eastAsia="Times New Roman" w:hAnsi="Calibri"/>
                <w:color w:val="000000"/>
                <w:sz w:val="18"/>
                <w:szCs w:val="18"/>
              </w:rPr>
            </w:pPr>
            <w:r w:rsidRPr="00942766">
              <w:rPr>
                <w:rFonts w:ascii="Calibri" w:eastAsia="Times New Roman" w:hAnsi="Calibri"/>
                <w:color w:val="000000"/>
                <w:sz w:val="18"/>
                <w:szCs w:val="18"/>
              </w:rPr>
              <w:t>Community psychologist</w:t>
            </w:r>
          </w:p>
        </w:tc>
        <w:tc>
          <w:tcPr>
            <w:tcW w:w="641" w:type="dxa"/>
            <w:tcBorders>
              <w:top w:val="nil"/>
              <w:left w:val="single" w:sz="8" w:space="0" w:color="auto"/>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w:t>
            </w:r>
          </w:p>
        </w:tc>
        <w:tc>
          <w:tcPr>
            <w:tcW w:w="832"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p>
        </w:tc>
        <w:tc>
          <w:tcPr>
            <w:tcW w:w="673"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w:t>
            </w:r>
          </w:p>
        </w:tc>
        <w:tc>
          <w:tcPr>
            <w:tcW w:w="879"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p>
        </w:tc>
        <w:tc>
          <w:tcPr>
            <w:tcW w:w="641"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w:t>
            </w:r>
          </w:p>
        </w:tc>
        <w:tc>
          <w:tcPr>
            <w:tcW w:w="736"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p>
        </w:tc>
        <w:tc>
          <w:tcPr>
            <w:tcW w:w="641"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w:t>
            </w:r>
          </w:p>
        </w:tc>
        <w:tc>
          <w:tcPr>
            <w:tcW w:w="736"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p>
        </w:tc>
        <w:tc>
          <w:tcPr>
            <w:tcW w:w="236" w:type="dxa"/>
            <w:tcBorders>
              <w:top w:val="nil"/>
              <w:left w:val="nil"/>
              <w:bottom w:val="nil"/>
              <w:right w:val="nil"/>
            </w:tcBorders>
            <w:shd w:val="clear" w:color="auto" w:fill="auto"/>
            <w:noWrap/>
            <w:vAlign w:val="center"/>
            <w:hideMark/>
          </w:tcPr>
          <w:p w:rsidR="00335472" w:rsidRPr="00942766" w:rsidRDefault="00335472" w:rsidP="00080173">
            <w:pPr>
              <w:jc w:val="center"/>
              <w:rPr>
                <w:rFonts w:eastAsia="Times New Roman"/>
                <w:sz w:val="18"/>
                <w:szCs w:val="18"/>
              </w:rPr>
            </w:pPr>
          </w:p>
        </w:tc>
        <w:tc>
          <w:tcPr>
            <w:tcW w:w="663"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0.11</w:t>
            </w:r>
          </w:p>
        </w:tc>
        <w:tc>
          <w:tcPr>
            <w:tcW w:w="736"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(0.46)</w:t>
            </w:r>
          </w:p>
        </w:tc>
      </w:tr>
      <w:tr w:rsidR="003B32A4" w:rsidRPr="00942766" w:rsidTr="00080173">
        <w:trPr>
          <w:trHeight w:val="300"/>
        </w:trPr>
        <w:tc>
          <w:tcPr>
            <w:tcW w:w="2127" w:type="dxa"/>
            <w:tcBorders>
              <w:top w:val="nil"/>
              <w:left w:val="nil"/>
              <w:bottom w:val="nil"/>
              <w:right w:val="single" w:sz="8" w:space="0" w:color="auto"/>
            </w:tcBorders>
            <w:shd w:val="clear" w:color="auto" w:fill="auto"/>
            <w:noWrap/>
            <w:vAlign w:val="center"/>
            <w:hideMark/>
          </w:tcPr>
          <w:p w:rsidR="00335472" w:rsidRPr="00942766" w:rsidRDefault="00335472" w:rsidP="002833D4">
            <w:pPr>
              <w:jc w:val="right"/>
              <w:rPr>
                <w:rFonts w:ascii="Calibri" w:eastAsia="Times New Roman" w:hAnsi="Calibri"/>
                <w:color w:val="000000"/>
                <w:sz w:val="18"/>
                <w:szCs w:val="18"/>
              </w:rPr>
            </w:pPr>
            <w:r w:rsidRPr="00942766">
              <w:rPr>
                <w:rFonts w:ascii="Calibri" w:eastAsia="Times New Roman" w:hAnsi="Calibri"/>
                <w:color w:val="000000"/>
                <w:sz w:val="18"/>
                <w:szCs w:val="18"/>
              </w:rPr>
              <w:t>Community psychiatrist</w:t>
            </w:r>
          </w:p>
        </w:tc>
        <w:tc>
          <w:tcPr>
            <w:tcW w:w="641" w:type="dxa"/>
            <w:tcBorders>
              <w:top w:val="nil"/>
              <w:left w:val="single" w:sz="8" w:space="0" w:color="auto"/>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w:t>
            </w:r>
          </w:p>
        </w:tc>
        <w:tc>
          <w:tcPr>
            <w:tcW w:w="832"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p>
        </w:tc>
        <w:tc>
          <w:tcPr>
            <w:tcW w:w="673"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0.11</w:t>
            </w:r>
          </w:p>
        </w:tc>
        <w:tc>
          <w:tcPr>
            <w:tcW w:w="879"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(0.47)</w:t>
            </w:r>
          </w:p>
        </w:tc>
        <w:tc>
          <w:tcPr>
            <w:tcW w:w="641"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0.09</w:t>
            </w:r>
          </w:p>
        </w:tc>
        <w:tc>
          <w:tcPr>
            <w:tcW w:w="736"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(0.42)</w:t>
            </w:r>
          </w:p>
        </w:tc>
        <w:tc>
          <w:tcPr>
            <w:tcW w:w="641"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0.05</w:t>
            </w:r>
          </w:p>
        </w:tc>
        <w:tc>
          <w:tcPr>
            <w:tcW w:w="736"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(0.33)</w:t>
            </w:r>
          </w:p>
        </w:tc>
        <w:tc>
          <w:tcPr>
            <w:tcW w:w="236"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p>
        </w:tc>
        <w:tc>
          <w:tcPr>
            <w:tcW w:w="663"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0.05</w:t>
            </w:r>
          </w:p>
        </w:tc>
        <w:tc>
          <w:tcPr>
            <w:tcW w:w="736"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(0.33)</w:t>
            </w:r>
          </w:p>
        </w:tc>
      </w:tr>
      <w:tr w:rsidR="003B32A4" w:rsidRPr="00942766" w:rsidTr="00080173">
        <w:trPr>
          <w:trHeight w:val="300"/>
        </w:trPr>
        <w:tc>
          <w:tcPr>
            <w:tcW w:w="2127" w:type="dxa"/>
            <w:tcBorders>
              <w:top w:val="nil"/>
              <w:left w:val="nil"/>
              <w:bottom w:val="nil"/>
              <w:right w:val="single" w:sz="8" w:space="0" w:color="auto"/>
            </w:tcBorders>
            <w:shd w:val="clear" w:color="auto" w:fill="auto"/>
            <w:noWrap/>
            <w:vAlign w:val="center"/>
            <w:hideMark/>
          </w:tcPr>
          <w:p w:rsidR="00335472" w:rsidRPr="00942766" w:rsidRDefault="00335472" w:rsidP="002833D4">
            <w:pPr>
              <w:jc w:val="right"/>
              <w:rPr>
                <w:rFonts w:ascii="Calibri" w:eastAsia="Times New Roman" w:hAnsi="Calibri"/>
                <w:color w:val="000000"/>
                <w:sz w:val="18"/>
                <w:szCs w:val="18"/>
              </w:rPr>
            </w:pPr>
            <w:r w:rsidRPr="00942766">
              <w:rPr>
                <w:rFonts w:ascii="Calibri" w:eastAsia="Times New Roman" w:hAnsi="Calibri"/>
                <w:color w:val="000000"/>
                <w:sz w:val="18"/>
                <w:szCs w:val="18"/>
              </w:rPr>
              <w:t>Osteopath</w:t>
            </w:r>
          </w:p>
        </w:tc>
        <w:tc>
          <w:tcPr>
            <w:tcW w:w="641" w:type="dxa"/>
            <w:tcBorders>
              <w:top w:val="nil"/>
              <w:left w:val="single" w:sz="8" w:space="0" w:color="auto"/>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w:t>
            </w:r>
          </w:p>
        </w:tc>
        <w:tc>
          <w:tcPr>
            <w:tcW w:w="832"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p>
        </w:tc>
        <w:tc>
          <w:tcPr>
            <w:tcW w:w="673"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w:t>
            </w:r>
          </w:p>
        </w:tc>
        <w:tc>
          <w:tcPr>
            <w:tcW w:w="879"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p>
        </w:tc>
        <w:tc>
          <w:tcPr>
            <w:tcW w:w="641"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w:t>
            </w:r>
          </w:p>
        </w:tc>
        <w:tc>
          <w:tcPr>
            <w:tcW w:w="736"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p>
        </w:tc>
        <w:tc>
          <w:tcPr>
            <w:tcW w:w="641"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w:t>
            </w:r>
          </w:p>
        </w:tc>
        <w:tc>
          <w:tcPr>
            <w:tcW w:w="736"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p>
        </w:tc>
        <w:tc>
          <w:tcPr>
            <w:tcW w:w="236" w:type="dxa"/>
            <w:tcBorders>
              <w:top w:val="nil"/>
              <w:left w:val="nil"/>
              <w:bottom w:val="nil"/>
              <w:right w:val="nil"/>
            </w:tcBorders>
            <w:shd w:val="clear" w:color="auto" w:fill="auto"/>
            <w:noWrap/>
            <w:vAlign w:val="center"/>
            <w:hideMark/>
          </w:tcPr>
          <w:p w:rsidR="00335472" w:rsidRPr="00942766" w:rsidRDefault="00335472" w:rsidP="00080173">
            <w:pPr>
              <w:jc w:val="center"/>
              <w:rPr>
                <w:rFonts w:eastAsia="Times New Roman"/>
                <w:sz w:val="18"/>
                <w:szCs w:val="18"/>
              </w:rPr>
            </w:pPr>
          </w:p>
        </w:tc>
        <w:tc>
          <w:tcPr>
            <w:tcW w:w="663"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w:t>
            </w:r>
          </w:p>
        </w:tc>
        <w:tc>
          <w:tcPr>
            <w:tcW w:w="736"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p>
        </w:tc>
      </w:tr>
      <w:tr w:rsidR="003B32A4" w:rsidRPr="00942766" w:rsidTr="00080173">
        <w:trPr>
          <w:trHeight w:val="300"/>
        </w:trPr>
        <w:tc>
          <w:tcPr>
            <w:tcW w:w="2127" w:type="dxa"/>
            <w:tcBorders>
              <w:top w:val="nil"/>
              <w:left w:val="nil"/>
              <w:bottom w:val="nil"/>
              <w:right w:val="single" w:sz="8" w:space="0" w:color="auto"/>
            </w:tcBorders>
            <w:shd w:val="clear" w:color="auto" w:fill="auto"/>
            <w:noWrap/>
            <w:vAlign w:val="center"/>
            <w:hideMark/>
          </w:tcPr>
          <w:p w:rsidR="00335472" w:rsidRPr="00942766" w:rsidRDefault="00335472" w:rsidP="002833D4">
            <w:pPr>
              <w:jc w:val="right"/>
              <w:rPr>
                <w:rFonts w:ascii="Calibri" w:eastAsia="Times New Roman" w:hAnsi="Calibri"/>
                <w:color w:val="000000"/>
                <w:sz w:val="18"/>
                <w:szCs w:val="18"/>
              </w:rPr>
            </w:pPr>
            <w:r w:rsidRPr="00942766">
              <w:rPr>
                <w:rFonts w:ascii="Calibri" w:eastAsia="Times New Roman" w:hAnsi="Calibri"/>
                <w:color w:val="000000"/>
                <w:sz w:val="18"/>
                <w:szCs w:val="18"/>
              </w:rPr>
              <w:t>Audiologist</w:t>
            </w:r>
          </w:p>
        </w:tc>
        <w:tc>
          <w:tcPr>
            <w:tcW w:w="641" w:type="dxa"/>
            <w:tcBorders>
              <w:top w:val="nil"/>
              <w:left w:val="single" w:sz="8" w:space="0" w:color="auto"/>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0.44</w:t>
            </w:r>
          </w:p>
        </w:tc>
        <w:tc>
          <w:tcPr>
            <w:tcW w:w="832"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(0.84)</w:t>
            </w:r>
          </w:p>
        </w:tc>
        <w:tc>
          <w:tcPr>
            <w:tcW w:w="673"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0.44</w:t>
            </w:r>
          </w:p>
        </w:tc>
        <w:tc>
          <w:tcPr>
            <w:tcW w:w="879"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(1.10)</w:t>
            </w:r>
          </w:p>
        </w:tc>
        <w:tc>
          <w:tcPr>
            <w:tcW w:w="641"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0.17</w:t>
            </w:r>
          </w:p>
        </w:tc>
        <w:tc>
          <w:tcPr>
            <w:tcW w:w="736"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(0.58)</w:t>
            </w:r>
          </w:p>
        </w:tc>
        <w:tc>
          <w:tcPr>
            <w:tcW w:w="641"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0.36</w:t>
            </w:r>
          </w:p>
        </w:tc>
        <w:tc>
          <w:tcPr>
            <w:tcW w:w="736"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(0.84)</w:t>
            </w:r>
          </w:p>
        </w:tc>
        <w:tc>
          <w:tcPr>
            <w:tcW w:w="236"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p>
        </w:tc>
        <w:tc>
          <w:tcPr>
            <w:tcW w:w="663"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w:t>
            </w:r>
          </w:p>
        </w:tc>
        <w:tc>
          <w:tcPr>
            <w:tcW w:w="736"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p>
        </w:tc>
      </w:tr>
      <w:tr w:rsidR="003B32A4" w:rsidRPr="00942766" w:rsidTr="00080173">
        <w:trPr>
          <w:trHeight w:val="300"/>
        </w:trPr>
        <w:tc>
          <w:tcPr>
            <w:tcW w:w="2127" w:type="dxa"/>
            <w:tcBorders>
              <w:top w:val="nil"/>
              <w:left w:val="nil"/>
              <w:bottom w:val="nil"/>
              <w:right w:val="single" w:sz="8" w:space="0" w:color="auto"/>
            </w:tcBorders>
            <w:shd w:val="clear" w:color="auto" w:fill="auto"/>
            <w:noWrap/>
            <w:vAlign w:val="center"/>
            <w:hideMark/>
          </w:tcPr>
          <w:p w:rsidR="00335472" w:rsidRPr="00942766" w:rsidRDefault="00335472" w:rsidP="002833D4">
            <w:pPr>
              <w:jc w:val="right"/>
              <w:rPr>
                <w:rFonts w:ascii="Calibri" w:eastAsia="Times New Roman" w:hAnsi="Calibri"/>
                <w:color w:val="000000"/>
                <w:sz w:val="18"/>
                <w:szCs w:val="18"/>
              </w:rPr>
            </w:pPr>
            <w:r w:rsidRPr="00942766">
              <w:rPr>
                <w:rFonts w:ascii="Calibri" w:eastAsia="Times New Roman" w:hAnsi="Calibri"/>
                <w:color w:val="000000"/>
                <w:sz w:val="18"/>
                <w:szCs w:val="18"/>
              </w:rPr>
              <w:t>Other</w:t>
            </w:r>
          </w:p>
        </w:tc>
        <w:tc>
          <w:tcPr>
            <w:tcW w:w="641" w:type="dxa"/>
            <w:tcBorders>
              <w:top w:val="nil"/>
              <w:left w:val="single" w:sz="8" w:space="0" w:color="auto"/>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0.06</w:t>
            </w:r>
          </w:p>
        </w:tc>
        <w:tc>
          <w:tcPr>
            <w:tcW w:w="832"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(0.25)</w:t>
            </w:r>
          </w:p>
        </w:tc>
        <w:tc>
          <w:tcPr>
            <w:tcW w:w="673"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0.11</w:t>
            </w:r>
          </w:p>
        </w:tc>
        <w:tc>
          <w:tcPr>
            <w:tcW w:w="879"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(0.47)</w:t>
            </w:r>
          </w:p>
        </w:tc>
        <w:tc>
          <w:tcPr>
            <w:tcW w:w="641"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w:t>
            </w:r>
          </w:p>
        </w:tc>
        <w:tc>
          <w:tcPr>
            <w:tcW w:w="736"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p>
        </w:tc>
        <w:tc>
          <w:tcPr>
            <w:tcW w:w="641"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0.05</w:t>
            </w:r>
          </w:p>
        </w:tc>
        <w:tc>
          <w:tcPr>
            <w:tcW w:w="736"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(0.28)</w:t>
            </w:r>
          </w:p>
        </w:tc>
        <w:tc>
          <w:tcPr>
            <w:tcW w:w="236"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p>
        </w:tc>
        <w:tc>
          <w:tcPr>
            <w:tcW w:w="663"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w:t>
            </w:r>
          </w:p>
        </w:tc>
        <w:tc>
          <w:tcPr>
            <w:tcW w:w="736"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p>
        </w:tc>
      </w:tr>
      <w:tr w:rsidR="003B32A4" w:rsidRPr="00942766" w:rsidTr="00080173">
        <w:trPr>
          <w:trHeight w:val="300"/>
        </w:trPr>
        <w:tc>
          <w:tcPr>
            <w:tcW w:w="2127" w:type="dxa"/>
            <w:tcBorders>
              <w:top w:val="nil"/>
              <w:left w:val="nil"/>
              <w:bottom w:val="nil"/>
              <w:right w:val="single" w:sz="8" w:space="0" w:color="auto"/>
            </w:tcBorders>
            <w:shd w:val="clear" w:color="auto" w:fill="auto"/>
            <w:noWrap/>
            <w:vAlign w:val="bottom"/>
            <w:hideMark/>
          </w:tcPr>
          <w:p w:rsidR="00335472" w:rsidRPr="00942766" w:rsidRDefault="00335472" w:rsidP="002833D4">
            <w:pPr>
              <w:rPr>
                <w:rFonts w:ascii="Calibri" w:eastAsia="Times New Roman" w:hAnsi="Calibri"/>
                <w:b/>
                <w:color w:val="000000"/>
                <w:sz w:val="18"/>
                <w:szCs w:val="18"/>
              </w:rPr>
            </w:pPr>
            <w:r w:rsidRPr="00942766">
              <w:rPr>
                <w:rFonts w:ascii="Calibri" w:eastAsia="Times New Roman" w:hAnsi="Calibri"/>
                <w:b/>
                <w:color w:val="000000"/>
                <w:sz w:val="18"/>
                <w:szCs w:val="18"/>
              </w:rPr>
              <w:t xml:space="preserve">Other care service  </w:t>
            </w:r>
          </w:p>
        </w:tc>
        <w:tc>
          <w:tcPr>
            <w:tcW w:w="641" w:type="dxa"/>
            <w:tcBorders>
              <w:top w:val="nil"/>
              <w:left w:val="single" w:sz="8" w:space="0" w:color="auto"/>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p>
        </w:tc>
        <w:tc>
          <w:tcPr>
            <w:tcW w:w="832" w:type="dxa"/>
            <w:tcBorders>
              <w:top w:val="nil"/>
              <w:left w:val="nil"/>
              <w:bottom w:val="nil"/>
              <w:right w:val="nil"/>
            </w:tcBorders>
            <w:shd w:val="clear" w:color="auto" w:fill="auto"/>
            <w:noWrap/>
            <w:vAlign w:val="center"/>
            <w:hideMark/>
          </w:tcPr>
          <w:p w:rsidR="00335472" w:rsidRPr="00942766" w:rsidRDefault="00335472" w:rsidP="00080173">
            <w:pPr>
              <w:jc w:val="center"/>
              <w:rPr>
                <w:rFonts w:eastAsia="Times New Roman"/>
                <w:sz w:val="18"/>
                <w:szCs w:val="18"/>
              </w:rPr>
            </w:pPr>
          </w:p>
        </w:tc>
        <w:tc>
          <w:tcPr>
            <w:tcW w:w="673" w:type="dxa"/>
            <w:tcBorders>
              <w:top w:val="nil"/>
              <w:left w:val="nil"/>
              <w:bottom w:val="nil"/>
              <w:right w:val="nil"/>
            </w:tcBorders>
            <w:shd w:val="clear" w:color="auto" w:fill="auto"/>
            <w:noWrap/>
            <w:vAlign w:val="center"/>
            <w:hideMark/>
          </w:tcPr>
          <w:p w:rsidR="00335472" w:rsidRPr="00942766" w:rsidRDefault="00335472" w:rsidP="00080173">
            <w:pPr>
              <w:jc w:val="center"/>
              <w:rPr>
                <w:rFonts w:eastAsia="Times New Roman"/>
                <w:sz w:val="18"/>
                <w:szCs w:val="18"/>
              </w:rPr>
            </w:pPr>
          </w:p>
        </w:tc>
        <w:tc>
          <w:tcPr>
            <w:tcW w:w="879" w:type="dxa"/>
            <w:tcBorders>
              <w:top w:val="nil"/>
              <w:left w:val="nil"/>
              <w:bottom w:val="nil"/>
              <w:right w:val="nil"/>
            </w:tcBorders>
            <w:shd w:val="clear" w:color="auto" w:fill="auto"/>
            <w:noWrap/>
            <w:vAlign w:val="center"/>
            <w:hideMark/>
          </w:tcPr>
          <w:p w:rsidR="00335472" w:rsidRPr="00942766" w:rsidRDefault="00335472" w:rsidP="00080173">
            <w:pPr>
              <w:jc w:val="center"/>
              <w:rPr>
                <w:rFonts w:eastAsia="Times New Roman"/>
                <w:sz w:val="18"/>
                <w:szCs w:val="18"/>
              </w:rPr>
            </w:pPr>
          </w:p>
        </w:tc>
        <w:tc>
          <w:tcPr>
            <w:tcW w:w="641" w:type="dxa"/>
            <w:tcBorders>
              <w:top w:val="nil"/>
              <w:left w:val="nil"/>
              <w:bottom w:val="nil"/>
              <w:right w:val="nil"/>
            </w:tcBorders>
            <w:shd w:val="clear" w:color="auto" w:fill="auto"/>
            <w:noWrap/>
            <w:vAlign w:val="center"/>
            <w:hideMark/>
          </w:tcPr>
          <w:p w:rsidR="00335472" w:rsidRPr="00942766" w:rsidRDefault="00335472" w:rsidP="00080173">
            <w:pPr>
              <w:jc w:val="center"/>
              <w:rPr>
                <w:rFonts w:eastAsia="Times New Roman"/>
                <w:sz w:val="18"/>
                <w:szCs w:val="18"/>
              </w:rPr>
            </w:pPr>
          </w:p>
        </w:tc>
        <w:tc>
          <w:tcPr>
            <w:tcW w:w="736" w:type="dxa"/>
            <w:tcBorders>
              <w:top w:val="nil"/>
              <w:left w:val="nil"/>
              <w:bottom w:val="nil"/>
              <w:right w:val="nil"/>
            </w:tcBorders>
            <w:shd w:val="clear" w:color="auto" w:fill="auto"/>
            <w:noWrap/>
            <w:vAlign w:val="center"/>
            <w:hideMark/>
          </w:tcPr>
          <w:p w:rsidR="00335472" w:rsidRPr="00942766" w:rsidRDefault="00335472" w:rsidP="00080173">
            <w:pPr>
              <w:jc w:val="center"/>
              <w:rPr>
                <w:rFonts w:eastAsia="Times New Roman"/>
                <w:sz w:val="18"/>
                <w:szCs w:val="18"/>
              </w:rPr>
            </w:pPr>
          </w:p>
        </w:tc>
        <w:tc>
          <w:tcPr>
            <w:tcW w:w="641" w:type="dxa"/>
            <w:tcBorders>
              <w:top w:val="nil"/>
              <w:left w:val="nil"/>
              <w:bottom w:val="nil"/>
              <w:right w:val="nil"/>
            </w:tcBorders>
            <w:shd w:val="clear" w:color="auto" w:fill="auto"/>
            <w:noWrap/>
            <w:vAlign w:val="center"/>
            <w:hideMark/>
          </w:tcPr>
          <w:p w:rsidR="00335472" w:rsidRPr="00942766" w:rsidRDefault="00335472" w:rsidP="00080173">
            <w:pPr>
              <w:jc w:val="center"/>
              <w:rPr>
                <w:rFonts w:eastAsia="Times New Roman"/>
                <w:sz w:val="18"/>
                <w:szCs w:val="18"/>
              </w:rPr>
            </w:pPr>
          </w:p>
        </w:tc>
        <w:tc>
          <w:tcPr>
            <w:tcW w:w="736" w:type="dxa"/>
            <w:tcBorders>
              <w:top w:val="nil"/>
              <w:left w:val="nil"/>
              <w:bottom w:val="nil"/>
              <w:right w:val="nil"/>
            </w:tcBorders>
            <w:shd w:val="clear" w:color="auto" w:fill="auto"/>
            <w:noWrap/>
            <w:vAlign w:val="center"/>
            <w:hideMark/>
          </w:tcPr>
          <w:p w:rsidR="00335472" w:rsidRPr="00942766" w:rsidRDefault="00335472" w:rsidP="00080173">
            <w:pPr>
              <w:jc w:val="center"/>
              <w:rPr>
                <w:rFonts w:eastAsia="Times New Roman"/>
                <w:sz w:val="18"/>
                <w:szCs w:val="18"/>
              </w:rPr>
            </w:pPr>
          </w:p>
        </w:tc>
        <w:tc>
          <w:tcPr>
            <w:tcW w:w="236" w:type="dxa"/>
            <w:tcBorders>
              <w:top w:val="nil"/>
              <w:left w:val="nil"/>
              <w:bottom w:val="nil"/>
              <w:right w:val="nil"/>
            </w:tcBorders>
            <w:shd w:val="clear" w:color="auto" w:fill="auto"/>
            <w:noWrap/>
            <w:vAlign w:val="center"/>
            <w:hideMark/>
          </w:tcPr>
          <w:p w:rsidR="00335472" w:rsidRPr="00942766" w:rsidRDefault="00335472" w:rsidP="00080173">
            <w:pPr>
              <w:jc w:val="center"/>
              <w:rPr>
                <w:rFonts w:eastAsia="Times New Roman"/>
                <w:sz w:val="18"/>
                <w:szCs w:val="18"/>
              </w:rPr>
            </w:pPr>
          </w:p>
        </w:tc>
        <w:tc>
          <w:tcPr>
            <w:tcW w:w="663" w:type="dxa"/>
            <w:tcBorders>
              <w:top w:val="nil"/>
              <w:left w:val="nil"/>
              <w:bottom w:val="nil"/>
              <w:right w:val="nil"/>
            </w:tcBorders>
            <w:shd w:val="clear" w:color="auto" w:fill="auto"/>
            <w:noWrap/>
            <w:vAlign w:val="center"/>
            <w:hideMark/>
          </w:tcPr>
          <w:p w:rsidR="00335472" w:rsidRPr="00942766" w:rsidRDefault="00335472" w:rsidP="00080173">
            <w:pPr>
              <w:jc w:val="center"/>
              <w:rPr>
                <w:rFonts w:eastAsia="Times New Roman"/>
                <w:sz w:val="18"/>
                <w:szCs w:val="18"/>
              </w:rPr>
            </w:pPr>
          </w:p>
        </w:tc>
        <w:tc>
          <w:tcPr>
            <w:tcW w:w="736" w:type="dxa"/>
            <w:tcBorders>
              <w:top w:val="nil"/>
              <w:left w:val="nil"/>
              <w:bottom w:val="nil"/>
              <w:right w:val="nil"/>
            </w:tcBorders>
            <w:shd w:val="clear" w:color="auto" w:fill="auto"/>
            <w:noWrap/>
            <w:vAlign w:val="center"/>
            <w:hideMark/>
          </w:tcPr>
          <w:p w:rsidR="00335472" w:rsidRPr="00942766" w:rsidRDefault="00335472" w:rsidP="00080173">
            <w:pPr>
              <w:jc w:val="center"/>
              <w:rPr>
                <w:rFonts w:eastAsia="Times New Roman"/>
                <w:sz w:val="18"/>
                <w:szCs w:val="18"/>
              </w:rPr>
            </w:pPr>
          </w:p>
        </w:tc>
      </w:tr>
      <w:tr w:rsidR="003B32A4" w:rsidRPr="00942766" w:rsidTr="00080173">
        <w:trPr>
          <w:trHeight w:val="300"/>
        </w:trPr>
        <w:tc>
          <w:tcPr>
            <w:tcW w:w="2127" w:type="dxa"/>
            <w:tcBorders>
              <w:top w:val="nil"/>
              <w:left w:val="nil"/>
              <w:bottom w:val="nil"/>
              <w:right w:val="single" w:sz="8" w:space="0" w:color="auto"/>
            </w:tcBorders>
            <w:shd w:val="clear" w:color="auto" w:fill="auto"/>
            <w:noWrap/>
            <w:vAlign w:val="center"/>
            <w:hideMark/>
          </w:tcPr>
          <w:p w:rsidR="00335472" w:rsidRPr="00942766" w:rsidRDefault="00335472" w:rsidP="002833D4">
            <w:pPr>
              <w:jc w:val="right"/>
              <w:rPr>
                <w:rFonts w:ascii="Calibri" w:eastAsia="Times New Roman" w:hAnsi="Calibri"/>
                <w:color w:val="000000"/>
                <w:sz w:val="18"/>
                <w:szCs w:val="18"/>
              </w:rPr>
            </w:pPr>
            <w:r w:rsidRPr="00942766">
              <w:rPr>
                <w:rFonts w:ascii="Calibri" w:eastAsia="Times New Roman" w:hAnsi="Calibri"/>
                <w:color w:val="000000"/>
                <w:sz w:val="18"/>
                <w:szCs w:val="18"/>
              </w:rPr>
              <w:t>Respite care (days)</w:t>
            </w:r>
          </w:p>
        </w:tc>
        <w:tc>
          <w:tcPr>
            <w:tcW w:w="641" w:type="dxa"/>
            <w:tcBorders>
              <w:top w:val="nil"/>
              <w:left w:val="single" w:sz="8" w:space="0" w:color="auto"/>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0.38</w:t>
            </w:r>
          </w:p>
        </w:tc>
        <w:tc>
          <w:tcPr>
            <w:tcW w:w="832"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(2.12)</w:t>
            </w:r>
          </w:p>
        </w:tc>
        <w:tc>
          <w:tcPr>
            <w:tcW w:w="673"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4.00</w:t>
            </w:r>
          </w:p>
        </w:tc>
        <w:tc>
          <w:tcPr>
            <w:tcW w:w="879"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(12.35)</w:t>
            </w:r>
          </w:p>
        </w:tc>
        <w:tc>
          <w:tcPr>
            <w:tcW w:w="641"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4.13</w:t>
            </w:r>
          </w:p>
        </w:tc>
        <w:tc>
          <w:tcPr>
            <w:tcW w:w="736"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(13.20)</w:t>
            </w:r>
          </w:p>
        </w:tc>
        <w:tc>
          <w:tcPr>
            <w:tcW w:w="641"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2.45</w:t>
            </w:r>
          </w:p>
        </w:tc>
        <w:tc>
          <w:tcPr>
            <w:tcW w:w="736"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(9.70)</w:t>
            </w:r>
          </w:p>
        </w:tc>
        <w:tc>
          <w:tcPr>
            <w:tcW w:w="236"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p>
        </w:tc>
        <w:tc>
          <w:tcPr>
            <w:tcW w:w="663"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w:t>
            </w:r>
          </w:p>
        </w:tc>
        <w:tc>
          <w:tcPr>
            <w:tcW w:w="736"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p>
        </w:tc>
      </w:tr>
      <w:tr w:rsidR="003B32A4" w:rsidRPr="00942766" w:rsidTr="00080173">
        <w:trPr>
          <w:trHeight w:val="300"/>
        </w:trPr>
        <w:tc>
          <w:tcPr>
            <w:tcW w:w="2127" w:type="dxa"/>
            <w:tcBorders>
              <w:top w:val="nil"/>
              <w:left w:val="nil"/>
              <w:bottom w:val="nil"/>
              <w:right w:val="single" w:sz="8" w:space="0" w:color="auto"/>
            </w:tcBorders>
            <w:shd w:val="clear" w:color="auto" w:fill="auto"/>
            <w:noWrap/>
            <w:vAlign w:val="center"/>
            <w:hideMark/>
          </w:tcPr>
          <w:p w:rsidR="00335472" w:rsidRPr="00942766" w:rsidRDefault="00335472" w:rsidP="002833D4">
            <w:pPr>
              <w:jc w:val="right"/>
              <w:rPr>
                <w:rFonts w:ascii="Calibri" w:eastAsia="Times New Roman" w:hAnsi="Calibri"/>
                <w:color w:val="000000"/>
                <w:sz w:val="18"/>
                <w:szCs w:val="18"/>
              </w:rPr>
            </w:pPr>
            <w:r w:rsidRPr="00942766">
              <w:rPr>
                <w:rFonts w:ascii="Calibri" w:eastAsia="Times New Roman" w:hAnsi="Calibri"/>
                <w:color w:val="000000"/>
                <w:sz w:val="18"/>
                <w:szCs w:val="18"/>
              </w:rPr>
              <w:t>Foster care (days)</w:t>
            </w:r>
          </w:p>
        </w:tc>
        <w:tc>
          <w:tcPr>
            <w:tcW w:w="641" w:type="dxa"/>
            <w:tcBorders>
              <w:top w:val="nil"/>
              <w:left w:val="single" w:sz="8" w:space="0" w:color="auto"/>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6.66</w:t>
            </w:r>
          </w:p>
        </w:tc>
        <w:tc>
          <w:tcPr>
            <w:tcW w:w="832"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(37.70)</w:t>
            </w:r>
          </w:p>
        </w:tc>
        <w:tc>
          <w:tcPr>
            <w:tcW w:w="673"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w:t>
            </w:r>
          </w:p>
        </w:tc>
        <w:tc>
          <w:tcPr>
            <w:tcW w:w="879"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p>
        </w:tc>
        <w:tc>
          <w:tcPr>
            <w:tcW w:w="641"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w:t>
            </w:r>
          </w:p>
        </w:tc>
        <w:tc>
          <w:tcPr>
            <w:tcW w:w="736"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p>
        </w:tc>
        <w:tc>
          <w:tcPr>
            <w:tcW w:w="641"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2.92</w:t>
            </w:r>
          </w:p>
        </w:tc>
        <w:tc>
          <w:tcPr>
            <w:tcW w:w="736"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(24.90)</w:t>
            </w:r>
          </w:p>
        </w:tc>
        <w:tc>
          <w:tcPr>
            <w:tcW w:w="236"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p>
        </w:tc>
        <w:tc>
          <w:tcPr>
            <w:tcW w:w="663"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w:t>
            </w:r>
          </w:p>
        </w:tc>
        <w:tc>
          <w:tcPr>
            <w:tcW w:w="736"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p>
        </w:tc>
      </w:tr>
      <w:tr w:rsidR="003B32A4" w:rsidRPr="00942766" w:rsidTr="00080173">
        <w:trPr>
          <w:trHeight w:val="300"/>
        </w:trPr>
        <w:tc>
          <w:tcPr>
            <w:tcW w:w="2127" w:type="dxa"/>
            <w:tcBorders>
              <w:top w:val="nil"/>
              <w:left w:val="nil"/>
              <w:bottom w:val="nil"/>
              <w:right w:val="single" w:sz="8" w:space="0" w:color="auto"/>
            </w:tcBorders>
            <w:shd w:val="clear" w:color="auto" w:fill="auto"/>
            <w:noWrap/>
            <w:vAlign w:val="bottom"/>
            <w:hideMark/>
          </w:tcPr>
          <w:p w:rsidR="00335472" w:rsidRPr="00942766" w:rsidRDefault="00335472" w:rsidP="00CA204D">
            <w:pPr>
              <w:rPr>
                <w:rFonts w:ascii="Calibri" w:eastAsia="Times New Roman" w:hAnsi="Calibri"/>
                <w:color w:val="000000"/>
                <w:sz w:val="18"/>
                <w:szCs w:val="18"/>
              </w:rPr>
            </w:pPr>
            <w:r w:rsidRPr="00942766">
              <w:rPr>
                <w:rFonts w:ascii="Calibri" w:eastAsia="Times New Roman" w:hAnsi="Calibri"/>
                <w:b/>
                <w:color w:val="000000"/>
                <w:sz w:val="18"/>
                <w:szCs w:val="18"/>
              </w:rPr>
              <w:t>Hospital outpatient, attendances</w:t>
            </w:r>
            <w:r w:rsidRPr="00942766">
              <w:rPr>
                <w:rFonts w:ascii="Calibri" w:eastAsia="Times New Roman" w:hAnsi="Calibri"/>
                <w:color w:val="000000"/>
                <w:sz w:val="18"/>
                <w:szCs w:val="18"/>
              </w:rPr>
              <w:t xml:space="preserve">  </w:t>
            </w:r>
          </w:p>
        </w:tc>
        <w:tc>
          <w:tcPr>
            <w:tcW w:w="641" w:type="dxa"/>
            <w:tcBorders>
              <w:top w:val="nil"/>
              <w:left w:val="single" w:sz="8" w:space="0" w:color="auto"/>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p>
        </w:tc>
        <w:tc>
          <w:tcPr>
            <w:tcW w:w="832" w:type="dxa"/>
            <w:tcBorders>
              <w:top w:val="nil"/>
              <w:left w:val="nil"/>
              <w:bottom w:val="nil"/>
              <w:right w:val="nil"/>
            </w:tcBorders>
            <w:shd w:val="clear" w:color="auto" w:fill="auto"/>
            <w:noWrap/>
            <w:vAlign w:val="center"/>
            <w:hideMark/>
          </w:tcPr>
          <w:p w:rsidR="00335472" w:rsidRPr="00942766" w:rsidRDefault="00335472" w:rsidP="00080173">
            <w:pPr>
              <w:jc w:val="center"/>
              <w:rPr>
                <w:rFonts w:eastAsia="Times New Roman"/>
                <w:sz w:val="18"/>
                <w:szCs w:val="18"/>
              </w:rPr>
            </w:pPr>
          </w:p>
        </w:tc>
        <w:tc>
          <w:tcPr>
            <w:tcW w:w="673" w:type="dxa"/>
            <w:tcBorders>
              <w:top w:val="nil"/>
              <w:left w:val="nil"/>
              <w:bottom w:val="nil"/>
              <w:right w:val="nil"/>
            </w:tcBorders>
            <w:shd w:val="clear" w:color="auto" w:fill="auto"/>
            <w:noWrap/>
            <w:vAlign w:val="center"/>
            <w:hideMark/>
          </w:tcPr>
          <w:p w:rsidR="00335472" w:rsidRPr="00942766" w:rsidRDefault="00335472" w:rsidP="00080173">
            <w:pPr>
              <w:jc w:val="center"/>
              <w:rPr>
                <w:rFonts w:eastAsia="Times New Roman"/>
                <w:sz w:val="18"/>
                <w:szCs w:val="18"/>
              </w:rPr>
            </w:pPr>
          </w:p>
        </w:tc>
        <w:tc>
          <w:tcPr>
            <w:tcW w:w="879" w:type="dxa"/>
            <w:tcBorders>
              <w:top w:val="nil"/>
              <w:left w:val="nil"/>
              <w:bottom w:val="nil"/>
              <w:right w:val="nil"/>
            </w:tcBorders>
            <w:shd w:val="clear" w:color="auto" w:fill="auto"/>
            <w:noWrap/>
            <w:vAlign w:val="center"/>
            <w:hideMark/>
          </w:tcPr>
          <w:p w:rsidR="00335472" w:rsidRPr="00942766" w:rsidRDefault="00335472" w:rsidP="00080173">
            <w:pPr>
              <w:jc w:val="center"/>
              <w:rPr>
                <w:rFonts w:eastAsia="Times New Roman"/>
                <w:sz w:val="18"/>
                <w:szCs w:val="18"/>
              </w:rPr>
            </w:pPr>
          </w:p>
        </w:tc>
        <w:tc>
          <w:tcPr>
            <w:tcW w:w="641" w:type="dxa"/>
            <w:tcBorders>
              <w:top w:val="nil"/>
              <w:left w:val="nil"/>
              <w:bottom w:val="nil"/>
              <w:right w:val="nil"/>
            </w:tcBorders>
            <w:shd w:val="clear" w:color="auto" w:fill="auto"/>
            <w:noWrap/>
            <w:vAlign w:val="center"/>
            <w:hideMark/>
          </w:tcPr>
          <w:p w:rsidR="00335472" w:rsidRPr="00942766" w:rsidRDefault="00335472" w:rsidP="00080173">
            <w:pPr>
              <w:jc w:val="center"/>
              <w:rPr>
                <w:rFonts w:eastAsia="Times New Roman"/>
                <w:sz w:val="18"/>
                <w:szCs w:val="18"/>
              </w:rPr>
            </w:pPr>
          </w:p>
        </w:tc>
        <w:tc>
          <w:tcPr>
            <w:tcW w:w="736" w:type="dxa"/>
            <w:tcBorders>
              <w:top w:val="nil"/>
              <w:left w:val="nil"/>
              <w:bottom w:val="nil"/>
              <w:right w:val="nil"/>
            </w:tcBorders>
            <w:shd w:val="clear" w:color="auto" w:fill="auto"/>
            <w:noWrap/>
            <w:vAlign w:val="center"/>
            <w:hideMark/>
          </w:tcPr>
          <w:p w:rsidR="00335472" w:rsidRPr="00942766" w:rsidRDefault="00335472" w:rsidP="00080173">
            <w:pPr>
              <w:jc w:val="center"/>
              <w:rPr>
                <w:rFonts w:eastAsia="Times New Roman"/>
                <w:sz w:val="18"/>
                <w:szCs w:val="18"/>
              </w:rPr>
            </w:pPr>
          </w:p>
        </w:tc>
        <w:tc>
          <w:tcPr>
            <w:tcW w:w="641" w:type="dxa"/>
            <w:tcBorders>
              <w:top w:val="nil"/>
              <w:left w:val="nil"/>
              <w:bottom w:val="nil"/>
              <w:right w:val="nil"/>
            </w:tcBorders>
            <w:shd w:val="clear" w:color="auto" w:fill="auto"/>
            <w:noWrap/>
            <w:vAlign w:val="center"/>
            <w:hideMark/>
          </w:tcPr>
          <w:p w:rsidR="00335472" w:rsidRPr="00942766" w:rsidRDefault="00335472" w:rsidP="00080173">
            <w:pPr>
              <w:jc w:val="center"/>
              <w:rPr>
                <w:rFonts w:eastAsia="Times New Roman"/>
                <w:sz w:val="18"/>
                <w:szCs w:val="18"/>
              </w:rPr>
            </w:pPr>
          </w:p>
        </w:tc>
        <w:tc>
          <w:tcPr>
            <w:tcW w:w="736" w:type="dxa"/>
            <w:tcBorders>
              <w:top w:val="nil"/>
              <w:left w:val="nil"/>
              <w:bottom w:val="nil"/>
              <w:right w:val="nil"/>
            </w:tcBorders>
            <w:shd w:val="clear" w:color="auto" w:fill="auto"/>
            <w:noWrap/>
            <w:vAlign w:val="center"/>
            <w:hideMark/>
          </w:tcPr>
          <w:p w:rsidR="00335472" w:rsidRPr="00942766" w:rsidRDefault="00335472" w:rsidP="00080173">
            <w:pPr>
              <w:jc w:val="center"/>
              <w:rPr>
                <w:rFonts w:eastAsia="Times New Roman"/>
                <w:sz w:val="18"/>
                <w:szCs w:val="18"/>
              </w:rPr>
            </w:pPr>
          </w:p>
        </w:tc>
        <w:tc>
          <w:tcPr>
            <w:tcW w:w="236" w:type="dxa"/>
            <w:tcBorders>
              <w:top w:val="nil"/>
              <w:left w:val="nil"/>
              <w:bottom w:val="nil"/>
              <w:right w:val="nil"/>
            </w:tcBorders>
            <w:shd w:val="clear" w:color="auto" w:fill="auto"/>
            <w:noWrap/>
            <w:vAlign w:val="center"/>
            <w:hideMark/>
          </w:tcPr>
          <w:p w:rsidR="00335472" w:rsidRPr="00942766" w:rsidRDefault="00335472" w:rsidP="00080173">
            <w:pPr>
              <w:jc w:val="center"/>
              <w:rPr>
                <w:rFonts w:eastAsia="Times New Roman"/>
                <w:sz w:val="18"/>
                <w:szCs w:val="18"/>
              </w:rPr>
            </w:pPr>
          </w:p>
        </w:tc>
        <w:tc>
          <w:tcPr>
            <w:tcW w:w="663" w:type="dxa"/>
            <w:tcBorders>
              <w:top w:val="nil"/>
              <w:left w:val="nil"/>
              <w:bottom w:val="nil"/>
              <w:right w:val="nil"/>
            </w:tcBorders>
            <w:shd w:val="clear" w:color="auto" w:fill="auto"/>
            <w:noWrap/>
            <w:vAlign w:val="center"/>
            <w:hideMark/>
          </w:tcPr>
          <w:p w:rsidR="00335472" w:rsidRPr="00942766" w:rsidRDefault="00335472" w:rsidP="00080173">
            <w:pPr>
              <w:jc w:val="center"/>
              <w:rPr>
                <w:rFonts w:eastAsia="Times New Roman"/>
                <w:sz w:val="18"/>
                <w:szCs w:val="18"/>
              </w:rPr>
            </w:pPr>
          </w:p>
        </w:tc>
        <w:tc>
          <w:tcPr>
            <w:tcW w:w="736" w:type="dxa"/>
            <w:tcBorders>
              <w:top w:val="nil"/>
              <w:left w:val="nil"/>
              <w:bottom w:val="nil"/>
              <w:right w:val="nil"/>
            </w:tcBorders>
            <w:shd w:val="clear" w:color="auto" w:fill="auto"/>
            <w:noWrap/>
            <w:vAlign w:val="center"/>
            <w:hideMark/>
          </w:tcPr>
          <w:p w:rsidR="00335472" w:rsidRPr="00942766" w:rsidRDefault="00335472" w:rsidP="00080173">
            <w:pPr>
              <w:jc w:val="center"/>
              <w:rPr>
                <w:rFonts w:eastAsia="Times New Roman"/>
                <w:sz w:val="18"/>
                <w:szCs w:val="18"/>
              </w:rPr>
            </w:pPr>
          </w:p>
        </w:tc>
      </w:tr>
      <w:tr w:rsidR="003B32A4" w:rsidRPr="00942766" w:rsidTr="00080173">
        <w:trPr>
          <w:trHeight w:val="300"/>
        </w:trPr>
        <w:tc>
          <w:tcPr>
            <w:tcW w:w="2127" w:type="dxa"/>
            <w:tcBorders>
              <w:top w:val="nil"/>
              <w:left w:val="nil"/>
              <w:bottom w:val="nil"/>
              <w:right w:val="single" w:sz="8" w:space="0" w:color="auto"/>
            </w:tcBorders>
            <w:shd w:val="clear" w:color="auto" w:fill="auto"/>
            <w:noWrap/>
            <w:vAlign w:val="center"/>
            <w:hideMark/>
          </w:tcPr>
          <w:p w:rsidR="00335472" w:rsidRPr="00942766" w:rsidRDefault="00335472" w:rsidP="002833D4">
            <w:pPr>
              <w:jc w:val="right"/>
              <w:rPr>
                <w:rFonts w:ascii="Calibri" w:eastAsia="Times New Roman" w:hAnsi="Calibri"/>
                <w:color w:val="000000"/>
                <w:sz w:val="18"/>
                <w:szCs w:val="18"/>
              </w:rPr>
            </w:pPr>
            <w:r w:rsidRPr="00942766">
              <w:rPr>
                <w:rFonts w:ascii="Calibri" w:eastAsia="Times New Roman" w:hAnsi="Calibri"/>
                <w:color w:val="000000"/>
                <w:sz w:val="18"/>
                <w:szCs w:val="18"/>
              </w:rPr>
              <w:t>Category 1 (ENT)</w:t>
            </w:r>
          </w:p>
        </w:tc>
        <w:tc>
          <w:tcPr>
            <w:tcW w:w="641" w:type="dxa"/>
            <w:tcBorders>
              <w:top w:val="nil"/>
              <w:left w:val="single" w:sz="8" w:space="0" w:color="auto"/>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0.19</w:t>
            </w:r>
          </w:p>
        </w:tc>
        <w:tc>
          <w:tcPr>
            <w:tcW w:w="832"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(0.78)</w:t>
            </w:r>
          </w:p>
        </w:tc>
        <w:tc>
          <w:tcPr>
            <w:tcW w:w="673"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0.44</w:t>
            </w:r>
          </w:p>
        </w:tc>
        <w:tc>
          <w:tcPr>
            <w:tcW w:w="879"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(1.46)</w:t>
            </w:r>
          </w:p>
        </w:tc>
        <w:tc>
          <w:tcPr>
            <w:tcW w:w="641"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0.09</w:t>
            </w:r>
          </w:p>
        </w:tc>
        <w:tc>
          <w:tcPr>
            <w:tcW w:w="736"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(0.42)</w:t>
            </w:r>
          </w:p>
        </w:tc>
        <w:tc>
          <w:tcPr>
            <w:tcW w:w="641"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0.22</w:t>
            </w:r>
          </w:p>
        </w:tc>
        <w:tc>
          <w:tcPr>
            <w:tcW w:w="736"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(0.92)</w:t>
            </w:r>
          </w:p>
        </w:tc>
        <w:tc>
          <w:tcPr>
            <w:tcW w:w="236"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p>
        </w:tc>
        <w:tc>
          <w:tcPr>
            <w:tcW w:w="663"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0.22</w:t>
            </w:r>
          </w:p>
        </w:tc>
        <w:tc>
          <w:tcPr>
            <w:tcW w:w="736"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(1.03)</w:t>
            </w:r>
          </w:p>
        </w:tc>
      </w:tr>
      <w:tr w:rsidR="003B32A4" w:rsidRPr="00942766" w:rsidTr="00080173">
        <w:trPr>
          <w:trHeight w:val="300"/>
        </w:trPr>
        <w:tc>
          <w:tcPr>
            <w:tcW w:w="2127" w:type="dxa"/>
            <w:tcBorders>
              <w:top w:val="nil"/>
              <w:left w:val="nil"/>
              <w:bottom w:val="nil"/>
              <w:right w:val="single" w:sz="8" w:space="0" w:color="auto"/>
            </w:tcBorders>
            <w:shd w:val="clear" w:color="auto" w:fill="auto"/>
            <w:noWrap/>
            <w:vAlign w:val="center"/>
            <w:hideMark/>
          </w:tcPr>
          <w:p w:rsidR="00335472" w:rsidRPr="00942766" w:rsidRDefault="00335472" w:rsidP="002833D4">
            <w:pPr>
              <w:jc w:val="right"/>
              <w:rPr>
                <w:rFonts w:ascii="Calibri" w:eastAsia="Times New Roman" w:hAnsi="Calibri"/>
                <w:color w:val="000000"/>
                <w:sz w:val="18"/>
                <w:szCs w:val="18"/>
              </w:rPr>
            </w:pPr>
            <w:r w:rsidRPr="00942766">
              <w:rPr>
                <w:rFonts w:ascii="Calibri" w:eastAsia="Times New Roman" w:hAnsi="Calibri"/>
                <w:color w:val="000000"/>
                <w:sz w:val="18"/>
                <w:szCs w:val="18"/>
              </w:rPr>
              <w:t>Category 2 (A&amp;E)</w:t>
            </w:r>
          </w:p>
        </w:tc>
        <w:tc>
          <w:tcPr>
            <w:tcW w:w="641" w:type="dxa"/>
            <w:tcBorders>
              <w:top w:val="nil"/>
              <w:left w:val="single" w:sz="8" w:space="0" w:color="auto"/>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0.81</w:t>
            </w:r>
          </w:p>
        </w:tc>
        <w:tc>
          <w:tcPr>
            <w:tcW w:w="832"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(2.02)</w:t>
            </w:r>
          </w:p>
        </w:tc>
        <w:tc>
          <w:tcPr>
            <w:tcW w:w="673"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0.56</w:t>
            </w:r>
          </w:p>
        </w:tc>
        <w:tc>
          <w:tcPr>
            <w:tcW w:w="879"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(1.50)</w:t>
            </w:r>
          </w:p>
        </w:tc>
        <w:tc>
          <w:tcPr>
            <w:tcW w:w="641"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0.87</w:t>
            </w:r>
          </w:p>
        </w:tc>
        <w:tc>
          <w:tcPr>
            <w:tcW w:w="736"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(2.40)</w:t>
            </w:r>
          </w:p>
        </w:tc>
        <w:tc>
          <w:tcPr>
            <w:tcW w:w="641"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0.77</w:t>
            </w:r>
          </w:p>
        </w:tc>
        <w:tc>
          <w:tcPr>
            <w:tcW w:w="736"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(2.02)</w:t>
            </w:r>
          </w:p>
        </w:tc>
        <w:tc>
          <w:tcPr>
            <w:tcW w:w="236"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p>
        </w:tc>
        <w:tc>
          <w:tcPr>
            <w:tcW w:w="663"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0.86</w:t>
            </w:r>
          </w:p>
        </w:tc>
        <w:tc>
          <w:tcPr>
            <w:tcW w:w="736"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(1.86)</w:t>
            </w:r>
          </w:p>
        </w:tc>
      </w:tr>
      <w:tr w:rsidR="003B32A4" w:rsidRPr="00942766" w:rsidTr="00080173">
        <w:trPr>
          <w:trHeight w:val="300"/>
        </w:trPr>
        <w:tc>
          <w:tcPr>
            <w:tcW w:w="2127" w:type="dxa"/>
            <w:tcBorders>
              <w:top w:val="nil"/>
              <w:left w:val="nil"/>
              <w:bottom w:val="nil"/>
              <w:right w:val="single" w:sz="8" w:space="0" w:color="auto"/>
            </w:tcBorders>
            <w:shd w:val="clear" w:color="auto" w:fill="auto"/>
            <w:noWrap/>
            <w:vAlign w:val="center"/>
            <w:hideMark/>
          </w:tcPr>
          <w:p w:rsidR="00335472" w:rsidRPr="00942766" w:rsidRDefault="00335472" w:rsidP="002833D4">
            <w:pPr>
              <w:jc w:val="right"/>
              <w:rPr>
                <w:rFonts w:ascii="Calibri" w:eastAsia="Times New Roman" w:hAnsi="Calibri"/>
                <w:color w:val="000000"/>
                <w:sz w:val="18"/>
                <w:szCs w:val="18"/>
              </w:rPr>
            </w:pPr>
            <w:r w:rsidRPr="00942766">
              <w:rPr>
                <w:rFonts w:ascii="Calibri" w:eastAsia="Times New Roman" w:hAnsi="Calibri"/>
                <w:color w:val="000000"/>
                <w:sz w:val="18"/>
                <w:szCs w:val="18"/>
              </w:rPr>
              <w:t>Category 3 (Other)</w:t>
            </w:r>
          </w:p>
        </w:tc>
        <w:tc>
          <w:tcPr>
            <w:tcW w:w="641" w:type="dxa"/>
            <w:tcBorders>
              <w:top w:val="nil"/>
              <w:left w:val="single" w:sz="8" w:space="0" w:color="auto"/>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0.19</w:t>
            </w:r>
          </w:p>
        </w:tc>
        <w:tc>
          <w:tcPr>
            <w:tcW w:w="832"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(0.78)</w:t>
            </w:r>
          </w:p>
        </w:tc>
        <w:tc>
          <w:tcPr>
            <w:tcW w:w="673"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0.11</w:t>
            </w:r>
          </w:p>
        </w:tc>
        <w:tc>
          <w:tcPr>
            <w:tcW w:w="879"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(0.47)</w:t>
            </w:r>
          </w:p>
        </w:tc>
        <w:tc>
          <w:tcPr>
            <w:tcW w:w="641"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0.26</w:t>
            </w:r>
          </w:p>
        </w:tc>
        <w:tc>
          <w:tcPr>
            <w:tcW w:w="736"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(1.25)</w:t>
            </w:r>
          </w:p>
        </w:tc>
        <w:tc>
          <w:tcPr>
            <w:tcW w:w="641"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0.19</w:t>
            </w:r>
          </w:p>
        </w:tc>
        <w:tc>
          <w:tcPr>
            <w:tcW w:w="736"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(0.89)</w:t>
            </w:r>
          </w:p>
        </w:tc>
        <w:tc>
          <w:tcPr>
            <w:tcW w:w="236"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p>
        </w:tc>
        <w:tc>
          <w:tcPr>
            <w:tcW w:w="663"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0.22</w:t>
            </w:r>
          </w:p>
        </w:tc>
        <w:tc>
          <w:tcPr>
            <w:tcW w:w="736" w:type="dxa"/>
            <w:tcBorders>
              <w:top w:val="nil"/>
              <w:left w:val="nil"/>
              <w:bottom w:val="nil"/>
              <w:right w:val="nil"/>
            </w:tcBorders>
            <w:shd w:val="clear" w:color="auto" w:fill="auto"/>
            <w:noWrap/>
            <w:vAlign w:val="center"/>
            <w:hideMark/>
          </w:tcPr>
          <w:p w:rsidR="00335472" w:rsidRPr="00942766" w:rsidRDefault="00335472"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(0.79)</w:t>
            </w:r>
          </w:p>
        </w:tc>
      </w:tr>
      <w:tr w:rsidR="003B32A4" w:rsidRPr="00942766" w:rsidTr="00080173">
        <w:trPr>
          <w:trHeight w:val="300"/>
        </w:trPr>
        <w:tc>
          <w:tcPr>
            <w:tcW w:w="2127" w:type="dxa"/>
            <w:tcBorders>
              <w:top w:val="nil"/>
              <w:left w:val="nil"/>
              <w:bottom w:val="nil"/>
              <w:right w:val="single" w:sz="8" w:space="0" w:color="auto"/>
            </w:tcBorders>
            <w:shd w:val="clear" w:color="auto" w:fill="auto"/>
            <w:noWrap/>
          </w:tcPr>
          <w:p w:rsidR="00335472" w:rsidRPr="00942766" w:rsidRDefault="009E77AC" w:rsidP="00080173">
            <w:pPr>
              <w:rPr>
                <w:rFonts w:ascii="Calibri" w:eastAsia="Times New Roman" w:hAnsi="Calibri"/>
                <w:color w:val="000000"/>
                <w:sz w:val="18"/>
                <w:szCs w:val="18"/>
              </w:rPr>
            </w:pPr>
            <w:r w:rsidRPr="00942766">
              <w:rPr>
                <w:rFonts w:ascii="Calibri" w:eastAsia="Times New Roman" w:hAnsi="Calibri"/>
                <w:b/>
                <w:color w:val="000000"/>
                <w:sz w:val="18"/>
                <w:szCs w:val="18"/>
              </w:rPr>
              <w:t>Hospital inpatient admissions</w:t>
            </w:r>
            <w:r w:rsidR="0093425F" w:rsidRPr="00942766">
              <w:rPr>
                <w:rFonts w:ascii="Calibri" w:eastAsia="Times New Roman" w:hAnsi="Calibri"/>
                <w:b/>
                <w:color w:val="000000"/>
                <w:sz w:val="18"/>
                <w:szCs w:val="18"/>
              </w:rPr>
              <w:t>, days</w:t>
            </w:r>
            <w:r w:rsidRPr="00942766">
              <w:rPr>
                <w:rFonts w:ascii="Calibri" w:eastAsia="Times New Roman" w:hAnsi="Calibri"/>
                <w:b/>
                <w:color w:val="000000"/>
                <w:sz w:val="18"/>
                <w:szCs w:val="18"/>
              </w:rPr>
              <w:t xml:space="preserve">  </w:t>
            </w:r>
          </w:p>
        </w:tc>
        <w:tc>
          <w:tcPr>
            <w:tcW w:w="641" w:type="dxa"/>
            <w:tcBorders>
              <w:top w:val="nil"/>
              <w:left w:val="single" w:sz="8" w:space="0" w:color="auto"/>
              <w:bottom w:val="nil"/>
              <w:right w:val="nil"/>
            </w:tcBorders>
            <w:shd w:val="clear" w:color="auto" w:fill="auto"/>
            <w:noWrap/>
            <w:vAlign w:val="center"/>
          </w:tcPr>
          <w:p w:rsidR="00335472" w:rsidRPr="00942766" w:rsidRDefault="00335472" w:rsidP="00080173">
            <w:pPr>
              <w:jc w:val="center"/>
              <w:rPr>
                <w:rFonts w:ascii="Calibri" w:eastAsia="Times New Roman" w:hAnsi="Calibri"/>
                <w:color w:val="000000"/>
                <w:sz w:val="18"/>
                <w:szCs w:val="18"/>
              </w:rPr>
            </w:pPr>
          </w:p>
        </w:tc>
        <w:tc>
          <w:tcPr>
            <w:tcW w:w="832" w:type="dxa"/>
            <w:tcBorders>
              <w:top w:val="nil"/>
              <w:left w:val="nil"/>
              <w:bottom w:val="nil"/>
              <w:right w:val="nil"/>
            </w:tcBorders>
            <w:shd w:val="clear" w:color="auto" w:fill="auto"/>
            <w:noWrap/>
            <w:vAlign w:val="center"/>
          </w:tcPr>
          <w:p w:rsidR="00335472" w:rsidRPr="00942766" w:rsidRDefault="00335472" w:rsidP="00080173">
            <w:pPr>
              <w:jc w:val="center"/>
              <w:rPr>
                <w:rFonts w:ascii="Calibri" w:eastAsia="Times New Roman" w:hAnsi="Calibri"/>
                <w:color w:val="000000"/>
                <w:sz w:val="18"/>
                <w:szCs w:val="18"/>
              </w:rPr>
            </w:pPr>
          </w:p>
        </w:tc>
        <w:tc>
          <w:tcPr>
            <w:tcW w:w="673" w:type="dxa"/>
            <w:tcBorders>
              <w:top w:val="nil"/>
              <w:left w:val="nil"/>
              <w:bottom w:val="nil"/>
              <w:right w:val="nil"/>
            </w:tcBorders>
            <w:shd w:val="clear" w:color="auto" w:fill="auto"/>
            <w:noWrap/>
            <w:vAlign w:val="center"/>
          </w:tcPr>
          <w:p w:rsidR="00335472" w:rsidRPr="00942766" w:rsidRDefault="00335472" w:rsidP="00080173">
            <w:pPr>
              <w:jc w:val="center"/>
              <w:rPr>
                <w:rFonts w:ascii="Calibri" w:eastAsia="Times New Roman" w:hAnsi="Calibri"/>
                <w:color w:val="000000"/>
                <w:sz w:val="18"/>
                <w:szCs w:val="18"/>
              </w:rPr>
            </w:pPr>
          </w:p>
        </w:tc>
        <w:tc>
          <w:tcPr>
            <w:tcW w:w="879" w:type="dxa"/>
            <w:tcBorders>
              <w:top w:val="nil"/>
              <w:left w:val="nil"/>
              <w:bottom w:val="nil"/>
              <w:right w:val="nil"/>
            </w:tcBorders>
            <w:shd w:val="clear" w:color="auto" w:fill="auto"/>
            <w:noWrap/>
            <w:vAlign w:val="center"/>
          </w:tcPr>
          <w:p w:rsidR="00335472" w:rsidRPr="00942766" w:rsidRDefault="00335472" w:rsidP="00080173">
            <w:pPr>
              <w:jc w:val="center"/>
              <w:rPr>
                <w:rFonts w:ascii="Calibri" w:eastAsia="Times New Roman" w:hAnsi="Calibri"/>
                <w:color w:val="000000"/>
                <w:sz w:val="18"/>
                <w:szCs w:val="18"/>
              </w:rPr>
            </w:pPr>
          </w:p>
        </w:tc>
        <w:tc>
          <w:tcPr>
            <w:tcW w:w="641" w:type="dxa"/>
            <w:tcBorders>
              <w:top w:val="nil"/>
              <w:left w:val="nil"/>
              <w:bottom w:val="nil"/>
              <w:right w:val="nil"/>
            </w:tcBorders>
            <w:shd w:val="clear" w:color="auto" w:fill="auto"/>
            <w:noWrap/>
            <w:vAlign w:val="center"/>
          </w:tcPr>
          <w:p w:rsidR="00335472" w:rsidRPr="00942766" w:rsidRDefault="00335472" w:rsidP="00080173">
            <w:pPr>
              <w:jc w:val="center"/>
              <w:rPr>
                <w:rFonts w:ascii="Calibri" w:eastAsia="Times New Roman" w:hAnsi="Calibri"/>
                <w:color w:val="000000"/>
                <w:sz w:val="18"/>
                <w:szCs w:val="18"/>
              </w:rPr>
            </w:pPr>
          </w:p>
        </w:tc>
        <w:tc>
          <w:tcPr>
            <w:tcW w:w="736" w:type="dxa"/>
            <w:tcBorders>
              <w:top w:val="nil"/>
              <w:left w:val="nil"/>
              <w:bottom w:val="nil"/>
              <w:right w:val="nil"/>
            </w:tcBorders>
            <w:shd w:val="clear" w:color="auto" w:fill="auto"/>
            <w:noWrap/>
            <w:vAlign w:val="center"/>
          </w:tcPr>
          <w:p w:rsidR="00335472" w:rsidRPr="00942766" w:rsidRDefault="00335472" w:rsidP="00080173">
            <w:pPr>
              <w:jc w:val="center"/>
              <w:rPr>
                <w:rFonts w:ascii="Calibri" w:eastAsia="Times New Roman" w:hAnsi="Calibri"/>
                <w:color w:val="000000"/>
                <w:sz w:val="18"/>
                <w:szCs w:val="18"/>
              </w:rPr>
            </w:pPr>
          </w:p>
        </w:tc>
        <w:tc>
          <w:tcPr>
            <w:tcW w:w="641" w:type="dxa"/>
            <w:tcBorders>
              <w:top w:val="nil"/>
              <w:left w:val="nil"/>
              <w:bottom w:val="nil"/>
              <w:right w:val="nil"/>
            </w:tcBorders>
            <w:shd w:val="clear" w:color="auto" w:fill="auto"/>
            <w:noWrap/>
            <w:vAlign w:val="center"/>
          </w:tcPr>
          <w:p w:rsidR="00335472" w:rsidRPr="00942766" w:rsidRDefault="00335472" w:rsidP="00080173">
            <w:pPr>
              <w:jc w:val="center"/>
              <w:rPr>
                <w:rFonts w:ascii="Calibri" w:eastAsia="Times New Roman" w:hAnsi="Calibri"/>
                <w:color w:val="000000"/>
                <w:sz w:val="18"/>
                <w:szCs w:val="18"/>
              </w:rPr>
            </w:pPr>
          </w:p>
        </w:tc>
        <w:tc>
          <w:tcPr>
            <w:tcW w:w="736" w:type="dxa"/>
            <w:tcBorders>
              <w:top w:val="nil"/>
              <w:left w:val="nil"/>
              <w:bottom w:val="nil"/>
              <w:right w:val="nil"/>
            </w:tcBorders>
            <w:shd w:val="clear" w:color="auto" w:fill="auto"/>
            <w:noWrap/>
            <w:vAlign w:val="center"/>
          </w:tcPr>
          <w:p w:rsidR="00335472" w:rsidRPr="00942766" w:rsidRDefault="00335472" w:rsidP="00080173">
            <w:pPr>
              <w:jc w:val="center"/>
              <w:rPr>
                <w:rFonts w:ascii="Calibri" w:eastAsia="Times New Roman" w:hAnsi="Calibri"/>
                <w:color w:val="000000"/>
                <w:sz w:val="18"/>
                <w:szCs w:val="18"/>
              </w:rPr>
            </w:pPr>
          </w:p>
        </w:tc>
        <w:tc>
          <w:tcPr>
            <w:tcW w:w="236" w:type="dxa"/>
            <w:tcBorders>
              <w:top w:val="nil"/>
              <w:left w:val="nil"/>
              <w:bottom w:val="nil"/>
              <w:right w:val="nil"/>
            </w:tcBorders>
            <w:shd w:val="clear" w:color="auto" w:fill="auto"/>
            <w:noWrap/>
            <w:vAlign w:val="center"/>
          </w:tcPr>
          <w:p w:rsidR="00335472" w:rsidRPr="00942766" w:rsidRDefault="00335472" w:rsidP="00080173">
            <w:pPr>
              <w:jc w:val="center"/>
              <w:rPr>
                <w:rFonts w:ascii="Calibri" w:eastAsia="Times New Roman" w:hAnsi="Calibri"/>
                <w:color w:val="000000"/>
                <w:sz w:val="18"/>
                <w:szCs w:val="18"/>
              </w:rPr>
            </w:pPr>
          </w:p>
        </w:tc>
        <w:tc>
          <w:tcPr>
            <w:tcW w:w="663" w:type="dxa"/>
            <w:tcBorders>
              <w:top w:val="nil"/>
              <w:left w:val="nil"/>
              <w:bottom w:val="nil"/>
              <w:right w:val="nil"/>
            </w:tcBorders>
            <w:shd w:val="clear" w:color="auto" w:fill="auto"/>
            <w:noWrap/>
            <w:vAlign w:val="center"/>
          </w:tcPr>
          <w:p w:rsidR="00335472" w:rsidRPr="00942766" w:rsidRDefault="00335472" w:rsidP="00080173">
            <w:pPr>
              <w:jc w:val="center"/>
              <w:rPr>
                <w:rFonts w:ascii="Calibri" w:eastAsia="Times New Roman" w:hAnsi="Calibri"/>
                <w:color w:val="000000"/>
                <w:sz w:val="18"/>
                <w:szCs w:val="18"/>
              </w:rPr>
            </w:pPr>
          </w:p>
        </w:tc>
        <w:tc>
          <w:tcPr>
            <w:tcW w:w="736" w:type="dxa"/>
            <w:tcBorders>
              <w:top w:val="nil"/>
              <w:left w:val="nil"/>
              <w:bottom w:val="nil"/>
              <w:right w:val="nil"/>
            </w:tcBorders>
            <w:shd w:val="clear" w:color="auto" w:fill="auto"/>
            <w:noWrap/>
            <w:vAlign w:val="center"/>
          </w:tcPr>
          <w:p w:rsidR="00335472" w:rsidRPr="00942766" w:rsidRDefault="00335472" w:rsidP="00080173">
            <w:pPr>
              <w:jc w:val="center"/>
              <w:rPr>
                <w:rFonts w:ascii="Calibri" w:eastAsia="Times New Roman" w:hAnsi="Calibri"/>
                <w:color w:val="000000"/>
                <w:sz w:val="18"/>
                <w:szCs w:val="18"/>
              </w:rPr>
            </w:pPr>
          </w:p>
        </w:tc>
      </w:tr>
      <w:tr w:rsidR="009E77AC" w:rsidRPr="00942766" w:rsidTr="00080173">
        <w:trPr>
          <w:trHeight w:val="300"/>
        </w:trPr>
        <w:tc>
          <w:tcPr>
            <w:tcW w:w="2127" w:type="dxa"/>
            <w:tcBorders>
              <w:top w:val="nil"/>
              <w:left w:val="nil"/>
              <w:bottom w:val="nil"/>
              <w:right w:val="single" w:sz="8" w:space="0" w:color="auto"/>
            </w:tcBorders>
            <w:shd w:val="clear" w:color="auto" w:fill="auto"/>
            <w:noWrap/>
            <w:vAlign w:val="center"/>
            <w:hideMark/>
          </w:tcPr>
          <w:p w:rsidR="009E77AC" w:rsidRPr="00942766" w:rsidRDefault="009E77AC" w:rsidP="00080173">
            <w:pPr>
              <w:jc w:val="right"/>
              <w:rPr>
                <w:rFonts w:ascii="Calibri" w:eastAsia="Times New Roman" w:hAnsi="Calibri"/>
                <w:b/>
                <w:color w:val="000000"/>
                <w:sz w:val="18"/>
                <w:szCs w:val="18"/>
              </w:rPr>
            </w:pPr>
            <w:r w:rsidRPr="00942766">
              <w:rPr>
                <w:rFonts w:ascii="Calibri" w:eastAsia="Times New Roman" w:hAnsi="Calibri"/>
                <w:color w:val="000000"/>
                <w:sz w:val="18"/>
                <w:szCs w:val="18"/>
              </w:rPr>
              <w:t>Cochlear Implant</w:t>
            </w:r>
          </w:p>
        </w:tc>
        <w:tc>
          <w:tcPr>
            <w:tcW w:w="641" w:type="dxa"/>
            <w:tcBorders>
              <w:top w:val="nil"/>
              <w:left w:val="single" w:sz="8" w:space="0" w:color="auto"/>
              <w:bottom w:val="nil"/>
              <w:right w:val="nil"/>
            </w:tcBorders>
            <w:shd w:val="clear" w:color="auto" w:fill="auto"/>
            <w:noWrap/>
            <w:vAlign w:val="center"/>
            <w:hideMark/>
          </w:tcPr>
          <w:p w:rsidR="009E77AC" w:rsidRPr="00942766" w:rsidRDefault="009E77AC"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w:t>
            </w:r>
          </w:p>
        </w:tc>
        <w:tc>
          <w:tcPr>
            <w:tcW w:w="832" w:type="dxa"/>
            <w:tcBorders>
              <w:top w:val="nil"/>
              <w:left w:val="nil"/>
              <w:bottom w:val="nil"/>
              <w:right w:val="nil"/>
            </w:tcBorders>
            <w:shd w:val="clear" w:color="auto" w:fill="auto"/>
            <w:noWrap/>
            <w:vAlign w:val="center"/>
            <w:hideMark/>
          </w:tcPr>
          <w:p w:rsidR="009E77AC" w:rsidRPr="00942766" w:rsidRDefault="009E77AC" w:rsidP="00080173">
            <w:pPr>
              <w:jc w:val="center"/>
              <w:rPr>
                <w:rFonts w:eastAsia="Times New Roman"/>
                <w:sz w:val="18"/>
                <w:szCs w:val="18"/>
              </w:rPr>
            </w:pPr>
          </w:p>
        </w:tc>
        <w:tc>
          <w:tcPr>
            <w:tcW w:w="673" w:type="dxa"/>
            <w:tcBorders>
              <w:top w:val="nil"/>
              <w:left w:val="nil"/>
              <w:bottom w:val="nil"/>
              <w:right w:val="nil"/>
            </w:tcBorders>
            <w:shd w:val="clear" w:color="auto" w:fill="auto"/>
            <w:noWrap/>
            <w:vAlign w:val="center"/>
            <w:hideMark/>
          </w:tcPr>
          <w:p w:rsidR="009E77AC" w:rsidRPr="00942766" w:rsidRDefault="009E77AC" w:rsidP="00080173">
            <w:pPr>
              <w:jc w:val="center"/>
              <w:rPr>
                <w:rFonts w:eastAsia="Times New Roman"/>
                <w:sz w:val="18"/>
                <w:szCs w:val="18"/>
              </w:rPr>
            </w:pPr>
            <w:r w:rsidRPr="00942766">
              <w:rPr>
                <w:rFonts w:ascii="Calibri" w:eastAsia="Times New Roman" w:hAnsi="Calibri"/>
                <w:color w:val="000000"/>
                <w:sz w:val="18"/>
                <w:szCs w:val="18"/>
              </w:rPr>
              <w:t>-</w:t>
            </w:r>
          </w:p>
        </w:tc>
        <w:tc>
          <w:tcPr>
            <w:tcW w:w="879" w:type="dxa"/>
            <w:tcBorders>
              <w:top w:val="nil"/>
              <w:left w:val="nil"/>
              <w:bottom w:val="nil"/>
              <w:right w:val="nil"/>
            </w:tcBorders>
            <w:shd w:val="clear" w:color="auto" w:fill="auto"/>
            <w:noWrap/>
            <w:vAlign w:val="center"/>
            <w:hideMark/>
          </w:tcPr>
          <w:p w:rsidR="009E77AC" w:rsidRPr="00942766" w:rsidRDefault="009E77AC" w:rsidP="00080173">
            <w:pPr>
              <w:jc w:val="center"/>
              <w:rPr>
                <w:rFonts w:eastAsia="Times New Roman"/>
                <w:sz w:val="18"/>
                <w:szCs w:val="18"/>
              </w:rPr>
            </w:pPr>
          </w:p>
        </w:tc>
        <w:tc>
          <w:tcPr>
            <w:tcW w:w="641" w:type="dxa"/>
            <w:tcBorders>
              <w:top w:val="nil"/>
              <w:left w:val="nil"/>
              <w:bottom w:val="nil"/>
              <w:right w:val="nil"/>
            </w:tcBorders>
            <w:shd w:val="clear" w:color="auto" w:fill="auto"/>
            <w:noWrap/>
            <w:vAlign w:val="center"/>
            <w:hideMark/>
          </w:tcPr>
          <w:p w:rsidR="009E77AC" w:rsidRPr="00942766" w:rsidRDefault="009E77AC" w:rsidP="00080173">
            <w:pPr>
              <w:jc w:val="center"/>
              <w:rPr>
                <w:rFonts w:eastAsia="Times New Roman"/>
                <w:sz w:val="18"/>
                <w:szCs w:val="18"/>
              </w:rPr>
            </w:pPr>
            <w:r w:rsidRPr="00942766">
              <w:rPr>
                <w:rFonts w:ascii="Calibri" w:eastAsia="Times New Roman" w:hAnsi="Calibri"/>
                <w:color w:val="000000"/>
                <w:sz w:val="18"/>
                <w:szCs w:val="18"/>
              </w:rPr>
              <w:t>0.17</w:t>
            </w:r>
          </w:p>
        </w:tc>
        <w:tc>
          <w:tcPr>
            <w:tcW w:w="736" w:type="dxa"/>
            <w:tcBorders>
              <w:top w:val="nil"/>
              <w:left w:val="nil"/>
              <w:bottom w:val="nil"/>
              <w:right w:val="nil"/>
            </w:tcBorders>
            <w:shd w:val="clear" w:color="auto" w:fill="auto"/>
            <w:noWrap/>
            <w:vAlign w:val="center"/>
            <w:hideMark/>
          </w:tcPr>
          <w:p w:rsidR="009E77AC" w:rsidRPr="00942766" w:rsidRDefault="009E77AC" w:rsidP="00080173">
            <w:pPr>
              <w:jc w:val="center"/>
              <w:rPr>
                <w:rFonts w:eastAsia="Times New Roman"/>
                <w:sz w:val="18"/>
                <w:szCs w:val="18"/>
              </w:rPr>
            </w:pPr>
            <w:r w:rsidRPr="00942766">
              <w:rPr>
                <w:rFonts w:ascii="Calibri" w:eastAsia="Times New Roman" w:hAnsi="Calibri"/>
                <w:color w:val="000000"/>
                <w:sz w:val="18"/>
                <w:szCs w:val="18"/>
              </w:rPr>
              <w:t>(0.39)</w:t>
            </w:r>
          </w:p>
        </w:tc>
        <w:tc>
          <w:tcPr>
            <w:tcW w:w="641" w:type="dxa"/>
            <w:tcBorders>
              <w:top w:val="nil"/>
              <w:left w:val="nil"/>
              <w:bottom w:val="nil"/>
              <w:right w:val="nil"/>
            </w:tcBorders>
            <w:shd w:val="clear" w:color="auto" w:fill="auto"/>
            <w:noWrap/>
            <w:vAlign w:val="center"/>
            <w:hideMark/>
          </w:tcPr>
          <w:p w:rsidR="009E77AC" w:rsidRPr="00942766" w:rsidRDefault="009E77AC" w:rsidP="00080173">
            <w:pPr>
              <w:jc w:val="center"/>
              <w:rPr>
                <w:rFonts w:eastAsia="Times New Roman"/>
                <w:sz w:val="18"/>
                <w:szCs w:val="18"/>
              </w:rPr>
            </w:pPr>
            <w:r w:rsidRPr="00942766">
              <w:rPr>
                <w:rFonts w:ascii="Calibri" w:eastAsia="Times New Roman" w:hAnsi="Calibri"/>
                <w:color w:val="000000"/>
                <w:sz w:val="18"/>
                <w:szCs w:val="18"/>
              </w:rPr>
              <w:t>0.05</w:t>
            </w:r>
          </w:p>
        </w:tc>
        <w:tc>
          <w:tcPr>
            <w:tcW w:w="736" w:type="dxa"/>
            <w:tcBorders>
              <w:top w:val="nil"/>
              <w:left w:val="nil"/>
              <w:bottom w:val="nil"/>
              <w:right w:val="nil"/>
            </w:tcBorders>
            <w:shd w:val="clear" w:color="auto" w:fill="auto"/>
            <w:noWrap/>
            <w:vAlign w:val="center"/>
            <w:hideMark/>
          </w:tcPr>
          <w:p w:rsidR="009E77AC" w:rsidRPr="00942766" w:rsidRDefault="009E77AC" w:rsidP="00080173">
            <w:pPr>
              <w:jc w:val="center"/>
              <w:rPr>
                <w:rFonts w:eastAsia="Times New Roman"/>
                <w:sz w:val="18"/>
                <w:szCs w:val="18"/>
              </w:rPr>
            </w:pPr>
            <w:r w:rsidRPr="00942766">
              <w:rPr>
                <w:rFonts w:ascii="Calibri" w:eastAsia="Times New Roman" w:hAnsi="Calibri"/>
                <w:color w:val="000000"/>
                <w:sz w:val="18"/>
                <w:szCs w:val="18"/>
              </w:rPr>
              <w:t>(0.23)</w:t>
            </w:r>
          </w:p>
        </w:tc>
        <w:tc>
          <w:tcPr>
            <w:tcW w:w="236" w:type="dxa"/>
            <w:tcBorders>
              <w:top w:val="nil"/>
              <w:left w:val="nil"/>
              <w:bottom w:val="nil"/>
              <w:right w:val="nil"/>
            </w:tcBorders>
            <w:shd w:val="clear" w:color="auto" w:fill="auto"/>
            <w:noWrap/>
            <w:vAlign w:val="center"/>
            <w:hideMark/>
          </w:tcPr>
          <w:p w:rsidR="009E77AC" w:rsidRPr="00942766" w:rsidRDefault="009E77AC" w:rsidP="00080173">
            <w:pPr>
              <w:jc w:val="center"/>
              <w:rPr>
                <w:rFonts w:eastAsia="Times New Roman"/>
                <w:sz w:val="18"/>
                <w:szCs w:val="18"/>
              </w:rPr>
            </w:pPr>
          </w:p>
        </w:tc>
        <w:tc>
          <w:tcPr>
            <w:tcW w:w="663" w:type="dxa"/>
            <w:tcBorders>
              <w:top w:val="nil"/>
              <w:left w:val="nil"/>
              <w:bottom w:val="nil"/>
              <w:right w:val="nil"/>
            </w:tcBorders>
            <w:shd w:val="clear" w:color="auto" w:fill="auto"/>
            <w:noWrap/>
            <w:vAlign w:val="center"/>
            <w:hideMark/>
          </w:tcPr>
          <w:p w:rsidR="009E77AC" w:rsidRPr="00942766" w:rsidRDefault="009E77AC" w:rsidP="00080173">
            <w:pPr>
              <w:jc w:val="center"/>
              <w:rPr>
                <w:rFonts w:eastAsia="Times New Roman"/>
                <w:sz w:val="18"/>
                <w:szCs w:val="18"/>
              </w:rPr>
            </w:pPr>
            <w:r w:rsidRPr="00942766">
              <w:rPr>
                <w:rFonts w:ascii="Calibri" w:eastAsia="Times New Roman" w:hAnsi="Calibri"/>
                <w:color w:val="000000"/>
                <w:sz w:val="18"/>
                <w:szCs w:val="18"/>
              </w:rPr>
              <w:t>-</w:t>
            </w:r>
          </w:p>
        </w:tc>
        <w:tc>
          <w:tcPr>
            <w:tcW w:w="736" w:type="dxa"/>
            <w:tcBorders>
              <w:top w:val="nil"/>
              <w:left w:val="nil"/>
              <w:bottom w:val="nil"/>
              <w:right w:val="nil"/>
            </w:tcBorders>
            <w:shd w:val="clear" w:color="auto" w:fill="auto"/>
            <w:noWrap/>
            <w:vAlign w:val="center"/>
            <w:hideMark/>
          </w:tcPr>
          <w:p w:rsidR="009E77AC" w:rsidRPr="00942766" w:rsidRDefault="009E77AC" w:rsidP="00080173">
            <w:pPr>
              <w:jc w:val="center"/>
              <w:rPr>
                <w:rFonts w:eastAsia="Times New Roman"/>
                <w:sz w:val="18"/>
                <w:szCs w:val="18"/>
              </w:rPr>
            </w:pPr>
          </w:p>
        </w:tc>
      </w:tr>
      <w:tr w:rsidR="009E77AC" w:rsidRPr="00942766" w:rsidTr="00080173">
        <w:trPr>
          <w:trHeight w:val="300"/>
        </w:trPr>
        <w:tc>
          <w:tcPr>
            <w:tcW w:w="2127" w:type="dxa"/>
            <w:tcBorders>
              <w:top w:val="nil"/>
              <w:left w:val="nil"/>
              <w:bottom w:val="nil"/>
              <w:right w:val="single" w:sz="8" w:space="0" w:color="auto"/>
            </w:tcBorders>
            <w:shd w:val="clear" w:color="auto" w:fill="auto"/>
            <w:noWrap/>
            <w:vAlign w:val="center"/>
            <w:hideMark/>
          </w:tcPr>
          <w:p w:rsidR="009E77AC" w:rsidRPr="00942766" w:rsidRDefault="0093425F" w:rsidP="002833D4">
            <w:pPr>
              <w:jc w:val="right"/>
              <w:rPr>
                <w:rFonts w:ascii="Calibri" w:eastAsia="Times New Roman" w:hAnsi="Calibri"/>
                <w:color w:val="000000"/>
                <w:sz w:val="18"/>
                <w:szCs w:val="18"/>
              </w:rPr>
            </w:pPr>
            <w:r w:rsidRPr="00942766">
              <w:rPr>
                <w:rFonts w:ascii="Calibri" w:eastAsia="Times New Roman" w:hAnsi="Calibri"/>
                <w:color w:val="000000"/>
                <w:sz w:val="18"/>
                <w:szCs w:val="18"/>
              </w:rPr>
              <w:t xml:space="preserve">Total </w:t>
            </w:r>
            <w:r w:rsidR="009E77AC" w:rsidRPr="00942766">
              <w:rPr>
                <w:rFonts w:ascii="Calibri" w:eastAsia="Times New Roman" w:hAnsi="Calibri"/>
                <w:color w:val="000000"/>
                <w:sz w:val="18"/>
                <w:szCs w:val="18"/>
              </w:rPr>
              <w:t xml:space="preserve">days </w:t>
            </w:r>
          </w:p>
        </w:tc>
        <w:tc>
          <w:tcPr>
            <w:tcW w:w="641" w:type="dxa"/>
            <w:tcBorders>
              <w:top w:val="nil"/>
              <w:left w:val="single" w:sz="8" w:space="0" w:color="auto"/>
              <w:bottom w:val="nil"/>
              <w:right w:val="nil"/>
            </w:tcBorders>
            <w:shd w:val="clear" w:color="auto" w:fill="auto"/>
            <w:noWrap/>
            <w:vAlign w:val="center"/>
            <w:hideMark/>
          </w:tcPr>
          <w:p w:rsidR="009E77AC" w:rsidRPr="00942766" w:rsidRDefault="009E77AC"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0.22</w:t>
            </w:r>
          </w:p>
        </w:tc>
        <w:tc>
          <w:tcPr>
            <w:tcW w:w="832" w:type="dxa"/>
            <w:tcBorders>
              <w:top w:val="nil"/>
              <w:left w:val="nil"/>
              <w:bottom w:val="nil"/>
              <w:right w:val="nil"/>
            </w:tcBorders>
            <w:shd w:val="clear" w:color="auto" w:fill="auto"/>
            <w:noWrap/>
            <w:vAlign w:val="center"/>
            <w:hideMark/>
          </w:tcPr>
          <w:p w:rsidR="009E77AC" w:rsidRPr="00942766" w:rsidRDefault="009E77AC"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(0.94)</w:t>
            </w:r>
          </w:p>
        </w:tc>
        <w:tc>
          <w:tcPr>
            <w:tcW w:w="673" w:type="dxa"/>
            <w:tcBorders>
              <w:top w:val="nil"/>
              <w:left w:val="nil"/>
              <w:bottom w:val="nil"/>
              <w:right w:val="nil"/>
            </w:tcBorders>
            <w:shd w:val="clear" w:color="auto" w:fill="auto"/>
            <w:noWrap/>
            <w:vAlign w:val="center"/>
            <w:hideMark/>
          </w:tcPr>
          <w:p w:rsidR="009E77AC" w:rsidRPr="00942766" w:rsidRDefault="009E77AC"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w:t>
            </w:r>
          </w:p>
        </w:tc>
        <w:tc>
          <w:tcPr>
            <w:tcW w:w="879" w:type="dxa"/>
            <w:tcBorders>
              <w:top w:val="nil"/>
              <w:left w:val="nil"/>
              <w:bottom w:val="nil"/>
              <w:right w:val="nil"/>
            </w:tcBorders>
            <w:shd w:val="clear" w:color="auto" w:fill="auto"/>
            <w:noWrap/>
            <w:vAlign w:val="center"/>
            <w:hideMark/>
          </w:tcPr>
          <w:p w:rsidR="009E77AC" w:rsidRPr="00942766" w:rsidRDefault="009E77AC" w:rsidP="00080173">
            <w:pPr>
              <w:jc w:val="center"/>
              <w:rPr>
                <w:rFonts w:ascii="Calibri" w:eastAsia="Times New Roman" w:hAnsi="Calibri"/>
                <w:color w:val="000000"/>
                <w:sz w:val="18"/>
                <w:szCs w:val="18"/>
              </w:rPr>
            </w:pPr>
          </w:p>
        </w:tc>
        <w:tc>
          <w:tcPr>
            <w:tcW w:w="641" w:type="dxa"/>
            <w:tcBorders>
              <w:top w:val="nil"/>
              <w:left w:val="nil"/>
              <w:bottom w:val="nil"/>
              <w:right w:val="nil"/>
            </w:tcBorders>
            <w:shd w:val="clear" w:color="auto" w:fill="auto"/>
            <w:noWrap/>
            <w:vAlign w:val="center"/>
            <w:hideMark/>
          </w:tcPr>
          <w:p w:rsidR="009E77AC" w:rsidRPr="00942766" w:rsidRDefault="009E77AC"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0.17</w:t>
            </w:r>
          </w:p>
        </w:tc>
        <w:tc>
          <w:tcPr>
            <w:tcW w:w="736" w:type="dxa"/>
            <w:tcBorders>
              <w:top w:val="nil"/>
              <w:left w:val="nil"/>
              <w:bottom w:val="nil"/>
              <w:right w:val="nil"/>
            </w:tcBorders>
            <w:shd w:val="clear" w:color="auto" w:fill="auto"/>
            <w:noWrap/>
            <w:vAlign w:val="center"/>
            <w:hideMark/>
          </w:tcPr>
          <w:p w:rsidR="009E77AC" w:rsidRPr="00942766" w:rsidRDefault="009E77AC"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(0.49)</w:t>
            </w:r>
          </w:p>
        </w:tc>
        <w:tc>
          <w:tcPr>
            <w:tcW w:w="641" w:type="dxa"/>
            <w:tcBorders>
              <w:top w:val="nil"/>
              <w:left w:val="nil"/>
              <w:bottom w:val="nil"/>
              <w:right w:val="nil"/>
            </w:tcBorders>
            <w:shd w:val="clear" w:color="auto" w:fill="auto"/>
            <w:noWrap/>
            <w:vAlign w:val="center"/>
            <w:hideMark/>
          </w:tcPr>
          <w:p w:rsidR="009E77AC" w:rsidRPr="00942766" w:rsidRDefault="009E77AC"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0.15</w:t>
            </w:r>
          </w:p>
        </w:tc>
        <w:tc>
          <w:tcPr>
            <w:tcW w:w="736" w:type="dxa"/>
            <w:tcBorders>
              <w:top w:val="nil"/>
              <w:left w:val="nil"/>
              <w:bottom w:val="nil"/>
              <w:right w:val="nil"/>
            </w:tcBorders>
            <w:shd w:val="clear" w:color="auto" w:fill="auto"/>
            <w:noWrap/>
            <w:vAlign w:val="center"/>
            <w:hideMark/>
          </w:tcPr>
          <w:p w:rsidR="009E77AC" w:rsidRPr="00942766" w:rsidRDefault="009E77AC"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(0.68)</w:t>
            </w:r>
          </w:p>
        </w:tc>
        <w:tc>
          <w:tcPr>
            <w:tcW w:w="236" w:type="dxa"/>
            <w:tcBorders>
              <w:top w:val="nil"/>
              <w:left w:val="nil"/>
              <w:bottom w:val="nil"/>
              <w:right w:val="nil"/>
            </w:tcBorders>
            <w:shd w:val="clear" w:color="auto" w:fill="auto"/>
            <w:noWrap/>
            <w:vAlign w:val="center"/>
            <w:hideMark/>
          </w:tcPr>
          <w:p w:rsidR="009E77AC" w:rsidRPr="00942766" w:rsidRDefault="009E77AC" w:rsidP="00080173">
            <w:pPr>
              <w:jc w:val="center"/>
              <w:rPr>
                <w:rFonts w:ascii="Calibri" w:eastAsia="Times New Roman" w:hAnsi="Calibri"/>
                <w:color w:val="000000"/>
                <w:sz w:val="18"/>
                <w:szCs w:val="18"/>
              </w:rPr>
            </w:pPr>
          </w:p>
        </w:tc>
        <w:tc>
          <w:tcPr>
            <w:tcW w:w="663" w:type="dxa"/>
            <w:tcBorders>
              <w:top w:val="nil"/>
              <w:left w:val="nil"/>
              <w:bottom w:val="nil"/>
              <w:right w:val="nil"/>
            </w:tcBorders>
            <w:shd w:val="clear" w:color="auto" w:fill="auto"/>
            <w:noWrap/>
            <w:vAlign w:val="center"/>
            <w:hideMark/>
          </w:tcPr>
          <w:p w:rsidR="009E77AC" w:rsidRPr="00942766" w:rsidRDefault="009E77AC"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w:t>
            </w:r>
          </w:p>
        </w:tc>
        <w:tc>
          <w:tcPr>
            <w:tcW w:w="736" w:type="dxa"/>
            <w:tcBorders>
              <w:top w:val="nil"/>
              <w:left w:val="nil"/>
              <w:bottom w:val="nil"/>
              <w:right w:val="nil"/>
            </w:tcBorders>
            <w:shd w:val="clear" w:color="auto" w:fill="auto"/>
            <w:noWrap/>
            <w:vAlign w:val="center"/>
            <w:hideMark/>
          </w:tcPr>
          <w:p w:rsidR="009E77AC" w:rsidRPr="00942766" w:rsidRDefault="009E77AC" w:rsidP="00080173">
            <w:pPr>
              <w:jc w:val="center"/>
              <w:rPr>
                <w:rFonts w:ascii="Calibri" w:eastAsia="Times New Roman" w:hAnsi="Calibri"/>
                <w:color w:val="000000"/>
                <w:sz w:val="18"/>
                <w:szCs w:val="18"/>
              </w:rPr>
            </w:pPr>
          </w:p>
        </w:tc>
      </w:tr>
      <w:tr w:rsidR="009E77AC" w:rsidRPr="00942766" w:rsidTr="00080173">
        <w:trPr>
          <w:trHeight w:val="300"/>
        </w:trPr>
        <w:tc>
          <w:tcPr>
            <w:tcW w:w="2127" w:type="dxa"/>
            <w:tcBorders>
              <w:top w:val="nil"/>
              <w:left w:val="nil"/>
              <w:bottom w:val="nil"/>
              <w:right w:val="single" w:sz="8" w:space="0" w:color="auto"/>
            </w:tcBorders>
            <w:shd w:val="clear" w:color="auto" w:fill="auto"/>
            <w:noWrap/>
            <w:hideMark/>
          </w:tcPr>
          <w:p w:rsidR="009E77AC" w:rsidRPr="00942766" w:rsidRDefault="009E77AC" w:rsidP="002833D4">
            <w:pPr>
              <w:rPr>
                <w:rFonts w:ascii="Calibri" w:eastAsia="Times New Roman" w:hAnsi="Calibri"/>
                <w:b/>
                <w:color w:val="000000"/>
                <w:sz w:val="18"/>
                <w:szCs w:val="18"/>
              </w:rPr>
            </w:pPr>
            <w:r w:rsidRPr="00942766">
              <w:rPr>
                <w:rFonts w:ascii="Calibri" w:eastAsia="Times New Roman" w:hAnsi="Calibri"/>
                <w:b/>
                <w:color w:val="000000"/>
                <w:sz w:val="18"/>
                <w:szCs w:val="18"/>
              </w:rPr>
              <w:t xml:space="preserve">Education, </w:t>
            </w:r>
          </w:p>
          <w:p w:rsidR="009E77AC" w:rsidRPr="00942766" w:rsidRDefault="009E77AC" w:rsidP="002833D4">
            <w:pPr>
              <w:rPr>
                <w:rFonts w:ascii="Calibri" w:eastAsia="Times New Roman" w:hAnsi="Calibri"/>
                <w:b/>
                <w:color w:val="000000"/>
                <w:sz w:val="18"/>
                <w:szCs w:val="18"/>
              </w:rPr>
            </w:pPr>
            <w:r w:rsidRPr="00942766">
              <w:rPr>
                <w:rFonts w:ascii="Calibri" w:eastAsia="Times New Roman" w:hAnsi="Calibri"/>
                <w:color w:val="000000"/>
                <w:sz w:val="18"/>
                <w:szCs w:val="18"/>
              </w:rPr>
              <w:t xml:space="preserve">No of children attending… </w:t>
            </w:r>
          </w:p>
        </w:tc>
        <w:tc>
          <w:tcPr>
            <w:tcW w:w="641" w:type="dxa"/>
            <w:tcBorders>
              <w:top w:val="nil"/>
              <w:left w:val="single" w:sz="8" w:space="0" w:color="auto"/>
              <w:bottom w:val="nil"/>
              <w:right w:val="nil"/>
            </w:tcBorders>
            <w:shd w:val="clear" w:color="auto" w:fill="auto"/>
            <w:noWrap/>
            <w:vAlign w:val="center"/>
            <w:hideMark/>
          </w:tcPr>
          <w:p w:rsidR="009E77AC" w:rsidRPr="00942766" w:rsidRDefault="009E77AC"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n</w:t>
            </w:r>
          </w:p>
        </w:tc>
        <w:tc>
          <w:tcPr>
            <w:tcW w:w="832" w:type="dxa"/>
            <w:tcBorders>
              <w:top w:val="nil"/>
              <w:left w:val="nil"/>
              <w:bottom w:val="nil"/>
              <w:right w:val="nil"/>
            </w:tcBorders>
            <w:shd w:val="clear" w:color="auto" w:fill="auto"/>
            <w:noWrap/>
            <w:vAlign w:val="center"/>
            <w:hideMark/>
          </w:tcPr>
          <w:p w:rsidR="009E77AC" w:rsidRPr="00942766" w:rsidRDefault="009E77AC" w:rsidP="00080173">
            <w:pPr>
              <w:jc w:val="center"/>
              <w:rPr>
                <w:rFonts w:eastAsia="Times New Roman"/>
                <w:sz w:val="18"/>
                <w:szCs w:val="18"/>
              </w:rPr>
            </w:pPr>
            <w:r w:rsidRPr="00942766">
              <w:rPr>
                <w:rFonts w:eastAsia="Times New Roman"/>
                <w:sz w:val="18"/>
                <w:szCs w:val="18"/>
              </w:rPr>
              <w:t>(%)</w:t>
            </w:r>
          </w:p>
        </w:tc>
        <w:tc>
          <w:tcPr>
            <w:tcW w:w="673" w:type="dxa"/>
            <w:tcBorders>
              <w:top w:val="nil"/>
              <w:left w:val="nil"/>
              <w:bottom w:val="nil"/>
              <w:right w:val="nil"/>
            </w:tcBorders>
            <w:shd w:val="clear" w:color="auto" w:fill="auto"/>
            <w:noWrap/>
            <w:vAlign w:val="center"/>
            <w:hideMark/>
          </w:tcPr>
          <w:p w:rsidR="009E77AC" w:rsidRPr="00942766" w:rsidRDefault="009E77AC" w:rsidP="00080173">
            <w:pPr>
              <w:jc w:val="center"/>
              <w:rPr>
                <w:rFonts w:eastAsia="Times New Roman"/>
                <w:sz w:val="18"/>
                <w:szCs w:val="18"/>
              </w:rPr>
            </w:pPr>
            <w:r w:rsidRPr="00942766">
              <w:rPr>
                <w:rFonts w:ascii="Calibri" w:eastAsia="Times New Roman" w:hAnsi="Calibri"/>
                <w:color w:val="000000"/>
                <w:sz w:val="18"/>
                <w:szCs w:val="18"/>
              </w:rPr>
              <w:t>n</w:t>
            </w:r>
          </w:p>
        </w:tc>
        <w:tc>
          <w:tcPr>
            <w:tcW w:w="879" w:type="dxa"/>
            <w:tcBorders>
              <w:top w:val="nil"/>
              <w:left w:val="nil"/>
              <w:bottom w:val="nil"/>
              <w:right w:val="nil"/>
            </w:tcBorders>
            <w:shd w:val="clear" w:color="auto" w:fill="auto"/>
            <w:noWrap/>
            <w:vAlign w:val="center"/>
            <w:hideMark/>
          </w:tcPr>
          <w:p w:rsidR="009E77AC" w:rsidRPr="00942766" w:rsidRDefault="009E77AC" w:rsidP="00080173">
            <w:pPr>
              <w:jc w:val="center"/>
              <w:rPr>
                <w:rFonts w:eastAsia="Times New Roman"/>
                <w:sz w:val="18"/>
                <w:szCs w:val="18"/>
              </w:rPr>
            </w:pPr>
            <w:r w:rsidRPr="00942766">
              <w:rPr>
                <w:rFonts w:eastAsia="Times New Roman"/>
                <w:sz w:val="18"/>
                <w:szCs w:val="18"/>
              </w:rPr>
              <w:t>(%)</w:t>
            </w:r>
          </w:p>
        </w:tc>
        <w:tc>
          <w:tcPr>
            <w:tcW w:w="641" w:type="dxa"/>
            <w:tcBorders>
              <w:top w:val="nil"/>
              <w:left w:val="nil"/>
              <w:bottom w:val="nil"/>
              <w:right w:val="nil"/>
            </w:tcBorders>
            <w:shd w:val="clear" w:color="auto" w:fill="auto"/>
            <w:noWrap/>
            <w:vAlign w:val="center"/>
            <w:hideMark/>
          </w:tcPr>
          <w:p w:rsidR="009E77AC" w:rsidRPr="00942766" w:rsidRDefault="009E77AC" w:rsidP="00080173">
            <w:pPr>
              <w:jc w:val="center"/>
              <w:rPr>
                <w:rFonts w:eastAsia="Times New Roman"/>
                <w:sz w:val="18"/>
                <w:szCs w:val="18"/>
              </w:rPr>
            </w:pPr>
            <w:r w:rsidRPr="00942766">
              <w:rPr>
                <w:rFonts w:ascii="Calibri" w:eastAsia="Times New Roman" w:hAnsi="Calibri"/>
                <w:color w:val="000000"/>
                <w:sz w:val="18"/>
                <w:szCs w:val="18"/>
              </w:rPr>
              <w:t>n</w:t>
            </w:r>
          </w:p>
        </w:tc>
        <w:tc>
          <w:tcPr>
            <w:tcW w:w="736" w:type="dxa"/>
            <w:tcBorders>
              <w:top w:val="nil"/>
              <w:left w:val="nil"/>
              <w:bottom w:val="nil"/>
              <w:right w:val="nil"/>
            </w:tcBorders>
            <w:shd w:val="clear" w:color="auto" w:fill="auto"/>
            <w:noWrap/>
            <w:vAlign w:val="center"/>
            <w:hideMark/>
          </w:tcPr>
          <w:p w:rsidR="009E77AC" w:rsidRPr="00942766" w:rsidRDefault="009E77AC" w:rsidP="00080173">
            <w:pPr>
              <w:jc w:val="center"/>
              <w:rPr>
                <w:rFonts w:eastAsia="Times New Roman"/>
                <w:sz w:val="18"/>
                <w:szCs w:val="18"/>
              </w:rPr>
            </w:pPr>
            <w:r w:rsidRPr="00942766">
              <w:rPr>
                <w:rFonts w:eastAsia="Times New Roman"/>
                <w:sz w:val="18"/>
                <w:szCs w:val="18"/>
              </w:rPr>
              <w:t>(%)</w:t>
            </w:r>
          </w:p>
        </w:tc>
        <w:tc>
          <w:tcPr>
            <w:tcW w:w="641" w:type="dxa"/>
            <w:tcBorders>
              <w:top w:val="nil"/>
              <w:left w:val="nil"/>
              <w:bottom w:val="nil"/>
              <w:right w:val="nil"/>
            </w:tcBorders>
            <w:shd w:val="clear" w:color="auto" w:fill="auto"/>
            <w:noWrap/>
            <w:vAlign w:val="center"/>
            <w:hideMark/>
          </w:tcPr>
          <w:p w:rsidR="009E77AC" w:rsidRPr="00942766" w:rsidRDefault="009E77AC" w:rsidP="00080173">
            <w:pPr>
              <w:jc w:val="center"/>
              <w:rPr>
                <w:rFonts w:eastAsia="Times New Roman"/>
                <w:sz w:val="18"/>
                <w:szCs w:val="18"/>
              </w:rPr>
            </w:pPr>
            <w:r w:rsidRPr="00942766">
              <w:rPr>
                <w:rFonts w:ascii="Calibri" w:eastAsia="Times New Roman" w:hAnsi="Calibri"/>
                <w:color w:val="000000"/>
                <w:sz w:val="18"/>
                <w:szCs w:val="18"/>
              </w:rPr>
              <w:t>n</w:t>
            </w:r>
          </w:p>
        </w:tc>
        <w:tc>
          <w:tcPr>
            <w:tcW w:w="736" w:type="dxa"/>
            <w:tcBorders>
              <w:top w:val="nil"/>
              <w:left w:val="nil"/>
              <w:bottom w:val="nil"/>
              <w:right w:val="nil"/>
            </w:tcBorders>
            <w:shd w:val="clear" w:color="auto" w:fill="auto"/>
            <w:noWrap/>
            <w:vAlign w:val="center"/>
            <w:hideMark/>
          </w:tcPr>
          <w:p w:rsidR="009E77AC" w:rsidRPr="00942766" w:rsidRDefault="009E77AC" w:rsidP="00080173">
            <w:pPr>
              <w:jc w:val="center"/>
              <w:rPr>
                <w:rFonts w:eastAsia="Times New Roman"/>
                <w:sz w:val="18"/>
                <w:szCs w:val="18"/>
              </w:rPr>
            </w:pPr>
            <w:r w:rsidRPr="00942766">
              <w:rPr>
                <w:rFonts w:eastAsia="Times New Roman"/>
                <w:sz w:val="18"/>
                <w:szCs w:val="18"/>
              </w:rPr>
              <w:t>(%)</w:t>
            </w:r>
          </w:p>
        </w:tc>
        <w:tc>
          <w:tcPr>
            <w:tcW w:w="236" w:type="dxa"/>
            <w:tcBorders>
              <w:top w:val="nil"/>
              <w:left w:val="nil"/>
              <w:bottom w:val="nil"/>
              <w:right w:val="nil"/>
            </w:tcBorders>
            <w:shd w:val="clear" w:color="auto" w:fill="auto"/>
            <w:noWrap/>
            <w:vAlign w:val="center"/>
            <w:hideMark/>
          </w:tcPr>
          <w:p w:rsidR="009E77AC" w:rsidRPr="00942766" w:rsidRDefault="009E77AC" w:rsidP="00080173">
            <w:pPr>
              <w:jc w:val="center"/>
              <w:rPr>
                <w:rFonts w:eastAsia="Times New Roman"/>
                <w:sz w:val="18"/>
                <w:szCs w:val="18"/>
              </w:rPr>
            </w:pPr>
          </w:p>
        </w:tc>
        <w:tc>
          <w:tcPr>
            <w:tcW w:w="663" w:type="dxa"/>
            <w:tcBorders>
              <w:top w:val="nil"/>
              <w:left w:val="nil"/>
              <w:bottom w:val="nil"/>
              <w:right w:val="nil"/>
            </w:tcBorders>
            <w:shd w:val="clear" w:color="auto" w:fill="auto"/>
            <w:noWrap/>
            <w:vAlign w:val="center"/>
            <w:hideMark/>
          </w:tcPr>
          <w:p w:rsidR="009E77AC" w:rsidRPr="00942766" w:rsidRDefault="009E77AC" w:rsidP="00080173">
            <w:pPr>
              <w:jc w:val="center"/>
              <w:rPr>
                <w:rFonts w:eastAsia="Times New Roman"/>
                <w:sz w:val="18"/>
                <w:szCs w:val="18"/>
              </w:rPr>
            </w:pPr>
            <w:r w:rsidRPr="00942766">
              <w:rPr>
                <w:rFonts w:eastAsia="Times New Roman"/>
                <w:sz w:val="18"/>
                <w:szCs w:val="18"/>
              </w:rPr>
              <w:t>n</w:t>
            </w:r>
          </w:p>
        </w:tc>
        <w:tc>
          <w:tcPr>
            <w:tcW w:w="736" w:type="dxa"/>
            <w:tcBorders>
              <w:top w:val="nil"/>
              <w:left w:val="nil"/>
              <w:bottom w:val="nil"/>
              <w:right w:val="nil"/>
            </w:tcBorders>
            <w:shd w:val="clear" w:color="auto" w:fill="auto"/>
            <w:noWrap/>
            <w:vAlign w:val="center"/>
            <w:hideMark/>
          </w:tcPr>
          <w:p w:rsidR="009E77AC" w:rsidRPr="00942766" w:rsidRDefault="009E77AC" w:rsidP="00080173">
            <w:pPr>
              <w:jc w:val="center"/>
              <w:rPr>
                <w:rFonts w:eastAsia="Times New Roman"/>
                <w:sz w:val="18"/>
                <w:szCs w:val="18"/>
              </w:rPr>
            </w:pPr>
            <w:r w:rsidRPr="00942766">
              <w:rPr>
                <w:rFonts w:eastAsia="Times New Roman"/>
                <w:sz w:val="18"/>
                <w:szCs w:val="18"/>
              </w:rPr>
              <w:t>%</w:t>
            </w:r>
          </w:p>
        </w:tc>
      </w:tr>
      <w:tr w:rsidR="009E77AC" w:rsidRPr="00942766" w:rsidTr="00080173">
        <w:trPr>
          <w:trHeight w:val="300"/>
        </w:trPr>
        <w:tc>
          <w:tcPr>
            <w:tcW w:w="2127" w:type="dxa"/>
            <w:tcBorders>
              <w:top w:val="nil"/>
              <w:left w:val="nil"/>
              <w:bottom w:val="nil"/>
              <w:right w:val="single" w:sz="8" w:space="0" w:color="auto"/>
            </w:tcBorders>
            <w:shd w:val="clear" w:color="auto" w:fill="auto"/>
            <w:noWrap/>
            <w:vAlign w:val="center"/>
            <w:hideMark/>
          </w:tcPr>
          <w:p w:rsidR="009E77AC" w:rsidRPr="00942766" w:rsidRDefault="009E77AC" w:rsidP="002833D4">
            <w:pPr>
              <w:jc w:val="right"/>
              <w:rPr>
                <w:rFonts w:ascii="Calibri" w:eastAsia="Times New Roman" w:hAnsi="Calibri"/>
                <w:color w:val="000000"/>
                <w:sz w:val="18"/>
                <w:szCs w:val="18"/>
              </w:rPr>
            </w:pPr>
            <w:r w:rsidRPr="00942766">
              <w:rPr>
                <w:rFonts w:ascii="Calibri" w:eastAsia="Times New Roman" w:hAnsi="Calibri"/>
                <w:color w:val="000000"/>
                <w:sz w:val="18"/>
                <w:szCs w:val="18"/>
              </w:rPr>
              <w:t>mainstream school</w:t>
            </w:r>
          </w:p>
        </w:tc>
        <w:tc>
          <w:tcPr>
            <w:tcW w:w="641" w:type="dxa"/>
            <w:tcBorders>
              <w:top w:val="nil"/>
              <w:left w:val="single" w:sz="8" w:space="0" w:color="auto"/>
              <w:bottom w:val="nil"/>
              <w:right w:val="nil"/>
            </w:tcBorders>
            <w:shd w:val="clear" w:color="auto" w:fill="auto"/>
            <w:noWrap/>
            <w:vAlign w:val="center"/>
            <w:hideMark/>
          </w:tcPr>
          <w:p w:rsidR="009E77AC" w:rsidRPr="00942766" w:rsidRDefault="009E77AC"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19</w:t>
            </w:r>
          </w:p>
        </w:tc>
        <w:tc>
          <w:tcPr>
            <w:tcW w:w="832" w:type="dxa"/>
            <w:tcBorders>
              <w:top w:val="nil"/>
              <w:left w:val="nil"/>
              <w:bottom w:val="nil"/>
              <w:right w:val="nil"/>
            </w:tcBorders>
            <w:shd w:val="clear" w:color="auto" w:fill="auto"/>
            <w:noWrap/>
            <w:vAlign w:val="center"/>
            <w:hideMark/>
          </w:tcPr>
          <w:p w:rsidR="009E77AC" w:rsidRPr="00942766" w:rsidRDefault="009E77AC"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(65.5)</w:t>
            </w:r>
          </w:p>
        </w:tc>
        <w:tc>
          <w:tcPr>
            <w:tcW w:w="673" w:type="dxa"/>
            <w:tcBorders>
              <w:top w:val="nil"/>
              <w:left w:val="nil"/>
              <w:bottom w:val="nil"/>
              <w:right w:val="nil"/>
            </w:tcBorders>
            <w:shd w:val="clear" w:color="auto" w:fill="auto"/>
            <w:noWrap/>
            <w:vAlign w:val="center"/>
            <w:hideMark/>
          </w:tcPr>
          <w:p w:rsidR="009E77AC" w:rsidRPr="00942766" w:rsidRDefault="009E77AC"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5</w:t>
            </w:r>
          </w:p>
        </w:tc>
        <w:tc>
          <w:tcPr>
            <w:tcW w:w="879" w:type="dxa"/>
            <w:tcBorders>
              <w:top w:val="nil"/>
              <w:left w:val="nil"/>
              <w:bottom w:val="nil"/>
              <w:right w:val="nil"/>
            </w:tcBorders>
            <w:shd w:val="clear" w:color="auto" w:fill="auto"/>
            <w:noWrap/>
            <w:vAlign w:val="center"/>
            <w:hideMark/>
          </w:tcPr>
          <w:p w:rsidR="009E77AC" w:rsidRPr="00942766" w:rsidRDefault="009E77AC"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(35.7)</w:t>
            </w:r>
          </w:p>
        </w:tc>
        <w:tc>
          <w:tcPr>
            <w:tcW w:w="641" w:type="dxa"/>
            <w:tcBorders>
              <w:top w:val="nil"/>
              <w:left w:val="nil"/>
              <w:bottom w:val="nil"/>
              <w:right w:val="nil"/>
            </w:tcBorders>
            <w:shd w:val="clear" w:color="auto" w:fill="auto"/>
            <w:noWrap/>
            <w:vAlign w:val="center"/>
            <w:hideMark/>
          </w:tcPr>
          <w:p w:rsidR="009E77AC" w:rsidRPr="00942766" w:rsidRDefault="009E77AC"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4</w:t>
            </w:r>
          </w:p>
        </w:tc>
        <w:tc>
          <w:tcPr>
            <w:tcW w:w="736" w:type="dxa"/>
            <w:tcBorders>
              <w:top w:val="nil"/>
              <w:left w:val="nil"/>
              <w:bottom w:val="nil"/>
              <w:right w:val="nil"/>
            </w:tcBorders>
            <w:shd w:val="clear" w:color="auto" w:fill="auto"/>
            <w:noWrap/>
            <w:vAlign w:val="center"/>
            <w:hideMark/>
          </w:tcPr>
          <w:p w:rsidR="009E77AC" w:rsidRPr="00942766" w:rsidRDefault="009E77AC"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(17.4)</w:t>
            </w:r>
          </w:p>
        </w:tc>
        <w:tc>
          <w:tcPr>
            <w:tcW w:w="641" w:type="dxa"/>
            <w:tcBorders>
              <w:top w:val="nil"/>
              <w:left w:val="nil"/>
              <w:bottom w:val="nil"/>
              <w:right w:val="nil"/>
            </w:tcBorders>
            <w:shd w:val="clear" w:color="auto" w:fill="auto"/>
            <w:noWrap/>
            <w:vAlign w:val="center"/>
            <w:hideMark/>
          </w:tcPr>
          <w:p w:rsidR="009E77AC" w:rsidRPr="00942766" w:rsidRDefault="009E77AC"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28</w:t>
            </w:r>
          </w:p>
        </w:tc>
        <w:tc>
          <w:tcPr>
            <w:tcW w:w="736" w:type="dxa"/>
            <w:tcBorders>
              <w:top w:val="nil"/>
              <w:left w:val="nil"/>
              <w:bottom w:val="nil"/>
              <w:right w:val="nil"/>
            </w:tcBorders>
            <w:shd w:val="clear" w:color="auto" w:fill="auto"/>
            <w:noWrap/>
            <w:vAlign w:val="center"/>
            <w:hideMark/>
          </w:tcPr>
          <w:p w:rsidR="009E77AC" w:rsidRPr="00942766" w:rsidRDefault="009E77AC"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(42.4)</w:t>
            </w:r>
          </w:p>
        </w:tc>
        <w:tc>
          <w:tcPr>
            <w:tcW w:w="236" w:type="dxa"/>
            <w:tcBorders>
              <w:top w:val="nil"/>
              <w:left w:val="nil"/>
              <w:bottom w:val="nil"/>
              <w:right w:val="nil"/>
            </w:tcBorders>
            <w:shd w:val="clear" w:color="auto" w:fill="auto"/>
            <w:noWrap/>
            <w:vAlign w:val="center"/>
            <w:hideMark/>
          </w:tcPr>
          <w:p w:rsidR="009E77AC" w:rsidRPr="00942766" w:rsidRDefault="009E77AC" w:rsidP="00080173">
            <w:pPr>
              <w:jc w:val="center"/>
              <w:rPr>
                <w:rFonts w:ascii="Calibri" w:eastAsia="Times New Roman" w:hAnsi="Calibri"/>
                <w:color w:val="000000"/>
                <w:sz w:val="18"/>
                <w:szCs w:val="18"/>
              </w:rPr>
            </w:pPr>
          </w:p>
        </w:tc>
        <w:tc>
          <w:tcPr>
            <w:tcW w:w="663" w:type="dxa"/>
            <w:tcBorders>
              <w:top w:val="nil"/>
              <w:left w:val="nil"/>
              <w:bottom w:val="nil"/>
              <w:right w:val="nil"/>
            </w:tcBorders>
            <w:shd w:val="clear" w:color="auto" w:fill="auto"/>
            <w:noWrap/>
            <w:vAlign w:val="center"/>
            <w:hideMark/>
          </w:tcPr>
          <w:p w:rsidR="009E77AC" w:rsidRPr="00942766" w:rsidRDefault="009E77AC"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33</w:t>
            </w:r>
          </w:p>
        </w:tc>
        <w:tc>
          <w:tcPr>
            <w:tcW w:w="736" w:type="dxa"/>
            <w:tcBorders>
              <w:top w:val="nil"/>
              <w:left w:val="nil"/>
              <w:bottom w:val="nil"/>
              <w:right w:val="nil"/>
            </w:tcBorders>
            <w:shd w:val="clear" w:color="auto" w:fill="auto"/>
            <w:noWrap/>
            <w:vAlign w:val="center"/>
            <w:hideMark/>
          </w:tcPr>
          <w:p w:rsidR="009E77AC" w:rsidRPr="00942766" w:rsidRDefault="009E77AC"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(100.0)</w:t>
            </w:r>
          </w:p>
        </w:tc>
      </w:tr>
      <w:tr w:rsidR="009E77AC" w:rsidRPr="00942766" w:rsidTr="00080173">
        <w:trPr>
          <w:trHeight w:val="300"/>
        </w:trPr>
        <w:tc>
          <w:tcPr>
            <w:tcW w:w="2127" w:type="dxa"/>
            <w:tcBorders>
              <w:top w:val="nil"/>
              <w:left w:val="nil"/>
              <w:bottom w:val="nil"/>
              <w:right w:val="single" w:sz="8" w:space="0" w:color="auto"/>
            </w:tcBorders>
            <w:shd w:val="clear" w:color="auto" w:fill="auto"/>
            <w:noWrap/>
            <w:vAlign w:val="center"/>
            <w:hideMark/>
          </w:tcPr>
          <w:p w:rsidR="009E77AC" w:rsidRPr="00942766" w:rsidRDefault="009E77AC" w:rsidP="002833D4">
            <w:pPr>
              <w:jc w:val="right"/>
              <w:rPr>
                <w:rFonts w:ascii="Calibri" w:eastAsia="Times New Roman" w:hAnsi="Calibri"/>
                <w:color w:val="000000"/>
                <w:sz w:val="18"/>
                <w:szCs w:val="18"/>
              </w:rPr>
            </w:pPr>
            <w:r w:rsidRPr="00942766">
              <w:rPr>
                <w:rFonts w:ascii="Calibri" w:eastAsia="Times New Roman" w:hAnsi="Calibri"/>
                <w:color w:val="000000"/>
                <w:sz w:val="18"/>
                <w:szCs w:val="18"/>
              </w:rPr>
              <w:t>mainstream school with unit for deaf</w:t>
            </w:r>
          </w:p>
        </w:tc>
        <w:tc>
          <w:tcPr>
            <w:tcW w:w="641" w:type="dxa"/>
            <w:tcBorders>
              <w:top w:val="nil"/>
              <w:left w:val="single" w:sz="8" w:space="0" w:color="auto"/>
              <w:bottom w:val="nil"/>
              <w:right w:val="nil"/>
            </w:tcBorders>
            <w:shd w:val="clear" w:color="auto" w:fill="auto"/>
            <w:noWrap/>
            <w:vAlign w:val="center"/>
            <w:hideMark/>
          </w:tcPr>
          <w:p w:rsidR="009E77AC" w:rsidRPr="00942766" w:rsidRDefault="009E77AC"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3</w:t>
            </w:r>
          </w:p>
        </w:tc>
        <w:tc>
          <w:tcPr>
            <w:tcW w:w="832" w:type="dxa"/>
            <w:tcBorders>
              <w:top w:val="nil"/>
              <w:left w:val="nil"/>
              <w:bottom w:val="nil"/>
              <w:right w:val="nil"/>
            </w:tcBorders>
            <w:shd w:val="clear" w:color="auto" w:fill="auto"/>
            <w:noWrap/>
            <w:vAlign w:val="center"/>
            <w:hideMark/>
          </w:tcPr>
          <w:p w:rsidR="009E77AC" w:rsidRPr="00942766" w:rsidRDefault="009E77AC"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(10.3)</w:t>
            </w:r>
          </w:p>
        </w:tc>
        <w:tc>
          <w:tcPr>
            <w:tcW w:w="673" w:type="dxa"/>
            <w:tcBorders>
              <w:top w:val="nil"/>
              <w:left w:val="nil"/>
              <w:bottom w:val="nil"/>
              <w:right w:val="nil"/>
            </w:tcBorders>
            <w:shd w:val="clear" w:color="auto" w:fill="auto"/>
            <w:noWrap/>
            <w:vAlign w:val="center"/>
            <w:hideMark/>
          </w:tcPr>
          <w:p w:rsidR="009E77AC" w:rsidRPr="00942766" w:rsidRDefault="009E77AC"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5</w:t>
            </w:r>
          </w:p>
        </w:tc>
        <w:tc>
          <w:tcPr>
            <w:tcW w:w="879" w:type="dxa"/>
            <w:tcBorders>
              <w:top w:val="nil"/>
              <w:left w:val="nil"/>
              <w:bottom w:val="nil"/>
              <w:right w:val="nil"/>
            </w:tcBorders>
            <w:shd w:val="clear" w:color="auto" w:fill="auto"/>
            <w:noWrap/>
            <w:vAlign w:val="center"/>
            <w:hideMark/>
          </w:tcPr>
          <w:p w:rsidR="009E77AC" w:rsidRPr="00942766" w:rsidRDefault="009E77AC"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(35.7)</w:t>
            </w:r>
          </w:p>
        </w:tc>
        <w:tc>
          <w:tcPr>
            <w:tcW w:w="641" w:type="dxa"/>
            <w:tcBorders>
              <w:top w:val="nil"/>
              <w:left w:val="nil"/>
              <w:bottom w:val="nil"/>
              <w:right w:val="nil"/>
            </w:tcBorders>
            <w:shd w:val="clear" w:color="auto" w:fill="auto"/>
            <w:noWrap/>
            <w:vAlign w:val="center"/>
            <w:hideMark/>
          </w:tcPr>
          <w:p w:rsidR="009E77AC" w:rsidRPr="00942766" w:rsidRDefault="009E77AC"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5</w:t>
            </w:r>
          </w:p>
        </w:tc>
        <w:tc>
          <w:tcPr>
            <w:tcW w:w="736" w:type="dxa"/>
            <w:tcBorders>
              <w:top w:val="nil"/>
              <w:left w:val="nil"/>
              <w:bottom w:val="nil"/>
              <w:right w:val="nil"/>
            </w:tcBorders>
            <w:shd w:val="clear" w:color="auto" w:fill="auto"/>
            <w:noWrap/>
            <w:vAlign w:val="center"/>
            <w:hideMark/>
          </w:tcPr>
          <w:p w:rsidR="009E77AC" w:rsidRPr="00942766" w:rsidRDefault="009E77AC"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(21.7)</w:t>
            </w:r>
          </w:p>
        </w:tc>
        <w:tc>
          <w:tcPr>
            <w:tcW w:w="641" w:type="dxa"/>
            <w:tcBorders>
              <w:top w:val="nil"/>
              <w:left w:val="nil"/>
              <w:bottom w:val="nil"/>
              <w:right w:val="nil"/>
            </w:tcBorders>
            <w:shd w:val="clear" w:color="auto" w:fill="auto"/>
            <w:noWrap/>
            <w:vAlign w:val="center"/>
            <w:hideMark/>
          </w:tcPr>
          <w:p w:rsidR="009E77AC" w:rsidRPr="00942766" w:rsidRDefault="009E77AC"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13</w:t>
            </w:r>
          </w:p>
        </w:tc>
        <w:tc>
          <w:tcPr>
            <w:tcW w:w="736" w:type="dxa"/>
            <w:tcBorders>
              <w:top w:val="nil"/>
              <w:left w:val="nil"/>
              <w:bottom w:val="nil"/>
              <w:right w:val="nil"/>
            </w:tcBorders>
            <w:shd w:val="clear" w:color="auto" w:fill="auto"/>
            <w:noWrap/>
            <w:vAlign w:val="center"/>
            <w:hideMark/>
          </w:tcPr>
          <w:p w:rsidR="009E77AC" w:rsidRPr="00942766" w:rsidRDefault="009E77AC"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(19.7)</w:t>
            </w:r>
          </w:p>
        </w:tc>
        <w:tc>
          <w:tcPr>
            <w:tcW w:w="236" w:type="dxa"/>
            <w:tcBorders>
              <w:top w:val="nil"/>
              <w:left w:val="nil"/>
              <w:bottom w:val="nil"/>
              <w:right w:val="nil"/>
            </w:tcBorders>
            <w:shd w:val="clear" w:color="auto" w:fill="auto"/>
            <w:noWrap/>
            <w:vAlign w:val="center"/>
            <w:hideMark/>
          </w:tcPr>
          <w:p w:rsidR="009E77AC" w:rsidRPr="00942766" w:rsidRDefault="009E77AC" w:rsidP="00080173">
            <w:pPr>
              <w:jc w:val="center"/>
              <w:rPr>
                <w:rFonts w:ascii="Calibri" w:eastAsia="Times New Roman" w:hAnsi="Calibri"/>
                <w:color w:val="000000"/>
                <w:sz w:val="18"/>
                <w:szCs w:val="18"/>
              </w:rPr>
            </w:pPr>
          </w:p>
        </w:tc>
        <w:tc>
          <w:tcPr>
            <w:tcW w:w="663" w:type="dxa"/>
            <w:tcBorders>
              <w:top w:val="nil"/>
              <w:left w:val="nil"/>
              <w:bottom w:val="nil"/>
              <w:right w:val="nil"/>
            </w:tcBorders>
            <w:shd w:val="clear" w:color="auto" w:fill="auto"/>
            <w:noWrap/>
            <w:vAlign w:val="center"/>
            <w:hideMark/>
          </w:tcPr>
          <w:p w:rsidR="009E77AC" w:rsidRPr="00942766" w:rsidRDefault="009E77AC"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w:t>
            </w:r>
          </w:p>
        </w:tc>
        <w:tc>
          <w:tcPr>
            <w:tcW w:w="736" w:type="dxa"/>
            <w:tcBorders>
              <w:top w:val="nil"/>
              <w:left w:val="nil"/>
              <w:bottom w:val="nil"/>
              <w:right w:val="nil"/>
            </w:tcBorders>
            <w:shd w:val="clear" w:color="auto" w:fill="auto"/>
            <w:noWrap/>
            <w:vAlign w:val="center"/>
            <w:hideMark/>
          </w:tcPr>
          <w:p w:rsidR="009E77AC" w:rsidRPr="00942766" w:rsidRDefault="009E77AC" w:rsidP="00080173">
            <w:pPr>
              <w:jc w:val="center"/>
              <w:rPr>
                <w:rFonts w:ascii="Calibri" w:eastAsia="Times New Roman" w:hAnsi="Calibri"/>
                <w:color w:val="000000"/>
                <w:sz w:val="18"/>
                <w:szCs w:val="18"/>
              </w:rPr>
            </w:pPr>
          </w:p>
        </w:tc>
      </w:tr>
      <w:tr w:rsidR="009E77AC" w:rsidRPr="00942766" w:rsidTr="00080173">
        <w:trPr>
          <w:trHeight w:val="300"/>
        </w:trPr>
        <w:tc>
          <w:tcPr>
            <w:tcW w:w="2127" w:type="dxa"/>
            <w:tcBorders>
              <w:top w:val="nil"/>
              <w:left w:val="nil"/>
              <w:bottom w:val="nil"/>
              <w:right w:val="single" w:sz="8" w:space="0" w:color="auto"/>
            </w:tcBorders>
            <w:shd w:val="clear" w:color="auto" w:fill="auto"/>
            <w:noWrap/>
            <w:vAlign w:val="center"/>
            <w:hideMark/>
          </w:tcPr>
          <w:p w:rsidR="009E77AC" w:rsidRPr="00942766" w:rsidRDefault="009E77AC" w:rsidP="002833D4">
            <w:pPr>
              <w:jc w:val="right"/>
              <w:rPr>
                <w:rFonts w:ascii="Calibri" w:eastAsia="Times New Roman" w:hAnsi="Calibri"/>
                <w:color w:val="000000"/>
                <w:sz w:val="18"/>
                <w:szCs w:val="18"/>
              </w:rPr>
            </w:pPr>
            <w:r w:rsidRPr="00942766">
              <w:rPr>
                <w:rFonts w:ascii="Calibri" w:eastAsia="Times New Roman" w:hAnsi="Calibri"/>
                <w:color w:val="000000"/>
                <w:sz w:val="18"/>
                <w:szCs w:val="18"/>
              </w:rPr>
              <w:t>special school for deaf</w:t>
            </w:r>
          </w:p>
        </w:tc>
        <w:tc>
          <w:tcPr>
            <w:tcW w:w="641" w:type="dxa"/>
            <w:tcBorders>
              <w:top w:val="nil"/>
              <w:left w:val="single" w:sz="8" w:space="0" w:color="auto"/>
              <w:bottom w:val="nil"/>
              <w:right w:val="nil"/>
            </w:tcBorders>
            <w:shd w:val="clear" w:color="auto" w:fill="auto"/>
            <w:noWrap/>
            <w:vAlign w:val="center"/>
            <w:hideMark/>
          </w:tcPr>
          <w:p w:rsidR="009E77AC" w:rsidRPr="00942766" w:rsidRDefault="009E77AC"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1</w:t>
            </w:r>
          </w:p>
        </w:tc>
        <w:tc>
          <w:tcPr>
            <w:tcW w:w="832" w:type="dxa"/>
            <w:tcBorders>
              <w:top w:val="nil"/>
              <w:left w:val="nil"/>
              <w:bottom w:val="nil"/>
              <w:right w:val="nil"/>
            </w:tcBorders>
            <w:shd w:val="clear" w:color="auto" w:fill="auto"/>
            <w:noWrap/>
            <w:vAlign w:val="center"/>
            <w:hideMark/>
          </w:tcPr>
          <w:p w:rsidR="009E77AC" w:rsidRPr="00942766" w:rsidRDefault="009E77AC"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(3.5)</w:t>
            </w:r>
          </w:p>
        </w:tc>
        <w:tc>
          <w:tcPr>
            <w:tcW w:w="673" w:type="dxa"/>
            <w:tcBorders>
              <w:top w:val="nil"/>
              <w:left w:val="nil"/>
              <w:bottom w:val="nil"/>
              <w:right w:val="nil"/>
            </w:tcBorders>
            <w:shd w:val="clear" w:color="auto" w:fill="auto"/>
            <w:noWrap/>
            <w:vAlign w:val="center"/>
            <w:hideMark/>
          </w:tcPr>
          <w:p w:rsidR="009E77AC" w:rsidRPr="00942766" w:rsidRDefault="009E77AC"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2</w:t>
            </w:r>
          </w:p>
        </w:tc>
        <w:tc>
          <w:tcPr>
            <w:tcW w:w="879" w:type="dxa"/>
            <w:tcBorders>
              <w:top w:val="nil"/>
              <w:left w:val="nil"/>
              <w:bottom w:val="nil"/>
              <w:right w:val="nil"/>
            </w:tcBorders>
            <w:shd w:val="clear" w:color="auto" w:fill="auto"/>
            <w:noWrap/>
            <w:vAlign w:val="center"/>
            <w:hideMark/>
          </w:tcPr>
          <w:p w:rsidR="009E77AC" w:rsidRPr="00942766" w:rsidRDefault="009E77AC"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(14.3)</w:t>
            </w:r>
          </w:p>
        </w:tc>
        <w:tc>
          <w:tcPr>
            <w:tcW w:w="641" w:type="dxa"/>
            <w:tcBorders>
              <w:top w:val="nil"/>
              <w:left w:val="nil"/>
              <w:bottom w:val="nil"/>
              <w:right w:val="nil"/>
            </w:tcBorders>
            <w:shd w:val="clear" w:color="auto" w:fill="auto"/>
            <w:noWrap/>
            <w:vAlign w:val="center"/>
            <w:hideMark/>
          </w:tcPr>
          <w:p w:rsidR="009E77AC" w:rsidRPr="00942766" w:rsidRDefault="009E77AC"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11</w:t>
            </w:r>
          </w:p>
        </w:tc>
        <w:tc>
          <w:tcPr>
            <w:tcW w:w="736" w:type="dxa"/>
            <w:tcBorders>
              <w:top w:val="nil"/>
              <w:left w:val="nil"/>
              <w:bottom w:val="nil"/>
              <w:right w:val="nil"/>
            </w:tcBorders>
            <w:shd w:val="clear" w:color="auto" w:fill="auto"/>
            <w:noWrap/>
            <w:vAlign w:val="center"/>
            <w:hideMark/>
          </w:tcPr>
          <w:p w:rsidR="009E77AC" w:rsidRPr="00942766" w:rsidRDefault="009E77AC"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(47.8)</w:t>
            </w:r>
          </w:p>
        </w:tc>
        <w:tc>
          <w:tcPr>
            <w:tcW w:w="641" w:type="dxa"/>
            <w:tcBorders>
              <w:top w:val="nil"/>
              <w:left w:val="nil"/>
              <w:bottom w:val="nil"/>
              <w:right w:val="nil"/>
            </w:tcBorders>
            <w:shd w:val="clear" w:color="auto" w:fill="auto"/>
            <w:noWrap/>
            <w:vAlign w:val="center"/>
            <w:hideMark/>
          </w:tcPr>
          <w:p w:rsidR="009E77AC" w:rsidRPr="00942766" w:rsidRDefault="009E77AC"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14</w:t>
            </w:r>
          </w:p>
        </w:tc>
        <w:tc>
          <w:tcPr>
            <w:tcW w:w="736" w:type="dxa"/>
            <w:tcBorders>
              <w:top w:val="nil"/>
              <w:left w:val="nil"/>
              <w:bottom w:val="nil"/>
              <w:right w:val="nil"/>
            </w:tcBorders>
            <w:shd w:val="clear" w:color="auto" w:fill="auto"/>
            <w:noWrap/>
            <w:vAlign w:val="center"/>
            <w:hideMark/>
          </w:tcPr>
          <w:p w:rsidR="009E77AC" w:rsidRPr="00942766" w:rsidRDefault="009E77AC"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(21.2)</w:t>
            </w:r>
          </w:p>
        </w:tc>
        <w:tc>
          <w:tcPr>
            <w:tcW w:w="236" w:type="dxa"/>
            <w:tcBorders>
              <w:top w:val="nil"/>
              <w:left w:val="nil"/>
              <w:bottom w:val="nil"/>
              <w:right w:val="nil"/>
            </w:tcBorders>
            <w:shd w:val="clear" w:color="auto" w:fill="auto"/>
            <w:noWrap/>
            <w:vAlign w:val="center"/>
            <w:hideMark/>
          </w:tcPr>
          <w:p w:rsidR="009E77AC" w:rsidRPr="00942766" w:rsidRDefault="009E77AC" w:rsidP="00080173">
            <w:pPr>
              <w:jc w:val="center"/>
              <w:rPr>
                <w:rFonts w:ascii="Calibri" w:eastAsia="Times New Roman" w:hAnsi="Calibri"/>
                <w:color w:val="000000"/>
                <w:sz w:val="18"/>
                <w:szCs w:val="18"/>
              </w:rPr>
            </w:pPr>
          </w:p>
        </w:tc>
        <w:tc>
          <w:tcPr>
            <w:tcW w:w="663" w:type="dxa"/>
            <w:tcBorders>
              <w:top w:val="nil"/>
              <w:left w:val="nil"/>
              <w:bottom w:val="nil"/>
              <w:right w:val="nil"/>
            </w:tcBorders>
            <w:shd w:val="clear" w:color="auto" w:fill="auto"/>
            <w:noWrap/>
            <w:vAlign w:val="center"/>
            <w:hideMark/>
          </w:tcPr>
          <w:p w:rsidR="009E77AC" w:rsidRPr="00942766" w:rsidRDefault="009E77AC"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w:t>
            </w:r>
          </w:p>
        </w:tc>
        <w:tc>
          <w:tcPr>
            <w:tcW w:w="736" w:type="dxa"/>
            <w:tcBorders>
              <w:top w:val="nil"/>
              <w:left w:val="nil"/>
              <w:bottom w:val="nil"/>
              <w:right w:val="nil"/>
            </w:tcBorders>
            <w:shd w:val="clear" w:color="auto" w:fill="auto"/>
            <w:noWrap/>
            <w:vAlign w:val="center"/>
            <w:hideMark/>
          </w:tcPr>
          <w:p w:rsidR="009E77AC" w:rsidRPr="00942766" w:rsidRDefault="009E77AC" w:rsidP="00080173">
            <w:pPr>
              <w:jc w:val="center"/>
              <w:rPr>
                <w:rFonts w:ascii="Calibri" w:eastAsia="Times New Roman" w:hAnsi="Calibri"/>
                <w:color w:val="000000"/>
                <w:sz w:val="18"/>
                <w:szCs w:val="18"/>
              </w:rPr>
            </w:pPr>
          </w:p>
        </w:tc>
      </w:tr>
      <w:tr w:rsidR="009E77AC" w:rsidRPr="00942766" w:rsidTr="00080173">
        <w:trPr>
          <w:trHeight w:val="300"/>
        </w:trPr>
        <w:tc>
          <w:tcPr>
            <w:tcW w:w="2127" w:type="dxa"/>
            <w:tcBorders>
              <w:top w:val="nil"/>
              <w:left w:val="nil"/>
              <w:bottom w:val="nil"/>
              <w:right w:val="single" w:sz="8" w:space="0" w:color="auto"/>
            </w:tcBorders>
            <w:shd w:val="clear" w:color="auto" w:fill="auto"/>
            <w:noWrap/>
            <w:vAlign w:val="center"/>
            <w:hideMark/>
          </w:tcPr>
          <w:p w:rsidR="009E77AC" w:rsidRPr="00942766" w:rsidRDefault="009E77AC" w:rsidP="002833D4">
            <w:pPr>
              <w:jc w:val="right"/>
              <w:rPr>
                <w:rFonts w:ascii="Calibri" w:eastAsia="Times New Roman" w:hAnsi="Calibri"/>
                <w:color w:val="000000"/>
                <w:sz w:val="18"/>
                <w:szCs w:val="18"/>
              </w:rPr>
            </w:pPr>
            <w:r w:rsidRPr="00942766">
              <w:rPr>
                <w:rFonts w:ascii="Calibri" w:eastAsia="Times New Roman" w:hAnsi="Calibri"/>
                <w:color w:val="000000"/>
                <w:sz w:val="18"/>
                <w:szCs w:val="18"/>
              </w:rPr>
              <w:t>other special school</w:t>
            </w:r>
          </w:p>
        </w:tc>
        <w:tc>
          <w:tcPr>
            <w:tcW w:w="641" w:type="dxa"/>
            <w:tcBorders>
              <w:top w:val="nil"/>
              <w:left w:val="single" w:sz="8" w:space="0" w:color="auto"/>
              <w:bottom w:val="nil"/>
              <w:right w:val="nil"/>
            </w:tcBorders>
            <w:shd w:val="clear" w:color="auto" w:fill="auto"/>
            <w:noWrap/>
            <w:vAlign w:val="center"/>
            <w:hideMark/>
          </w:tcPr>
          <w:p w:rsidR="009E77AC" w:rsidRPr="00942766" w:rsidRDefault="009E77AC"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5</w:t>
            </w:r>
          </w:p>
        </w:tc>
        <w:tc>
          <w:tcPr>
            <w:tcW w:w="832" w:type="dxa"/>
            <w:tcBorders>
              <w:top w:val="nil"/>
              <w:left w:val="nil"/>
              <w:bottom w:val="nil"/>
              <w:right w:val="nil"/>
            </w:tcBorders>
            <w:shd w:val="clear" w:color="auto" w:fill="auto"/>
            <w:noWrap/>
            <w:vAlign w:val="center"/>
            <w:hideMark/>
          </w:tcPr>
          <w:p w:rsidR="009E77AC" w:rsidRPr="00942766" w:rsidRDefault="009E77AC"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(17.2)</w:t>
            </w:r>
          </w:p>
        </w:tc>
        <w:tc>
          <w:tcPr>
            <w:tcW w:w="673" w:type="dxa"/>
            <w:tcBorders>
              <w:top w:val="nil"/>
              <w:left w:val="nil"/>
              <w:bottom w:val="nil"/>
              <w:right w:val="nil"/>
            </w:tcBorders>
            <w:shd w:val="clear" w:color="auto" w:fill="auto"/>
            <w:noWrap/>
            <w:vAlign w:val="center"/>
            <w:hideMark/>
          </w:tcPr>
          <w:p w:rsidR="009E77AC" w:rsidRPr="00942766" w:rsidRDefault="009E77AC"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2</w:t>
            </w:r>
          </w:p>
        </w:tc>
        <w:tc>
          <w:tcPr>
            <w:tcW w:w="879" w:type="dxa"/>
            <w:tcBorders>
              <w:top w:val="nil"/>
              <w:left w:val="nil"/>
              <w:bottom w:val="nil"/>
              <w:right w:val="nil"/>
            </w:tcBorders>
            <w:shd w:val="clear" w:color="auto" w:fill="auto"/>
            <w:noWrap/>
            <w:vAlign w:val="center"/>
            <w:hideMark/>
          </w:tcPr>
          <w:p w:rsidR="009E77AC" w:rsidRPr="00942766" w:rsidRDefault="009E77AC"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(14.3)</w:t>
            </w:r>
          </w:p>
        </w:tc>
        <w:tc>
          <w:tcPr>
            <w:tcW w:w="641" w:type="dxa"/>
            <w:tcBorders>
              <w:top w:val="nil"/>
              <w:left w:val="nil"/>
              <w:bottom w:val="nil"/>
              <w:right w:val="nil"/>
            </w:tcBorders>
            <w:shd w:val="clear" w:color="auto" w:fill="auto"/>
            <w:noWrap/>
            <w:vAlign w:val="center"/>
            <w:hideMark/>
          </w:tcPr>
          <w:p w:rsidR="009E77AC" w:rsidRPr="00942766" w:rsidRDefault="009E77AC"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2</w:t>
            </w:r>
          </w:p>
        </w:tc>
        <w:tc>
          <w:tcPr>
            <w:tcW w:w="736" w:type="dxa"/>
            <w:tcBorders>
              <w:top w:val="nil"/>
              <w:left w:val="nil"/>
              <w:bottom w:val="nil"/>
              <w:right w:val="nil"/>
            </w:tcBorders>
            <w:shd w:val="clear" w:color="auto" w:fill="auto"/>
            <w:noWrap/>
            <w:vAlign w:val="center"/>
            <w:hideMark/>
          </w:tcPr>
          <w:p w:rsidR="009E77AC" w:rsidRPr="00942766" w:rsidRDefault="009E77AC"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(8.7)</w:t>
            </w:r>
          </w:p>
        </w:tc>
        <w:tc>
          <w:tcPr>
            <w:tcW w:w="641" w:type="dxa"/>
            <w:tcBorders>
              <w:top w:val="nil"/>
              <w:left w:val="nil"/>
              <w:bottom w:val="nil"/>
              <w:right w:val="nil"/>
            </w:tcBorders>
            <w:shd w:val="clear" w:color="auto" w:fill="auto"/>
            <w:noWrap/>
            <w:vAlign w:val="center"/>
            <w:hideMark/>
          </w:tcPr>
          <w:p w:rsidR="009E77AC" w:rsidRPr="00942766" w:rsidRDefault="009E77AC"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9</w:t>
            </w:r>
          </w:p>
        </w:tc>
        <w:tc>
          <w:tcPr>
            <w:tcW w:w="736" w:type="dxa"/>
            <w:tcBorders>
              <w:top w:val="nil"/>
              <w:left w:val="nil"/>
              <w:bottom w:val="nil"/>
              <w:right w:val="nil"/>
            </w:tcBorders>
            <w:shd w:val="clear" w:color="auto" w:fill="auto"/>
            <w:noWrap/>
            <w:vAlign w:val="center"/>
            <w:hideMark/>
          </w:tcPr>
          <w:p w:rsidR="009E77AC" w:rsidRPr="00942766" w:rsidRDefault="009E77AC"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(13.6)</w:t>
            </w:r>
          </w:p>
        </w:tc>
        <w:tc>
          <w:tcPr>
            <w:tcW w:w="236" w:type="dxa"/>
            <w:tcBorders>
              <w:top w:val="nil"/>
              <w:left w:val="nil"/>
              <w:bottom w:val="nil"/>
              <w:right w:val="nil"/>
            </w:tcBorders>
            <w:shd w:val="clear" w:color="auto" w:fill="auto"/>
            <w:noWrap/>
            <w:vAlign w:val="center"/>
            <w:hideMark/>
          </w:tcPr>
          <w:p w:rsidR="009E77AC" w:rsidRPr="00942766" w:rsidRDefault="009E77AC" w:rsidP="00080173">
            <w:pPr>
              <w:jc w:val="center"/>
              <w:rPr>
                <w:rFonts w:ascii="Calibri" w:eastAsia="Times New Roman" w:hAnsi="Calibri"/>
                <w:color w:val="000000"/>
                <w:sz w:val="18"/>
                <w:szCs w:val="18"/>
              </w:rPr>
            </w:pPr>
          </w:p>
        </w:tc>
        <w:tc>
          <w:tcPr>
            <w:tcW w:w="663" w:type="dxa"/>
            <w:tcBorders>
              <w:top w:val="nil"/>
              <w:left w:val="nil"/>
              <w:bottom w:val="nil"/>
              <w:right w:val="nil"/>
            </w:tcBorders>
            <w:shd w:val="clear" w:color="auto" w:fill="auto"/>
            <w:noWrap/>
            <w:vAlign w:val="center"/>
            <w:hideMark/>
          </w:tcPr>
          <w:p w:rsidR="009E77AC" w:rsidRPr="00942766" w:rsidRDefault="009E77AC"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w:t>
            </w:r>
          </w:p>
        </w:tc>
        <w:tc>
          <w:tcPr>
            <w:tcW w:w="736" w:type="dxa"/>
            <w:tcBorders>
              <w:top w:val="nil"/>
              <w:left w:val="nil"/>
              <w:bottom w:val="nil"/>
              <w:right w:val="nil"/>
            </w:tcBorders>
            <w:shd w:val="clear" w:color="auto" w:fill="auto"/>
            <w:noWrap/>
            <w:vAlign w:val="center"/>
            <w:hideMark/>
          </w:tcPr>
          <w:p w:rsidR="009E77AC" w:rsidRPr="00942766" w:rsidRDefault="009E77AC" w:rsidP="00080173">
            <w:pPr>
              <w:jc w:val="center"/>
              <w:rPr>
                <w:rFonts w:ascii="Calibri" w:eastAsia="Times New Roman" w:hAnsi="Calibri"/>
                <w:color w:val="000000"/>
                <w:sz w:val="18"/>
                <w:szCs w:val="18"/>
              </w:rPr>
            </w:pPr>
          </w:p>
        </w:tc>
      </w:tr>
      <w:tr w:rsidR="009E77AC" w:rsidRPr="00942766" w:rsidTr="00080173">
        <w:trPr>
          <w:trHeight w:val="300"/>
        </w:trPr>
        <w:tc>
          <w:tcPr>
            <w:tcW w:w="2127" w:type="dxa"/>
            <w:tcBorders>
              <w:top w:val="nil"/>
              <w:left w:val="nil"/>
              <w:bottom w:val="nil"/>
              <w:right w:val="single" w:sz="8" w:space="0" w:color="auto"/>
            </w:tcBorders>
            <w:shd w:val="clear" w:color="auto" w:fill="auto"/>
            <w:noWrap/>
            <w:vAlign w:val="center"/>
            <w:hideMark/>
          </w:tcPr>
          <w:p w:rsidR="009E77AC" w:rsidRPr="00942766" w:rsidRDefault="009E77AC" w:rsidP="002833D4">
            <w:pPr>
              <w:jc w:val="right"/>
              <w:rPr>
                <w:rFonts w:ascii="Calibri" w:eastAsia="Times New Roman" w:hAnsi="Calibri"/>
                <w:color w:val="000000"/>
                <w:sz w:val="18"/>
                <w:szCs w:val="18"/>
              </w:rPr>
            </w:pPr>
            <w:r w:rsidRPr="00942766">
              <w:rPr>
                <w:rFonts w:ascii="Calibri" w:eastAsia="Times New Roman" w:hAnsi="Calibri"/>
                <w:color w:val="000000"/>
                <w:sz w:val="18"/>
                <w:szCs w:val="18"/>
              </w:rPr>
              <w:t>other school</w:t>
            </w:r>
          </w:p>
        </w:tc>
        <w:tc>
          <w:tcPr>
            <w:tcW w:w="641" w:type="dxa"/>
            <w:tcBorders>
              <w:top w:val="nil"/>
              <w:left w:val="single" w:sz="8" w:space="0" w:color="auto"/>
              <w:bottom w:val="nil"/>
              <w:right w:val="nil"/>
            </w:tcBorders>
            <w:shd w:val="clear" w:color="auto" w:fill="auto"/>
            <w:noWrap/>
            <w:vAlign w:val="center"/>
            <w:hideMark/>
          </w:tcPr>
          <w:p w:rsidR="009E77AC" w:rsidRPr="00942766" w:rsidRDefault="009E77AC"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1</w:t>
            </w:r>
          </w:p>
        </w:tc>
        <w:tc>
          <w:tcPr>
            <w:tcW w:w="832" w:type="dxa"/>
            <w:tcBorders>
              <w:top w:val="nil"/>
              <w:left w:val="nil"/>
              <w:bottom w:val="nil"/>
              <w:right w:val="nil"/>
            </w:tcBorders>
            <w:shd w:val="clear" w:color="auto" w:fill="auto"/>
            <w:noWrap/>
            <w:vAlign w:val="center"/>
            <w:hideMark/>
          </w:tcPr>
          <w:p w:rsidR="009E77AC" w:rsidRPr="00942766" w:rsidRDefault="009E77AC"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(3.5)</w:t>
            </w:r>
          </w:p>
        </w:tc>
        <w:tc>
          <w:tcPr>
            <w:tcW w:w="673" w:type="dxa"/>
            <w:tcBorders>
              <w:top w:val="nil"/>
              <w:left w:val="nil"/>
              <w:bottom w:val="nil"/>
              <w:right w:val="nil"/>
            </w:tcBorders>
            <w:shd w:val="clear" w:color="auto" w:fill="auto"/>
            <w:noWrap/>
            <w:vAlign w:val="center"/>
            <w:hideMark/>
          </w:tcPr>
          <w:p w:rsidR="009E77AC" w:rsidRPr="00942766" w:rsidRDefault="009E77AC"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w:t>
            </w:r>
          </w:p>
        </w:tc>
        <w:tc>
          <w:tcPr>
            <w:tcW w:w="879" w:type="dxa"/>
            <w:tcBorders>
              <w:top w:val="nil"/>
              <w:left w:val="nil"/>
              <w:bottom w:val="nil"/>
              <w:right w:val="nil"/>
            </w:tcBorders>
            <w:shd w:val="clear" w:color="auto" w:fill="auto"/>
            <w:noWrap/>
            <w:vAlign w:val="center"/>
            <w:hideMark/>
          </w:tcPr>
          <w:p w:rsidR="009E77AC" w:rsidRPr="00942766" w:rsidRDefault="009E77AC" w:rsidP="00080173">
            <w:pPr>
              <w:jc w:val="center"/>
              <w:rPr>
                <w:rFonts w:ascii="Calibri" w:eastAsia="Times New Roman" w:hAnsi="Calibri"/>
                <w:color w:val="000000"/>
                <w:sz w:val="18"/>
                <w:szCs w:val="18"/>
              </w:rPr>
            </w:pPr>
          </w:p>
        </w:tc>
        <w:tc>
          <w:tcPr>
            <w:tcW w:w="641" w:type="dxa"/>
            <w:tcBorders>
              <w:top w:val="nil"/>
              <w:left w:val="nil"/>
              <w:bottom w:val="nil"/>
              <w:right w:val="nil"/>
            </w:tcBorders>
            <w:shd w:val="clear" w:color="auto" w:fill="auto"/>
            <w:noWrap/>
            <w:vAlign w:val="center"/>
            <w:hideMark/>
          </w:tcPr>
          <w:p w:rsidR="009E77AC" w:rsidRPr="00942766" w:rsidRDefault="009E77AC"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1</w:t>
            </w:r>
          </w:p>
        </w:tc>
        <w:tc>
          <w:tcPr>
            <w:tcW w:w="736" w:type="dxa"/>
            <w:tcBorders>
              <w:top w:val="nil"/>
              <w:left w:val="nil"/>
              <w:bottom w:val="nil"/>
              <w:right w:val="nil"/>
            </w:tcBorders>
            <w:shd w:val="clear" w:color="auto" w:fill="auto"/>
            <w:noWrap/>
            <w:vAlign w:val="center"/>
            <w:hideMark/>
          </w:tcPr>
          <w:p w:rsidR="009E77AC" w:rsidRPr="00942766" w:rsidRDefault="009E77AC"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(4.4)</w:t>
            </w:r>
          </w:p>
        </w:tc>
        <w:tc>
          <w:tcPr>
            <w:tcW w:w="641" w:type="dxa"/>
            <w:tcBorders>
              <w:top w:val="nil"/>
              <w:left w:val="nil"/>
              <w:bottom w:val="nil"/>
              <w:right w:val="nil"/>
            </w:tcBorders>
            <w:shd w:val="clear" w:color="auto" w:fill="auto"/>
            <w:noWrap/>
            <w:vAlign w:val="center"/>
            <w:hideMark/>
          </w:tcPr>
          <w:p w:rsidR="009E77AC" w:rsidRPr="00942766" w:rsidRDefault="009E77AC"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2</w:t>
            </w:r>
          </w:p>
        </w:tc>
        <w:tc>
          <w:tcPr>
            <w:tcW w:w="736" w:type="dxa"/>
            <w:tcBorders>
              <w:top w:val="nil"/>
              <w:left w:val="nil"/>
              <w:bottom w:val="nil"/>
              <w:right w:val="nil"/>
            </w:tcBorders>
            <w:shd w:val="clear" w:color="auto" w:fill="auto"/>
            <w:noWrap/>
            <w:vAlign w:val="center"/>
            <w:hideMark/>
          </w:tcPr>
          <w:p w:rsidR="009E77AC" w:rsidRPr="00942766" w:rsidRDefault="009E77AC"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(3.0)</w:t>
            </w:r>
          </w:p>
        </w:tc>
        <w:tc>
          <w:tcPr>
            <w:tcW w:w="236" w:type="dxa"/>
            <w:tcBorders>
              <w:top w:val="nil"/>
              <w:left w:val="nil"/>
              <w:bottom w:val="nil"/>
              <w:right w:val="nil"/>
            </w:tcBorders>
            <w:shd w:val="clear" w:color="auto" w:fill="auto"/>
            <w:noWrap/>
            <w:vAlign w:val="center"/>
            <w:hideMark/>
          </w:tcPr>
          <w:p w:rsidR="009E77AC" w:rsidRPr="00942766" w:rsidRDefault="009E77AC" w:rsidP="00080173">
            <w:pPr>
              <w:jc w:val="center"/>
              <w:rPr>
                <w:rFonts w:ascii="Calibri" w:eastAsia="Times New Roman" w:hAnsi="Calibri"/>
                <w:color w:val="000000"/>
                <w:sz w:val="18"/>
                <w:szCs w:val="18"/>
              </w:rPr>
            </w:pPr>
          </w:p>
        </w:tc>
        <w:tc>
          <w:tcPr>
            <w:tcW w:w="663" w:type="dxa"/>
            <w:tcBorders>
              <w:top w:val="nil"/>
              <w:left w:val="nil"/>
              <w:bottom w:val="nil"/>
              <w:right w:val="nil"/>
            </w:tcBorders>
            <w:shd w:val="clear" w:color="auto" w:fill="auto"/>
            <w:noWrap/>
            <w:vAlign w:val="center"/>
            <w:hideMark/>
          </w:tcPr>
          <w:p w:rsidR="009E77AC" w:rsidRPr="00942766" w:rsidRDefault="009E77AC"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w:t>
            </w:r>
          </w:p>
        </w:tc>
        <w:tc>
          <w:tcPr>
            <w:tcW w:w="736" w:type="dxa"/>
            <w:tcBorders>
              <w:top w:val="nil"/>
              <w:left w:val="nil"/>
              <w:bottom w:val="nil"/>
              <w:right w:val="nil"/>
            </w:tcBorders>
            <w:shd w:val="clear" w:color="auto" w:fill="auto"/>
            <w:noWrap/>
            <w:vAlign w:val="center"/>
            <w:hideMark/>
          </w:tcPr>
          <w:p w:rsidR="009E77AC" w:rsidRPr="00942766" w:rsidRDefault="009E77AC" w:rsidP="00080173">
            <w:pPr>
              <w:jc w:val="center"/>
              <w:rPr>
                <w:rFonts w:ascii="Calibri" w:eastAsia="Times New Roman" w:hAnsi="Calibri"/>
                <w:color w:val="000000"/>
                <w:sz w:val="18"/>
                <w:szCs w:val="18"/>
              </w:rPr>
            </w:pPr>
          </w:p>
        </w:tc>
      </w:tr>
      <w:tr w:rsidR="009E77AC" w:rsidRPr="00942766" w:rsidTr="00080173">
        <w:trPr>
          <w:trHeight w:val="300"/>
        </w:trPr>
        <w:tc>
          <w:tcPr>
            <w:tcW w:w="2127" w:type="dxa"/>
            <w:tcBorders>
              <w:top w:val="nil"/>
              <w:left w:val="nil"/>
              <w:bottom w:val="single" w:sz="4" w:space="0" w:color="auto"/>
              <w:right w:val="single" w:sz="8" w:space="0" w:color="auto"/>
            </w:tcBorders>
            <w:shd w:val="clear" w:color="auto" w:fill="auto"/>
            <w:noWrap/>
            <w:vAlign w:val="center"/>
            <w:hideMark/>
          </w:tcPr>
          <w:p w:rsidR="009E77AC" w:rsidRPr="00942766" w:rsidRDefault="009E77AC" w:rsidP="002833D4">
            <w:pPr>
              <w:jc w:val="right"/>
              <w:rPr>
                <w:rFonts w:ascii="Calibri" w:eastAsia="Times New Roman" w:hAnsi="Calibri"/>
                <w:color w:val="000000"/>
                <w:sz w:val="18"/>
                <w:szCs w:val="18"/>
              </w:rPr>
            </w:pPr>
            <w:r w:rsidRPr="00942766">
              <w:rPr>
                <w:rFonts w:ascii="Calibri" w:eastAsia="Times New Roman" w:hAnsi="Calibri"/>
                <w:color w:val="000000"/>
                <w:sz w:val="18"/>
                <w:szCs w:val="18"/>
              </w:rPr>
              <w:t>residential school</w:t>
            </w:r>
          </w:p>
        </w:tc>
        <w:tc>
          <w:tcPr>
            <w:tcW w:w="641" w:type="dxa"/>
            <w:tcBorders>
              <w:top w:val="nil"/>
              <w:left w:val="single" w:sz="8" w:space="0" w:color="auto"/>
              <w:bottom w:val="single" w:sz="4" w:space="0" w:color="auto"/>
              <w:right w:val="nil"/>
            </w:tcBorders>
            <w:shd w:val="clear" w:color="auto" w:fill="auto"/>
            <w:noWrap/>
            <w:vAlign w:val="center"/>
            <w:hideMark/>
          </w:tcPr>
          <w:p w:rsidR="009E77AC" w:rsidRPr="00942766" w:rsidRDefault="009E77AC"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1</w:t>
            </w:r>
          </w:p>
        </w:tc>
        <w:tc>
          <w:tcPr>
            <w:tcW w:w="832" w:type="dxa"/>
            <w:tcBorders>
              <w:top w:val="nil"/>
              <w:left w:val="nil"/>
              <w:bottom w:val="single" w:sz="4" w:space="0" w:color="auto"/>
              <w:right w:val="nil"/>
            </w:tcBorders>
            <w:shd w:val="clear" w:color="auto" w:fill="auto"/>
            <w:noWrap/>
            <w:vAlign w:val="center"/>
            <w:hideMark/>
          </w:tcPr>
          <w:p w:rsidR="009E77AC" w:rsidRPr="00942766" w:rsidRDefault="009E77AC"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(3.4)</w:t>
            </w:r>
          </w:p>
        </w:tc>
        <w:tc>
          <w:tcPr>
            <w:tcW w:w="673" w:type="dxa"/>
            <w:tcBorders>
              <w:top w:val="nil"/>
              <w:left w:val="nil"/>
              <w:bottom w:val="single" w:sz="4" w:space="0" w:color="auto"/>
              <w:right w:val="nil"/>
            </w:tcBorders>
            <w:shd w:val="clear" w:color="auto" w:fill="auto"/>
            <w:noWrap/>
            <w:vAlign w:val="center"/>
            <w:hideMark/>
          </w:tcPr>
          <w:p w:rsidR="009E77AC" w:rsidRPr="00942766" w:rsidRDefault="009E77AC"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2</w:t>
            </w:r>
          </w:p>
        </w:tc>
        <w:tc>
          <w:tcPr>
            <w:tcW w:w="879" w:type="dxa"/>
            <w:tcBorders>
              <w:top w:val="nil"/>
              <w:left w:val="nil"/>
              <w:bottom w:val="single" w:sz="4" w:space="0" w:color="auto"/>
              <w:right w:val="nil"/>
            </w:tcBorders>
            <w:shd w:val="clear" w:color="auto" w:fill="auto"/>
            <w:noWrap/>
            <w:vAlign w:val="center"/>
            <w:hideMark/>
          </w:tcPr>
          <w:p w:rsidR="009E77AC" w:rsidRPr="00942766" w:rsidRDefault="009E77AC"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(14.3)</w:t>
            </w:r>
          </w:p>
        </w:tc>
        <w:tc>
          <w:tcPr>
            <w:tcW w:w="641" w:type="dxa"/>
            <w:tcBorders>
              <w:top w:val="nil"/>
              <w:left w:val="nil"/>
              <w:bottom w:val="single" w:sz="4" w:space="0" w:color="auto"/>
              <w:right w:val="nil"/>
            </w:tcBorders>
            <w:shd w:val="clear" w:color="auto" w:fill="auto"/>
            <w:noWrap/>
            <w:vAlign w:val="center"/>
            <w:hideMark/>
          </w:tcPr>
          <w:p w:rsidR="009E77AC" w:rsidRPr="00942766" w:rsidRDefault="009E77AC"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10</w:t>
            </w:r>
          </w:p>
        </w:tc>
        <w:tc>
          <w:tcPr>
            <w:tcW w:w="736" w:type="dxa"/>
            <w:tcBorders>
              <w:top w:val="nil"/>
              <w:left w:val="nil"/>
              <w:bottom w:val="single" w:sz="4" w:space="0" w:color="auto"/>
              <w:right w:val="nil"/>
            </w:tcBorders>
            <w:shd w:val="clear" w:color="auto" w:fill="auto"/>
            <w:noWrap/>
            <w:vAlign w:val="center"/>
            <w:hideMark/>
          </w:tcPr>
          <w:p w:rsidR="009E77AC" w:rsidRPr="00942766" w:rsidRDefault="009E77AC"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(43.5)</w:t>
            </w:r>
          </w:p>
        </w:tc>
        <w:tc>
          <w:tcPr>
            <w:tcW w:w="641" w:type="dxa"/>
            <w:tcBorders>
              <w:top w:val="nil"/>
              <w:left w:val="nil"/>
              <w:bottom w:val="single" w:sz="4" w:space="0" w:color="auto"/>
              <w:right w:val="nil"/>
            </w:tcBorders>
            <w:shd w:val="clear" w:color="auto" w:fill="auto"/>
            <w:noWrap/>
            <w:vAlign w:val="center"/>
            <w:hideMark/>
          </w:tcPr>
          <w:p w:rsidR="009E77AC" w:rsidRPr="00942766" w:rsidRDefault="009E77AC"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13</w:t>
            </w:r>
          </w:p>
        </w:tc>
        <w:tc>
          <w:tcPr>
            <w:tcW w:w="736" w:type="dxa"/>
            <w:tcBorders>
              <w:top w:val="nil"/>
              <w:left w:val="nil"/>
              <w:bottom w:val="single" w:sz="4" w:space="0" w:color="auto"/>
              <w:right w:val="nil"/>
            </w:tcBorders>
            <w:shd w:val="clear" w:color="auto" w:fill="auto"/>
            <w:noWrap/>
            <w:vAlign w:val="center"/>
            <w:hideMark/>
          </w:tcPr>
          <w:p w:rsidR="009E77AC" w:rsidRPr="00942766" w:rsidRDefault="009E77AC"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(19.7)</w:t>
            </w:r>
          </w:p>
        </w:tc>
        <w:tc>
          <w:tcPr>
            <w:tcW w:w="236" w:type="dxa"/>
            <w:tcBorders>
              <w:top w:val="nil"/>
              <w:left w:val="nil"/>
              <w:bottom w:val="single" w:sz="4" w:space="0" w:color="auto"/>
              <w:right w:val="nil"/>
            </w:tcBorders>
            <w:shd w:val="clear" w:color="auto" w:fill="auto"/>
            <w:noWrap/>
            <w:vAlign w:val="center"/>
            <w:hideMark/>
          </w:tcPr>
          <w:p w:rsidR="009E77AC" w:rsidRPr="00942766" w:rsidRDefault="009E77AC" w:rsidP="00080173">
            <w:pPr>
              <w:jc w:val="center"/>
              <w:rPr>
                <w:rFonts w:ascii="Calibri" w:eastAsia="Times New Roman" w:hAnsi="Calibri"/>
                <w:color w:val="000000"/>
                <w:sz w:val="18"/>
                <w:szCs w:val="18"/>
              </w:rPr>
            </w:pPr>
          </w:p>
        </w:tc>
        <w:tc>
          <w:tcPr>
            <w:tcW w:w="663" w:type="dxa"/>
            <w:tcBorders>
              <w:top w:val="nil"/>
              <w:left w:val="nil"/>
              <w:bottom w:val="single" w:sz="4" w:space="0" w:color="auto"/>
              <w:right w:val="nil"/>
            </w:tcBorders>
            <w:shd w:val="clear" w:color="auto" w:fill="auto"/>
            <w:noWrap/>
            <w:vAlign w:val="center"/>
            <w:hideMark/>
          </w:tcPr>
          <w:p w:rsidR="009E77AC" w:rsidRPr="00942766" w:rsidRDefault="009E77AC" w:rsidP="00080173">
            <w:pPr>
              <w:jc w:val="center"/>
              <w:rPr>
                <w:rFonts w:ascii="Calibri" w:eastAsia="Times New Roman" w:hAnsi="Calibri"/>
                <w:color w:val="000000"/>
                <w:sz w:val="18"/>
                <w:szCs w:val="18"/>
              </w:rPr>
            </w:pPr>
            <w:r w:rsidRPr="00942766">
              <w:rPr>
                <w:rFonts w:ascii="Calibri" w:eastAsia="Times New Roman" w:hAnsi="Calibri"/>
                <w:color w:val="000000"/>
                <w:sz w:val="18"/>
                <w:szCs w:val="18"/>
              </w:rPr>
              <w:t>-</w:t>
            </w:r>
          </w:p>
        </w:tc>
        <w:tc>
          <w:tcPr>
            <w:tcW w:w="736" w:type="dxa"/>
            <w:tcBorders>
              <w:top w:val="nil"/>
              <w:left w:val="nil"/>
              <w:bottom w:val="single" w:sz="4" w:space="0" w:color="auto"/>
              <w:right w:val="nil"/>
            </w:tcBorders>
            <w:shd w:val="clear" w:color="auto" w:fill="auto"/>
            <w:noWrap/>
            <w:vAlign w:val="center"/>
            <w:hideMark/>
          </w:tcPr>
          <w:p w:rsidR="009E77AC" w:rsidRPr="00942766" w:rsidRDefault="009E77AC" w:rsidP="00080173">
            <w:pPr>
              <w:jc w:val="center"/>
              <w:rPr>
                <w:rFonts w:ascii="Calibri" w:eastAsia="Times New Roman" w:hAnsi="Calibri"/>
                <w:color w:val="000000"/>
                <w:sz w:val="18"/>
                <w:szCs w:val="18"/>
              </w:rPr>
            </w:pPr>
          </w:p>
        </w:tc>
      </w:tr>
    </w:tbl>
    <w:p w:rsidR="00335472" w:rsidRPr="00942766" w:rsidRDefault="00684B89" w:rsidP="00335472">
      <w:pPr>
        <w:sectPr w:rsidR="00335472" w:rsidRPr="00942766" w:rsidSect="00080173">
          <w:pgSz w:w="11900" w:h="16840"/>
          <w:pgMar w:top="720" w:right="720" w:bottom="720" w:left="720" w:header="720" w:footer="720" w:gutter="0"/>
          <w:cols w:space="720"/>
          <w:docGrid w:linePitch="360"/>
        </w:sectPr>
      </w:pPr>
      <w:r w:rsidRPr="00942766">
        <w:rPr>
          <w:noProof/>
        </w:rPr>
        <mc:AlternateContent>
          <mc:Choice Requires="wps">
            <w:drawing>
              <wp:anchor distT="45720" distB="45720" distL="114300" distR="114300" simplePos="0" relativeHeight="251659264" behindDoc="0" locked="0" layoutInCell="1" allowOverlap="1" wp14:anchorId="6E94DEFF" wp14:editId="3B4ED46D">
                <wp:simplePos x="0" y="0"/>
                <wp:positionH relativeFrom="column">
                  <wp:posOffset>38100</wp:posOffset>
                </wp:positionH>
                <wp:positionV relativeFrom="paragraph">
                  <wp:posOffset>217170</wp:posOffset>
                </wp:positionV>
                <wp:extent cx="6057900" cy="381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81000"/>
                        </a:xfrm>
                        <a:prstGeom prst="rect">
                          <a:avLst/>
                        </a:prstGeom>
                        <a:noFill/>
                        <a:ln w="9525">
                          <a:noFill/>
                          <a:miter lim="800000"/>
                          <a:headEnd/>
                          <a:tailEnd/>
                        </a:ln>
                      </wps:spPr>
                      <wps:txbx>
                        <w:txbxContent>
                          <w:p w:rsidR="00437B31" w:rsidRPr="00C3274B" w:rsidRDefault="00437B31">
                            <w:pPr>
                              <w:rPr>
                                <w:sz w:val="18"/>
                                <w:szCs w:val="18"/>
                              </w:rPr>
                            </w:pPr>
                            <w:r>
                              <w:rPr>
                                <w:sz w:val="18"/>
                                <w:szCs w:val="18"/>
                              </w:rPr>
                              <w:t xml:space="preserve">*: </w:t>
                            </w:r>
                            <w:r w:rsidRPr="00C3274B">
                              <w:rPr>
                                <w:sz w:val="18"/>
                                <w:szCs w:val="18"/>
                              </w:rPr>
                              <w:t xml:space="preserve">Medication costs are not included. 34 of 110 reported </w:t>
                            </w:r>
                            <w:r>
                              <w:rPr>
                                <w:sz w:val="18"/>
                                <w:szCs w:val="18"/>
                              </w:rPr>
                              <w:t xml:space="preserve">having used </w:t>
                            </w:r>
                            <w:r w:rsidRPr="00C3274B">
                              <w:rPr>
                                <w:sz w:val="18"/>
                                <w:szCs w:val="18"/>
                              </w:rPr>
                              <w:t xml:space="preserve">medication which was unnamed in 16. Dose and frequency </w:t>
                            </w:r>
                            <w:r>
                              <w:rPr>
                                <w:sz w:val="18"/>
                                <w:szCs w:val="18"/>
                              </w:rPr>
                              <w:t>information was seldom available.</w:t>
                            </w:r>
                            <w:r w:rsidRPr="00C3274B">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94DEFF" id="_x0000_t202" coordsize="21600,21600" o:spt="202" path="m,l,21600r21600,l21600,xe">
                <v:stroke joinstyle="miter"/>
                <v:path gradientshapeok="t" o:connecttype="rect"/>
              </v:shapetype>
              <v:shape id="Text Box 2" o:spid="_x0000_s1026" type="#_x0000_t202" style="position:absolute;margin-left:3pt;margin-top:17.1pt;width:477pt;height:3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" filled="f" stroked="f">
                <v:textbox>
                  <w:txbxContent>
                    <w:p w:rsidR="00437B31" w:rsidRPr="00C3274B" w:rsidRDefault="00437B31">
                      <w:pPr>
                        <w:rPr>
                          <w:sz w:val="18"/>
                          <w:szCs w:val="18"/>
                        </w:rPr>
                      </w:pPr>
                      <w:r>
                        <w:rPr>
                          <w:sz w:val="18"/>
                          <w:szCs w:val="18"/>
                        </w:rPr>
                        <w:t xml:space="preserve">*: </w:t>
                      </w:r>
                      <w:r w:rsidRPr="00C3274B">
                        <w:rPr>
                          <w:sz w:val="18"/>
                          <w:szCs w:val="18"/>
                        </w:rPr>
                        <w:t xml:space="preserve">Medication costs are not included. 34 of 110 reported </w:t>
                      </w:r>
                      <w:r>
                        <w:rPr>
                          <w:sz w:val="18"/>
                          <w:szCs w:val="18"/>
                        </w:rPr>
                        <w:t xml:space="preserve">having used </w:t>
                      </w:r>
                      <w:r w:rsidRPr="00C3274B">
                        <w:rPr>
                          <w:sz w:val="18"/>
                          <w:szCs w:val="18"/>
                        </w:rPr>
                        <w:t xml:space="preserve">medication which was unnamed in 16. Dose and frequency </w:t>
                      </w:r>
                      <w:r>
                        <w:rPr>
                          <w:sz w:val="18"/>
                          <w:szCs w:val="18"/>
                        </w:rPr>
                        <w:t>information was seldom available.</w:t>
                      </w:r>
                      <w:r w:rsidRPr="00C3274B">
                        <w:rPr>
                          <w:sz w:val="18"/>
                          <w:szCs w:val="18"/>
                        </w:rPr>
                        <w:t xml:space="preserve">  </w:t>
                      </w:r>
                    </w:p>
                  </w:txbxContent>
                </v:textbox>
                <w10:wrap type="square"/>
              </v:shape>
            </w:pict>
          </mc:Fallback>
        </mc:AlternateContent>
      </w:r>
    </w:p>
    <w:p w:rsidR="00335472" w:rsidRPr="00942766" w:rsidRDefault="00F6153B" w:rsidP="00335472">
      <w:pPr>
        <w:pStyle w:val="Caption"/>
        <w:keepNext/>
        <w:rPr>
          <w:rFonts w:ascii="Times New Roman" w:hAnsi="Times New Roman" w:cs="Times New Roman"/>
          <w:sz w:val="22"/>
          <w:szCs w:val="22"/>
        </w:rPr>
      </w:pPr>
      <w:bookmarkStart w:id="1" w:name="_Toc487891344"/>
      <w:r w:rsidRPr="00942766">
        <w:rPr>
          <w:rFonts w:ascii="Times New Roman" w:hAnsi="Times New Roman" w:cs="Times New Roman"/>
          <w:smallCaps w:val="0"/>
          <w:sz w:val="22"/>
          <w:szCs w:val="22"/>
        </w:rPr>
        <w:lastRenderedPageBreak/>
        <w:t>Table 3</w:t>
      </w:r>
      <w:r w:rsidR="00EB7698" w:rsidRPr="00942766">
        <w:rPr>
          <w:rFonts w:ascii="Times New Roman" w:hAnsi="Times New Roman" w:cs="Times New Roman"/>
          <w:smallCaps w:val="0"/>
          <w:sz w:val="22"/>
          <w:szCs w:val="22"/>
        </w:rPr>
        <w:t xml:space="preserve"> Unit costs of resource items</w:t>
      </w:r>
      <w:bookmarkEnd w:id="1"/>
    </w:p>
    <w:tbl>
      <w:tblPr>
        <w:tblW w:w="0" w:type="auto"/>
        <w:tblLayout w:type="fixed"/>
        <w:tblLook w:val="04A0" w:firstRow="1" w:lastRow="0" w:firstColumn="1" w:lastColumn="0" w:noHBand="0" w:noVBand="1"/>
      </w:tblPr>
      <w:tblGrid>
        <w:gridCol w:w="4536"/>
        <w:gridCol w:w="2023"/>
        <w:gridCol w:w="2461"/>
      </w:tblGrid>
      <w:tr w:rsidR="00335472" w:rsidRPr="00942766" w:rsidTr="00080173">
        <w:trPr>
          <w:trHeight w:val="256"/>
          <w:tblHeader/>
        </w:trPr>
        <w:tc>
          <w:tcPr>
            <w:tcW w:w="4536" w:type="dxa"/>
            <w:tcBorders>
              <w:top w:val="single" w:sz="4" w:space="0" w:color="auto"/>
              <w:left w:val="nil"/>
              <w:bottom w:val="single" w:sz="4" w:space="0" w:color="auto"/>
              <w:right w:val="nil"/>
            </w:tcBorders>
            <w:shd w:val="clear" w:color="auto" w:fill="auto"/>
            <w:noWrap/>
            <w:hideMark/>
          </w:tcPr>
          <w:p w:rsidR="00335472" w:rsidRPr="00942766" w:rsidRDefault="00335472" w:rsidP="002833D4">
            <w:pPr>
              <w:rPr>
                <w:rFonts w:ascii="Calibri" w:eastAsia="Times New Roman" w:hAnsi="Calibri"/>
                <w:b/>
                <w:bCs/>
                <w:color w:val="000000"/>
                <w:sz w:val="18"/>
                <w:szCs w:val="18"/>
              </w:rPr>
            </w:pPr>
            <w:r w:rsidRPr="00942766">
              <w:rPr>
                <w:rFonts w:ascii="Calibri" w:eastAsia="Times New Roman" w:hAnsi="Calibri"/>
                <w:b/>
                <w:bCs/>
                <w:color w:val="000000"/>
                <w:sz w:val="18"/>
                <w:szCs w:val="18"/>
              </w:rPr>
              <w:t>Resource Items</w:t>
            </w:r>
          </w:p>
        </w:tc>
        <w:tc>
          <w:tcPr>
            <w:tcW w:w="2023" w:type="dxa"/>
            <w:tcBorders>
              <w:top w:val="single" w:sz="4" w:space="0" w:color="auto"/>
              <w:left w:val="nil"/>
              <w:bottom w:val="single" w:sz="4" w:space="0" w:color="auto"/>
              <w:right w:val="nil"/>
            </w:tcBorders>
            <w:shd w:val="clear" w:color="auto" w:fill="auto"/>
            <w:noWrap/>
            <w:hideMark/>
          </w:tcPr>
          <w:p w:rsidR="00335472" w:rsidRPr="00942766" w:rsidRDefault="00335472" w:rsidP="00CA204D">
            <w:pPr>
              <w:jc w:val="right"/>
              <w:rPr>
                <w:rFonts w:ascii="Calibri" w:eastAsia="Times New Roman" w:hAnsi="Calibri"/>
                <w:b/>
                <w:bCs/>
                <w:color w:val="000000"/>
                <w:sz w:val="18"/>
                <w:szCs w:val="18"/>
              </w:rPr>
            </w:pPr>
            <w:r w:rsidRPr="00942766">
              <w:rPr>
                <w:rFonts w:ascii="Calibri" w:eastAsia="Times New Roman" w:hAnsi="Calibri"/>
                <w:b/>
                <w:bCs/>
                <w:color w:val="000000"/>
                <w:sz w:val="18"/>
                <w:szCs w:val="18"/>
              </w:rPr>
              <w:t>Unit Cost or Range*</w:t>
            </w:r>
          </w:p>
        </w:tc>
        <w:tc>
          <w:tcPr>
            <w:tcW w:w="2461" w:type="dxa"/>
            <w:tcBorders>
              <w:top w:val="single" w:sz="4" w:space="0" w:color="auto"/>
              <w:left w:val="nil"/>
              <w:bottom w:val="single" w:sz="4" w:space="0" w:color="auto"/>
              <w:right w:val="nil"/>
            </w:tcBorders>
            <w:shd w:val="clear" w:color="auto" w:fill="auto"/>
            <w:noWrap/>
            <w:hideMark/>
          </w:tcPr>
          <w:p w:rsidR="00335472" w:rsidRPr="00942766" w:rsidRDefault="00335472" w:rsidP="00CA204D">
            <w:pPr>
              <w:jc w:val="center"/>
              <w:rPr>
                <w:rFonts w:ascii="Calibri" w:eastAsia="Times New Roman" w:hAnsi="Calibri"/>
                <w:b/>
                <w:bCs/>
                <w:color w:val="000000"/>
                <w:sz w:val="18"/>
                <w:szCs w:val="18"/>
              </w:rPr>
            </w:pPr>
            <w:r w:rsidRPr="00942766">
              <w:rPr>
                <w:rFonts w:ascii="Calibri" w:eastAsia="Times New Roman" w:hAnsi="Calibri"/>
                <w:b/>
                <w:bCs/>
                <w:color w:val="000000"/>
                <w:sz w:val="18"/>
                <w:szCs w:val="18"/>
              </w:rPr>
              <w:t>Source of Unit Cost</w:t>
            </w:r>
          </w:p>
        </w:tc>
      </w:tr>
      <w:tr w:rsidR="00335472" w:rsidRPr="00942766" w:rsidTr="00080173">
        <w:trPr>
          <w:trHeight w:val="324"/>
          <w:tblHeader/>
        </w:trPr>
        <w:tc>
          <w:tcPr>
            <w:tcW w:w="4536" w:type="dxa"/>
            <w:tcBorders>
              <w:top w:val="single" w:sz="4" w:space="0" w:color="auto"/>
              <w:left w:val="nil"/>
              <w:bottom w:val="nil"/>
              <w:right w:val="nil"/>
            </w:tcBorders>
            <w:shd w:val="clear" w:color="auto" w:fill="auto"/>
            <w:noWrap/>
            <w:hideMark/>
          </w:tcPr>
          <w:p w:rsidR="00335472" w:rsidRPr="00942766" w:rsidRDefault="00335472" w:rsidP="002833D4">
            <w:pPr>
              <w:rPr>
                <w:rFonts w:ascii="Calibri" w:eastAsia="Times New Roman" w:hAnsi="Calibri"/>
                <w:b/>
                <w:color w:val="000000"/>
                <w:sz w:val="18"/>
                <w:szCs w:val="18"/>
              </w:rPr>
            </w:pPr>
            <w:r w:rsidRPr="00942766">
              <w:rPr>
                <w:rFonts w:ascii="Calibri" w:eastAsia="Times New Roman" w:hAnsi="Calibri"/>
                <w:b/>
                <w:color w:val="000000"/>
                <w:sz w:val="18"/>
                <w:szCs w:val="18"/>
              </w:rPr>
              <w:t>Community and social care services</w:t>
            </w:r>
            <w:r w:rsidR="009E77AC" w:rsidRPr="00942766">
              <w:rPr>
                <w:rFonts w:ascii="Calibri" w:eastAsia="Times New Roman" w:hAnsi="Calibri"/>
                <w:b/>
                <w:color w:val="000000"/>
                <w:sz w:val="18"/>
                <w:szCs w:val="18"/>
              </w:rPr>
              <w:t xml:space="preserve">, </w:t>
            </w:r>
            <w:r w:rsidR="0093425F" w:rsidRPr="00942766">
              <w:rPr>
                <w:rFonts w:ascii="Calibri" w:eastAsia="Times New Roman" w:hAnsi="Calibri"/>
                <w:b/>
                <w:color w:val="000000"/>
                <w:sz w:val="18"/>
                <w:szCs w:val="18"/>
              </w:rPr>
              <w:t xml:space="preserve">per </w:t>
            </w:r>
            <w:r w:rsidR="009E77AC" w:rsidRPr="00942766">
              <w:rPr>
                <w:rFonts w:ascii="Calibri" w:eastAsia="Times New Roman" w:hAnsi="Calibri"/>
                <w:b/>
                <w:color w:val="000000"/>
                <w:sz w:val="18"/>
                <w:szCs w:val="18"/>
              </w:rPr>
              <w:t>contact hour</w:t>
            </w:r>
          </w:p>
        </w:tc>
        <w:tc>
          <w:tcPr>
            <w:tcW w:w="2023" w:type="dxa"/>
            <w:tcBorders>
              <w:top w:val="single" w:sz="4" w:space="0" w:color="auto"/>
              <w:left w:val="nil"/>
              <w:bottom w:val="nil"/>
              <w:right w:val="nil"/>
            </w:tcBorders>
            <w:shd w:val="clear" w:color="auto" w:fill="auto"/>
            <w:noWrap/>
            <w:hideMark/>
          </w:tcPr>
          <w:p w:rsidR="00335472" w:rsidRPr="00942766" w:rsidRDefault="00335472" w:rsidP="00CA204D">
            <w:pPr>
              <w:jc w:val="right"/>
              <w:rPr>
                <w:rFonts w:ascii="Calibri" w:eastAsia="Times New Roman" w:hAnsi="Calibri"/>
                <w:color w:val="000000"/>
                <w:sz w:val="18"/>
                <w:szCs w:val="18"/>
              </w:rPr>
            </w:pPr>
          </w:p>
        </w:tc>
        <w:tc>
          <w:tcPr>
            <w:tcW w:w="2461" w:type="dxa"/>
            <w:tcBorders>
              <w:top w:val="single" w:sz="4" w:space="0" w:color="auto"/>
              <w:left w:val="nil"/>
              <w:bottom w:val="nil"/>
              <w:right w:val="nil"/>
            </w:tcBorders>
            <w:shd w:val="clear" w:color="auto" w:fill="auto"/>
            <w:noWrap/>
            <w:hideMark/>
          </w:tcPr>
          <w:p w:rsidR="00335472" w:rsidRPr="00942766" w:rsidRDefault="00335472" w:rsidP="00CA204D">
            <w:pPr>
              <w:jc w:val="center"/>
              <w:rPr>
                <w:rFonts w:ascii="Calibri" w:eastAsia="Times New Roman" w:hAnsi="Calibri"/>
                <w:color w:val="000000"/>
                <w:sz w:val="18"/>
                <w:szCs w:val="18"/>
              </w:rPr>
            </w:pPr>
          </w:p>
        </w:tc>
      </w:tr>
      <w:tr w:rsidR="009E77AC" w:rsidRPr="00942766" w:rsidTr="00080173">
        <w:trPr>
          <w:trHeight w:val="300"/>
          <w:tblHeader/>
        </w:trPr>
        <w:tc>
          <w:tcPr>
            <w:tcW w:w="4536" w:type="dxa"/>
            <w:tcBorders>
              <w:top w:val="nil"/>
              <w:left w:val="nil"/>
              <w:bottom w:val="nil"/>
              <w:right w:val="nil"/>
            </w:tcBorders>
            <w:shd w:val="clear" w:color="auto" w:fill="auto"/>
            <w:noWrap/>
          </w:tcPr>
          <w:p w:rsidR="009E77AC" w:rsidRPr="00942766" w:rsidRDefault="009E77AC" w:rsidP="002833D4">
            <w:pPr>
              <w:jc w:val="right"/>
              <w:rPr>
                <w:rFonts w:ascii="Calibri" w:eastAsia="Times New Roman" w:hAnsi="Calibri"/>
                <w:color w:val="000000"/>
                <w:sz w:val="18"/>
                <w:szCs w:val="18"/>
              </w:rPr>
            </w:pPr>
            <w:r w:rsidRPr="00942766">
              <w:rPr>
                <w:rFonts w:ascii="Calibri" w:eastAsia="Times New Roman" w:hAnsi="Calibri"/>
                <w:color w:val="000000"/>
                <w:sz w:val="18"/>
                <w:szCs w:val="18"/>
              </w:rPr>
              <w:t>Practice nurse</w:t>
            </w:r>
          </w:p>
        </w:tc>
        <w:tc>
          <w:tcPr>
            <w:tcW w:w="2023" w:type="dxa"/>
            <w:tcBorders>
              <w:top w:val="nil"/>
              <w:left w:val="nil"/>
              <w:bottom w:val="nil"/>
              <w:right w:val="nil"/>
            </w:tcBorders>
            <w:shd w:val="clear" w:color="auto" w:fill="auto"/>
            <w:noWrap/>
          </w:tcPr>
          <w:p w:rsidR="009E77AC" w:rsidRPr="00942766" w:rsidRDefault="009E77AC" w:rsidP="009E77AC">
            <w:pPr>
              <w:jc w:val="right"/>
              <w:rPr>
                <w:rFonts w:ascii="Calibri" w:eastAsia="Times New Roman" w:hAnsi="Calibri"/>
                <w:color w:val="000000"/>
                <w:sz w:val="18"/>
                <w:szCs w:val="18"/>
              </w:rPr>
            </w:pPr>
            <w:r w:rsidRPr="00942766">
              <w:rPr>
                <w:rFonts w:ascii="Calibri" w:eastAsia="Times New Roman" w:hAnsi="Calibri"/>
                <w:color w:val="000000"/>
                <w:sz w:val="18"/>
                <w:szCs w:val="18"/>
              </w:rPr>
              <w:t>41.0 (35.0-53.0)</w:t>
            </w:r>
          </w:p>
        </w:tc>
        <w:tc>
          <w:tcPr>
            <w:tcW w:w="2461" w:type="dxa"/>
            <w:tcBorders>
              <w:top w:val="nil"/>
              <w:left w:val="nil"/>
              <w:bottom w:val="nil"/>
              <w:right w:val="nil"/>
            </w:tcBorders>
            <w:shd w:val="clear" w:color="auto" w:fill="auto"/>
            <w:noWrap/>
          </w:tcPr>
          <w:p w:rsidR="009E77AC" w:rsidRPr="00942766" w:rsidRDefault="009E77AC" w:rsidP="009E77AC">
            <w:pPr>
              <w:jc w:val="center"/>
              <w:rPr>
                <w:rFonts w:ascii="Calibri" w:eastAsia="Times New Roman" w:hAnsi="Calibri"/>
                <w:color w:val="000000"/>
                <w:sz w:val="18"/>
                <w:szCs w:val="18"/>
              </w:rPr>
            </w:pPr>
            <w:r w:rsidRPr="00942766">
              <w:rPr>
                <w:rFonts w:ascii="Calibri" w:eastAsia="Times New Roman" w:hAnsi="Calibri"/>
                <w:color w:val="000000"/>
                <w:sz w:val="18"/>
                <w:szCs w:val="18"/>
              </w:rPr>
              <w:t>Curtis</w:t>
            </w:r>
            <w:r w:rsidRPr="00942766">
              <w:rPr>
                <w:rFonts w:ascii="Calibri (Body)" w:eastAsia="Times New Roman" w:hAnsi="Calibri (Body)"/>
                <w:color w:val="000000"/>
                <w:sz w:val="18"/>
                <w:szCs w:val="18"/>
                <w:vertAlign w:val="superscript"/>
              </w:rPr>
              <w:t>27</w:t>
            </w:r>
          </w:p>
        </w:tc>
      </w:tr>
      <w:tr w:rsidR="009E77AC" w:rsidRPr="00942766" w:rsidTr="00080173">
        <w:trPr>
          <w:trHeight w:val="340"/>
          <w:tblHeader/>
        </w:trPr>
        <w:tc>
          <w:tcPr>
            <w:tcW w:w="4536" w:type="dxa"/>
            <w:tcBorders>
              <w:top w:val="nil"/>
              <w:left w:val="nil"/>
              <w:bottom w:val="nil"/>
              <w:right w:val="nil"/>
            </w:tcBorders>
            <w:shd w:val="clear" w:color="auto" w:fill="auto"/>
            <w:noWrap/>
          </w:tcPr>
          <w:p w:rsidR="009E77AC" w:rsidRPr="00942766" w:rsidRDefault="009E77AC" w:rsidP="002833D4">
            <w:pPr>
              <w:jc w:val="right"/>
              <w:rPr>
                <w:rFonts w:ascii="Calibri" w:eastAsia="Times New Roman" w:hAnsi="Calibri"/>
                <w:color w:val="000000"/>
                <w:sz w:val="18"/>
                <w:szCs w:val="18"/>
              </w:rPr>
            </w:pPr>
            <w:r w:rsidRPr="00942766">
              <w:rPr>
                <w:rFonts w:ascii="Calibri" w:eastAsia="Times New Roman" w:hAnsi="Calibri"/>
                <w:color w:val="000000"/>
                <w:sz w:val="18"/>
                <w:szCs w:val="18"/>
              </w:rPr>
              <w:t>Community nurse</w:t>
            </w:r>
            <w:r w:rsidRPr="00942766" w:rsidDel="009E77AC">
              <w:rPr>
                <w:rFonts w:ascii="Calibri" w:eastAsia="Times New Roman" w:hAnsi="Calibri"/>
                <w:color w:val="000000"/>
                <w:sz w:val="18"/>
                <w:szCs w:val="18"/>
              </w:rPr>
              <w:t xml:space="preserve"> </w:t>
            </w:r>
          </w:p>
        </w:tc>
        <w:tc>
          <w:tcPr>
            <w:tcW w:w="2023" w:type="dxa"/>
            <w:tcBorders>
              <w:top w:val="nil"/>
              <w:left w:val="nil"/>
              <w:bottom w:val="nil"/>
              <w:right w:val="nil"/>
            </w:tcBorders>
            <w:shd w:val="clear" w:color="auto" w:fill="auto"/>
            <w:noWrap/>
          </w:tcPr>
          <w:p w:rsidR="009E77AC" w:rsidRPr="00942766" w:rsidRDefault="009E77AC" w:rsidP="009E77AC">
            <w:pPr>
              <w:jc w:val="right"/>
              <w:rPr>
                <w:rFonts w:ascii="Calibri" w:eastAsia="Times New Roman" w:hAnsi="Calibri"/>
                <w:color w:val="000000"/>
                <w:sz w:val="18"/>
                <w:szCs w:val="18"/>
              </w:rPr>
            </w:pPr>
            <w:r w:rsidRPr="00942766">
              <w:rPr>
                <w:rFonts w:ascii="Calibri" w:eastAsia="Times New Roman" w:hAnsi="Calibri"/>
                <w:color w:val="000000"/>
                <w:sz w:val="18"/>
                <w:szCs w:val="18"/>
              </w:rPr>
              <w:t>39.0 (33.0-43.0)</w:t>
            </w:r>
          </w:p>
        </w:tc>
        <w:tc>
          <w:tcPr>
            <w:tcW w:w="2461" w:type="dxa"/>
            <w:tcBorders>
              <w:top w:val="nil"/>
              <w:left w:val="nil"/>
              <w:bottom w:val="nil"/>
              <w:right w:val="nil"/>
            </w:tcBorders>
            <w:shd w:val="clear" w:color="auto" w:fill="auto"/>
            <w:noWrap/>
          </w:tcPr>
          <w:p w:rsidR="009E77AC" w:rsidRPr="00942766" w:rsidRDefault="009E77AC" w:rsidP="009E77AC">
            <w:pPr>
              <w:jc w:val="center"/>
              <w:rPr>
                <w:rFonts w:ascii="Calibri" w:eastAsia="Times New Roman" w:hAnsi="Calibri"/>
                <w:color w:val="000000"/>
                <w:sz w:val="18"/>
                <w:szCs w:val="18"/>
              </w:rPr>
            </w:pPr>
            <w:r w:rsidRPr="00942766">
              <w:rPr>
                <w:rFonts w:ascii="Calibri" w:eastAsia="Times New Roman" w:hAnsi="Calibri"/>
                <w:color w:val="000000"/>
                <w:sz w:val="18"/>
                <w:szCs w:val="18"/>
              </w:rPr>
              <w:t>Curtis</w:t>
            </w:r>
            <w:r w:rsidRPr="00942766">
              <w:rPr>
                <w:rFonts w:ascii="Calibri (Body)" w:eastAsia="Times New Roman" w:hAnsi="Calibri (Body)"/>
                <w:color w:val="000000"/>
                <w:sz w:val="18"/>
                <w:szCs w:val="18"/>
                <w:vertAlign w:val="superscript"/>
              </w:rPr>
              <w:t>27</w:t>
            </w:r>
          </w:p>
        </w:tc>
      </w:tr>
      <w:tr w:rsidR="009E77AC" w:rsidRPr="00942766" w:rsidTr="00080173">
        <w:trPr>
          <w:trHeight w:val="340"/>
          <w:tblHeader/>
        </w:trPr>
        <w:tc>
          <w:tcPr>
            <w:tcW w:w="4536" w:type="dxa"/>
            <w:tcBorders>
              <w:top w:val="nil"/>
              <w:left w:val="nil"/>
              <w:bottom w:val="nil"/>
              <w:right w:val="nil"/>
            </w:tcBorders>
            <w:shd w:val="clear" w:color="auto" w:fill="auto"/>
            <w:noWrap/>
          </w:tcPr>
          <w:p w:rsidR="009E77AC" w:rsidRPr="00942766" w:rsidRDefault="009E77AC" w:rsidP="002833D4">
            <w:pPr>
              <w:jc w:val="right"/>
              <w:rPr>
                <w:rFonts w:ascii="Calibri" w:eastAsia="Times New Roman" w:hAnsi="Calibri"/>
                <w:color w:val="000000"/>
                <w:sz w:val="18"/>
                <w:szCs w:val="18"/>
              </w:rPr>
            </w:pPr>
            <w:r w:rsidRPr="00942766">
              <w:rPr>
                <w:rFonts w:ascii="Calibri" w:eastAsia="Times New Roman" w:hAnsi="Calibri"/>
                <w:color w:val="000000"/>
                <w:sz w:val="18"/>
                <w:szCs w:val="18"/>
              </w:rPr>
              <w:t>Community paediatrician</w:t>
            </w:r>
            <w:r w:rsidRPr="00942766" w:rsidDel="009E77AC">
              <w:rPr>
                <w:rFonts w:ascii="Calibri" w:eastAsia="Times New Roman" w:hAnsi="Calibri"/>
                <w:color w:val="000000"/>
                <w:sz w:val="18"/>
                <w:szCs w:val="18"/>
              </w:rPr>
              <w:t xml:space="preserve"> </w:t>
            </w:r>
          </w:p>
        </w:tc>
        <w:tc>
          <w:tcPr>
            <w:tcW w:w="2023" w:type="dxa"/>
            <w:tcBorders>
              <w:top w:val="nil"/>
              <w:left w:val="nil"/>
              <w:bottom w:val="nil"/>
              <w:right w:val="nil"/>
            </w:tcBorders>
            <w:shd w:val="clear" w:color="auto" w:fill="auto"/>
            <w:noWrap/>
          </w:tcPr>
          <w:p w:rsidR="009E77AC" w:rsidRPr="00942766" w:rsidRDefault="009E77AC" w:rsidP="009E77AC">
            <w:pPr>
              <w:jc w:val="right"/>
              <w:rPr>
                <w:rFonts w:ascii="Calibri" w:eastAsia="Times New Roman" w:hAnsi="Calibri"/>
                <w:color w:val="000000"/>
                <w:sz w:val="18"/>
                <w:szCs w:val="18"/>
              </w:rPr>
            </w:pPr>
            <w:r w:rsidRPr="00942766">
              <w:rPr>
                <w:rFonts w:ascii="Calibri" w:eastAsia="Times New Roman" w:hAnsi="Calibri"/>
                <w:color w:val="000000"/>
                <w:sz w:val="18"/>
                <w:szCs w:val="18"/>
              </w:rPr>
              <w:t>223.0</w:t>
            </w:r>
          </w:p>
        </w:tc>
        <w:tc>
          <w:tcPr>
            <w:tcW w:w="2461" w:type="dxa"/>
            <w:tcBorders>
              <w:top w:val="nil"/>
              <w:left w:val="nil"/>
              <w:bottom w:val="nil"/>
              <w:right w:val="nil"/>
            </w:tcBorders>
            <w:shd w:val="clear" w:color="auto" w:fill="auto"/>
            <w:noWrap/>
          </w:tcPr>
          <w:p w:rsidR="009E77AC" w:rsidRPr="00942766" w:rsidRDefault="009E77AC" w:rsidP="009E77AC">
            <w:pPr>
              <w:jc w:val="center"/>
              <w:rPr>
                <w:rFonts w:ascii="Calibri" w:eastAsia="Times New Roman" w:hAnsi="Calibri"/>
                <w:color w:val="000000"/>
                <w:sz w:val="18"/>
                <w:szCs w:val="18"/>
              </w:rPr>
            </w:pPr>
            <w:r w:rsidRPr="00942766">
              <w:rPr>
                <w:rFonts w:ascii="Calibri" w:eastAsia="Times New Roman" w:hAnsi="Calibri"/>
                <w:color w:val="000000"/>
                <w:sz w:val="18"/>
                <w:szCs w:val="18"/>
              </w:rPr>
              <w:t>NHS Ref.Cost</w:t>
            </w:r>
            <w:r w:rsidRPr="00942766">
              <w:rPr>
                <w:rFonts w:ascii="Calibri (Body)" w:eastAsia="Times New Roman" w:hAnsi="Calibri (Body)"/>
                <w:color w:val="000000"/>
                <w:sz w:val="18"/>
                <w:szCs w:val="18"/>
                <w:vertAlign w:val="superscript"/>
              </w:rPr>
              <w:t>28</w:t>
            </w:r>
          </w:p>
        </w:tc>
      </w:tr>
      <w:tr w:rsidR="009E77AC" w:rsidRPr="00942766" w:rsidTr="00080173">
        <w:trPr>
          <w:trHeight w:val="340"/>
          <w:tblHeader/>
        </w:trPr>
        <w:tc>
          <w:tcPr>
            <w:tcW w:w="4536" w:type="dxa"/>
            <w:tcBorders>
              <w:top w:val="nil"/>
              <w:left w:val="nil"/>
              <w:bottom w:val="nil"/>
              <w:right w:val="nil"/>
            </w:tcBorders>
            <w:shd w:val="clear" w:color="auto" w:fill="auto"/>
            <w:noWrap/>
          </w:tcPr>
          <w:p w:rsidR="009E77AC" w:rsidRPr="00942766" w:rsidRDefault="009E77AC" w:rsidP="002833D4">
            <w:pPr>
              <w:jc w:val="right"/>
              <w:rPr>
                <w:rFonts w:ascii="Calibri" w:eastAsia="Times New Roman" w:hAnsi="Calibri"/>
                <w:color w:val="000000"/>
                <w:sz w:val="18"/>
                <w:szCs w:val="18"/>
              </w:rPr>
            </w:pPr>
            <w:r w:rsidRPr="00942766">
              <w:rPr>
                <w:rFonts w:ascii="Calibri" w:eastAsia="Times New Roman" w:hAnsi="Calibri"/>
                <w:color w:val="000000"/>
                <w:sz w:val="18"/>
                <w:szCs w:val="18"/>
              </w:rPr>
              <w:t>Dentists</w:t>
            </w:r>
            <w:r w:rsidRPr="00942766" w:rsidDel="009E77AC">
              <w:rPr>
                <w:rFonts w:ascii="Calibri" w:eastAsia="Times New Roman" w:hAnsi="Calibri"/>
                <w:color w:val="000000"/>
                <w:sz w:val="18"/>
                <w:szCs w:val="18"/>
              </w:rPr>
              <w:t xml:space="preserve"> </w:t>
            </w:r>
          </w:p>
        </w:tc>
        <w:tc>
          <w:tcPr>
            <w:tcW w:w="2023" w:type="dxa"/>
            <w:tcBorders>
              <w:top w:val="nil"/>
              <w:left w:val="nil"/>
              <w:bottom w:val="nil"/>
              <w:right w:val="nil"/>
            </w:tcBorders>
            <w:shd w:val="clear" w:color="auto" w:fill="auto"/>
            <w:noWrap/>
          </w:tcPr>
          <w:p w:rsidR="009E77AC" w:rsidRPr="00942766" w:rsidRDefault="009E77AC" w:rsidP="009E77AC">
            <w:pPr>
              <w:jc w:val="right"/>
              <w:rPr>
                <w:rFonts w:ascii="Calibri" w:eastAsia="Times New Roman" w:hAnsi="Calibri"/>
                <w:color w:val="000000"/>
                <w:sz w:val="18"/>
                <w:szCs w:val="18"/>
              </w:rPr>
            </w:pPr>
            <w:r w:rsidRPr="00942766">
              <w:rPr>
                <w:rFonts w:ascii="Calibri" w:eastAsia="Times New Roman" w:hAnsi="Calibri"/>
                <w:color w:val="000000"/>
                <w:sz w:val="18"/>
                <w:szCs w:val="18"/>
              </w:rPr>
              <w:t>115.0</w:t>
            </w:r>
          </w:p>
        </w:tc>
        <w:tc>
          <w:tcPr>
            <w:tcW w:w="2461" w:type="dxa"/>
            <w:tcBorders>
              <w:top w:val="nil"/>
              <w:left w:val="nil"/>
              <w:bottom w:val="nil"/>
              <w:right w:val="nil"/>
            </w:tcBorders>
            <w:shd w:val="clear" w:color="auto" w:fill="auto"/>
            <w:noWrap/>
          </w:tcPr>
          <w:p w:rsidR="009E77AC" w:rsidRPr="00942766" w:rsidRDefault="009E77AC" w:rsidP="009E77AC">
            <w:pPr>
              <w:jc w:val="center"/>
              <w:rPr>
                <w:rFonts w:ascii="Calibri" w:eastAsia="Times New Roman" w:hAnsi="Calibri"/>
                <w:color w:val="000000"/>
                <w:sz w:val="18"/>
                <w:szCs w:val="18"/>
              </w:rPr>
            </w:pPr>
            <w:r w:rsidRPr="00942766">
              <w:rPr>
                <w:rFonts w:ascii="Calibri" w:eastAsia="Times New Roman" w:hAnsi="Calibri"/>
                <w:color w:val="000000"/>
                <w:sz w:val="18"/>
                <w:szCs w:val="18"/>
              </w:rPr>
              <w:t>NHS Ref.Cost</w:t>
            </w:r>
            <w:r w:rsidRPr="00942766">
              <w:rPr>
                <w:rFonts w:ascii="Calibri (Body)" w:eastAsia="Times New Roman" w:hAnsi="Calibri (Body)"/>
                <w:color w:val="000000"/>
                <w:sz w:val="18"/>
                <w:szCs w:val="18"/>
                <w:vertAlign w:val="superscript"/>
              </w:rPr>
              <w:t>28</w:t>
            </w:r>
          </w:p>
        </w:tc>
      </w:tr>
      <w:tr w:rsidR="009E77AC" w:rsidRPr="00942766" w:rsidTr="00080173">
        <w:trPr>
          <w:trHeight w:val="340"/>
          <w:tblHeader/>
        </w:trPr>
        <w:tc>
          <w:tcPr>
            <w:tcW w:w="4536" w:type="dxa"/>
            <w:tcBorders>
              <w:top w:val="nil"/>
              <w:left w:val="nil"/>
              <w:bottom w:val="nil"/>
              <w:right w:val="nil"/>
            </w:tcBorders>
            <w:shd w:val="clear" w:color="auto" w:fill="auto"/>
            <w:noWrap/>
          </w:tcPr>
          <w:p w:rsidR="009E77AC" w:rsidRPr="00942766" w:rsidRDefault="009E77AC" w:rsidP="002833D4">
            <w:pPr>
              <w:jc w:val="right"/>
              <w:rPr>
                <w:rFonts w:ascii="Calibri" w:eastAsia="Times New Roman" w:hAnsi="Calibri"/>
                <w:color w:val="000000"/>
                <w:sz w:val="18"/>
                <w:szCs w:val="18"/>
              </w:rPr>
            </w:pPr>
            <w:r w:rsidRPr="00942766">
              <w:rPr>
                <w:rFonts w:ascii="Calibri" w:eastAsia="Times New Roman" w:hAnsi="Calibri"/>
                <w:sz w:val="18"/>
                <w:szCs w:val="18"/>
              </w:rPr>
              <w:t>Orthodontist</w:t>
            </w:r>
            <w:r w:rsidRPr="00942766" w:rsidDel="009E77AC">
              <w:rPr>
                <w:rFonts w:ascii="Calibri" w:eastAsia="Times New Roman" w:hAnsi="Calibri"/>
                <w:color w:val="000000"/>
                <w:sz w:val="18"/>
                <w:szCs w:val="18"/>
              </w:rPr>
              <w:t xml:space="preserve"> </w:t>
            </w:r>
          </w:p>
        </w:tc>
        <w:tc>
          <w:tcPr>
            <w:tcW w:w="2023" w:type="dxa"/>
            <w:tcBorders>
              <w:top w:val="nil"/>
              <w:left w:val="nil"/>
              <w:bottom w:val="nil"/>
              <w:right w:val="nil"/>
            </w:tcBorders>
            <w:shd w:val="clear" w:color="auto" w:fill="auto"/>
            <w:noWrap/>
          </w:tcPr>
          <w:p w:rsidR="009E77AC" w:rsidRPr="00942766" w:rsidRDefault="009E77AC" w:rsidP="009E77AC">
            <w:pPr>
              <w:jc w:val="right"/>
              <w:rPr>
                <w:rFonts w:ascii="Calibri" w:eastAsia="Times New Roman" w:hAnsi="Calibri"/>
                <w:color w:val="000000"/>
                <w:sz w:val="18"/>
                <w:szCs w:val="18"/>
              </w:rPr>
            </w:pPr>
            <w:r w:rsidRPr="00942766">
              <w:rPr>
                <w:rFonts w:ascii="Calibri" w:eastAsia="Times New Roman" w:hAnsi="Calibri"/>
                <w:color w:val="000000"/>
                <w:sz w:val="18"/>
                <w:szCs w:val="18"/>
              </w:rPr>
              <w:t>45.0</w:t>
            </w:r>
          </w:p>
        </w:tc>
        <w:tc>
          <w:tcPr>
            <w:tcW w:w="2461" w:type="dxa"/>
            <w:tcBorders>
              <w:top w:val="nil"/>
              <w:left w:val="nil"/>
              <w:bottom w:val="nil"/>
              <w:right w:val="nil"/>
            </w:tcBorders>
            <w:shd w:val="clear" w:color="auto" w:fill="auto"/>
            <w:noWrap/>
          </w:tcPr>
          <w:p w:rsidR="009E77AC" w:rsidRPr="00942766" w:rsidRDefault="009E77AC" w:rsidP="009E77AC">
            <w:pPr>
              <w:jc w:val="center"/>
              <w:rPr>
                <w:rFonts w:ascii="Calibri" w:eastAsia="Times New Roman" w:hAnsi="Calibri"/>
                <w:color w:val="000000"/>
                <w:sz w:val="18"/>
                <w:szCs w:val="18"/>
              </w:rPr>
            </w:pPr>
            <w:r w:rsidRPr="00942766">
              <w:rPr>
                <w:rFonts w:ascii="Calibri" w:eastAsia="Times New Roman" w:hAnsi="Calibri"/>
                <w:color w:val="000000"/>
                <w:sz w:val="18"/>
                <w:szCs w:val="18"/>
              </w:rPr>
              <w:t>NHS Ref.Cost</w:t>
            </w:r>
            <w:r w:rsidRPr="00942766">
              <w:rPr>
                <w:rFonts w:ascii="Calibri (Body)" w:eastAsia="Times New Roman" w:hAnsi="Calibri (Body)"/>
                <w:color w:val="000000"/>
                <w:sz w:val="18"/>
                <w:szCs w:val="18"/>
                <w:vertAlign w:val="superscript"/>
              </w:rPr>
              <w:t>28</w:t>
            </w:r>
          </w:p>
        </w:tc>
      </w:tr>
      <w:tr w:rsidR="009E77AC" w:rsidRPr="00942766" w:rsidTr="00080173">
        <w:trPr>
          <w:trHeight w:val="340"/>
          <w:tblHeader/>
        </w:trPr>
        <w:tc>
          <w:tcPr>
            <w:tcW w:w="4536" w:type="dxa"/>
            <w:tcBorders>
              <w:top w:val="nil"/>
              <w:left w:val="nil"/>
              <w:bottom w:val="nil"/>
              <w:right w:val="nil"/>
            </w:tcBorders>
            <w:shd w:val="clear" w:color="auto" w:fill="auto"/>
            <w:noWrap/>
          </w:tcPr>
          <w:p w:rsidR="009E77AC" w:rsidRPr="00942766" w:rsidRDefault="009E77AC" w:rsidP="002833D4">
            <w:pPr>
              <w:jc w:val="right"/>
              <w:rPr>
                <w:rFonts w:ascii="Calibri" w:eastAsia="Times New Roman" w:hAnsi="Calibri"/>
                <w:color w:val="000000"/>
                <w:sz w:val="18"/>
                <w:szCs w:val="18"/>
              </w:rPr>
            </w:pPr>
            <w:r w:rsidRPr="00942766">
              <w:rPr>
                <w:rFonts w:ascii="Calibri" w:eastAsia="Times New Roman" w:hAnsi="Calibri"/>
                <w:color w:val="000000"/>
                <w:sz w:val="18"/>
                <w:szCs w:val="18"/>
              </w:rPr>
              <w:t>Optician</w:t>
            </w:r>
            <w:r w:rsidRPr="00942766" w:rsidDel="009E77AC">
              <w:rPr>
                <w:rFonts w:ascii="Calibri" w:eastAsia="Times New Roman" w:hAnsi="Calibri"/>
                <w:sz w:val="18"/>
                <w:szCs w:val="18"/>
              </w:rPr>
              <w:t xml:space="preserve"> </w:t>
            </w:r>
          </w:p>
        </w:tc>
        <w:tc>
          <w:tcPr>
            <w:tcW w:w="2023" w:type="dxa"/>
            <w:tcBorders>
              <w:top w:val="nil"/>
              <w:left w:val="nil"/>
              <w:bottom w:val="nil"/>
              <w:right w:val="nil"/>
            </w:tcBorders>
            <w:shd w:val="clear" w:color="auto" w:fill="auto"/>
            <w:noWrap/>
          </w:tcPr>
          <w:p w:rsidR="009E77AC" w:rsidRPr="00942766" w:rsidRDefault="009E77AC" w:rsidP="009E77AC">
            <w:pPr>
              <w:jc w:val="right"/>
              <w:rPr>
                <w:rFonts w:ascii="Calibri" w:eastAsia="Times New Roman" w:hAnsi="Calibri"/>
                <w:color w:val="000000"/>
                <w:sz w:val="18"/>
                <w:szCs w:val="18"/>
              </w:rPr>
            </w:pPr>
            <w:r w:rsidRPr="00942766">
              <w:rPr>
                <w:rFonts w:ascii="Calibri" w:eastAsia="Times New Roman" w:hAnsi="Calibri"/>
                <w:color w:val="000000"/>
                <w:sz w:val="18"/>
                <w:szCs w:val="18"/>
              </w:rPr>
              <w:t>138.0</w:t>
            </w:r>
          </w:p>
        </w:tc>
        <w:tc>
          <w:tcPr>
            <w:tcW w:w="2461" w:type="dxa"/>
            <w:tcBorders>
              <w:top w:val="nil"/>
              <w:left w:val="nil"/>
              <w:bottom w:val="nil"/>
              <w:right w:val="nil"/>
            </w:tcBorders>
            <w:shd w:val="clear" w:color="auto" w:fill="auto"/>
            <w:noWrap/>
          </w:tcPr>
          <w:p w:rsidR="009E77AC" w:rsidRPr="00942766" w:rsidRDefault="009E77AC" w:rsidP="009E77AC">
            <w:pPr>
              <w:jc w:val="center"/>
              <w:rPr>
                <w:rFonts w:ascii="Calibri" w:eastAsia="Times New Roman" w:hAnsi="Calibri"/>
                <w:color w:val="000000"/>
                <w:sz w:val="18"/>
                <w:szCs w:val="18"/>
              </w:rPr>
            </w:pPr>
            <w:r w:rsidRPr="00942766">
              <w:rPr>
                <w:rFonts w:ascii="Calibri" w:eastAsia="Times New Roman" w:hAnsi="Calibri"/>
                <w:color w:val="000000"/>
                <w:sz w:val="18"/>
                <w:szCs w:val="18"/>
              </w:rPr>
              <w:t>NHS Ref.Cost</w:t>
            </w:r>
            <w:r w:rsidRPr="00942766">
              <w:rPr>
                <w:rFonts w:ascii="Calibri (Body)" w:eastAsia="Times New Roman" w:hAnsi="Calibri (Body)"/>
                <w:color w:val="000000"/>
                <w:sz w:val="18"/>
                <w:szCs w:val="18"/>
                <w:vertAlign w:val="superscript"/>
              </w:rPr>
              <w:t>28</w:t>
            </w:r>
          </w:p>
        </w:tc>
      </w:tr>
      <w:tr w:rsidR="009E77AC" w:rsidRPr="00942766" w:rsidTr="00080173">
        <w:trPr>
          <w:trHeight w:val="340"/>
          <w:tblHeader/>
        </w:trPr>
        <w:tc>
          <w:tcPr>
            <w:tcW w:w="4536" w:type="dxa"/>
            <w:tcBorders>
              <w:top w:val="nil"/>
              <w:left w:val="nil"/>
              <w:bottom w:val="nil"/>
              <w:right w:val="nil"/>
            </w:tcBorders>
            <w:shd w:val="clear" w:color="auto" w:fill="auto"/>
            <w:noWrap/>
          </w:tcPr>
          <w:p w:rsidR="009E77AC" w:rsidRPr="00942766" w:rsidRDefault="009E77AC" w:rsidP="002833D4">
            <w:pPr>
              <w:jc w:val="right"/>
              <w:rPr>
                <w:rFonts w:ascii="Calibri" w:eastAsia="Times New Roman" w:hAnsi="Calibri"/>
                <w:sz w:val="18"/>
                <w:szCs w:val="18"/>
              </w:rPr>
            </w:pPr>
            <w:r w:rsidRPr="00942766">
              <w:rPr>
                <w:rFonts w:ascii="Calibri" w:eastAsia="Times New Roman" w:hAnsi="Calibri"/>
                <w:color w:val="000000"/>
                <w:sz w:val="18"/>
                <w:szCs w:val="18"/>
              </w:rPr>
              <w:t>Chiropodist</w:t>
            </w:r>
            <w:r w:rsidRPr="00942766" w:rsidDel="009E77AC">
              <w:rPr>
                <w:rFonts w:ascii="Calibri" w:eastAsia="Times New Roman" w:hAnsi="Calibri"/>
                <w:color w:val="000000"/>
                <w:sz w:val="18"/>
                <w:szCs w:val="18"/>
              </w:rPr>
              <w:t xml:space="preserve"> </w:t>
            </w:r>
          </w:p>
        </w:tc>
        <w:tc>
          <w:tcPr>
            <w:tcW w:w="2023" w:type="dxa"/>
            <w:tcBorders>
              <w:top w:val="nil"/>
              <w:left w:val="nil"/>
              <w:bottom w:val="nil"/>
              <w:right w:val="nil"/>
            </w:tcBorders>
            <w:shd w:val="clear" w:color="auto" w:fill="auto"/>
            <w:noWrap/>
          </w:tcPr>
          <w:p w:rsidR="009E77AC" w:rsidRPr="00942766" w:rsidRDefault="009E77AC" w:rsidP="009E77AC">
            <w:pPr>
              <w:jc w:val="right"/>
              <w:rPr>
                <w:rFonts w:ascii="Calibri" w:eastAsia="Times New Roman" w:hAnsi="Calibri"/>
                <w:color w:val="000000"/>
                <w:sz w:val="18"/>
                <w:szCs w:val="18"/>
              </w:rPr>
            </w:pPr>
            <w:r w:rsidRPr="00942766">
              <w:rPr>
                <w:rFonts w:ascii="Calibri" w:eastAsia="Times New Roman" w:hAnsi="Calibri"/>
                <w:color w:val="000000"/>
                <w:sz w:val="18"/>
                <w:szCs w:val="18"/>
              </w:rPr>
              <w:t>41.0 (33.0-45.0)</w:t>
            </w:r>
          </w:p>
        </w:tc>
        <w:tc>
          <w:tcPr>
            <w:tcW w:w="2461" w:type="dxa"/>
            <w:tcBorders>
              <w:top w:val="nil"/>
              <w:left w:val="nil"/>
              <w:bottom w:val="nil"/>
              <w:right w:val="nil"/>
            </w:tcBorders>
            <w:shd w:val="clear" w:color="auto" w:fill="auto"/>
            <w:noWrap/>
          </w:tcPr>
          <w:p w:rsidR="009E77AC" w:rsidRPr="00942766" w:rsidRDefault="009E77AC" w:rsidP="009E77AC">
            <w:pPr>
              <w:jc w:val="center"/>
              <w:rPr>
                <w:rFonts w:ascii="Calibri" w:eastAsia="Times New Roman" w:hAnsi="Calibri"/>
                <w:color w:val="000000"/>
                <w:sz w:val="18"/>
                <w:szCs w:val="18"/>
              </w:rPr>
            </w:pPr>
            <w:r w:rsidRPr="00942766">
              <w:rPr>
                <w:rFonts w:ascii="Calibri" w:eastAsia="Times New Roman" w:hAnsi="Calibri"/>
                <w:color w:val="000000"/>
                <w:sz w:val="18"/>
                <w:szCs w:val="18"/>
              </w:rPr>
              <w:t>Curtis</w:t>
            </w:r>
            <w:r w:rsidRPr="00942766">
              <w:rPr>
                <w:rFonts w:ascii="Calibri (Body)" w:eastAsia="Times New Roman" w:hAnsi="Calibri (Body)"/>
                <w:color w:val="000000"/>
                <w:sz w:val="18"/>
                <w:szCs w:val="18"/>
                <w:vertAlign w:val="superscript"/>
              </w:rPr>
              <w:t>27</w:t>
            </w:r>
          </w:p>
        </w:tc>
      </w:tr>
      <w:tr w:rsidR="009E77AC" w:rsidRPr="00942766" w:rsidTr="00080173">
        <w:trPr>
          <w:trHeight w:val="340"/>
          <w:tblHeader/>
        </w:trPr>
        <w:tc>
          <w:tcPr>
            <w:tcW w:w="4536" w:type="dxa"/>
            <w:tcBorders>
              <w:top w:val="nil"/>
              <w:left w:val="nil"/>
              <w:bottom w:val="nil"/>
              <w:right w:val="nil"/>
            </w:tcBorders>
            <w:shd w:val="clear" w:color="auto" w:fill="auto"/>
            <w:noWrap/>
          </w:tcPr>
          <w:p w:rsidR="009E77AC" w:rsidRPr="00942766" w:rsidRDefault="009E77AC" w:rsidP="002833D4">
            <w:pPr>
              <w:jc w:val="right"/>
              <w:rPr>
                <w:rFonts w:ascii="Calibri" w:eastAsia="Times New Roman" w:hAnsi="Calibri"/>
                <w:color w:val="000000"/>
                <w:sz w:val="18"/>
                <w:szCs w:val="18"/>
              </w:rPr>
            </w:pPr>
            <w:r w:rsidRPr="00942766">
              <w:rPr>
                <w:rFonts w:ascii="Calibri" w:eastAsia="Times New Roman" w:hAnsi="Calibri"/>
                <w:color w:val="000000"/>
                <w:sz w:val="18"/>
                <w:szCs w:val="18"/>
              </w:rPr>
              <w:t>Physiotherapist</w:t>
            </w:r>
            <w:r w:rsidRPr="00942766" w:rsidDel="009E77AC">
              <w:rPr>
                <w:rFonts w:ascii="Calibri" w:eastAsia="Times New Roman" w:hAnsi="Calibri"/>
                <w:color w:val="000000"/>
                <w:sz w:val="18"/>
                <w:szCs w:val="18"/>
              </w:rPr>
              <w:t xml:space="preserve"> </w:t>
            </w:r>
          </w:p>
        </w:tc>
        <w:tc>
          <w:tcPr>
            <w:tcW w:w="2023" w:type="dxa"/>
            <w:tcBorders>
              <w:top w:val="nil"/>
              <w:left w:val="nil"/>
              <w:bottom w:val="nil"/>
              <w:right w:val="nil"/>
            </w:tcBorders>
            <w:shd w:val="clear" w:color="auto" w:fill="auto"/>
            <w:noWrap/>
          </w:tcPr>
          <w:p w:rsidR="009E77AC" w:rsidRPr="00942766" w:rsidRDefault="009E77AC" w:rsidP="009E77AC">
            <w:pPr>
              <w:jc w:val="right"/>
              <w:rPr>
                <w:rFonts w:ascii="Calibri" w:eastAsia="Times New Roman" w:hAnsi="Calibri"/>
                <w:color w:val="000000"/>
                <w:sz w:val="18"/>
                <w:szCs w:val="18"/>
              </w:rPr>
            </w:pPr>
            <w:r w:rsidRPr="00942766">
              <w:rPr>
                <w:rFonts w:ascii="Calibri" w:eastAsia="Times New Roman" w:hAnsi="Calibri"/>
                <w:color w:val="000000"/>
                <w:sz w:val="18"/>
                <w:szCs w:val="18"/>
              </w:rPr>
              <w:t>47.0 (37.0-53.0)</w:t>
            </w:r>
          </w:p>
        </w:tc>
        <w:tc>
          <w:tcPr>
            <w:tcW w:w="2461" w:type="dxa"/>
            <w:tcBorders>
              <w:top w:val="nil"/>
              <w:left w:val="nil"/>
              <w:bottom w:val="nil"/>
              <w:right w:val="nil"/>
            </w:tcBorders>
            <w:shd w:val="clear" w:color="auto" w:fill="auto"/>
            <w:noWrap/>
          </w:tcPr>
          <w:p w:rsidR="009E77AC" w:rsidRPr="00942766" w:rsidRDefault="009E77AC" w:rsidP="009E77AC">
            <w:pPr>
              <w:jc w:val="center"/>
              <w:rPr>
                <w:rFonts w:ascii="Calibri" w:eastAsia="Times New Roman" w:hAnsi="Calibri"/>
                <w:color w:val="000000"/>
                <w:sz w:val="18"/>
                <w:szCs w:val="18"/>
              </w:rPr>
            </w:pPr>
            <w:r w:rsidRPr="00942766">
              <w:rPr>
                <w:rFonts w:ascii="Calibri" w:eastAsia="Times New Roman" w:hAnsi="Calibri"/>
                <w:color w:val="000000"/>
                <w:sz w:val="18"/>
                <w:szCs w:val="18"/>
              </w:rPr>
              <w:t>Curtis</w:t>
            </w:r>
            <w:r w:rsidRPr="00942766">
              <w:rPr>
                <w:rFonts w:ascii="Calibri (Body)" w:eastAsia="Times New Roman" w:hAnsi="Calibri (Body)"/>
                <w:color w:val="000000"/>
                <w:sz w:val="18"/>
                <w:szCs w:val="18"/>
                <w:vertAlign w:val="superscript"/>
              </w:rPr>
              <w:t>27</w:t>
            </w:r>
          </w:p>
        </w:tc>
      </w:tr>
      <w:tr w:rsidR="009E77AC" w:rsidRPr="00942766" w:rsidTr="00080173">
        <w:trPr>
          <w:trHeight w:val="340"/>
          <w:tblHeader/>
        </w:trPr>
        <w:tc>
          <w:tcPr>
            <w:tcW w:w="4536" w:type="dxa"/>
            <w:tcBorders>
              <w:top w:val="nil"/>
              <w:left w:val="nil"/>
              <w:bottom w:val="nil"/>
              <w:right w:val="nil"/>
            </w:tcBorders>
            <w:shd w:val="clear" w:color="auto" w:fill="auto"/>
            <w:noWrap/>
          </w:tcPr>
          <w:p w:rsidR="009E77AC" w:rsidRPr="00942766" w:rsidRDefault="009E77AC" w:rsidP="002833D4">
            <w:pPr>
              <w:jc w:val="right"/>
              <w:rPr>
                <w:rFonts w:ascii="Calibri" w:eastAsia="Times New Roman" w:hAnsi="Calibri"/>
                <w:color w:val="000000"/>
                <w:sz w:val="18"/>
                <w:szCs w:val="18"/>
              </w:rPr>
            </w:pPr>
            <w:r w:rsidRPr="00942766">
              <w:rPr>
                <w:rFonts w:ascii="Calibri" w:eastAsia="Times New Roman" w:hAnsi="Calibri"/>
                <w:color w:val="000000"/>
                <w:sz w:val="18"/>
                <w:szCs w:val="18"/>
              </w:rPr>
              <w:t>Speech and language</w:t>
            </w:r>
            <w:r w:rsidRPr="00942766" w:rsidDel="009E77AC">
              <w:rPr>
                <w:rFonts w:ascii="Calibri" w:eastAsia="Times New Roman" w:hAnsi="Calibri"/>
                <w:color w:val="000000"/>
                <w:sz w:val="18"/>
                <w:szCs w:val="18"/>
              </w:rPr>
              <w:t xml:space="preserve"> </w:t>
            </w:r>
          </w:p>
        </w:tc>
        <w:tc>
          <w:tcPr>
            <w:tcW w:w="2023" w:type="dxa"/>
            <w:tcBorders>
              <w:top w:val="nil"/>
              <w:left w:val="nil"/>
              <w:bottom w:val="nil"/>
              <w:right w:val="nil"/>
            </w:tcBorders>
            <w:shd w:val="clear" w:color="auto" w:fill="auto"/>
            <w:noWrap/>
          </w:tcPr>
          <w:p w:rsidR="009E77AC" w:rsidRPr="00942766" w:rsidRDefault="009E77AC" w:rsidP="009E77AC">
            <w:pPr>
              <w:jc w:val="right"/>
              <w:rPr>
                <w:rFonts w:ascii="Calibri" w:eastAsia="Times New Roman" w:hAnsi="Calibri"/>
                <w:color w:val="000000"/>
                <w:sz w:val="18"/>
                <w:szCs w:val="18"/>
              </w:rPr>
            </w:pPr>
            <w:r w:rsidRPr="00942766">
              <w:rPr>
                <w:rFonts w:ascii="Calibri" w:eastAsia="Times New Roman" w:hAnsi="Calibri"/>
                <w:color w:val="000000"/>
                <w:sz w:val="18"/>
                <w:szCs w:val="18"/>
              </w:rPr>
              <w:t>74.0 (52.0-87.0)</w:t>
            </w:r>
          </w:p>
        </w:tc>
        <w:tc>
          <w:tcPr>
            <w:tcW w:w="2461" w:type="dxa"/>
            <w:tcBorders>
              <w:top w:val="nil"/>
              <w:left w:val="nil"/>
              <w:bottom w:val="nil"/>
              <w:right w:val="nil"/>
            </w:tcBorders>
            <w:shd w:val="clear" w:color="auto" w:fill="auto"/>
            <w:noWrap/>
          </w:tcPr>
          <w:p w:rsidR="009E77AC" w:rsidRPr="00942766" w:rsidRDefault="009E77AC" w:rsidP="009E77AC">
            <w:pPr>
              <w:jc w:val="center"/>
              <w:rPr>
                <w:rFonts w:ascii="Calibri" w:eastAsia="Times New Roman" w:hAnsi="Calibri"/>
                <w:color w:val="000000"/>
                <w:sz w:val="18"/>
                <w:szCs w:val="18"/>
              </w:rPr>
            </w:pPr>
            <w:r w:rsidRPr="00942766">
              <w:rPr>
                <w:rFonts w:ascii="Calibri" w:eastAsia="Times New Roman" w:hAnsi="Calibri"/>
                <w:color w:val="000000"/>
                <w:sz w:val="18"/>
                <w:szCs w:val="18"/>
              </w:rPr>
              <w:t>Curtis</w:t>
            </w:r>
            <w:r w:rsidRPr="00942766">
              <w:rPr>
                <w:rFonts w:ascii="Calibri (Body)" w:eastAsia="Times New Roman" w:hAnsi="Calibri (Body)"/>
                <w:color w:val="000000"/>
                <w:sz w:val="18"/>
                <w:szCs w:val="18"/>
                <w:vertAlign w:val="superscript"/>
              </w:rPr>
              <w:t>27</w:t>
            </w:r>
          </w:p>
        </w:tc>
      </w:tr>
      <w:tr w:rsidR="009E77AC" w:rsidRPr="00942766" w:rsidTr="00080173">
        <w:trPr>
          <w:trHeight w:val="340"/>
          <w:tblHeader/>
        </w:trPr>
        <w:tc>
          <w:tcPr>
            <w:tcW w:w="4536" w:type="dxa"/>
            <w:tcBorders>
              <w:top w:val="nil"/>
              <w:left w:val="nil"/>
              <w:bottom w:val="nil"/>
              <w:right w:val="nil"/>
            </w:tcBorders>
            <w:shd w:val="clear" w:color="auto" w:fill="auto"/>
            <w:noWrap/>
          </w:tcPr>
          <w:p w:rsidR="009E77AC" w:rsidRPr="00942766" w:rsidRDefault="009E77AC" w:rsidP="002833D4">
            <w:pPr>
              <w:jc w:val="right"/>
              <w:rPr>
                <w:rFonts w:ascii="Calibri" w:eastAsia="Times New Roman" w:hAnsi="Calibri"/>
                <w:color w:val="000000"/>
                <w:sz w:val="18"/>
                <w:szCs w:val="18"/>
              </w:rPr>
            </w:pPr>
            <w:r w:rsidRPr="00942766">
              <w:rPr>
                <w:rFonts w:ascii="Calibri" w:eastAsia="Times New Roman" w:hAnsi="Calibri"/>
                <w:color w:val="000000"/>
                <w:sz w:val="18"/>
                <w:szCs w:val="18"/>
              </w:rPr>
              <w:t>Health visitor/research therapist</w:t>
            </w:r>
            <w:r w:rsidRPr="00942766" w:rsidDel="009E77AC">
              <w:rPr>
                <w:rFonts w:ascii="Calibri" w:eastAsia="Times New Roman" w:hAnsi="Calibri"/>
                <w:color w:val="000000"/>
                <w:sz w:val="18"/>
                <w:szCs w:val="18"/>
              </w:rPr>
              <w:t xml:space="preserve"> </w:t>
            </w:r>
          </w:p>
        </w:tc>
        <w:tc>
          <w:tcPr>
            <w:tcW w:w="2023" w:type="dxa"/>
            <w:tcBorders>
              <w:top w:val="nil"/>
              <w:left w:val="nil"/>
              <w:bottom w:val="nil"/>
              <w:right w:val="nil"/>
            </w:tcBorders>
            <w:shd w:val="clear" w:color="auto" w:fill="auto"/>
            <w:noWrap/>
          </w:tcPr>
          <w:p w:rsidR="009E77AC" w:rsidRPr="00942766" w:rsidRDefault="009E77AC" w:rsidP="009E77AC">
            <w:pPr>
              <w:jc w:val="right"/>
              <w:rPr>
                <w:rFonts w:ascii="Calibri" w:eastAsia="Times New Roman" w:hAnsi="Calibri"/>
                <w:color w:val="000000"/>
                <w:sz w:val="18"/>
                <w:szCs w:val="18"/>
              </w:rPr>
            </w:pPr>
            <w:r w:rsidRPr="00942766">
              <w:rPr>
                <w:rFonts w:ascii="Calibri" w:eastAsia="Times New Roman" w:hAnsi="Calibri"/>
                <w:color w:val="000000"/>
                <w:sz w:val="18"/>
                <w:szCs w:val="18"/>
              </w:rPr>
              <w:t>44.0 (33.0-54.0)</w:t>
            </w:r>
          </w:p>
        </w:tc>
        <w:tc>
          <w:tcPr>
            <w:tcW w:w="2461" w:type="dxa"/>
            <w:tcBorders>
              <w:top w:val="nil"/>
              <w:left w:val="nil"/>
              <w:bottom w:val="nil"/>
              <w:right w:val="nil"/>
            </w:tcBorders>
            <w:shd w:val="clear" w:color="auto" w:fill="auto"/>
            <w:noWrap/>
          </w:tcPr>
          <w:p w:rsidR="009E77AC" w:rsidRPr="00942766" w:rsidRDefault="009E77AC" w:rsidP="009E77AC">
            <w:pPr>
              <w:jc w:val="center"/>
              <w:rPr>
                <w:rFonts w:ascii="Calibri" w:eastAsia="Times New Roman" w:hAnsi="Calibri"/>
                <w:color w:val="000000"/>
                <w:sz w:val="18"/>
                <w:szCs w:val="18"/>
              </w:rPr>
            </w:pPr>
            <w:r w:rsidRPr="00942766">
              <w:rPr>
                <w:rFonts w:ascii="Calibri" w:eastAsia="Times New Roman" w:hAnsi="Calibri"/>
                <w:color w:val="000000"/>
                <w:sz w:val="18"/>
                <w:szCs w:val="18"/>
              </w:rPr>
              <w:t>Curtis</w:t>
            </w:r>
            <w:r w:rsidRPr="00942766">
              <w:rPr>
                <w:rFonts w:ascii="Calibri (Body)" w:eastAsia="Times New Roman" w:hAnsi="Calibri (Body)"/>
                <w:color w:val="000000"/>
                <w:sz w:val="18"/>
                <w:szCs w:val="18"/>
                <w:vertAlign w:val="superscript"/>
              </w:rPr>
              <w:t>27</w:t>
            </w:r>
          </w:p>
        </w:tc>
      </w:tr>
      <w:tr w:rsidR="009E77AC" w:rsidRPr="00942766" w:rsidTr="00080173">
        <w:trPr>
          <w:trHeight w:val="340"/>
          <w:tblHeader/>
        </w:trPr>
        <w:tc>
          <w:tcPr>
            <w:tcW w:w="4536" w:type="dxa"/>
            <w:tcBorders>
              <w:top w:val="nil"/>
              <w:left w:val="nil"/>
              <w:bottom w:val="nil"/>
              <w:right w:val="nil"/>
            </w:tcBorders>
            <w:shd w:val="clear" w:color="auto" w:fill="auto"/>
            <w:noWrap/>
          </w:tcPr>
          <w:p w:rsidR="009E77AC" w:rsidRPr="00942766" w:rsidRDefault="009E77AC" w:rsidP="002833D4">
            <w:pPr>
              <w:jc w:val="right"/>
              <w:rPr>
                <w:rFonts w:ascii="Calibri" w:eastAsia="Times New Roman" w:hAnsi="Calibri"/>
                <w:color w:val="000000"/>
                <w:sz w:val="18"/>
                <w:szCs w:val="18"/>
              </w:rPr>
            </w:pPr>
            <w:r w:rsidRPr="00942766">
              <w:rPr>
                <w:rFonts w:ascii="Calibri" w:eastAsia="Times New Roman" w:hAnsi="Calibri"/>
                <w:color w:val="000000"/>
                <w:sz w:val="18"/>
                <w:szCs w:val="18"/>
              </w:rPr>
              <w:t>Social worker</w:t>
            </w:r>
            <w:r w:rsidRPr="00942766" w:rsidDel="009E77AC">
              <w:rPr>
                <w:rFonts w:ascii="Calibri" w:eastAsia="Times New Roman" w:hAnsi="Calibri"/>
                <w:color w:val="000000"/>
                <w:sz w:val="18"/>
                <w:szCs w:val="18"/>
              </w:rPr>
              <w:t xml:space="preserve"> </w:t>
            </w:r>
          </w:p>
        </w:tc>
        <w:tc>
          <w:tcPr>
            <w:tcW w:w="2023" w:type="dxa"/>
            <w:tcBorders>
              <w:top w:val="nil"/>
              <w:left w:val="nil"/>
              <w:bottom w:val="nil"/>
              <w:right w:val="nil"/>
            </w:tcBorders>
            <w:shd w:val="clear" w:color="auto" w:fill="auto"/>
            <w:noWrap/>
          </w:tcPr>
          <w:p w:rsidR="009E77AC" w:rsidRPr="00942766" w:rsidRDefault="009E77AC" w:rsidP="009E77AC">
            <w:pPr>
              <w:jc w:val="right"/>
              <w:rPr>
                <w:rFonts w:ascii="Calibri" w:eastAsia="Times New Roman" w:hAnsi="Calibri"/>
                <w:color w:val="000000"/>
                <w:sz w:val="18"/>
                <w:szCs w:val="18"/>
              </w:rPr>
            </w:pPr>
            <w:r w:rsidRPr="00942766">
              <w:rPr>
                <w:rFonts w:ascii="Calibri" w:eastAsia="Times New Roman" w:hAnsi="Calibri"/>
                <w:color w:val="000000"/>
                <w:sz w:val="18"/>
                <w:szCs w:val="18"/>
              </w:rPr>
              <w:t>54.0 (34.0-150.0)</w:t>
            </w:r>
          </w:p>
        </w:tc>
        <w:tc>
          <w:tcPr>
            <w:tcW w:w="2461" w:type="dxa"/>
            <w:tcBorders>
              <w:top w:val="nil"/>
              <w:left w:val="nil"/>
              <w:bottom w:val="nil"/>
              <w:right w:val="nil"/>
            </w:tcBorders>
            <w:shd w:val="clear" w:color="auto" w:fill="auto"/>
            <w:noWrap/>
          </w:tcPr>
          <w:p w:rsidR="009E77AC" w:rsidRPr="00942766" w:rsidRDefault="009E77AC" w:rsidP="009E77AC">
            <w:pPr>
              <w:jc w:val="center"/>
              <w:rPr>
                <w:rFonts w:ascii="Calibri" w:eastAsia="Times New Roman" w:hAnsi="Calibri"/>
                <w:color w:val="000000"/>
                <w:sz w:val="18"/>
                <w:szCs w:val="18"/>
              </w:rPr>
            </w:pPr>
            <w:r w:rsidRPr="00942766">
              <w:rPr>
                <w:rFonts w:ascii="Calibri" w:eastAsia="Times New Roman" w:hAnsi="Calibri"/>
                <w:color w:val="000000"/>
                <w:sz w:val="18"/>
                <w:szCs w:val="18"/>
              </w:rPr>
              <w:t>Curtis</w:t>
            </w:r>
            <w:r w:rsidRPr="00942766">
              <w:rPr>
                <w:rFonts w:ascii="Calibri (Body)" w:eastAsia="Times New Roman" w:hAnsi="Calibri (Body)"/>
                <w:color w:val="000000"/>
                <w:sz w:val="18"/>
                <w:szCs w:val="18"/>
                <w:vertAlign w:val="superscript"/>
              </w:rPr>
              <w:t>27</w:t>
            </w:r>
          </w:p>
        </w:tc>
      </w:tr>
      <w:tr w:rsidR="009E77AC" w:rsidRPr="00942766" w:rsidTr="00080173">
        <w:trPr>
          <w:trHeight w:val="340"/>
          <w:tblHeader/>
        </w:trPr>
        <w:tc>
          <w:tcPr>
            <w:tcW w:w="4536" w:type="dxa"/>
            <w:tcBorders>
              <w:top w:val="nil"/>
              <w:left w:val="nil"/>
              <w:bottom w:val="nil"/>
              <w:right w:val="nil"/>
            </w:tcBorders>
            <w:shd w:val="clear" w:color="auto" w:fill="auto"/>
            <w:noWrap/>
          </w:tcPr>
          <w:p w:rsidR="009E77AC" w:rsidRPr="00942766" w:rsidRDefault="009E77AC" w:rsidP="002833D4">
            <w:pPr>
              <w:jc w:val="right"/>
              <w:rPr>
                <w:rFonts w:ascii="Calibri" w:eastAsia="Times New Roman" w:hAnsi="Calibri"/>
                <w:color w:val="000000"/>
                <w:sz w:val="18"/>
                <w:szCs w:val="18"/>
              </w:rPr>
            </w:pPr>
            <w:r w:rsidRPr="00942766">
              <w:rPr>
                <w:rFonts w:ascii="Calibri" w:eastAsia="Times New Roman" w:hAnsi="Calibri"/>
                <w:color w:val="000000"/>
                <w:sz w:val="18"/>
                <w:szCs w:val="18"/>
              </w:rPr>
              <w:t>Counsellor</w:t>
            </w:r>
            <w:r w:rsidRPr="00942766" w:rsidDel="009E77AC">
              <w:rPr>
                <w:rFonts w:ascii="Calibri" w:eastAsia="Times New Roman" w:hAnsi="Calibri"/>
                <w:color w:val="000000"/>
                <w:sz w:val="18"/>
                <w:szCs w:val="18"/>
              </w:rPr>
              <w:t xml:space="preserve"> </w:t>
            </w:r>
          </w:p>
        </w:tc>
        <w:tc>
          <w:tcPr>
            <w:tcW w:w="2023" w:type="dxa"/>
            <w:tcBorders>
              <w:top w:val="nil"/>
              <w:left w:val="nil"/>
              <w:bottom w:val="nil"/>
              <w:right w:val="nil"/>
            </w:tcBorders>
            <w:shd w:val="clear" w:color="auto" w:fill="auto"/>
            <w:noWrap/>
          </w:tcPr>
          <w:p w:rsidR="009E77AC" w:rsidRPr="00942766" w:rsidRDefault="009E77AC" w:rsidP="009E77AC">
            <w:pPr>
              <w:jc w:val="right"/>
              <w:rPr>
                <w:rFonts w:ascii="Calibri" w:eastAsia="Times New Roman" w:hAnsi="Calibri"/>
                <w:color w:val="000000"/>
                <w:sz w:val="18"/>
                <w:szCs w:val="18"/>
              </w:rPr>
            </w:pPr>
            <w:r w:rsidRPr="00942766">
              <w:rPr>
                <w:rFonts w:ascii="Calibri" w:eastAsia="Times New Roman" w:hAnsi="Calibri"/>
                <w:color w:val="000000"/>
                <w:sz w:val="18"/>
                <w:szCs w:val="18"/>
              </w:rPr>
              <w:t>35.6-90.1</w:t>
            </w:r>
          </w:p>
        </w:tc>
        <w:tc>
          <w:tcPr>
            <w:tcW w:w="2461" w:type="dxa"/>
            <w:tcBorders>
              <w:top w:val="nil"/>
              <w:left w:val="nil"/>
              <w:bottom w:val="nil"/>
              <w:right w:val="nil"/>
            </w:tcBorders>
            <w:shd w:val="clear" w:color="auto" w:fill="auto"/>
            <w:noWrap/>
          </w:tcPr>
          <w:p w:rsidR="009E77AC" w:rsidRPr="00942766" w:rsidRDefault="009E77AC" w:rsidP="009E77AC">
            <w:pPr>
              <w:jc w:val="center"/>
              <w:rPr>
                <w:rFonts w:ascii="Calibri" w:eastAsia="Times New Roman" w:hAnsi="Calibri"/>
                <w:color w:val="000000"/>
                <w:sz w:val="18"/>
                <w:szCs w:val="18"/>
              </w:rPr>
            </w:pPr>
            <w:r w:rsidRPr="00942766">
              <w:rPr>
                <w:rFonts w:ascii="Calibri" w:eastAsia="Times New Roman" w:hAnsi="Calibri"/>
                <w:color w:val="000000"/>
                <w:sz w:val="18"/>
                <w:szCs w:val="18"/>
              </w:rPr>
              <w:t>Inflated PSSRU, 2007</w:t>
            </w:r>
          </w:p>
        </w:tc>
      </w:tr>
      <w:tr w:rsidR="009E77AC" w:rsidRPr="00942766" w:rsidTr="00080173">
        <w:trPr>
          <w:trHeight w:val="340"/>
          <w:tblHeader/>
        </w:trPr>
        <w:tc>
          <w:tcPr>
            <w:tcW w:w="4536" w:type="dxa"/>
            <w:tcBorders>
              <w:top w:val="nil"/>
              <w:left w:val="nil"/>
              <w:bottom w:val="nil"/>
              <w:right w:val="nil"/>
            </w:tcBorders>
            <w:shd w:val="clear" w:color="auto" w:fill="auto"/>
            <w:noWrap/>
          </w:tcPr>
          <w:p w:rsidR="009E77AC" w:rsidRPr="00942766" w:rsidRDefault="009E77AC" w:rsidP="002833D4">
            <w:pPr>
              <w:jc w:val="right"/>
              <w:rPr>
                <w:rFonts w:ascii="Calibri" w:eastAsia="Times New Roman" w:hAnsi="Calibri"/>
                <w:color w:val="000000"/>
                <w:sz w:val="18"/>
                <w:szCs w:val="18"/>
              </w:rPr>
            </w:pPr>
            <w:r w:rsidRPr="00942766">
              <w:rPr>
                <w:rFonts w:ascii="Calibri" w:eastAsia="Times New Roman" w:hAnsi="Calibri"/>
                <w:color w:val="000000"/>
                <w:sz w:val="18"/>
                <w:szCs w:val="18"/>
              </w:rPr>
              <w:t>Community psychologist</w:t>
            </w:r>
            <w:r w:rsidRPr="00942766" w:rsidDel="009E77AC">
              <w:rPr>
                <w:rFonts w:ascii="Calibri" w:eastAsia="Times New Roman" w:hAnsi="Calibri"/>
                <w:color w:val="000000"/>
                <w:sz w:val="18"/>
                <w:szCs w:val="18"/>
              </w:rPr>
              <w:t xml:space="preserve"> </w:t>
            </w:r>
          </w:p>
        </w:tc>
        <w:tc>
          <w:tcPr>
            <w:tcW w:w="2023" w:type="dxa"/>
            <w:tcBorders>
              <w:top w:val="nil"/>
              <w:left w:val="nil"/>
              <w:bottom w:val="nil"/>
              <w:right w:val="nil"/>
            </w:tcBorders>
            <w:shd w:val="clear" w:color="auto" w:fill="auto"/>
            <w:noWrap/>
          </w:tcPr>
          <w:p w:rsidR="009E77AC" w:rsidRPr="00942766" w:rsidRDefault="009E77AC" w:rsidP="009E77AC">
            <w:pPr>
              <w:jc w:val="right"/>
              <w:rPr>
                <w:rFonts w:ascii="Calibri" w:eastAsia="Times New Roman" w:hAnsi="Calibri"/>
                <w:color w:val="000000"/>
                <w:sz w:val="18"/>
                <w:szCs w:val="18"/>
              </w:rPr>
            </w:pPr>
            <w:r w:rsidRPr="00942766">
              <w:rPr>
                <w:rFonts w:ascii="Calibri" w:eastAsia="Times New Roman" w:hAnsi="Calibri"/>
                <w:color w:val="000000"/>
                <w:sz w:val="18"/>
                <w:szCs w:val="18"/>
              </w:rPr>
              <w:t>60.0-136.0</w:t>
            </w:r>
          </w:p>
        </w:tc>
        <w:tc>
          <w:tcPr>
            <w:tcW w:w="2461" w:type="dxa"/>
            <w:tcBorders>
              <w:top w:val="nil"/>
              <w:left w:val="nil"/>
              <w:bottom w:val="nil"/>
              <w:right w:val="nil"/>
            </w:tcBorders>
            <w:shd w:val="clear" w:color="auto" w:fill="auto"/>
            <w:noWrap/>
          </w:tcPr>
          <w:p w:rsidR="009E77AC" w:rsidRPr="00942766" w:rsidRDefault="009E77AC" w:rsidP="009E77AC">
            <w:pPr>
              <w:jc w:val="center"/>
              <w:rPr>
                <w:rFonts w:ascii="Calibri" w:eastAsia="Times New Roman" w:hAnsi="Calibri"/>
                <w:color w:val="000000"/>
                <w:sz w:val="18"/>
                <w:szCs w:val="18"/>
              </w:rPr>
            </w:pPr>
            <w:r w:rsidRPr="00942766">
              <w:rPr>
                <w:rFonts w:ascii="Calibri" w:eastAsia="Times New Roman" w:hAnsi="Calibri"/>
                <w:color w:val="000000"/>
                <w:sz w:val="18"/>
                <w:szCs w:val="18"/>
              </w:rPr>
              <w:t>Curtis</w:t>
            </w:r>
            <w:r w:rsidRPr="00942766">
              <w:rPr>
                <w:rFonts w:ascii="Calibri (Body)" w:eastAsia="Times New Roman" w:hAnsi="Calibri (Body)"/>
                <w:color w:val="000000"/>
                <w:sz w:val="18"/>
                <w:szCs w:val="18"/>
                <w:vertAlign w:val="superscript"/>
              </w:rPr>
              <w:t>27</w:t>
            </w:r>
          </w:p>
        </w:tc>
      </w:tr>
      <w:tr w:rsidR="009E77AC" w:rsidRPr="00942766" w:rsidTr="00080173">
        <w:trPr>
          <w:trHeight w:val="300"/>
          <w:tblHeader/>
        </w:trPr>
        <w:tc>
          <w:tcPr>
            <w:tcW w:w="4536" w:type="dxa"/>
            <w:tcBorders>
              <w:top w:val="nil"/>
              <w:left w:val="nil"/>
              <w:bottom w:val="nil"/>
              <w:right w:val="nil"/>
            </w:tcBorders>
            <w:shd w:val="clear" w:color="auto" w:fill="auto"/>
            <w:noWrap/>
          </w:tcPr>
          <w:p w:rsidR="009E77AC" w:rsidRPr="00942766" w:rsidRDefault="009E77AC" w:rsidP="002833D4">
            <w:pPr>
              <w:jc w:val="right"/>
              <w:rPr>
                <w:rFonts w:ascii="Calibri" w:eastAsia="Times New Roman" w:hAnsi="Calibri"/>
                <w:color w:val="000000"/>
                <w:sz w:val="18"/>
                <w:szCs w:val="18"/>
              </w:rPr>
            </w:pPr>
            <w:r w:rsidRPr="00942766">
              <w:rPr>
                <w:rFonts w:ascii="Calibri" w:eastAsia="Times New Roman" w:hAnsi="Calibri"/>
                <w:color w:val="000000"/>
                <w:sz w:val="18"/>
                <w:szCs w:val="18"/>
              </w:rPr>
              <w:t>Community psychiatrist</w:t>
            </w:r>
            <w:r w:rsidRPr="00942766" w:rsidDel="009E77AC">
              <w:rPr>
                <w:rFonts w:ascii="Calibri" w:eastAsia="Times New Roman" w:hAnsi="Calibri"/>
                <w:color w:val="000000"/>
                <w:sz w:val="18"/>
                <w:szCs w:val="18"/>
              </w:rPr>
              <w:t xml:space="preserve"> </w:t>
            </w:r>
          </w:p>
        </w:tc>
        <w:tc>
          <w:tcPr>
            <w:tcW w:w="2023" w:type="dxa"/>
            <w:tcBorders>
              <w:top w:val="nil"/>
              <w:left w:val="nil"/>
              <w:bottom w:val="nil"/>
              <w:right w:val="nil"/>
            </w:tcBorders>
            <w:shd w:val="clear" w:color="auto" w:fill="auto"/>
            <w:noWrap/>
          </w:tcPr>
          <w:p w:rsidR="009E77AC" w:rsidRPr="00942766" w:rsidRDefault="009E77AC" w:rsidP="009E77AC">
            <w:pPr>
              <w:jc w:val="right"/>
              <w:rPr>
                <w:rFonts w:ascii="Calibri" w:eastAsia="Times New Roman" w:hAnsi="Calibri"/>
                <w:color w:val="000000"/>
                <w:sz w:val="18"/>
                <w:szCs w:val="18"/>
              </w:rPr>
            </w:pPr>
            <w:r w:rsidRPr="00942766">
              <w:rPr>
                <w:rFonts w:ascii="Calibri" w:eastAsia="Times New Roman" w:hAnsi="Calibri"/>
                <w:color w:val="000000"/>
                <w:sz w:val="18"/>
                <w:szCs w:val="18"/>
              </w:rPr>
              <w:t xml:space="preserve"> 60.0 </w:t>
            </w:r>
          </w:p>
        </w:tc>
        <w:tc>
          <w:tcPr>
            <w:tcW w:w="2461" w:type="dxa"/>
            <w:tcBorders>
              <w:top w:val="nil"/>
              <w:left w:val="nil"/>
              <w:bottom w:val="nil"/>
              <w:right w:val="nil"/>
            </w:tcBorders>
            <w:shd w:val="clear" w:color="auto" w:fill="auto"/>
            <w:noWrap/>
          </w:tcPr>
          <w:p w:rsidR="009E77AC" w:rsidRPr="00942766" w:rsidRDefault="009E77AC" w:rsidP="009E77AC">
            <w:pPr>
              <w:jc w:val="center"/>
              <w:rPr>
                <w:rFonts w:ascii="Calibri" w:eastAsia="Times New Roman" w:hAnsi="Calibri"/>
                <w:color w:val="000000"/>
                <w:sz w:val="18"/>
                <w:szCs w:val="18"/>
              </w:rPr>
            </w:pPr>
            <w:r w:rsidRPr="00942766">
              <w:rPr>
                <w:rFonts w:ascii="Calibri" w:eastAsia="Times New Roman" w:hAnsi="Calibri"/>
                <w:color w:val="000000"/>
                <w:sz w:val="18"/>
                <w:szCs w:val="18"/>
              </w:rPr>
              <w:t>Curtis</w:t>
            </w:r>
            <w:r w:rsidRPr="00942766">
              <w:rPr>
                <w:rFonts w:ascii="Calibri (Body)" w:eastAsia="Times New Roman" w:hAnsi="Calibri (Body)"/>
                <w:color w:val="000000"/>
                <w:sz w:val="18"/>
                <w:szCs w:val="18"/>
                <w:vertAlign w:val="superscript"/>
              </w:rPr>
              <w:t>27</w:t>
            </w:r>
          </w:p>
        </w:tc>
      </w:tr>
      <w:tr w:rsidR="009E77AC" w:rsidRPr="00942766" w:rsidTr="00080173">
        <w:trPr>
          <w:trHeight w:val="340"/>
          <w:tblHeader/>
        </w:trPr>
        <w:tc>
          <w:tcPr>
            <w:tcW w:w="4536" w:type="dxa"/>
            <w:tcBorders>
              <w:top w:val="nil"/>
              <w:left w:val="nil"/>
              <w:bottom w:val="nil"/>
              <w:right w:val="nil"/>
            </w:tcBorders>
            <w:shd w:val="clear" w:color="auto" w:fill="auto"/>
            <w:noWrap/>
          </w:tcPr>
          <w:p w:rsidR="009E77AC" w:rsidRPr="00942766" w:rsidRDefault="009E77AC" w:rsidP="002833D4">
            <w:pPr>
              <w:jc w:val="right"/>
              <w:rPr>
                <w:rFonts w:ascii="Calibri" w:eastAsia="Times New Roman" w:hAnsi="Calibri"/>
                <w:color w:val="000000"/>
                <w:sz w:val="18"/>
                <w:szCs w:val="18"/>
              </w:rPr>
            </w:pPr>
            <w:r w:rsidRPr="00942766">
              <w:rPr>
                <w:rFonts w:ascii="Calibri" w:eastAsia="Times New Roman" w:hAnsi="Calibri"/>
                <w:color w:val="000000"/>
                <w:sz w:val="18"/>
                <w:szCs w:val="18"/>
              </w:rPr>
              <w:t>Osteopath</w:t>
            </w:r>
            <w:r w:rsidRPr="00942766" w:rsidDel="009E77AC">
              <w:rPr>
                <w:rFonts w:ascii="Calibri" w:eastAsia="Times New Roman" w:hAnsi="Calibri"/>
                <w:color w:val="000000"/>
                <w:sz w:val="18"/>
                <w:szCs w:val="18"/>
              </w:rPr>
              <w:t xml:space="preserve"> </w:t>
            </w:r>
          </w:p>
        </w:tc>
        <w:tc>
          <w:tcPr>
            <w:tcW w:w="2023" w:type="dxa"/>
            <w:tcBorders>
              <w:top w:val="nil"/>
              <w:left w:val="nil"/>
              <w:bottom w:val="nil"/>
              <w:right w:val="nil"/>
            </w:tcBorders>
            <w:shd w:val="clear" w:color="auto" w:fill="auto"/>
            <w:noWrap/>
          </w:tcPr>
          <w:p w:rsidR="009E77AC" w:rsidRPr="00942766" w:rsidRDefault="009E77AC" w:rsidP="009E77AC">
            <w:pPr>
              <w:jc w:val="right"/>
              <w:rPr>
                <w:rFonts w:ascii="Calibri" w:eastAsia="Times New Roman" w:hAnsi="Calibri"/>
                <w:color w:val="000000"/>
                <w:sz w:val="18"/>
                <w:szCs w:val="18"/>
              </w:rPr>
            </w:pPr>
            <w:r w:rsidRPr="00942766">
              <w:rPr>
                <w:rFonts w:ascii="Calibri" w:eastAsia="Times New Roman" w:hAnsi="Calibri"/>
                <w:color w:val="000000"/>
                <w:sz w:val="18"/>
                <w:szCs w:val="18"/>
              </w:rPr>
              <w:t>35.0-50.0</w:t>
            </w:r>
          </w:p>
        </w:tc>
        <w:tc>
          <w:tcPr>
            <w:tcW w:w="2461" w:type="dxa"/>
            <w:tcBorders>
              <w:top w:val="nil"/>
              <w:left w:val="nil"/>
              <w:bottom w:val="nil"/>
              <w:right w:val="nil"/>
            </w:tcBorders>
            <w:shd w:val="clear" w:color="auto" w:fill="auto"/>
            <w:noWrap/>
          </w:tcPr>
          <w:p w:rsidR="009E77AC" w:rsidRPr="00942766" w:rsidRDefault="009E77AC" w:rsidP="009E77AC">
            <w:pPr>
              <w:jc w:val="center"/>
              <w:rPr>
                <w:rFonts w:ascii="Calibri" w:eastAsia="Times New Roman" w:hAnsi="Calibri"/>
                <w:color w:val="000000"/>
                <w:sz w:val="18"/>
                <w:szCs w:val="18"/>
              </w:rPr>
            </w:pPr>
            <w:r w:rsidRPr="00942766">
              <w:rPr>
                <w:rFonts w:ascii="Calibri" w:eastAsia="Times New Roman" w:hAnsi="Calibri"/>
                <w:color w:val="000000"/>
                <w:sz w:val="18"/>
                <w:szCs w:val="18"/>
              </w:rPr>
              <w:t>NHS Ref.Cost</w:t>
            </w:r>
            <w:r w:rsidRPr="00942766">
              <w:rPr>
                <w:rFonts w:ascii="Calibri (Body)" w:eastAsia="Times New Roman" w:hAnsi="Calibri (Body)"/>
                <w:color w:val="000000"/>
                <w:sz w:val="18"/>
                <w:szCs w:val="18"/>
                <w:vertAlign w:val="superscript"/>
              </w:rPr>
              <w:t>28</w:t>
            </w:r>
          </w:p>
        </w:tc>
      </w:tr>
      <w:tr w:rsidR="009E77AC" w:rsidRPr="00942766" w:rsidTr="00080173">
        <w:trPr>
          <w:trHeight w:val="340"/>
        </w:trPr>
        <w:tc>
          <w:tcPr>
            <w:tcW w:w="4536" w:type="dxa"/>
            <w:tcBorders>
              <w:top w:val="nil"/>
              <w:left w:val="nil"/>
              <w:bottom w:val="nil"/>
              <w:right w:val="nil"/>
            </w:tcBorders>
            <w:shd w:val="clear" w:color="auto" w:fill="auto"/>
            <w:noWrap/>
          </w:tcPr>
          <w:p w:rsidR="009E77AC" w:rsidRPr="00942766" w:rsidRDefault="009E77AC" w:rsidP="002833D4">
            <w:pPr>
              <w:jc w:val="right"/>
              <w:rPr>
                <w:rFonts w:ascii="Calibri" w:eastAsia="Times New Roman" w:hAnsi="Calibri"/>
                <w:color w:val="000000"/>
                <w:sz w:val="18"/>
                <w:szCs w:val="18"/>
              </w:rPr>
            </w:pPr>
            <w:r w:rsidRPr="00942766">
              <w:rPr>
                <w:rFonts w:ascii="Calibri" w:eastAsia="Times New Roman" w:hAnsi="Calibri"/>
                <w:color w:val="000000"/>
                <w:sz w:val="18"/>
                <w:szCs w:val="18"/>
              </w:rPr>
              <w:t>Audiologist</w:t>
            </w:r>
            <w:r w:rsidRPr="00942766" w:rsidDel="009E77AC">
              <w:rPr>
                <w:rFonts w:ascii="Calibri" w:eastAsia="Times New Roman" w:hAnsi="Calibri"/>
                <w:color w:val="000000"/>
                <w:sz w:val="18"/>
                <w:szCs w:val="18"/>
              </w:rPr>
              <w:t xml:space="preserve"> </w:t>
            </w:r>
          </w:p>
        </w:tc>
        <w:tc>
          <w:tcPr>
            <w:tcW w:w="2023" w:type="dxa"/>
            <w:tcBorders>
              <w:top w:val="nil"/>
              <w:left w:val="nil"/>
              <w:bottom w:val="nil"/>
              <w:right w:val="nil"/>
            </w:tcBorders>
            <w:shd w:val="clear" w:color="auto" w:fill="auto"/>
            <w:noWrap/>
          </w:tcPr>
          <w:p w:rsidR="009E77AC" w:rsidRPr="00942766" w:rsidRDefault="009E77AC" w:rsidP="009E77AC">
            <w:pPr>
              <w:jc w:val="right"/>
              <w:rPr>
                <w:rFonts w:ascii="Calibri" w:eastAsia="Times New Roman" w:hAnsi="Calibri"/>
                <w:color w:val="000000"/>
                <w:sz w:val="18"/>
                <w:szCs w:val="18"/>
              </w:rPr>
            </w:pPr>
            <w:r w:rsidRPr="00942766">
              <w:rPr>
                <w:rFonts w:ascii="Calibri" w:eastAsia="Times New Roman" w:hAnsi="Calibri"/>
                <w:color w:val="000000"/>
                <w:sz w:val="18"/>
                <w:szCs w:val="18"/>
              </w:rPr>
              <w:t>150.0</w:t>
            </w:r>
          </w:p>
        </w:tc>
        <w:tc>
          <w:tcPr>
            <w:tcW w:w="2461" w:type="dxa"/>
            <w:tcBorders>
              <w:top w:val="nil"/>
              <w:left w:val="nil"/>
              <w:bottom w:val="nil"/>
              <w:right w:val="nil"/>
            </w:tcBorders>
            <w:shd w:val="clear" w:color="auto" w:fill="auto"/>
            <w:noWrap/>
          </w:tcPr>
          <w:p w:rsidR="009E77AC" w:rsidRPr="00942766" w:rsidRDefault="009E77AC" w:rsidP="009E77AC">
            <w:pPr>
              <w:jc w:val="center"/>
              <w:rPr>
                <w:rFonts w:ascii="Calibri" w:eastAsia="Times New Roman" w:hAnsi="Calibri"/>
                <w:color w:val="000000"/>
                <w:sz w:val="18"/>
                <w:szCs w:val="18"/>
              </w:rPr>
            </w:pPr>
            <w:r w:rsidRPr="00942766">
              <w:rPr>
                <w:rFonts w:ascii="Calibri" w:eastAsia="Times New Roman" w:hAnsi="Calibri"/>
                <w:color w:val="000000"/>
                <w:sz w:val="18"/>
                <w:szCs w:val="18"/>
              </w:rPr>
              <w:t>NHS Ref.Cost</w:t>
            </w:r>
            <w:r w:rsidRPr="00942766">
              <w:rPr>
                <w:rFonts w:ascii="Calibri (Body)" w:eastAsia="Times New Roman" w:hAnsi="Calibri (Body)"/>
                <w:color w:val="000000"/>
                <w:sz w:val="18"/>
                <w:szCs w:val="18"/>
                <w:vertAlign w:val="superscript"/>
              </w:rPr>
              <w:t>28</w:t>
            </w:r>
          </w:p>
        </w:tc>
      </w:tr>
      <w:tr w:rsidR="009E77AC" w:rsidRPr="00942766" w:rsidTr="00080173">
        <w:trPr>
          <w:trHeight w:val="340"/>
        </w:trPr>
        <w:tc>
          <w:tcPr>
            <w:tcW w:w="4536" w:type="dxa"/>
            <w:tcBorders>
              <w:top w:val="nil"/>
              <w:left w:val="nil"/>
              <w:bottom w:val="nil"/>
              <w:right w:val="nil"/>
            </w:tcBorders>
            <w:shd w:val="clear" w:color="auto" w:fill="auto"/>
            <w:noWrap/>
          </w:tcPr>
          <w:p w:rsidR="009E77AC" w:rsidRPr="00942766" w:rsidRDefault="009E77AC" w:rsidP="002833D4">
            <w:pPr>
              <w:jc w:val="right"/>
              <w:rPr>
                <w:rFonts w:ascii="Calibri" w:eastAsia="Times New Roman" w:hAnsi="Calibri"/>
                <w:color w:val="000000"/>
                <w:sz w:val="18"/>
                <w:szCs w:val="18"/>
              </w:rPr>
            </w:pPr>
            <w:r w:rsidRPr="00942766">
              <w:rPr>
                <w:rFonts w:ascii="Calibri" w:eastAsia="Times New Roman" w:hAnsi="Calibri"/>
                <w:color w:val="000000"/>
                <w:sz w:val="18"/>
                <w:szCs w:val="18"/>
              </w:rPr>
              <w:t>General practitioner, per consultation</w:t>
            </w:r>
            <w:r w:rsidRPr="00942766" w:rsidDel="009E77AC">
              <w:rPr>
                <w:rFonts w:ascii="Calibri" w:eastAsia="Times New Roman" w:hAnsi="Calibri"/>
                <w:color w:val="000000"/>
                <w:sz w:val="18"/>
                <w:szCs w:val="18"/>
              </w:rPr>
              <w:t xml:space="preserve"> </w:t>
            </w:r>
          </w:p>
        </w:tc>
        <w:tc>
          <w:tcPr>
            <w:tcW w:w="2023" w:type="dxa"/>
            <w:tcBorders>
              <w:top w:val="nil"/>
              <w:left w:val="nil"/>
              <w:bottom w:val="nil"/>
              <w:right w:val="nil"/>
            </w:tcBorders>
            <w:shd w:val="clear" w:color="auto" w:fill="auto"/>
            <w:noWrap/>
          </w:tcPr>
          <w:p w:rsidR="009E77AC" w:rsidRPr="00942766" w:rsidRDefault="009E77AC" w:rsidP="009E77AC">
            <w:pPr>
              <w:jc w:val="right"/>
              <w:rPr>
                <w:rFonts w:ascii="Calibri" w:eastAsia="Times New Roman" w:hAnsi="Calibri"/>
                <w:color w:val="000000"/>
                <w:sz w:val="18"/>
                <w:szCs w:val="18"/>
              </w:rPr>
            </w:pPr>
            <w:r w:rsidRPr="00942766">
              <w:rPr>
                <w:rFonts w:ascii="Calibri" w:eastAsia="Times New Roman" w:hAnsi="Calibri"/>
                <w:color w:val="000000"/>
                <w:sz w:val="18"/>
                <w:szCs w:val="18"/>
              </w:rPr>
              <w:t>53.0 (43.0-63.0)</w:t>
            </w:r>
          </w:p>
        </w:tc>
        <w:tc>
          <w:tcPr>
            <w:tcW w:w="2461" w:type="dxa"/>
            <w:tcBorders>
              <w:top w:val="nil"/>
              <w:left w:val="nil"/>
              <w:bottom w:val="nil"/>
              <w:right w:val="nil"/>
            </w:tcBorders>
            <w:shd w:val="clear" w:color="auto" w:fill="auto"/>
            <w:noWrap/>
          </w:tcPr>
          <w:p w:rsidR="009E77AC" w:rsidRPr="00942766" w:rsidRDefault="009E77AC" w:rsidP="009E77AC">
            <w:pPr>
              <w:jc w:val="center"/>
              <w:rPr>
                <w:rFonts w:ascii="Calibri" w:eastAsia="Times New Roman" w:hAnsi="Calibri"/>
                <w:color w:val="000000"/>
                <w:sz w:val="18"/>
                <w:szCs w:val="18"/>
              </w:rPr>
            </w:pPr>
            <w:r w:rsidRPr="00942766">
              <w:rPr>
                <w:rFonts w:ascii="Calibri" w:eastAsia="Times New Roman" w:hAnsi="Calibri"/>
                <w:color w:val="000000"/>
                <w:sz w:val="18"/>
                <w:szCs w:val="18"/>
              </w:rPr>
              <w:t>Curtis27</w:t>
            </w:r>
          </w:p>
        </w:tc>
      </w:tr>
      <w:tr w:rsidR="009E77AC" w:rsidRPr="00942766" w:rsidTr="00080173">
        <w:trPr>
          <w:trHeight w:val="340"/>
        </w:trPr>
        <w:tc>
          <w:tcPr>
            <w:tcW w:w="4536" w:type="dxa"/>
            <w:tcBorders>
              <w:top w:val="nil"/>
              <w:left w:val="nil"/>
              <w:bottom w:val="nil"/>
              <w:right w:val="nil"/>
            </w:tcBorders>
            <w:shd w:val="clear" w:color="auto" w:fill="auto"/>
            <w:noWrap/>
            <w:hideMark/>
          </w:tcPr>
          <w:p w:rsidR="009E77AC" w:rsidRPr="00942766" w:rsidRDefault="009E77AC" w:rsidP="009E77AC">
            <w:pPr>
              <w:rPr>
                <w:rFonts w:ascii="Calibri" w:eastAsia="Times New Roman" w:hAnsi="Calibri"/>
                <w:b/>
                <w:color w:val="000000"/>
                <w:sz w:val="18"/>
                <w:szCs w:val="18"/>
              </w:rPr>
            </w:pPr>
            <w:r w:rsidRPr="00942766">
              <w:rPr>
                <w:rFonts w:ascii="Calibri" w:eastAsia="Times New Roman" w:hAnsi="Calibri"/>
                <w:b/>
                <w:color w:val="000000"/>
                <w:sz w:val="18"/>
                <w:szCs w:val="18"/>
              </w:rPr>
              <w:t>Other care service</w:t>
            </w:r>
            <w:r w:rsidR="0093425F" w:rsidRPr="00942766">
              <w:rPr>
                <w:rFonts w:ascii="Calibri" w:eastAsia="Times New Roman" w:hAnsi="Calibri"/>
                <w:b/>
                <w:color w:val="000000"/>
                <w:sz w:val="18"/>
                <w:szCs w:val="18"/>
              </w:rPr>
              <w:t>,</w:t>
            </w:r>
            <w:r w:rsidRPr="00942766">
              <w:rPr>
                <w:rFonts w:ascii="Calibri" w:eastAsia="Times New Roman" w:hAnsi="Calibri"/>
                <w:b/>
                <w:color w:val="000000"/>
                <w:sz w:val="18"/>
                <w:szCs w:val="18"/>
              </w:rPr>
              <w:t xml:space="preserve"> per week</w:t>
            </w:r>
          </w:p>
        </w:tc>
        <w:tc>
          <w:tcPr>
            <w:tcW w:w="2023" w:type="dxa"/>
            <w:tcBorders>
              <w:top w:val="nil"/>
              <w:left w:val="nil"/>
              <w:bottom w:val="nil"/>
              <w:right w:val="nil"/>
            </w:tcBorders>
            <w:shd w:val="clear" w:color="auto" w:fill="auto"/>
            <w:noWrap/>
            <w:hideMark/>
          </w:tcPr>
          <w:p w:rsidR="009E77AC" w:rsidRPr="00942766" w:rsidRDefault="009E77AC" w:rsidP="009E77AC">
            <w:pPr>
              <w:jc w:val="right"/>
              <w:rPr>
                <w:rFonts w:ascii="Calibri" w:eastAsia="Times New Roman" w:hAnsi="Calibri"/>
                <w:color w:val="000000"/>
                <w:sz w:val="18"/>
                <w:szCs w:val="18"/>
              </w:rPr>
            </w:pPr>
          </w:p>
        </w:tc>
        <w:tc>
          <w:tcPr>
            <w:tcW w:w="2461" w:type="dxa"/>
            <w:tcBorders>
              <w:top w:val="nil"/>
              <w:left w:val="nil"/>
              <w:bottom w:val="nil"/>
              <w:right w:val="nil"/>
            </w:tcBorders>
            <w:shd w:val="clear" w:color="auto" w:fill="auto"/>
            <w:noWrap/>
            <w:hideMark/>
          </w:tcPr>
          <w:p w:rsidR="009E77AC" w:rsidRPr="00942766" w:rsidRDefault="009E77AC" w:rsidP="009E77AC">
            <w:pPr>
              <w:jc w:val="center"/>
              <w:rPr>
                <w:rFonts w:ascii="Calibri" w:eastAsia="Times New Roman" w:hAnsi="Calibri"/>
                <w:color w:val="000000"/>
                <w:sz w:val="18"/>
                <w:szCs w:val="18"/>
              </w:rPr>
            </w:pPr>
          </w:p>
        </w:tc>
      </w:tr>
      <w:tr w:rsidR="009E77AC" w:rsidRPr="00942766" w:rsidTr="00080173">
        <w:trPr>
          <w:trHeight w:val="300"/>
        </w:trPr>
        <w:tc>
          <w:tcPr>
            <w:tcW w:w="4536" w:type="dxa"/>
            <w:tcBorders>
              <w:top w:val="nil"/>
              <w:left w:val="nil"/>
              <w:bottom w:val="nil"/>
              <w:right w:val="nil"/>
            </w:tcBorders>
            <w:shd w:val="clear" w:color="auto" w:fill="auto"/>
            <w:noWrap/>
            <w:hideMark/>
          </w:tcPr>
          <w:p w:rsidR="009E77AC" w:rsidRPr="00942766" w:rsidRDefault="009E77AC" w:rsidP="002833D4">
            <w:pPr>
              <w:jc w:val="right"/>
              <w:rPr>
                <w:rFonts w:ascii="Calibri" w:eastAsia="Times New Roman" w:hAnsi="Calibri"/>
                <w:color w:val="000000"/>
                <w:sz w:val="18"/>
                <w:szCs w:val="18"/>
              </w:rPr>
            </w:pPr>
            <w:r w:rsidRPr="00942766">
              <w:rPr>
                <w:rFonts w:ascii="Calibri" w:eastAsia="Times New Roman" w:hAnsi="Calibri"/>
                <w:color w:val="000000"/>
                <w:sz w:val="18"/>
                <w:szCs w:val="18"/>
              </w:rPr>
              <w:t>Residential respite care</w:t>
            </w:r>
          </w:p>
        </w:tc>
        <w:tc>
          <w:tcPr>
            <w:tcW w:w="2023" w:type="dxa"/>
            <w:tcBorders>
              <w:top w:val="nil"/>
              <w:left w:val="nil"/>
              <w:bottom w:val="nil"/>
              <w:right w:val="nil"/>
            </w:tcBorders>
            <w:shd w:val="clear" w:color="auto" w:fill="auto"/>
            <w:noWrap/>
            <w:hideMark/>
          </w:tcPr>
          <w:p w:rsidR="009E77AC" w:rsidRPr="00942766" w:rsidRDefault="009E77AC" w:rsidP="009E77AC">
            <w:pPr>
              <w:jc w:val="right"/>
              <w:rPr>
                <w:rFonts w:ascii="Calibri" w:eastAsia="Times New Roman" w:hAnsi="Calibri"/>
                <w:color w:val="000000"/>
                <w:sz w:val="18"/>
                <w:szCs w:val="18"/>
              </w:rPr>
            </w:pPr>
            <w:r w:rsidRPr="00942766">
              <w:rPr>
                <w:rFonts w:ascii="Calibri" w:eastAsia="Times New Roman" w:hAnsi="Calibri"/>
                <w:color w:val="000000"/>
                <w:sz w:val="18"/>
                <w:szCs w:val="18"/>
              </w:rPr>
              <w:t>268.0 (71.0-413.0)</w:t>
            </w:r>
          </w:p>
        </w:tc>
        <w:tc>
          <w:tcPr>
            <w:tcW w:w="2461" w:type="dxa"/>
            <w:tcBorders>
              <w:top w:val="nil"/>
              <w:left w:val="nil"/>
              <w:bottom w:val="nil"/>
              <w:right w:val="nil"/>
            </w:tcBorders>
            <w:shd w:val="clear" w:color="auto" w:fill="auto"/>
            <w:noWrap/>
            <w:hideMark/>
          </w:tcPr>
          <w:p w:rsidR="009E77AC" w:rsidRPr="00942766" w:rsidRDefault="009E77AC" w:rsidP="009E77AC">
            <w:pPr>
              <w:jc w:val="center"/>
              <w:rPr>
                <w:rFonts w:eastAsia="Times New Roman"/>
                <w:sz w:val="18"/>
                <w:szCs w:val="18"/>
              </w:rPr>
            </w:pPr>
            <w:r w:rsidRPr="00942766">
              <w:rPr>
                <w:rFonts w:ascii="Calibri" w:eastAsia="Times New Roman" w:hAnsi="Calibri"/>
                <w:color w:val="000000"/>
                <w:sz w:val="18"/>
                <w:szCs w:val="18"/>
              </w:rPr>
              <w:t>Inflated PSSRU, 2011</w:t>
            </w:r>
          </w:p>
        </w:tc>
      </w:tr>
      <w:tr w:rsidR="009E77AC" w:rsidRPr="00942766" w:rsidTr="00080173">
        <w:trPr>
          <w:trHeight w:val="300"/>
        </w:trPr>
        <w:tc>
          <w:tcPr>
            <w:tcW w:w="4536" w:type="dxa"/>
            <w:tcBorders>
              <w:top w:val="nil"/>
              <w:left w:val="nil"/>
              <w:bottom w:val="nil"/>
              <w:right w:val="nil"/>
            </w:tcBorders>
            <w:shd w:val="clear" w:color="auto" w:fill="auto"/>
            <w:noWrap/>
            <w:hideMark/>
          </w:tcPr>
          <w:p w:rsidR="009E77AC" w:rsidRPr="00942766" w:rsidRDefault="009E77AC" w:rsidP="002833D4">
            <w:pPr>
              <w:jc w:val="right"/>
              <w:rPr>
                <w:rFonts w:ascii="Calibri" w:eastAsia="Times New Roman" w:hAnsi="Calibri"/>
                <w:color w:val="000000"/>
                <w:sz w:val="18"/>
                <w:szCs w:val="18"/>
              </w:rPr>
            </w:pPr>
            <w:r w:rsidRPr="00942766">
              <w:rPr>
                <w:rFonts w:ascii="Calibri" w:eastAsia="Times New Roman" w:hAnsi="Calibri"/>
                <w:color w:val="000000"/>
                <w:sz w:val="18"/>
                <w:szCs w:val="18"/>
              </w:rPr>
              <w:t>Foster care</w:t>
            </w:r>
          </w:p>
        </w:tc>
        <w:tc>
          <w:tcPr>
            <w:tcW w:w="2023" w:type="dxa"/>
            <w:tcBorders>
              <w:top w:val="nil"/>
              <w:left w:val="nil"/>
              <w:bottom w:val="nil"/>
              <w:right w:val="nil"/>
            </w:tcBorders>
            <w:shd w:val="clear" w:color="auto" w:fill="auto"/>
            <w:noWrap/>
            <w:hideMark/>
          </w:tcPr>
          <w:p w:rsidR="009E77AC" w:rsidRPr="00942766" w:rsidRDefault="009E77AC" w:rsidP="009E77AC">
            <w:pPr>
              <w:jc w:val="right"/>
              <w:rPr>
                <w:rFonts w:ascii="Calibri" w:eastAsia="Times New Roman" w:hAnsi="Calibri"/>
                <w:color w:val="000000"/>
                <w:sz w:val="18"/>
                <w:szCs w:val="18"/>
              </w:rPr>
            </w:pPr>
            <w:r w:rsidRPr="00942766">
              <w:rPr>
                <w:rFonts w:ascii="Calibri" w:eastAsia="Times New Roman" w:hAnsi="Calibri"/>
                <w:color w:val="000000"/>
                <w:sz w:val="18"/>
                <w:szCs w:val="18"/>
              </w:rPr>
              <w:t>637.0</w:t>
            </w:r>
          </w:p>
        </w:tc>
        <w:tc>
          <w:tcPr>
            <w:tcW w:w="2461" w:type="dxa"/>
            <w:tcBorders>
              <w:top w:val="nil"/>
              <w:left w:val="nil"/>
              <w:bottom w:val="nil"/>
              <w:right w:val="nil"/>
            </w:tcBorders>
            <w:shd w:val="clear" w:color="auto" w:fill="auto"/>
            <w:noWrap/>
            <w:hideMark/>
          </w:tcPr>
          <w:p w:rsidR="009E77AC" w:rsidRPr="00942766" w:rsidRDefault="009E77AC" w:rsidP="009E77AC">
            <w:pPr>
              <w:jc w:val="center"/>
              <w:rPr>
                <w:rFonts w:ascii="Calibri" w:eastAsia="Times New Roman" w:hAnsi="Calibri"/>
                <w:color w:val="000000"/>
                <w:sz w:val="18"/>
                <w:szCs w:val="18"/>
              </w:rPr>
            </w:pPr>
            <w:r w:rsidRPr="00942766">
              <w:rPr>
                <w:rFonts w:ascii="Calibri" w:eastAsia="Times New Roman" w:hAnsi="Calibri"/>
                <w:color w:val="000000"/>
                <w:sz w:val="18"/>
                <w:szCs w:val="18"/>
              </w:rPr>
              <w:t>Inflated PSSRU, 2011</w:t>
            </w:r>
          </w:p>
        </w:tc>
      </w:tr>
      <w:tr w:rsidR="009E77AC" w:rsidRPr="00942766" w:rsidTr="00080173">
        <w:trPr>
          <w:trHeight w:val="300"/>
        </w:trPr>
        <w:tc>
          <w:tcPr>
            <w:tcW w:w="4536" w:type="dxa"/>
            <w:tcBorders>
              <w:top w:val="nil"/>
              <w:left w:val="nil"/>
              <w:bottom w:val="nil"/>
              <w:right w:val="nil"/>
            </w:tcBorders>
            <w:shd w:val="clear" w:color="auto" w:fill="auto"/>
            <w:noWrap/>
            <w:hideMark/>
          </w:tcPr>
          <w:p w:rsidR="009E77AC" w:rsidRPr="00942766" w:rsidRDefault="009E77AC" w:rsidP="002833D4">
            <w:pPr>
              <w:rPr>
                <w:rFonts w:ascii="Calibri" w:eastAsia="Times New Roman" w:hAnsi="Calibri"/>
                <w:color w:val="000000"/>
                <w:sz w:val="18"/>
                <w:szCs w:val="18"/>
              </w:rPr>
            </w:pPr>
            <w:r w:rsidRPr="00942766">
              <w:rPr>
                <w:rFonts w:ascii="Calibri" w:eastAsia="Times New Roman" w:hAnsi="Calibri"/>
                <w:b/>
                <w:color w:val="000000"/>
                <w:sz w:val="18"/>
                <w:szCs w:val="18"/>
              </w:rPr>
              <w:t>Hospital outpatient, per attendance</w:t>
            </w:r>
            <w:r w:rsidRPr="00942766">
              <w:rPr>
                <w:rFonts w:ascii="Calibri" w:eastAsia="Times New Roman" w:hAnsi="Calibri"/>
                <w:color w:val="000000"/>
                <w:sz w:val="18"/>
                <w:szCs w:val="18"/>
              </w:rPr>
              <w:t xml:space="preserve"> **</w:t>
            </w:r>
          </w:p>
        </w:tc>
        <w:tc>
          <w:tcPr>
            <w:tcW w:w="2023" w:type="dxa"/>
            <w:tcBorders>
              <w:top w:val="nil"/>
              <w:left w:val="nil"/>
              <w:bottom w:val="nil"/>
              <w:right w:val="nil"/>
            </w:tcBorders>
            <w:shd w:val="clear" w:color="auto" w:fill="auto"/>
            <w:noWrap/>
            <w:hideMark/>
          </w:tcPr>
          <w:p w:rsidR="009E77AC" w:rsidRPr="00942766" w:rsidRDefault="009E77AC" w:rsidP="009E77AC">
            <w:pPr>
              <w:jc w:val="right"/>
              <w:rPr>
                <w:rFonts w:ascii="Calibri" w:eastAsia="Times New Roman" w:hAnsi="Calibri"/>
                <w:color w:val="000000"/>
                <w:sz w:val="18"/>
                <w:szCs w:val="18"/>
              </w:rPr>
            </w:pPr>
          </w:p>
        </w:tc>
        <w:tc>
          <w:tcPr>
            <w:tcW w:w="2461" w:type="dxa"/>
            <w:tcBorders>
              <w:top w:val="nil"/>
              <w:left w:val="nil"/>
              <w:bottom w:val="nil"/>
              <w:right w:val="nil"/>
            </w:tcBorders>
            <w:shd w:val="clear" w:color="auto" w:fill="auto"/>
            <w:noWrap/>
            <w:hideMark/>
          </w:tcPr>
          <w:p w:rsidR="009E77AC" w:rsidRPr="00942766" w:rsidRDefault="009E77AC" w:rsidP="009E77AC">
            <w:pPr>
              <w:jc w:val="center"/>
              <w:rPr>
                <w:rFonts w:ascii="Calibri" w:eastAsia="Times New Roman" w:hAnsi="Calibri"/>
                <w:color w:val="000000"/>
                <w:sz w:val="18"/>
                <w:szCs w:val="18"/>
              </w:rPr>
            </w:pPr>
          </w:p>
        </w:tc>
      </w:tr>
      <w:tr w:rsidR="009E77AC" w:rsidRPr="00942766" w:rsidTr="00080173">
        <w:trPr>
          <w:trHeight w:val="300"/>
        </w:trPr>
        <w:tc>
          <w:tcPr>
            <w:tcW w:w="4536" w:type="dxa"/>
            <w:tcBorders>
              <w:top w:val="nil"/>
              <w:left w:val="nil"/>
              <w:bottom w:val="nil"/>
              <w:right w:val="single" w:sz="8" w:space="0" w:color="auto"/>
            </w:tcBorders>
            <w:shd w:val="clear" w:color="auto" w:fill="auto"/>
            <w:noWrap/>
            <w:vAlign w:val="bottom"/>
            <w:hideMark/>
          </w:tcPr>
          <w:p w:rsidR="009E77AC" w:rsidRPr="00942766" w:rsidRDefault="009E77AC" w:rsidP="009E77AC">
            <w:pPr>
              <w:jc w:val="right"/>
              <w:rPr>
                <w:rFonts w:ascii="Calibri" w:eastAsia="Times New Roman" w:hAnsi="Calibri"/>
                <w:color w:val="000000"/>
                <w:sz w:val="18"/>
                <w:szCs w:val="18"/>
              </w:rPr>
            </w:pPr>
            <w:r w:rsidRPr="00942766">
              <w:rPr>
                <w:rFonts w:ascii="Calibri" w:eastAsia="Times New Roman" w:hAnsi="Calibri"/>
                <w:color w:val="000000"/>
                <w:sz w:val="18"/>
                <w:szCs w:val="18"/>
              </w:rPr>
              <w:t>Category 1 (ENT)</w:t>
            </w:r>
          </w:p>
        </w:tc>
        <w:tc>
          <w:tcPr>
            <w:tcW w:w="2023" w:type="dxa"/>
            <w:tcBorders>
              <w:top w:val="nil"/>
              <w:left w:val="nil"/>
              <w:bottom w:val="nil"/>
              <w:right w:val="nil"/>
            </w:tcBorders>
            <w:shd w:val="clear" w:color="auto" w:fill="auto"/>
            <w:noWrap/>
            <w:hideMark/>
          </w:tcPr>
          <w:p w:rsidR="009E77AC" w:rsidRPr="00942766" w:rsidRDefault="009E77AC" w:rsidP="009E77AC">
            <w:pPr>
              <w:jc w:val="right"/>
              <w:rPr>
                <w:rFonts w:ascii="Calibri" w:eastAsia="Times New Roman" w:hAnsi="Calibri"/>
                <w:color w:val="000000"/>
                <w:sz w:val="18"/>
                <w:szCs w:val="18"/>
              </w:rPr>
            </w:pPr>
            <w:r w:rsidRPr="00942766">
              <w:rPr>
                <w:rFonts w:ascii="Calibri" w:eastAsia="Times New Roman" w:hAnsi="Calibri"/>
                <w:color w:val="000000"/>
                <w:sz w:val="18"/>
                <w:szCs w:val="18"/>
              </w:rPr>
              <w:t>71.7 (45.0-98.0)</w:t>
            </w:r>
          </w:p>
        </w:tc>
        <w:tc>
          <w:tcPr>
            <w:tcW w:w="2461" w:type="dxa"/>
            <w:tcBorders>
              <w:top w:val="nil"/>
              <w:left w:val="nil"/>
              <w:bottom w:val="nil"/>
              <w:right w:val="nil"/>
            </w:tcBorders>
            <w:shd w:val="clear" w:color="auto" w:fill="auto"/>
            <w:noWrap/>
            <w:hideMark/>
          </w:tcPr>
          <w:p w:rsidR="009E77AC" w:rsidRPr="00942766" w:rsidRDefault="009E77AC" w:rsidP="009E77AC">
            <w:pPr>
              <w:jc w:val="center"/>
              <w:rPr>
                <w:rFonts w:eastAsia="Times New Roman"/>
                <w:sz w:val="18"/>
                <w:szCs w:val="18"/>
              </w:rPr>
            </w:pPr>
            <w:r w:rsidRPr="00942766">
              <w:rPr>
                <w:rFonts w:ascii="Calibri" w:eastAsia="Times New Roman" w:hAnsi="Calibri"/>
                <w:color w:val="000000"/>
                <w:sz w:val="18"/>
                <w:szCs w:val="18"/>
              </w:rPr>
              <w:t>NHS Ref.Cost</w:t>
            </w:r>
            <w:r w:rsidRPr="00942766">
              <w:rPr>
                <w:rFonts w:ascii="Calibri (Body)" w:eastAsia="Times New Roman" w:hAnsi="Calibri (Body)"/>
                <w:color w:val="000000"/>
                <w:sz w:val="18"/>
                <w:szCs w:val="18"/>
                <w:vertAlign w:val="superscript"/>
              </w:rPr>
              <w:t>28</w:t>
            </w:r>
          </w:p>
        </w:tc>
      </w:tr>
      <w:tr w:rsidR="009E77AC" w:rsidRPr="00942766" w:rsidTr="00080173">
        <w:trPr>
          <w:trHeight w:val="340"/>
        </w:trPr>
        <w:tc>
          <w:tcPr>
            <w:tcW w:w="4536" w:type="dxa"/>
            <w:tcBorders>
              <w:top w:val="nil"/>
              <w:left w:val="nil"/>
              <w:bottom w:val="nil"/>
              <w:right w:val="single" w:sz="8" w:space="0" w:color="auto"/>
            </w:tcBorders>
            <w:shd w:val="clear" w:color="auto" w:fill="auto"/>
            <w:noWrap/>
            <w:vAlign w:val="bottom"/>
            <w:hideMark/>
          </w:tcPr>
          <w:p w:rsidR="009E77AC" w:rsidRPr="00942766" w:rsidRDefault="009E77AC" w:rsidP="009E77AC">
            <w:pPr>
              <w:jc w:val="right"/>
              <w:rPr>
                <w:rFonts w:ascii="Calibri" w:eastAsia="Times New Roman" w:hAnsi="Calibri"/>
                <w:color w:val="000000"/>
                <w:sz w:val="18"/>
                <w:szCs w:val="18"/>
              </w:rPr>
            </w:pPr>
            <w:r w:rsidRPr="00942766">
              <w:rPr>
                <w:rFonts w:ascii="Calibri" w:eastAsia="Times New Roman" w:hAnsi="Calibri"/>
                <w:color w:val="000000"/>
                <w:sz w:val="18"/>
                <w:szCs w:val="18"/>
              </w:rPr>
              <w:t>Category 2 (A&amp;E)</w:t>
            </w:r>
          </w:p>
        </w:tc>
        <w:tc>
          <w:tcPr>
            <w:tcW w:w="2023" w:type="dxa"/>
            <w:tcBorders>
              <w:top w:val="nil"/>
              <w:left w:val="nil"/>
              <w:bottom w:val="nil"/>
              <w:right w:val="nil"/>
            </w:tcBorders>
            <w:shd w:val="clear" w:color="auto" w:fill="auto"/>
            <w:noWrap/>
            <w:hideMark/>
          </w:tcPr>
          <w:p w:rsidR="009E77AC" w:rsidRPr="00942766" w:rsidRDefault="009E77AC" w:rsidP="009E77AC">
            <w:pPr>
              <w:jc w:val="right"/>
              <w:rPr>
                <w:rFonts w:ascii="Calibri" w:eastAsia="Times New Roman" w:hAnsi="Calibri"/>
                <w:color w:val="000000"/>
                <w:sz w:val="18"/>
                <w:szCs w:val="18"/>
              </w:rPr>
            </w:pPr>
            <w:r w:rsidRPr="00942766">
              <w:rPr>
                <w:rFonts w:ascii="Calibri" w:eastAsia="Times New Roman" w:hAnsi="Calibri"/>
                <w:color w:val="000000"/>
                <w:sz w:val="18"/>
                <w:szCs w:val="18"/>
              </w:rPr>
              <w:t>137.6</w:t>
            </w:r>
            <w:r w:rsidR="0093425F" w:rsidRPr="00942766">
              <w:rPr>
                <w:rFonts w:ascii="Calibri" w:eastAsia="Times New Roman" w:hAnsi="Calibri"/>
                <w:color w:val="000000"/>
                <w:sz w:val="18"/>
                <w:szCs w:val="18"/>
              </w:rPr>
              <w:t xml:space="preserve"> </w:t>
            </w:r>
            <w:r w:rsidRPr="00942766">
              <w:rPr>
                <w:rFonts w:ascii="Calibri" w:eastAsia="Times New Roman" w:hAnsi="Calibri"/>
                <w:color w:val="000000"/>
                <w:sz w:val="18"/>
                <w:szCs w:val="18"/>
              </w:rPr>
              <w:t>(106.0-197.0)</w:t>
            </w:r>
          </w:p>
        </w:tc>
        <w:tc>
          <w:tcPr>
            <w:tcW w:w="2461" w:type="dxa"/>
            <w:tcBorders>
              <w:top w:val="nil"/>
              <w:left w:val="nil"/>
              <w:bottom w:val="nil"/>
              <w:right w:val="nil"/>
            </w:tcBorders>
            <w:shd w:val="clear" w:color="auto" w:fill="auto"/>
            <w:noWrap/>
            <w:hideMark/>
          </w:tcPr>
          <w:p w:rsidR="009E77AC" w:rsidRPr="00942766" w:rsidRDefault="009E77AC" w:rsidP="009E77AC">
            <w:pPr>
              <w:jc w:val="center"/>
              <w:rPr>
                <w:rFonts w:ascii="Calibri" w:eastAsia="Times New Roman" w:hAnsi="Calibri"/>
                <w:color w:val="000000"/>
                <w:sz w:val="18"/>
                <w:szCs w:val="18"/>
              </w:rPr>
            </w:pPr>
            <w:r w:rsidRPr="00942766">
              <w:rPr>
                <w:rFonts w:ascii="Calibri" w:eastAsia="Times New Roman" w:hAnsi="Calibri"/>
                <w:color w:val="000000"/>
                <w:sz w:val="18"/>
                <w:szCs w:val="18"/>
              </w:rPr>
              <w:t>NHS Ref.Cost</w:t>
            </w:r>
            <w:r w:rsidRPr="00942766">
              <w:rPr>
                <w:rFonts w:ascii="Calibri (Body)" w:eastAsia="Times New Roman" w:hAnsi="Calibri (Body)"/>
                <w:color w:val="000000"/>
                <w:sz w:val="18"/>
                <w:szCs w:val="18"/>
                <w:vertAlign w:val="superscript"/>
              </w:rPr>
              <w:t>28</w:t>
            </w:r>
          </w:p>
        </w:tc>
      </w:tr>
      <w:tr w:rsidR="009E77AC" w:rsidRPr="00942766" w:rsidTr="00080173">
        <w:trPr>
          <w:trHeight w:val="340"/>
        </w:trPr>
        <w:tc>
          <w:tcPr>
            <w:tcW w:w="4536" w:type="dxa"/>
            <w:tcBorders>
              <w:top w:val="nil"/>
              <w:left w:val="nil"/>
              <w:bottom w:val="nil"/>
              <w:right w:val="single" w:sz="8" w:space="0" w:color="auto"/>
            </w:tcBorders>
            <w:shd w:val="clear" w:color="auto" w:fill="auto"/>
            <w:noWrap/>
            <w:vAlign w:val="bottom"/>
            <w:hideMark/>
          </w:tcPr>
          <w:p w:rsidR="009E77AC" w:rsidRPr="00942766" w:rsidRDefault="009E77AC" w:rsidP="009E77AC">
            <w:pPr>
              <w:jc w:val="right"/>
              <w:rPr>
                <w:rFonts w:ascii="Calibri" w:eastAsia="Times New Roman" w:hAnsi="Calibri"/>
                <w:color w:val="000000"/>
                <w:sz w:val="18"/>
                <w:szCs w:val="18"/>
              </w:rPr>
            </w:pPr>
            <w:r w:rsidRPr="00942766">
              <w:rPr>
                <w:rFonts w:ascii="Calibri" w:eastAsia="Times New Roman" w:hAnsi="Calibri"/>
                <w:color w:val="000000"/>
                <w:sz w:val="18"/>
                <w:szCs w:val="18"/>
              </w:rPr>
              <w:t>Category 3 (Other)</w:t>
            </w:r>
          </w:p>
        </w:tc>
        <w:tc>
          <w:tcPr>
            <w:tcW w:w="2023" w:type="dxa"/>
            <w:tcBorders>
              <w:top w:val="nil"/>
              <w:left w:val="nil"/>
              <w:bottom w:val="nil"/>
              <w:right w:val="nil"/>
            </w:tcBorders>
            <w:shd w:val="clear" w:color="auto" w:fill="auto"/>
            <w:noWrap/>
            <w:hideMark/>
          </w:tcPr>
          <w:p w:rsidR="009E77AC" w:rsidRPr="00942766" w:rsidRDefault="009E77AC" w:rsidP="009E77AC">
            <w:pPr>
              <w:jc w:val="right"/>
              <w:rPr>
                <w:rFonts w:ascii="Calibri" w:eastAsia="Times New Roman" w:hAnsi="Calibri"/>
                <w:color w:val="000000"/>
                <w:sz w:val="18"/>
                <w:szCs w:val="18"/>
              </w:rPr>
            </w:pPr>
            <w:r w:rsidRPr="00942766">
              <w:rPr>
                <w:rFonts w:ascii="Calibri" w:eastAsia="Times New Roman" w:hAnsi="Calibri"/>
                <w:color w:val="000000"/>
                <w:sz w:val="18"/>
                <w:szCs w:val="18"/>
              </w:rPr>
              <w:t>268.6</w:t>
            </w:r>
            <w:r w:rsidR="0093425F" w:rsidRPr="00942766">
              <w:rPr>
                <w:rFonts w:ascii="Calibri" w:eastAsia="Times New Roman" w:hAnsi="Calibri"/>
                <w:color w:val="000000"/>
                <w:sz w:val="18"/>
                <w:szCs w:val="18"/>
              </w:rPr>
              <w:t xml:space="preserve"> </w:t>
            </w:r>
            <w:r w:rsidRPr="00942766">
              <w:rPr>
                <w:rFonts w:ascii="Calibri" w:eastAsia="Times New Roman" w:hAnsi="Calibri"/>
                <w:color w:val="000000"/>
                <w:sz w:val="18"/>
                <w:szCs w:val="18"/>
              </w:rPr>
              <w:t>(205.0-351.0)</w:t>
            </w:r>
          </w:p>
        </w:tc>
        <w:tc>
          <w:tcPr>
            <w:tcW w:w="2461" w:type="dxa"/>
            <w:tcBorders>
              <w:top w:val="nil"/>
              <w:left w:val="nil"/>
              <w:bottom w:val="nil"/>
              <w:right w:val="nil"/>
            </w:tcBorders>
            <w:shd w:val="clear" w:color="auto" w:fill="auto"/>
            <w:noWrap/>
            <w:hideMark/>
          </w:tcPr>
          <w:p w:rsidR="009E77AC" w:rsidRPr="00942766" w:rsidRDefault="009E77AC" w:rsidP="009E77AC">
            <w:pPr>
              <w:jc w:val="center"/>
              <w:rPr>
                <w:rFonts w:ascii="Calibri" w:eastAsia="Times New Roman" w:hAnsi="Calibri"/>
                <w:color w:val="000000"/>
                <w:sz w:val="18"/>
                <w:szCs w:val="18"/>
              </w:rPr>
            </w:pPr>
            <w:r w:rsidRPr="00942766">
              <w:rPr>
                <w:rFonts w:ascii="Calibri" w:eastAsia="Times New Roman" w:hAnsi="Calibri"/>
                <w:color w:val="000000"/>
                <w:sz w:val="18"/>
                <w:szCs w:val="18"/>
              </w:rPr>
              <w:t>NHS Ref.Cost</w:t>
            </w:r>
            <w:r w:rsidRPr="00942766">
              <w:rPr>
                <w:rFonts w:ascii="Calibri (Body)" w:eastAsia="Times New Roman" w:hAnsi="Calibri (Body)"/>
                <w:color w:val="000000"/>
                <w:sz w:val="18"/>
                <w:szCs w:val="18"/>
                <w:vertAlign w:val="superscript"/>
              </w:rPr>
              <w:t>28</w:t>
            </w:r>
          </w:p>
        </w:tc>
      </w:tr>
      <w:tr w:rsidR="009E77AC" w:rsidRPr="00942766" w:rsidTr="00080173">
        <w:trPr>
          <w:trHeight w:val="340"/>
        </w:trPr>
        <w:tc>
          <w:tcPr>
            <w:tcW w:w="4536" w:type="dxa"/>
            <w:tcBorders>
              <w:top w:val="nil"/>
              <w:left w:val="nil"/>
              <w:bottom w:val="nil"/>
              <w:right w:val="nil"/>
            </w:tcBorders>
            <w:shd w:val="clear" w:color="auto" w:fill="auto"/>
            <w:noWrap/>
            <w:hideMark/>
          </w:tcPr>
          <w:p w:rsidR="009E77AC" w:rsidRPr="00942766" w:rsidRDefault="009E77AC" w:rsidP="009E77AC">
            <w:pPr>
              <w:rPr>
                <w:rFonts w:ascii="Calibri" w:eastAsia="Times New Roman" w:hAnsi="Calibri"/>
                <w:b/>
                <w:color w:val="000000"/>
                <w:sz w:val="18"/>
                <w:szCs w:val="18"/>
              </w:rPr>
            </w:pPr>
            <w:r w:rsidRPr="00942766">
              <w:rPr>
                <w:rFonts w:ascii="Calibri" w:eastAsia="Times New Roman" w:hAnsi="Calibri"/>
                <w:b/>
                <w:color w:val="000000"/>
                <w:sz w:val="18"/>
                <w:szCs w:val="18"/>
              </w:rPr>
              <w:t>Hospital inpatient admissions, per admission</w:t>
            </w:r>
          </w:p>
        </w:tc>
        <w:tc>
          <w:tcPr>
            <w:tcW w:w="2023" w:type="dxa"/>
            <w:tcBorders>
              <w:top w:val="nil"/>
              <w:left w:val="nil"/>
              <w:bottom w:val="nil"/>
              <w:right w:val="nil"/>
            </w:tcBorders>
            <w:shd w:val="clear" w:color="auto" w:fill="auto"/>
            <w:noWrap/>
            <w:hideMark/>
          </w:tcPr>
          <w:p w:rsidR="009E77AC" w:rsidRPr="00942766" w:rsidRDefault="009E77AC" w:rsidP="009E77AC">
            <w:pPr>
              <w:jc w:val="right"/>
              <w:rPr>
                <w:rFonts w:ascii="Calibri" w:eastAsia="Times New Roman" w:hAnsi="Calibri"/>
                <w:color w:val="000000"/>
                <w:sz w:val="18"/>
                <w:szCs w:val="18"/>
              </w:rPr>
            </w:pPr>
          </w:p>
        </w:tc>
        <w:tc>
          <w:tcPr>
            <w:tcW w:w="2461" w:type="dxa"/>
            <w:tcBorders>
              <w:top w:val="nil"/>
              <w:left w:val="nil"/>
              <w:bottom w:val="nil"/>
              <w:right w:val="nil"/>
            </w:tcBorders>
            <w:shd w:val="clear" w:color="auto" w:fill="auto"/>
            <w:noWrap/>
            <w:hideMark/>
          </w:tcPr>
          <w:p w:rsidR="009E77AC" w:rsidRPr="00942766" w:rsidRDefault="009E77AC" w:rsidP="009E77AC">
            <w:pPr>
              <w:jc w:val="center"/>
              <w:rPr>
                <w:rFonts w:ascii="Calibri" w:eastAsia="Times New Roman" w:hAnsi="Calibri"/>
                <w:color w:val="000000"/>
                <w:sz w:val="18"/>
                <w:szCs w:val="18"/>
              </w:rPr>
            </w:pPr>
          </w:p>
        </w:tc>
      </w:tr>
      <w:tr w:rsidR="009E77AC" w:rsidRPr="00942766" w:rsidTr="00080173">
        <w:trPr>
          <w:trHeight w:val="300"/>
        </w:trPr>
        <w:tc>
          <w:tcPr>
            <w:tcW w:w="4536" w:type="dxa"/>
            <w:tcBorders>
              <w:top w:val="nil"/>
              <w:left w:val="nil"/>
              <w:bottom w:val="nil"/>
              <w:right w:val="nil"/>
            </w:tcBorders>
            <w:shd w:val="clear" w:color="auto" w:fill="auto"/>
            <w:noWrap/>
          </w:tcPr>
          <w:p w:rsidR="009E77AC" w:rsidRPr="00942766" w:rsidRDefault="009E77AC" w:rsidP="009E77AC">
            <w:pPr>
              <w:jc w:val="right"/>
              <w:rPr>
                <w:rFonts w:ascii="Calibri" w:eastAsia="Times New Roman" w:hAnsi="Calibri"/>
                <w:color w:val="000000"/>
                <w:sz w:val="18"/>
                <w:szCs w:val="18"/>
              </w:rPr>
            </w:pPr>
            <w:r w:rsidRPr="00942766">
              <w:rPr>
                <w:rFonts w:ascii="Calibri" w:eastAsia="Times New Roman" w:hAnsi="Calibri"/>
                <w:color w:val="000000"/>
                <w:sz w:val="18"/>
                <w:szCs w:val="18"/>
              </w:rPr>
              <w:t>Cochlear Implant</w:t>
            </w:r>
            <w:r w:rsidR="006B10C4" w:rsidRPr="00942766">
              <w:rPr>
                <w:rFonts w:ascii="Calibri" w:eastAsia="Times New Roman" w:hAnsi="Calibri"/>
                <w:color w:val="000000"/>
                <w:sz w:val="18"/>
                <w:szCs w:val="18"/>
                <w:vertAlign w:val="superscript"/>
              </w:rPr>
              <w:t>+</w:t>
            </w:r>
          </w:p>
        </w:tc>
        <w:tc>
          <w:tcPr>
            <w:tcW w:w="2023" w:type="dxa"/>
            <w:tcBorders>
              <w:top w:val="nil"/>
              <w:left w:val="nil"/>
              <w:bottom w:val="nil"/>
              <w:right w:val="nil"/>
            </w:tcBorders>
            <w:shd w:val="clear" w:color="auto" w:fill="auto"/>
            <w:noWrap/>
          </w:tcPr>
          <w:p w:rsidR="009E77AC" w:rsidRPr="00942766" w:rsidRDefault="009E77AC" w:rsidP="009E77AC">
            <w:pPr>
              <w:jc w:val="right"/>
              <w:rPr>
                <w:rFonts w:ascii="Calibri" w:eastAsia="Times New Roman" w:hAnsi="Calibri"/>
                <w:color w:val="000000"/>
                <w:sz w:val="18"/>
                <w:szCs w:val="18"/>
              </w:rPr>
            </w:pPr>
            <w:r w:rsidRPr="00942766">
              <w:rPr>
                <w:rFonts w:ascii="Calibri" w:eastAsia="Times New Roman" w:hAnsi="Calibri"/>
                <w:color w:val="000000"/>
                <w:sz w:val="18"/>
                <w:szCs w:val="18"/>
              </w:rPr>
              <w:t>20,333.0-30,709.0</w:t>
            </w:r>
          </w:p>
        </w:tc>
        <w:tc>
          <w:tcPr>
            <w:tcW w:w="2461" w:type="dxa"/>
            <w:tcBorders>
              <w:top w:val="nil"/>
              <w:left w:val="nil"/>
              <w:bottom w:val="nil"/>
              <w:right w:val="nil"/>
            </w:tcBorders>
            <w:shd w:val="clear" w:color="auto" w:fill="auto"/>
            <w:noWrap/>
          </w:tcPr>
          <w:p w:rsidR="009E77AC" w:rsidRPr="00942766" w:rsidRDefault="009E77AC" w:rsidP="009E77AC">
            <w:pPr>
              <w:jc w:val="center"/>
              <w:rPr>
                <w:rFonts w:eastAsia="Times New Roman"/>
                <w:sz w:val="18"/>
                <w:szCs w:val="18"/>
              </w:rPr>
            </w:pPr>
            <w:r w:rsidRPr="00942766">
              <w:rPr>
                <w:rFonts w:ascii="Calibri" w:eastAsia="Times New Roman" w:hAnsi="Calibri"/>
                <w:color w:val="000000"/>
                <w:sz w:val="18"/>
                <w:szCs w:val="18"/>
              </w:rPr>
              <w:t>NHS Ref.Cost</w:t>
            </w:r>
            <w:r w:rsidRPr="00942766">
              <w:rPr>
                <w:rFonts w:ascii="Calibri (Body)" w:eastAsia="Times New Roman" w:hAnsi="Calibri (Body)"/>
                <w:color w:val="000000"/>
                <w:sz w:val="18"/>
                <w:szCs w:val="18"/>
                <w:vertAlign w:val="superscript"/>
              </w:rPr>
              <w:t>28</w:t>
            </w:r>
          </w:p>
        </w:tc>
      </w:tr>
      <w:tr w:rsidR="009E77AC" w:rsidRPr="00942766" w:rsidTr="00080173">
        <w:trPr>
          <w:trHeight w:val="340"/>
        </w:trPr>
        <w:tc>
          <w:tcPr>
            <w:tcW w:w="4536" w:type="dxa"/>
            <w:tcBorders>
              <w:top w:val="nil"/>
              <w:left w:val="nil"/>
              <w:bottom w:val="nil"/>
              <w:right w:val="nil"/>
            </w:tcBorders>
            <w:shd w:val="clear" w:color="auto" w:fill="auto"/>
            <w:noWrap/>
          </w:tcPr>
          <w:p w:rsidR="009E77AC" w:rsidRPr="00942766" w:rsidRDefault="009E77AC" w:rsidP="009E77AC">
            <w:pPr>
              <w:jc w:val="right"/>
              <w:rPr>
                <w:rFonts w:ascii="Calibri" w:eastAsia="Times New Roman" w:hAnsi="Calibri"/>
                <w:color w:val="000000"/>
                <w:sz w:val="18"/>
                <w:szCs w:val="18"/>
              </w:rPr>
            </w:pPr>
            <w:r w:rsidRPr="00942766">
              <w:rPr>
                <w:rFonts w:ascii="Calibri" w:eastAsia="Times New Roman" w:hAnsi="Calibri"/>
                <w:color w:val="000000"/>
                <w:sz w:val="18"/>
                <w:szCs w:val="18"/>
              </w:rPr>
              <w:t>Paediatric ward</w:t>
            </w:r>
          </w:p>
        </w:tc>
        <w:tc>
          <w:tcPr>
            <w:tcW w:w="2023" w:type="dxa"/>
            <w:tcBorders>
              <w:top w:val="nil"/>
              <w:left w:val="nil"/>
              <w:bottom w:val="nil"/>
              <w:right w:val="nil"/>
            </w:tcBorders>
            <w:shd w:val="clear" w:color="auto" w:fill="auto"/>
            <w:noWrap/>
          </w:tcPr>
          <w:p w:rsidR="009E77AC" w:rsidRPr="00942766" w:rsidRDefault="009E77AC" w:rsidP="009E77AC">
            <w:pPr>
              <w:jc w:val="right"/>
              <w:rPr>
                <w:rFonts w:ascii="Calibri" w:eastAsia="Times New Roman" w:hAnsi="Calibri"/>
                <w:color w:val="000000"/>
                <w:sz w:val="18"/>
                <w:szCs w:val="18"/>
              </w:rPr>
            </w:pPr>
            <w:r w:rsidRPr="00942766">
              <w:rPr>
                <w:rFonts w:ascii="Calibri" w:eastAsia="Times New Roman" w:hAnsi="Calibri"/>
                <w:color w:val="000000"/>
                <w:sz w:val="18"/>
                <w:szCs w:val="18"/>
              </w:rPr>
              <w:t>757.0-12,281.0</w:t>
            </w:r>
          </w:p>
        </w:tc>
        <w:tc>
          <w:tcPr>
            <w:tcW w:w="2461" w:type="dxa"/>
            <w:tcBorders>
              <w:top w:val="nil"/>
              <w:left w:val="nil"/>
              <w:bottom w:val="nil"/>
              <w:right w:val="nil"/>
            </w:tcBorders>
            <w:shd w:val="clear" w:color="auto" w:fill="auto"/>
            <w:noWrap/>
          </w:tcPr>
          <w:p w:rsidR="009E77AC" w:rsidRPr="00942766" w:rsidRDefault="009E77AC" w:rsidP="009E77AC">
            <w:pPr>
              <w:jc w:val="center"/>
              <w:rPr>
                <w:rFonts w:ascii="Calibri" w:eastAsia="Times New Roman" w:hAnsi="Calibri"/>
                <w:color w:val="000000"/>
                <w:sz w:val="18"/>
                <w:szCs w:val="18"/>
              </w:rPr>
            </w:pPr>
            <w:r w:rsidRPr="00942766">
              <w:rPr>
                <w:rFonts w:ascii="Calibri" w:eastAsia="Times New Roman" w:hAnsi="Calibri"/>
                <w:color w:val="000000"/>
                <w:sz w:val="18"/>
                <w:szCs w:val="18"/>
              </w:rPr>
              <w:t>NHS Ref.Cost</w:t>
            </w:r>
            <w:r w:rsidRPr="00942766">
              <w:rPr>
                <w:rFonts w:ascii="Calibri (Body)" w:eastAsia="Times New Roman" w:hAnsi="Calibri (Body)"/>
                <w:color w:val="000000"/>
                <w:sz w:val="18"/>
                <w:szCs w:val="18"/>
                <w:vertAlign w:val="superscript"/>
              </w:rPr>
              <w:t>28</w:t>
            </w:r>
          </w:p>
        </w:tc>
      </w:tr>
      <w:tr w:rsidR="009E77AC" w:rsidRPr="00942766" w:rsidTr="00080173">
        <w:trPr>
          <w:trHeight w:val="340"/>
        </w:trPr>
        <w:tc>
          <w:tcPr>
            <w:tcW w:w="4536" w:type="dxa"/>
            <w:tcBorders>
              <w:top w:val="nil"/>
              <w:left w:val="nil"/>
              <w:bottom w:val="nil"/>
              <w:right w:val="nil"/>
            </w:tcBorders>
            <w:shd w:val="clear" w:color="auto" w:fill="auto"/>
            <w:noWrap/>
            <w:hideMark/>
          </w:tcPr>
          <w:p w:rsidR="009E77AC" w:rsidRPr="00942766" w:rsidRDefault="009E77AC" w:rsidP="002833D4">
            <w:pPr>
              <w:jc w:val="right"/>
              <w:rPr>
                <w:rFonts w:ascii="Calibri" w:eastAsia="Times New Roman" w:hAnsi="Calibri"/>
                <w:color w:val="000000"/>
                <w:sz w:val="18"/>
                <w:szCs w:val="18"/>
              </w:rPr>
            </w:pPr>
            <w:r w:rsidRPr="00942766">
              <w:rPr>
                <w:rFonts w:ascii="Calibri" w:eastAsia="Times New Roman" w:hAnsi="Calibri"/>
                <w:color w:val="000000"/>
                <w:sz w:val="18"/>
                <w:szCs w:val="18"/>
              </w:rPr>
              <w:t xml:space="preserve">Other </w:t>
            </w:r>
          </w:p>
        </w:tc>
        <w:tc>
          <w:tcPr>
            <w:tcW w:w="2023" w:type="dxa"/>
            <w:tcBorders>
              <w:top w:val="nil"/>
              <w:left w:val="nil"/>
              <w:bottom w:val="nil"/>
              <w:right w:val="nil"/>
            </w:tcBorders>
            <w:shd w:val="clear" w:color="auto" w:fill="auto"/>
            <w:noWrap/>
            <w:hideMark/>
          </w:tcPr>
          <w:p w:rsidR="009E77AC" w:rsidRPr="00942766" w:rsidRDefault="009E77AC" w:rsidP="009E77AC">
            <w:pPr>
              <w:jc w:val="right"/>
              <w:rPr>
                <w:rFonts w:ascii="Calibri" w:eastAsia="Times New Roman" w:hAnsi="Calibri"/>
                <w:color w:val="000000"/>
                <w:sz w:val="18"/>
                <w:szCs w:val="18"/>
              </w:rPr>
            </w:pPr>
            <w:r w:rsidRPr="00942766">
              <w:rPr>
                <w:rFonts w:ascii="Calibri" w:eastAsia="Times New Roman" w:hAnsi="Calibri"/>
                <w:color w:val="000000"/>
                <w:sz w:val="18"/>
                <w:szCs w:val="18"/>
              </w:rPr>
              <w:t>545.0-1,846.0</w:t>
            </w:r>
          </w:p>
        </w:tc>
        <w:tc>
          <w:tcPr>
            <w:tcW w:w="2461" w:type="dxa"/>
            <w:tcBorders>
              <w:top w:val="nil"/>
              <w:left w:val="nil"/>
              <w:bottom w:val="nil"/>
              <w:right w:val="nil"/>
            </w:tcBorders>
            <w:shd w:val="clear" w:color="auto" w:fill="auto"/>
            <w:noWrap/>
            <w:hideMark/>
          </w:tcPr>
          <w:p w:rsidR="009E77AC" w:rsidRPr="00942766" w:rsidRDefault="009E77AC" w:rsidP="009E77AC">
            <w:pPr>
              <w:jc w:val="center"/>
              <w:rPr>
                <w:rFonts w:ascii="Calibri" w:eastAsia="Times New Roman" w:hAnsi="Calibri"/>
                <w:color w:val="000000"/>
                <w:sz w:val="18"/>
                <w:szCs w:val="18"/>
              </w:rPr>
            </w:pPr>
            <w:r w:rsidRPr="00942766">
              <w:rPr>
                <w:rFonts w:ascii="Calibri" w:eastAsia="Times New Roman" w:hAnsi="Calibri"/>
                <w:color w:val="000000"/>
                <w:sz w:val="18"/>
                <w:szCs w:val="18"/>
              </w:rPr>
              <w:t>NHS Ref.Cost</w:t>
            </w:r>
            <w:r w:rsidRPr="00942766">
              <w:rPr>
                <w:rFonts w:ascii="Calibri (Body)" w:eastAsia="Times New Roman" w:hAnsi="Calibri (Body)"/>
                <w:color w:val="000000"/>
                <w:sz w:val="18"/>
                <w:szCs w:val="18"/>
                <w:vertAlign w:val="superscript"/>
              </w:rPr>
              <w:t>28</w:t>
            </w:r>
          </w:p>
        </w:tc>
      </w:tr>
      <w:tr w:rsidR="009E77AC" w:rsidRPr="00942766" w:rsidTr="00080173">
        <w:trPr>
          <w:trHeight w:val="340"/>
        </w:trPr>
        <w:tc>
          <w:tcPr>
            <w:tcW w:w="4536" w:type="dxa"/>
            <w:tcBorders>
              <w:top w:val="nil"/>
              <w:left w:val="nil"/>
              <w:bottom w:val="nil"/>
              <w:right w:val="nil"/>
            </w:tcBorders>
            <w:shd w:val="clear" w:color="auto" w:fill="auto"/>
            <w:noWrap/>
            <w:hideMark/>
          </w:tcPr>
          <w:p w:rsidR="009E77AC" w:rsidRPr="00942766" w:rsidRDefault="009E77AC" w:rsidP="009E77AC">
            <w:pPr>
              <w:rPr>
                <w:rFonts w:ascii="Calibri" w:eastAsia="Times New Roman" w:hAnsi="Calibri"/>
                <w:b/>
                <w:color w:val="000000"/>
                <w:sz w:val="18"/>
                <w:szCs w:val="18"/>
              </w:rPr>
            </w:pPr>
            <w:r w:rsidRPr="00942766">
              <w:rPr>
                <w:rFonts w:ascii="Calibri" w:eastAsia="Times New Roman" w:hAnsi="Calibri"/>
                <w:b/>
                <w:color w:val="000000"/>
                <w:sz w:val="18"/>
                <w:szCs w:val="18"/>
              </w:rPr>
              <w:t>Education, per year</w:t>
            </w:r>
          </w:p>
        </w:tc>
        <w:tc>
          <w:tcPr>
            <w:tcW w:w="2023" w:type="dxa"/>
            <w:tcBorders>
              <w:top w:val="nil"/>
              <w:left w:val="nil"/>
              <w:bottom w:val="nil"/>
              <w:right w:val="nil"/>
            </w:tcBorders>
            <w:shd w:val="clear" w:color="auto" w:fill="auto"/>
            <w:noWrap/>
            <w:hideMark/>
          </w:tcPr>
          <w:p w:rsidR="009E77AC" w:rsidRPr="00942766" w:rsidRDefault="009E77AC" w:rsidP="009E77AC">
            <w:pPr>
              <w:jc w:val="right"/>
              <w:rPr>
                <w:rFonts w:ascii="Calibri" w:eastAsia="Times New Roman" w:hAnsi="Calibri"/>
                <w:color w:val="000000"/>
                <w:sz w:val="18"/>
                <w:szCs w:val="18"/>
              </w:rPr>
            </w:pPr>
          </w:p>
        </w:tc>
        <w:tc>
          <w:tcPr>
            <w:tcW w:w="2461" w:type="dxa"/>
            <w:tcBorders>
              <w:top w:val="nil"/>
              <w:left w:val="nil"/>
              <w:bottom w:val="nil"/>
              <w:right w:val="nil"/>
            </w:tcBorders>
            <w:shd w:val="clear" w:color="auto" w:fill="auto"/>
            <w:noWrap/>
            <w:hideMark/>
          </w:tcPr>
          <w:p w:rsidR="009E77AC" w:rsidRPr="00942766" w:rsidRDefault="009E77AC" w:rsidP="009E77AC">
            <w:pPr>
              <w:jc w:val="center"/>
              <w:rPr>
                <w:rFonts w:ascii="Calibri" w:eastAsia="Times New Roman" w:hAnsi="Calibri"/>
                <w:color w:val="000000"/>
                <w:sz w:val="18"/>
                <w:szCs w:val="18"/>
              </w:rPr>
            </w:pPr>
          </w:p>
        </w:tc>
      </w:tr>
      <w:tr w:rsidR="009E77AC" w:rsidRPr="00942766" w:rsidTr="00080173">
        <w:trPr>
          <w:trHeight w:val="300"/>
        </w:trPr>
        <w:tc>
          <w:tcPr>
            <w:tcW w:w="4536" w:type="dxa"/>
            <w:tcBorders>
              <w:top w:val="nil"/>
              <w:left w:val="nil"/>
              <w:bottom w:val="nil"/>
              <w:right w:val="nil"/>
            </w:tcBorders>
            <w:shd w:val="clear" w:color="auto" w:fill="auto"/>
            <w:noWrap/>
            <w:hideMark/>
          </w:tcPr>
          <w:p w:rsidR="009E77AC" w:rsidRPr="00942766" w:rsidRDefault="009E77AC" w:rsidP="002833D4">
            <w:pPr>
              <w:jc w:val="right"/>
              <w:rPr>
                <w:rFonts w:ascii="Calibri" w:eastAsia="Times New Roman" w:hAnsi="Calibri"/>
                <w:color w:val="000000"/>
                <w:sz w:val="18"/>
                <w:szCs w:val="18"/>
              </w:rPr>
            </w:pPr>
            <w:r w:rsidRPr="00942766">
              <w:rPr>
                <w:rFonts w:ascii="Calibri" w:eastAsia="Times New Roman" w:hAnsi="Calibri"/>
                <w:color w:val="000000"/>
                <w:sz w:val="18"/>
                <w:szCs w:val="18"/>
              </w:rPr>
              <w:t>Mainstream school</w:t>
            </w:r>
          </w:p>
        </w:tc>
        <w:tc>
          <w:tcPr>
            <w:tcW w:w="2023" w:type="dxa"/>
            <w:tcBorders>
              <w:top w:val="nil"/>
              <w:left w:val="nil"/>
              <w:bottom w:val="nil"/>
              <w:right w:val="nil"/>
            </w:tcBorders>
            <w:shd w:val="clear" w:color="auto" w:fill="auto"/>
            <w:noWrap/>
            <w:hideMark/>
          </w:tcPr>
          <w:p w:rsidR="009E77AC" w:rsidRPr="00942766" w:rsidRDefault="009E77AC" w:rsidP="009E77AC">
            <w:pPr>
              <w:jc w:val="right"/>
              <w:rPr>
                <w:rFonts w:ascii="Calibri" w:eastAsia="Times New Roman" w:hAnsi="Calibri"/>
                <w:color w:val="000000"/>
                <w:sz w:val="18"/>
                <w:szCs w:val="18"/>
              </w:rPr>
            </w:pPr>
            <w:r w:rsidRPr="00942766">
              <w:rPr>
                <w:rFonts w:ascii="Calibri" w:eastAsia="Times New Roman" w:hAnsi="Calibri"/>
                <w:color w:val="000000"/>
                <w:sz w:val="18"/>
                <w:szCs w:val="18"/>
              </w:rPr>
              <w:t xml:space="preserve"> 4,581.0 </w:t>
            </w:r>
          </w:p>
        </w:tc>
        <w:tc>
          <w:tcPr>
            <w:tcW w:w="2461" w:type="dxa"/>
            <w:tcBorders>
              <w:top w:val="nil"/>
              <w:left w:val="nil"/>
              <w:bottom w:val="nil"/>
              <w:right w:val="nil"/>
            </w:tcBorders>
            <w:shd w:val="clear" w:color="auto" w:fill="auto"/>
            <w:noWrap/>
            <w:hideMark/>
          </w:tcPr>
          <w:p w:rsidR="009E77AC" w:rsidRPr="00942766" w:rsidRDefault="009E77AC" w:rsidP="009E77AC">
            <w:pPr>
              <w:jc w:val="center"/>
              <w:rPr>
                <w:rFonts w:eastAsia="Times New Roman"/>
                <w:sz w:val="18"/>
                <w:szCs w:val="18"/>
              </w:rPr>
            </w:pPr>
            <w:r w:rsidRPr="00942766">
              <w:rPr>
                <w:rFonts w:ascii="Calibri" w:eastAsia="Times New Roman" w:hAnsi="Calibri"/>
                <w:color w:val="000000"/>
                <w:sz w:val="18"/>
                <w:szCs w:val="18"/>
              </w:rPr>
              <w:t>Dept. of Education, 2012</w:t>
            </w:r>
          </w:p>
        </w:tc>
      </w:tr>
      <w:tr w:rsidR="009E77AC" w:rsidRPr="00942766" w:rsidTr="00080173">
        <w:trPr>
          <w:trHeight w:val="300"/>
        </w:trPr>
        <w:tc>
          <w:tcPr>
            <w:tcW w:w="4536" w:type="dxa"/>
            <w:tcBorders>
              <w:top w:val="nil"/>
              <w:left w:val="nil"/>
              <w:bottom w:val="nil"/>
              <w:right w:val="nil"/>
            </w:tcBorders>
            <w:shd w:val="clear" w:color="auto" w:fill="auto"/>
            <w:noWrap/>
            <w:hideMark/>
          </w:tcPr>
          <w:p w:rsidR="009E77AC" w:rsidRPr="00942766" w:rsidRDefault="009E77AC" w:rsidP="002833D4">
            <w:pPr>
              <w:jc w:val="right"/>
              <w:rPr>
                <w:rFonts w:ascii="Calibri" w:eastAsia="Times New Roman" w:hAnsi="Calibri"/>
                <w:color w:val="000000"/>
                <w:sz w:val="18"/>
                <w:szCs w:val="18"/>
              </w:rPr>
            </w:pPr>
            <w:r w:rsidRPr="00942766">
              <w:rPr>
                <w:rFonts w:ascii="Calibri" w:eastAsia="Times New Roman" w:hAnsi="Calibri"/>
                <w:color w:val="000000"/>
                <w:sz w:val="18"/>
                <w:szCs w:val="18"/>
              </w:rPr>
              <w:t>Mainstream school with special unit</w:t>
            </w:r>
          </w:p>
        </w:tc>
        <w:tc>
          <w:tcPr>
            <w:tcW w:w="2023" w:type="dxa"/>
            <w:tcBorders>
              <w:top w:val="nil"/>
              <w:left w:val="nil"/>
              <w:bottom w:val="nil"/>
              <w:right w:val="nil"/>
            </w:tcBorders>
            <w:shd w:val="clear" w:color="auto" w:fill="auto"/>
            <w:noWrap/>
            <w:hideMark/>
          </w:tcPr>
          <w:p w:rsidR="009E77AC" w:rsidRPr="00942766" w:rsidRDefault="009E77AC" w:rsidP="009E77AC">
            <w:pPr>
              <w:jc w:val="right"/>
              <w:rPr>
                <w:rFonts w:ascii="Calibri" w:eastAsia="Times New Roman" w:hAnsi="Calibri"/>
                <w:color w:val="000000"/>
                <w:sz w:val="18"/>
                <w:szCs w:val="18"/>
              </w:rPr>
            </w:pPr>
            <w:r w:rsidRPr="00942766">
              <w:rPr>
                <w:rFonts w:ascii="Calibri" w:eastAsia="Times New Roman" w:hAnsi="Calibri"/>
                <w:color w:val="000000"/>
                <w:sz w:val="18"/>
                <w:szCs w:val="18"/>
              </w:rPr>
              <w:t xml:space="preserve"> 4,819.0 </w:t>
            </w:r>
          </w:p>
        </w:tc>
        <w:tc>
          <w:tcPr>
            <w:tcW w:w="2461" w:type="dxa"/>
            <w:tcBorders>
              <w:top w:val="nil"/>
              <w:left w:val="nil"/>
              <w:bottom w:val="nil"/>
              <w:right w:val="nil"/>
            </w:tcBorders>
            <w:shd w:val="clear" w:color="auto" w:fill="auto"/>
            <w:noWrap/>
            <w:hideMark/>
          </w:tcPr>
          <w:p w:rsidR="009E77AC" w:rsidRPr="00942766" w:rsidRDefault="009E77AC" w:rsidP="009E77AC">
            <w:pPr>
              <w:jc w:val="center"/>
              <w:rPr>
                <w:rFonts w:ascii="Calibri" w:eastAsia="Times New Roman" w:hAnsi="Calibri"/>
                <w:color w:val="000000"/>
                <w:sz w:val="18"/>
                <w:szCs w:val="18"/>
              </w:rPr>
            </w:pPr>
            <w:r w:rsidRPr="00942766">
              <w:rPr>
                <w:rFonts w:ascii="Calibri" w:eastAsia="Times New Roman" w:hAnsi="Calibri"/>
                <w:color w:val="000000"/>
                <w:sz w:val="18"/>
                <w:szCs w:val="18"/>
              </w:rPr>
              <w:t>Dept. of Education, 2012</w:t>
            </w:r>
          </w:p>
        </w:tc>
      </w:tr>
      <w:tr w:rsidR="009E77AC" w:rsidRPr="00942766" w:rsidTr="00080173">
        <w:trPr>
          <w:trHeight w:val="300"/>
        </w:trPr>
        <w:tc>
          <w:tcPr>
            <w:tcW w:w="4536" w:type="dxa"/>
            <w:tcBorders>
              <w:top w:val="nil"/>
              <w:left w:val="nil"/>
              <w:bottom w:val="nil"/>
              <w:right w:val="nil"/>
            </w:tcBorders>
            <w:shd w:val="clear" w:color="auto" w:fill="auto"/>
            <w:noWrap/>
            <w:hideMark/>
          </w:tcPr>
          <w:p w:rsidR="009E77AC" w:rsidRPr="00942766" w:rsidRDefault="009E77AC" w:rsidP="002833D4">
            <w:pPr>
              <w:jc w:val="right"/>
              <w:rPr>
                <w:rFonts w:ascii="Calibri" w:eastAsia="Times New Roman" w:hAnsi="Calibri"/>
                <w:color w:val="000000"/>
                <w:sz w:val="18"/>
                <w:szCs w:val="18"/>
              </w:rPr>
            </w:pPr>
            <w:r w:rsidRPr="00942766">
              <w:rPr>
                <w:rFonts w:ascii="Calibri" w:eastAsia="Times New Roman" w:hAnsi="Calibri"/>
                <w:color w:val="000000"/>
                <w:sz w:val="18"/>
                <w:szCs w:val="18"/>
              </w:rPr>
              <w:t>Special school for the physically disabled</w:t>
            </w:r>
          </w:p>
        </w:tc>
        <w:tc>
          <w:tcPr>
            <w:tcW w:w="2023" w:type="dxa"/>
            <w:tcBorders>
              <w:top w:val="nil"/>
              <w:left w:val="nil"/>
              <w:bottom w:val="nil"/>
              <w:right w:val="nil"/>
            </w:tcBorders>
            <w:shd w:val="clear" w:color="auto" w:fill="auto"/>
            <w:noWrap/>
            <w:hideMark/>
          </w:tcPr>
          <w:p w:rsidR="009E77AC" w:rsidRPr="00942766" w:rsidRDefault="009E77AC" w:rsidP="009E77AC">
            <w:pPr>
              <w:jc w:val="right"/>
              <w:rPr>
                <w:rFonts w:ascii="Calibri" w:eastAsia="Times New Roman" w:hAnsi="Calibri"/>
                <w:color w:val="000000"/>
                <w:sz w:val="18"/>
                <w:szCs w:val="18"/>
              </w:rPr>
            </w:pPr>
            <w:r w:rsidRPr="00942766">
              <w:rPr>
                <w:rFonts w:ascii="Calibri" w:eastAsia="Times New Roman" w:hAnsi="Calibri"/>
                <w:color w:val="000000"/>
                <w:sz w:val="18"/>
                <w:szCs w:val="18"/>
              </w:rPr>
              <w:t>17,795.0-27,000.0</w:t>
            </w:r>
          </w:p>
        </w:tc>
        <w:tc>
          <w:tcPr>
            <w:tcW w:w="2461" w:type="dxa"/>
            <w:tcBorders>
              <w:top w:val="nil"/>
              <w:left w:val="nil"/>
              <w:bottom w:val="nil"/>
              <w:right w:val="nil"/>
            </w:tcBorders>
            <w:shd w:val="clear" w:color="auto" w:fill="auto"/>
            <w:noWrap/>
            <w:hideMark/>
          </w:tcPr>
          <w:p w:rsidR="009E77AC" w:rsidRPr="00942766" w:rsidRDefault="009E77AC" w:rsidP="009E77AC">
            <w:pPr>
              <w:jc w:val="center"/>
              <w:rPr>
                <w:rFonts w:ascii="Calibri" w:eastAsia="Times New Roman" w:hAnsi="Calibri"/>
                <w:color w:val="000000"/>
                <w:sz w:val="18"/>
                <w:szCs w:val="18"/>
              </w:rPr>
            </w:pPr>
            <w:r w:rsidRPr="00942766">
              <w:rPr>
                <w:rFonts w:ascii="Calibri" w:eastAsia="Times New Roman" w:hAnsi="Calibri"/>
                <w:color w:val="000000"/>
                <w:sz w:val="18"/>
                <w:szCs w:val="18"/>
              </w:rPr>
              <w:t>Local Authority (Southampton)</w:t>
            </w:r>
          </w:p>
        </w:tc>
      </w:tr>
      <w:tr w:rsidR="009E77AC" w:rsidRPr="00942766" w:rsidTr="00080173">
        <w:trPr>
          <w:trHeight w:val="300"/>
        </w:trPr>
        <w:tc>
          <w:tcPr>
            <w:tcW w:w="4536" w:type="dxa"/>
            <w:tcBorders>
              <w:top w:val="nil"/>
              <w:left w:val="nil"/>
              <w:bottom w:val="nil"/>
              <w:right w:val="nil"/>
            </w:tcBorders>
            <w:shd w:val="clear" w:color="auto" w:fill="auto"/>
            <w:noWrap/>
            <w:hideMark/>
          </w:tcPr>
          <w:p w:rsidR="009E77AC" w:rsidRPr="00942766" w:rsidRDefault="009E77AC" w:rsidP="002833D4">
            <w:pPr>
              <w:jc w:val="right"/>
              <w:rPr>
                <w:rFonts w:ascii="Calibri" w:eastAsia="Times New Roman" w:hAnsi="Calibri"/>
                <w:color w:val="000000"/>
                <w:sz w:val="18"/>
                <w:szCs w:val="18"/>
              </w:rPr>
            </w:pPr>
            <w:r w:rsidRPr="00942766">
              <w:rPr>
                <w:rFonts w:ascii="Calibri" w:eastAsia="Times New Roman" w:hAnsi="Calibri"/>
                <w:color w:val="000000"/>
                <w:sz w:val="18"/>
                <w:szCs w:val="18"/>
              </w:rPr>
              <w:t>Residential school</w:t>
            </w:r>
          </w:p>
        </w:tc>
        <w:tc>
          <w:tcPr>
            <w:tcW w:w="2023" w:type="dxa"/>
            <w:tcBorders>
              <w:top w:val="nil"/>
              <w:left w:val="nil"/>
              <w:bottom w:val="nil"/>
              <w:right w:val="nil"/>
            </w:tcBorders>
            <w:shd w:val="clear" w:color="auto" w:fill="auto"/>
            <w:hideMark/>
          </w:tcPr>
          <w:p w:rsidR="009E77AC" w:rsidRPr="00942766" w:rsidRDefault="009E77AC" w:rsidP="009E77AC">
            <w:pPr>
              <w:jc w:val="right"/>
              <w:rPr>
                <w:rFonts w:ascii="Calibri" w:eastAsia="Times New Roman" w:hAnsi="Calibri"/>
                <w:color w:val="000000"/>
                <w:sz w:val="18"/>
                <w:szCs w:val="18"/>
              </w:rPr>
            </w:pPr>
            <w:r w:rsidRPr="00942766">
              <w:rPr>
                <w:rFonts w:ascii="Calibri" w:eastAsia="Times New Roman" w:hAnsi="Calibri"/>
                <w:color w:val="000000"/>
                <w:sz w:val="18"/>
                <w:szCs w:val="18"/>
              </w:rPr>
              <w:t>61,859.0-167,268.0</w:t>
            </w:r>
          </w:p>
        </w:tc>
        <w:tc>
          <w:tcPr>
            <w:tcW w:w="2461" w:type="dxa"/>
            <w:tcBorders>
              <w:top w:val="nil"/>
              <w:left w:val="nil"/>
              <w:bottom w:val="nil"/>
              <w:right w:val="nil"/>
            </w:tcBorders>
            <w:shd w:val="clear" w:color="auto" w:fill="auto"/>
            <w:noWrap/>
            <w:hideMark/>
          </w:tcPr>
          <w:p w:rsidR="009E77AC" w:rsidRPr="00942766" w:rsidRDefault="009E77AC" w:rsidP="009E77AC">
            <w:pPr>
              <w:jc w:val="center"/>
              <w:rPr>
                <w:rFonts w:ascii="Calibri" w:eastAsia="Times New Roman" w:hAnsi="Calibri"/>
                <w:color w:val="000000"/>
                <w:sz w:val="18"/>
                <w:szCs w:val="18"/>
              </w:rPr>
            </w:pPr>
            <w:r w:rsidRPr="00942766">
              <w:rPr>
                <w:rFonts w:ascii="Calibri" w:eastAsia="Times New Roman" w:hAnsi="Calibri"/>
                <w:color w:val="000000"/>
                <w:sz w:val="18"/>
                <w:szCs w:val="18"/>
              </w:rPr>
              <w:t>NASS</w:t>
            </w:r>
            <w:r w:rsidRPr="00942766">
              <w:rPr>
                <w:rFonts w:ascii="Calibri (Body)" w:eastAsia="Times New Roman" w:hAnsi="Calibri (Body)"/>
                <w:color w:val="000000"/>
                <w:sz w:val="18"/>
                <w:szCs w:val="18"/>
                <w:vertAlign w:val="superscript"/>
              </w:rPr>
              <w:t>26</w:t>
            </w:r>
            <w:r w:rsidRPr="00942766">
              <w:rPr>
                <w:rFonts w:ascii="Calibri" w:eastAsia="Times New Roman" w:hAnsi="Calibri"/>
                <w:color w:val="000000"/>
                <w:sz w:val="18"/>
                <w:szCs w:val="18"/>
              </w:rPr>
              <w:t xml:space="preserve"> and Individual schools</w:t>
            </w:r>
          </w:p>
        </w:tc>
      </w:tr>
      <w:tr w:rsidR="009E77AC" w:rsidRPr="00942766" w:rsidTr="00080173">
        <w:trPr>
          <w:trHeight w:val="340"/>
        </w:trPr>
        <w:tc>
          <w:tcPr>
            <w:tcW w:w="4536" w:type="dxa"/>
            <w:tcBorders>
              <w:top w:val="nil"/>
              <w:left w:val="nil"/>
              <w:bottom w:val="nil"/>
              <w:right w:val="nil"/>
            </w:tcBorders>
            <w:shd w:val="clear" w:color="auto" w:fill="auto"/>
            <w:noWrap/>
            <w:hideMark/>
          </w:tcPr>
          <w:p w:rsidR="009E77AC" w:rsidRPr="00942766" w:rsidRDefault="009E77AC" w:rsidP="002833D4">
            <w:pPr>
              <w:jc w:val="right"/>
              <w:rPr>
                <w:rFonts w:ascii="Calibri" w:eastAsia="Times New Roman" w:hAnsi="Calibri"/>
                <w:color w:val="000000"/>
                <w:sz w:val="18"/>
                <w:szCs w:val="18"/>
              </w:rPr>
            </w:pPr>
            <w:r w:rsidRPr="00942766">
              <w:rPr>
                <w:rFonts w:ascii="Calibri" w:eastAsia="Times New Roman" w:hAnsi="Calibri"/>
                <w:color w:val="000000"/>
                <w:sz w:val="18"/>
                <w:szCs w:val="18"/>
              </w:rPr>
              <w:t>Special school for learning difficulties/deaf</w:t>
            </w:r>
          </w:p>
        </w:tc>
        <w:tc>
          <w:tcPr>
            <w:tcW w:w="2023" w:type="dxa"/>
            <w:tcBorders>
              <w:top w:val="nil"/>
              <w:left w:val="nil"/>
              <w:bottom w:val="nil"/>
              <w:right w:val="nil"/>
            </w:tcBorders>
            <w:shd w:val="clear" w:color="auto" w:fill="auto"/>
            <w:noWrap/>
            <w:hideMark/>
          </w:tcPr>
          <w:p w:rsidR="009E77AC" w:rsidRPr="00942766" w:rsidRDefault="009E77AC" w:rsidP="009E77AC">
            <w:pPr>
              <w:jc w:val="right"/>
              <w:rPr>
                <w:rFonts w:ascii="Calibri" w:eastAsia="Times New Roman" w:hAnsi="Calibri"/>
                <w:color w:val="000000"/>
                <w:sz w:val="18"/>
                <w:szCs w:val="18"/>
              </w:rPr>
            </w:pPr>
            <w:r w:rsidRPr="00942766">
              <w:rPr>
                <w:rFonts w:ascii="Calibri" w:eastAsia="Times New Roman" w:hAnsi="Calibri"/>
                <w:color w:val="000000"/>
                <w:sz w:val="18"/>
                <w:szCs w:val="18"/>
              </w:rPr>
              <w:t>15,580.0-25,833.0</w:t>
            </w:r>
          </w:p>
        </w:tc>
        <w:tc>
          <w:tcPr>
            <w:tcW w:w="2461" w:type="dxa"/>
            <w:tcBorders>
              <w:top w:val="nil"/>
              <w:left w:val="nil"/>
              <w:bottom w:val="nil"/>
              <w:right w:val="nil"/>
            </w:tcBorders>
            <w:shd w:val="clear" w:color="auto" w:fill="auto"/>
            <w:noWrap/>
            <w:hideMark/>
          </w:tcPr>
          <w:p w:rsidR="009E77AC" w:rsidRPr="00942766" w:rsidRDefault="009E77AC" w:rsidP="009E77AC">
            <w:pPr>
              <w:jc w:val="center"/>
              <w:rPr>
                <w:rFonts w:ascii="Calibri" w:eastAsia="Times New Roman" w:hAnsi="Calibri"/>
                <w:color w:val="000000"/>
                <w:sz w:val="18"/>
                <w:szCs w:val="18"/>
              </w:rPr>
            </w:pPr>
            <w:r w:rsidRPr="00942766">
              <w:rPr>
                <w:rFonts w:ascii="Calibri" w:eastAsia="Times New Roman" w:hAnsi="Calibri"/>
                <w:color w:val="000000"/>
                <w:sz w:val="18"/>
                <w:szCs w:val="18"/>
              </w:rPr>
              <w:t>Local Authority (Southampton)</w:t>
            </w:r>
          </w:p>
        </w:tc>
      </w:tr>
      <w:tr w:rsidR="009E77AC" w:rsidRPr="00942766" w:rsidTr="00080173">
        <w:trPr>
          <w:trHeight w:val="300"/>
        </w:trPr>
        <w:tc>
          <w:tcPr>
            <w:tcW w:w="4536" w:type="dxa"/>
            <w:tcBorders>
              <w:top w:val="nil"/>
              <w:left w:val="nil"/>
              <w:bottom w:val="nil"/>
              <w:right w:val="nil"/>
            </w:tcBorders>
            <w:shd w:val="clear" w:color="auto" w:fill="auto"/>
            <w:noWrap/>
          </w:tcPr>
          <w:p w:rsidR="009E77AC" w:rsidRPr="00942766" w:rsidRDefault="009E77AC" w:rsidP="009E77AC">
            <w:pPr>
              <w:rPr>
                <w:rFonts w:ascii="Calibri" w:eastAsia="Times New Roman" w:hAnsi="Calibri"/>
                <w:color w:val="000000"/>
                <w:sz w:val="18"/>
                <w:szCs w:val="18"/>
              </w:rPr>
            </w:pPr>
          </w:p>
        </w:tc>
        <w:tc>
          <w:tcPr>
            <w:tcW w:w="2023" w:type="dxa"/>
            <w:tcBorders>
              <w:top w:val="nil"/>
              <w:left w:val="nil"/>
              <w:bottom w:val="nil"/>
              <w:right w:val="nil"/>
            </w:tcBorders>
            <w:shd w:val="clear" w:color="auto" w:fill="auto"/>
          </w:tcPr>
          <w:p w:rsidR="009E77AC" w:rsidRPr="00942766" w:rsidRDefault="009E77AC" w:rsidP="009E77AC">
            <w:pPr>
              <w:jc w:val="right"/>
              <w:rPr>
                <w:rFonts w:ascii="Calibri" w:eastAsia="Times New Roman" w:hAnsi="Calibri"/>
                <w:color w:val="000000"/>
                <w:sz w:val="18"/>
                <w:szCs w:val="18"/>
              </w:rPr>
            </w:pPr>
          </w:p>
        </w:tc>
        <w:tc>
          <w:tcPr>
            <w:tcW w:w="2461" w:type="dxa"/>
            <w:tcBorders>
              <w:top w:val="nil"/>
              <w:left w:val="nil"/>
              <w:bottom w:val="nil"/>
              <w:right w:val="nil"/>
            </w:tcBorders>
            <w:shd w:val="clear" w:color="auto" w:fill="auto"/>
            <w:noWrap/>
          </w:tcPr>
          <w:p w:rsidR="009E77AC" w:rsidRPr="00942766" w:rsidRDefault="009E77AC" w:rsidP="009E77AC">
            <w:pPr>
              <w:jc w:val="center"/>
              <w:rPr>
                <w:rFonts w:ascii="Calibri" w:eastAsia="Times New Roman" w:hAnsi="Calibri"/>
                <w:color w:val="000000"/>
                <w:sz w:val="18"/>
                <w:szCs w:val="18"/>
              </w:rPr>
            </w:pPr>
          </w:p>
        </w:tc>
      </w:tr>
    </w:tbl>
    <w:p w:rsidR="00335472" w:rsidRPr="00942766" w:rsidRDefault="00335472" w:rsidP="00335472">
      <w:pPr>
        <w:rPr>
          <w:rFonts w:ascii="Calibri" w:eastAsia="Times New Roman" w:hAnsi="Calibri"/>
          <w:color w:val="000000"/>
          <w:sz w:val="18"/>
          <w:szCs w:val="18"/>
        </w:rPr>
      </w:pPr>
    </w:p>
    <w:p w:rsidR="00EB7698" w:rsidRPr="00942766" w:rsidRDefault="00EB7698" w:rsidP="00335472">
      <w:pPr>
        <w:rPr>
          <w:rFonts w:ascii="Calibri" w:eastAsia="Times New Roman" w:hAnsi="Calibri"/>
          <w:color w:val="000000"/>
          <w:sz w:val="18"/>
          <w:szCs w:val="18"/>
        </w:rPr>
        <w:sectPr w:rsidR="00EB7698" w:rsidRPr="00942766" w:rsidSect="009E7F51">
          <w:pgSz w:w="11900" w:h="16840"/>
          <w:pgMar w:top="1440" w:right="1440" w:bottom="1440" w:left="1440" w:header="720" w:footer="720" w:gutter="0"/>
          <w:cols w:space="720"/>
          <w:docGrid w:linePitch="360"/>
        </w:sectPr>
      </w:pPr>
    </w:p>
    <w:tbl>
      <w:tblPr>
        <w:tblW w:w="0" w:type="auto"/>
        <w:tblLayout w:type="fixed"/>
        <w:tblLook w:val="04A0" w:firstRow="1" w:lastRow="0" w:firstColumn="1" w:lastColumn="0" w:noHBand="0" w:noVBand="1"/>
      </w:tblPr>
      <w:tblGrid>
        <w:gridCol w:w="4536"/>
        <w:gridCol w:w="1567"/>
        <w:gridCol w:w="2827"/>
      </w:tblGrid>
      <w:tr w:rsidR="00335472" w:rsidRPr="00942766" w:rsidTr="00080173">
        <w:trPr>
          <w:trHeight w:val="300"/>
          <w:tblHeader/>
        </w:trPr>
        <w:tc>
          <w:tcPr>
            <w:tcW w:w="4536" w:type="dxa"/>
            <w:tcBorders>
              <w:top w:val="single" w:sz="4" w:space="0" w:color="auto"/>
              <w:left w:val="nil"/>
              <w:bottom w:val="single" w:sz="4" w:space="0" w:color="auto"/>
              <w:right w:val="nil"/>
            </w:tcBorders>
            <w:shd w:val="clear" w:color="auto" w:fill="auto"/>
            <w:noWrap/>
          </w:tcPr>
          <w:p w:rsidR="00335472" w:rsidRPr="00942766" w:rsidRDefault="00335472" w:rsidP="00CA204D">
            <w:pPr>
              <w:rPr>
                <w:rFonts w:ascii="Calibri" w:eastAsia="Times New Roman" w:hAnsi="Calibri"/>
                <w:b/>
                <w:bCs/>
                <w:color w:val="000000"/>
                <w:sz w:val="18"/>
                <w:szCs w:val="18"/>
              </w:rPr>
            </w:pPr>
            <w:r w:rsidRPr="00942766">
              <w:rPr>
                <w:rFonts w:ascii="Calibri" w:eastAsia="Times New Roman" w:hAnsi="Calibri"/>
                <w:b/>
                <w:bCs/>
                <w:color w:val="000000"/>
                <w:sz w:val="18"/>
                <w:szCs w:val="18"/>
              </w:rPr>
              <w:lastRenderedPageBreak/>
              <w:t>Resource Items</w:t>
            </w:r>
          </w:p>
          <w:p w:rsidR="00335472" w:rsidRPr="00942766" w:rsidRDefault="00335472" w:rsidP="00CA204D">
            <w:pPr>
              <w:rPr>
                <w:rFonts w:ascii="Calibri" w:eastAsia="Times New Roman" w:hAnsi="Calibri"/>
                <w:color w:val="000000"/>
                <w:sz w:val="18"/>
                <w:szCs w:val="18"/>
              </w:rPr>
            </w:pPr>
          </w:p>
        </w:tc>
        <w:tc>
          <w:tcPr>
            <w:tcW w:w="1567" w:type="dxa"/>
            <w:tcBorders>
              <w:top w:val="single" w:sz="4" w:space="0" w:color="auto"/>
              <w:left w:val="nil"/>
              <w:bottom w:val="single" w:sz="4" w:space="0" w:color="auto"/>
              <w:right w:val="nil"/>
            </w:tcBorders>
            <w:shd w:val="clear" w:color="auto" w:fill="auto"/>
          </w:tcPr>
          <w:p w:rsidR="00335472" w:rsidRPr="00942766" w:rsidRDefault="00335472" w:rsidP="00CA204D">
            <w:pPr>
              <w:jc w:val="right"/>
              <w:rPr>
                <w:rFonts w:ascii="Calibri" w:eastAsia="Times New Roman" w:hAnsi="Calibri"/>
                <w:color w:val="000000"/>
                <w:sz w:val="18"/>
                <w:szCs w:val="18"/>
              </w:rPr>
            </w:pPr>
            <w:r w:rsidRPr="00942766">
              <w:rPr>
                <w:rFonts w:ascii="Calibri" w:eastAsia="Times New Roman" w:hAnsi="Calibri"/>
                <w:b/>
                <w:bCs/>
                <w:color w:val="000000"/>
                <w:sz w:val="18"/>
                <w:szCs w:val="18"/>
              </w:rPr>
              <w:t>Unit Cost or Range*</w:t>
            </w:r>
          </w:p>
        </w:tc>
        <w:tc>
          <w:tcPr>
            <w:tcW w:w="2827" w:type="dxa"/>
            <w:tcBorders>
              <w:top w:val="single" w:sz="4" w:space="0" w:color="auto"/>
              <w:left w:val="nil"/>
              <w:bottom w:val="single" w:sz="4" w:space="0" w:color="auto"/>
              <w:right w:val="nil"/>
            </w:tcBorders>
            <w:shd w:val="clear" w:color="auto" w:fill="auto"/>
            <w:noWrap/>
          </w:tcPr>
          <w:p w:rsidR="00335472" w:rsidRPr="00942766" w:rsidRDefault="00335472" w:rsidP="00CA204D">
            <w:pPr>
              <w:jc w:val="center"/>
              <w:rPr>
                <w:rFonts w:ascii="Calibri" w:eastAsia="Times New Roman" w:hAnsi="Calibri"/>
                <w:color w:val="000000"/>
                <w:sz w:val="18"/>
                <w:szCs w:val="18"/>
              </w:rPr>
            </w:pPr>
            <w:r w:rsidRPr="00942766">
              <w:rPr>
                <w:rFonts w:ascii="Calibri" w:eastAsia="Times New Roman" w:hAnsi="Calibri"/>
                <w:b/>
                <w:bCs/>
                <w:color w:val="000000"/>
                <w:sz w:val="18"/>
                <w:szCs w:val="18"/>
              </w:rPr>
              <w:t>Source of Unit Cost</w:t>
            </w:r>
          </w:p>
        </w:tc>
      </w:tr>
      <w:tr w:rsidR="0093425F" w:rsidRPr="00942766" w:rsidTr="00080173">
        <w:trPr>
          <w:trHeight w:val="300"/>
        </w:trPr>
        <w:tc>
          <w:tcPr>
            <w:tcW w:w="4536" w:type="dxa"/>
            <w:tcBorders>
              <w:top w:val="single" w:sz="4" w:space="0" w:color="auto"/>
              <w:left w:val="nil"/>
              <w:bottom w:val="nil"/>
              <w:right w:val="nil"/>
            </w:tcBorders>
            <w:shd w:val="clear" w:color="auto" w:fill="auto"/>
            <w:noWrap/>
          </w:tcPr>
          <w:p w:rsidR="0093425F" w:rsidRPr="00942766" w:rsidDel="0093425F" w:rsidRDefault="0093425F" w:rsidP="00080173">
            <w:pPr>
              <w:rPr>
                <w:rFonts w:ascii="Calibri" w:eastAsia="Times New Roman" w:hAnsi="Calibri"/>
                <w:color w:val="000000"/>
                <w:sz w:val="18"/>
                <w:szCs w:val="18"/>
              </w:rPr>
            </w:pPr>
            <w:r w:rsidRPr="00942766">
              <w:rPr>
                <w:rFonts w:ascii="Calibri" w:eastAsia="Times New Roman" w:hAnsi="Calibri"/>
                <w:b/>
                <w:color w:val="000000"/>
                <w:sz w:val="18"/>
                <w:szCs w:val="18"/>
              </w:rPr>
              <w:t>Equipment loaned, per year</w:t>
            </w:r>
          </w:p>
        </w:tc>
        <w:tc>
          <w:tcPr>
            <w:tcW w:w="1567" w:type="dxa"/>
            <w:tcBorders>
              <w:top w:val="single" w:sz="4" w:space="0" w:color="auto"/>
              <w:left w:val="nil"/>
              <w:bottom w:val="nil"/>
              <w:right w:val="nil"/>
            </w:tcBorders>
            <w:shd w:val="clear" w:color="auto" w:fill="auto"/>
            <w:noWrap/>
          </w:tcPr>
          <w:p w:rsidR="0093425F" w:rsidRPr="00942766" w:rsidDel="0093425F" w:rsidRDefault="0093425F" w:rsidP="0093425F">
            <w:pPr>
              <w:jc w:val="right"/>
              <w:rPr>
                <w:rFonts w:ascii="Calibri" w:eastAsia="Times New Roman" w:hAnsi="Calibri"/>
                <w:color w:val="000000"/>
                <w:sz w:val="18"/>
                <w:szCs w:val="18"/>
              </w:rPr>
            </w:pPr>
          </w:p>
        </w:tc>
        <w:tc>
          <w:tcPr>
            <w:tcW w:w="2827" w:type="dxa"/>
            <w:tcBorders>
              <w:top w:val="single" w:sz="4" w:space="0" w:color="auto"/>
              <w:left w:val="nil"/>
              <w:bottom w:val="nil"/>
              <w:right w:val="nil"/>
            </w:tcBorders>
            <w:shd w:val="clear" w:color="auto" w:fill="auto"/>
            <w:noWrap/>
          </w:tcPr>
          <w:p w:rsidR="0093425F" w:rsidRPr="00942766" w:rsidDel="0093425F" w:rsidRDefault="0093425F" w:rsidP="0093425F">
            <w:pPr>
              <w:jc w:val="center"/>
              <w:rPr>
                <w:rFonts w:ascii="Calibri" w:eastAsia="Times New Roman" w:hAnsi="Calibri"/>
                <w:color w:val="000000"/>
                <w:sz w:val="18"/>
                <w:szCs w:val="18"/>
              </w:rPr>
            </w:pPr>
          </w:p>
        </w:tc>
      </w:tr>
      <w:tr w:rsidR="0093425F" w:rsidRPr="00942766" w:rsidTr="00080173">
        <w:trPr>
          <w:trHeight w:val="300"/>
        </w:trPr>
        <w:tc>
          <w:tcPr>
            <w:tcW w:w="4536" w:type="dxa"/>
            <w:tcBorders>
              <w:top w:val="nil"/>
              <w:left w:val="nil"/>
              <w:bottom w:val="nil"/>
              <w:right w:val="nil"/>
            </w:tcBorders>
            <w:shd w:val="clear" w:color="auto" w:fill="auto"/>
            <w:noWrap/>
            <w:vAlign w:val="center"/>
          </w:tcPr>
          <w:p w:rsidR="0093425F" w:rsidRPr="00942766" w:rsidRDefault="0093425F" w:rsidP="002833D4">
            <w:pPr>
              <w:jc w:val="right"/>
              <w:rPr>
                <w:rFonts w:ascii="Calibri" w:eastAsia="Times New Roman" w:hAnsi="Calibri"/>
                <w:color w:val="000000"/>
                <w:sz w:val="18"/>
                <w:szCs w:val="18"/>
              </w:rPr>
            </w:pPr>
            <w:r w:rsidRPr="00942766">
              <w:rPr>
                <w:rFonts w:ascii="Calibri" w:eastAsia="Times New Roman" w:hAnsi="Calibri"/>
                <w:color w:val="000000"/>
                <w:sz w:val="18"/>
                <w:szCs w:val="18"/>
              </w:rPr>
              <w:t>Digital hearing aid</w:t>
            </w:r>
          </w:p>
        </w:tc>
        <w:tc>
          <w:tcPr>
            <w:tcW w:w="1567" w:type="dxa"/>
            <w:tcBorders>
              <w:top w:val="nil"/>
              <w:left w:val="nil"/>
              <w:bottom w:val="nil"/>
              <w:right w:val="nil"/>
            </w:tcBorders>
            <w:shd w:val="clear" w:color="auto" w:fill="auto"/>
            <w:noWrap/>
          </w:tcPr>
          <w:p w:rsidR="0093425F" w:rsidRPr="00942766" w:rsidRDefault="0093425F" w:rsidP="002833D4">
            <w:pPr>
              <w:jc w:val="right"/>
              <w:rPr>
                <w:rFonts w:ascii="Calibri" w:eastAsia="Times New Roman" w:hAnsi="Calibri"/>
                <w:color w:val="000000"/>
                <w:sz w:val="18"/>
                <w:szCs w:val="18"/>
              </w:rPr>
            </w:pPr>
            <w:r w:rsidRPr="00942766">
              <w:rPr>
                <w:rFonts w:ascii="Calibri" w:eastAsia="Times New Roman" w:hAnsi="Calibri"/>
                <w:color w:val="000000"/>
                <w:sz w:val="18"/>
                <w:szCs w:val="18"/>
              </w:rPr>
              <w:t>126</w:t>
            </w:r>
          </w:p>
        </w:tc>
        <w:tc>
          <w:tcPr>
            <w:tcW w:w="2827" w:type="dxa"/>
            <w:tcBorders>
              <w:top w:val="nil"/>
              <w:left w:val="nil"/>
              <w:bottom w:val="nil"/>
              <w:right w:val="nil"/>
            </w:tcBorders>
            <w:shd w:val="clear" w:color="auto" w:fill="auto"/>
            <w:noWrap/>
          </w:tcPr>
          <w:p w:rsidR="0093425F" w:rsidRPr="00942766" w:rsidRDefault="0093425F" w:rsidP="0093425F">
            <w:pPr>
              <w:jc w:val="center"/>
              <w:rPr>
                <w:rFonts w:ascii="Calibri" w:eastAsia="Times New Roman" w:hAnsi="Calibri"/>
                <w:color w:val="000000"/>
                <w:sz w:val="18"/>
                <w:szCs w:val="18"/>
              </w:rPr>
            </w:pPr>
            <w:r w:rsidRPr="00942766">
              <w:rPr>
                <w:rFonts w:ascii="Calibri" w:eastAsia="Times New Roman" w:hAnsi="Calibri"/>
                <w:color w:val="000000"/>
                <w:sz w:val="18"/>
                <w:szCs w:val="18"/>
              </w:rPr>
              <w:t>NHS Ref.Cost</w:t>
            </w:r>
            <w:r w:rsidRPr="00942766">
              <w:rPr>
                <w:rFonts w:ascii="Calibri (Body)" w:eastAsia="Times New Roman" w:hAnsi="Calibri (Body)"/>
                <w:color w:val="000000"/>
                <w:sz w:val="18"/>
                <w:szCs w:val="18"/>
                <w:vertAlign w:val="superscript"/>
              </w:rPr>
              <w:t>28</w:t>
            </w:r>
          </w:p>
        </w:tc>
      </w:tr>
      <w:tr w:rsidR="0093425F" w:rsidRPr="00942766" w:rsidTr="00080173">
        <w:trPr>
          <w:trHeight w:val="340"/>
        </w:trPr>
        <w:tc>
          <w:tcPr>
            <w:tcW w:w="4536" w:type="dxa"/>
            <w:tcBorders>
              <w:top w:val="nil"/>
              <w:left w:val="nil"/>
              <w:bottom w:val="nil"/>
              <w:right w:val="nil"/>
            </w:tcBorders>
            <w:shd w:val="clear" w:color="auto" w:fill="auto"/>
            <w:noWrap/>
            <w:vAlign w:val="center"/>
          </w:tcPr>
          <w:p w:rsidR="0093425F" w:rsidRPr="00942766" w:rsidRDefault="0093425F" w:rsidP="002833D4">
            <w:pPr>
              <w:jc w:val="right"/>
              <w:rPr>
                <w:rFonts w:ascii="Calibri" w:eastAsia="Times New Roman" w:hAnsi="Calibri"/>
                <w:color w:val="000000"/>
                <w:sz w:val="18"/>
                <w:szCs w:val="18"/>
              </w:rPr>
            </w:pPr>
            <w:r w:rsidRPr="00942766">
              <w:rPr>
                <w:rFonts w:ascii="Calibri" w:eastAsia="Times New Roman" w:hAnsi="Calibri"/>
                <w:color w:val="000000"/>
                <w:sz w:val="18"/>
                <w:szCs w:val="18"/>
              </w:rPr>
              <w:t xml:space="preserve">Wheelchair </w:t>
            </w:r>
          </w:p>
        </w:tc>
        <w:tc>
          <w:tcPr>
            <w:tcW w:w="1567" w:type="dxa"/>
            <w:tcBorders>
              <w:top w:val="nil"/>
              <w:left w:val="nil"/>
              <w:bottom w:val="nil"/>
              <w:right w:val="nil"/>
            </w:tcBorders>
            <w:shd w:val="clear" w:color="auto" w:fill="auto"/>
            <w:noWrap/>
          </w:tcPr>
          <w:p w:rsidR="0093425F" w:rsidRPr="00942766" w:rsidRDefault="0093425F" w:rsidP="002833D4">
            <w:pPr>
              <w:jc w:val="right"/>
              <w:rPr>
                <w:rFonts w:ascii="Calibri" w:eastAsia="Times New Roman" w:hAnsi="Calibri"/>
                <w:color w:val="000000"/>
                <w:sz w:val="18"/>
                <w:szCs w:val="18"/>
              </w:rPr>
            </w:pPr>
            <w:r w:rsidRPr="00942766">
              <w:rPr>
                <w:rFonts w:ascii="Calibri" w:eastAsia="Times New Roman" w:hAnsi="Calibri"/>
                <w:color w:val="000000"/>
                <w:sz w:val="18"/>
                <w:szCs w:val="18"/>
              </w:rPr>
              <w:t>172.0</w:t>
            </w:r>
          </w:p>
        </w:tc>
        <w:tc>
          <w:tcPr>
            <w:tcW w:w="2827" w:type="dxa"/>
            <w:tcBorders>
              <w:top w:val="nil"/>
              <w:left w:val="nil"/>
              <w:bottom w:val="nil"/>
              <w:right w:val="nil"/>
            </w:tcBorders>
            <w:shd w:val="clear" w:color="auto" w:fill="auto"/>
            <w:noWrap/>
          </w:tcPr>
          <w:p w:rsidR="0093425F" w:rsidRPr="00942766" w:rsidRDefault="0093425F" w:rsidP="0093425F">
            <w:pPr>
              <w:jc w:val="center"/>
              <w:rPr>
                <w:rFonts w:ascii="Calibri" w:eastAsia="Times New Roman" w:hAnsi="Calibri"/>
                <w:color w:val="000000"/>
                <w:sz w:val="18"/>
                <w:szCs w:val="18"/>
              </w:rPr>
            </w:pPr>
            <w:r w:rsidRPr="00942766">
              <w:rPr>
                <w:rFonts w:ascii="Calibri" w:eastAsia="Times New Roman" w:hAnsi="Calibri"/>
                <w:color w:val="000000"/>
                <w:sz w:val="18"/>
                <w:szCs w:val="18"/>
              </w:rPr>
              <w:t>Inflated PSSRU, 2011</w:t>
            </w:r>
          </w:p>
        </w:tc>
      </w:tr>
      <w:tr w:rsidR="0093425F" w:rsidRPr="00942766" w:rsidTr="00080173">
        <w:trPr>
          <w:trHeight w:val="340"/>
        </w:trPr>
        <w:tc>
          <w:tcPr>
            <w:tcW w:w="4536" w:type="dxa"/>
            <w:tcBorders>
              <w:top w:val="nil"/>
              <w:left w:val="nil"/>
              <w:bottom w:val="nil"/>
              <w:right w:val="nil"/>
            </w:tcBorders>
            <w:shd w:val="clear" w:color="auto" w:fill="auto"/>
            <w:noWrap/>
            <w:vAlign w:val="center"/>
            <w:hideMark/>
          </w:tcPr>
          <w:p w:rsidR="0093425F" w:rsidRPr="00942766" w:rsidRDefault="0093425F" w:rsidP="002833D4">
            <w:pPr>
              <w:jc w:val="right"/>
              <w:rPr>
                <w:rFonts w:ascii="Calibri" w:eastAsia="Times New Roman" w:hAnsi="Calibri"/>
                <w:color w:val="000000"/>
                <w:sz w:val="18"/>
                <w:szCs w:val="18"/>
              </w:rPr>
            </w:pPr>
            <w:r w:rsidRPr="00942766">
              <w:rPr>
                <w:rFonts w:ascii="Calibri" w:eastAsia="Times New Roman" w:hAnsi="Calibri"/>
                <w:color w:val="000000"/>
                <w:sz w:val="18"/>
                <w:szCs w:val="18"/>
              </w:rPr>
              <w:t>Loop system</w:t>
            </w:r>
          </w:p>
        </w:tc>
        <w:tc>
          <w:tcPr>
            <w:tcW w:w="1567" w:type="dxa"/>
            <w:tcBorders>
              <w:top w:val="nil"/>
              <w:left w:val="nil"/>
              <w:bottom w:val="nil"/>
              <w:right w:val="nil"/>
            </w:tcBorders>
            <w:shd w:val="clear" w:color="auto" w:fill="auto"/>
            <w:noWrap/>
            <w:hideMark/>
          </w:tcPr>
          <w:p w:rsidR="0093425F" w:rsidRPr="00942766" w:rsidRDefault="0093425F" w:rsidP="0093425F">
            <w:pPr>
              <w:jc w:val="right"/>
              <w:rPr>
                <w:rFonts w:ascii="Calibri" w:eastAsia="Times New Roman" w:hAnsi="Calibri"/>
                <w:color w:val="000000"/>
                <w:sz w:val="18"/>
                <w:szCs w:val="18"/>
              </w:rPr>
            </w:pPr>
            <w:r w:rsidRPr="00942766">
              <w:rPr>
                <w:rFonts w:ascii="Calibri" w:eastAsia="Times New Roman" w:hAnsi="Calibri"/>
                <w:color w:val="000000"/>
                <w:sz w:val="18"/>
                <w:szCs w:val="18"/>
              </w:rPr>
              <w:t>137.0-1200.0</w:t>
            </w:r>
          </w:p>
        </w:tc>
        <w:tc>
          <w:tcPr>
            <w:tcW w:w="2827" w:type="dxa"/>
            <w:tcBorders>
              <w:top w:val="nil"/>
              <w:left w:val="nil"/>
              <w:bottom w:val="nil"/>
              <w:right w:val="nil"/>
            </w:tcBorders>
            <w:shd w:val="clear" w:color="auto" w:fill="auto"/>
            <w:noWrap/>
            <w:hideMark/>
          </w:tcPr>
          <w:p w:rsidR="0093425F" w:rsidRPr="00942766" w:rsidRDefault="0093425F" w:rsidP="0093425F">
            <w:pPr>
              <w:jc w:val="center"/>
              <w:rPr>
                <w:rFonts w:ascii="Calibri" w:eastAsia="Times New Roman" w:hAnsi="Calibri"/>
                <w:color w:val="000000"/>
                <w:sz w:val="18"/>
                <w:szCs w:val="18"/>
              </w:rPr>
            </w:pPr>
            <w:r w:rsidRPr="00942766">
              <w:rPr>
                <w:rFonts w:ascii="Calibri" w:eastAsia="Times New Roman" w:hAnsi="Calibri"/>
                <w:color w:val="000000"/>
                <w:sz w:val="18"/>
                <w:szCs w:val="18"/>
              </w:rPr>
              <w:t>Local provider</w:t>
            </w:r>
          </w:p>
        </w:tc>
      </w:tr>
      <w:tr w:rsidR="0093425F" w:rsidRPr="00942766" w:rsidTr="00080173">
        <w:trPr>
          <w:trHeight w:val="300"/>
        </w:trPr>
        <w:tc>
          <w:tcPr>
            <w:tcW w:w="4536" w:type="dxa"/>
            <w:tcBorders>
              <w:top w:val="nil"/>
              <w:left w:val="nil"/>
              <w:bottom w:val="nil"/>
              <w:right w:val="nil"/>
            </w:tcBorders>
            <w:shd w:val="clear" w:color="auto" w:fill="auto"/>
            <w:noWrap/>
            <w:vAlign w:val="center"/>
            <w:hideMark/>
          </w:tcPr>
          <w:p w:rsidR="0093425F" w:rsidRPr="00942766" w:rsidRDefault="0093425F" w:rsidP="002833D4">
            <w:pPr>
              <w:jc w:val="right"/>
              <w:rPr>
                <w:rFonts w:ascii="Calibri" w:eastAsia="Times New Roman" w:hAnsi="Calibri"/>
                <w:color w:val="000000"/>
                <w:sz w:val="18"/>
                <w:szCs w:val="18"/>
              </w:rPr>
            </w:pPr>
            <w:r w:rsidRPr="00942766">
              <w:rPr>
                <w:rFonts w:ascii="Calibri" w:eastAsia="Times New Roman" w:hAnsi="Calibri"/>
                <w:color w:val="000000"/>
                <w:sz w:val="18"/>
                <w:szCs w:val="18"/>
              </w:rPr>
              <w:t>Vibrating alarm clock</w:t>
            </w:r>
          </w:p>
        </w:tc>
        <w:tc>
          <w:tcPr>
            <w:tcW w:w="1567" w:type="dxa"/>
            <w:tcBorders>
              <w:top w:val="nil"/>
              <w:left w:val="nil"/>
              <w:bottom w:val="nil"/>
              <w:right w:val="nil"/>
            </w:tcBorders>
            <w:shd w:val="clear" w:color="auto" w:fill="auto"/>
            <w:noWrap/>
            <w:hideMark/>
          </w:tcPr>
          <w:p w:rsidR="0093425F" w:rsidRPr="00942766" w:rsidRDefault="0093425F" w:rsidP="0093425F">
            <w:pPr>
              <w:jc w:val="right"/>
              <w:rPr>
                <w:rFonts w:ascii="Calibri" w:eastAsia="Times New Roman" w:hAnsi="Calibri"/>
                <w:color w:val="000000"/>
                <w:sz w:val="18"/>
                <w:szCs w:val="18"/>
              </w:rPr>
            </w:pPr>
            <w:r w:rsidRPr="00942766">
              <w:rPr>
                <w:rFonts w:ascii="Calibri" w:eastAsia="Times New Roman" w:hAnsi="Calibri"/>
                <w:color w:val="000000"/>
                <w:sz w:val="18"/>
                <w:szCs w:val="18"/>
              </w:rPr>
              <w:t>15.0-85.0</w:t>
            </w:r>
          </w:p>
        </w:tc>
        <w:tc>
          <w:tcPr>
            <w:tcW w:w="2827" w:type="dxa"/>
            <w:tcBorders>
              <w:top w:val="nil"/>
              <w:left w:val="nil"/>
              <w:bottom w:val="nil"/>
              <w:right w:val="nil"/>
            </w:tcBorders>
            <w:shd w:val="clear" w:color="auto" w:fill="auto"/>
            <w:noWrap/>
            <w:hideMark/>
          </w:tcPr>
          <w:p w:rsidR="0093425F" w:rsidRPr="00942766" w:rsidRDefault="0093425F" w:rsidP="0093425F">
            <w:pPr>
              <w:jc w:val="center"/>
              <w:rPr>
                <w:rFonts w:ascii="Calibri" w:eastAsia="Times New Roman" w:hAnsi="Calibri"/>
                <w:color w:val="000000"/>
                <w:sz w:val="18"/>
                <w:szCs w:val="18"/>
              </w:rPr>
            </w:pPr>
            <w:r w:rsidRPr="00942766">
              <w:rPr>
                <w:rFonts w:ascii="Calibri" w:eastAsia="Times New Roman" w:hAnsi="Calibri"/>
                <w:color w:val="000000"/>
                <w:sz w:val="18"/>
                <w:szCs w:val="18"/>
              </w:rPr>
              <w:t>Local provider</w:t>
            </w:r>
          </w:p>
        </w:tc>
      </w:tr>
      <w:tr w:rsidR="0093425F" w:rsidRPr="00942766" w:rsidTr="00080173">
        <w:trPr>
          <w:trHeight w:val="300"/>
        </w:trPr>
        <w:tc>
          <w:tcPr>
            <w:tcW w:w="4536" w:type="dxa"/>
            <w:tcBorders>
              <w:top w:val="nil"/>
              <w:left w:val="nil"/>
              <w:bottom w:val="nil"/>
              <w:right w:val="nil"/>
            </w:tcBorders>
            <w:shd w:val="clear" w:color="auto" w:fill="auto"/>
            <w:noWrap/>
            <w:vAlign w:val="center"/>
            <w:hideMark/>
          </w:tcPr>
          <w:p w:rsidR="0093425F" w:rsidRPr="00942766" w:rsidRDefault="0093425F" w:rsidP="002833D4">
            <w:pPr>
              <w:jc w:val="right"/>
              <w:rPr>
                <w:rFonts w:ascii="Calibri" w:eastAsia="Times New Roman" w:hAnsi="Calibri"/>
                <w:color w:val="000000"/>
                <w:sz w:val="18"/>
                <w:szCs w:val="18"/>
              </w:rPr>
            </w:pPr>
            <w:r w:rsidRPr="00942766">
              <w:rPr>
                <w:rFonts w:ascii="Calibri" w:eastAsia="Times New Roman" w:hAnsi="Calibri"/>
                <w:color w:val="000000"/>
                <w:sz w:val="18"/>
                <w:szCs w:val="18"/>
              </w:rPr>
              <w:t>Door bell/light</w:t>
            </w:r>
          </w:p>
        </w:tc>
        <w:tc>
          <w:tcPr>
            <w:tcW w:w="1567" w:type="dxa"/>
            <w:tcBorders>
              <w:top w:val="nil"/>
              <w:left w:val="nil"/>
              <w:bottom w:val="nil"/>
              <w:right w:val="nil"/>
            </w:tcBorders>
            <w:shd w:val="clear" w:color="auto" w:fill="auto"/>
            <w:noWrap/>
            <w:hideMark/>
          </w:tcPr>
          <w:p w:rsidR="0093425F" w:rsidRPr="00942766" w:rsidRDefault="0093425F" w:rsidP="0093425F">
            <w:pPr>
              <w:jc w:val="right"/>
              <w:rPr>
                <w:rFonts w:ascii="Calibri" w:eastAsia="Times New Roman" w:hAnsi="Calibri"/>
                <w:color w:val="000000"/>
                <w:sz w:val="18"/>
                <w:szCs w:val="18"/>
              </w:rPr>
            </w:pPr>
            <w:r w:rsidRPr="00942766">
              <w:rPr>
                <w:rFonts w:ascii="Calibri" w:eastAsia="Times New Roman" w:hAnsi="Calibri"/>
                <w:color w:val="000000"/>
                <w:sz w:val="18"/>
                <w:szCs w:val="18"/>
              </w:rPr>
              <w:t xml:space="preserve"> 8.5 - 59.9 </w:t>
            </w:r>
          </w:p>
        </w:tc>
        <w:tc>
          <w:tcPr>
            <w:tcW w:w="2827" w:type="dxa"/>
            <w:tcBorders>
              <w:top w:val="nil"/>
              <w:left w:val="nil"/>
              <w:bottom w:val="nil"/>
              <w:right w:val="nil"/>
            </w:tcBorders>
            <w:shd w:val="clear" w:color="auto" w:fill="auto"/>
            <w:noWrap/>
            <w:hideMark/>
          </w:tcPr>
          <w:p w:rsidR="0093425F" w:rsidRPr="00942766" w:rsidRDefault="0093425F" w:rsidP="0093425F">
            <w:pPr>
              <w:jc w:val="center"/>
              <w:rPr>
                <w:rFonts w:ascii="Calibri" w:eastAsia="Times New Roman" w:hAnsi="Calibri"/>
                <w:color w:val="000000"/>
                <w:sz w:val="18"/>
                <w:szCs w:val="18"/>
              </w:rPr>
            </w:pPr>
            <w:r w:rsidRPr="00942766">
              <w:rPr>
                <w:rFonts w:ascii="Calibri" w:eastAsia="Times New Roman" w:hAnsi="Calibri"/>
                <w:color w:val="000000"/>
                <w:sz w:val="18"/>
                <w:szCs w:val="18"/>
              </w:rPr>
              <w:t>Local provider</w:t>
            </w:r>
          </w:p>
        </w:tc>
      </w:tr>
      <w:tr w:rsidR="0093425F" w:rsidRPr="00942766" w:rsidTr="00080173">
        <w:trPr>
          <w:trHeight w:val="300"/>
        </w:trPr>
        <w:tc>
          <w:tcPr>
            <w:tcW w:w="4536" w:type="dxa"/>
            <w:tcBorders>
              <w:top w:val="nil"/>
              <w:left w:val="nil"/>
              <w:bottom w:val="nil"/>
              <w:right w:val="nil"/>
            </w:tcBorders>
            <w:shd w:val="clear" w:color="auto" w:fill="auto"/>
            <w:noWrap/>
            <w:vAlign w:val="center"/>
            <w:hideMark/>
          </w:tcPr>
          <w:p w:rsidR="0093425F" w:rsidRPr="00942766" w:rsidRDefault="0093425F" w:rsidP="002833D4">
            <w:pPr>
              <w:jc w:val="right"/>
              <w:rPr>
                <w:rFonts w:ascii="Calibri" w:eastAsia="Times New Roman" w:hAnsi="Calibri"/>
                <w:color w:val="000000"/>
                <w:sz w:val="18"/>
                <w:szCs w:val="18"/>
              </w:rPr>
            </w:pPr>
            <w:r w:rsidRPr="00942766">
              <w:rPr>
                <w:rFonts w:ascii="Calibri" w:eastAsia="Times New Roman" w:hAnsi="Calibri"/>
                <w:sz w:val="18"/>
                <w:szCs w:val="18"/>
              </w:rPr>
              <w:t>Fire alarm and flashing lights</w:t>
            </w:r>
          </w:p>
        </w:tc>
        <w:tc>
          <w:tcPr>
            <w:tcW w:w="1567" w:type="dxa"/>
            <w:tcBorders>
              <w:top w:val="nil"/>
              <w:left w:val="nil"/>
              <w:bottom w:val="nil"/>
              <w:right w:val="nil"/>
            </w:tcBorders>
            <w:shd w:val="clear" w:color="auto" w:fill="auto"/>
            <w:noWrap/>
            <w:hideMark/>
          </w:tcPr>
          <w:p w:rsidR="0093425F" w:rsidRPr="00942766" w:rsidRDefault="0093425F" w:rsidP="0093425F">
            <w:pPr>
              <w:jc w:val="right"/>
              <w:rPr>
                <w:rFonts w:ascii="Calibri" w:eastAsia="Times New Roman" w:hAnsi="Calibri"/>
                <w:color w:val="000000"/>
                <w:sz w:val="18"/>
                <w:szCs w:val="18"/>
              </w:rPr>
            </w:pPr>
            <w:r w:rsidRPr="00942766">
              <w:rPr>
                <w:rFonts w:ascii="Calibri" w:eastAsia="Times New Roman" w:hAnsi="Calibri"/>
                <w:color w:val="000000"/>
                <w:sz w:val="18"/>
                <w:szCs w:val="18"/>
              </w:rPr>
              <w:t xml:space="preserve"> 7.7 - 138.0 </w:t>
            </w:r>
          </w:p>
        </w:tc>
        <w:tc>
          <w:tcPr>
            <w:tcW w:w="2827" w:type="dxa"/>
            <w:tcBorders>
              <w:top w:val="nil"/>
              <w:left w:val="nil"/>
              <w:bottom w:val="nil"/>
              <w:right w:val="nil"/>
            </w:tcBorders>
            <w:shd w:val="clear" w:color="auto" w:fill="auto"/>
            <w:noWrap/>
            <w:hideMark/>
          </w:tcPr>
          <w:p w:rsidR="0093425F" w:rsidRPr="00942766" w:rsidRDefault="0093425F" w:rsidP="0093425F">
            <w:pPr>
              <w:jc w:val="center"/>
              <w:rPr>
                <w:rFonts w:ascii="Calibri" w:eastAsia="Times New Roman" w:hAnsi="Calibri"/>
                <w:color w:val="000000"/>
                <w:sz w:val="18"/>
                <w:szCs w:val="18"/>
              </w:rPr>
            </w:pPr>
            <w:r w:rsidRPr="00942766">
              <w:rPr>
                <w:rFonts w:ascii="Calibri" w:eastAsia="Times New Roman" w:hAnsi="Calibri"/>
                <w:color w:val="000000"/>
                <w:sz w:val="18"/>
                <w:szCs w:val="18"/>
              </w:rPr>
              <w:t>Local provider</w:t>
            </w:r>
          </w:p>
        </w:tc>
      </w:tr>
      <w:tr w:rsidR="0093425F" w:rsidRPr="00942766" w:rsidTr="00080173">
        <w:trPr>
          <w:trHeight w:val="300"/>
        </w:trPr>
        <w:tc>
          <w:tcPr>
            <w:tcW w:w="4536" w:type="dxa"/>
            <w:tcBorders>
              <w:top w:val="nil"/>
              <w:left w:val="nil"/>
              <w:bottom w:val="nil"/>
              <w:right w:val="nil"/>
            </w:tcBorders>
            <w:shd w:val="clear" w:color="auto" w:fill="auto"/>
            <w:noWrap/>
            <w:vAlign w:val="center"/>
            <w:hideMark/>
          </w:tcPr>
          <w:p w:rsidR="0093425F" w:rsidRPr="00942766" w:rsidRDefault="0093425F" w:rsidP="002833D4">
            <w:pPr>
              <w:jc w:val="right"/>
              <w:rPr>
                <w:rFonts w:ascii="Calibri" w:eastAsia="Times New Roman" w:hAnsi="Calibri"/>
                <w:sz w:val="18"/>
                <w:szCs w:val="18"/>
              </w:rPr>
            </w:pPr>
            <w:r w:rsidRPr="00942766">
              <w:rPr>
                <w:rFonts w:ascii="Calibri" w:eastAsia="Times New Roman" w:hAnsi="Calibri"/>
                <w:color w:val="000000"/>
                <w:sz w:val="18"/>
                <w:szCs w:val="18"/>
              </w:rPr>
              <w:t>Light-up phone</w:t>
            </w:r>
          </w:p>
        </w:tc>
        <w:tc>
          <w:tcPr>
            <w:tcW w:w="1567" w:type="dxa"/>
            <w:tcBorders>
              <w:top w:val="nil"/>
              <w:left w:val="nil"/>
              <w:bottom w:val="nil"/>
              <w:right w:val="nil"/>
            </w:tcBorders>
            <w:shd w:val="clear" w:color="auto" w:fill="auto"/>
            <w:noWrap/>
            <w:hideMark/>
          </w:tcPr>
          <w:p w:rsidR="0093425F" w:rsidRPr="00942766" w:rsidRDefault="0093425F" w:rsidP="0093425F">
            <w:pPr>
              <w:jc w:val="right"/>
              <w:rPr>
                <w:rFonts w:ascii="Calibri" w:eastAsia="Times New Roman" w:hAnsi="Calibri"/>
                <w:color w:val="000000"/>
                <w:sz w:val="18"/>
                <w:szCs w:val="18"/>
              </w:rPr>
            </w:pPr>
            <w:r w:rsidRPr="00942766">
              <w:rPr>
                <w:rFonts w:ascii="Calibri" w:eastAsia="Times New Roman" w:hAnsi="Calibri"/>
                <w:color w:val="000000"/>
                <w:sz w:val="18"/>
                <w:szCs w:val="18"/>
              </w:rPr>
              <w:t xml:space="preserve"> 34.8 - 70.8 </w:t>
            </w:r>
          </w:p>
        </w:tc>
        <w:tc>
          <w:tcPr>
            <w:tcW w:w="2827" w:type="dxa"/>
            <w:tcBorders>
              <w:top w:val="nil"/>
              <w:left w:val="nil"/>
              <w:bottom w:val="nil"/>
              <w:right w:val="nil"/>
            </w:tcBorders>
            <w:shd w:val="clear" w:color="auto" w:fill="auto"/>
            <w:noWrap/>
            <w:hideMark/>
          </w:tcPr>
          <w:p w:rsidR="0093425F" w:rsidRPr="00942766" w:rsidRDefault="0093425F" w:rsidP="0093425F">
            <w:pPr>
              <w:jc w:val="center"/>
              <w:rPr>
                <w:rFonts w:ascii="Calibri" w:eastAsia="Times New Roman" w:hAnsi="Calibri"/>
                <w:color w:val="000000"/>
                <w:sz w:val="18"/>
                <w:szCs w:val="18"/>
              </w:rPr>
            </w:pPr>
            <w:r w:rsidRPr="00942766">
              <w:rPr>
                <w:rFonts w:ascii="Calibri" w:eastAsia="Times New Roman" w:hAnsi="Calibri"/>
                <w:color w:val="000000"/>
                <w:sz w:val="18"/>
                <w:szCs w:val="18"/>
              </w:rPr>
              <w:t>Local provider</w:t>
            </w:r>
          </w:p>
        </w:tc>
      </w:tr>
      <w:tr w:rsidR="0093425F" w:rsidRPr="00942766" w:rsidTr="00080173">
        <w:trPr>
          <w:trHeight w:val="322"/>
        </w:trPr>
        <w:tc>
          <w:tcPr>
            <w:tcW w:w="4536" w:type="dxa"/>
            <w:tcBorders>
              <w:top w:val="nil"/>
              <w:left w:val="nil"/>
              <w:bottom w:val="nil"/>
              <w:right w:val="nil"/>
            </w:tcBorders>
            <w:shd w:val="clear" w:color="auto" w:fill="auto"/>
            <w:noWrap/>
            <w:hideMark/>
          </w:tcPr>
          <w:p w:rsidR="0093425F" w:rsidRPr="00942766" w:rsidRDefault="0093425F" w:rsidP="002833D4">
            <w:pPr>
              <w:rPr>
                <w:rFonts w:ascii="Calibri" w:eastAsia="Times New Roman" w:hAnsi="Calibri"/>
                <w:color w:val="000000"/>
                <w:sz w:val="18"/>
                <w:szCs w:val="18"/>
              </w:rPr>
            </w:pPr>
            <w:r w:rsidRPr="00942766">
              <w:rPr>
                <w:rFonts w:ascii="Calibri" w:eastAsia="Times New Roman" w:hAnsi="Calibri"/>
                <w:b/>
                <w:sz w:val="18"/>
                <w:szCs w:val="18"/>
              </w:rPr>
              <w:t>Local authority provided home adaptations, unit cost</w:t>
            </w:r>
            <w:r w:rsidRPr="00942766">
              <w:rPr>
                <w:rFonts w:ascii="Calibri" w:eastAsia="Times New Roman" w:hAnsi="Calibri"/>
                <w:sz w:val="18"/>
                <w:szCs w:val="18"/>
              </w:rPr>
              <w:t xml:space="preserve"> </w:t>
            </w:r>
          </w:p>
        </w:tc>
        <w:tc>
          <w:tcPr>
            <w:tcW w:w="1567" w:type="dxa"/>
            <w:tcBorders>
              <w:top w:val="nil"/>
              <w:left w:val="nil"/>
              <w:bottom w:val="nil"/>
              <w:right w:val="nil"/>
            </w:tcBorders>
            <w:shd w:val="clear" w:color="auto" w:fill="auto"/>
            <w:noWrap/>
            <w:hideMark/>
          </w:tcPr>
          <w:p w:rsidR="0093425F" w:rsidRPr="00942766" w:rsidRDefault="0093425F" w:rsidP="0093425F">
            <w:pPr>
              <w:jc w:val="right"/>
              <w:rPr>
                <w:rFonts w:ascii="Calibri" w:eastAsia="Times New Roman" w:hAnsi="Calibri"/>
                <w:color w:val="000000"/>
                <w:sz w:val="18"/>
                <w:szCs w:val="18"/>
              </w:rPr>
            </w:pPr>
          </w:p>
        </w:tc>
        <w:tc>
          <w:tcPr>
            <w:tcW w:w="2827" w:type="dxa"/>
            <w:tcBorders>
              <w:top w:val="nil"/>
              <w:left w:val="nil"/>
              <w:bottom w:val="nil"/>
              <w:right w:val="nil"/>
            </w:tcBorders>
            <w:shd w:val="clear" w:color="auto" w:fill="auto"/>
            <w:noWrap/>
            <w:hideMark/>
          </w:tcPr>
          <w:p w:rsidR="0093425F" w:rsidRPr="00942766" w:rsidRDefault="0093425F" w:rsidP="0093425F">
            <w:pPr>
              <w:jc w:val="center"/>
              <w:rPr>
                <w:rFonts w:ascii="Calibri" w:eastAsia="Times New Roman" w:hAnsi="Calibri"/>
                <w:color w:val="000000"/>
                <w:sz w:val="18"/>
                <w:szCs w:val="18"/>
              </w:rPr>
            </w:pPr>
          </w:p>
        </w:tc>
      </w:tr>
      <w:tr w:rsidR="0093425F" w:rsidRPr="00942766" w:rsidTr="00080173">
        <w:trPr>
          <w:trHeight w:val="300"/>
        </w:trPr>
        <w:tc>
          <w:tcPr>
            <w:tcW w:w="4536" w:type="dxa"/>
            <w:tcBorders>
              <w:top w:val="nil"/>
              <w:left w:val="nil"/>
              <w:bottom w:val="nil"/>
              <w:right w:val="nil"/>
            </w:tcBorders>
            <w:shd w:val="clear" w:color="auto" w:fill="auto"/>
            <w:noWrap/>
            <w:hideMark/>
          </w:tcPr>
          <w:p w:rsidR="0093425F" w:rsidRPr="00942766" w:rsidRDefault="0093425F" w:rsidP="0093425F">
            <w:pPr>
              <w:jc w:val="right"/>
              <w:rPr>
                <w:rFonts w:ascii="Calibri" w:eastAsia="Times New Roman" w:hAnsi="Calibri"/>
                <w:sz w:val="18"/>
                <w:szCs w:val="18"/>
              </w:rPr>
            </w:pPr>
            <w:r w:rsidRPr="00942766">
              <w:rPr>
                <w:rFonts w:ascii="Calibri" w:eastAsia="Times New Roman" w:hAnsi="Calibri"/>
                <w:sz w:val="18"/>
                <w:szCs w:val="18"/>
              </w:rPr>
              <w:t>Bathing equipment</w:t>
            </w:r>
          </w:p>
        </w:tc>
        <w:tc>
          <w:tcPr>
            <w:tcW w:w="1567" w:type="dxa"/>
            <w:tcBorders>
              <w:top w:val="nil"/>
              <w:left w:val="nil"/>
              <w:bottom w:val="nil"/>
              <w:right w:val="nil"/>
            </w:tcBorders>
            <w:shd w:val="clear" w:color="auto" w:fill="auto"/>
            <w:noWrap/>
            <w:hideMark/>
          </w:tcPr>
          <w:p w:rsidR="0093425F" w:rsidRPr="00942766" w:rsidRDefault="0093425F" w:rsidP="0093425F">
            <w:pPr>
              <w:jc w:val="right"/>
              <w:rPr>
                <w:rFonts w:ascii="Calibri" w:eastAsia="Times New Roman" w:hAnsi="Calibri"/>
                <w:sz w:val="18"/>
                <w:szCs w:val="18"/>
              </w:rPr>
            </w:pPr>
            <w:r w:rsidRPr="00942766">
              <w:rPr>
                <w:rFonts w:ascii="Calibri" w:eastAsia="Times New Roman" w:hAnsi="Calibri"/>
                <w:sz w:val="18"/>
                <w:szCs w:val="18"/>
              </w:rPr>
              <w:t>4539</w:t>
            </w:r>
          </w:p>
        </w:tc>
        <w:tc>
          <w:tcPr>
            <w:tcW w:w="2827" w:type="dxa"/>
            <w:tcBorders>
              <w:top w:val="nil"/>
              <w:left w:val="nil"/>
              <w:bottom w:val="nil"/>
              <w:right w:val="nil"/>
            </w:tcBorders>
            <w:shd w:val="clear" w:color="auto" w:fill="auto"/>
            <w:noWrap/>
            <w:hideMark/>
          </w:tcPr>
          <w:p w:rsidR="0093425F" w:rsidRPr="00942766" w:rsidRDefault="0093425F" w:rsidP="0093425F">
            <w:pPr>
              <w:jc w:val="center"/>
              <w:rPr>
                <w:rFonts w:eastAsia="Times New Roman"/>
                <w:sz w:val="18"/>
                <w:szCs w:val="18"/>
              </w:rPr>
            </w:pPr>
            <w:r w:rsidRPr="00942766">
              <w:rPr>
                <w:rFonts w:ascii="Calibri" w:eastAsia="Times New Roman" w:hAnsi="Calibri"/>
                <w:color w:val="000000"/>
                <w:sz w:val="18"/>
                <w:szCs w:val="18"/>
              </w:rPr>
              <w:t>Local Authority (Southampton)</w:t>
            </w:r>
          </w:p>
        </w:tc>
      </w:tr>
      <w:tr w:rsidR="0093425F" w:rsidRPr="00942766" w:rsidTr="00080173">
        <w:trPr>
          <w:trHeight w:val="300"/>
        </w:trPr>
        <w:tc>
          <w:tcPr>
            <w:tcW w:w="4536" w:type="dxa"/>
            <w:tcBorders>
              <w:top w:val="nil"/>
              <w:left w:val="nil"/>
              <w:bottom w:val="nil"/>
              <w:right w:val="nil"/>
            </w:tcBorders>
            <w:shd w:val="clear" w:color="auto" w:fill="auto"/>
            <w:noWrap/>
            <w:hideMark/>
          </w:tcPr>
          <w:p w:rsidR="0093425F" w:rsidRPr="00942766" w:rsidRDefault="0093425F" w:rsidP="0093425F">
            <w:pPr>
              <w:jc w:val="right"/>
              <w:rPr>
                <w:rFonts w:ascii="Calibri" w:eastAsia="Times New Roman" w:hAnsi="Calibri"/>
                <w:sz w:val="18"/>
                <w:szCs w:val="18"/>
              </w:rPr>
            </w:pPr>
            <w:r w:rsidRPr="00942766">
              <w:rPr>
                <w:rFonts w:ascii="Calibri" w:eastAsia="Times New Roman" w:hAnsi="Calibri"/>
                <w:sz w:val="18"/>
                <w:szCs w:val="18"/>
              </w:rPr>
              <w:t>Adapted shower</w:t>
            </w:r>
          </w:p>
        </w:tc>
        <w:tc>
          <w:tcPr>
            <w:tcW w:w="1567" w:type="dxa"/>
            <w:tcBorders>
              <w:top w:val="nil"/>
              <w:left w:val="nil"/>
              <w:bottom w:val="nil"/>
              <w:right w:val="nil"/>
            </w:tcBorders>
            <w:shd w:val="clear" w:color="auto" w:fill="auto"/>
            <w:noWrap/>
            <w:hideMark/>
          </w:tcPr>
          <w:p w:rsidR="0093425F" w:rsidRPr="00942766" w:rsidRDefault="0093425F" w:rsidP="0093425F">
            <w:pPr>
              <w:jc w:val="right"/>
              <w:rPr>
                <w:rFonts w:ascii="Calibri" w:eastAsia="Times New Roman" w:hAnsi="Calibri"/>
                <w:sz w:val="18"/>
                <w:szCs w:val="18"/>
              </w:rPr>
            </w:pPr>
            <w:r w:rsidRPr="00942766">
              <w:rPr>
                <w:rFonts w:ascii="Calibri" w:eastAsia="Times New Roman" w:hAnsi="Calibri"/>
                <w:sz w:val="18"/>
                <w:szCs w:val="18"/>
              </w:rPr>
              <w:t>5000</w:t>
            </w:r>
          </w:p>
        </w:tc>
        <w:tc>
          <w:tcPr>
            <w:tcW w:w="2827" w:type="dxa"/>
            <w:tcBorders>
              <w:top w:val="nil"/>
              <w:left w:val="nil"/>
              <w:bottom w:val="nil"/>
              <w:right w:val="nil"/>
            </w:tcBorders>
            <w:shd w:val="clear" w:color="auto" w:fill="auto"/>
            <w:noWrap/>
            <w:hideMark/>
          </w:tcPr>
          <w:p w:rsidR="0093425F" w:rsidRPr="00942766" w:rsidRDefault="0093425F" w:rsidP="0093425F">
            <w:pPr>
              <w:jc w:val="center"/>
              <w:rPr>
                <w:rFonts w:ascii="Calibri" w:eastAsia="Times New Roman" w:hAnsi="Calibri"/>
                <w:color w:val="000000"/>
                <w:sz w:val="18"/>
                <w:szCs w:val="18"/>
              </w:rPr>
            </w:pPr>
            <w:r w:rsidRPr="00942766">
              <w:rPr>
                <w:rFonts w:ascii="Calibri" w:eastAsia="Times New Roman" w:hAnsi="Calibri"/>
                <w:color w:val="000000"/>
                <w:sz w:val="18"/>
                <w:szCs w:val="18"/>
              </w:rPr>
              <w:t>Local Authority (Southampton)</w:t>
            </w:r>
          </w:p>
        </w:tc>
      </w:tr>
      <w:tr w:rsidR="0093425F" w:rsidRPr="00942766" w:rsidTr="00080173">
        <w:trPr>
          <w:trHeight w:val="300"/>
        </w:trPr>
        <w:tc>
          <w:tcPr>
            <w:tcW w:w="4536" w:type="dxa"/>
            <w:tcBorders>
              <w:top w:val="nil"/>
              <w:left w:val="nil"/>
              <w:bottom w:val="single" w:sz="4" w:space="0" w:color="auto"/>
              <w:right w:val="nil"/>
            </w:tcBorders>
            <w:shd w:val="clear" w:color="auto" w:fill="auto"/>
            <w:noWrap/>
            <w:hideMark/>
          </w:tcPr>
          <w:p w:rsidR="0093425F" w:rsidRPr="00942766" w:rsidRDefault="0093425F" w:rsidP="0093425F">
            <w:pPr>
              <w:jc w:val="right"/>
              <w:rPr>
                <w:rFonts w:ascii="Calibri" w:eastAsia="Times New Roman" w:hAnsi="Calibri"/>
                <w:sz w:val="18"/>
                <w:szCs w:val="18"/>
              </w:rPr>
            </w:pPr>
            <w:r w:rsidRPr="00942766">
              <w:rPr>
                <w:rFonts w:ascii="Calibri" w:eastAsia="Times New Roman" w:hAnsi="Calibri"/>
                <w:sz w:val="18"/>
                <w:szCs w:val="18"/>
              </w:rPr>
              <w:t xml:space="preserve">Accessible kitchen built </w:t>
            </w:r>
          </w:p>
        </w:tc>
        <w:tc>
          <w:tcPr>
            <w:tcW w:w="1567" w:type="dxa"/>
            <w:tcBorders>
              <w:top w:val="nil"/>
              <w:left w:val="nil"/>
              <w:bottom w:val="single" w:sz="4" w:space="0" w:color="auto"/>
              <w:right w:val="nil"/>
            </w:tcBorders>
            <w:shd w:val="clear" w:color="auto" w:fill="auto"/>
            <w:noWrap/>
            <w:hideMark/>
          </w:tcPr>
          <w:p w:rsidR="0093425F" w:rsidRPr="00942766" w:rsidRDefault="0093425F" w:rsidP="0093425F">
            <w:pPr>
              <w:jc w:val="right"/>
              <w:rPr>
                <w:rFonts w:ascii="Calibri" w:eastAsia="Times New Roman" w:hAnsi="Calibri"/>
                <w:sz w:val="18"/>
                <w:szCs w:val="18"/>
              </w:rPr>
            </w:pPr>
            <w:r w:rsidRPr="00942766">
              <w:rPr>
                <w:rFonts w:ascii="Calibri" w:eastAsia="Times New Roman" w:hAnsi="Calibri"/>
                <w:sz w:val="18"/>
                <w:szCs w:val="18"/>
              </w:rPr>
              <w:t>483</w:t>
            </w:r>
          </w:p>
        </w:tc>
        <w:tc>
          <w:tcPr>
            <w:tcW w:w="2827" w:type="dxa"/>
            <w:tcBorders>
              <w:top w:val="nil"/>
              <w:left w:val="nil"/>
              <w:bottom w:val="single" w:sz="4" w:space="0" w:color="auto"/>
              <w:right w:val="nil"/>
            </w:tcBorders>
            <w:shd w:val="clear" w:color="auto" w:fill="auto"/>
            <w:noWrap/>
            <w:hideMark/>
          </w:tcPr>
          <w:p w:rsidR="0093425F" w:rsidRPr="00942766" w:rsidRDefault="0093425F" w:rsidP="0093425F">
            <w:pPr>
              <w:jc w:val="center"/>
              <w:rPr>
                <w:rFonts w:ascii="Calibri" w:eastAsia="Times New Roman" w:hAnsi="Calibri"/>
                <w:color w:val="000000"/>
                <w:sz w:val="18"/>
                <w:szCs w:val="18"/>
              </w:rPr>
            </w:pPr>
            <w:r w:rsidRPr="00942766">
              <w:rPr>
                <w:rFonts w:ascii="Calibri" w:eastAsia="Times New Roman" w:hAnsi="Calibri"/>
                <w:color w:val="000000"/>
                <w:sz w:val="18"/>
                <w:szCs w:val="18"/>
              </w:rPr>
              <w:t>Curtis</w:t>
            </w:r>
            <w:r w:rsidRPr="00942766">
              <w:rPr>
                <w:rFonts w:ascii="Calibri (Body)" w:eastAsia="Times New Roman" w:hAnsi="Calibri (Body)"/>
                <w:color w:val="000000"/>
                <w:sz w:val="18"/>
                <w:szCs w:val="18"/>
                <w:vertAlign w:val="superscript"/>
              </w:rPr>
              <w:t>27</w:t>
            </w:r>
          </w:p>
        </w:tc>
      </w:tr>
    </w:tbl>
    <w:p w:rsidR="009761DE" w:rsidRPr="00942766" w:rsidRDefault="009761DE" w:rsidP="0017715C">
      <w:pPr>
        <w:widowControl w:val="0"/>
        <w:autoSpaceDE w:val="0"/>
        <w:autoSpaceDN w:val="0"/>
        <w:adjustRightInd w:val="0"/>
        <w:rPr>
          <w:rFonts w:ascii="Calibri" w:hAnsi="Calibri" w:cs="Calibri"/>
          <w:color w:val="000000"/>
          <w:sz w:val="18"/>
          <w:szCs w:val="18"/>
        </w:rPr>
      </w:pPr>
    </w:p>
    <w:p w:rsidR="0017715C" w:rsidRPr="00942766" w:rsidRDefault="0017715C" w:rsidP="0017715C">
      <w:pPr>
        <w:widowControl w:val="0"/>
        <w:autoSpaceDE w:val="0"/>
        <w:autoSpaceDN w:val="0"/>
        <w:adjustRightInd w:val="0"/>
        <w:rPr>
          <w:rFonts w:ascii="Calibri" w:hAnsi="Calibri" w:cs="Calibri"/>
          <w:color w:val="000000"/>
          <w:sz w:val="18"/>
          <w:szCs w:val="18"/>
        </w:rPr>
      </w:pPr>
      <w:r w:rsidRPr="00942766">
        <w:rPr>
          <w:rFonts w:ascii="Calibri" w:hAnsi="Calibri" w:cs="Calibri"/>
          <w:color w:val="000000"/>
          <w:sz w:val="18"/>
          <w:szCs w:val="18"/>
        </w:rPr>
        <w:t>Values are UK £ 2013</w:t>
      </w:r>
    </w:p>
    <w:p w:rsidR="006B10C4" w:rsidRPr="00942766" w:rsidRDefault="006B10C4" w:rsidP="0017715C">
      <w:pPr>
        <w:widowControl w:val="0"/>
        <w:autoSpaceDE w:val="0"/>
        <w:autoSpaceDN w:val="0"/>
        <w:adjustRightInd w:val="0"/>
        <w:rPr>
          <w:rFonts w:ascii="Calibri" w:hAnsi="Calibri" w:cs="Calibri"/>
          <w:color w:val="000000"/>
          <w:sz w:val="18"/>
          <w:szCs w:val="18"/>
        </w:rPr>
      </w:pPr>
      <w:r w:rsidRPr="00942766">
        <w:rPr>
          <w:rFonts w:ascii="Calibri" w:hAnsi="Calibri" w:cs="Calibri"/>
          <w:color w:val="000000"/>
          <w:sz w:val="18"/>
          <w:szCs w:val="18"/>
          <w:vertAlign w:val="superscript"/>
        </w:rPr>
        <w:t xml:space="preserve">+ </w:t>
      </w:r>
      <w:r w:rsidRPr="00942766">
        <w:rPr>
          <w:rFonts w:ascii="Calibri" w:hAnsi="Calibri" w:cs="Calibri"/>
          <w:color w:val="000000"/>
          <w:sz w:val="18"/>
          <w:szCs w:val="18"/>
        </w:rPr>
        <w:t>: Includes cost of cochlear implant equipment and surgical procedure and other inpatient costs</w:t>
      </w:r>
    </w:p>
    <w:p w:rsidR="0017715C" w:rsidRPr="00942766" w:rsidRDefault="0017715C" w:rsidP="0017715C">
      <w:pPr>
        <w:widowControl w:val="0"/>
        <w:autoSpaceDE w:val="0"/>
        <w:autoSpaceDN w:val="0"/>
        <w:adjustRightInd w:val="0"/>
        <w:rPr>
          <w:rFonts w:ascii="Calibri" w:hAnsi="Calibri" w:cs="Calibri"/>
          <w:color w:val="000000"/>
          <w:sz w:val="18"/>
          <w:szCs w:val="18"/>
        </w:rPr>
      </w:pPr>
      <w:r w:rsidRPr="00942766">
        <w:rPr>
          <w:rFonts w:ascii="Calibri" w:hAnsi="Calibri" w:cs="Calibri"/>
          <w:color w:val="000000"/>
          <w:sz w:val="18"/>
          <w:szCs w:val="18"/>
        </w:rPr>
        <w:t>* : Ranges of unit costs are specified where unit costs varied according to location or intensity of care provided.</w:t>
      </w:r>
    </w:p>
    <w:p w:rsidR="00335472" w:rsidRPr="00942766" w:rsidRDefault="0017715C" w:rsidP="00335472">
      <w:r w:rsidRPr="00942766">
        <w:rPr>
          <w:rFonts w:ascii="Calibri" w:hAnsi="Calibri" w:cs="Calibri"/>
          <w:color w:val="000000"/>
          <w:sz w:val="18"/>
          <w:szCs w:val="18"/>
        </w:rPr>
        <w:t>**: Hospital outpatient attendances are categorised as low, medium and high cost services.</w:t>
      </w:r>
    </w:p>
    <w:p w:rsidR="00335472" w:rsidRPr="00942766" w:rsidRDefault="00335472" w:rsidP="00335472"/>
    <w:p w:rsidR="00335472" w:rsidRPr="00942766" w:rsidRDefault="00335472" w:rsidP="00335472">
      <w:pPr>
        <w:sectPr w:rsidR="00335472" w:rsidRPr="00942766" w:rsidSect="00CA204D">
          <w:pgSz w:w="11900" w:h="16840"/>
          <w:pgMar w:top="1440" w:right="1440" w:bottom="1440" w:left="1440" w:header="720" w:footer="720" w:gutter="0"/>
          <w:cols w:space="720"/>
          <w:docGrid w:linePitch="360"/>
        </w:sectPr>
      </w:pPr>
    </w:p>
    <w:p w:rsidR="006B10C4" w:rsidRPr="00942766" w:rsidRDefault="006B10C4" w:rsidP="006B10C4">
      <w:pPr>
        <w:keepNext/>
        <w:spacing w:after="200"/>
        <w:rPr>
          <w:rFonts w:eastAsiaTheme="minorHAnsi"/>
          <w:b/>
          <w:iCs/>
          <w:color w:val="44546A" w:themeColor="text2"/>
          <w:sz w:val="22"/>
          <w:szCs w:val="22"/>
          <w:lang w:eastAsia="en-US"/>
        </w:rPr>
      </w:pPr>
      <w:bookmarkStart w:id="2" w:name="_Toc487891345"/>
      <w:r w:rsidRPr="00942766">
        <w:rPr>
          <w:rFonts w:eastAsiaTheme="minorHAnsi"/>
          <w:b/>
          <w:iCs/>
          <w:color w:val="44546A" w:themeColor="text2"/>
          <w:sz w:val="22"/>
          <w:szCs w:val="22"/>
          <w:lang w:eastAsia="en-US"/>
        </w:rPr>
        <w:lastRenderedPageBreak/>
        <w:t xml:space="preserve">Table </w:t>
      </w:r>
      <w:r w:rsidR="002E5C04" w:rsidRPr="00942766">
        <w:rPr>
          <w:rFonts w:eastAsiaTheme="minorHAnsi"/>
          <w:b/>
          <w:iCs/>
          <w:color w:val="44546A" w:themeColor="text2"/>
          <w:sz w:val="22"/>
          <w:szCs w:val="22"/>
          <w:lang w:eastAsia="en-US"/>
        </w:rPr>
        <w:t>4</w:t>
      </w:r>
      <w:r w:rsidRPr="00942766">
        <w:rPr>
          <w:rFonts w:eastAsiaTheme="minorHAnsi"/>
          <w:b/>
          <w:iCs/>
          <w:color w:val="44546A" w:themeColor="text2"/>
          <w:sz w:val="22"/>
          <w:szCs w:val="22"/>
          <w:lang w:eastAsia="en-US"/>
        </w:rPr>
        <w:t xml:space="preserve"> Annual mean costs by cost category for health &amp; social service use</w:t>
      </w:r>
      <w:r w:rsidR="00344D5B" w:rsidRPr="00942766">
        <w:rPr>
          <w:rFonts w:eastAsiaTheme="minorHAnsi"/>
          <w:b/>
          <w:iCs/>
          <w:color w:val="44546A" w:themeColor="text2"/>
          <w:sz w:val="22"/>
          <w:szCs w:val="22"/>
          <w:lang w:eastAsia="en-US"/>
        </w:rPr>
        <w:t xml:space="preserve"> and </w:t>
      </w:r>
      <w:r w:rsidRPr="00942766">
        <w:rPr>
          <w:rFonts w:eastAsiaTheme="minorHAnsi"/>
          <w:b/>
          <w:iCs/>
          <w:color w:val="44546A" w:themeColor="text2"/>
          <w:sz w:val="22"/>
          <w:szCs w:val="22"/>
          <w:lang w:eastAsia="en-US"/>
        </w:rPr>
        <w:t>UNHS status</w:t>
      </w:r>
    </w:p>
    <w:bookmarkEnd w:id="2"/>
    <w:p w:rsidR="00335472" w:rsidRPr="00942766" w:rsidRDefault="00335472" w:rsidP="00335472">
      <w:pPr>
        <w:jc w:val="center"/>
        <w:rPr>
          <w:b/>
          <w:bCs/>
          <w:sz w:val="14"/>
          <w:szCs w:val="14"/>
        </w:rPr>
      </w:pPr>
    </w:p>
    <w:tbl>
      <w:tblPr>
        <w:tblW w:w="15684" w:type="dxa"/>
        <w:tblInd w:w="-284" w:type="dxa"/>
        <w:tblLook w:val="04A0" w:firstRow="1" w:lastRow="0" w:firstColumn="1" w:lastColumn="0" w:noHBand="0" w:noVBand="1"/>
      </w:tblPr>
      <w:tblGrid>
        <w:gridCol w:w="1975"/>
        <w:gridCol w:w="1002"/>
        <w:gridCol w:w="1135"/>
        <w:gridCol w:w="928"/>
        <w:gridCol w:w="1126"/>
        <w:gridCol w:w="1031"/>
        <w:gridCol w:w="1262"/>
        <w:gridCol w:w="980"/>
        <w:gridCol w:w="1126"/>
        <w:gridCol w:w="836"/>
        <w:gridCol w:w="979"/>
        <w:gridCol w:w="1592"/>
        <w:gridCol w:w="816"/>
        <w:gridCol w:w="896"/>
      </w:tblGrid>
      <w:tr w:rsidR="00344D5B" w:rsidRPr="00942766" w:rsidTr="00080173">
        <w:trPr>
          <w:trHeight w:val="340"/>
        </w:trPr>
        <w:tc>
          <w:tcPr>
            <w:tcW w:w="1975" w:type="dxa"/>
            <w:vMerge w:val="restart"/>
            <w:tcBorders>
              <w:top w:val="single" w:sz="4" w:space="0" w:color="auto"/>
              <w:left w:val="nil"/>
              <w:bottom w:val="single" w:sz="4" w:space="0" w:color="000000"/>
              <w:right w:val="single" w:sz="8" w:space="0" w:color="auto"/>
            </w:tcBorders>
            <w:shd w:val="clear" w:color="000000" w:fill="FFFFFF"/>
            <w:noWrap/>
            <w:vAlign w:val="bottom"/>
            <w:hideMark/>
          </w:tcPr>
          <w:p w:rsidR="006B10C4" w:rsidRPr="00942766" w:rsidRDefault="006B10C4" w:rsidP="00080173">
            <w:pPr>
              <w:rPr>
                <w:rFonts w:eastAsia="Times New Roman"/>
                <w:b/>
                <w:bCs/>
                <w:color w:val="000000"/>
                <w:sz w:val="22"/>
                <w:szCs w:val="22"/>
              </w:rPr>
            </w:pPr>
            <w:r w:rsidRPr="00942766">
              <w:rPr>
                <w:rFonts w:eastAsia="Times New Roman"/>
                <w:b/>
                <w:bCs/>
                <w:color w:val="000000"/>
                <w:sz w:val="22"/>
                <w:szCs w:val="22"/>
              </w:rPr>
              <w:t>Cost Domain</w:t>
            </w:r>
          </w:p>
        </w:tc>
        <w:tc>
          <w:tcPr>
            <w:tcW w:w="8590" w:type="dxa"/>
            <w:gridSpan w:val="8"/>
            <w:tcBorders>
              <w:top w:val="single" w:sz="4" w:space="0" w:color="auto"/>
              <w:left w:val="single" w:sz="8" w:space="0" w:color="auto"/>
              <w:bottom w:val="single" w:sz="4" w:space="0" w:color="auto"/>
              <w:right w:val="nil"/>
            </w:tcBorders>
            <w:shd w:val="clear" w:color="auto" w:fill="auto"/>
            <w:noWrap/>
            <w:vAlign w:val="center"/>
            <w:hideMark/>
          </w:tcPr>
          <w:p w:rsidR="006B10C4" w:rsidRPr="00942766" w:rsidRDefault="006B10C4" w:rsidP="002833D4">
            <w:pPr>
              <w:jc w:val="center"/>
              <w:rPr>
                <w:rFonts w:eastAsia="Times New Roman"/>
                <w:b/>
                <w:bCs/>
                <w:color w:val="000000"/>
                <w:sz w:val="22"/>
                <w:szCs w:val="22"/>
              </w:rPr>
            </w:pPr>
            <w:r w:rsidRPr="00942766">
              <w:rPr>
                <w:rFonts w:eastAsia="Times New Roman"/>
                <w:b/>
                <w:bCs/>
                <w:color w:val="000000"/>
                <w:sz w:val="22"/>
                <w:szCs w:val="22"/>
              </w:rPr>
              <w:t>Children With PCHL</w:t>
            </w:r>
          </w:p>
        </w:tc>
        <w:tc>
          <w:tcPr>
            <w:tcW w:w="1815" w:type="dxa"/>
            <w:gridSpan w:val="2"/>
            <w:vMerge w:val="restart"/>
            <w:tcBorders>
              <w:top w:val="single" w:sz="4" w:space="0" w:color="auto"/>
              <w:left w:val="nil"/>
              <w:bottom w:val="nil"/>
              <w:right w:val="nil"/>
            </w:tcBorders>
            <w:shd w:val="clear" w:color="000000" w:fill="FFFFFF"/>
            <w:vAlign w:val="center"/>
            <w:hideMark/>
          </w:tcPr>
          <w:p w:rsidR="006B10C4" w:rsidRPr="00942766" w:rsidRDefault="006B10C4" w:rsidP="002833D4">
            <w:pPr>
              <w:jc w:val="center"/>
              <w:rPr>
                <w:rFonts w:eastAsia="Times New Roman"/>
                <w:b/>
                <w:bCs/>
                <w:color w:val="000000"/>
                <w:sz w:val="22"/>
                <w:szCs w:val="22"/>
              </w:rPr>
            </w:pPr>
            <w:r w:rsidRPr="00942766">
              <w:rPr>
                <w:rFonts w:eastAsia="Times New Roman"/>
                <w:b/>
                <w:bCs/>
                <w:color w:val="000000"/>
                <w:sz w:val="22"/>
                <w:szCs w:val="22"/>
              </w:rPr>
              <w:t>HCG (n=37)</w:t>
            </w:r>
          </w:p>
        </w:tc>
        <w:tc>
          <w:tcPr>
            <w:tcW w:w="1592" w:type="dxa"/>
            <w:tcBorders>
              <w:top w:val="single" w:sz="4" w:space="0" w:color="auto"/>
              <w:left w:val="nil"/>
              <w:bottom w:val="nil"/>
              <w:right w:val="nil"/>
            </w:tcBorders>
            <w:shd w:val="clear" w:color="000000" w:fill="FFFFFF"/>
            <w:vAlign w:val="center"/>
            <w:hideMark/>
          </w:tcPr>
          <w:p w:rsidR="006B10C4" w:rsidRPr="00942766" w:rsidRDefault="00B2413F" w:rsidP="002833D4">
            <w:pPr>
              <w:jc w:val="center"/>
              <w:rPr>
                <w:rFonts w:eastAsia="Times New Roman"/>
                <w:b/>
                <w:bCs/>
                <w:color w:val="000000"/>
                <w:sz w:val="22"/>
                <w:szCs w:val="22"/>
              </w:rPr>
            </w:pPr>
            <w:r w:rsidRPr="00942766">
              <w:rPr>
                <w:rFonts w:eastAsia="Times New Roman"/>
                <w:b/>
                <w:bCs/>
                <w:color w:val="000000"/>
                <w:sz w:val="22"/>
                <w:szCs w:val="22"/>
              </w:rPr>
              <w:t xml:space="preserve">PCHL vs HCG </w:t>
            </w:r>
          </w:p>
        </w:tc>
        <w:tc>
          <w:tcPr>
            <w:tcW w:w="1712" w:type="dxa"/>
            <w:gridSpan w:val="2"/>
            <w:tcBorders>
              <w:top w:val="single" w:sz="4" w:space="0" w:color="auto"/>
              <w:left w:val="nil"/>
              <w:bottom w:val="nil"/>
              <w:right w:val="nil"/>
            </w:tcBorders>
            <w:shd w:val="clear" w:color="000000" w:fill="FFFFFF"/>
            <w:vAlign w:val="center"/>
            <w:hideMark/>
          </w:tcPr>
          <w:p w:rsidR="006B10C4" w:rsidRPr="00942766" w:rsidRDefault="006B10C4" w:rsidP="002833D4">
            <w:pPr>
              <w:jc w:val="center"/>
              <w:rPr>
                <w:rFonts w:eastAsia="Times New Roman"/>
                <w:b/>
                <w:bCs/>
                <w:color w:val="000000"/>
                <w:sz w:val="22"/>
                <w:szCs w:val="22"/>
              </w:rPr>
            </w:pPr>
            <w:r w:rsidRPr="00942766">
              <w:rPr>
                <w:rFonts w:eastAsia="Times New Roman"/>
                <w:b/>
                <w:bCs/>
                <w:color w:val="000000"/>
                <w:sz w:val="22"/>
                <w:szCs w:val="22"/>
              </w:rPr>
              <w:t>95% Confidence interval</w:t>
            </w:r>
          </w:p>
        </w:tc>
      </w:tr>
      <w:tr w:rsidR="00525861" w:rsidRPr="00942766" w:rsidTr="00B2413F">
        <w:trPr>
          <w:trHeight w:val="420"/>
        </w:trPr>
        <w:tc>
          <w:tcPr>
            <w:tcW w:w="1975" w:type="dxa"/>
            <w:vMerge/>
            <w:tcBorders>
              <w:top w:val="single" w:sz="4" w:space="0" w:color="auto"/>
              <w:left w:val="nil"/>
              <w:bottom w:val="single" w:sz="4" w:space="0" w:color="000000"/>
              <w:right w:val="single" w:sz="8" w:space="0" w:color="auto"/>
            </w:tcBorders>
            <w:vAlign w:val="center"/>
            <w:hideMark/>
          </w:tcPr>
          <w:p w:rsidR="006B10C4" w:rsidRPr="00942766" w:rsidRDefault="006B10C4" w:rsidP="00DF2FD0">
            <w:pPr>
              <w:rPr>
                <w:rFonts w:eastAsia="Times New Roman"/>
                <w:b/>
                <w:bCs/>
                <w:color w:val="000000"/>
                <w:sz w:val="22"/>
                <w:szCs w:val="22"/>
              </w:rPr>
            </w:pPr>
          </w:p>
        </w:tc>
        <w:tc>
          <w:tcPr>
            <w:tcW w:w="2137" w:type="dxa"/>
            <w:gridSpan w:val="2"/>
            <w:tcBorders>
              <w:top w:val="nil"/>
              <w:left w:val="single" w:sz="8" w:space="0" w:color="auto"/>
              <w:bottom w:val="nil"/>
              <w:right w:val="nil"/>
            </w:tcBorders>
            <w:shd w:val="clear" w:color="000000" w:fill="FFFFFF"/>
            <w:noWrap/>
            <w:vAlign w:val="center"/>
            <w:hideMark/>
          </w:tcPr>
          <w:p w:rsidR="006B10C4" w:rsidRPr="00942766" w:rsidRDefault="006B10C4" w:rsidP="002833D4">
            <w:pPr>
              <w:jc w:val="center"/>
              <w:rPr>
                <w:rFonts w:eastAsia="Times New Roman"/>
                <w:b/>
                <w:bCs/>
                <w:color w:val="000000"/>
                <w:sz w:val="22"/>
                <w:szCs w:val="22"/>
              </w:rPr>
            </w:pPr>
            <w:r w:rsidRPr="00942766">
              <w:rPr>
                <w:rFonts w:eastAsia="Times New Roman"/>
                <w:b/>
                <w:bCs/>
                <w:color w:val="000000"/>
                <w:sz w:val="22"/>
                <w:szCs w:val="22"/>
              </w:rPr>
              <w:t>Moderate (n=32)</w:t>
            </w:r>
          </w:p>
        </w:tc>
        <w:tc>
          <w:tcPr>
            <w:tcW w:w="2054" w:type="dxa"/>
            <w:gridSpan w:val="2"/>
            <w:tcBorders>
              <w:top w:val="nil"/>
              <w:left w:val="nil"/>
              <w:bottom w:val="nil"/>
              <w:right w:val="nil"/>
            </w:tcBorders>
            <w:shd w:val="clear" w:color="000000" w:fill="FFFFFF"/>
            <w:noWrap/>
            <w:vAlign w:val="center"/>
            <w:hideMark/>
          </w:tcPr>
          <w:p w:rsidR="006B10C4" w:rsidRPr="00942766" w:rsidRDefault="006B10C4" w:rsidP="002833D4">
            <w:pPr>
              <w:jc w:val="center"/>
              <w:rPr>
                <w:rFonts w:eastAsia="Times New Roman"/>
                <w:b/>
                <w:bCs/>
                <w:color w:val="000000"/>
                <w:sz w:val="22"/>
                <w:szCs w:val="22"/>
              </w:rPr>
            </w:pPr>
            <w:r w:rsidRPr="00942766">
              <w:rPr>
                <w:rFonts w:eastAsia="Times New Roman"/>
                <w:b/>
                <w:bCs/>
                <w:color w:val="000000"/>
                <w:sz w:val="22"/>
                <w:szCs w:val="22"/>
              </w:rPr>
              <w:t>Severe (n=18)</w:t>
            </w:r>
          </w:p>
        </w:tc>
        <w:tc>
          <w:tcPr>
            <w:tcW w:w="2293" w:type="dxa"/>
            <w:gridSpan w:val="2"/>
            <w:tcBorders>
              <w:top w:val="nil"/>
              <w:left w:val="nil"/>
              <w:bottom w:val="nil"/>
              <w:right w:val="nil"/>
            </w:tcBorders>
            <w:shd w:val="clear" w:color="000000" w:fill="FFFFFF"/>
            <w:noWrap/>
            <w:vAlign w:val="center"/>
            <w:hideMark/>
          </w:tcPr>
          <w:p w:rsidR="006B10C4" w:rsidRPr="00942766" w:rsidRDefault="006B10C4" w:rsidP="002833D4">
            <w:pPr>
              <w:jc w:val="center"/>
              <w:rPr>
                <w:rFonts w:eastAsia="Times New Roman"/>
                <w:b/>
                <w:bCs/>
                <w:color w:val="000000"/>
                <w:sz w:val="22"/>
                <w:szCs w:val="22"/>
              </w:rPr>
            </w:pPr>
            <w:r w:rsidRPr="00942766">
              <w:rPr>
                <w:rFonts w:eastAsia="Times New Roman"/>
                <w:b/>
                <w:bCs/>
                <w:color w:val="000000"/>
                <w:sz w:val="22"/>
                <w:szCs w:val="22"/>
              </w:rPr>
              <w:t>Profound (n=23)</w:t>
            </w:r>
          </w:p>
        </w:tc>
        <w:tc>
          <w:tcPr>
            <w:tcW w:w="2106" w:type="dxa"/>
            <w:gridSpan w:val="2"/>
            <w:tcBorders>
              <w:top w:val="nil"/>
              <w:left w:val="nil"/>
              <w:bottom w:val="nil"/>
              <w:right w:val="nil"/>
            </w:tcBorders>
            <w:shd w:val="clear" w:color="000000" w:fill="FFFFFF"/>
            <w:noWrap/>
            <w:vAlign w:val="center"/>
            <w:hideMark/>
          </w:tcPr>
          <w:p w:rsidR="006B10C4" w:rsidRPr="00942766" w:rsidRDefault="006B10C4" w:rsidP="002833D4">
            <w:pPr>
              <w:jc w:val="center"/>
              <w:rPr>
                <w:rFonts w:eastAsia="Times New Roman"/>
                <w:b/>
                <w:bCs/>
                <w:color w:val="000000"/>
                <w:sz w:val="22"/>
                <w:szCs w:val="22"/>
              </w:rPr>
            </w:pPr>
            <w:r w:rsidRPr="00942766">
              <w:rPr>
                <w:rFonts w:eastAsia="Times New Roman"/>
                <w:b/>
                <w:bCs/>
                <w:color w:val="000000"/>
                <w:sz w:val="22"/>
                <w:szCs w:val="22"/>
              </w:rPr>
              <w:t>All PCHL (n=73)</w:t>
            </w:r>
          </w:p>
        </w:tc>
        <w:tc>
          <w:tcPr>
            <w:tcW w:w="1815" w:type="dxa"/>
            <w:gridSpan w:val="2"/>
            <w:vMerge/>
            <w:tcBorders>
              <w:top w:val="single" w:sz="4" w:space="0" w:color="auto"/>
              <w:left w:val="nil"/>
              <w:bottom w:val="nil"/>
              <w:right w:val="nil"/>
            </w:tcBorders>
            <w:vAlign w:val="center"/>
            <w:hideMark/>
          </w:tcPr>
          <w:p w:rsidR="006B10C4" w:rsidRPr="00942766" w:rsidRDefault="006B10C4" w:rsidP="00080173">
            <w:pPr>
              <w:jc w:val="center"/>
              <w:rPr>
                <w:rFonts w:eastAsia="Times New Roman"/>
                <w:b/>
                <w:bCs/>
                <w:color w:val="000000"/>
                <w:sz w:val="22"/>
                <w:szCs w:val="22"/>
              </w:rPr>
            </w:pPr>
          </w:p>
        </w:tc>
        <w:tc>
          <w:tcPr>
            <w:tcW w:w="1592" w:type="dxa"/>
            <w:tcBorders>
              <w:top w:val="nil"/>
              <w:left w:val="nil"/>
              <w:bottom w:val="nil"/>
              <w:right w:val="nil"/>
            </w:tcBorders>
            <w:shd w:val="clear" w:color="auto" w:fill="auto"/>
            <w:vAlign w:val="center"/>
            <w:hideMark/>
          </w:tcPr>
          <w:p w:rsidR="006B10C4" w:rsidRPr="00942766" w:rsidRDefault="00B2413F" w:rsidP="002833D4">
            <w:pPr>
              <w:jc w:val="center"/>
              <w:rPr>
                <w:rFonts w:eastAsia="Times New Roman"/>
                <w:b/>
                <w:bCs/>
                <w:color w:val="000000"/>
                <w:sz w:val="22"/>
                <w:szCs w:val="22"/>
              </w:rPr>
            </w:pPr>
            <w:r w:rsidRPr="00942766">
              <w:rPr>
                <w:rFonts w:eastAsia="Times New Roman"/>
                <w:b/>
                <w:bCs/>
                <w:color w:val="000000"/>
                <w:sz w:val="22"/>
                <w:szCs w:val="22"/>
              </w:rPr>
              <w:t>Mean diff</w:t>
            </w:r>
          </w:p>
        </w:tc>
        <w:tc>
          <w:tcPr>
            <w:tcW w:w="1712" w:type="dxa"/>
            <w:gridSpan w:val="2"/>
            <w:tcBorders>
              <w:top w:val="nil"/>
              <w:left w:val="nil"/>
              <w:bottom w:val="nil"/>
              <w:right w:val="nil"/>
            </w:tcBorders>
            <w:shd w:val="clear" w:color="000000" w:fill="FFFFFF"/>
            <w:vAlign w:val="center"/>
            <w:hideMark/>
          </w:tcPr>
          <w:p w:rsidR="006B10C4" w:rsidRPr="00942766" w:rsidRDefault="006B10C4" w:rsidP="002833D4">
            <w:pPr>
              <w:jc w:val="center"/>
              <w:rPr>
                <w:rFonts w:eastAsia="Times New Roman"/>
                <w:b/>
                <w:bCs/>
                <w:color w:val="000000"/>
                <w:sz w:val="22"/>
                <w:szCs w:val="22"/>
              </w:rPr>
            </w:pPr>
          </w:p>
        </w:tc>
      </w:tr>
      <w:tr w:rsidR="00525861" w:rsidRPr="00942766" w:rsidTr="00B2413F">
        <w:trPr>
          <w:trHeight w:val="320"/>
        </w:trPr>
        <w:tc>
          <w:tcPr>
            <w:tcW w:w="1975" w:type="dxa"/>
            <w:vMerge/>
            <w:tcBorders>
              <w:top w:val="single" w:sz="4" w:space="0" w:color="auto"/>
              <w:left w:val="nil"/>
              <w:bottom w:val="single" w:sz="4" w:space="0" w:color="000000"/>
              <w:right w:val="single" w:sz="8" w:space="0" w:color="auto"/>
            </w:tcBorders>
            <w:vAlign w:val="center"/>
            <w:hideMark/>
          </w:tcPr>
          <w:p w:rsidR="00344D5B" w:rsidRPr="00942766" w:rsidRDefault="00344D5B" w:rsidP="00DF2FD0">
            <w:pPr>
              <w:rPr>
                <w:rFonts w:eastAsia="Times New Roman"/>
                <w:b/>
                <w:bCs/>
                <w:color w:val="000000"/>
                <w:sz w:val="22"/>
                <w:szCs w:val="22"/>
              </w:rPr>
            </w:pPr>
          </w:p>
        </w:tc>
        <w:tc>
          <w:tcPr>
            <w:tcW w:w="1002" w:type="dxa"/>
            <w:tcBorders>
              <w:top w:val="nil"/>
              <w:left w:val="single" w:sz="8" w:space="0" w:color="auto"/>
              <w:bottom w:val="single" w:sz="4" w:space="0" w:color="auto"/>
              <w:right w:val="nil"/>
            </w:tcBorders>
            <w:shd w:val="clear" w:color="000000" w:fill="FFFFFF"/>
            <w:noWrap/>
            <w:vAlign w:val="center"/>
            <w:hideMark/>
          </w:tcPr>
          <w:p w:rsidR="00344D5B" w:rsidRPr="00942766" w:rsidRDefault="00344D5B" w:rsidP="002833D4">
            <w:pPr>
              <w:jc w:val="center"/>
              <w:rPr>
                <w:rFonts w:eastAsia="Times New Roman"/>
                <w:color w:val="000000"/>
                <w:sz w:val="22"/>
                <w:szCs w:val="22"/>
              </w:rPr>
            </w:pPr>
            <w:r w:rsidRPr="00942766">
              <w:rPr>
                <w:rFonts w:eastAsia="Times New Roman"/>
                <w:color w:val="000000"/>
                <w:sz w:val="22"/>
                <w:szCs w:val="22"/>
              </w:rPr>
              <w:t>Mean</w:t>
            </w:r>
          </w:p>
        </w:tc>
        <w:tc>
          <w:tcPr>
            <w:tcW w:w="1135" w:type="dxa"/>
            <w:tcBorders>
              <w:top w:val="nil"/>
              <w:left w:val="nil"/>
              <w:bottom w:val="single" w:sz="4" w:space="0" w:color="auto"/>
              <w:right w:val="nil"/>
            </w:tcBorders>
            <w:shd w:val="clear" w:color="000000" w:fill="FFFFFF"/>
            <w:noWrap/>
            <w:vAlign w:val="center"/>
            <w:hideMark/>
          </w:tcPr>
          <w:p w:rsidR="00344D5B" w:rsidRPr="00942766" w:rsidRDefault="00344D5B" w:rsidP="002833D4">
            <w:pPr>
              <w:jc w:val="center"/>
              <w:rPr>
                <w:rFonts w:eastAsia="Times New Roman"/>
                <w:color w:val="000000"/>
                <w:sz w:val="22"/>
                <w:szCs w:val="22"/>
              </w:rPr>
            </w:pPr>
            <w:r w:rsidRPr="00942766">
              <w:rPr>
                <w:rFonts w:eastAsia="Times New Roman"/>
                <w:color w:val="000000"/>
                <w:sz w:val="22"/>
                <w:szCs w:val="22"/>
              </w:rPr>
              <w:t>(SD.)</w:t>
            </w:r>
          </w:p>
        </w:tc>
        <w:tc>
          <w:tcPr>
            <w:tcW w:w="928" w:type="dxa"/>
            <w:tcBorders>
              <w:top w:val="nil"/>
              <w:left w:val="nil"/>
              <w:bottom w:val="single" w:sz="4" w:space="0" w:color="auto"/>
              <w:right w:val="nil"/>
            </w:tcBorders>
            <w:shd w:val="clear" w:color="000000" w:fill="FFFFFF"/>
            <w:noWrap/>
            <w:vAlign w:val="center"/>
            <w:hideMark/>
          </w:tcPr>
          <w:p w:rsidR="00344D5B" w:rsidRPr="00942766" w:rsidRDefault="00344D5B" w:rsidP="002833D4">
            <w:pPr>
              <w:jc w:val="center"/>
              <w:rPr>
                <w:rFonts w:eastAsia="Times New Roman"/>
                <w:color w:val="000000"/>
                <w:sz w:val="22"/>
                <w:szCs w:val="22"/>
              </w:rPr>
            </w:pPr>
            <w:r w:rsidRPr="00942766">
              <w:rPr>
                <w:rFonts w:eastAsia="Times New Roman"/>
                <w:color w:val="000000"/>
                <w:sz w:val="22"/>
                <w:szCs w:val="22"/>
              </w:rPr>
              <w:t>Mean</w:t>
            </w:r>
          </w:p>
        </w:tc>
        <w:tc>
          <w:tcPr>
            <w:tcW w:w="1126" w:type="dxa"/>
            <w:tcBorders>
              <w:top w:val="nil"/>
              <w:left w:val="nil"/>
              <w:bottom w:val="single" w:sz="4" w:space="0" w:color="auto"/>
              <w:right w:val="nil"/>
            </w:tcBorders>
            <w:shd w:val="clear" w:color="000000" w:fill="FFFFFF"/>
            <w:noWrap/>
            <w:vAlign w:val="center"/>
            <w:hideMark/>
          </w:tcPr>
          <w:p w:rsidR="00344D5B" w:rsidRPr="00942766" w:rsidRDefault="00344D5B" w:rsidP="002833D4">
            <w:pPr>
              <w:jc w:val="center"/>
              <w:rPr>
                <w:rFonts w:eastAsia="Times New Roman"/>
                <w:color w:val="000000"/>
                <w:sz w:val="22"/>
                <w:szCs w:val="22"/>
              </w:rPr>
            </w:pPr>
            <w:r w:rsidRPr="00942766">
              <w:rPr>
                <w:rFonts w:eastAsia="Times New Roman"/>
                <w:color w:val="000000"/>
                <w:sz w:val="22"/>
                <w:szCs w:val="22"/>
              </w:rPr>
              <w:t>(SD)</w:t>
            </w:r>
          </w:p>
        </w:tc>
        <w:tc>
          <w:tcPr>
            <w:tcW w:w="1031" w:type="dxa"/>
            <w:tcBorders>
              <w:top w:val="nil"/>
              <w:left w:val="nil"/>
              <w:bottom w:val="single" w:sz="4" w:space="0" w:color="auto"/>
              <w:right w:val="nil"/>
            </w:tcBorders>
            <w:shd w:val="clear" w:color="000000" w:fill="FFFFFF"/>
            <w:noWrap/>
            <w:vAlign w:val="center"/>
            <w:hideMark/>
          </w:tcPr>
          <w:p w:rsidR="00344D5B" w:rsidRPr="00942766" w:rsidRDefault="00344D5B" w:rsidP="002833D4">
            <w:pPr>
              <w:jc w:val="center"/>
              <w:rPr>
                <w:rFonts w:eastAsia="Times New Roman"/>
                <w:color w:val="000000"/>
                <w:sz w:val="22"/>
                <w:szCs w:val="22"/>
              </w:rPr>
            </w:pPr>
            <w:r w:rsidRPr="00942766">
              <w:rPr>
                <w:rFonts w:eastAsia="Times New Roman"/>
                <w:color w:val="000000"/>
                <w:sz w:val="22"/>
                <w:szCs w:val="22"/>
              </w:rPr>
              <w:t>Mean</w:t>
            </w:r>
          </w:p>
        </w:tc>
        <w:tc>
          <w:tcPr>
            <w:tcW w:w="1262" w:type="dxa"/>
            <w:tcBorders>
              <w:top w:val="nil"/>
              <w:left w:val="nil"/>
              <w:bottom w:val="single" w:sz="4" w:space="0" w:color="auto"/>
              <w:right w:val="nil"/>
            </w:tcBorders>
            <w:shd w:val="clear" w:color="000000" w:fill="FFFFFF"/>
            <w:noWrap/>
            <w:vAlign w:val="center"/>
            <w:hideMark/>
          </w:tcPr>
          <w:p w:rsidR="00344D5B" w:rsidRPr="00942766" w:rsidRDefault="00344D5B" w:rsidP="002833D4">
            <w:pPr>
              <w:jc w:val="center"/>
              <w:rPr>
                <w:rFonts w:eastAsia="Times New Roman"/>
                <w:color w:val="000000"/>
                <w:sz w:val="22"/>
                <w:szCs w:val="22"/>
              </w:rPr>
            </w:pPr>
            <w:r w:rsidRPr="00942766">
              <w:rPr>
                <w:rFonts w:eastAsia="Times New Roman"/>
                <w:color w:val="000000"/>
                <w:sz w:val="22"/>
                <w:szCs w:val="22"/>
              </w:rPr>
              <w:t>(SD)</w:t>
            </w:r>
          </w:p>
        </w:tc>
        <w:tc>
          <w:tcPr>
            <w:tcW w:w="980" w:type="dxa"/>
            <w:tcBorders>
              <w:top w:val="nil"/>
              <w:left w:val="nil"/>
              <w:bottom w:val="single" w:sz="4" w:space="0" w:color="auto"/>
              <w:right w:val="nil"/>
            </w:tcBorders>
            <w:shd w:val="clear" w:color="000000" w:fill="FFFFFF"/>
            <w:noWrap/>
            <w:vAlign w:val="center"/>
            <w:hideMark/>
          </w:tcPr>
          <w:p w:rsidR="00344D5B" w:rsidRPr="00942766" w:rsidRDefault="00344D5B" w:rsidP="002833D4">
            <w:pPr>
              <w:jc w:val="center"/>
              <w:rPr>
                <w:rFonts w:eastAsia="Times New Roman"/>
                <w:color w:val="000000"/>
                <w:sz w:val="22"/>
                <w:szCs w:val="22"/>
              </w:rPr>
            </w:pPr>
            <w:r w:rsidRPr="00942766">
              <w:rPr>
                <w:rFonts w:eastAsia="Times New Roman"/>
                <w:color w:val="000000"/>
                <w:sz w:val="22"/>
                <w:szCs w:val="22"/>
              </w:rPr>
              <w:t>Mean</w:t>
            </w:r>
          </w:p>
        </w:tc>
        <w:tc>
          <w:tcPr>
            <w:tcW w:w="1126" w:type="dxa"/>
            <w:tcBorders>
              <w:top w:val="nil"/>
              <w:left w:val="nil"/>
              <w:bottom w:val="single" w:sz="4" w:space="0" w:color="auto"/>
              <w:right w:val="nil"/>
            </w:tcBorders>
            <w:shd w:val="clear" w:color="000000" w:fill="FFFFFF"/>
            <w:noWrap/>
            <w:vAlign w:val="center"/>
            <w:hideMark/>
          </w:tcPr>
          <w:p w:rsidR="00344D5B" w:rsidRPr="00942766" w:rsidRDefault="00344D5B" w:rsidP="002833D4">
            <w:pPr>
              <w:jc w:val="center"/>
              <w:rPr>
                <w:rFonts w:eastAsia="Times New Roman"/>
                <w:color w:val="000000"/>
                <w:sz w:val="22"/>
                <w:szCs w:val="22"/>
              </w:rPr>
            </w:pPr>
            <w:r w:rsidRPr="00942766">
              <w:rPr>
                <w:rFonts w:eastAsia="Times New Roman"/>
                <w:color w:val="000000"/>
                <w:sz w:val="22"/>
                <w:szCs w:val="22"/>
              </w:rPr>
              <w:t>(SD.)</w:t>
            </w:r>
          </w:p>
        </w:tc>
        <w:tc>
          <w:tcPr>
            <w:tcW w:w="836" w:type="dxa"/>
            <w:tcBorders>
              <w:top w:val="nil"/>
              <w:left w:val="nil"/>
              <w:bottom w:val="single" w:sz="4" w:space="0" w:color="auto"/>
              <w:right w:val="nil"/>
            </w:tcBorders>
            <w:shd w:val="clear" w:color="000000" w:fill="FFFFFF"/>
            <w:noWrap/>
            <w:vAlign w:val="center"/>
            <w:hideMark/>
          </w:tcPr>
          <w:p w:rsidR="00344D5B" w:rsidRPr="00942766" w:rsidRDefault="00344D5B" w:rsidP="002833D4">
            <w:pPr>
              <w:jc w:val="center"/>
              <w:rPr>
                <w:rFonts w:eastAsia="Times New Roman"/>
                <w:color w:val="000000"/>
                <w:sz w:val="22"/>
                <w:szCs w:val="22"/>
              </w:rPr>
            </w:pPr>
            <w:r w:rsidRPr="00942766">
              <w:rPr>
                <w:rFonts w:eastAsia="Times New Roman"/>
                <w:color w:val="000000"/>
                <w:sz w:val="22"/>
                <w:szCs w:val="22"/>
              </w:rPr>
              <w:t>Mean</w:t>
            </w:r>
          </w:p>
        </w:tc>
        <w:tc>
          <w:tcPr>
            <w:tcW w:w="979" w:type="dxa"/>
            <w:tcBorders>
              <w:top w:val="nil"/>
              <w:left w:val="nil"/>
              <w:bottom w:val="single" w:sz="4" w:space="0" w:color="auto"/>
              <w:right w:val="nil"/>
            </w:tcBorders>
            <w:shd w:val="clear" w:color="000000" w:fill="FFFFFF"/>
            <w:noWrap/>
            <w:vAlign w:val="center"/>
            <w:hideMark/>
          </w:tcPr>
          <w:p w:rsidR="00344D5B" w:rsidRPr="00942766" w:rsidRDefault="00344D5B" w:rsidP="002833D4">
            <w:pPr>
              <w:jc w:val="center"/>
              <w:rPr>
                <w:rFonts w:eastAsia="Times New Roman"/>
                <w:color w:val="000000"/>
                <w:sz w:val="22"/>
                <w:szCs w:val="22"/>
              </w:rPr>
            </w:pPr>
            <w:r w:rsidRPr="00942766">
              <w:rPr>
                <w:rFonts w:eastAsia="Times New Roman"/>
                <w:color w:val="000000"/>
                <w:sz w:val="22"/>
                <w:szCs w:val="22"/>
              </w:rPr>
              <w:t>(SD)</w:t>
            </w:r>
          </w:p>
        </w:tc>
        <w:tc>
          <w:tcPr>
            <w:tcW w:w="1592" w:type="dxa"/>
            <w:tcBorders>
              <w:top w:val="nil"/>
              <w:left w:val="nil"/>
              <w:bottom w:val="single" w:sz="4" w:space="0" w:color="auto"/>
              <w:right w:val="nil"/>
            </w:tcBorders>
            <w:shd w:val="clear" w:color="000000" w:fill="FFFFFF"/>
            <w:noWrap/>
            <w:vAlign w:val="center"/>
            <w:hideMark/>
          </w:tcPr>
          <w:p w:rsidR="00344D5B" w:rsidRPr="00942766" w:rsidRDefault="00344D5B" w:rsidP="002833D4">
            <w:pPr>
              <w:jc w:val="center"/>
              <w:rPr>
                <w:rFonts w:eastAsia="Times New Roman"/>
                <w:color w:val="000000"/>
                <w:sz w:val="22"/>
                <w:szCs w:val="22"/>
              </w:rPr>
            </w:pPr>
            <w:r w:rsidRPr="00942766">
              <w:rPr>
                <w:rFonts w:eastAsia="Times New Roman"/>
                <w:color w:val="000000"/>
                <w:sz w:val="22"/>
                <w:szCs w:val="22"/>
              </w:rPr>
              <w:t xml:space="preserve">(Bootstrap SE) </w:t>
            </w:r>
          </w:p>
        </w:tc>
        <w:tc>
          <w:tcPr>
            <w:tcW w:w="1712" w:type="dxa"/>
            <w:gridSpan w:val="2"/>
            <w:tcBorders>
              <w:top w:val="nil"/>
              <w:left w:val="nil"/>
              <w:bottom w:val="single" w:sz="4" w:space="0" w:color="auto"/>
              <w:right w:val="nil"/>
            </w:tcBorders>
            <w:shd w:val="clear" w:color="000000" w:fill="FFFFFF"/>
            <w:noWrap/>
            <w:vAlign w:val="center"/>
          </w:tcPr>
          <w:p w:rsidR="00344D5B" w:rsidRPr="00942766" w:rsidRDefault="00344D5B" w:rsidP="002833D4">
            <w:pPr>
              <w:jc w:val="center"/>
              <w:rPr>
                <w:rFonts w:eastAsia="Times New Roman"/>
                <w:color w:val="000000"/>
                <w:sz w:val="22"/>
                <w:szCs w:val="22"/>
              </w:rPr>
            </w:pPr>
          </w:p>
        </w:tc>
      </w:tr>
      <w:tr w:rsidR="00525861" w:rsidRPr="00942766" w:rsidTr="00B2413F">
        <w:trPr>
          <w:trHeight w:val="320"/>
        </w:trPr>
        <w:tc>
          <w:tcPr>
            <w:tcW w:w="1975" w:type="dxa"/>
            <w:tcBorders>
              <w:top w:val="nil"/>
              <w:left w:val="nil"/>
              <w:bottom w:val="nil"/>
              <w:right w:val="single" w:sz="8" w:space="0" w:color="auto"/>
            </w:tcBorders>
            <w:shd w:val="clear" w:color="000000" w:fill="FFFFFF"/>
            <w:noWrap/>
            <w:vAlign w:val="center"/>
            <w:hideMark/>
          </w:tcPr>
          <w:p w:rsidR="006B10C4" w:rsidRPr="00942766" w:rsidRDefault="006B10C4" w:rsidP="00DF2FD0">
            <w:pPr>
              <w:rPr>
                <w:rFonts w:eastAsia="Times New Roman"/>
                <w:b/>
                <w:bCs/>
                <w:color w:val="000000"/>
                <w:sz w:val="22"/>
                <w:szCs w:val="22"/>
              </w:rPr>
            </w:pPr>
            <w:r w:rsidRPr="00942766">
              <w:rPr>
                <w:rFonts w:eastAsia="Times New Roman"/>
                <w:b/>
                <w:bCs/>
                <w:color w:val="000000"/>
                <w:sz w:val="22"/>
                <w:szCs w:val="22"/>
              </w:rPr>
              <w:t xml:space="preserve">Hospital   </w:t>
            </w:r>
          </w:p>
          <w:p w:rsidR="006B10C4" w:rsidRPr="00942766" w:rsidRDefault="006B10C4" w:rsidP="00DF2FD0">
            <w:pPr>
              <w:rPr>
                <w:rFonts w:eastAsia="Times New Roman"/>
                <w:b/>
                <w:bCs/>
                <w:color w:val="000000"/>
                <w:sz w:val="22"/>
                <w:szCs w:val="22"/>
              </w:rPr>
            </w:pPr>
            <w:r w:rsidRPr="00942766">
              <w:rPr>
                <w:rFonts w:eastAsia="Times New Roman"/>
                <w:b/>
                <w:bCs/>
                <w:color w:val="000000"/>
                <w:sz w:val="22"/>
                <w:szCs w:val="22"/>
              </w:rPr>
              <w:t xml:space="preserve">     Outpatient </w:t>
            </w:r>
          </w:p>
        </w:tc>
        <w:tc>
          <w:tcPr>
            <w:tcW w:w="1002" w:type="dxa"/>
            <w:tcBorders>
              <w:top w:val="nil"/>
              <w:left w:val="single" w:sz="8" w:space="0" w:color="auto"/>
              <w:bottom w:val="nil"/>
              <w:right w:val="nil"/>
            </w:tcBorders>
            <w:shd w:val="clear" w:color="000000" w:fill="FFFFFF"/>
            <w:noWrap/>
            <w:vAlign w:val="center"/>
            <w:hideMark/>
          </w:tcPr>
          <w:p w:rsidR="006B10C4" w:rsidRPr="00942766" w:rsidRDefault="006B10C4" w:rsidP="00080173">
            <w:pPr>
              <w:jc w:val="center"/>
              <w:rPr>
                <w:rFonts w:eastAsia="Times New Roman"/>
                <w:b/>
                <w:bCs/>
                <w:color w:val="000000"/>
                <w:sz w:val="20"/>
                <w:szCs w:val="20"/>
              </w:rPr>
            </w:pPr>
            <w:r w:rsidRPr="00942766">
              <w:rPr>
                <w:rFonts w:eastAsia="Times New Roman"/>
                <w:b/>
                <w:bCs/>
                <w:color w:val="000000"/>
                <w:sz w:val="20"/>
                <w:szCs w:val="20"/>
              </w:rPr>
              <w:t>168.94</w:t>
            </w:r>
          </w:p>
        </w:tc>
        <w:tc>
          <w:tcPr>
            <w:tcW w:w="1135"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b/>
                <w:bCs/>
                <w:color w:val="000000"/>
                <w:sz w:val="20"/>
                <w:szCs w:val="20"/>
              </w:rPr>
            </w:pPr>
            <w:r w:rsidRPr="00942766">
              <w:rPr>
                <w:rFonts w:eastAsia="Times New Roman"/>
                <w:b/>
                <w:bCs/>
                <w:color w:val="000000"/>
                <w:sz w:val="20"/>
                <w:szCs w:val="20"/>
              </w:rPr>
              <w:t>(330.48)</w:t>
            </w:r>
          </w:p>
        </w:tc>
        <w:tc>
          <w:tcPr>
            <w:tcW w:w="928"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b/>
                <w:bCs/>
                <w:color w:val="000000"/>
                <w:sz w:val="20"/>
                <w:szCs w:val="20"/>
              </w:rPr>
            </w:pPr>
            <w:r w:rsidRPr="00942766">
              <w:rPr>
                <w:rFonts w:eastAsia="Times New Roman"/>
                <w:b/>
                <w:bCs/>
                <w:color w:val="000000"/>
                <w:sz w:val="20"/>
                <w:szCs w:val="20"/>
              </w:rPr>
              <w:t>125.11</w:t>
            </w:r>
          </w:p>
        </w:tc>
        <w:tc>
          <w:tcPr>
            <w:tcW w:w="1126"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b/>
                <w:bCs/>
                <w:color w:val="000000"/>
                <w:sz w:val="20"/>
                <w:szCs w:val="20"/>
              </w:rPr>
            </w:pPr>
            <w:r w:rsidRPr="00942766">
              <w:rPr>
                <w:rFonts w:eastAsia="Times New Roman"/>
                <w:b/>
                <w:bCs/>
                <w:color w:val="000000"/>
                <w:sz w:val="20"/>
                <w:szCs w:val="20"/>
              </w:rPr>
              <w:t>(274.74)</w:t>
            </w:r>
          </w:p>
        </w:tc>
        <w:tc>
          <w:tcPr>
            <w:tcW w:w="1031"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b/>
                <w:bCs/>
                <w:color w:val="000000"/>
                <w:sz w:val="20"/>
                <w:szCs w:val="20"/>
              </w:rPr>
            </w:pPr>
            <w:r w:rsidRPr="00942766">
              <w:rPr>
                <w:rFonts w:eastAsia="Times New Roman"/>
                <w:b/>
                <w:bCs/>
                <w:color w:val="000000"/>
                <w:sz w:val="20"/>
                <w:szCs w:val="20"/>
              </w:rPr>
              <w:t>202.96</w:t>
            </w:r>
          </w:p>
        </w:tc>
        <w:tc>
          <w:tcPr>
            <w:tcW w:w="1262"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b/>
                <w:bCs/>
                <w:color w:val="000000"/>
                <w:sz w:val="20"/>
                <w:szCs w:val="20"/>
              </w:rPr>
            </w:pPr>
            <w:r w:rsidRPr="00942766">
              <w:rPr>
                <w:rFonts w:eastAsia="Times New Roman"/>
                <w:b/>
                <w:bCs/>
                <w:color w:val="000000"/>
                <w:sz w:val="20"/>
                <w:szCs w:val="20"/>
              </w:rPr>
              <w:t>(693.85)</w:t>
            </w:r>
          </w:p>
        </w:tc>
        <w:tc>
          <w:tcPr>
            <w:tcW w:w="980"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b/>
                <w:bCs/>
                <w:color w:val="000000"/>
                <w:sz w:val="20"/>
                <w:szCs w:val="20"/>
              </w:rPr>
            </w:pPr>
            <w:r w:rsidRPr="00942766">
              <w:rPr>
                <w:rFonts w:eastAsia="Times New Roman"/>
                <w:b/>
                <w:bCs/>
                <w:color w:val="000000"/>
                <w:sz w:val="20"/>
                <w:szCs w:val="20"/>
              </w:rPr>
              <w:t>168.85</w:t>
            </w:r>
          </w:p>
        </w:tc>
        <w:tc>
          <w:tcPr>
            <w:tcW w:w="1126"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b/>
                <w:bCs/>
                <w:color w:val="000000"/>
                <w:sz w:val="20"/>
                <w:szCs w:val="20"/>
              </w:rPr>
            </w:pPr>
            <w:r w:rsidRPr="00942766">
              <w:rPr>
                <w:rFonts w:eastAsia="Times New Roman"/>
                <w:b/>
                <w:bCs/>
                <w:color w:val="000000"/>
                <w:sz w:val="20"/>
                <w:szCs w:val="20"/>
              </w:rPr>
              <w:t>(461.30)</w:t>
            </w:r>
          </w:p>
        </w:tc>
        <w:tc>
          <w:tcPr>
            <w:tcW w:w="836"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b/>
                <w:bCs/>
                <w:color w:val="000000"/>
                <w:sz w:val="20"/>
                <w:szCs w:val="20"/>
              </w:rPr>
            </w:pPr>
            <w:r w:rsidRPr="00942766">
              <w:rPr>
                <w:rFonts w:eastAsia="Times New Roman"/>
                <w:b/>
                <w:bCs/>
                <w:color w:val="000000"/>
                <w:sz w:val="20"/>
                <w:szCs w:val="20"/>
              </w:rPr>
              <w:t>141.19</w:t>
            </w:r>
          </w:p>
        </w:tc>
        <w:tc>
          <w:tcPr>
            <w:tcW w:w="979"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b/>
                <w:bCs/>
                <w:color w:val="000000"/>
                <w:sz w:val="20"/>
                <w:szCs w:val="20"/>
              </w:rPr>
            </w:pPr>
            <w:r w:rsidRPr="00942766">
              <w:rPr>
                <w:rFonts w:eastAsia="Times New Roman"/>
                <w:b/>
                <w:bCs/>
                <w:color w:val="000000"/>
                <w:sz w:val="20"/>
                <w:szCs w:val="20"/>
              </w:rPr>
              <w:t>(307.21)</w:t>
            </w:r>
          </w:p>
        </w:tc>
        <w:tc>
          <w:tcPr>
            <w:tcW w:w="1592" w:type="dxa"/>
            <w:tcBorders>
              <w:top w:val="nil"/>
              <w:left w:val="nil"/>
              <w:bottom w:val="nil"/>
              <w:right w:val="nil"/>
            </w:tcBorders>
            <w:shd w:val="clear" w:color="000000" w:fill="FFFFFF"/>
            <w:noWrap/>
            <w:vAlign w:val="center"/>
            <w:hideMark/>
          </w:tcPr>
          <w:p w:rsidR="006B10C4" w:rsidRPr="00942766" w:rsidRDefault="006B10C4" w:rsidP="002833D4">
            <w:pPr>
              <w:jc w:val="center"/>
              <w:rPr>
                <w:rFonts w:eastAsia="Times New Roman"/>
                <w:b/>
                <w:bCs/>
                <w:color w:val="000000"/>
                <w:sz w:val="20"/>
                <w:szCs w:val="20"/>
              </w:rPr>
            </w:pPr>
            <w:r w:rsidRPr="00942766">
              <w:rPr>
                <w:rFonts w:eastAsia="Times New Roman"/>
                <w:b/>
                <w:bCs/>
                <w:color w:val="000000"/>
                <w:sz w:val="20"/>
                <w:szCs w:val="20"/>
              </w:rPr>
              <w:t>27.66 (76.15)</w:t>
            </w:r>
          </w:p>
        </w:tc>
        <w:tc>
          <w:tcPr>
            <w:tcW w:w="1712" w:type="dxa"/>
            <w:gridSpan w:val="2"/>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b/>
                <w:bCs/>
                <w:color w:val="000000"/>
                <w:sz w:val="20"/>
                <w:szCs w:val="20"/>
              </w:rPr>
            </w:pPr>
            <w:r w:rsidRPr="00942766">
              <w:rPr>
                <w:rFonts w:eastAsia="Times New Roman"/>
                <w:b/>
                <w:bCs/>
                <w:color w:val="000000"/>
                <w:sz w:val="20"/>
                <w:szCs w:val="20"/>
              </w:rPr>
              <w:t>-121.60 to 176.92</w:t>
            </w:r>
          </w:p>
        </w:tc>
      </w:tr>
      <w:tr w:rsidR="00525861" w:rsidRPr="00942766" w:rsidTr="00B2413F">
        <w:trPr>
          <w:trHeight w:val="320"/>
        </w:trPr>
        <w:tc>
          <w:tcPr>
            <w:tcW w:w="1975" w:type="dxa"/>
            <w:tcBorders>
              <w:top w:val="nil"/>
              <w:left w:val="nil"/>
              <w:bottom w:val="nil"/>
              <w:right w:val="single" w:sz="8" w:space="0" w:color="auto"/>
            </w:tcBorders>
            <w:shd w:val="clear" w:color="000000" w:fill="FFFFFF"/>
            <w:noWrap/>
            <w:vAlign w:val="center"/>
            <w:hideMark/>
          </w:tcPr>
          <w:p w:rsidR="006B10C4" w:rsidRPr="00942766" w:rsidRDefault="00344D5B" w:rsidP="00DF2FD0">
            <w:pPr>
              <w:rPr>
                <w:rFonts w:eastAsia="Times New Roman"/>
                <w:color w:val="000000"/>
                <w:sz w:val="22"/>
                <w:szCs w:val="22"/>
              </w:rPr>
            </w:pPr>
            <w:r w:rsidRPr="00942766">
              <w:rPr>
                <w:rFonts w:eastAsia="Times New Roman"/>
                <w:color w:val="000000"/>
                <w:sz w:val="22"/>
                <w:szCs w:val="22"/>
              </w:rPr>
              <w:t xml:space="preserve">       </w:t>
            </w:r>
            <w:r w:rsidR="00EB7698" w:rsidRPr="00942766">
              <w:rPr>
                <w:rFonts w:eastAsia="Times New Roman"/>
                <w:color w:val="000000"/>
                <w:sz w:val="22"/>
                <w:szCs w:val="22"/>
              </w:rPr>
              <w:t xml:space="preserve">        </w:t>
            </w:r>
            <w:r w:rsidR="006B10C4" w:rsidRPr="00942766">
              <w:rPr>
                <w:rFonts w:eastAsia="Times New Roman"/>
                <w:color w:val="000000"/>
                <w:sz w:val="22"/>
                <w:szCs w:val="22"/>
              </w:rPr>
              <w:t>No UNHS</w:t>
            </w:r>
          </w:p>
        </w:tc>
        <w:tc>
          <w:tcPr>
            <w:tcW w:w="1002" w:type="dxa"/>
            <w:tcBorders>
              <w:top w:val="nil"/>
              <w:left w:val="single" w:sz="8" w:space="0" w:color="auto"/>
              <w:bottom w:val="nil"/>
              <w:right w:val="nil"/>
            </w:tcBorders>
            <w:shd w:val="clear" w:color="000000" w:fill="FFFFFF"/>
            <w:noWrap/>
            <w:vAlign w:val="center"/>
            <w:hideMark/>
          </w:tcPr>
          <w:p w:rsidR="006B10C4" w:rsidRPr="00942766" w:rsidRDefault="006B10C4" w:rsidP="00080173">
            <w:pPr>
              <w:jc w:val="center"/>
              <w:rPr>
                <w:rFonts w:eastAsia="Times New Roman"/>
                <w:color w:val="000000"/>
                <w:sz w:val="20"/>
                <w:szCs w:val="20"/>
              </w:rPr>
            </w:pPr>
            <w:r w:rsidRPr="00942766">
              <w:rPr>
                <w:rFonts w:eastAsia="Times New Roman"/>
                <w:color w:val="000000"/>
                <w:sz w:val="20"/>
                <w:szCs w:val="20"/>
              </w:rPr>
              <w:t>238.57</w:t>
            </w:r>
          </w:p>
        </w:tc>
        <w:tc>
          <w:tcPr>
            <w:tcW w:w="1135"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color w:val="000000"/>
                <w:sz w:val="20"/>
                <w:szCs w:val="20"/>
              </w:rPr>
            </w:pPr>
            <w:r w:rsidRPr="00942766">
              <w:rPr>
                <w:rFonts w:eastAsia="Times New Roman"/>
                <w:color w:val="000000"/>
                <w:sz w:val="20"/>
                <w:szCs w:val="20"/>
              </w:rPr>
              <w:t>(383.15)</w:t>
            </w:r>
          </w:p>
        </w:tc>
        <w:tc>
          <w:tcPr>
            <w:tcW w:w="928"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color w:val="000000"/>
                <w:sz w:val="20"/>
                <w:szCs w:val="20"/>
              </w:rPr>
            </w:pPr>
            <w:r w:rsidRPr="00942766">
              <w:rPr>
                <w:rFonts w:eastAsia="Times New Roman"/>
                <w:color w:val="000000"/>
                <w:sz w:val="20"/>
                <w:szCs w:val="20"/>
              </w:rPr>
              <w:t>85.00</w:t>
            </w:r>
          </w:p>
        </w:tc>
        <w:tc>
          <w:tcPr>
            <w:tcW w:w="1126"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color w:val="000000"/>
                <w:sz w:val="20"/>
                <w:szCs w:val="20"/>
              </w:rPr>
            </w:pPr>
            <w:r w:rsidRPr="00942766">
              <w:rPr>
                <w:rFonts w:eastAsia="Times New Roman"/>
                <w:color w:val="000000"/>
                <w:sz w:val="20"/>
                <w:szCs w:val="20"/>
              </w:rPr>
              <w:t>(191.79)</w:t>
            </w:r>
          </w:p>
        </w:tc>
        <w:tc>
          <w:tcPr>
            <w:tcW w:w="1031"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color w:val="000000"/>
                <w:sz w:val="20"/>
                <w:szCs w:val="20"/>
              </w:rPr>
            </w:pPr>
            <w:r w:rsidRPr="00942766">
              <w:rPr>
                <w:rFonts w:eastAsia="Times New Roman"/>
                <w:color w:val="000000"/>
                <w:sz w:val="20"/>
                <w:szCs w:val="20"/>
              </w:rPr>
              <w:t>60.00</w:t>
            </w:r>
          </w:p>
        </w:tc>
        <w:tc>
          <w:tcPr>
            <w:tcW w:w="1262"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color w:val="000000"/>
                <w:sz w:val="20"/>
                <w:szCs w:val="20"/>
              </w:rPr>
            </w:pPr>
            <w:r w:rsidRPr="00942766">
              <w:rPr>
                <w:rFonts w:eastAsia="Times New Roman"/>
                <w:color w:val="000000"/>
                <w:sz w:val="20"/>
                <w:szCs w:val="20"/>
              </w:rPr>
              <w:t>(224.50)</w:t>
            </w:r>
          </w:p>
        </w:tc>
        <w:tc>
          <w:tcPr>
            <w:tcW w:w="980"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color w:val="000000"/>
                <w:sz w:val="20"/>
                <w:szCs w:val="20"/>
              </w:rPr>
            </w:pPr>
            <w:r w:rsidRPr="00942766">
              <w:rPr>
                <w:rFonts w:eastAsia="Times New Roman"/>
                <w:color w:val="000000"/>
                <w:sz w:val="20"/>
                <w:szCs w:val="20"/>
              </w:rPr>
              <w:t>132.37</w:t>
            </w:r>
          </w:p>
        </w:tc>
        <w:tc>
          <w:tcPr>
            <w:tcW w:w="1126"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color w:val="000000"/>
                <w:sz w:val="20"/>
                <w:szCs w:val="20"/>
              </w:rPr>
            </w:pPr>
            <w:r w:rsidRPr="00942766">
              <w:rPr>
                <w:rFonts w:eastAsia="Times New Roman"/>
                <w:color w:val="000000"/>
                <w:sz w:val="20"/>
                <w:szCs w:val="20"/>
              </w:rPr>
              <w:t>(291.70)</w:t>
            </w:r>
          </w:p>
        </w:tc>
        <w:tc>
          <w:tcPr>
            <w:tcW w:w="836"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color w:val="000000"/>
                <w:sz w:val="20"/>
                <w:szCs w:val="20"/>
              </w:rPr>
            </w:pPr>
          </w:p>
        </w:tc>
        <w:tc>
          <w:tcPr>
            <w:tcW w:w="979"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color w:val="000000"/>
                <w:sz w:val="20"/>
                <w:szCs w:val="20"/>
              </w:rPr>
            </w:pPr>
          </w:p>
        </w:tc>
        <w:tc>
          <w:tcPr>
            <w:tcW w:w="1592" w:type="dxa"/>
            <w:tcBorders>
              <w:top w:val="nil"/>
              <w:left w:val="nil"/>
              <w:bottom w:val="nil"/>
              <w:right w:val="nil"/>
            </w:tcBorders>
            <w:shd w:val="clear" w:color="000000" w:fill="FFFFFF"/>
            <w:noWrap/>
            <w:vAlign w:val="center"/>
            <w:hideMark/>
          </w:tcPr>
          <w:p w:rsidR="006B10C4" w:rsidRPr="00942766" w:rsidRDefault="006B10C4" w:rsidP="002833D4">
            <w:pPr>
              <w:jc w:val="center"/>
              <w:rPr>
                <w:rFonts w:eastAsia="Times New Roman"/>
                <w:b/>
                <w:bCs/>
                <w:color w:val="000000"/>
                <w:sz w:val="20"/>
                <w:szCs w:val="20"/>
              </w:rPr>
            </w:pPr>
          </w:p>
        </w:tc>
        <w:tc>
          <w:tcPr>
            <w:tcW w:w="816"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b/>
                <w:bCs/>
                <w:color w:val="000000"/>
                <w:sz w:val="20"/>
                <w:szCs w:val="20"/>
              </w:rPr>
            </w:pPr>
          </w:p>
        </w:tc>
        <w:tc>
          <w:tcPr>
            <w:tcW w:w="896"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b/>
                <w:bCs/>
                <w:color w:val="000000"/>
                <w:sz w:val="20"/>
                <w:szCs w:val="20"/>
              </w:rPr>
            </w:pPr>
          </w:p>
        </w:tc>
      </w:tr>
      <w:tr w:rsidR="00525861" w:rsidRPr="00942766" w:rsidTr="00B2413F">
        <w:trPr>
          <w:trHeight w:val="320"/>
        </w:trPr>
        <w:tc>
          <w:tcPr>
            <w:tcW w:w="1975" w:type="dxa"/>
            <w:tcBorders>
              <w:top w:val="nil"/>
              <w:left w:val="nil"/>
              <w:bottom w:val="nil"/>
              <w:right w:val="single" w:sz="8" w:space="0" w:color="auto"/>
            </w:tcBorders>
            <w:shd w:val="clear" w:color="000000" w:fill="FFFFFF"/>
            <w:noWrap/>
            <w:vAlign w:val="center"/>
            <w:hideMark/>
          </w:tcPr>
          <w:p w:rsidR="006B10C4" w:rsidRPr="00942766" w:rsidRDefault="00344D5B" w:rsidP="00DF2FD0">
            <w:pPr>
              <w:rPr>
                <w:rFonts w:eastAsia="Times New Roman"/>
                <w:color w:val="000000"/>
                <w:sz w:val="22"/>
                <w:szCs w:val="22"/>
              </w:rPr>
            </w:pPr>
            <w:r w:rsidRPr="00942766">
              <w:rPr>
                <w:rFonts w:eastAsia="Times New Roman"/>
                <w:color w:val="000000"/>
                <w:sz w:val="22"/>
                <w:szCs w:val="22"/>
              </w:rPr>
              <w:t xml:space="preserve">             </w:t>
            </w:r>
            <w:r w:rsidR="00EB7698" w:rsidRPr="00942766">
              <w:rPr>
                <w:rFonts w:eastAsia="Times New Roman"/>
                <w:color w:val="000000"/>
                <w:sz w:val="22"/>
                <w:szCs w:val="22"/>
              </w:rPr>
              <w:t xml:space="preserve">        </w:t>
            </w:r>
            <w:r w:rsidR="006B10C4" w:rsidRPr="00942766">
              <w:rPr>
                <w:rFonts w:eastAsia="Times New Roman"/>
                <w:color w:val="000000"/>
                <w:sz w:val="22"/>
                <w:szCs w:val="22"/>
              </w:rPr>
              <w:t>UNHS</w:t>
            </w:r>
          </w:p>
        </w:tc>
        <w:tc>
          <w:tcPr>
            <w:tcW w:w="1002" w:type="dxa"/>
            <w:tcBorders>
              <w:top w:val="nil"/>
              <w:left w:val="single" w:sz="8" w:space="0" w:color="auto"/>
              <w:bottom w:val="nil"/>
              <w:right w:val="nil"/>
            </w:tcBorders>
            <w:shd w:val="clear" w:color="000000" w:fill="FFFFFF"/>
            <w:noWrap/>
            <w:vAlign w:val="center"/>
            <w:hideMark/>
          </w:tcPr>
          <w:p w:rsidR="006B10C4" w:rsidRPr="00942766" w:rsidRDefault="006B10C4" w:rsidP="00080173">
            <w:pPr>
              <w:jc w:val="center"/>
              <w:rPr>
                <w:rFonts w:eastAsia="Times New Roman"/>
                <w:color w:val="000000"/>
                <w:sz w:val="20"/>
                <w:szCs w:val="20"/>
              </w:rPr>
            </w:pPr>
            <w:r w:rsidRPr="00942766">
              <w:rPr>
                <w:rFonts w:eastAsia="Times New Roman"/>
                <w:color w:val="000000"/>
                <w:sz w:val="20"/>
                <w:szCs w:val="20"/>
              </w:rPr>
              <w:t>114.78</w:t>
            </w:r>
          </w:p>
        </w:tc>
        <w:tc>
          <w:tcPr>
            <w:tcW w:w="1135"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color w:val="000000"/>
                <w:sz w:val="20"/>
                <w:szCs w:val="20"/>
              </w:rPr>
            </w:pPr>
            <w:r w:rsidRPr="00942766">
              <w:rPr>
                <w:rFonts w:eastAsia="Times New Roman"/>
                <w:color w:val="000000"/>
                <w:sz w:val="20"/>
                <w:szCs w:val="20"/>
              </w:rPr>
              <w:t>(282.50)</w:t>
            </w:r>
          </w:p>
        </w:tc>
        <w:tc>
          <w:tcPr>
            <w:tcW w:w="928"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color w:val="000000"/>
                <w:sz w:val="20"/>
                <w:szCs w:val="20"/>
              </w:rPr>
            </w:pPr>
            <w:r w:rsidRPr="00942766">
              <w:rPr>
                <w:rFonts w:eastAsia="Times New Roman"/>
                <w:color w:val="000000"/>
                <w:sz w:val="20"/>
                <w:szCs w:val="20"/>
              </w:rPr>
              <w:t>175.25</w:t>
            </w:r>
          </w:p>
        </w:tc>
        <w:tc>
          <w:tcPr>
            <w:tcW w:w="1126"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color w:val="000000"/>
                <w:sz w:val="20"/>
                <w:szCs w:val="20"/>
              </w:rPr>
            </w:pPr>
            <w:r w:rsidRPr="00942766">
              <w:rPr>
                <w:rFonts w:eastAsia="Times New Roman"/>
                <w:color w:val="000000"/>
                <w:sz w:val="20"/>
                <w:szCs w:val="20"/>
              </w:rPr>
              <w:t>(361.72)</w:t>
            </w:r>
          </w:p>
        </w:tc>
        <w:tc>
          <w:tcPr>
            <w:tcW w:w="1031"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color w:val="000000"/>
                <w:sz w:val="20"/>
                <w:szCs w:val="20"/>
              </w:rPr>
            </w:pPr>
            <w:r w:rsidRPr="00942766">
              <w:rPr>
                <w:rFonts w:eastAsia="Times New Roman"/>
                <w:color w:val="000000"/>
                <w:sz w:val="20"/>
                <w:szCs w:val="20"/>
              </w:rPr>
              <w:t>425.33</w:t>
            </w:r>
          </w:p>
        </w:tc>
        <w:tc>
          <w:tcPr>
            <w:tcW w:w="1262"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color w:val="000000"/>
                <w:sz w:val="20"/>
                <w:szCs w:val="20"/>
              </w:rPr>
            </w:pPr>
            <w:r w:rsidRPr="00942766">
              <w:rPr>
                <w:rFonts w:eastAsia="Times New Roman"/>
                <w:color w:val="000000"/>
                <w:sz w:val="20"/>
                <w:szCs w:val="20"/>
              </w:rPr>
              <w:t>(1,072.67)</w:t>
            </w:r>
          </w:p>
        </w:tc>
        <w:tc>
          <w:tcPr>
            <w:tcW w:w="980"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color w:val="000000"/>
                <w:sz w:val="20"/>
                <w:szCs w:val="20"/>
              </w:rPr>
            </w:pPr>
            <w:r w:rsidRPr="00942766">
              <w:rPr>
                <w:rFonts w:eastAsia="Times New Roman"/>
                <w:color w:val="000000"/>
                <w:sz w:val="20"/>
                <w:szCs w:val="20"/>
              </w:rPr>
              <w:t>208.46</w:t>
            </w:r>
          </w:p>
        </w:tc>
        <w:tc>
          <w:tcPr>
            <w:tcW w:w="1126"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color w:val="000000"/>
                <w:sz w:val="20"/>
                <w:szCs w:val="20"/>
              </w:rPr>
            </w:pPr>
            <w:r w:rsidRPr="00942766">
              <w:rPr>
                <w:rFonts w:eastAsia="Times New Roman"/>
                <w:color w:val="000000"/>
                <w:sz w:val="20"/>
                <w:szCs w:val="20"/>
              </w:rPr>
              <w:t>(595.76)</w:t>
            </w:r>
          </w:p>
        </w:tc>
        <w:tc>
          <w:tcPr>
            <w:tcW w:w="836"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color w:val="000000"/>
                <w:sz w:val="20"/>
                <w:szCs w:val="20"/>
              </w:rPr>
            </w:pPr>
          </w:p>
        </w:tc>
        <w:tc>
          <w:tcPr>
            <w:tcW w:w="979"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color w:val="000000"/>
                <w:sz w:val="20"/>
                <w:szCs w:val="20"/>
              </w:rPr>
            </w:pPr>
          </w:p>
        </w:tc>
        <w:tc>
          <w:tcPr>
            <w:tcW w:w="1592" w:type="dxa"/>
            <w:tcBorders>
              <w:top w:val="nil"/>
              <w:left w:val="nil"/>
              <w:bottom w:val="nil"/>
              <w:right w:val="nil"/>
            </w:tcBorders>
            <w:shd w:val="clear" w:color="000000" w:fill="FFFFFF"/>
            <w:noWrap/>
            <w:vAlign w:val="center"/>
            <w:hideMark/>
          </w:tcPr>
          <w:p w:rsidR="006B10C4" w:rsidRPr="00942766" w:rsidRDefault="006B10C4" w:rsidP="002833D4">
            <w:pPr>
              <w:jc w:val="center"/>
              <w:rPr>
                <w:rFonts w:eastAsia="Times New Roman"/>
                <w:b/>
                <w:bCs/>
                <w:color w:val="000000"/>
                <w:sz w:val="20"/>
                <w:szCs w:val="20"/>
              </w:rPr>
            </w:pPr>
          </w:p>
        </w:tc>
        <w:tc>
          <w:tcPr>
            <w:tcW w:w="816"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b/>
                <w:bCs/>
                <w:color w:val="000000"/>
                <w:sz w:val="20"/>
                <w:szCs w:val="20"/>
              </w:rPr>
            </w:pPr>
          </w:p>
        </w:tc>
        <w:tc>
          <w:tcPr>
            <w:tcW w:w="896"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b/>
                <w:bCs/>
                <w:color w:val="000000"/>
                <w:sz w:val="20"/>
                <w:szCs w:val="20"/>
              </w:rPr>
            </w:pPr>
          </w:p>
        </w:tc>
      </w:tr>
      <w:tr w:rsidR="00344D5B" w:rsidRPr="00942766" w:rsidTr="00080173">
        <w:trPr>
          <w:trHeight w:val="320"/>
        </w:trPr>
        <w:tc>
          <w:tcPr>
            <w:tcW w:w="1975" w:type="dxa"/>
            <w:tcBorders>
              <w:top w:val="nil"/>
              <w:left w:val="nil"/>
              <w:bottom w:val="nil"/>
              <w:right w:val="single" w:sz="8" w:space="0" w:color="auto"/>
            </w:tcBorders>
            <w:shd w:val="clear" w:color="000000" w:fill="FFFFFF"/>
            <w:noWrap/>
            <w:vAlign w:val="center"/>
            <w:hideMark/>
          </w:tcPr>
          <w:p w:rsidR="006B10C4" w:rsidRPr="00942766" w:rsidRDefault="006B10C4" w:rsidP="00DF2FD0">
            <w:pPr>
              <w:rPr>
                <w:rFonts w:eastAsia="Times New Roman"/>
                <w:b/>
                <w:bCs/>
                <w:color w:val="000000"/>
                <w:sz w:val="22"/>
                <w:szCs w:val="22"/>
              </w:rPr>
            </w:pPr>
            <w:r w:rsidRPr="00942766">
              <w:rPr>
                <w:rFonts w:eastAsia="Times New Roman"/>
                <w:b/>
                <w:bCs/>
                <w:color w:val="000000"/>
                <w:sz w:val="22"/>
                <w:szCs w:val="22"/>
              </w:rPr>
              <w:t>Hospital</w:t>
            </w:r>
          </w:p>
          <w:p w:rsidR="006B10C4" w:rsidRPr="00942766" w:rsidRDefault="006B10C4" w:rsidP="00DF2FD0">
            <w:pPr>
              <w:rPr>
                <w:rFonts w:eastAsia="Times New Roman"/>
                <w:b/>
                <w:bCs/>
                <w:color w:val="000000"/>
                <w:sz w:val="22"/>
                <w:szCs w:val="22"/>
              </w:rPr>
            </w:pPr>
            <w:r w:rsidRPr="00942766">
              <w:rPr>
                <w:rFonts w:eastAsia="Times New Roman"/>
                <w:b/>
                <w:bCs/>
                <w:color w:val="000000"/>
                <w:sz w:val="22"/>
                <w:szCs w:val="22"/>
              </w:rPr>
              <w:t xml:space="preserve">        Inpatient</w:t>
            </w:r>
          </w:p>
        </w:tc>
        <w:tc>
          <w:tcPr>
            <w:tcW w:w="1002" w:type="dxa"/>
            <w:tcBorders>
              <w:top w:val="nil"/>
              <w:left w:val="single" w:sz="8" w:space="0" w:color="auto"/>
              <w:bottom w:val="nil"/>
              <w:right w:val="nil"/>
            </w:tcBorders>
            <w:shd w:val="clear" w:color="000000" w:fill="FFFFFF"/>
            <w:noWrap/>
            <w:vAlign w:val="center"/>
            <w:hideMark/>
          </w:tcPr>
          <w:p w:rsidR="006B10C4" w:rsidRPr="00942766" w:rsidRDefault="006B10C4" w:rsidP="00080173">
            <w:pPr>
              <w:jc w:val="center"/>
              <w:rPr>
                <w:rFonts w:eastAsia="Times New Roman"/>
                <w:b/>
                <w:bCs/>
                <w:color w:val="000000"/>
                <w:sz w:val="20"/>
                <w:szCs w:val="20"/>
              </w:rPr>
            </w:pPr>
            <w:r w:rsidRPr="00942766">
              <w:rPr>
                <w:rFonts w:eastAsia="Times New Roman"/>
                <w:b/>
                <w:bCs/>
                <w:color w:val="000000"/>
                <w:sz w:val="20"/>
                <w:szCs w:val="20"/>
              </w:rPr>
              <w:t>165.59</w:t>
            </w:r>
          </w:p>
        </w:tc>
        <w:tc>
          <w:tcPr>
            <w:tcW w:w="1135"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b/>
                <w:bCs/>
                <w:color w:val="000000"/>
                <w:sz w:val="20"/>
                <w:szCs w:val="20"/>
              </w:rPr>
            </w:pPr>
            <w:r w:rsidRPr="00942766">
              <w:rPr>
                <w:rFonts w:eastAsia="Times New Roman"/>
                <w:b/>
                <w:bCs/>
                <w:color w:val="000000"/>
                <w:sz w:val="20"/>
                <w:szCs w:val="20"/>
              </w:rPr>
              <w:t>(712.58)</w:t>
            </w:r>
          </w:p>
        </w:tc>
        <w:tc>
          <w:tcPr>
            <w:tcW w:w="2054" w:type="dxa"/>
            <w:gridSpan w:val="2"/>
            <w:tcBorders>
              <w:top w:val="nil"/>
              <w:left w:val="nil"/>
              <w:bottom w:val="nil"/>
              <w:right w:val="nil"/>
            </w:tcBorders>
            <w:shd w:val="clear" w:color="000000" w:fill="FFFFFF"/>
            <w:noWrap/>
            <w:vAlign w:val="center"/>
            <w:hideMark/>
          </w:tcPr>
          <w:p w:rsidR="006B10C4" w:rsidRPr="00942766" w:rsidRDefault="006B10C4" w:rsidP="002833D4">
            <w:pPr>
              <w:jc w:val="center"/>
              <w:rPr>
                <w:rFonts w:eastAsia="Times New Roman"/>
                <w:b/>
                <w:bCs/>
                <w:color w:val="000000"/>
                <w:sz w:val="20"/>
                <w:szCs w:val="20"/>
              </w:rPr>
            </w:pPr>
            <w:r w:rsidRPr="00942766">
              <w:rPr>
                <w:rFonts w:eastAsia="Times New Roman"/>
                <w:b/>
                <w:bCs/>
                <w:color w:val="000000"/>
                <w:sz w:val="20"/>
                <w:szCs w:val="20"/>
              </w:rPr>
              <w:t>-</w:t>
            </w:r>
          </w:p>
        </w:tc>
        <w:tc>
          <w:tcPr>
            <w:tcW w:w="1031"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b/>
                <w:bCs/>
                <w:color w:val="000000"/>
                <w:sz w:val="20"/>
                <w:szCs w:val="20"/>
              </w:rPr>
            </w:pPr>
            <w:r w:rsidRPr="00942766">
              <w:rPr>
                <w:rFonts w:eastAsia="Times New Roman"/>
                <w:b/>
                <w:bCs/>
                <w:color w:val="000000"/>
                <w:sz w:val="20"/>
                <w:szCs w:val="20"/>
              </w:rPr>
              <w:t>65.83</w:t>
            </w:r>
          </w:p>
        </w:tc>
        <w:tc>
          <w:tcPr>
            <w:tcW w:w="1262"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b/>
                <w:bCs/>
                <w:color w:val="000000"/>
                <w:sz w:val="20"/>
                <w:szCs w:val="20"/>
              </w:rPr>
            </w:pPr>
            <w:r w:rsidRPr="00942766">
              <w:rPr>
                <w:rFonts w:eastAsia="Times New Roman"/>
                <w:b/>
                <w:bCs/>
                <w:color w:val="000000"/>
                <w:sz w:val="20"/>
                <w:szCs w:val="20"/>
              </w:rPr>
              <w:t>(218.09)</w:t>
            </w:r>
          </w:p>
        </w:tc>
        <w:tc>
          <w:tcPr>
            <w:tcW w:w="980"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b/>
                <w:bCs/>
                <w:color w:val="000000"/>
                <w:sz w:val="20"/>
                <w:szCs w:val="20"/>
              </w:rPr>
            </w:pPr>
            <w:r w:rsidRPr="00942766">
              <w:rPr>
                <w:rFonts w:eastAsia="Times New Roman"/>
                <w:b/>
                <w:bCs/>
                <w:color w:val="000000"/>
                <w:sz w:val="20"/>
                <w:szCs w:val="20"/>
              </w:rPr>
              <w:t>93.33</w:t>
            </w:r>
          </w:p>
        </w:tc>
        <w:tc>
          <w:tcPr>
            <w:tcW w:w="1126"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b/>
                <w:bCs/>
                <w:color w:val="000000"/>
                <w:sz w:val="20"/>
                <w:szCs w:val="20"/>
              </w:rPr>
            </w:pPr>
            <w:r w:rsidRPr="00942766">
              <w:rPr>
                <w:rFonts w:eastAsia="Times New Roman"/>
                <w:b/>
                <w:bCs/>
                <w:color w:val="000000"/>
                <w:sz w:val="20"/>
                <w:szCs w:val="20"/>
              </w:rPr>
              <w:t>(487.75)</w:t>
            </w:r>
          </w:p>
        </w:tc>
        <w:tc>
          <w:tcPr>
            <w:tcW w:w="1815" w:type="dxa"/>
            <w:gridSpan w:val="2"/>
            <w:tcBorders>
              <w:top w:val="nil"/>
              <w:left w:val="nil"/>
              <w:bottom w:val="nil"/>
              <w:right w:val="nil"/>
            </w:tcBorders>
            <w:shd w:val="clear" w:color="000000" w:fill="FFFFFF"/>
            <w:noWrap/>
            <w:vAlign w:val="center"/>
            <w:hideMark/>
          </w:tcPr>
          <w:p w:rsidR="006B10C4" w:rsidRPr="00942766" w:rsidRDefault="006B10C4" w:rsidP="002833D4">
            <w:pPr>
              <w:jc w:val="center"/>
              <w:rPr>
                <w:rFonts w:eastAsia="Times New Roman"/>
                <w:b/>
                <w:bCs/>
                <w:color w:val="000000"/>
                <w:sz w:val="20"/>
                <w:szCs w:val="20"/>
              </w:rPr>
            </w:pPr>
            <w:r w:rsidRPr="00942766">
              <w:rPr>
                <w:rFonts w:eastAsia="Times New Roman"/>
                <w:b/>
                <w:bCs/>
                <w:color w:val="000000"/>
                <w:sz w:val="20"/>
                <w:szCs w:val="20"/>
              </w:rPr>
              <w:t>-</w:t>
            </w:r>
          </w:p>
        </w:tc>
        <w:tc>
          <w:tcPr>
            <w:tcW w:w="1592" w:type="dxa"/>
            <w:tcBorders>
              <w:top w:val="nil"/>
              <w:left w:val="nil"/>
              <w:bottom w:val="nil"/>
              <w:right w:val="nil"/>
            </w:tcBorders>
            <w:shd w:val="clear" w:color="000000" w:fill="FFFFFF"/>
            <w:noWrap/>
            <w:vAlign w:val="center"/>
            <w:hideMark/>
          </w:tcPr>
          <w:p w:rsidR="006B10C4" w:rsidRPr="00942766" w:rsidRDefault="006B10C4" w:rsidP="002833D4">
            <w:pPr>
              <w:jc w:val="center"/>
              <w:rPr>
                <w:rFonts w:eastAsia="Times New Roman"/>
                <w:b/>
                <w:bCs/>
                <w:color w:val="000000"/>
                <w:sz w:val="20"/>
                <w:szCs w:val="20"/>
              </w:rPr>
            </w:pPr>
            <w:r w:rsidRPr="00942766">
              <w:rPr>
                <w:rFonts w:eastAsia="Times New Roman"/>
                <w:b/>
                <w:bCs/>
                <w:color w:val="000000"/>
                <w:sz w:val="20"/>
                <w:szCs w:val="20"/>
              </w:rPr>
              <w:t>93.33 (60.86)</w:t>
            </w:r>
          </w:p>
        </w:tc>
        <w:tc>
          <w:tcPr>
            <w:tcW w:w="1712" w:type="dxa"/>
            <w:gridSpan w:val="2"/>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b/>
                <w:bCs/>
                <w:color w:val="000000"/>
                <w:sz w:val="20"/>
                <w:szCs w:val="20"/>
              </w:rPr>
            </w:pPr>
            <w:r w:rsidRPr="00942766">
              <w:rPr>
                <w:rFonts w:eastAsia="Times New Roman"/>
                <w:b/>
                <w:bCs/>
                <w:color w:val="000000"/>
                <w:sz w:val="20"/>
                <w:szCs w:val="20"/>
              </w:rPr>
              <w:t>-25.96 to 212.61</w:t>
            </w:r>
          </w:p>
        </w:tc>
      </w:tr>
      <w:tr w:rsidR="00525861" w:rsidRPr="00942766" w:rsidTr="00B2413F">
        <w:trPr>
          <w:trHeight w:val="320"/>
        </w:trPr>
        <w:tc>
          <w:tcPr>
            <w:tcW w:w="1975" w:type="dxa"/>
            <w:tcBorders>
              <w:top w:val="nil"/>
              <w:left w:val="nil"/>
              <w:bottom w:val="nil"/>
              <w:right w:val="single" w:sz="8" w:space="0" w:color="auto"/>
            </w:tcBorders>
            <w:shd w:val="clear" w:color="000000" w:fill="FFFFFF"/>
            <w:noWrap/>
            <w:vAlign w:val="center"/>
            <w:hideMark/>
          </w:tcPr>
          <w:p w:rsidR="006B10C4" w:rsidRPr="00942766" w:rsidRDefault="00344D5B" w:rsidP="00DF2FD0">
            <w:pPr>
              <w:rPr>
                <w:rFonts w:eastAsia="Times New Roman"/>
                <w:color w:val="000000"/>
                <w:sz w:val="22"/>
                <w:szCs w:val="22"/>
              </w:rPr>
            </w:pPr>
            <w:r w:rsidRPr="00942766">
              <w:rPr>
                <w:rFonts w:eastAsia="Times New Roman"/>
                <w:color w:val="000000"/>
                <w:sz w:val="22"/>
                <w:szCs w:val="22"/>
              </w:rPr>
              <w:t xml:space="preserve">       </w:t>
            </w:r>
            <w:r w:rsidR="00EB7698" w:rsidRPr="00942766">
              <w:rPr>
                <w:rFonts w:eastAsia="Times New Roman"/>
                <w:color w:val="000000"/>
                <w:sz w:val="22"/>
                <w:szCs w:val="22"/>
              </w:rPr>
              <w:t xml:space="preserve">        </w:t>
            </w:r>
            <w:r w:rsidR="006B10C4" w:rsidRPr="00942766">
              <w:rPr>
                <w:rFonts w:eastAsia="Times New Roman"/>
                <w:color w:val="000000"/>
                <w:sz w:val="22"/>
                <w:szCs w:val="22"/>
              </w:rPr>
              <w:t>No UNHS</w:t>
            </w:r>
          </w:p>
        </w:tc>
        <w:tc>
          <w:tcPr>
            <w:tcW w:w="1002" w:type="dxa"/>
            <w:tcBorders>
              <w:top w:val="nil"/>
              <w:left w:val="single" w:sz="8" w:space="0" w:color="auto"/>
              <w:bottom w:val="nil"/>
              <w:right w:val="nil"/>
            </w:tcBorders>
            <w:shd w:val="clear" w:color="000000" w:fill="FFFFFF"/>
            <w:noWrap/>
            <w:vAlign w:val="center"/>
            <w:hideMark/>
          </w:tcPr>
          <w:p w:rsidR="006B10C4" w:rsidRPr="00942766" w:rsidRDefault="006B10C4" w:rsidP="00080173">
            <w:pPr>
              <w:jc w:val="center"/>
              <w:rPr>
                <w:rFonts w:eastAsia="Times New Roman"/>
                <w:color w:val="000000"/>
                <w:sz w:val="20"/>
                <w:szCs w:val="20"/>
              </w:rPr>
            </w:pPr>
            <w:r w:rsidRPr="00942766">
              <w:rPr>
                <w:rFonts w:eastAsia="Times New Roman"/>
                <w:color w:val="000000"/>
                <w:sz w:val="20"/>
                <w:szCs w:val="20"/>
              </w:rPr>
              <w:t>108.14</w:t>
            </w:r>
          </w:p>
        </w:tc>
        <w:tc>
          <w:tcPr>
            <w:tcW w:w="1135"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color w:val="000000"/>
                <w:sz w:val="20"/>
                <w:szCs w:val="20"/>
              </w:rPr>
            </w:pPr>
            <w:r w:rsidRPr="00942766">
              <w:rPr>
                <w:rFonts w:eastAsia="Times New Roman"/>
                <w:color w:val="000000"/>
                <w:sz w:val="20"/>
                <w:szCs w:val="20"/>
              </w:rPr>
              <w:t>(404.63)</w:t>
            </w:r>
          </w:p>
        </w:tc>
        <w:tc>
          <w:tcPr>
            <w:tcW w:w="928"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color w:val="000000"/>
                <w:sz w:val="20"/>
                <w:szCs w:val="20"/>
              </w:rPr>
            </w:pPr>
          </w:p>
        </w:tc>
        <w:tc>
          <w:tcPr>
            <w:tcW w:w="1126"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color w:val="000000"/>
                <w:sz w:val="20"/>
                <w:szCs w:val="20"/>
              </w:rPr>
            </w:pPr>
          </w:p>
        </w:tc>
        <w:tc>
          <w:tcPr>
            <w:tcW w:w="1031"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color w:val="000000"/>
                <w:sz w:val="20"/>
                <w:szCs w:val="20"/>
              </w:rPr>
            </w:pPr>
            <w:r w:rsidRPr="00942766">
              <w:rPr>
                <w:rFonts w:eastAsia="Times New Roman"/>
                <w:color w:val="000000"/>
                <w:sz w:val="20"/>
                <w:szCs w:val="20"/>
              </w:rPr>
              <w:t>54.07</w:t>
            </w:r>
          </w:p>
        </w:tc>
        <w:tc>
          <w:tcPr>
            <w:tcW w:w="1262"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color w:val="000000"/>
                <w:sz w:val="20"/>
                <w:szCs w:val="20"/>
              </w:rPr>
            </w:pPr>
            <w:r w:rsidRPr="00942766">
              <w:rPr>
                <w:rFonts w:eastAsia="Times New Roman"/>
                <w:color w:val="000000"/>
                <w:sz w:val="20"/>
                <w:szCs w:val="20"/>
              </w:rPr>
              <w:t>(202.32)</w:t>
            </w:r>
          </w:p>
        </w:tc>
        <w:tc>
          <w:tcPr>
            <w:tcW w:w="980"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color w:val="000000"/>
                <w:sz w:val="20"/>
                <w:szCs w:val="20"/>
              </w:rPr>
            </w:pPr>
            <w:r w:rsidRPr="00942766">
              <w:rPr>
                <w:rFonts w:eastAsia="Times New Roman"/>
                <w:color w:val="000000"/>
                <w:sz w:val="20"/>
                <w:szCs w:val="20"/>
              </w:rPr>
              <w:t>59.76</w:t>
            </w:r>
          </w:p>
        </w:tc>
        <w:tc>
          <w:tcPr>
            <w:tcW w:w="1126"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color w:val="000000"/>
                <w:sz w:val="20"/>
                <w:szCs w:val="20"/>
              </w:rPr>
            </w:pPr>
            <w:r w:rsidRPr="00942766">
              <w:rPr>
                <w:rFonts w:eastAsia="Times New Roman"/>
                <w:color w:val="000000"/>
                <w:sz w:val="20"/>
                <w:szCs w:val="20"/>
              </w:rPr>
              <w:t>(271.61)</w:t>
            </w:r>
          </w:p>
        </w:tc>
        <w:tc>
          <w:tcPr>
            <w:tcW w:w="836"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color w:val="000000"/>
                <w:sz w:val="20"/>
                <w:szCs w:val="20"/>
              </w:rPr>
            </w:pPr>
          </w:p>
        </w:tc>
        <w:tc>
          <w:tcPr>
            <w:tcW w:w="979"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color w:val="000000"/>
                <w:sz w:val="20"/>
                <w:szCs w:val="20"/>
              </w:rPr>
            </w:pPr>
          </w:p>
        </w:tc>
        <w:tc>
          <w:tcPr>
            <w:tcW w:w="1592" w:type="dxa"/>
            <w:tcBorders>
              <w:top w:val="nil"/>
              <w:left w:val="nil"/>
              <w:bottom w:val="nil"/>
              <w:right w:val="nil"/>
            </w:tcBorders>
            <w:shd w:val="clear" w:color="000000" w:fill="FFFFFF"/>
            <w:noWrap/>
            <w:vAlign w:val="center"/>
            <w:hideMark/>
          </w:tcPr>
          <w:p w:rsidR="006B10C4" w:rsidRPr="00942766" w:rsidRDefault="006B10C4" w:rsidP="002833D4">
            <w:pPr>
              <w:jc w:val="center"/>
              <w:rPr>
                <w:rFonts w:eastAsia="Times New Roman"/>
                <w:b/>
                <w:bCs/>
                <w:color w:val="000000"/>
                <w:sz w:val="20"/>
                <w:szCs w:val="20"/>
              </w:rPr>
            </w:pPr>
          </w:p>
        </w:tc>
        <w:tc>
          <w:tcPr>
            <w:tcW w:w="816"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b/>
                <w:bCs/>
                <w:color w:val="000000"/>
                <w:sz w:val="20"/>
                <w:szCs w:val="20"/>
              </w:rPr>
            </w:pPr>
          </w:p>
        </w:tc>
        <w:tc>
          <w:tcPr>
            <w:tcW w:w="896"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b/>
                <w:bCs/>
                <w:color w:val="000000"/>
                <w:sz w:val="20"/>
                <w:szCs w:val="20"/>
              </w:rPr>
            </w:pPr>
          </w:p>
        </w:tc>
      </w:tr>
      <w:tr w:rsidR="00525861" w:rsidRPr="00942766" w:rsidTr="00B2413F">
        <w:trPr>
          <w:trHeight w:val="320"/>
        </w:trPr>
        <w:tc>
          <w:tcPr>
            <w:tcW w:w="1975" w:type="dxa"/>
            <w:tcBorders>
              <w:top w:val="nil"/>
              <w:left w:val="nil"/>
              <w:bottom w:val="nil"/>
              <w:right w:val="single" w:sz="8" w:space="0" w:color="auto"/>
            </w:tcBorders>
            <w:shd w:val="clear" w:color="000000" w:fill="FFFFFF"/>
            <w:noWrap/>
            <w:vAlign w:val="center"/>
            <w:hideMark/>
          </w:tcPr>
          <w:p w:rsidR="006B10C4" w:rsidRPr="00942766" w:rsidRDefault="00344D5B" w:rsidP="00DF2FD0">
            <w:pPr>
              <w:rPr>
                <w:rFonts w:eastAsia="Times New Roman"/>
                <w:color w:val="000000"/>
                <w:sz w:val="22"/>
                <w:szCs w:val="22"/>
              </w:rPr>
            </w:pPr>
            <w:r w:rsidRPr="00942766">
              <w:rPr>
                <w:rFonts w:eastAsia="Times New Roman"/>
                <w:color w:val="000000"/>
                <w:sz w:val="22"/>
                <w:szCs w:val="22"/>
              </w:rPr>
              <w:t xml:space="preserve">             </w:t>
            </w:r>
            <w:r w:rsidR="00EB7698" w:rsidRPr="00942766">
              <w:rPr>
                <w:rFonts w:eastAsia="Times New Roman"/>
                <w:color w:val="000000"/>
                <w:sz w:val="22"/>
                <w:szCs w:val="22"/>
              </w:rPr>
              <w:t xml:space="preserve">        </w:t>
            </w:r>
            <w:r w:rsidR="006B10C4" w:rsidRPr="00942766">
              <w:rPr>
                <w:rFonts w:eastAsia="Times New Roman"/>
                <w:color w:val="000000"/>
                <w:sz w:val="22"/>
                <w:szCs w:val="22"/>
              </w:rPr>
              <w:t>UNHS</w:t>
            </w:r>
          </w:p>
        </w:tc>
        <w:tc>
          <w:tcPr>
            <w:tcW w:w="1002" w:type="dxa"/>
            <w:tcBorders>
              <w:top w:val="nil"/>
              <w:left w:val="single" w:sz="8" w:space="0" w:color="auto"/>
              <w:bottom w:val="nil"/>
              <w:right w:val="nil"/>
            </w:tcBorders>
            <w:shd w:val="clear" w:color="000000" w:fill="FFFFFF"/>
            <w:noWrap/>
            <w:vAlign w:val="center"/>
            <w:hideMark/>
          </w:tcPr>
          <w:p w:rsidR="006B10C4" w:rsidRPr="00942766" w:rsidRDefault="006B10C4" w:rsidP="00080173">
            <w:pPr>
              <w:jc w:val="center"/>
              <w:rPr>
                <w:rFonts w:eastAsia="Times New Roman"/>
                <w:color w:val="000000"/>
                <w:sz w:val="20"/>
                <w:szCs w:val="20"/>
              </w:rPr>
            </w:pPr>
            <w:r w:rsidRPr="00942766">
              <w:rPr>
                <w:rFonts w:eastAsia="Times New Roman"/>
                <w:color w:val="000000"/>
                <w:sz w:val="20"/>
                <w:szCs w:val="20"/>
              </w:rPr>
              <w:t>210.28</w:t>
            </w:r>
          </w:p>
        </w:tc>
        <w:tc>
          <w:tcPr>
            <w:tcW w:w="1135"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color w:val="000000"/>
                <w:sz w:val="20"/>
                <w:szCs w:val="20"/>
              </w:rPr>
            </w:pPr>
            <w:r w:rsidRPr="00942766">
              <w:rPr>
                <w:rFonts w:eastAsia="Times New Roman"/>
                <w:color w:val="000000"/>
                <w:sz w:val="20"/>
                <w:szCs w:val="20"/>
              </w:rPr>
              <w:t>(892.13)</w:t>
            </w:r>
          </w:p>
        </w:tc>
        <w:tc>
          <w:tcPr>
            <w:tcW w:w="928"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color w:val="000000"/>
                <w:sz w:val="20"/>
                <w:szCs w:val="20"/>
              </w:rPr>
            </w:pPr>
          </w:p>
        </w:tc>
        <w:tc>
          <w:tcPr>
            <w:tcW w:w="1126"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color w:val="000000"/>
                <w:sz w:val="20"/>
                <w:szCs w:val="20"/>
              </w:rPr>
            </w:pPr>
          </w:p>
        </w:tc>
        <w:tc>
          <w:tcPr>
            <w:tcW w:w="1031"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color w:val="000000"/>
                <w:sz w:val="20"/>
                <w:szCs w:val="20"/>
              </w:rPr>
            </w:pPr>
            <w:r w:rsidRPr="00942766">
              <w:rPr>
                <w:rFonts w:eastAsia="Times New Roman"/>
                <w:color w:val="000000"/>
                <w:sz w:val="20"/>
                <w:szCs w:val="20"/>
              </w:rPr>
              <w:t>84.11</w:t>
            </w:r>
          </w:p>
        </w:tc>
        <w:tc>
          <w:tcPr>
            <w:tcW w:w="1262"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color w:val="000000"/>
                <w:sz w:val="20"/>
                <w:szCs w:val="20"/>
              </w:rPr>
            </w:pPr>
            <w:r w:rsidRPr="00942766">
              <w:rPr>
                <w:rFonts w:eastAsia="Times New Roman"/>
                <w:color w:val="000000"/>
                <w:sz w:val="20"/>
                <w:szCs w:val="20"/>
              </w:rPr>
              <w:t>(252.33)</w:t>
            </w:r>
          </w:p>
        </w:tc>
        <w:tc>
          <w:tcPr>
            <w:tcW w:w="980"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color w:val="000000"/>
                <w:sz w:val="20"/>
                <w:szCs w:val="20"/>
              </w:rPr>
            </w:pPr>
            <w:r w:rsidRPr="00942766">
              <w:rPr>
                <w:rFonts w:eastAsia="Times New Roman"/>
                <w:color w:val="000000"/>
                <w:sz w:val="20"/>
                <w:szCs w:val="20"/>
              </w:rPr>
              <w:t>129.77</w:t>
            </w:r>
          </w:p>
        </w:tc>
        <w:tc>
          <w:tcPr>
            <w:tcW w:w="1126"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color w:val="000000"/>
                <w:sz w:val="20"/>
                <w:szCs w:val="20"/>
              </w:rPr>
            </w:pPr>
            <w:r w:rsidRPr="00942766">
              <w:rPr>
                <w:rFonts w:eastAsia="Times New Roman"/>
                <w:color w:val="000000"/>
                <w:sz w:val="20"/>
                <w:szCs w:val="20"/>
              </w:rPr>
              <w:t>(648.75)</w:t>
            </w:r>
          </w:p>
        </w:tc>
        <w:tc>
          <w:tcPr>
            <w:tcW w:w="836"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color w:val="000000"/>
                <w:sz w:val="20"/>
                <w:szCs w:val="20"/>
              </w:rPr>
            </w:pPr>
          </w:p>
        </w:tc>
        <w:tc>
          <w:tcPr>
            <w:tcW w:w="979"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color w:val="000000"/>
                <w:sz w:val="20"/>
                <w:szCs w:val="20"/>
              </w:rPr>
            </w:pPr>
          </w:p>
        </w:tc>
        <w:tc>
          <w:tcPr>
            <w:tcW w:w="1592" w:type="dxa"/>
            <w:tcBorders>
              <w:top w:val="nil"/>
              <w:left w:val="nil"/>
              <w:bottom w:val="nil"/>
              <w:right w:val="nil"/>
            </w:tcBorders>
            <w:shd w:val="clear" w:color="000000" w:fill="FFFFFF"/>
            <w:noWrap/>
            <w:vAlign w:val="center"/>
            <w:hideMark/>
          </w:tcPr>
          <w:p w:rsidR="006B10C4" w:rsidRPr="00942766" w:rsidRDefault="006B10C4" w:rsidP="002833D4">
            <w:pPr>
              <w:jc w:val="center"/>
              <w:rPr>
                <w:rFonts w:eastAsia="Times New Roman"/>
                <w:b/>
                <w:bCs/>
                <w:color w:val="000000"/>
                <w:sz w:val="20"/>
                <w:szCs w:val="20"/>
              </w:rPr>
            </w:pPr>
          </w:p>
        </w:tc>
        <w:tc>
          <w:tcPr>
            <w:tcW w:w="816"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b/>
                <w:bCs/>
                <w:color w:val="000000"/>
                <w:sz w:val="20"/>
                <w:szCs w:val="20"/>
              </w:rPr>
            </w:pPr>
          </w:p>
        </w:tc>
        <w:tc>
          <w:tcPr>
            <w:tcW w:w="896"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b/>
                <w:bCs/>
                <w:color w:val="000000"/>
                <w:sz w:val="20"/>
                <w:szCs w:val="20"/>
              </w:rPr>
            </w:pPr>
          </w:p>
        </w:tc>
      </w:tr>
      <w:tr w:rsidR="00525861" w:rsidRPr="00942766" w:rsidTr="00B2413F">
        <w:trPr>
          <w:trHeight w:val="320"/>
        </w:trPr>
        <w:tc>
          <w:tcPr>
            <w:tcW w:w="1975" w:type="dxa"/>
            <w:tcBorders>
              <w:top w:val="nil"/>
              <w:left w:val="nil"/>
              <w:bottom w:val="nil"/>
              <w:right w:val="single" w:sz="8" w:space="0" w:color="auto"/>
            </w:tcBorders>
            <w:shd w:val="clear" w:color="000000" w:fill="FFFFFF"/>
            <w:noWrap/>
            <w:vAlign w:val="center"/>
            <w:hideMark/>
          </w:tcPr>
          <w:p w:rsidR="006B10C4" w:rsidRPr="00942766" w:rsidRDefault="006B10C4" w:rsidP="00DF2FD0">
            <w:pPr>
              <w:rPr>
                <w:rFonts w:eastAsia="Times New Roman"/>
                <w:b/>
                <w:bCs/>
                <w:color w:val="000000"/>
                <w:sz w:val="22"/>
                <w:szCs w:val="22"/>
              </w:rPr>
            </w:pPr>
            <w:r w:rsidRPr="00942766">
              <w:rPr>
                <w:rFonts w:eastAsia="Times New Roman"/>
                <w:b/>
                <w:bCs/>
                <w:color w:val="000000"/>
                <w:sz w:val="22"/>
                <w:szCs w:val="22"/>
              </w:rPr>
              <w:t xml:space="preserve">Cochlear Implant </w:t>
            </w:r>
          </w:p>
        </w:tc>
        <w:tc>
          <w:tcPr>
            <w:tcW w:w="2137" w:type="dxa"/>
            <w:gridSpan w:val="2"/>
            <w:tcBorders>
              <w:top w:val="nil"/>
              <w:left w:val="single" w:sz="8" w:space="0" w:color="auto"/>
              <w:bottom w:val="nil"/>
              <w:right w:val="nil"/>
            </w:tcBorders>
            <w:shd w:val="clear" w:color="000000" w:fill="FFFFFF"/>
            <w:noWrap/>
            <w:vAlign w:val="center"/>
            <w:hideMark/>
          </w:tcPr>
          <w:p w:rsidR="006B10C4" w:rsidRPr="00942766" w:rsidRDefault="006B10C4" w:rsidP="002833D4">
            <w:pPr>
              <w:jc w:val="center"/>
              <w:rPr>
                <w:rFonts w:eastAsia="Times New Roman"/>
                <w:b/>
                <w:bCs/>
                <w:color w:val="000000"/>
                <w:sz w:val="20"/>
                <w:szCs w:val="20"/>
              </w:rPr>
            </w:pPr>
            <w:r w:rsidRPr="00942766">
              <w:rPr>
                <w:rFonts w:eastAsia="Times New Roman"/>
                <w:b/>
                <w:bCs/>
                <w:color w:val="000000"/>
                <w:sz w:val="20"/>
                <w:szCs w:val="20"/>
              </w:rPr>
              <w:t>-</w:t>
            </w:r>
          </w:p>
        </w:tc>
        <w:tc>
          <w:tcPr>
            <w:tcW w:w="2054" w:type="dxa"/>
            <w:gridSpan w:val="2"/>
            <w:tcBorders>
              <w:top w:val="nil"/>
              <w:left w:val="nil"/>
              <w:bottom w:val="nil"/>
              <w:right w:val="nil"/>
            </w:tcBorders>
            <w:shd w:val="clear" w:color="000000" w:fill="FFFFFF"/>
            <w:noWrap/>
            <w:vAlign w:val="center"/>
            <w:hideMark/>
          </w:tcPr>
          <w:p w:rsidR="006B10C4" w:rsidRPr="00942766" w:rsidRDefault="006B10C4" w:rsidP="002833D4">
            <w:pPr>
              <w:jc w:val="center"/>
              <w:rPr>
                <w:rFonts w:eastAsia="Times New Roman"/>
                <w:b/>
                <w:bCs/>
                <w:color w:val="000000"/>
                <w:sz w:val="20"/>
                <w:szCs w:val="20"/>
              </w:rPr>
            </w:pPr>
            <w:r w:rsidRPr="00942766">
              <w:rPr>
                <w:rFonts w:eastAsia="Times New Roman"/>
                <w:b/>
                <w:bCs/>
                <w:color w:val="000000"/>
                <w:sz w:val="20"/>
                <w:szCs w:val="20"/>
              </w:rPr>
              <w:t>-</w:t>
            </w:r>
          </w:p>
        </w:tc>
        <w:tc>
          <w:tcPr>
            <w:tcW w:w="1031"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b/>
                <w:bCs/>
                <w:color w:val="000000"/>
                <w:sz w:val="20"/>
                <w:szCs w:val="20"/>
              </w:rPr>
            </w:pPr>
            <w:r w:rsidRPr="00942766">
              <w:rPr>
                <w:rFonts w:eastAsia="Times New Roman"/>
                <w:b/>
                <w:bCs/>
                <w:color w:val="000000"/>
                <w:sz w:val="20"/>
                <w:szCs w:val="20"/>
              </w:rPr>
              <w:t>2,652.13</w:t>
            </w:r>
          </w:p>
        </w:tc>
        <w:tc>
          <w:tcPr>
            <w:tcW w:w="1262"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b/>
                <w:bCs/>
                <w:color w:val="000000"/>
                <w:sz w:val="20"/>
                <w:szCs w:val="20"/>
              </w:rPr>
            </w:pPr>
            <w:r w:rsidRPr="00942766">
              <w:rPr>
                <w:rFonts w:eastAsia="Times New Roman"/>
                <w:b/>
                <w:bCs/>
                <w:color w:val="000000"/>
                <w:sz w:val="20"/>
                <w:szCs w:val="20"/>
              </w:rPr>
              <w:t>(7,001.67)</w:t>
            </w:r>
          </w:p>
        </w:tc>
        <w:tc>
          <w:tcPr>
            <w:tcW w:w="980"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b/>
                <w:bCs/>
                <w:color w:val="000000"/>
                <w:sz w:val="20"/>
                <w:szCs w:val="20"/>
              </w:rPr>
            </w:pPr>
            <w:r w:rsidRPr="00942766">
              <w:rPr>
                <w:rFonts w:eastAsia="Times New Roman"/>
                <w:b/>
                <w:bCs/>
                <w:color w:val="000000"/>
                <w:sz w:val="20"/>
                <w:szCs w:val="20"/>
              </w:rPr>
              <w:t>835.60</w:t>
            </w:r>
          </w:p>
        </w:tc>
        <w:tc>
          <w:tcPr>
            <w:tcW w:w="1126"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b/>
                <w:bCs/>
                <w:color w:val="000000"/>
                <w:sz w:val="20"/>
                <w:szCs w:val="20"/>
              </w:rPr>
            </w:pPr>
            <w:r w:rsidRPr="00942766">
              <w:rPr>
                <w:rFonts w:eastAsia="Times New Roman"/>
                <w:b/>
                <w:bCs/>
                <w:color w:val="000000"/>
                <w:sz w:val="20"/>
                <w:szCs w:val="20"/>
              </w:rPr>
              <w:t>(4,064.28)</w:t>
            </w:r>
          </w:p>
        </w:tc>
        <w:tc>
          <w:tcPr>
            <w:tcW w:w="1815" w:type="dxa"/>
            <w:gridSpan w:val="2"/>
            <w:tcBorders>
              <w:top w:val="nil"/>
              <w:left w:val="nil"/>
              <w:bottom w:val="nil"/>
              <w:right w:val="nil"/>
            </w:tcBorders>
            <w:shd w:val="clear" w:color="000000" w:fill="FFFFFF"/>
            <w:noWrap/>
            <w:vAlign w:val="center"/>
            <w:hideMark/>
          </w:tcPr>
          <w:p w:rsidR="006B10C4" w:rsidRPr="00942766" w:rsidRDefault="006B10C4" w:rsidP="002833D4">
            <w:pPr>
              <w:jc w:val="center"/>
              <w:rPr>
                <w:rFonts w:eastAsia="Times New Roman"/>
                <w:b/>
                <w:bCs/>
                <w:color w:val="000000"/>
                <w:sz w:val="20"/>
                <w:szCs w:val="20"/>
              </w:rPr>
            </w:pPr>
            <w:r w:rsidRPr="00942766">
              <w:rPr>
                <w:rFonts w:eastAsia="Times New Roman"/>
                <w:b/>
                <w:bCs/>
                <w:color w:val="000000"/>
                <w:sz w:val="20"/>
                <w:szCs w:val="20"/>
              </w:rPr>
              <w:t>-</w:t>
            </w:r>
          </w:p>
        </w:tc>
        <w:tc>
          <w:tcPr>
            <w:tcW w:w="1592" w:type="dxa"/>
            <w:tcBorders>
              <w:top w:val="nil"/>
              <w:left w:val="nil"/>
              <w:bottom w:val="nil"/>
              <w:right w:val="nil"/>
            </w:tcBorders>
            <w:shd w:val="clear" w:color="000000" w:fill="FFFFFF"/>
            <w:noWrap/>
            <w:vAlign w:val="center"/>
            <w:hideMark/>
          </w:tcPr>
          <w:p w:rsidR="006B10C4" w:rsidRPr="00942766" w:rsidRDefault="006B10C4" w:rsidP="002833D4">
            <w:pPr>
              <w:jc w:val="center"/>
              <w:rPr>
                <w:rFonts w:eastAsia="Times New Roman"/>
                <w:b/>
                <w:bCs/>
                <w:color w:val="000000"/>
                <w:sz w:val="20"/>
                <w:szCs w:val="20"/>
              </w:rPr>
            </w:pPr>
            <w:r w:rsidRPr="00942766">
              <w:rPr>
                <w:rFonts w:eastAsia="Times New Roman"/>
                <w:b/>
                <w:bCs/>
                <w:color w:val="000000"/>
                <w:sz w:val="20"/>
                <w:szCs w:val="20"/>
              </w:rPr>
              <w:t>835.6 (415.43)</w:t>
            </w:r>
          </w:p>
        </w:tc>
        <w:tc>
          <w:tcPr>
            <w:tcW w:w="1712" w:type="dxa"/>
            <w:gridSpan w:val="2"/>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b/>
                <w:bCs/>
                <w:color w:val="000000"/>
                <w:sz w:val="20"/>
                <w:szCs w:val="20"/>
              </w:rPr>
            </w:pPr>
            <w:r w:rsidRPr="00942766">
              <w:rPr>
                <w:rFonts w:eastAsia="Times New Roman"/>
                <w:b/>
                <w:bCs/>
                <w:color w:val="000000"/>
                <w:sz w:val="20"/>
                <w:szCs w:val="20"/>
              </w:rPr>
              <w:t>21.37 to 1649.83</w:t>
            </w:r>
          </w:p>
        </w:tc>
      </w:tr>
      <w:tr w:rsidR="00525861" w:rsidRPr="00942766" w:rsidTr="00B2413F">
        <w:trPr>
          <w:trHeight w:val="320"/>
        </w:trPr>
        <w:tc>
          <w:tcPr>
            <w:tcW w:w="1975" w:type="dxa"/>
            <w:tcBorders>
              <w:top w:val="nil"/>
              <w:left w:val="nil"/>
              <w:bottom w:val="nil"/>
              <w:right w:val="single" w:sz="8" w:space="0" w:color="auto"/>
            </w:tcBorders>
            <w:shd w:val="clear" w:color="000000" w:fill="FFFFFF"/>
            <w:noWrap/>
            <w:vAlign w:val="center"/>
            <w:hideMark/>
          </w:tcPr>
          <w:p w:rsidR="006B10C4" w:rsidRPr="00942766" w:rsidRDefault="00EB7698" w:rsidP="00DF2FD0">
            <w:pPr>
              <w:rPr>
                <w:rFonts w:eastAsia="Times New Roman"/>
                <w:color w:val="000000"/>
                <w:sz w:val="22"/>
                <w:szCs w:val="22"/>
              </w:rPr>
            </w:pPr>
            <w:r w:rsidRPr="00942766">
              <w:rPr>
                <w:rFonts w:eastAsia="Times New Roman"/>
                <w:color w:val="000000"/>
                <w:sz w:val="22"/>
                <w:szCs w:val="22"/>
              </w:rPr>
              <w:t xml:space="preserve">               </w:t>
            </w:r>
            <w:r w:rsidR="006B10C4" w:rsidRPr="00942766">
              <w:rPr>
                <w:rFonts w:eastAsia="Times New Roman"/>
                <w:color w:val="000000"/>
                <w:sz w:val="22"/>
                <w:szCs w:val="22"/>
              </w:rPr>
              <w:t>No UNHS</w:t>
            </w:r>
          </w:p>
        </w:tc>
        <w:tc>
          <w:tcPr>
            <w:tcW w:w="1002" w:type="dxa"/>
            <w:tcBorders>
              <w:top w:val="nil"/>
              <w:left w:val="single" w:sz="8" w:space="0" w:color="auto"/>
              <w:bottom w:val="nil"/>
              <w:right w:val="nil"/>
            </w:tcBorders>
            <w:shd w:val="clear" w:color="000000" w:fill="FFFFFF"/>
            <w:noWrap/>
            <w:vAlign w:val="center"/>
            <w:hideMark/>
          </w:tcPr>
          <w:p w:rsidR="006B10C4" w:rsidRPr="00942766" w:rsidRDefault="006B10C4" w:rsidP="00080173">
            <w:pPr>
              <w:jc w:val="center"/>
              <w:rPr>
                <w:rFonts w:eastAsia="Times New Roman"/>
                <w:color w:val="000000"/>
                <w:sz w:val="20"/>
                <w:szCs w:val="20"/>
              </w:rPr>
            </w:pPr>
          </w:p>
        </w:tc>
        <w:tc>
          <w:tcPr>
            <w:tcW w:w="1135"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color w:val="000000"/>
                <w:sz w:val="20"/>
                <w:szCs w:val="20"/>
              </w:rPr>
            </w:pPr>
          </w:p>
        </w:tc>
        <w:tc>
          <w:tcPr>
            <w:tcW w:w="928"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color w:val="000000"/>
                <w:sz w:val="20"/>
                <w:szCs w:val="20"/>
              </w:rPr>
            </w:pPr>
          </w:p>
        </w:tc>
        <w:tc>
          <w:tcPr>
            <w:tcW w:w="1126"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color w:val="000000"/>
                <w:sz w:val="20"/>
                <w:szCs w:val="20"/>
              </w:rPr>
            </w:pPr>
          </w:p>
        </w:tc>
        <w:tc>
          <w:tcPr>
            <w:tcW w:w="1031"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color w:val="000000"/>
                <w:sz w:val="20"/>
                <w:szCs w:val="20"/>
              </w:rPr>
            </w:pPr>
            <w:r w:rsidRPr="00942766">
              <w:rPr>
                <w:rFonts w:eastAsia="Times New Roman"/>
                <w:color w:val="000000"/>
                <w:sz w:val="20"/>
                <w:szCs w:val="20"/>
              </w:rPr>
              <w:t>2,904.71</w:t>
            </w:r>
          </w:p>
        </w:tc>
        <w:tc>
          <w:tcPr>
            <w:tcW w:w="1262"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color w:val="000000"/>
                <w:sz w:val="20"/>
                <w:szCs w:val="20"/>
              </w:rPr>
            </w:pPr>
            <w:r w:rsidRPr="00942766">
              <w:rPr>
                <w:rFonts w:eastAsia="Times New Roman"/>
                <w:color w:val="000000"/>
                <w:sz w:val="20"/>
                <w:szCs w:val="20"/>
              </w:rPr>
              <w:t>(7,383.66)</w:t>
            </w:r>
          </w:p>
        </w:tc>
        <w:tc>
          <w:tcPr>
            <w:tcW w:w="980"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color w:val="000000"/>
                <w:sz w:val="20"/>
                <w:szCs w:val="20"/>
              </w:rPr>
            </w:pPr>
            <w:r w:rsidRPr="00942766">
              <w:rPr>
                <w:rFonts w:eastAsia="Times New Roman"/>
                <w:color w:val="000000"/>
                <w:sz w:val="20"/>
                <w:szCs w:val="20"/>
              </w:rPr>
              <w:t>1,070.16</w:t>
            </w:r>
          </w:p>
        </w:tc>
        <w:tc>
          <w:tcPr>
            <w:tcW w:w="1126"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color w:val="000000"/>
                <w:sz w:val="20"/>
                <w:szCs w:val="20"/>
              </w:rPr>
            </w:pPr>
            <w:r w:rsidRPr="00942766">
              <w:rPr>
                <w:rFonts w:eastAsia="Times New Roman"/>
                <w:color w:val="000000"/>
                <w:sz w:val="20"/>
                <w:szCs w:val="20"/>
              </w:rPr>
              <w:t>(4,601.24)</w:t>
            </w:r>
          </w:p>
        </w:tc>
        <w:tc>
          <w:tcPr>
            <w:tcW w:w="836"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color w:val="000000"/>
                <w:sz w:val="20"/>
                <w:szCs w:val="20"/>
              </w:rPr>
            </w:pPr>
          </w:p>
        </w:tc>
        <w:tc>
          <w:tcPr>
            <w:tcW w:w="979"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color w:val="000000"/>
                <w:sz w:val="20"/>
                <w:szCs w:val="20"/>
              </w:rPr>
            </w:pPr>
          </w:p>
        </w:tc>
        <w:tc>
          <w:tcPr>
            <w:tcW w:w="1592" w:type="dxa"/>
            <w:tcBorders>
              <w:top w:val="nil"/>
              <w:left w:val="nil"/>
              <w:bottom w:val="nil"/>
              <w:right w:val="nil"/>
            </w:tcBorders>
            <w:shd w:val="clear" w:color="000000" w:fill="FFFFFF"/>
            <w:noWrap/>
            <w:vAlign w:val="center"/>
            <w:hideMark/>
          </w:tcPr>
          <w:p w:rsidR="006B10C4" w:rsidRPr="00942766" w:rsidRDefault="006B10C4" w:rsidP="002833D4">
            <w:pPr>
              <w:jc w:val="center"/>
              <w:rPr>
                <w:rFonts w:eastAsia="Times New Roman"/>
                <w:b/>
                <w:bCs/>
                <w:color w:val="000000"/>
                <w:sz w:val="20"/>
                <w:szCs w:val="20"/>
              </w:rPr>
            </w:pPr>
          </w:p>
        </w:tc>
        <w:tc>
          <w:tcPr>
            <w:tcW w:w="816"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b/>
                <w:bCs/>
                <w:color w:val="000000"/>
                <w:sz w:val="20"/>
                <w:szCs w:val="20"/>
              </w:rPr>
            </w:pPr>
          </w:p>
        </w:tc>
        <w:tc>
          <w:tcPr>
            <w:tcW w:w="896"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b/>
                <w:bCs/>
                <w:color w:val="000000"/>
                <w:sz w:val="20"/>
                <w:szCs w:val="20"/>
              </w:rPr>
            </w:pPr>
          </w:p>
        </w:tc>
      </w:tr>
      <w:tr w:rsidR="00525861" w:rsidRPr="00942766" w:rsidTr="00B2413F">
        <w:trPr>
          <w:trHeight w:val="320"/>
        </w:trPr>
        <w:tc>
          <w:tcPr>
            <w:tcW w:w="1975" w:type="dxa"/>
            <w:tcBorders>
              <w:top w:val="nil"/>
              <w:left w:val="nil"/>
              <w:bottom w:val="single" w:sz="8" w:space="0" w:color="auto"/>
              <w:right w:val="single" w:sz="8" w:space="0" w:color="auto"/>
            </w:tcBorders>
            <w:shd w:val="clear" w:color="000000" w:fill="FFFFFF"/>
            <w:noWrap/>
            <w:vAlign w:val="center"/>
            <w:hideMark/>
          </w:tcPr>
          <w:p w:rsidR="006B10C4" w:rsidRPr="00942766" w:rsidRDefault="00EB7698" w:rsidP="00DF2FD0">
            <w:pPr>
              <w:rPr>
                <w:rFonts w:eastAsia="Times New Roman"/>
                <w:color w:val="000000"/>
                <w:sz w:val="22"/>
                <w:szCs w:val="22"/>
              </w:rPr>
            </w:pPr>
            <w:r w:rsidRPr="00942766">
              <w:rPr>
                <w:rFonts w:eastAsia="Times New Roman"/>
                <w:color w:val="000000"/>
                <w:sz w:val="22"/>
                <w:szCs w:val="22"/>
              </w:rPr>
              <w:t xml:space="preserve">                     </w:t>
            </w:r>
            <w:r w:rsidR="006B10C4" w:rsidRPr="00942766">
              <w:rPr>
                <w:rFonts w:eastAsia="Times New Roman"/>
                <w:color w:val="000000"/>
                <w:sz w:val="22"/>
                <w:szCs w:val="22"/>
              </w:rPr>
              <w:t>UNHS</w:t>
            </w:r>
          </w:p>
        </w:tc>
        <w:tc>
          <w:tcPr>
            <w:tcW w:w="1002" w:type="dxa"/>
            <w:tcBorders>
              <w:top w:val="nil"/>
              <w:left w:val="single" w:sz="8" w:space="0" w:color="auto"/>
              <w:bottom w:val="single" w:sz="8" w:space="0" w:color="auto"/>
              <w:right w:val="nil"/>
            </w:tcBorders>
            <w:shd w:val="clear" w:color="000000" w:fill="FFFFFF"/>
            <w:noWrap/>
            <w:vAlign w:val="center"/>
            <w:hideMark/>
          </w:tcPr>
          <w:p w:rsidR="006B10C4" w:rsidRPr="00942766" w:rsidRDefault="006B10C4" w:rsidP="00080173">
            <w:pPr>
              <w:jc w:val="center"/>
              <w:rPr>
                <w:rFonts w:eastAsia="Times New Roman"/>
                <w:color w:val="000000"/>
                <w:sz w:val="20"/>
                <w:szCs w:val="20"/>
              </w:rPr>
            </w:pPr>
          </w:p>
        </w:tc>
        <w:tc>
          <w:tcPr>
            <w:tcW w:w="1135" w:type="dxa"/>
            <w:tcBorders>
              <w:top w:val="nil"/>
              <w:left w:val="nil"/>
              <w:bottom w:val="single" w:sz="8" w:space="0" w:color="auto"/>
              <w:right w:val="nil"/>
            </w:tcBorders>
            <w:shd w:val="clear" w:color="000000" w:fill="FFFFFF"/>
            <w:noWrap/>
            <w:vAlign w:val="center"/>
            <w:hideMark/>
          </w:tcPr>
          <w:p w:rsidR="006B10C4" w:rsidRPr="00942766" w:rsidRDefault="006B10C4" w:rsidP="00080173">
            <w:pPr>
              <w:jc w:val="center"/>
              <w:rPr>
                <w:rFonts w:eastAsia="Times New Roman"/>
                <w:color w:val="000000"/>
                <w:sz w:val="20"/>
                <w:szCs w:val="20"/>
              </w:rPr>
            </w:pPr>
          </w:p>
        </w:tc>
        <w:tc>
          <w:tcPr>
            <w:tcW w:w="928" w:type="dxa"/>
            <w:tcBorders>
              <w:top w:val="nil"/>
              <w:left w:val="nil"/>
              <w:bottom w:val="single" w:sz="8" w:space="0" w:color="auto"/>
              <w:right w:val="nil"/>
            </w:tcBorders>
            <w:shd w:val="clear" w:color="000000" w:fill="FFFFFF"/>
            <w:noWrap/>
            <w:vAlign w:val="center"/>
            <w:hideMark/>
          </w:tcPr>
          <w:p w:rsidR="006B10C4" w:rsidRPr="00942766" w:rsidRDefault="006B10C4" w:rsidP="00080173">
            <w:pPr>
              <w:jc w:val="center"/>
              <w:rPr>
                <w:rFonts w:eastAsia="Times New Roman"/>
                <w:color w:val="000000"/>
                <w:sz w:val="20"/>
                <w:szCs w:val="20"/>
              </w:rPr>
            </w:pPr>
          </w:p>
        </w:tc>
        <w:tc>
          <w:tcPr>
            <w:tcW w:w="1126" w:type="dxa"/>
            <w:tcBorders>
              <w:top w:val="nil"/>
              <w:left w:val="nil"/>
              <w:bottom w:val="single" w:sz="8" w:space="0" w:color="auto"/>
              <w:right w:val="nil"/>
            </w:tcBorders>
            <w:shd w:val="clear" w:color="000000" w:fill="FFFFFF"/>
            <w:noWrap/>
            <w:vAlign w:val="center"/>
            <w:hideMark/>
          </w:tcPr>
          <w:p w:rsidR="006B10C4" w:rsidRPr="00942766" w:rsidRDefault="006B10C4" w:rsidP="00080173">
            <w:pPr>
              <w:jc w:val="center"/>
              <w:rPr>
                <w:rFonts w:eastAsia="Times New Roman"/>
                <w:color w:val="000000"/>
                <w:sz w:val="20"/>
                <w:szCs w:val="20"/>
              </w:rPr>
            </w:pPr>
          </w:p>
        </w:tc>
        <w:tc>
          <w:tcPr>
            <w:tcW w:w="1031" w:type="dxa"/>
            <w:tcBorders>
              <w:top w:val="nil"/>
              <w:left w:val="nil"/>
              <w:bottom w:val="single" w:sz="8" w:space="0" w:color="auto"/>
              <w:right w:val="nil"/>
            </w:tcBorders>
            <w:shd w:val="clear" w:color="000000" w:fill="FFFFFF"/>
            <w:noWrap/>
            <w:vAlign w:val="center"/>
            <w:hideMark/>
          </w:tcPr>
          <w:p w:rsidR="006B10C4" w:rsidRPr="00942766" w:rsidRDefault="006B10C4" w:rsidP="00080173">
            <w:pPr>
              <w:jc w:val="center"/>
              <w:rPr>
                <w:rFonts w:eastAsia="Times New Roman"/>
                <w:color w:val="000000"/>
                <w:sz w:val="20"/>
                <w:szCs w:val="20"/>
              </w:rPr>
            </w:pPr>
            <w:r w:rsidRPr="00942766">
              <w:rPr>
                <w:rFonts w:eastAsia="Times New Roman"/>
                <w:color w:val="000000"/>
                <w:sz w:val="20"/>
                <w:szCs w:val="20"/>
              </w:rPr>
              <w:t>2,259.22</w:t>
            </w:r>
          </w:p>
        </w:tc>
        <w:tc>
          <w:tcPr>
            <w:tcW w:w="1262" w:type="dxa"/>
            <w:tcBorders>
              <w:top w:val="nil"/>
              <w:left w:val="nil"/>
              <w:bottom w:val="single" w:sz="8" w:space="0" w:color="auto"/>
              <w:right w:val="nil"/>
            </w:tcBorders>
            <w:shd w:val="clear" w:color="000000" w:fill="FFFFFF"/>
            <w:noWrap/>
            <w:vAlign w:val="center"/>
            <w:hideMark/>
          </w:tcPr>
          <w:p w:rsidR="006B10C4" w:rsidRPr="00942766" w:rsidRDefault="006B10C4" w:rsidP="00080173">
            <w:pPr>
              <w:jc w:val="center"/>
              <w:rPr>
                <w:rFonts w:eastAsia="Times New Roman"/>
                <w:color w:val="000000"/>
                <w:sz w:val="20"/>
                <w:szCs w:val="20"/>
              </w:rPr>
            </w:pPr>
            <w:r w:rsidRPr="00942766">
              <w:rPr>
                <w:rFonts w:eastAsia="Times New Roman"/>
                <w:color w:val="000000"/>
                <w:sz w:val="20"/>
                <w:szCs w:val="20"/>
              </w:rPr>
              <w:t>(6,777.67)</w:t>
            </w:r>
          </w:p>
        </w:tc>
        <w:tc>
          <w:tcPr>
            <w:tcW w:w="980" w:type="dxa"/>
            <w:tcBorders>
              <w:top w:val="nil"/>
              <w:left w:val="nil"/>
              <w:bottom w:val="single" w:sz="8" w:space="0" w:color="auto"/>
              <w:right w:val="nil"/>
            </w:tcBorders>
            <w:shd w:val="clear" w:color="000000" w:fill="FFFFFF"/>
            <w:noWrap/>
            <w:vAlign w:val="center"/>
            <w:hideMark/>
          </w:tcPr>
          <w:p w:rsidR="006B10C4" w:rsidRPr="00942766" w:rsidRDefault="006B10C4" w:rsidP="00080173">
            <w:pPr>
              <w:jc w:val="center"/>
              <w:rPr>
                <w:rFonts w:eastAsia="Times New Roman"/>
                <w:color w:val="000000"/>
                <w:sz w:val="20"/>
                <w:szCs w:val="20"/>
              </w:rPr>
            </w:pPr>
            <w:r w:rsidRPr="00942766">
              <w:rPr>
                <w:rFonts w:eastAsia="Times New Roman"/>
                <w:color w:val="000000"/>
                <w:sz w:val="20"/>
                <w:szCs w:val="20"/>
              </w:rPr>
              <w:t>580.94</w:t>
            </w:r>
          </w:p>
        </w:tc>
        <w:tc>
          <w:tcPr>
            <w:tcW w:w="1126" w:type="dxa"/>
            <w:tcBorders>
              <w:top w:val="nil"/>
              <w:left w:val="nil"/>
              <w:bottom w:val="single" w:sz="8" w:space="0" w:color="auto"/>
              <w:right w:val="nil"/>
            </w:tcBorders>
            <w:shd w:val="clear" w:color="000000" w:fill="FFFFFF"/>
            <w:noWrap/>
            <w:vAlign w:val="center"/>
            <w:hideMark/>
          </w:tcPr>
          <w:p w:rsidR="006B10C4" w:rsidRPr="00942766" w:rsidRDefault="006B10C4" w:rsidP="00080173">
            <w:pPr>
              <w:jc w:val="center"/>
              <w:rPr>
                <w:rFonts w:eastAsia="Times New Roman"/>
                <w:color w:val="000000"/>
                <w:sz w:val="20"/>
                <w:szCs w:val="20"/>
              </w:rPr>
            </w:pPr>
            <w:r w:rsidRPr="00942766">
              <w:rPr>
                <w:rFonts w:eastAsia="Times New Roman"/>
                <w:color w:val="000000"/>
                <w:sz w:val="20"/>
                <w:szCs w:val="20"/>
              </w:rPr>
              <w:t>(3,436.90)</w:t>
            </w:r>
          </w:p>
        </w:tc>
        <w:tc>
          <w:tcPr>
            <w:tcW w:w="836" w:type="dxa"/>
            <w:tcBorders>
              <w:top w:val="nil"/>
              <w:left w:val="nil"/>
              <w:bottom w:val="single" w:sz="8" w:space="0" w:color="auto"/>
              <w:right w:val="nil"/>
            </w:tcBorders>
            <w:shd w:val="clear" w:color="000000" w:fill="FFFFFF"/>
            <w:noWrap/>
            <w:vAlign w:val="center"/>
            <w:hideMark/>
          </w:tcPr>
          <w:p w:rsidR="006B10C4" w:rsidRPr="00942766" w:rsidRDefault="006B10C4" w:rsidP="00080173">
            <w:pPr>
              <w:jc w:val="center"/>
              <w:rPr>
                <w:rFonts w:eastAsia="Times New Roman"/>
                <w:color w:val="000000"/>
                <w:sz w:val="20"/>
                <w:szCs w:val="20"/>
              </w:rPr>
            </w:pPr>
          </w:p>
        </w:tc>
        <w:tc>
          <w:tcPr>
            <w:tcW w:w="979" w:type="dxa"/>
            <w:tcBorders>
              <w:top w:val="nil"/>
              <w:left w:val="nil"/>
              <w:bottom w:val="single" w:sz="8" w:space="0" w:color="auto"/>
              <w:right w:val="nil"/>
            </w:tcBorders>
            <w:shd w:val="clear" w:color="000000" w:fill="FFFFFF"/>
            <w:noWrap/>
            <w:vAlign w:val="center"/>
            <w:hideMark/>
          </w:tcPr>
          <w:p w:rsidR="006B10C4" w:rsidRPr="00942766" w:rsidRDefault="006B10C4" w:rsidP="00080173">
            <w:pPr>
              <w:jc w:val="center"/>
              <w:rPr>
                <w:rFonts w:eastAsia="Times New Roman"/>
                <w:color w:val="000000"/>
                <w:sz w:val="20"/>
                <w:szCs w:val="20"/>
              </w:rPr>
            </w:pPr>
          </w:p>
        </w:tc>
        <w:tc>
          <w:tcPr>
            <w:tcW w:w="1592" w:type="dxa"/>
            <w:tcBorders>
              <w:top w:val="nil"/>
              <w:left w:val="nil"/>
              <w:bottom w:val="single" w:sz="8" w:space="0" w:color="auto"/>
              <w:right w:val="nil"/>
            </w:tcBorders>
            <w:shd w:val="clear" w:color="000000" w:fill="FFFFFF"/>
            <w:noWrap/>
            <w:vAlign w:val="center"/>
            <w:hideMark/>
          </w:tcPr>
          <w:p w:rsidR="006B10C4" w:rsidRPr="00942766" w:rsidRDefault="006B10C4" w:rsidP="002833D4">
            <w:pPr>
              <w:jc w:val="center"/>
              <w:rPr>
                <w:rFonts w:eastAsia="Times New Roman"/>
                <w:b/>
                <w:bCs/>
                <w:color w:val="000000"/>
                <w:sz w:val="20"/>
                <w:szCs w:val="20"/>
              </w:rPr>
            </w:pPr>
          </w:p>
        </w:tc>
        <w:tc>
          <w:tcPr>
            <w:tcW w:w="816" w:type="dxa"/>
            <w:tcBorders>
              <w:top w:val="nil"/>
              <w:left w:val="nil"/>
              <w:bottom w:val="single" w:sz="8" w:space="0" w:color="auto"/>
              <w:right w:val="nil"/>
            </w:tcBorders>
            <w:shd w:val="clear" w:color="000000" w:fill="FFFFFF"/>
            <w:noWrap/>
            <w:vAlign w:val="center"/>
            <w:hideMark/>
          </w:tcPr>
          <w:p w:rsidR="006B10C4" w:rsidRPr="00942766" w:rsidRDefault="006B10C4" w:rsidP="00080173">
            <w:pPr>
              <w:jc w:val="center"/>
              <w:rPr>
                <w:rFonts w:eastAsia="Times New Roman"/>
                <w:b/>
                <w:bCs/>
                <w:color w:val="000000"/>
                <w:sz w:val="20"/>
                <w:szCs w:val="20"/>
              </w:rPr>
            </w:pPr>
          </w:p>
        </w:tc>
        <w:tc>
          <w:tcPr>
            <w:tcW w:w="896" w:type="dxa"/>
            <w:tcBorders>
              <w:top w:val="nil"/>
              <w:left w:val="nil"/>
              <w:bottom w:val="single" w:sz="8" w:space="0" w:color="auto"/>
              <w:right w:val="nil"/>
            </w:tcBorders>
            <w:shd w:val="clear" w:color="000000" w:fill="FFFFFF"/>
            <w:noWrap/>
            <w:vAlign w:val="center"/>
            <w:hideMark/>
          </w:tcPr>
          <w:p w:rsidR="006B10C4" w:rsidRPr="00942766" w:rsidRDefault="006B10C4" w:rsidP="00080173">
            <w:pPr>
              <w:jc w:val="center"/>
              <w:rPr>
                <w:rFonts w:eastAsia="Times New Roman"/>
                <w:b/>
                <w:bCs/>
                <w:color w:val="000000"/>
                <w:sz w:val="20"/>
                <w:szCs w:val="20"/>
              </w:rPr>
            </w:pPr>
          </w:p>
        </w:tc>
      </w:tr>
      <w:tr w:rsidR="00344D5B" w:rsidRPr="00942766" w:rsidTr="00080173">
        <w:trPr>
          <w:trHeight w:val="320"/>
        </w:trPr>
        <w:tc>
          <w:tcPr>
            <w:tcW w:w="1975" w:type="dxa"/>
            <w:tcBorders>
              <w:top w:val="single" w:sz="8" w:space="0" w:color="auto"/>
              <w:left w:val="nil"/>
              <w:bottom w:val="single" w:sz="8" w:space="0" w:color="auto"/>
            </w:tcBorders>
            <w:shd w:val="clear" w:color="000000" w:fill="FFFFFF"/>
            <w:noWrap/>
            <w:vAlign w:val="center"/>
            <w:hideMark/>
          </w:tcPr>
          <w:p w:rsidR="006B10C4" w:rsidRPr="00942766" w:rsidRDefault="006B10C4" w:rsidP="002833D4">
            <w:pPr>
              <w:rPr>
                <w:rFonts w:eastAsia="Times New Roman"/>
                <w:b/>
                <w:bCs/>
                <w:color w:val="000000"/>
                <w:sz w:val="22"/>
                <w:szCs w:val="22"/>
              </w:rPr>
            </w:pPr>
            <w:r w:rsidRPr="00942766">
              <w:rPr>
                <w:rFonts w:eastAsia="Times New Roman"/>
                <w:b/>
                <w:bCs/>
                <w:color w:val="000000"/>
                <w:sz w:val="22"/>
                <w:szCs w:val="22"/>
              </w:rPr>
              <w:t xml:space="preserve">Hospital Total </w:t>
            </w:r>
          </w:p>
        </w:tc>
        <w:tc>
          <w:tcPr>
            <w:tcW w:w="1002" w:type="dxa"/>
            <w:tcBorders>
              <w:top w:val="single" w:sz="8" w:space="0" w:color="auto"/>
              <w:bottom w:val="single" w:sz="8" w:space="0" w:color="auto"/>
            </w:tcBorders>
            <w:shd w:val="clear" w:color="000000" w:fill="FFFFFF"/>
            <w:noWrap/>
            <w:vAlign w:val="center"/>
            <w:hideMark/>
          </w:tcPr>
          <w:p w:rsidR="006B10C4" w:rsidRPr="00942766" w:rsidRDefault="006B10C4" w:rsidP="00080173">
            <w:pPr>
              <w:jc w:val="center"/>
              <w:rPr>
                <w:rFonts w:eastAsia="Times New Roman"/>
                <w:b/>
                <w:bCs/>
                <w:color w:val="000000"/>
                <w:sz w:val="20"/>
                <w:szCs w:val="20"/>
              </w:rPr>
            </w:pPr>
            <w:r w:rsidRPr="00942766">
              <w:rPr>
                <w:rFonts w:eastAsia="Times New Roman"/>
                <w:b/>
                <w:bCs/>
                <w:color w:val="000000"/>
                <w:sz w:val="20"/>
                <w:szCs w:val="20"/>
              </w:rPr>
              <w:t>400.16</w:t>
            </w:r>
          </w:p>
        </w:tc>
        <w:tc>
          <w:tcPr>
            <w:tcW w:w="1135" w:type="dxa"/>
            <w:tcBorders>
              <w:top w:val="single" w:sz="8" w:space="0" w:color="auto"/>
              <w:bottom w:val="single" w:sz="8" w:space="0" w:color="auto"/>
            </w:tcBorders>
            <w:shd w:val="clear" w:color="000000" w:fill="FFFFFF"/>
            <w:noWrap/>
            <w:vAlign w:val="center"/>
            <w:hideMark/>
          </w:tcPr>
          <w:p w:rsidR="006B10C4" w:rsidRPr="00942766" w:rsidRDefault="006B10C4" w:rsidP="00080173">
            <w:pPr>
              <w:jc w:val="center"/>
              <w:rPr>
                <w:rFonts w:eastAsia="Times New Roman"/>
                <w:b/>
                <w:bCs/>
                <w:color w:val="000000"/>
                <w:sz w:val="20"/>
                <w:szCs w:val="20"/>
              </w:rPr>
            </w:pPr>
            <w:r w:rsidRPr="00942766">
              <w:rPr>
                <w:rFonts w:eastAsia="Times New Roman"/>
                <w:b/>
                <w:bCs/>
                <w:color w:val="000000"/>
                <w:sz w:val="20"/>
                <w:szCs w:val="20"/>
              </w:rPr>
              <w:t>(911.06)</w:t>
            </w:r>
          </w:p>
        </w:tc>
        <w:tc>
          <w:tcPr>
            <w:tcW w:w="928" w:type="dxa"/>
            <w:tcBorders>
              <w:top w:val="single" w:sz="8" w:space="0" w:color="auto"/>
              <w:bottom w:val="single" w:sz="8" w:space="0" w:color="auto"/>
            </w:tcBorders>
            <w:shd w:val="clear" w:color="000000" w:fill="FFFFFF"/>
            <w:noWrap/>
            <w:vAlign w:val="center"/>
            <w:hideMark/>
          </w:tcPr>
          <w:p w:rsidR="006B10C4" w:rsidRPr="00942766" w:rsidRDefault="006B10C4" w:rsidP="00080173">
            <w:pPr>
              <w:jc w:val="center"/>
              <w:rPr>
                <w:rFonts w:eastAsia="Times New Roman"/>
                <w:b/>
                <w:bCs/>
                <w:color w:val="000000"/>
                <w:sz w:val="20"/>
                <w:szCs w:val="20"/>
              </w:rPr>
            </w:pPr>
            <w:r w:rsidRPr="00942766">
              <w:rPr>
                <w:rFonts w:eastAsia="Times New Roman"/>
                <w:b/>
                <w:bCs/>
                <w:color w:val="000000"/>
                <w:sz w:val="20"/>
                <w:szCs w:val="20"/>
              </w:rPr>
              <w:t>191.78</w:t>
            </w:r>
          </w:p>
        </w:tc>
        <w:tc>
          <w:tcPr>
            <w:tcW w:w="1126" w:type="dxa"/>
            <w:tcBorders>
              <w:top w:val="single" w:sz="8" w:space="0" w:color="auto"/>
              <w:bottom w:val="single" w:sz="8" w:space="0" w:color="auto"/>
            </w:tcBorders>
            <w:shd w:val="clear" w:color="000000" w:fill="FFFFFF"/>
            <w:noWrap/>
            <w:vAlign w:val="center"/>
            <w:hideMark/>
          </w:tcPr>
          <w:p w:rsidR="006B10C4" w:rsidRPr="00942766" w:rsidRDefault="006B10C4" w:rsidP="00080173">
            <w:pPr>
              <w:jc w:val="center"/>
              <w:rPr>
                <w:rFonts w:eastAsia="Times New Roman"/>
                <w:b/>
                <w:bCs/>
                <w:color w:val="000000"/>
                <w:sz w:val="20"/>
                <w:szCs w:val="20"/>
              </w:rPr>
            </w:pPr>
            <w:r w:rsidRPr="00942766">
              <w:rPr>
                <w:rFonts w:eastAsia="Times New Roman"/>
                <w:b/>
                <w:bCs/>
                <w:color w:val="000000"/>
                <w:sz w:val="20"/>
                <w:szCs w:val="20"/>
              </w:rPr>
              <w:t>(353.71)</w:t>
            </w:r>
          </w:p>
        </w:tc>
        <w:tc>
          <w:tcPr>
            <w:tcW w:w="1031" w:type="dxa"/>
            <w:tcBorders>
              <w:top w:val="single" w:sz="8" w:space="0" w:color="auto"/>
              <w:bottom w:val="single" w:sz="8" w:space="0" w:color="auto"/>
            </w:tcBorders>
            <w:shd w:val="clear" w:color="000000" w:fill="FFFFFF"/>
            <w:noWrap/>
            <w:vAlign w:val="center"/>
            <w:hideMark/>
          </w:tcPr>
          <w:p w:rsidR="006B10C4" w:rsidRPr="00942766" w:rsidRDefault="006B10C4" w:rsidP="00080173">
            <w:pPr>
              <w:jc w:val="center"/>
              <w:rPr>
                <w:rFonts w:eastAsia="Times New Roman"/>
                <w:b/>
                <w:bCs/>
                <w:color w:val="000000"/>
                <w:sz w:val="20"/>
                <w:szCs w:val="20"/>
              </w:rPr>
            </w:pPr>
            <w:r w:rsidRPr="00942766">
              <w:rPr>
                <w:rFonts w:eastAsia="Times New Roman"/>
                <w:b/>
                <w:bCs/>
                <w:color w:val="000000"/>
                <w:sz w:val="20"/>
                <w:szCs w:val="20"/>
              </w:rPr>
              <w:t>2,947.00</w:t>
            </w:r>
          </w:p>
        </w:tc>
        <w:tc>
          <w:tcPr>
            <w:tcW w:w="1262" w:type="dxa"/>
            <w:tcBorders>
              <w:top w:val="single" w:sz="8" w:space="0" w:color="auto"/>
              <w:bottom w:val="single" w:sz="8" w:space="0" w:color="auto"/>
            </w:tcBorders>
            <w:shd w:val="clear" w:color="000000" w:fill="FFFFFF"/>
            <w:noWrap/>
            <w:vAlign w:val="center"/>
            <w:hideMark/>
          </w:tcPr>
          <w:p w:rsidR="006B10C4" w:rsidRPr="00942766" w:rsidRDefault="006B10C4" w:rsidP="00080173">
            <w:pPr>
              <w:jc w:val="center"/>
              <w:rPr>
                <w:rFonts w:eastAsia="Times New Roman"/>
                <w:b/>
                <w:bCs/>
                <w:color w:val="000000"/>
                <w:sz w:val="20"/>
                <w:szCs w:val="20"/>
              </w:rPr>
            </w:pPr>
            <w:r w:rsidRPr="00942766">
              <w:rPr>
                <w:rFonts w:eastAsia="Times New Roman"/>
                <w:b/>
                <w:bCs/>
                <w:color w:val="000000"/>
                <w:sz w:val="20"/>
                <w:szCs w:val="20"/>
              </w:rPr>
              <w:t>(7,170.03)</w:t>
            </w:r>
          </w:p>
        </w:tc>
        <w:tc>
          <w:tcPr>
            <w:tcW w:w="980" w:type="dxa"/>
            <w:tcBorders>
              <w:top w:val="single" w:sz="8" w:space="0" w:color="auto"/>
              <w:bottom w:val="single" w:sz="8" w:space="0" w:color="auto"/>
            </w:tcBorders>
            <w:shd w:val="clear" w:color="000000" w:fill="FFFFFF"/>
            <w:noWrap/>
            <w:vAlign w:val="center"/>
            <w:hideMark/>
          </w:tcPr>
          <w:p w:rsidR="006B10C4" w:rsidRPr="00942766" w:rsidRDefault="006B10C4" w:rsidP="00080173">
            <w:pPr>
              <w:jc w:val="center"/>
              <w:rPr>
                <w:rFonts w:eastAsia="Times New Roman"/>
                <w:b/>
                <w:bCs/>
                <w:color w:val="000000"/>
                <w:sz w:val="20"/>
                <w:szCs w:val="20"/>
              </w:rPr>
            </w:pPr>
            <w:r w:rsidRPr="00942766">
              <w:rPr>
                <w:rFonts w:eastAsia="Times New Roman"/>
                <w:b/>
                <w:bCs/>
                <w:color w:val="000000"/>
                <w:sz w:val="20"/>
                <w:szCs w:val="20"/>
              </w:rPr>
              <w:t>1,151.21</w:t>
            </w:r>
          </w:p>
        </w:tc>
        <w:tc>
          <w:tcPr>
            <w:tcW w:w="1126" w:type="dxa"/>
            <w:tcBorders>
              <w:top w:val="single" w:sz="8" w:space="0" w:color="auto"/>
              <w:bottom w:val="single" w:sz="8" w:space="0" w:color="auto"/>
            </w:tcBorders>
            <w:shd w:val="clear" w:color="000000" w:fill="FFFFFF"/>
            <w:noWrap/>
            <w:vAlign w:val="center"/>
            <w:hideMark/>
          </w:tcPr>
          <w:p w:rsidR="006B10C4" w:rsidRPr="00942766" w:rsidRDefault="006B10C4" w:rsidP="00080173">
            <w:pPr>
              <w:jc w:val="center"/>
              <w:rPr>
                <w:rFonts w:eastAsia="Times New Roman"/>
                <w:b/>
                <w:bCs/>
                <w:color w:val="000000"/>
                <w:sz w:val="20"/>
                <w:szCs w:val="20"/>
              </w:rPr>
            </w:pPr>
            <w:r w:rsidRPr="00942766">
              <w:rPr>
                <w:rFonts w:eastAsia="Times New Roman"/>
                <w:b/>
                <w:bCs/>
                <w:color w:val="000000"/>
                <w:sz w:val="20"/>
                <w:szCs w:val="20"/>
              </w:rPr>
              <w:t>(4,195.99)</w:t>
            </w:r>
          </w:p>
        </w:tc>
        <w:tc>
          <w:tcPr>
            <w:tcW w:w="836" w:type="dxa"/>
            <w:tcBorders>
              <w:top w:val="single" w:sz="8" w:space="0" w:color="auto"/>
              <w:bottom w:val="single" w:sz="8" w:space="0" w:color="auto"/>
            </w:tcBorders>
            <w:shd w:val="clear" w:color="000000" w:fill="FFFFFF"/>
            <w:noWrap/>
            <w:vAlign w:val="center"/>
            <w:hideMark/>
          </w:tcPr>
          <w:p w:rsidR="006B10C4" w:rsidRPr="00942766" w:rsidRDefault="006B10C4" w:rsidP="00080173">
            <w:pPr>
              <w:jc w:val="center"/>
              <w:rPr>
                <w:rFonts w:eastAsia="Times New Roman"/>
                <w:b/>
                <w:bCs/>
                <w:color w:val="000000"/>
                <w:sz w:val="20"/>
                <w:szCs w:val="20"/>
              </w:rPr>
            </w:pPr>
            <w:r w:rsidRPr="00942766">
              <w:rPr>
                <w:rFonts w:eastAsia="Times New Roman"/>
                <w:b/>
                <w:bCs/>
                <w:color w:val="000000"/>
                <w:sz w:val="20"/>
                <w:szCs w:val="20"/>
              </w:rPr>
              <w:t>141.19</w:t>
            </w:r>
          </w:p>
        </w:tc>
        <w:tc>
          <w:tcPr>
            <w:tcW w:w="979" w:type="dxa"/>
            <w:tcBorders>
              <w:top w:val="single" w:sz="8" w:space="0" w:color="auto"/>
              <w:bottom w:val="single" w:sz="8" w:space="0" w:color="auto"/>
            </w:tcBorders>
            <w:shd w:val="clear" w:color="000000" w:fill="FFFFFF"/>
            <w:noWrap/>
            <w:vAlign w:val="center"/>
            <w:hideMark/>
          </w:tcPr>
          <w:p w:rsidR="006B10C4" w:rsidRPr="00942766" w:rsidRDefault="006B10C4" w:rsidP="00080173">
            <w:pPr>
              <w:jc w:val="center"/>
              <w:rPr>
                <w:rFonts w:eastAsia="Times New Roman"/>
                <w:b/>
                <w:bCs/>
                <w:color w:val="000000"/>
                <w:sz w:val="20"/>
                <w:szCs w:val="20"/>
              </w:rPr>
            </w:pPr>
            <w:r w:rsidRPr="00942766">
              <w:rPr>
                <w:rFonts w:eastAsia="Times New Roman"/>
                <w:b/>
                <w:bCs/>
                <w:color w:val="000000"/>
                <w:sz w:val="20"/>
                <w:szCs w:val="20"/>
              </w:rPr>
              <w:t>(307.21)</w:t>
            </w:r>
          </w:p>
        </w:tc>
        <w:tc>
          <w:tcPr>
            <w:tcW w:w="1592" w:type="dxa"/>
            <w:tcBorders>
              <w:top w:val="single" w:sz="8" w:space="0" w:color="auto"/>
              <w:bottom w:val="single" w:sz="8" w:space="0" w:color="auto"/>
            </w:tcBorders>
            <w:shd w:val="clear" w:color="000000" w:fill="FFFFFF"/>
            <w:noWrap/>
            <w:vAlign w:val="center"/>
            <w:hideMark/>
          </w:tcPr>
          <w:p w:rsidR="006B10C4" w:rsidRPr="00942766" w:rsidRDefault="006B10C4" w:rsidP="002833D4">
            <w:pPr>
              <w:jc w:val="center"/>
              <w:rPr>
                <w:rFonts w:eastAsia="Times New Roman"/>
                <w:b/>
                <w:bCs/>
                <w:color w:val="000000"/>
                <w:sz w:val="20"/>
                <w:szCs w:val="20"/>
              </w:rPr>
            </w:pPr>
            <w:r w:rsidRPr="00942766">
              <w:rPr>
                <w:rFonts w:eastAsia="Times New Roman"/>
                <w:b/>
                <w:bCs/>
                <w:color w:val="000000"/>
                <w:sz w:val="20"/>
                <w:szCs w:val="20"/>
              </w:rPr>
              <w:t>1010.02 (578.76)</w:t>
            </w:r>
          </w:p>
        </w:tc>
        <w:tc>
          <w:tcPr>
            <w:tcW w:w="1712" w:type="dxa"/>
            <w:gridSpan w:val="2"/>
            <w:tcBorders>
              <w:top w:val="single" w:sz="8" w:space="0" w:color="auto"/>
              <w:bottom w:val="single" w:sz="8" w:space="0" w:color="auto"/>
              <w:right w:val="nil"/>
            </w:tcBorders>
            <w:shd w:val="clear" w:color="000000" w:fill="FFFFFF"/>
            <w:noWrap/>
            <w:vAlign w:val="center"/>
            <w:hideMark/>
          </w:tcPr>
          <w:p w:rsidR="006B10C4" w:rsidRPr="00942766" w:rsidRDefault="006B10C4" w:rsidP="00080173">
            <w:pPr>
              <w:jc w:val="center"/>
              <w:rPr>
                <w:rFonts w:eastAsia="Times New Roman"/>
                <w:b/>
                <w:bCs/>
                <w:color w:val="000000"/>
                <w:sz w:val="20"/>
                <w:szCs w:val="20"/>
              </w:rPr>
            </w:pPr>
            <w:r w:rsidRPr="00942766">
              <w:rPr>
                <w:rFonts w:eastAsia="Times New Roman"/>
                <w:b/>
                <w:bCs/>
                <w:color w:val="000000"/>
                <w:sz w:val="20"/>
                <w:szCs w:val="20"/>
              </w:rPr>
              <w:t>-124.33 to 144.37</w:t>
            </w:r>
          </w:p>
        </w:tc>
      </w:tr>
      <w:tr w:rsidR="00525861" w:rsidRPr="00942766" w:rsidTr="00B2413F">
        <w:trPr>
          <w:trHeight w:val="320"/>
        </w:trPr>
        <w:tc>
          <w:tcPr>
            <w:tcW w:w="1975" w:type="dxa"/>
            <w:tcBorders>
              <w:top w:val="single" w:sz="8" w:space="0" w:color="auto"/>
              <w:left w:val="nil"/>
              <w:bottom w:val="nil"/>
              <w:right w:val="single" w:sz="8" w:space="0" w:color="auto"/>
            </w:tcBorders>
            <w:shd w:val="clear" w:color="000000" w:fill="FFFFFF"/>
            <w:noWrap/>
            <w:vAlign w:val="center"/>
            <w:hideMark/>
          </w:tcPr>
          <w:p w:rsidR="006B10C4" w:rsidRPr="00942766" w:rsidRDefault="00EB7698" w:rsidP="00DF2FD0">
            <w:pPr>
              <w:rPr>
                <w:rFonts w:eastAsia="Times New Roman"/>
                <w:color w:val="000000"/>
                <w:sz w:val="22"/>
                <w:szCs w:val="22"/>
              </w:rPr>
            </w:pPr>
            <w:r w:rsidRPr="00942766">
              <w:rPr>
                <w:rFonts w:eastAsia="Times New Roman"/>
                <w:color w:val="000000"/>
                <w:sz w:val="22"/>
                <w:szCs w:val="22"/>
              </w:rPr>
              <w:t xml:space="preserve">               </w:t>
            </w:r>
            <w:r w:rsidR="006B10C4" w:rsidRPr="00942766">
              <w:rPr>
                <w:rFonts w:eastAsia="Times New Roman"/>
                <w:color w:val="000000"/>
                <w:sz w:val="22"/>
                <w:szCs w:val="22"/>
              </w:rPr>
              <w:t>No UNHS</w:t>
            </w:r>
          </w:p>
        </w:tc>
        <w:tc>
          <w:tcPr>
            <w:tcW w:w="1002" w:type="dxa"/>
            <w:tcBorders>
              <w:top w:val="single" w:sz="8" w:space="0" w:color="auto"/>
              <w:left w:val="single" w:sz="8" w:space="0" w:color="auto"/>
              <w:bottom w:val="nil"/>
              <w:right w:val="nil"/>
            </w:tcBorders>
            <w:shd w:val="clear" w:color="000000" w:fill="FFFFFF"/>
            <w:noWrap/>
            <w:vAlign w:val="center"/>
            <w:hideMark/>
          </w:tcPr>
          <w:p w:rsidR="006B10C4" w:rsidRPr="00942766" w:rsidRDefault="006B10C4" w:rsidP="00080173">
            <w:pPr>
              <w:jc w:val="center"/>
              <w:rPr>
                <w:rFonts w:eastAsia="Times New Roman"/>
                <w:color w:val="000000"/>
                <w:sz w:val="20"/>
                <w:szCs w:val="20"/>
              </w:rPr>
            </w:pPr>
            <w:r w:rsidRPr="00942766">
              <w:rPr>
                <w:rFonts w:eastAsia="Times New Roman"/>
                <w:color w:val="000000"/>
                <w:sz w:val="20"/>
                <w:szCs w:val="20"/>
              </w:rPr>
              <w:t>432.43</w:t>
            </w:r>
          </w:p>
        </w:tc>
        <w:tc>
          <w:tcPr>
            <w:tcW w:w="1135" w:type="dxa"/>
            <w:tcBorders>
              <w:top w:val="single" w:sz="8" w:space="0" w:color="auto"/>
              <w:left w:val="nil"/>
              <w:bottom w:val="nil"/>
              <w:right w:val="nil"/>
            </w:tcBorders>
            <w:shd w:val="clear" w:color="000000" w:fill="FFFFFF"/>
            <w:noWrap/>
            <w:vAlign w:val="center"/>
            <w:hideMark/>
          </w:tcPr>
          <w:p w:rsidR="006B10C4" w:rsidRPr="00942766" w:rsidRDefault="006B10C4" w:rsidP="00080173">
            <w:pPr>
              <w:jc w:val="center"/>
              <w:rPr>
                <w:rFonts w:eastAsia="Times New Roman"/>
                <w:color w:val="000000"/>
                <w:sz w:val="20"/>
                <w:szCs w:val="20"/>
              </w:rPr>
            </w:pPr>
            <w:r w:rsidRPr="00942766">
              <w:rPr>
                <w:rFonts w:eastAsia="Times New Roman"/>
                <w:color w:val="000000"/>
                <w:sz w:val="20"/>
                <w:szCs w:val="20"/>
              </w:rPr>
              <w:t>(529.46)</w:t>
            </w:r>
          </w:p>
        </w:tc>
        <w:tc>
          <w:tcPr>
            <w:tcW w:w="928" w:type="dxa"/>
            <w:tcBorders>
              <w:top w:val="single" w:sz="8" w:space="0" w:color="auto"/>
              <w:left w:val="nil"/>
              <w:bottom w:val="nil"/>
              <w:right w:val="nil"/>
            </w:tcBorders>
            <w:shd w:val="clear" w:color="000000" w:fill="FFFFFF"/>
            <w:noWrap/>
            <w:vAlign w:val="center"/>
            <w:hideMark/>
          </w:tcPr>
          <w:p w:rsidR="006B10C4" w:rsidRPr="00942766" w:rsidRDefault="006B10C4" w:rsidP="00080173">
            <w:pPr>
              <w:jc w:val="center"/>
              <w:rPr>
                <w:rFonts w:eastAsia="Times New Roman"/>
                <w:color w:val="000000"/>
                <w:sz w:val="20"/>
                <w:szCs w:val="20"/>
              </w:rPr>
            </w:pPr>
            <w:r w:rsidRPr="00942766">
              <w:rPr>
                <w:rFonts w:eastAsia="Times New Roman"/>
                <w:color w:val="000000"/>
                <w:sz w:val="20"/>
                <w:szCs w:val="20"/>
              </w:rPr>
              <w:t>205.00</w:t>
            </w:r>
          </w:p>
        </w:tc>
        <w:tc>
          <w:tcPr>
            <w:tcW w:w="1126" w:type="dxa"/>
            <w:tcBorders>
              <w:top w:val="single" w:sz="8" w:space="0" w:color="auto"/>
              <w:left w:val="nil"/>
              <w:bottom w:val="nil"/>
              <w:right w:val="nil"/>
            </w:tcBorders>
            <w:shd w:val="clear" w:color="000000" w:fill="FFFFFF"/>
            <w:noWrap/>
            <w:vAlign w:val="center"/>
            <w:hideMark/>
          </w:tcPr>
          <w:p w:rsidR="006B10C4" w:rsidRPr="00942766" w:rsidRDefault="006B10C4" w:rsidP="00080173">
            <w:pPr>
              <w:jc w:val="center"/>
              <w:rPr>
                <w:rFonts w:eastAsia="Times New Roman"/>
                <w:color w:val="000000"/>
                <w:sz w:val="20"/>
                <w:szCs w:val="20"/>
              </w:rPr>
            </w:pPr>
            <w:r w:rsidRPr="00942766">
              <w:rPr>
                <w:rFonts w:eastAsia="Times New Roman"/>
                <w:color w:val="000000"/>
                <w:sz w:val="20"/>
                <w:szCs w:val="20"/>
              </w:rPr>
              <w:t>(366.22)</w:t>
            </w:r>
          </w:p>
        </w:tc>
        <w:tc>
          <w:tcPr>
            <w:tcW w:w="1031" w:type="dxa"/>
            <w:tcBorders>
              <w:top w:val="single" w:sz="8" w:space="0" w:color="auto"/>
              <w:left w:val="nil"/>
              <w:bottom w:val="nil"/>
              <w:right w:val="nil"/>
            </w:tcBorders>
            <w:shd w:val="clear" w:color="000000" w:fill="FFFFFF"/>
            <w:noWrap/>
            <w:vAlign w:val="center"/>
            <w:hideMark/>
          </w:tcPr>
          <w:p w:rsidR="006B10C4" w:rsidRPr="00942766" w:rsidRDefault="006B10C4" w:rsidP="00080173">
            <w:pPr>
              <w:jc w:val="center"/>
              <w:rPr>
                <w:rFonts w:eastAsia="Times New Roman"/>
                <w:color w:val="000000"/>
                <w:sz w:val="20"/>
                <w:szCs w:val="20"/>
              </w:rPr>
            </w:pPr>
            <w:r w:rsidRPr="00942766">
              <w:rPr>
                <w:rFonts w:eastAsia="Times New Roman"/>
                <w:color w:val="000000"/>
                <w:sz w:val="20"/>
                <w:szCs w:val="20"/>
              </w:rPr>
              <w:t>3,040.21</w:t>
            </w:r>
          </w:p>
        </w:tc>
        <w:tc>
          <w:tcPr>
            <w:tcW w:w="1262" w:type="dxa"/>
            <w:tcBorders>
              <w:top w:val="single" w:sz="8" w:space="0" w:color="auto"/>
              <w:left w:val="nil"/>
              <w:bottom w:val="nil"/>
              <w:right w:val="nil"/>
            </w:tcBorders>
            <w:shd w:val="clear" w:color="000000" w:fill="FFFFFF"/>
            <w:noWrap/>
            <w:vAlign w:val="center"/>
            <w:hideMark/>
          </w:tcPr>
          <w:p w:rsidR="006B10C4" w:rsidRPr="00942766" w:rsidRDefault="006B10C4" w:rsidP="00080173">
            <w:pPr>
              <w:jc w:val="center"/>
              <w:rPr>
                <w:rFonts w:eastAsia="Times New Roman"/>
                <w:color w:val="000000"/>
                <w:sz w:val="20"/>
                <w:szCs w:val="20"/>
              </w:rPr>
            </w:pPr>
            <w:r w:rsidRPr="00942766">
              <w:rPr>
                <w:rFonts w:eastAsia="Times New Roman"/>
                <w:color w:val="000000"/>
                <w:sz w:val="20"/>
                <w:szCs w:val="20"/>
              </w:rPr>
              <w:t>(7,508.91)</w:t>
            </w:r>
          </w:p>
        </w:tc>
        <w:tc>
          <w:tcPr>
            <w:tcW w:w="980" w:type="dxa"/>
            <w:tcBorders>
              <w:top w:val="single" w:sz="8" w:space="0" w:color="auto"/>
              <w:left w:val="nil"/>
              <w:bottom w:val="nil"/>
              <w:right w:val="nil"/>
            </w:tcBorders>
            <w:shd w:val="clear" w:color="000000" w:fill="FFFFFF"/>
            <w:noWrap/>
            <w:vAlign w:val="center"/>
            <w:hideMark/>
          </w:tcPr>
          <w:p w:rsidR="006B10C4" w:rsidRPr="00942766" w:rsidRDefault="006B10C4" w:rsidP="00080173">
            <w:pPr>
              <w:jc w:val="center"/>
              <w:rPr>
                <w:rFonts w:eastAsia="Times New Roman"/>
                <w:color w:val="000000"/>
                <w:sz w:val="20"/>
                <w:szCs w:val="20"/>
              </w:rPr>
            </w:pPr>
            <w:r w:rsidRPr="00942766">
              <w:rPr>
                <w:rFonts w:eastAsia="Times New Roman"/>
                <w:color w:val="000000"/>
                <w:sz w:val="20"/>
                <w:szCs w:val="20"/>
              </w:rPr>
              <w:t>1,333.34</w:t>
            </w:r>
          </w:p>
        </w:tc>
        <w:tc>
          <w:tcPr>
            <w:tcW w:w="1126" w:type="dxa"/>
            <w:tcBorders>
              <w:top w:val="single" w:sz="8" w:space="0" w:color="auto"/>
              <w:left w:val="nil"/>
              <w:bottom w:val="nil"/>
              <w:right w:val="nil"/>
            </w:tcBorders>
            <w:shd w:val="clear" w:color="000000" w:fill="FFFFFF"/>
            <w:noWrap/>
            <w:vAlign w:val="center"/>
            <w:hideMark/>
          </w:tcPr>
          <w:p w:rsidR="006B10C4" w:rsidRPr="00942766" w:rsidRDefault="006B10C4" w:rsidP="00080173">
            <w:pPr>
              <w:jc w:val="center"/>
              <w:rPr>
                <w:rFonts w:eastAsia="Times New Roman"/>
                <w:color w:val="000000"/>
                <w:sz w:val="20"/>
                <w:szCs w:val="20"/>
              </w:rPr>
            </w:pPr>
            <w:r w:rsidRPr="00942766">
              <w:rPr>
                <w:rFonts w:eastAsia="Times New Roman"/>
                <w:color w:val="000000"/>
                <w:sz w:val="20"/>
                <w:szCs w:val="20"/>
              </w:rPr>
              <w:t>(4,657.81)</w:t>
            </w:r>
          </w:p>
        </w:tc>
        <w:tc>
          <w:tcPr>
            <w:tcW w:w="836" w:type="dxa"/>
            <w:tcBorders>
              <w:top w:val="single" w:sz="8" w:space="0" w:color="auto"/>
              <w:left w:val="nil"/>
              <w:bottom w:val="nil"/>
              <w:right w:val="nil"/>
            </w:tcBorders>
            <w:shd w:val="clear" w:color="000000" w:fill="FFFFFF"/>
            <w:noWrap/>
            <w:vAlign w:val="center"/>
            <w:hideMark/>
          </w:tcPr>
          <w:p w:rsidR="006B10C4" w:rsidRPr="00942766" w:rsidRDefault="006B10C4" w:rsidP="00080173">
            <w:pPr>
              <w:jc w:val="center"/>
              <w:rPr>
                <w:rFonts w:eastAsia="Times New Roman"/>
                <w:color w:val="000000"/>
                <w:sz w:val="20"/>
                <w:szCs w:val="20"/>
              </w:rPr>
            </w:pPr>
          </w:p>
        </w:tc>
        <w:tc>
          <w:tcPr>
            <w:tcW w:w="979" w:type="dxa"/>
            <w:tcBorders>
              <w:top w:val="single" w:sz="8" w:space="0" w:color="auto"/>
              <w:left w:val="nil"/>
              <w:bottom w:val="nil"/>
              <w:right w:val="nil"/>
            </w:tcBorders>
            <w:shd w:val="clear" w:color="000000" w:fill="FFFFFF"/>
            <w:noWrap/>
            <w:vAlign w:val="center"/>
            <w:hideMark/>
          </w:tcPr>
          <w:p w:rsidR="006B10C4" w:rsidRPr="00942766" w:rsidRDefault="006B10C4" w:rsidP="00080173">
            <w:pPr>
              <w:jc w:val="center"/>
              <w:rPr>
                <w:rFonts w:eastAsia="Times New Roman"/>
                <w:color w:val="000000"/>
                <w:sz w:val="20"/>
                <w:szCs w:val="20"/>
              </w:rPr>
            </w:pPr>
          </w:p>
        </w:tc>
        <w:tc>
          <w:tcPr>
            <w:tcW w:w="1592" w:type="dxa"/>
            <w:tcBorders>
              <w:top w:val="single" w:sz="8" w:space="0" w:color="auto"/>
              <w:left w:val="nil"/>
              <w:bottom w:val="nil"/>
              <w:right w:val="nil"/>
            </w:tcBorders>
            <w:shd w:val="clear" w:color="000000" w:fill="FFFFFF"/>
            <w:noWrap/>
            <w:vAlign w:val="center"/>
            <w:hideMark/>
          </w:tcPr>
          <w:p w:rsidR="006B10C4" w:rsidRPr="00942766" w:rsidRDefault="006B10C4" w:rsidP="002833D4">
            <w:pPr>
              <w:jc w:val="center"/>
              <w:rPr>
                <w:rFonts w:eastAsia="Times New Roman"/>
                <w:b/>
                <w:bCs/>
                <w:color w:val="000000"/>
                <w:sz w:val="20"/>
                <w:szCs w:val="20"/>
              </w:rPr>
            </w:pPr>
          </w:p>
        </w:tc>
        <w:tc>
          <w:tcPr>
            <w:tcW w:w="816" w:type="dxa"/>
            <w:tcBorders>
              <w:top w:val="single" w:sz="8" w:space="0" w:color="auto"/>
              <w:left w:val="nil"/>
              <w:bottom w:val="nil"/>
              <w:right w:val="nil"/>
            </w:tcBorders>
            <w:shd w:val="clear" w:color="000000" w:fill="FFFFFF"/>
            <w:noWrap/>
            <w:vAlign w:val="center"/>
            <w:hideMark/>
          </w:tcPr>
          <w:p w:rsidR="006B10C4" w:rsidRPr="00942766" w:rsidRDefault="006B10C4" w:rsidP="00080173">
            <w:pPr>
              <w:jc w:val="center"/>
              <w:rPr>
                <w:rFonts w:eastAsia="Times New Roman"/>
                <w:b/>
                <w:bCs/>
                <w:color w:val="000000"/>
                <w:sz w:val="20"/>
                <w:szCs w:val="20"/>
              </w:rPr>
            </w:pPr>
          </w:p>
        </w:tc>
        <w:tc>
          <w:tcPr>
            <w:tcW w:w="896" w:type="dxa"/>
            <w:tcBorders>
              <w:top w:val="single" w:sz="8" w:space="0" w:color="auto"/>
              <w:left w:val="nil"/>
              <w:bottom w:val="nil"/>
              <w:right w:val="nil"/>
            </w:tcBorders>
            <w:shd w:val="clear" w:color="000000" w:fill="FFFFFF"/>
            <w:noWrap/>
            <w:vAlign w:val="center"/>
            <w:hideMark/>
          </w:tcPr>
          <w:p w:rsidR="006B10C4" w:rsidRPr="00942766" w:rsidRDefault="006B10C4" w:rsidP="00080173">
            <w:pPr>
              <w:jc w:val="center"/>
              <w:rPr>
                <w:rFonts w:eastAsia="Times New Roman"/>
                <w:b/>
                <w:bCs/>
                <w:color w:val="000000"/>
                <w:sz w:val="20"/>
                <w:szCs w:val="20"/>
              </w:rPr>
            </w:pPr>
          </w:p>
        </w:tc>
      </w:tr>
      <w:tr w:rsidR="00525861" w:rsidRPr="00942766" w:rsidTr="00B2413F">
        <w:trPr>
          <w:trHeight w:val="320"/>
        </w:trPr>
        <w:tc>
          <w:tcPr>
            <w:tcW w:w="1975" w:type="dxa"/>
            <w:tcBorders>
              <w:top w:val="nil"/>
              <w:left w:val="nil"/>
              <w:bottom w:val="nil"/>
              <w:right w:val="single" w:sz="8" w:space="0" w:color="auto"/>
            </w:tcBorders>
            <w:shd w:val="clear" w:color="000000" w:fill="FFFFFF"/>
            <w:noWrap/>
            <w:vAlign w:val="center"/>
            <w:hideMark/>
          </w:tcPr>
          <w:p w:rsidR="006B10C4" w:rsidRPr="00942766" w:rsidRDefault="00EB7698" w:rsidP="00DF2FD0">
            <w:pPr>
              <w:rPr>
                <w:rFonts w:eastAsia="Times New Roman"/>
                <w:color w:val="000000"/>
                <w:sz w:val="22"/>
                <w:szCs w:val="22"/>
              </w:rPr>
            </w:pPr>
            <w:r w:rsidRPr="00942766">
              <w:rPr>
                <w:rFonts w:eastAsia="Times New Roman"/>
                <w:color w:val="000000"/>
                <w:sz w:val="22"/>
                <w:szCs w:val="22"/>
              </w:rPr>
              <w:t xml:space="preserve">                     </w:t>
            </w:r>
            <w:r w:rsidR="006B10C4" w:rsidRPr="00942766">
              <w:rPr>
                <w:rFonts w:eastAsia="Times New Roman"/>
                <w:color w:val="000000"/>
                <w:sz w:val="22"/>
                <w:szCs w:val="22"/>
              </w:rPr>
              <w:t>UNHS</w:t>
            </w:r>
          </w:p>
        </w:tc>
        <w:tc>
          <w:tcPr>
            <w:tcW w:w="1002" w:type="dxa"/>
            <w:tcBorders>
              <w:top w:val="nil"/>
              <w:left w:val="single" w:sz="8" w:space="0" w:color="auto"/>
              <w:bottom w:val="nil"/>
              <w:right w:val="nil"/>
            </w:tcBorders>
            <w:shd w:val="clear" w:color="000000" w:fill="FFFFFF"/>
            <w:noWrap/>
            <w:vAlign w:val="center"/>
            <w:hideMark/>
          </w:tcPr>
          <w:p w:rsidR="006B10C4" w:rsidRPr="00942766" w:rsidRDefault="006B10C4" w:rsidP="00080173">
            <w:pPr>
              <w:jc w:val="center"/>
              <w:rPr>
                <w:rFonts w:eastAsia="Times New Roman"/>
                <w:color w:val="000000"/>
                <w:sz w:val="20"/>
                <w:szCs w:val="20"/>
              </w:rPr>
            </w:pPr>
            <w:r w:rsidRPr="00942766">
              <w:rPr>
                <w:rFonts w:eastAsia="Times New Roman"/>
                <w:color w:val="000000"/>
                <w:sz w:val="20"/>
                <w:szCs w:val="20"/>
              </w:rPr>
              <w:t>375.06</w:t>
            </w:r>
          </w:p>
        </w:tc>
        <w:tc>
          <w:tcPr>
            <w:tcW w:w="1135"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color w:val="000000"/>
                <w:sz w:val="20"/>
                <w:szCs w:val="20"/>
              </w:rPr>
            </w:pPr>
            <w:r w:rsidRPr="00942766">
              <w:rPr>
                <w:rFonts w:eastAsia="Times New Roman"/>
                <w:color w:val="000000"/>
                <w:sz w:val="20"/>
                <w:szCs w:val="20"/>
              </w:rPr>
              <w:t>(1,139.16)</w:t>
            </w:r>
          </w:p>
        </w:tc>
        <w:tc>
          <w:tcPr>
            <w:tcW w:w="928"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color w:val="000000"/>
                <w:sz w:val="20"/>
                <w:szCs w:val="20"/>
              </w:rPr>
            </w:pPr>
            <w:r w:rsidRPr="00942766">
              <w:rPr>
                <w:rFonts w:eastAsia="Times New Roman"/>
                <w:color w:val="000000"/>
                <w:sz w:val="20"/>
                <w:szCs w:val="20"/>
              </w:rPr>
              <w:t>175.25</w:t>
            </w:r>
          </w:p>
        </w:tc>
        <w:tc>
          <w:tcPr>
            <w:tcW w:w="1126"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color w:val="000000"/>
                <w:sz w:val="20"/>
                <w:szCs w:val="20"/>
              </w:rPr>
            </w:pPr>
            <w:r w:rsidRPr="00942766">
              <w:rPr>
                <w:rFonts w:eastAsia="Times New Roman"/>
                <w:color w:val="000000"/>
                <w:sz w:val="20"/>
                <w:szCs w:val="20"/>
              </w:rPr>
              <w:t>(361.72)</w:t>
            </w:r>
          </w:p>
        </w:tc>
        <w:tc>
          <w:tcPr>
            <w:tcW w:w="1031"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color w:val="000000"/>
                <w:sz w:val="20"/>
                <w:szCs w:val="20"/>
              </w:rPr>
            </w:pPr>
            <w:r w:rsidRPr="00942766">
              <w:rPr>
                <w:rFonts w:eastAsia="Times New Roman"/>
                <w:color w:val="000000"/>
                <w:sz w:val="20"/>
                <w:szCs w:val="20"/>
              </w:rPr>
              <w:t>2,802.00</w:t>
            </w:r>
          </w:p>
        </w:tc>
        <w:tc>
          <w:tcPr>
            <w:tcW w:w="1262"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color w:val="000000"/>
                <w:sz w:val="20"/>
                <w:szCs w:val="20"/>
              </w:rPr>
            </w:pPr>
            <w:r w:rsidRPr="00942766">
              <w:rPr>
                <w:rFonts w:eastAsia="Times New Roman"/>
                <w:color w:val="000000"/>
                <w:sz w:val="20"/>
                <w:szCs w:val="20"/>
              </w:rPr>
              <w:t>(7,050.75)</w:t>
            </w:r>
          </w:p>
        </w:tc>
        <w:tc>
          <w:tcPr>
            <w:tcW w:w="980"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color w:val="000000"/>
                <w:sz w:val="20"/>
                <w:szCs w:val="20"/>
              </w:rPr>
            </w:pPr>
            <w:r w:rsidRPr="00942766">
              <w:rPr>
                <w:rFonts w:eastAsia="Times New Roman"/>
                <w:color w:val="000000"/>
                <w:sz w:val="20"/>
                <w:szCs w:val="20"/>
              </w:rPr>
              <w:t>953.46</w:t>
            </w:r>
          </w:p>
        </w:tc>
        <w:tc>
          <w:tcPr>
            <w:tcW w:w="1126"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color w:val="000000"/>
                <w:sz w:val="20"/>
                <w:szCs w:val="20"/>
              </w:rPr>
            </w:pPr>
            <w:r w:rsidRPr="00942766">
              <w:rPr>
                <w:rFonts w:eastAsia="Times New Roman"/>
                <w:color w:val="000000"/>
                <w:sz w:val="20"/>
                <w:szCs w:val="20"/>
              </w:rPr>
              <w:t>(3,687.43)</w:t>
            </w:r>
          </w:p>
        </w:tc>
        <w:tc>
          <w:tcPr>
            <w:tcW w:w="836"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color w:val="000000"/>
                <w:sz w:val="20"/>
                <w:szCs w:val="20"/>
              </w:rPr>
            </w:pPr>
          </w:p>
        </w:tc>
        <w:tc>
          <w:tcPr>
            <w:tcW w:w="979"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color w:val="000000"/>
                <w:sz w:val="20"/>
                <w:szCs w:val="20"/>
              </w:rPr>
            </w:pPr>
          </w:p>
        </w:tc>
        <w:tc>
          <w:tcPr>
            <w:tcW w:w="1592" w:type="dxa"/>
            <w:tcBorders>
              <w:top w:val="nil"/>
              <w:left w:val="nil"/>
              <w:bottom w:val="nil"/>
              <w:right w:val="nil"/>
            </w:tcBorders>
            <w:shd w:val="clear" w:color="000000" w:fill="FFFFFF"/>
            <w:noWrap/>
            <w:vAlign w:val="center"/>
            <w:hideMark/>
          </w:tcPr>
          <w:p w:rsidR="006B10C4" w:rsidRPr="00942766" w:rsidRDefault="006B10C4" w:rsidP="002833D4">
            <w:pPr>
              <w:jc w:val="center"/>
              <w:rPr>
                <w:rFonts w:eastAsia="Times New Roman"/>
                <w:b/>
                <w:bCs/>
                <w:color w:val="000000"/>
                <w:sz w:val="20"/>
                <w:szCs w:val="20"/>
              </w:rPr>
            </w:pPr>
          </w:p>
        </w:tc>
        <w:tc>
          <w:tcPr>
            <w:tcW w:w="816"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b/>
                <w:bCs/>
                <w:color w:val="000000"/>
                <w:sz w:val="20"/>
                <w:szCs w:val="20"/>
              </w:rPr>
            </w:pPr>
          </w:p>
        </w:tc>
        <w:tc>
          <w:tcPr>
            <w:tcW w:w="896"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b/>
                <w:bCs/>
                <w:color w:val="000000"/>
                <w:sz w:val="20"/>
                <w:szCs w:val="20"/>
              </w:rPr>
            </w:pPr>
          </w:p>
        </w:tc>
      </w:tr>
      <w:tr w:rsidR="00525861" w:rsidRPr="00942766" w:rsidTr="00B2413F">
        <w:trPr>
          <w:trHeight w:val="320"/>
        </w:trPr>
        <w:tc>
          <w:tcPr>
            <w:tcW w:w="1975" w:type="dxa"/>
            <w:tcBorders>
              <w:top w:val="nil"/>
              <w:left w:val="nil"/>
              <w:bottom w:val="nil"/>
              <w:right w:val="single" w:sz="8" w:space="0" w:color="auto"/>
            </w:tcBorders>
            <w:shd w:val="clear" w:color="000000" w:fill="FFFFFF"/>
            <w:noWrap/>
            <w:vAlign w:val="center"/>
            <w:hideMark/>
          </w:tcPr>
          <w:p w:rsidR="006B10C4" w:rsidRPr="00942766" w:rsidRDefault="006B10C4" w:rsidP="00DF2FD0">
            <w:pPr>
              <w:rPr>
                <w:rFonts w:eastAsia="Times New Roman"/>
                <w:b/>
                <w:bCs/>
                <w:color w:val="000000"/>
                <w:sz w:val="22"/>
                <w:szCs w:val="22"/>
              </w:rPr>
            </w:pPr>
            <w:r w:rsidRPr="00942766">
              <w:rPr>
                <w:rFonts w:eastAsia="Times New Roman"/>
                <w:b/>
                <w:bCs/>
                <w:color w:val="000000"/>
                <w:sz w:val="22"/>
                <w:szCs w:val="22"/>
              </w:rPr>
              <w:t>Community &amp; Social Care</w:t>
            </w:r>
          </w:p>
        </w:tc>
        <w:tc>
          <w:tcPr>
            <w:tcW w:w="1002" w:type="dxa"/>
            <w:tcBorders>
              <w:top w:val="nil"/>
              <w:left w:val="single" w:sz="8" w:space="0" w:color="auto"/>
              <w:bottom w:val="nil"/>
              <w:right w:val="nil"/>
            </w:tcBorders>
            <w:shd w:val="clear" w:color="000000" w:fill="FFFFFF"/>
            <w:noWrap/>
            <w:vAlign w:val="center"/>
            <w:hideMark/>
          </w:tcPr>
          <w:p w:rsidR="006B10C4" w:rsidRPr="00942766" w:rsidRDefault="006B10C4" w:rsidP="00080173">
            <w:pPr>
              <w:jc w:val="center"/>
              <w:rPr>
                <w:rFonts w:eastAsia="Times New Roman"/>
                <w:b/>
                <w:bCs/>
                <w:color w:val="000000"/>
                <w:sz w:val="20"/>
                <w:szCs w:val="20"/>
              </w:rPr>
            </w:pPr>
            <w:r w:rsidRPr="00942766">
              <w:rPr>
                <w:rFonts w:eastAsia="Times New Roman"/>
                <w:b/>
                <w:bCs/>
                <w:color w:val="000000"/>
                <w:sz w:val="20"/>
                <w:szCs w:val="20"/>
              </w:rPr>
              <w:t>776.09</w:t>
            </w:r>
          </w:p>
        </w:tc>
        <w:tc>
          <w:tcPr>
            <w:tcW w:w="1135"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b/>
                <w:bCs/>
                <w:color w:val="000000"/>
                <w:sz w:val="20"/>
                <w:szCs w:val="20"/>
              </w:rPr>
            </w:pPr>
            <w:r w:rsidRPr="00942766">
              <w:rPr>
                <w:rFonts w:eastAsia="Times New Roman"/>
                <w:b/>
                <w:bCs/>
                <w:color w:val="000000"/>
                <w:sz w:val="20"/>
                <w:szCs w:val="20"/>
              </w:rPr>
              <w:t>(916.37)</w:t>
            </w:r>
          </w:p>
        </w:tc>
        <w:tc>
          <w:tcPr>
            <w:tcW w:w="928"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b/>
                <w:bCs/>
                <w:color w:val="000000"/>
                <w:sz w:val="20"/>
                <w:szCs w:val="20"/>
              </w:rPr>
            </w:pPr>
            <w:r w:rsidRPr="00942766">
              <w:rPr>
                <w:rFonts w:eastAsia="Times New Roman"/>
                <w:b/>
                <w:bCs/>
                <w:color w:val="000000"/>
                <w:sz w:val="20"/>
                <w:szCs w:val="20"/>
              </w:rPr>
              <w:t>2,433.32</w:t>
            </w:r>
          </w:p>
        </w:tc>
        <w:tc>
          <w:tcPr>
            <w:tcW w:w="1126"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b/>
                <w:bCs/>
                <w:color w:val="000000"/>
                <w:sz w:val="20"/>
                <w:szCs w:val="20"/>
              </w:rPr>
            </w:pPr>
            <w:r w:rsidRPr="00942766">
              <w:rPr>
                <w:rFonts w:eastAsia="Times New Roman"/>
                <w:b/>
                <w:bCs/>
                <w:color w:val="000000"/>
                <w:sz w:val="20"/>
                <w:szCs w:val="20"/>
              </w:rPr>
              <w:t>(4,906.58)</w:t>
            </w:r>
          </w:p>
        </w:tc>
        <w:tc>
          <w:tcPr>
            <w:tcW w:w="1031"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b/>
                <w:bCs/>
                <w:color w:val="000000"/>
                <w:sz w:val="20"/>
                <w:szCs w:val="20"/>
              </w:rPr>
            </w:pPr>
            <w:r w:rsidRPr="00942766">
              <w:rPr>
                <w:rFonts w:eastAsia="Times New Roman"/>
                <w:b/>
                <w:bCs/>
                <w:color w:val="000000"/>
                <w:sz w:val="20"/>
                <w:szCs w:val="20"/>
              </w:rPr>
              <w:t>2,590.92</w:t>
            </w:r>
          </w:p>
        </w:tc>
        <w:tc>
          <w:tcPr>
            <w:tcW w:w="1262"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b/>
                <w:bCs/>
                <w:color w:val="000000"/>
                <w:sz w:val="20"/>
                <w:szCs w:val="20"/>
              </w:rPr>
            </w:pPr>
            <w:r w:rsidRPr="00942766">
              <w:rPr>
                <w:rFonts w:eastAsia="Times New Roman"/>
                <w:b/>
                <w:bCs/>
                <w:color w:val="000000"/>
                <w:sz w:val="20"/>
                <w:szCs w:val="20"/>
              </w:rPr>
              <w:t>(3,608.70)</w:t>
            </w:r>
          </w:p>
        </w:tc>
        <w:tc>
          <w:tcPr>
            <w:tcW w:w="980"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b/>
                <w:bCs/>
                <w:color w:val="000000"/>
                <w:sz w:val="20"/>
                <w:szCs w:val="20"/>
              </w:rPr>
            </w:pPr>
            <w:r w:rsidRPr="00942766">
              <w:rPr>
                <w:rFonts w:eastAsia="Times New Roman"/>
                <w:b/>
                <w:bCs/>
                <w:color w:val="000000"/>
                <w:sz w:val="20"/>
                <w:szCs w:val="20"/>
              </w:rPr>
              <w:t>1,756.51</w:t>
            </w:r>
          </w:p>
        </w:tc>
        <w:tc>
          <w:tcPr>
            <w:tcW w:w="1126"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b/>
                <w:bCs/>
                <w:color w:val="000000"/>
                <w:sz w:val="20"/>
                <w:szCs w:val="20"/>
              </w:rPr>
            </w:pPr>
            <w:r w:rsidRPr="00942766">
              <w:rPr>
                <w:rFonts w:eastAsia="Times New Roman"/>
                <w:b/>
                <w:bCs/>
                <w:color w:val="000000"/>
                <w:sz w:val="20"/>
                <w:szCs w:val="20"/>
              </w:rPr>
              <w:t>(3,284.68)</w:t>
            </w:r>
          </w:p>
        </w:tc>
        <w:tc>
          <w:tcPr>
            <w:tcW w:w="836"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b/>
                <w:bCs/>
                <w:color w:val="000000"/>
                <w:sz w:val="20"/>
                <w:szCs w:val="20"/>
              </w:rPr>
            </w:pPr>
            <w:r w:rsidRPr="00942766">
              <w:rPr>
                <w:rFonts w:eastAsia="Times New Roman"/>
                <w:b/>
                <w:bCs/>
                <w:color w:val="000000"/>
                <w:sz w:val="20"/>
                <w:szCs w:val="20"/>
              </w:rPr>
              <w:t>503.79</w:t>
            </w:r>
          </w:p>
        </w:tc>
        <w:tc>
          <w:tcPr>
            <w:tcW w:w="979"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b/>
                <w:bCs/>
                <w:color w:val="000000"/>
                <w:sz w:val="20"/>
                <w:szCs w:val="20"/>
              </w:rPr>
            </w:pPr>
            <w:r w:rsidRPr="00942766">
              <w:rPr>
                <w:rFonts w:eastAsia="Times New Roman"/>
                <w:b/>
                <w:bCs/>
                <w:color w:val="000000"/>
                <w:sz w:val="20"/>
                <w:szCs w:val="20"/>
              </w:rPr>
              <w:t>(437.67)</w:t>
            </w:r>
          </w:p>
        </w:tc>
        <w:tc>
          <w:tcPr>
            <w:tcW w:w="1592" w:type="dxa"/>
            <w:tcBorders>
              <w:top w:val="nil"/>
              <w:left w:val="nil"/>
              <w:bottom w:val="nil"/>
              <w:right w:val="nil"/>
            </w:tcBorders>
            <w:shd w:val="clear" w:color="000000" w:fill="FFFFFF"/>
            <w:noWrap/>
            <w:vAlign w:val="center"/>
            <w:hideMark/>
          </w:tcPr>
          <w:p w:rsidR="006B10C4" w:rsidRPr="00942766" w:rsidRDefault="006B10C4" w:rsidP="002833D4">
            <w:pPr>
              <w:jc w:val="center"/>
              <w:rPr>
                <w:rFonts w:eastAsia="Times New Roman"/>
                <w:b/>
                <w:bCs/>
                <w:color w:val="000000"/>
                <w:sz w:val="20"/>
                <w:szCs w:val="20"/>
              </w:rPr>
            </w:pPr>
            <w:r w:rsidRPr="00942766">
              <w:rPr>
                <w:rFonts w:eastAsia="Times New Roman"/>
                <w:b/>
                <w:bCs/>
                <w:color w:val="000000"/>
                <w:sz w:val="20"/>
                <w:szCs w:val="20"/>
              </w:rPr>
              <w:t>1,252.72 (402.05)</w:t>
            </w:r>
          </w:p>
        </w:tc>
        <w:tc>
          <w:tcPr>
            <w:tcW w:w="1712" w:type="dxa"/>
            <w:gridSpan w:val="2"/>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b/>
                <w:bCs/>
                <w:color w:val="000000"/>
                <w:sz w:val="20"/>
                <w:szCs w:val="20"/>
              </w:rPr>
            </w:pPr>
            <w:r w:rsidRPr="00942766">
              <w:rPr>
                <w:rFonts w:eastAsia="Times New Roman"/>
                <w:b/>
                <w:bCs/>
                <w:color w:val="000000"/>
                <w:sz w:val="20"/>
                <w:szCs w:val="20"/>
              </w:rPr>
              <w:t>464.71 to 2040.73</w:t>
            </w:r>
          </w:p>
        </w:tc>
      </w:tr>
      <w:tr w:rsidR="00525861" w:rsidRPr="00942766" w:rsidTr="00B2413F">
        <w:trPr>
          <w:trHeight w:val="320"/>
        </w:trPr>
        <w:tc>
          <w:tcPr>
            <w:tcW w:w="1975" w:type="dxa"/>
            <w:tcBorders>
              <w:top w:val="nil"/>
              <w:left w:val="nil"/>
              <w:bottom w:val="nil"/>
              <w:right w:val="single" w:sz="8" w:space="0" w:color="auto"/>
            </w:tcBorders>
            <w:shd w:val="clear" w:color="000000" w:fill="FFFFFF"/>
            <w:noWrap/>
            <w:vAlign w:val="center"/>
            <w:hideMark/>
          </w:tcPr>
          <w:p w:rsidR="006B10C4" w:rsidRPr="00942766" w:rsidRDefault="00EB7698" w:rsidP="00DF2FD0">
            <w:pPr>
              <w:rPr>
                <w:rFonts w:eastAsia="Times New Roman"/>
                <w:color w:val="000000"/>
                <w:sz w:val="22"/>
                <w:szCs w:val="22"/>
              </w:rPr>
            </w:pPr>
            <w:r w:rsidRPr="00942766">
              <w:rPr>
                <w:rFonts w:eastAsia="Times New Roman"/>
                <w:color w:val="000000"/>
                <w:sz w:val="22"/>
                <w:szCs w:val="22"/>
              </w:rPr>
              <w:t xml:space="preserve">               </w:t>
            </w:r>
            <w:r w:rsidR="006B10C4" w:rsidRPr="00942766">
              <w:rPr>
                <w:rFonts w:eastAsia="Times New Roman"/>
                <w:color w:val="000000"/>
                <w:sz w:val="22"/>
                <w:szCs w:val="22"/>
              </w:rPr>
              <w:t>No UNHS</w:t>
            </w:r>
          </w:p>
        </w:tc>
        <w:tc>
          <w:tcPr>
            <w:tcW w:w="1002" w:type="dxa"/>
            <w:tcBorders>
              <w:top w:val="nil"/>
              <w:left w:val="single" w:sz="8" w:space="0" w:color="auto"/>
              <w:bottom w:val="nil"/>
              <w:right w:val="nil"/>
            </w:tcBorders>
            <w:shd w:val="clear" w:color="000000" w:fill="FFFFFF"/>
            <w:noWrap/>
            <w:vAlign w:val="center"/>
            <w:hideMark/>
          </w:tcPr>
          <w:p w:rsidR="006B10C4" w:rsidRPr="00942766" w:rsidRDefault="006B10C4" w:rsidP="00080173">
            <w:pPr>
              <w:jc w:val="center"/>
              <w:rPr>
                <w:rFonts w:eastAsia="Times New Roman"/>
                <w:color w:val="000000"/>
                <w:sz w:val="20"/>
                <w:szCs w:val="20"/>
              </w:rPr>
            </w:pPr>
            <w:r w:rsidRPr="00942766">
              <w:rPr>
                <w:rFonts w:eastAsia="Times New Roman"/>
                <w:color w:val="000000"/>
                <w:sz w:val="20"/>
                <w:szCs w:val="20"/>
              </w:rPr>
              <w:t>930.67</w:t>
            </w:r>
          </w:p>
        </w:tc>
        <w:tc>
          <w:tcPr>
            <w:tcW w:w="1135"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color w:val="000000"/>
                <w:sz w:val="20"/>
                <w:szCs w:val="20"/>
              </w:rPr>
            </w:pPr>
            <w:r w:rsidRPr="00942766">
              <w:rPr>
                <w:rFonts w:eastAsia="Times New Roman"/>
                <w:color w:val="000000"/>
                <w:sz w:val="20"/>
                <w:szCs w:val="20"/>
              </w:rPr>
              <w:t>(1,185.75)</w:t>
            </w:r>
          </w:p>
        </w:tc>
        <w:tc>
          <w:tcPr>
            <w:tcW w:w="928"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color w:val="000000"/>
                <w:sz w:val="20"/>
                <w:szCs w:val="20"/>
              </w:rPr>
            </w:pPr>
            <w:r w:rsidRPr="00942766">
              <w:rPr>
                <w:rFonts w:eastAsia="Times New Roman"/>
                <w:color w:val="000000"/>
                <w:sz w:val="20"/>
                <w:szCs w:val="20"/>
              </w:rPr>
              <w:t>2,799.16</w:t>
            </w:r>
          </w:p>
        </w:tc>
        <w:tc>
          <w:tcPr>
            <w:tcW w:w="1126"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color w:val="000000"/>
                <w:sz w:val="20"/>
                <w:szCs w:val="20"/>
              </w:rPr>
            </w:pPr>
            <w:r w:rsidRPr="00942766">
              <w:rPr>
                <w:rFonts w:eastAsia="Times New Roman"/>
                <w:color w:val="000000"/>
                <w:sz w:val="20"/>
                <w:szCs w:val="20"/>
              </w:rPr>
              <w:t>(6,461.98)</w:t>
            </w:r>
          </w:p>
        </w:tc>
        <w:tc>
          <w:tcPr>
            <w:tcW w:w="1031"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color w:val="000000"/>
                <w:sz w:val="20"/>
                <w:szCs w:val="20"/>
              </w:rPr>
            </w:pPr>
            <w:r w:rsidRPr="00942766">
              <w:rPr>
                <w:rFonts w:eastAsia="Times New Roman"/>
                <w:color w:val="000000"/>
                <w:sz w:val="20"/>
                <w:szCs w:val="20"/>
              </w:rPr>
              <w:t>3,061.47</w:t>
            </w:r>
          </w:p>
        </w:tc>
        <w:tc>
          <w:tcPr>
            <w:tcW w:w="1262"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color w:val="000000"/>
                <w:sz w:val="20"/>
                <w:szCs w:val="20"/>
              </w:rPr>
            </w:pPr>
            <w:r w:rsidRPr="00942766">
              <w:rPr>
                <w:rFonts w:eastAsia="Times New Roman"/>
                <w:color w:val="000000"/>
                <w:sz w:val="20"/>
                <w:szCs w:val="20"/>
              </w:rPr>
              <w:t>(4,450.85)</w:t>
            </w:r>
          </w:p>
        </w:tc>
        <w:tc>
          <w:tcPr>
            <w:tcW w:w="980"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color w:val="000000"/>
                <w:sz w:val="20"/>
                <w:szCs w:val="20"/>
              </w:rPr>
            </w:pPr>
            <w:r w:rsidRPr="00942766">
              <w:rPr>
                <w:rFonts w:eastAsia="Times New Roman"/>
                <w:color w:val="000000"/>
                <w:sz w:val="20"/>
                <w:szCs w:val="20"/>
              </w:rPr>
              <w:t>2,207.41</w:t>
            </w:r>
          </w:p>
        </w:tc>
        <w:tc>
          <w:tcPr>
            <w:tcW w:w="1126"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color w:val="000000"/>
                <w:sz w:val="20"/>
                <w:szCs w:val="20"/>
              </w:rPr>
            </w:pPr>
            <w:r w:rsidRPr="00942766">
              <w:rPr>
                <w:rFonts w:eastAsia="Times New Roman"/>
                <w:color w:val="000000"/>
                <w:sz w:val="20"/>
                <w:szCs w:val="20"/>
              </w:rPr>
              <w:t>(4,312.64)</w:t>
            </w:r>
          </w:p>
        </w:tc>
        <w:tc>
          <w:tcPr>
            <w:tcW w:w="836"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color w:val="000000"/>
                <w:sz w:val="20"/>
                <w:szCs w:val="20"/>
              </w:rPr>
            </w:pPr>
          </w:p>
        </w:tc>
        <w:tc>
          <w:tcPr>
            <w:tcW w:w="979"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color w:val="000000"/>
                <w:sz w:val="20"/>
                <w:szCs w:val="20"/>
              </w:rPr>
            </w:pPr>
          </w:p>
        </w:tc>
        <w:tc>
          <w:tcPr>
            <w:tcW w:w="1592" w:type="dxa"/>
            <w:tcBorders>
              <w:top w:val="nil"/>
              <w:left w:val="nil"/>
              <w:bottom w:val="nil"/>
              <w:right w:val="nil"/>
            </w:tcBorders>
            <w:shd w:val="clear" w:color="000000" w:fill="FFFFFF"/>
            <w:noWrap/>
            <w:vAlign w:val="center"/>
            <w:hideMark/>
          </w:tcPr>
          <w:p w:rsidR="006B10C4" w:rsidRPr="00942766" w:rsidRDefault="006B10C4" w:rsidP="002833D4">
            <w:pPr>
              <w:jc w:val="center"/>
              <w:rPr>
                <w:rFonts w:eastAsia="Times New Roman"/>
                <w:b/>
                <w:bCs/>
                <w:color w:val="000000"/>
                <w:sz w:val="20"/>
                <w:szCs w:val="20"/>
              </w:rPr>
            </w:pPr>
          </w:p>
        </w:tc>
        <w:tc>
          <w:tcPr>
            <w:tcW w:w="816"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b/>
                <w:bCs/>
                <w:color w:val="000000"/>
                <w:sz w:val="20"/>
                <w:szCs w:val="20"/>
              </w:rPr>
            </w:pPr>
          </w:p>
        </w:tc>
        <w:tc>
          <w:tcPr>
            <w:tcW w:w="896"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b/>
                <w:bCs/>
                <w:color w:val="000000"/>
                <w:sz w:val="20"/>
                <w:szCs w:val="20"/>
              </w:rPr>
            </w:pPr>
          </w:p>
        </w:tc>
      </w:tr>
      <w:tr w:rsidR="00525861" w:rsidRPr="00942766" w:rsidTr="00B2413F">
        <w:trPr>
          <w:trHeight w:val="320"/>
        </w:trPr>
        <w:tc>
          <w:tcPr>
            <w:tcW w:w="1975" w:type="dxa"/>
            <w:tcBorders>
              <w:top w:val="nil"/>
              <w:left w:val="nil"/>
              <w:bottom w:val="nil"/>
              <w:right w:val="single" w:sz="8" w:space="0" w:color="auto"/>
            </w:tcBorders>
            <w:shd w:val="clear" w:color="000000" w:fill="FFFFFF"/>
            <w:noWrap/>
            <w:vAlign w:val="center"/>
            <w:hideMark/>
          </w:tcPr>
          <w:p w:rsidR="006B10C4" w:rsidRPr="00942766" w:rsidRDefault="00EB7698" w:rsidP="00DF2FD0">
            <w:pPr>
              <w:rPr>
                <w:rFonts w:eastAsia="Times New Roman"/>
                <w:color w:val="000000"/>
                <w:sz w:val="22"/>
                <w:szCs w:val="22"/>
              </w:rPr>
            </w:pPr>
            <w:r w:rsidRPr="00942766">
              <w:rPr>
                <w:rFonts w:eastAsia="Times New Roman"/>
                <w:color w:val="000000"/>
                <w:sz w:val="22"/>
                <w:szCs w:val="22"/>
              </w:rPr>
              <w:t xml:space="preserve">                     </w:t>
            </w:r>
            <w:r w:rsidR="006B10C4" w:rsidRPr="00942766">
              <w:rPr>
                <w:rFonts w:eastAsia="Times New Roman"/>
                <w:color w:val="000000"/>
                <w:sz w:val="22"/>
                <w:szCs w:val="22"/>
              </w:rPr>
              <w:t>UNHS</w:t>
            </w:r>
          </w:p>
        </w:tc>
        <w:tc>
          <w:tcPr>
            <w:tcW w:w="1002" w:type="dxa"/>
            <w:tcBorders>
              <w:top w:val="nil"/>
              <w:left w:val="single" w:sz="8" w:space="0" w:color="auto"/>
              <w:bottom w:val="nil"/>
              <w:right w:val="nil"/>
            </w:tcBorders>
            <w:shd w:val="clear" w:color="000000" w:fill="FFFFFF"/>
            <w:noWrap/>
            <w:vAlign w:val="center"/>
            <w:hideMark/>
          </w:tcPr>
          <w:p w:rsidR="006B10C4" w:rsidRPr="00942766" w:rsidRDefault="006B10C4" w:rsidP="00080173">
            <w:pPr>
              <w:jc w:val="center"/>
              <w:rPr>
                <w:rFonts w:eastAsia="Times New Roman"/>
                <w:color w:val="000000"/>
                <w:sz w:val="20"/>
                <w:szCs w:val="20"/>
              </w:rPr>
            </w:pPr>
            <w:r w:rsidRPr="00942766">
              <w:rPr>
                <w:rFonts w:eastAsia="Times New Roman"/>
                <w:color w:val="000000"/>
                <w:sz w:val="20"/>
                <w:szCs w:val="20"/>
              </w:rPr>
              <w:t>655.86</w:t>
            </w:r>
          </w:p>
        </w:tc>
        <w:tc>
          <w:tcPr>
            <w:tcW w:w="1135"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color w:val="000000"/>
                <w:sz w:val="20"/>
                <w:szCs w:val="20"/>
              </w:rPr>
            </w:pPr>
            <w:r w:rsidRPr="00942766">
              <w:rPr>
                <w:rFonts w:eastAsia="Times New Roman"/>
                <w:color w:val="000000"/>
                <w:sz w:val="20"/>
                <w:szCs w:val="20"/>
              </w:rPr>
              <w:t>(648.94)</w:t>
            </w:r>
          </w:p>
        </w:tc>
        <w:tc>
          <w:tcPr>
            <w:tcW w:w="928"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color w:val="000000"/>
                <w:sz w:val="20"/>
                <w:szCs w:val="20"/>
              </w:rPr>
            </w:pPr>
            <w:r w:rsidRPr="00942766">
              <w:rPr>
                <w:rFonts w:eastAsia="Times New Roman"/>
                <w:color w:val="000000"/>
                <w:sz w:val="20"/>
                <w:szCs w:val="20"/>
              </w:rPr>
              <w:t>1,976.01</w:t>
            </w:r>
          </w:p>
        </w:tc>
        <w:tc>
          <w:tcPr>
            <w:tcW w:w="1126"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color w:val="000000"/>
                <w:sz w:val="20"/>
                <w:szCs w:val="20"/>
              </w:rPr>
            </w:pPr>
            <w:r w:rsidRPr="00942766">
              <w:rPr>
                <w:rFonts w:eastAsia="Times New Roman"/>
                <w:color w:val="000000"/>
                <w:sz w:val="20"/>
                <w:szCs w:val="20"/>
              </w:rPr>
              <w:t>(2,085.33)</w:t>
            </w:r>
          </w:p>
        </w:tc>
        <w:tc>
          <w:tcPr>
            <w:tcW w:w="1031"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color w:val="000000"/>
                <w:sz w:val="20"/>
                <w:szCs w:val="20"/>
              </w:rPr>
            </w:pPr>
            <w:r w:rsidRPr="00942766">
              <w:rPr>
                <w:rFonts w:eastAsia="Times New Roman"/>
                <w:color w:val="000000"/>
                <w:sz w:val="20"/>
                <w:szCs w:val="20"/>
              </w:rPr>
              <w:t>1,858.94</w:t>
            </w:r>
          </w:p>
        </w:tc>
        <w:tc>
          <w:tcPr>
            <w:tcW w:w="1262"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color w:val="000000"/>
                <w:sz w:val="20"/>
                <w:szCs w:val="20"/>
              </w:rPr>
            </w:pPr>
            <w:r w:rsidRPr="00942766">
              <w:rPr>
                <w:rFonts w:eastAsia="Times New Roman"/>
                <w:color w:val="000000"/>
                <w:sz w:val="20"/>
                <w:szCs w:val="20"/>
              </w:rPr>
              <w:t>(1,621.98)</w:t>
            </w:r>
          </w:p>
        </w:tc>
        <w:tc>
          <w:tcPr>
            <w:tcW w:w="980"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color w:val="000000"/>
                <w:sz w:val="20"/>
                <w:szCs w:val="20"/>
              </w:rPr>
            </w:pPr>
            <w:r w:rsidRPr="00942766">
              <w:rPr>
                <w:rFonts w:eastAsia="Times New Roman"/>
                <w:color w:val="000000"/>
                <w:sz w:val="20"/>
                <w:szCs w:val="20"/>
              </w:rPr>
              <w:t>1,266.97</w:t>
            </w:r>
          </w:p>
        </w:tc>
        <w:tc>
          <w:tcPr>
            <w:tcW w:w="1126"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color w:val="000000"/>
                <w:sz w:val="20"/>
                <w:szCs w:val="20"/>
              </w:rPr>
            </w:pPr>
            <w:r w:rsidRPr="00942766">
              <w:rPr>
                <w:rFonts w:eastAsia="Times New Roman"/>
                <w:color w:val="000000"/>
                <w:sz w:val="20"/>
                <w:szCs w:val="20"/>
              </w:rPr>
              <w:t>(1,460.70)</w:t>
            </w:r>
          </w:p>
        </w:tc>
        <w:tc>
          <w:tcPr>
            <w:tcW w:w="836"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color w:val="000000"/>
                <w:sz w:val="20"/>
                <w:szCs w:val="20"/>
              </w:rPr>
            </w:pPr>
          </w:p>
        </w:tc>
        <w:tc>
          <w:tcPr>
            <w:tcW w:w="979"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color w:val="000000"/>
                <w:sz w:val="20"/>
                <w:szCs w:val="20"/>
              </w:rPr>
            </w:pPr>
          </w:p>
        </w:tc>
        <w:tc>
          <w:tcPr>
            <w:tcW w:w="1592" w:type="dxa"/>
            <w:tcBorders>
              <w:top w:val="nil"/>
              <w:left w:val="nil"/>
              <w:bottom w:val="nil"/>
              <w:right w:val="nil"/>
            </w:tcBorders>
            <w:shd w:val="clear" w:color="000000" w:fill="FFFFFF"/>
            <w:noWrap/>
            <w:vAlign w:val="center"/>
            <w:hideMark/>
          </w:tcPr>
          <w:p w:rsidR="006B10C4" w:rsidRPr="00942766" w:rsidRDefault="006B10C4" w:rsidP="002833D4">
            <w:pPr>
              <w:jc w:val="center"/>
              <w:rPr>
                <w:rFonts w:eastAsia="Times New Roman"/>
                <w:b/>
                <w:bCs/>
                <w:color w:val="000000"/>
                <w:sz w:val="20"/>
                <w:szCs w:val="20"/>
              </w:rPr>
            </w:pPr>
          </w:p>
        </w:tc>
        <w:tc>
          <w:tcPr>
            <w:tcW w:w="816"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b/>
                <w:bCs/>
                <w:color w:val="000000"/>
                <w:sz w:val="20"/>
                <w:szCs w:val="20"/>
              </w:rPr>
            </w:pPr>
          </w:p>
        </w:tc>
        <w:tc>
          <w:tcPr>
            <w:tcW w:w="896"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b/>
                <w:bCs/>
                <w:color w:val="000000"/>
                <w:sz w:val="20"/>
                <w:szCs w:val="20"/>
              </w:rPr>
            </w:pPr>
          </w:p>
        </w:tc>
      </w:tr>
      <w:tr w:rsidR="00525861" w:rsidRPr="00942766" w:rsidTr="00B2413F">
        <w:trPr>
          <w:trHeight w:val="320"/>
        </w:trPr>
        <w:tc>
          <w:tcPr>
            <w:tcW w:w="1975" w:type="dxa"/>
            <w:tcBorders>
              <w:top w:val="nil"/>
              <w:left w:val="nil"/>
              <w:bottom w:val="nil"/>
              <w:right w:val="single" w:sz="8" w:space="0" w:color="auto"/>
            </w:tcBorders>
            <w:shd w:val="clear" w:color="000000" w:fill="FFFFFF"/>
            <w:noWrap/>
            <w:vAlign w:val="center"/>
            <w:hideMark/>
          </w:tcPr>
          <w:p w:rsidR="006B10C4" w:rsidRPr="00942766" w:rsidRDefault="006B10C4" w:rsidP="00DF2FD0">
            <w:pPr>
              <w:rPr>
                <w:rFonts w:eastAsia="Times New Roman"/>
                <w:b/>
                <w:bCs/>
                <w:color w:val="000000"/>
                <w:sz w:val="22"/>
                <w:szCs w:val="22"/>
              </w:rPr>
            </w:pPr>
            <w:r w:rsidRPr="00942766">
              <w:rPr>
                <w:rFonts w:eastAsia="Times New Roman"/>
                <w:b/>
                <w:bCs/>
                <w:color w:val="000000"/>
                <w:sz w:val="22"/>
                <w:szCs w:val="22"/>
              </w:rPr>
              <w:t>Respite Care</w:t>
            </w:r>
          </w:p>
        </w:tc>
        <w:tc>
          <w:tcPr>
            <w:tcW w:w="1002" w:type="dxa"/>
            <w:tcBorders>
              <w:top w:val="nil"/>
              <w:left w:val="single" w:sz="8" w:space="0" w:color="auto"/>
              <w:bottom w:val="nil"/>
              <w:right w:val="nil"/>
            </w:tcBorders>
            <w:shd w:val="clear" w:color="000000" w:fill="FFFFFF"/>
            <w:noWrap/>
            <w:vAlign w:val="center"/>
            <w:hideMark/>
          </w:tcPr>
          <w:p w:rsidR="006B10C4" w:rsidRPr="00942766" w:rsidRDefault="006B10C4" w:rsidP="00080173">
            <w:pPr>
              <w:jc w:val="center"/>
              <w:rPr>
                <w:rFonts w:eastAsia="Times New Roman"/>
                <w:b/>
                <w:bCs/>
                <w:color w:val="000000"/>
                <w:sz w:val="20"/>
                <w:szCs w:val="20"/>
              </w:rPr>
            </w:pPr>
            <w:r w:rsidRPr="00942766">
              <w:rPr>
                <w:rFonts w:eastAsia="Times New Roman"/>
                <w:b/>
                <w:bCs/>
                <w:color w:val="000000"/>
                <w:sz w:val="20"/>
                <w:szCs w:val="20"/>
              </w:rPr>
              <w:t>100.13</w:t>
            </w:r>
          </w:p>
        </w:tc>
        <w:tc>
          <w:tcPr>
            <w:tcW w:w="1135"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b/>
                <w:bCs/>
                <w:color w:val="000000"/>
                <w:sz w:val="20"/>
                <w:szCs w:val="20"/>
              </w:rPr>
            </w:pPr>
            <w:r w:rsidRPr="00942766">
              <w:rPr>
                <w:rFonts w:eastAsia="Times New Roman"/>
                <w:b/>
                <w:bCs/>
                <w:color w:val="000000"/>
                <w:sz w:val="20"/>
                <w:szCs w:val="20"/>
              </w:rPr>
              <w:t>(566.39)</w:t>
            </w:r>
          </w:p>
        </w:tc>
        <w:tc>
          <w:tcPr>
            <w:tcW w:w="2054" w:type="dxa"/>
            <w:gridSpan w:val="2"/>
            <w:tcBorders>
              <w:top w:val="nil"/>
              <w:left w:val="nil"/>
              <w:bottom w:val="nil"/>
              <w:right w:val="nil"/>
            </w:tcBorders>
            <w:shd w:val="clear" w:color="000000" w:fill="FFFFFF"/>
            <w:noWrap/>
            <w:vAlign w:val="center"/>
            <w:hideMark/>
          </w:tcPr>
          <w:p w:rsidR="006B10C4" w:rsidRPr="00942766" w:rsidRDefault="006B10C4" w:rsidP="002833D4">
            <w:pPr>
              <w:jc w:val="center"/>
              <w:rPr>
                <w:rFonts w:eastAsia="Times New Roman"/>
                <w:b/>
                <w:bCs/>
                <w:color w:val="000000"/>
                <w:sz w:val="20"/>
                <w:szCs w:val="20"/>
              </w:rPr>
            </w:pPr>
            <w:r w:rsidRPr="00942766">
              <w:rPr>
                <w:rFonts w:eastAsia="Times New Roman"/>
                <w:b/>
                <w:bCs/>
                <w:color w:val="000000"/>
                <w:sz w:val="20"/>
                <w:szCs w:val="20"/>
              </w:rPr>
              <w:t>-</w:t>
            </w:r>
          </w:p>
        </w:tc>
        <w:tc>
          <w:tcPr>
            <w:tcW w:w="1031"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b/>
                <w:bCs/>
                <w:color w:val="000000"/>
                <w:sz w:val="20"/>
                <w:szCs w:val="20"/>
              </w:rPr>
            </w:pPr>
            <w:r w:rsidRPr="00942766">
              <w:rPr>
                <w:rFonts w:eastAsia="Times New Roman"/>
                <w:b/>
                <w:bCs/>
                <w:color w:val="000000"/>
                <w:sz w:val="20"/>
                <w:szCs w:val="20"/>
              </w:rPr>
              <w:t>174.13</w:t>
            </w:r>
          </w:p>
        </w:tc>
        <w:tc>
          <w:tcPr>
            <w:tcW w:w="1262"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b/>
                <w:bCs/>
                <w:color w:val="000000"/>
                <w:sz w:val="20"/>
                <w:szCs w:val="20"/>
              </w:rPr>
            </w:pPr>
            <w:r w:rsidRPr="00942766">
              <w:rPr>
                <w:rFonts w:eastAsia="Times New Roman"/>
                <w:b/>
                <w:bCs/>
                <w:color w:val="000000"/>
                <w:sz w:val="20"/>
                <w:szCs w:val="20"/>
              </w:rPr>
              <w:t>(835.10)</w:t>
            </w:r>
          </w:p>
        </w:tc>
        <w:tc>
          <w:tcPr>
            <w:tcW w:w="980"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b/>
                <w:bCs/>
                <w:color w:val="000000"/>
                <w:sz w:val="20"/>
                <w:szCs w:val="20"/>
              </w:rPr>
            </w:pPr>
            <w:r w:rsidRPr="00942766">
              <w:rPr>
                <w:rFonts w:eastAsia="Times New Roman"/>
                <w:b/>
                <w:bCs/>
                <w:color w:val="000000"/>
                <w:sz w:val="20"/>
                <w:szCs w:val="20"/>
              </w:rPr>
              <w:t>98.75</w:t>
            </w:r>
          </w:p>
        </w:tc>
        <w:tc>
          <w:tcPr>
            <w:tcW w:w="1126" w:type="dxa"/>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b/>
                <w:bCs/>
                <w:color w:val="000000"/>
                <w:sz w:val="20"/>
                <w:szCs w:val="20"/>
              </w:rPr>
            </w:pPr>
            <w:r w:rsidRPr="00942766">
              <w:rPr>
                <w:rFonts w:eastAsia="Times New Roman"/>
                <w:b/>
                <w:bCs/>
                <w:color w:val="000000"/>
                <w:sz w:val="20"/>
                <w:szCs w:val="20"/>
              </w:rPr>
              <w:t>(596.21)</w:t>
            </w:r>
          </w:p>
        </w:tc>
        <w:tc>
          <w:tcPr>
            <w:tcW w:w="1815" w:type="dxa"/>
            <w:gridSpan w:val="2"/>
            <w:tcBorders>
              <w:top w:val="nil"/>
              <w:left w:val="nil"/>
              <w:bottom w:val="nil"/>
              <w:right w:val="nil"/>
            </w:tcBorders>
            <w:shd w:val="clear" w:color="000000" w:fill="FFFFFF"/>
            <w:noWrap/>
            <w:vAlign w:val="center"/>
            <w:hideMark/>
          </w:tcPr>
          <w:p w:rsidR="006B10C4" w:rsidRPr="00942766" w:rsidRDefault="006B10C4" w:rsidP="002833D4">
            <w:pPr>
              <w:jc w:val="center"/>
              <w:rPr>
                <w:rFonts w:eastAsia="Times New Roman"/>
                <w:b/>
                <w:bCs/>
                <w:color w:val="000000"/>
                <w:sz w:val="20"/>
                <w:szCs w:val="20"/>
              </w:rPr>
            </w:pPr>
            <w:r w:rsidRPr="00942766">
              <w:rPr>
                <w:rFonts w:eastAsia="Times New Roman"/>
                <w:b/>
                <w:bCs/>
                <w:color w:val="000000"/>
                <w:sz w:val="20"/>
                <w:szCs w:val="20"/>
              </w:rPr>
              <w:t>-</w:t>
            </w:r>
          </w:p>
        </w:tc>
        <w:tc>
          <w:tcPr>
            <w:tcW w:w="1592" w:type="dxa"/>
            <w:tcBorders>
              <w:top w:val="nil"/>
              <w:left w:val="nil"/>
              <w:bottom w:val="nil"/>
              <w:right w:val="nil"/>
            </w:tcBorders>
            <w:shd w:val="clear" w:color="000000" w:fill="FFFFFF"/>
            <w:noWrap/>
            <w:vAlign w:val="center"/>
            <w:hideMark/>
          </w:tcPr>
          <w:p w:rsidR="006B10C4" w:rsidRPr="00942766" w:rsidRDefault="006B10C4" w:rsidP="002833D4">
            <w:pPr>
              <w:jc w:val="center"/>
              <w:rPr>
                <w:rFonts w:eastAsia="Times New Roman"/>
                <w:b/>
                <w:bCs/>
                <w:color w:val="000000"/>
                <w:sz w:val="20"/>
                <w:szCs w:val="20"/>
              </w:rPr>
            </w:pPr>
            <w:r w:rsidRPr="00942766">
              <w:rPr>
                <w:rFonts w:eastAsia="Times New Roman"/>
                <w:b/>
                <w:bCs/>
                <w:color w:val="000000"/>
                <w:sz w:val="20"/>
                <w:szCs w:val="20"/>
              </w:rPr>
              <w:t>98.75 (51.45)</w:t>
            </w:r>
          </w:p>
        </w:tc>
        <w:tc>
          <w:tcPr>
            <w:tcW w:w="1712" w:type="dxa"/>
            <w:gridSpan w:val="2"/>
            <w:tcBorders>
              <w:top w:val="nil"/>
              <w:left w:val="nil"/>
              <w:bottom w:val="nil"/>
              <w:right w:val="nil"/>
            </w:tcBorders>
            <w:shd w:val="clear" w:color="000000" w:fill="FFFFFF"/>
            <w:noWrap/>
            <w:vAlign w:val="center"/>
            <w:hideMark/>
          </w:tcPr>
          <w:p w:rsidR="006B10C4" w:rsidRPr="00942766" w:rsidRDefault="006B10C4" w:rsidP="00080173">
            <w:pPr>
              <w:jc w:val="center"/>
              <w:rPr>
                <w:rFonts w:eastAsia="Times New Roman"/>
                <w:b/>
                <w:bCs/>
                <w:color w:val="000000"/>
                <w:sz w:val="20"/>
                <w:szCs w:val="20"/>
              </w:rPr>
            </w:pPr>
            <w:r w:rsidRPr="00942766">
              <w:rPr>
                <w:rFonts w:eastAsia="Times New Roman"/>
                <w:b/>
                <w:bCs/>
                <w:color w:val="000000"/>
                <w:sz w:val="20"/>
                <w:szCs w:val="20"/>
              </w:rPr>
              <w:t>-2.08 to 199.59</w:t>
            </w:r>
          </w:p>
        </w:tc>
      </w:tr>
      <w:tr w:rsidR="00525861" w:rsidRPr="00942766" w:rsidTr="00B2413F">
        <w:trPr>
          <w:trHeight w:val="320"/>
        </w:trPr>
        <w:tc>
          <w:tcPr>
            <w:tcW w:w="1975" w:type="dxa"/>
            <w:tcBorders>
              <w:top w:val="nil"/>
              <w:left w:val="nil"/>
              <w:bottom w:val="nil"/>
              <w:right w:val="single" w:sz="8" w:space="0" w:color="auto"/>
            </w:tcBorders>
            <w:shd w:val="clear" w:color="000000" w:fill="FFFFFF"/>
            <w:noWrap/>
            <w:vAlign w:val="center"/>
            <w:hideMark/>
          </w:tcPr>
          <w:p w:rsidR="006B10C4" w:rsidRPr="00942766" w:rsidRDefault="00EB7698" w:rsidP="00DF2FD0">
            <w:pPr>
              <w:rPr>
                <w:rFonts w:eastAsia="Times New Roman"/>
                <w:color w:val="000000"/>
                <w:sz w:val="22"/>
                <w:szCs w:val="22"/>
              </w:rPr>
            </w:pPr>
            <w:r w:rsidRPr="00942766">
              <w:rPr>
                <w:rFonts w:eastAsia="Times New Roman"/>
                <w:color w:val="000000"/>
                <w:sz w:val="22"/>
                <w:szCs w:val="22"/>
              </w:rPr>
              <w:t xml:space="preserve">               </w:t>
            </w:r>
            <w:r w:rsidR="006B10C4" w:rsidRPr="00942766">
              <w:rPr>
                <w:rFonts w:eastAsia="Times New Roman"/>
                <w:color w:val="000000"/>
                <w:sz w:val="22"/>
                <w:szCs w:val="22"/>
              </w:rPr>
              <w:t>No UNHS</w:t>
            </w:r>
          </w:p>
        </w:tc>
        <w:tc>
          <w:tcPr>
            <w:tcW w:w="1002" w:type="dxa"/>
            <w:tcBorders>
              <w:top w:val="nil"/>
              <w:left w:val="single" w:sz="8" w:space="0" w:color="auto"/>
              <w:bottom w:val="nil"/>
              <w:right w:val="nil"/>
            </w:tcBorders>
            <w:shd w:val="clear" w:color="000000" w:fill="FFFFFF"/>
            <w:noWrap/>
            <w:vAlign w:val="bottom"/>
            <w:hideMark/>
          </w:tcPr>
          <w:p w:rsidR="006B10C4" w:rsidRPr="00942766" w:rsidRDefault="006B10C4" w:rsidP="00DF2FD0">
            <w:pPr>
              <w:jc w:val="right"/>
              <w:rPr>
                <w:rFonts w:eastAsia="Times New Roman"/>
                <w:color w:val="000000"/>
                <w:sz w:val="20"/>
                <w:szCs w:val="20"/>
              </w:rPr>
            </w:pPr>
            <w:r w:rsidRPr="00942766">
              <w:rPr>
                <w:rFonts w:eastAsia="Times New Roman"/>
                <w:color w:val="000000"/>
                <w:sz w:val="20"/>
                <w:szCs w:val="20"/>
              </w:rPr>
              <w:t xml:space="preserve">228.86 </w:t>
            </w:r>
          </w:p>
        </w:tc>
        <w:tc>
          <w:tcPr>
            <w:tcW w:w="1135" w:type="dxa"/>
            <w:tcBorders>
              <w:top w:val="nil"/>
              <w:left w:val="nil"/>
              <w:bottom w:val="nil"/>
              <w:right w:val="nil"/>
            </w:tcBorders>
            <w:shd w:val="clear" w:color="000000" w:fill="FFFFFF"/>
            <w:noWrap/>
            <w:vAlign w:val="bottom"/>
            <w:hideMark/>
          </w:tcPr>
          <w:p w:rsidR="006B10C4" w:rsidRPr="00942766" w:rsidRDefault="006B10C4" w:rsidP="00DF2FD0">
            <w:pPr>
              <w:rPr>
                <w:rFonts w:eastAsia="Times New Roman"/>
                <w:color w:val="000000"/>
                <w:sz w:val="20"/>
                <w:szCs w:val="20"/>
              </w:rPr>
            </w:pPr>
            <w:r w:rsidRPr="00942766">
              <w:rPr>
                <w:rFonts w:eastAsia="Times New Roman"/>
                <w:color w:val="000000"/>
                <w:sz w:val="20"/>
                <w:szCs w:val="20"/>
              </w:rPr>
              <w:t>(856.31)</w:t>
            </w:r>
          </w:p>
        </w:tc>
        <w:tc>
          <w:tcPr>
            <w:tcW w:w="928" w:type="dxa"/>
            <w:tcBorders>
              <w:top w:val="nil"/>
              <w:left w:val="nil"/>
              <w:bottom w:val="nil"/>
              <w:right w:val="nil"/>
            </w:tcBorders>
            <w:shd w:val="clear" w:color="000000" w:fill="FFFFFF"/>
            <w:noWrap/>
            <w:vAlign w:val="bottom"/>
            <w:hideMark/>
          </w:tcPr>
          <w:p w:rsidR="006B10C4" w:rsidRPr="00942766" w:rsidRDefault="006B10C4" w:rsidP="00DF2FD0">
            <w:pPr>
              <w:rPr>
                <w:rFonts w:eastAsia="Times New Roman"/>
                <w:color w:val="000000"/>
                <w:sz w:val="20"/>
                <w:szCs w:val="20"/>
              </w:rPr>
            </w:pPr>
            <w:r w:rsidRPr="00942766">
              <w:rPr>
                <w:rFonts w:eastAsia="Times New Roman"/>
                <w:color w:val="000000"/>
                <w:sz w:val="20"/>
                <w:szCs w:val="20"/>
              </w:rPr>
              <w:t> </w:t>
            </w:r>
          </w:p>
        </w:tc>
        <w:tc>
          <w:tcPr>
            <w:tcW w:w="1126" w:type="dxa"/>
            <w:tcBorders>
              <w:top w:val="nil"/>
              <w:left w:val="nil"/>
              <w:bottom w:val="nil"/>
              <w:right w:val="nil"/>
            </w:tcBorders>
            <w:shd w:val="clear" w:color="000000" w:fill="FFFFFF"/>
            <w:noWrap/>
            <w:vAlign w:val="bottom"/>
            <w:hideMark/>
          </w:tcPr>
          <w:p w:rsidR="006B10C4" w:rsidRPr="00942766" w:rsidRDefault="006B10C4" w:rsidP="00DF2FD0">
            <w:pPr>
              <w:rPr>
                <w:rFonts w:eastAsia="Times New Roman"/>
                <w:color w:val="000000"/>
                <w:sz w:val="20"/>
                <w:szCs w:val="20"/>
              </w:rPr>
            </w:pPr>
            <w:r w:rsidRPr="00942766">
              <w:rPr>
                <w:rFonts w:eastAsia="Times New Roman"/>
                <w:color w:val="000000"/>
                <w:sz w:val="20"/>
                <w:szCs w:val="20"/>
              </w:rPr>
              <w:t> </w:t>
            </w:r>
          </w:p>
        </w:tc>
        <w:tc>
          <w:tcPr>
            <w:tcW w:w="1031" w:type="dxa"/>
            <w:tcBorders>
              <w:top w:val="nil"/>
              <w:left w:val="nil"/>
              <w:bottom w:val="nil"/>
              <w:right w:val="nil"/>
            </w:tcBorders>
            <w:shd w:val="clear" w:color="000000" w:fill="FFFFFF"/>
            <w:noWrap/>
            <w:vAlign w:val="bottom"/>
            <w:hideMark/>
          </w:tcPr>
          <w:p w:rsidR="006B10C4" w:rsidRPr="00942766" w:rsidRDefault="006B10C4" w:rsidP="00DF2FD0">
            <w:pPr>
              <w:jc w:val="right"/>
              <w:rPr>
                <w:rFonts w:eastAsia="Times New Roman"/>
                <w:color w:val="000000"/>
                <w:sz w:val="20"/>
                <w:szCs w:val="20"/>
              </w:rPr>
            </w:pPr>
            <w:r w:rsidRPr="00942766">
              <w:rPr>
                <w:rFonts w:eastAsia="Times New Roman"/>
                <w:color w:val="000000"/>
                <w:sz w:val="20"/>
                <w:szCs w:val="20"/>
              </w:rPr>
              <w:t xml:space="preserve"> 286.07 </w:t>
            </w:r>
          </w:p>
        </w:tc>
        <w:tc>
          <w:tcPr>
            <w:tcW w:w="1262" w:type="dxa"/>
            <w:tcBorders>
              <w:top w:val="nil"/>
              <w:left w:val="nil"/>
              <w:bottom w:val="nil"/>
              <w:right w:val="nil"/>
            </w:tcBorders>
            <w:shd w:val="clear" w:color="000000" w:fill="FFFFFF"/>
            <w:noWrap/>
            <w:vAlign w:val="bottom"/>
            <w:hideMark/>
          </w:tcPr>
          <w:p w:rsidR="006B10C4" w:rsidRPr="00942766" w:rsidRDefault="006B10C4" w:rsidP="00DF2FD0">
            <w:pPr>
              <w:rPr>
                <w:rFonts w:eastAsia="Times New Roman"/>
                <w:color w:val="000000"/>
                <w:sz w:val="20"/>
                <w:szCs w:val="20"/>
              </w:rPr>
            </w:pPr>
            <w:r w:rsidRPr="00942766">
              <w:rPr>
                <w:rFonts w:eastAsia="Times New Roman"/>
                <w:color w:val="000000"/>
                <w:sz w:val="20"/>
                <w:szCs w:val="20"/>
              </w:rPr>
              <w:t>(1,070.38)</w:t>
            </w:r>
          </w:p>
        </w:tc>
        <w:tc>
          <w:tcPr>
            <w:tcW w:w="980" w:type="dxa"/>
            <w:tcBorders>
              <w:top w:val="nil"/>
              <w:left w:val="nil"/>
              <w:bottom w:val="nil"/>
              <w:right w:val="nil"/>
            </w:tcBorders>
            <w:shd w:val="clear" w:color="000000" w:fill="FFFFFF"/>
            <w:noWrap/>
            <w:vAlign w:val="bottom"/>
            <w:hideMark/>
          </w:tcPr>
          <w:p w:rsidR="006B10C4" w:rsidRPr="00942766" w:rsidRDefault="006B10C4" w:rsidP="00DF2FD0">
            <w:pPr>
              <w:jc w:val="right"/>
              <w:rPr>
                <w:rFonts w:eastAsia="Times New Roman"/>
                <w:color w:val="000000"/>
                <w:sz w:val="20"/>
                <w:szCs w:val="20"/>
              </w:rPr>
            </w:pPr>
            <w:r w:rsidRPr="00942766">
              <w:rPr>
                <w:rFonts w:eastAsia="Times New Roman"/>
                <w:color w:val="000000"/>
                <w:sz w:val="20"/>
                <w:szCs w:val="20"/>
              </w:rPr>
              <w:t xml:space="preserve"> 189.71 </w:t>
            </w:r>
          </w:p>
        </w:tc>
        <w:tc>
          <w:tcPr>
            <w:tcW w:w="1126" w:type="dxa"/>
            <w:tcBorders>
              <w:top w:val="nil"/>
              <w:left w:val="nil"/>
              <w:bottom w:val="nil"/>
              <w:right w:val="nil"/>
            </w:tcBorders>
            <w:shd w:val="clear" w:color="000000" w:fill="FFFFFF"/>
            <w:noWrap/>
            <w:vAlign w:val="bottom"/>
            <w:hideMark/>
          </w:tcPr>
          <w:p w:rsidR="006B10C4" w:rsidRPr="00942766" w:rsidRDefault="006B10C4" w:rsidP="00DF2FD0">
            <w:pPr>
              <w:rPr>
                <w:rFonts w:eastAsia="Times New Roman"/>
                <w:color w:val="000000"/>
                <w:sz w:val="20"/>
                <w:szCs w:val="20"/>
              </w:rPr>
            </w:pPr>
            <w:r w:rsidRPr="00942766">
              <w:rPr>
                <w:rFonts w:eastAsia="Times New Roman"/>
                <w:color w:val="000000"/>
                <w:sz w:val="20"/>
                <w:szCs w:val="20"/>
              </w:rPr>
              <w:t>(820.98)</w:t>
            </w:r>
          </w:p>
        </w:tc>
        <w:tc>
          <w:tcPr>
            <w:tcW w:w="836" w:type="dxa"/>
            <w:tcBorders>
              <w:top w:val="nil"/>
              <w:left w:val="nil"/>
              <w:bottom w:val="nil"/>
              <w:right w:val="nil"/>
            </w:tcBorders>
            <w:shd w:val="clear" w:color="000000" w:fill="FFFFFF"/>
            <w:noWrap/>
            <w:vAlign w:val="bottom"/>
            <w:hideMark/>
          </w:tcPr>
          <w:p w:rsidR="006B10C4" w:rsidRPr="00942766" w:rsidRDefault="006B10C4" w:rsidP="00DF2FD0">
            <w:pPr>
              <w:rPr>
                <w:rFonts w:eastAsia="Times New Roman"/>
                <w:color w:val="000000"/>
                <w:sz w:val="20"/>
                <w:szCs w:val="20"/>
              </w:rPr>
            </w:pPr>
            <w:r w:rsidRPr="00942766">
              <w:rPr>
                <w:rFonts w:eastAsia="Times New Roman"/>
                <w:color w:val="000000"/>
                <w:sz w:val="20"/>
                <w:szCs w:val="20"/>
              </w:rPr>
              <w:t> </w:t>
            </w:r>
          </w:p>
        </w:tc>
        <w:tc>
          <w:tcPr>
            <w:tcW w:w="979" w:type="dxa"/>
            <w:tcBorders>
              <w:top w:val="nil"/>
              <w:left w:val="nil"/>
              <w:bottom w:val="nil"/>
              <w:right w:val="nil"/>
            </w:tcBorders>
            <w:shd w:val="clear" w:color="000000" w:fill="FFFFFF"/>
            <w:noWrap/>
            <w:vAlign w:val="bottom"/>
            <w:hideMark/>
          </w:tcPr>
          <w:p w:rsidR="006B10C4" w:rsidRPr="00942766" w:rsidRDefault="006B10C4" w:rsidP="00DF2FD0">
            <w:pPr>
              <w:rPr>
                <w:rFonts w:eastAsia="Times New Roman"/>
                <w:color w:val="000000"/>
                <w:sz w:val="20"/>
                <w:szCs w:val="20"/>
              </w:rPr>
            </w:pPr>
            <w:r w:rsidRPr="00942766">
              <w:rPr>
                <w:rFonts w:eastAsia="Times New Roman"/>
                <w:color w:val="000000"/>
                <w:sz w:val="20"/>
                <w:szCs w:val="20"/>
              </w:rPr>
              <w:t> </w:t>
            </w:r>
          </w:p>
        </w:tc>
        <w:tc>
          <w:tcPr>
            <w:tcW w:w="1592" w:type="dxa"/>
            <w:tcBorders>
              <w:top w:val="nil"/>
              <w:left w:val="nil"/>
              <w:bottom w:val="nil"/>
              <w:right w:val="nil"/>
            </w:tcBorders>
            <w:shd w:val="clear" w:color="000000" w:fill="FFFFFF"/>
            <w:noWrap/>
            <w:vAlign w:val="bottom"/>
            <w:hideMark/>
          </w:tcPr>
          <w:p w:rsidR="006B10C4" w:rsidRPr="00942766" w:rsidRDefault="006B10C4" w:rsidP="00DF2FD0">
            <w:pPr>
              <w:jc w:val="center"/>
              <w:rPr>
                <w:rFonts w:eastAsia="Times New Roman"/>
                <w:b/>
                <w:bCs/>
                <w:color w:val="000000"/>
                <w:sz w:val="20"/>
                <w:szCs w:val="20"/>
              </w:rPr>
            </w:pPr>
            <w:r w:rsidRPr="00942766">
              <w:rPr>
                <w:rFonts w:eastAsia="Times New Roman"/>
                <w:b/>
                <w:bCs/>
                <w:color w:val="000000"/>
                <w:sz w:val="20"/>
                <w:szCs w:val="20"/>
              </w:rPr>
              <w:t> </w:t>
            </w:r>
          </w:p>
        </w:tc>
        <w:tc>
          <w:tcPr>
            <w:tcW w:w="816" w:type="dxa"/>
            <w:tcBorders>
              <w:top w:val="nil"/>
              <w:left w:val="nil"/>
              <w:bottom w:val="nil"/>
              <w:right w:val="nil"/>
            </w:tcBorders>
            <w:shd w:val="clear" w:color="000000" w:fill="FFFFFF"/>
            <w:noWrap/>
            <w:vAlign w:val="bottom"/>
            <w:hideMark/>
          </w:tcPr>
          <w:p w:rsidR="006B10C4" w:rsidRPr="00942766" w:rsidRDefault="006B10C4" w:rsidP="00DF2FD0">
            <w:pPr>
              <w:rPr>
                <w:rFonts w:eastAsia="Times New Roman"/>
                <w:b/>
                <w:bCs/>
                <w:color w:val="000000"/>
                <w:sz w:val="20"/>
                <w:szCs w:val="20"/>
              </w:rPr>
            </w:pPr>
            <w:r w:rsidRPr="00942766">
              <w:rPr>
                <w:rFonts w:eastAsia="Times New Roman"/>
                <w:b/>
                <w:bCs/>
                <w:color w:val="000000"/>
                <w:sz w:val="20"/>
                <w:szCs w:val="20"/>
              </w:rPr>
              <w:t> </w:t>
            </w:r>
          </w:p>
        </w:tc>
        <w:tc>
          <w:tcPr>
            <w:tcW w:w="896" w:type="dxa"/>
            <w:tcBorders>
              <w:top w:val="nil"/>
              <w:left w:val="nil"/>
              <w:bottom w:val="nil"/>
              <w:right w:val="nil"/>
            </w:tcBorders>
            <w:shd w:val="clear" w:color="000000" w:fill="FFFFFF"/>
            <w:noWrap/>
            <w:vAlign w:val="bottom"/>
            <w:hideMark/>
          </w:tcPr>
          <w:p w:rsidR="006B10C4" w:rsidRPr="00942766" w:rsidRDefault="006B10C4" w:rsidP="00DF2FD0">
            <w:pPr>
              <w:rPr>
                <w:rFonts w:eastAsia="Times New Roman"/>
                <w:b/>
                <w:bCs/>
                <w:color w:val="000000"/>
                <w:sz w:val="20"/>
                <w:szCs w:val="20"/>
              </w:rPr>
            </w:pPr>
            <w:r w:rsidRPr="00942766">
              <w:rPr>
                <w:rFonts w:eastAsia="Times New Roman"/>
                <w:b/>
                <w:bCs/>
                <w:color w:val="000000"/>
                <w:sz w:val="20"/>
                <w:szCs w:val="20"/>
              </w:rPr>
              <w:t> </w:t>
            </w:r>
          </w:p>
        </w:tc>
      </w:tr>
      <w:tr w:rsidR="00525861" w:rsidRPr="00942766" w:rsidTr="00B2413F">
        <w:trPr>
          <w:trHeight w:val="320"/>
        </w:trPr>
        <w:tc>
          <w:tcPr>
            <w:tcW w:w="1975" w:type="dxa"/>
            <w:tcBorders>
              <w:top w:val="nil"/>
              <w:left w:val="nil"/>
              <w:bottom w:val="nil"/>
              <w:right w:val="single" w:sz="8" w:space="0" w:color="auto"/>
            </w:tcBorders>
            <w:shd w:val="clear" w:color="000000" w:fill="FFFFFF"/>
            <w:noWrap/>
            <w:vAlign w:val="center"/>
            <w:hideMark/>
          </w:tcPr>
          <w:p w:rsidR="006B10C4" w:rsidRPr="00942766" w:rsidRDefault="00EB7698" w:rsidP="00DF2FD0">
            <w:pPr>
              <w:rPr>
                <w:rFonts w:eastAsia="Times New Roman"/>
                <w:color w:val="000000"/>
                <w:sz w:val="22"/>
                <w:szCs w:val="22"/>
              </w:rPr>
            </w:pPr>
            <w:r w:rsidRPr="00942766">
              <w:rPr>
                <w:rFonts w:eastAsia="Times New Roman"/>
                <w:color w:val="000000"/>
                <w:sz w:val="22"/>
                <w:szCs w:val="22"/>
              </w:rPr>
              <w:t xml:space="preserve">                     </w:t>
            </w:r>
            <w:r w:rsidR="006B10C4" w:rsidRPr="00942766">
              <w:rPr>
                <w:rFonts w:eastAsia="Times New Roman"/>
                <w:color w:val="000000"/>
                <w:sz w:val="22"/>
                <w:szCs w:val="22"/>
              </w:rPr>
              <w:t>UNHS</w:t>
            </w:r>
          </w:p>
        </w:tc>
        <w:tc>
          <w:tcPr>
            <w:tcW w:w="1002" w:type="dxa"/>
            <w:tcBorders>
              <w:top w:val="nil"/>
              <w:left w:val="single" w:sz="8" w:space="0" w:color="auto"/>
              <w:bottom w:val="nil"/>
              <w:right w:val="nil"/>
            </w:tcBorders>
            <w:shd w:val="clear" w:color="000000" w:fill="FFFFFF"/>
            <w:noWrap/>
            <w:vAlign w:val="bottom"/>
            <w:hideMark/>
          </w:tcPr>
          <w:p w:rsidR="006B10C4" w:rsidRPr="00942766" w:rsidRDefault="006B10C4" w:rsidP="00DF2FD0">
            <w:pPr>
              <w:jc w:val="right"/>
              <w:rPr>
                <w:rFonts w:eastAsia="Times New Roman"/>
                <w:color w:val="000000"/>
                <w:sz w:val="20"/>
                <w:szCs w:val="20"/>
              </w:rPr>
            </w:pPr>
            <w:r w:rsidRPr="00942766">
              <w:rPr>
                <w:rFonts w:eastAsia="Times New Roman"/>
                <w:color w:val="000000"/>
                <w:sz w:val="20"/>
                <w:szCs w:val="20"/>
              </w:rPr>
              <w:t xml:space="preserve"> - </w:t>
            </w:r>
          </w:p>
        </w:tc>
        <w:tc>
          <w:tcPr>
            <w:tcW w:w="1135" w:type="dxa"/>
            <w:tcBorders>
              <w:top w:val="nil"/>
              <w:left w:val="nil"/>
              <w:bottom w:val="nil"/>
              <w:right w:val="nil"/>
            </w:tcBorders>
            <w:shd w:val="clear" w:color="000000" w:fill="FFFFFF"/>
            <w:noWrap/>
            <w:vAlign w:val="bottom"/>
            <w:hideMark/>
          </w:tcPr>
          <w:p w:rsidR="006B10C4" w:rsidRPr="00942766" w:rsidRDefault="006B10C4" w:rsidP="00DF2FD0">
            <w:pPr>
              <w:rPr>
                <w:rFonts w:eastAsia="Times New Roman"/>
                <w:color w:val="000000"/>
                <w:sz w:val="20"/>
                <w:szCs w:val="20"/>
              </w:rPr>
            </w:pPr>
            <w:r w:rsidRPr="00942766">
              <w:rPr>
                <w:rFonts w:eastAsia="Times New Roman"/>
                <w:color w:val="000000"/>
                <w:sz w:val="20"/>
                <w:szCs w:val="20"/>
              </w:rPr>
              <w:t> </w:t>
            </w:r>
          </w:p>
        </w:tc>
        <w:tc>
          <w:tcPr>
            <w:tcW w:w="928" w:type="dxa"/>
            <w:tcBorders>
              <w:top w:val="nil"/>
              <w:left w:val="nil"/>
              <w:bottom w:val="nil"/>
              <w:right w:val="nil"/>
            </w:tcBorders>
            <w:shd w:val="clear" w:color="000000" w:fill="FFFFFF"/>
            <w:noWrap/>
            <w:vAlign w:val="bottom"/>
            <w:hideMark/>
          </w:tcPr>
          <w:p w:rsidR="006B10C4" w:rsidRPr="00942766" w:rsidRDefault="006B10C4" w:rsidP="00DF2FD0">
            <w:pPr>
              <w:rPr>
                <w:rFonts w:eastAsia="Times New Roman"/>
                <w:color w:val="000000"/>
                <w:sz w:val="20"/>
                <w:szCs w:val="20"/>
              </w:rPr>
            </w:pPr>
            <w:r w:rsidRPr="00942766">
              <w:rPr>
                <w:rFonts w:eastAsia="Times New Roman"/>
                <w:color w:val="000000"/>
                <w:sz w:val="20"/>
                <w:szCs w:val="20"/>
              </w:rPr>
              <w:t> </w:t>
            </w:r>
          </w:p>
        </w:tc>
        <w:tc>
          <w:tcPr>
            <w:tcW w:w="1126" w:type="dxa"/>
            <w:tcBorders>
              <w:top w:val="nil"/>
              <w:left w:val="nil"/>
              <w:bottom w:val="nil"/>
              <w:right w:val="nil"/>
            </w:tcBorders>
            <w:shd w:val="clear" w:color="000000" w:fill="FFFFFF"/>
            <w:noWrap/>
            <w:vAlign w:val="bottom"/>
            <w:hideMark/>
          </w:tcPr>
          <w:p w:rsidR="006B10C4" w:rsidRPr="00942766" w:rsidRDefault="006B10C4" w:rsidP="00DF2FD0">
            <w:pPr>
              <w:rPr>
                <w:rFonts w:eastAsia="Times New Roman"/>
                <w:color w:val="000000"/>
                <w:sz w:val="20"/>
                <w:szCs w:val="20"/>
              </w:rPr>
            </w:pPr>
            <w:r w:rsidRPr="00942766">
              <w:rPr>
                <w:rFonts w:eastAsia="Times New Roman"/>
                <w:color w:val="000000"/>
                <w:sz w:val="20"/>
                <w:szCs w:val="20"/>
              </w:rPr>
              <w:t> </w:t>
            </w:r>
          </w:p>
        </w:tc>
        <w:tc>
          <w:tcPr>
            <w:tcW w:w="1031" w:type="dxa"/>
            <w:tcBorders>
              <w:top w:val="nil"/>
              <w:left w:val="nil"/>
              <w:bottom w:val="nil"/>
              <w:right w:val="nil"/>
            </w:tcBorders>
            <w:shd w:val="clear" w:color="000000" w:fill="FFFFFF"/>
            <w:noWrap/>
            <w:vAlign w:val="bottom"/>
            <w:hideMark/>
          </w:tcPr>
          <w:p w:rsidR="006B10C4" w:rsidRPr="00942766" w:rsidRDefault="006B10C4" w:rsidP="00DF2FD0">
            <w:pPr>
              <w:jc w:val="right"/>
              <w:rPr>
                <w:rFonts w:eastAsia="Times New Roman"/>
                <w:color w:val="000000"/>
                <w:sz w:val="20"/>
                <w:szCs w:val="20"/>
              </w:rPr>
            </w:pPr>
            <w:r w:rsidRPr="00942766">
              <w:rPr>
                <w:rFonts w:eastAsia="Times New Roman"/>
                <w:color w:val="000000"/>
                <w:sz w:val="20"/>
                <w:szCs w:val="20"/>
              </w:rPr>
              <w:t xml:space="preserve"> - </w:t>
            </w:r>
          </w:p>
        </w:tc>
        <w:tc>
          <w:tcPr>
            <w:tcW w:w="1262" w:type="dxa"/>
            <w:tcBorders>
              <w:top w:val="nil"/>
              <w:left w:val="nil"/>
              <w:bottom w:val="nil"/>
              <w:right w:val="nil"/>
            </w:tcBorders>
            <w:shd w:val="clear" w:color="000000" w:fill="FFFFFF"/>
            <w:noWrap/>
            <w:vAlign w:val="bottom"/>
            <w:hideMark/>
          </w:tcPr>
          <w:p w:rsidR="006B10C4" w:rsidRPr="00942766" w:rsidRDefault="006B10C4" w:rsidP="00DF2FD0">
            <w:pPr>
              <w:rPr>
                <w:rFonts w:eastAsia="Times New Roman"/>
                <w:color w:val="000000"/>
                <w:sz w:val="20"/>
                <w:szCs w:val="20"/>
              </w:rPr>
            </w:pPr>
            <w:r w:rsidRPr="00942766">
              <w:rPr>
                <w:rFonts w:eastAsia="Times New Roman"/>
                <w:color w:val="000000"/>
                <w:sz w:val="20"/>
                <w:szCs w:val="20"/>
              </w:rPr>
              <w:t> </w:t>
            </w:r>
          </w:p>
        </w:tc>
        <w:tc>
          <w:tcPr>
            <w:tcW w:w="980" w:type="dxa"/>
            <w:tcBorders>
              <w:top w:val="nil"/>
              <w:left w:val="nil"/>
              <w:bottom w:val="nil"/>
              <w:right w:val="nil"/>
            </w:tcBorders>
            <w:shd w:val="clear" w:color="000000" w:fill="FFFFFF"/>
            <w:noWrap/>
            <w:vAlign w:val="bottom"/>
            <w:hideMark/>
          </w:tcPr>
          <w:p w:rsidR="006B10C4" w:rsidRPr="00942766" w:rsidRDefault="006B10C4" w:rsidP="00DF2FD0">
            <w:pPr>
              <w:jc w:val="right"/>
              <w:rPr>
                <w:rFonts w:eastAsia="Times New Roman"/>
                <w:color w:val="000000"/>
                <w:sz w:val="20"/>
                <w:szCs w:val="20"/>
              </w:rPr>
            </w:pPr>
            <w:r w:rsidRPr="00942766">
              <w:rPr>
                <w:rFonts w:eastAsia="Times New Roman"/>
                <w:color w:val="000000"/>
                <w:sz w:val="20"/>
                <w:szCs w:val="20"/>
              </w:rPr>
              <w:t xml:space="preserve"> - </w:t>
            </w:r>
          </w:p>
        </w:tc>
        <w:tc>
          <w:tcPr>
            <w:tcW w:w="1126" w:type="dxa"/>
            <w:tcBorders>
              <w:top w:val="nil"/>
              <w:left w:val="nil"/>
              <w:bottom w:val="nil"/>
              <w:right w:val="nil"/>
            </w:tcBorders>
            <w:shd w:val="clear" w:color="000000" w:fill="FFFFFF"/>
            <w:noWrap/>
            <w:vAlign w:val="bottom"/>
            <w:hideMark/>
          </w:tcPr>
          <w:p w:rsidR="006B10C4" w:rsidRPr="00942766" w:rsidRDefault="006B10C4" w:rsidP="00DF2FD0">
            <w:pPr>
              <w:rPr>
                <w:rFonts w:eastAsia="Times New Roman"/>
                <w:color w:val="000000"/>
                <w:sz w:val="20"/>
                <w:szCs w:val="20"/>
              </w:rPr>
            </w:pPr>
            <w:r w:rsidRPr="00942766">
              <w:rPr>
                <w:rFonts w:eastAsia="Times New Roman"/>
                <w:color w:val="000000"/>
                <w:sz w:val="20"/>
                <w:szCs w:val="20"/>
              </w:rPr>
              <w:t> </w:t>
            </w:r>
          </w:p>
        </w:tc>
        <w:tc>
          <w:tcPr>
            <w:tcW w:w="836" w:type="dxa"/>
            <w:tcBorders>
              <w:top w:val="nil"/>
              <w:left w:val="nil"/>
              <w:bottom w:val="nil"/>
              <w:right w:val="nil"/>
            </w:tcBorders>
            <w:shd w:val="clear" w:color="000000" w:fill="FFFFFF"/>
            <w:noWrap/>
            <w:vAlign w:val="bottom"/>
            <w:hideMark/>
          </w:tcPr>
          <w:p w:rsidR="006B10C4" w:rsidRPr="00942766" w:rsidRDefault="006B10C4" w:rsidP="00DF2FD0">
            <w:pPr>
              <w:rPr>
                <w:rFonts w:eastAsia="Times New Roman"/>
                <w:color w:val="000000"/>
                <w:sz w:val="20"/>
                <w:szCs w:val="20"/>
              </w:rPr>
            </w:pPr>
            <w:r w:rsidRPr="00942766">
              <w:rPr>
                <w:rFonts w:eastAsia="Times New Roman"/>
                <w:color w:val="000000"/>
                <w:sz w:val="20"/>
                <w:szCs w:val="20"/>
              </w:rPr>
              <w:t> </w:t>
            </w:r>
          </w:p>
        </w:tc>
        <w:tc>
          <w:tcPr>
            <w:tcW w:w="979" w:type="dxa"/>
            <w:tcBorders>
              <w:top w:val="nil"/>
              <w:left w:val="nil"/>
              <w:bottom w:val="nil"/>
              <w:right w:val="nil"/>
            </w:tcBorders>
            <w:shd w:val="clear" w:color="000000" w:fill="FFFFFF"/>
            <w:noWrap/>
            <w:vAlign w:val="bottom"/>
            <w:hideMark/>
          </w:tcPr>
          <w:p w:rsidR="006B10C4" w:rsidRPr="00942766" w:rsidRDefault="006B10C4" w:rsidP="00DF2FD0">
            <w:pPr>
              <w:rPr>
                <w:rFonts w:eastAsia="Times New Roman"/>
                <w:color w:val="000000"/>
                <w:sz w:val="20"/>
                <w:szCs w:val="20"/>
              </w:rPr>
            </w:pPr>
            <w:r w:rsidRPr="00942766">
              <w:rPr>
                <w:rFonts w:eastAsia="Times New Roman"/>
                <w:color w:val="000000"/>
                <w:sz w:val="20"/>
                <w:szCs w:val="20"/>
              </w:rPr>
              <w:t> </w:t>
            </w:r>
          </w:p>
        </w:tc>
        <w:tc>
          <w:tcPr>
            <w:tcW w:w="1592" w:type="dxa"/>
            <w:tcBorders>
              <w:top w:val="nil"/>
              <w:left w:val="nil"/>
              <w:bottom w:val="nil"/>
              <w:right w:val="nil"/>
            </w:tcBorders>
            <w:shd w:val="clear" w:color="000000" w:fill="FFFFFF"/>
            <w:noWrap/>
            <w:vAlign w:val="bottom"/>
            <w:hideMark/>
          </w:tcPr>
          <w:p w:rsidR="006B10C4" w:rsidRPr="00942766" w:rsidRDefault="006B10C4" w:rsidP="00DF2FD0">
            <w:pPr>
              <w:jc w:val="center"/>
              <w:rPr>
                <w:rFonts w:eastAsia="Times New Roman"/>
                <w:b/>
                <w:bCs/>
                <w:color w:val="000000"/>
                <w:sz w:val="20"/>
                <w:szCs w:val="20"/>
              </w:rPr>
            </w:pPr>
            <w:r w:rsidRPr="00942766">
              <w:rPr>
                <w:rFonts w:eastAsia="Times New Roman"/>
                <w:b/>
                <w:bCs/>
                <w:color w:val="000000"/>
                <w:sz w:val="20"/>
                <w:szCs w:val="20"/>
              </w:rPr>
              <w:t> </w:t>
            </w:r>
          </w:p>
        </w:tc>
        <w:tc>
          <w:tcPr>
            <w:tcW w:w="816" w:type="dxa"/>
            <w:tcBorders>
              <w:top w:val="nil"/>
              <w:left w:val="nil"/>
              <w:bottom w:val="nil"/>
              <w:right w:val="nil"/>
            </w:tcBorders>
            <w:shd w:val="clear" w:color="000000" w:fill="FFFFFF"/>
            <w:noWrap/>
            <w:vAlign w:val="bottom"/>
            <w:hideMark/>
          </w:tcPr>
          <w:p w:rsidR="006B10C4" w:rsidRPr="00942766" w:rsidRDefault="006B10C4" w:rsidP="00DF2FD0">
            <w:pPr>
              <w:rPr>
                <w:rFonts w:eastAsia="Times New Roman"/>
                <w:b/>
                <w:bCs/>
                <w:color w:val="000000"/>
                <w:sz w:val="20"/>
                <w:szCs w:val="20"/>
              </w:rPr>
            </w:pPr>
            <w:r w:rsidRPr="00942766">
              <w:rPr>
                <w:rFonts w:eastAsia="Times New Roman"/>
                <w:b/>
                <w:bCs/>
                <w:color w:val="000000"/>
                <w:sz w:val="20"/>
                <w:szCs w:val="20"/>
              </w:rPr>
              <w:t> </w:t>
            </w:r>
          </w:p>
        </w:tc>
        <w:tc>
          <w:tcPr>
            <w:tcW w:w="896" w:type="dxa"/>
            <w:tcBorders>
              <w:top w:val="nil"/>
              <w:left w:val="nil"/>
              <w:bottom w:val="nil"/>
              <w:right w:val="nil"/>
            </w:tcBorders>
            <w:shd w:val="clear" w:color="000000" w:fill="FFFFFF"/>
            <w:noWrap/>
            <w:vAlign w:val="bottom"/>
            <w:hideMark/>
          </w:tcPr>
          <w:p w:rsidR="006B10C4" w:rsidRPr="00942766" w:rsidRDefault="006B10C4" w:rsidP="00DF2FD0">
            <w:pPr>
              <w:rPr>
                <w:rFonts w:eastAsia="Times New Roman"/>
                <w:b/>
                <w:bCs/>
                <w:color w:val="000000"/>
                <w:sz w:val="20"/>
                <w:szCs w:val="20"/>
              </w:rPr>
            </w:pPr>
            <w:r w:rsidRPr="00942766">
              <w:rPr>
                <w:rFonts w:eastAsia="Times New Roman"/>
                <w:b/>
                <w:bCs/>
                <w:color w:val="000000"/>
                <w:sz w:val="20"/>
                <w:szCs w:val="20"/>
              </w:rPr>
              <w:t> </w:t>
            </w:r>
          </w:p>
        </w:tc>
      </w:tr>
      <w:tr w:rsidR="00B2413F" w:rsidRPr="00942766" w:rsidTr="00080173">
        <w:trPr>
          <w:trHeight w:val="320"/>
        </w:trPr>
        <w:tc>
          <w:tcPr>
            <w:tcW w:w="1975" w:type="dxa"/>
            <w:tcBorders>
              <w:top w:val="nil"/>
              <w:left w:val="nil"/>
              <w:bottom w:val="nil"/>
              <w:right w:val="single" w:sz="8" w:space="0" w:color="auto"/>
            </w:tcBorders>
            <w:shd w:val="clear" w:color="000000" w:fill="FFFFFF"/>
            <w:noWrap/>
            <w:vAlign w:val="center"/>
            <w:hideMark/>
          </w:tcPr>
          <w:p w:rsidR="00B2413F" w:rsidRPr="00942766" w:rsidRDefault="00B2413F" w:rsidP="00DF2FD0">
            <w:pPr>
              <w:rPr>
                <w:rFonts w:eastAsia="Times New Roman"/>
                <w:b/>
                <w:bCs/>
                <w:color w:val="000000"/>
                <w:sz w:val="22"/>
                <w:szCs w:val="22"/>
              </w:rPr>
            </w:pPr>
            <w:r w:rsidRPr="00942766">
              <w:rPr>
                <w:rFonts w:eastAsia="Times New Roman"/>
                <w:b/>
                <w:bCs/>
                <w:color w:val="000000"/>
                <w:sz w:val="22"/>
                <w:szCs w:val="22"/>
              </w:rPr>
              <w:t>Foster Care</w:t>
            </w:r>
          </w:p>
        </w:tc>
        <w:tc>
          <w:tcPr>
            <w:tcW w:w="1002" w:type="dxa"/>
            <w:tcBorders>
              <w:top w:val="nil"/>
              <w:left w:val="single" w:sz="8" w:space="0" w:color="auto"/>
              <w:bottom w:val="nil"/>
              <w:right w:val="nil"/>
            </w:tcBorders>
            <w:shd w:val="clear" w:color="000000" w:fill="FFFFFF"/>
            <w:noWrap/>
            <w:vAlign w:val="bottom"/>
            <w:hideMark/>
          </w:tcPr>
          <w:p w:rsidR="00B2413F" w:rsidRPr="00942766" w:rsidRDefault="00B2413F" w:rsidP="00DF2FD0">
            <w:pPr>
              <w:jc w:val="right"/>
              <w:rPr>
                <w:rFonts w:eastAsia="Times New Roman"/>
                <w:b/>
                <w:bCs/>
                <w:color w:val="000000"/>
                <w:sz w:val="20"/>
                <w:szCs w:val="20"/>
              </w:rPr>
            </w:pPr>
            <w:r w:rsidRPr="00942766">
              <w:rPr>
                <w:rFonts w:eastAsia="Times New Roman"/>
                <w:b/>
                <w:bCs/>
                <w:color w:val="000000"/>
                <w:sz w:val="20"/>
                <w:szCs w:val="20"/>
              </w:rPr>
              <w:t xml:space="preserve"> 604.77 </w:t>
            </w:r>
          </w:p>
        </w:tc>
        <w:tc>
          <w:tcPr>
            <w:tcW w:w="1135" w:type="dxa"/>
            <w:tcBorders>
              <w:top w:val="nil"/>
              <w:left w:val="nil"/>
              <w:bottom w:val="nil"/>
              <w:right w:val="nil"/>
            </w:tcBorders>
            <w:shd w:val="clear" w:color="000000" w:fill="FFFFFF"/>
            <w:noWrap/>
            <w:vAlign w:val="bottom"/>
            <w:hideMark/>
          </w:tcPr>
          <w:p w:rsidR="00B2413F" w:rsidRPr="00942766" w:rsidRDefault="00B2413F" w:rsidP="00DF2FD0">
            <w:pPr>
              <w:rPr>
                <w:rFonts w:eastAsia="Times New Roman"/>
                <w:b/>
                <w:bCs/>
                <w:color w:val="000000"/>
                <w:sz w:val="20"/>
                <w:szCs w:val="20"/>
              </w:rPr>
            </w:pPr>
            <w:r w:rsidRPr="00942766">
              <w:rPr>
                <w:rFonts w:eastAsia="Times New Roman"/>
                <w:b/>
                <w:bCs/>
                <w:color w:val="000000"/>
                <w:sz w:val="20"/>
                <w:szCs w:val="20"/>
              </w:rPr>
              <w:t>(3,421.08)</w:t>
            </w:r>
          </w:p>
        </w:tc>
        <w:tc>
          <w:tcPr>
            <w:tcW w:w="2054" w:type="dxa"/>
            <w:gridSpan w:val="2"/>
            <w:tcBorders>
              <w:top w:val="nil"/>
              <w:left w:val="nil"/>
              <w:bottom w:val="nil"/>
              <w:right w:val="nil"/>
            </w:tcBorders>
            <w:shd w:val="clear" w:color="000000" w:fill="FFFFFF"/>
            <w:noWrap/>
            <w:vAlign w:val="center"/>
            <w:hideMark/>
          </w:tcPr>
          <w:p w:rsidR="00B2413F" w:rsidRPr="00942766" w:rsidRDefault="00B2413F" w:rsidP="00DF2FD0">
            <w:pPr>
              <w:jc w:val="center"/>
              <w:rPr>
                <w:rFonts w:eastAsia="Times New Roman"/>
                <w:b/>
                <w:bCs/>
                <w:color w:val="000000"/>
                <w:sz w:val="20"/>
                <w:szCs w:val="20"/>
              </w:rPr>
            </w:pPr>
            <w:r w:rsidRPr="00942766">
              <w:rPr>
                <w:rFonts w:eastAsia="Times New Roman"/>
                <w:b/>
                <w:bCs/>
                <w:color w:val="000000"/>
                <w:sz w:val="20"/>
                <w:szCs w:val="20"/>
              </w:rPr>
              <w:t xml:space="preserve"> - </w:t>
            </w:r>
          </w:p>
        </w:tc>
        <w:tc>
          <w:tcPr>
            <w:tcW w:w="1031" w:type="dxa"/>
            <w:tcBorders>
              <w:top w:val="nil"/>
              <w:left w:val="nil"/>
              <w:bottom w:val="nil"/>
              <w:right w:val="nil"/>
            </w:tcBorders>
            <w:shd w:val="clear" w:color="000000" w:fill="FFFFFF"/>
            <w:noWrap/>
            <w:vAlign w:val="bottom"/>
            <w:hideMark/>
          </w:tcPr>
          <w:p w:rsidR="00B2413F" w:rsidRPr="00942766" w:rsidRDefault="00B2413F" w:rsidP="00DF2FD0">
            <w:pPr>
              <w:jc w:val="right"/>
              <w:rPr>
                <w:rFonts w:eastAsia="Times New Roman"/>
                <w:b/>
                <w:bCs/>
                <w:color w:val="000000"/>
                <w:sz w:val="20"/>
                <w:szCs w:val="20"/>
              </w:rPr>
            </w:pPr>
            <w:r w:rsidRPr="00942766">
              <w:rPr>
                <w:rFonts w:eastAsia="Times New Roman"/>
                <w:b/>
                <w:bCs/>
                <w:color w:val="000000"/>
                <w:sz w:val="20"/>
                <w:szCs w:val="20"/>
              </w:rPr>
              <w:t xml:space="preserve"> - </w:t>
            </w:r>
          </w:p>
        </w:tc>
        <w:tc>
          <w:tcPr>
            <w:tcW w:w="1262" w:type="dxa"/>
            <w:tcBorders>
              <w:top w:val="nil"/>
              <w:left w:val="nil"/>
              <w:bottom w:val="nil"/>
              <w:right w:val="nil"/>
            </w:tcBorders>
            <w:shd w:val="clear" w:color="000000" w:fill="FFFFFF"/>
            <w:noWrap/>
            <w:vAlign w:val="bottom"/>
            <w:hideMark/>
          </w:tcPr>
          <w:p w:rsidR="00B2413F" w:rsidRPr="00942766" w:rsidRDefault="00B2413F" w:rsidP="00DF2FD0">
            <w:pPr>
              <w:rPr>
                <w:rFonts w:eastAsia="Times New Roman"/>
                <w:b/>
                <w:bCs/>
                <w:color w:val="000000"/>
                <w:sz w:val="20"/>
                <w:szCs w:val="20"/>
              </w:rPr>
            </w:pPr>
            <w:r w:rsidRPr="00942766">
              <w:rPr>
                <w:rFonts w:eastAsia="Times New Roman"/>
                <w:b/>
                <w:bCs/>
                <w:color w:val="000000"/>
                <w:sz w:val="20"/>
                <w:szCs w:val="20"/>
              </w:rPr>
              <w:t> </w:t>
            </w:r>
          </w:p>
        </w:tc>
        <w:tc>
          <w:tcPr>
            <w:tcW w:w="980" w:type="dxa"/>
            <w:tcBorders>
              <w:top w:val="nil"/>
              <w:left w:val="nil"/>
              <w:bottom w:val="nil"/>
              <w:right w:val="nil"/>
            </w:tcBorders>
            <w:shd w:val="clear" w:color="000000" w:fill="FFFFFF"/>
            <w:noWrap/>
            <w:vAlign w:val="bottom"/>
            <w:hideMark/>
          </w:tcPr>
          <w:p w:rsidR="00B2413F" w:rsidRPr="00942766" w:rsidRDefault="00B2413F" w:rsidP="00DF2FD0">
            <w:pPr>
              <w:jc w:val="right"/>
              <w:rPr>
                <w:rFonts w:eastAsia="Times New Roman"/>
                <w:b/>
                <w:bCs/>
                <w:color w:val="000000"/>
                <w:sz w:val="20"/>
                <w:szCs w:val="20"/>
              </w:rPr>
            </w:pPr>
            <w:r w:rsidRPr="00942766">
              <w:rPr>
                <w:rFonts w:eastAsia="Times New Roman"/>
                <w:b/>
                <w:bCs/>
                <w:color w:val="000000"/>
                <w:sz w:val="20"/>
                <w:szCs w:val="20"/>
              </w:rPr>
              <w:t xml:space="preserve"> 265.10 </w:t>
            </w:r>
          </w:p>
        </w:tc>
        <w:tc>
          <w:tcPr>
            <w:tcW w:w="1126" w:type="dxa"/>
            <w:tcBorders>
              <w:top w:val="nil"/>
              <w:left w:val="nil"/>
              <w:bottom w:val="nil"/>
              <w:right w:val="nil"/>
            </w:tcBorders>
            <w:shd w:val="clear" w:color="000000" w:fill="FFFFFF"/>
            <w:noWrap/>
            <w:vAlign w:val="bottom"/>
            <w:hideMark/>
          </w:tcPr>
          <w:p w:rsidR="00B2413F" w:rsidRPr="00942766" w:rsidRDefault="00B2413F" w:rsidP="00DF2FD0">
            <w:pPr>
              <w:rPr>
                <w:rFonts w:eastAsia="Times New Roman"/>
                <w:b/>
                <w:bCs/>
                <w:color w:val="000000"/>
                <w:sz w:val="20"/>
                <w:szCs w:val="20"/>
              </w:rPr>
            </w:pPr>
            <w:r w:rsidRPr="00942766">
              <w:rPr>
                <w:rFonts w:eastAsia="Times New Roman"/>
                <w:b/>
                <w:bCs/>
                <w:color w:val="000000"/>
                <w:sz w:val="20"/>
                <w:szCs w:val="20"/>
              </w:rPr>
              <w:t>(2,265.05)</w:t>
            </w:r>
          </w:p>
        </w:tc>
        <w:tc>
          <w:tcPr>
            <w:tcW w:w="1815" w:type="dxa"/>
            <w:gridSpan w:val="2"/>
            <w:tcBorders>
              <w:top w:val="nil"/>
              <w:left w:val="nil"/>
              <w:bottom w:val="nil"/>
              <w:right w:val="nil"/>
            </w:tcBorders>
            <w:shd w:val="clear" w:color="000000" w:fill="FFFFFF"/>
            <w:noWrap/>
            <w:vAlign w:val="center"/>
            <w:hideMark/>
          </w:tcPr>
          <w:p w:rsidR="00B2413F" w:rsidRPr="00942766" w:rsidRDefault="00B2413F" w:rsidP="00DF2FD0">
            <w:pPr>
              <w:jc w:val="center"/>
              <w:rPr>
                <w:rFonts w:eastAsia="Times New Roman"/>
                <w:b/>
                <w:bCs/>
                <w:color w:val="000000"/>
                <w:sz w:val="20"/>
                <w:szCs w:val="20"/>
              </w:rPr>
            </w:pPr>
            <w:r w:rsidRPr="00942766">
              <w:rPr>
                <w:rFonts w:eastAsia="Times New Roman"/>
                <w:b/>
                <w:bCs/>
                <w:color w:val="000000"/>
                <w:sz w:val="20"/>
                <w:szCs w:val="20"/>
              </w:rPr>
              <w:t xml:space="preserve"> - </w:t>
            </w:r>
          </w:p>
        </w:tc>
        <w:tc>
          <w:tcPr>
            <w:tcW w:w="1592" w:type="dxa"/>
            <w:tcBorders>
              <w:top w:val="nil"/>
              <w:left w:val="nil"/>
              <w:bottom w:val="nil"/>
              <w:right w:val="nil"/>
            </w:tcBorders>
            <w:shd w:val="clear" w:color="000000" w:fill="FFFFFF"/>
            <w:noWrap/>
            <w:vAlign w:val="bottom"/>
            <w:hideMark/>
          </w:tcPr>
          <w:p w:rsidR="00B2413F" w:rsidRPr="00942766" w:rsidRDefault="00B2413F" w:rsidP="00DF2FD0">
            <w:pPr>
              <w:jc w:val="center"/>
              <w:rPr>
                <w:rFonts w:eastAsia="Times New Roman"/>
                <w:b/>
                <w:bCs/>
                <w:color w:val="000000"/>
                <w:sz w:val="20"/>
                <w:szCs w:val="20"/>
              </w:rPr>
            </w:pPr>
            <w:r w:rsidRPr="00942766">
              <w:rPr>
                <w:rFonts w:eastAsia="Times New Roman"/>
                <w:b/>
                <w:bCs/>
                <w:color w:val="000000"/>
                <w:sz w:val="20"/>
                <w:szCs w:val="20"/>
              </w:rPr>
              <w:t xml:space="preserve"> 265.10 (226.56) </w:t>
            </w:r>
          </w:p>
        </w:tc>
        <w:tc>
          <w:tcPr>
            <w:tcW w:w="1712" w:type="dxa"/>
            <w:gridSpan w:val="2"/>
            <w:tcBorders>
              <w:top w:val="nil"/>
              <w:left w:val="nil"/>
              <w:bottom w:val="nil"/>
              <w:right w:val="nil"/>
            </w:tcBorders>
            <w:shd w:val="clear" w:color="000000" w:fill="FFFFFF"/>
            <w:noWrap/>
            <w:vAlign w:val="center"/>
            <w:hideMark/>
          </w:tcPr>
          <w:p w:rsidR="00B2413F" w:rsidRPr="00942766" w:rsidRDefault="00B2413F" w:rsidP="00080173">
            <w:pPr>
              <w:jc w:val="center"/>
              <w:rPr>
                <w:rFonts w:eastAsia="Times New Roman"/>
                <w:b/>
                <w:bCs/>
                <w:color w:val="000000"/>
                <w:sz w:val="20"/>
                <w:szCs w:val="20"/>
              </w:rPr>
            </w:pPr>
            <w:r w:rsidRPr="00942766">
              <w:rPr>
                <w:rFonts w:eastAsia="Times New Roman"/>
                <w:b/>
                <w:bCs/>
                <w:color w:val="000000"/>
                <w:sz w:val="20"/>
                <w:szCs w:val="20"/>
              </w:rPr>
              <w:t>-178.93 to 709.14</w:t>
            </w:r>
          </w:p>
        </w:tc>
      </w:tr>
      <w:tr w:rsidR="00525861" w:rsidRPr="00942766" w:rsidTr="00B2413F">
        <w:trPr>
          <w:trHeight w:val="320"/>
        </w:trPr>
        <w:tc>
          <w:tcPr>
            <w:tcW w:w="1975" w:type="dxa"/>
            <w:tcBorders>
              <w:top w:val="nil"/>
              <w:left w:val="nil"/>
              <w:bottom w:val="nil"/>
              <w:right w:val="single" w:sz="8" w:space="0" w:color="auto"/>
            </w:tcBorders>
            <w:shd w:val="clear" w:color="000000" w:fill="FFFFFF"/>
            <w:noWrap/>
            <w:vAlign w:val="center"/>
            <w:hideMark/>
          </w:tcPr>
          <w:p w:rsidR="006B10C4" w:rsidRPr="00942766" w:rsidRDefault="00EB7698" w:rsidP="00DF2FD0">
            <w:pPr>
              <w:rPr>
                <w:rFonts w:eastAsia="Times New Roman"/>
                <w:color w:val="000000"/>
                <w:sz w:val="22"/>
                <w:szCs w:val="22"/>
              </w:rPr>
            </w:pPr>
            <w:r w:rsidRPr="00942766">
              <w:rPr>
                <w:rFonts w:eastAsia="Times New Roman"/>
                <w:color w:val="000000"/>
                <w:sz w:val="22"/>
                <w:szCs w:val="22"/>
              </w:rPr>
              <w:t xml:space="preserve">               </w:t>
            </w:r>
            <w:r w:rsidR="006B10C4" w:rsidRPr="00942766">
              <w:rPr>
                <w:rFonts w:eastAsia="Times New Roman"/>
                <w:color w:val="000000"/>
                <w:sz w:val="22"/>
                <w:szCs w:val="22"/>
              </w:rPr>
              <w:t>No UNHS</w:t>
            </w:r>
          </w:p>
        </w:tc>
        <w:tc>
          <w:tcPr>
            <w:tcW w:w="1002" w:type="dxa"/>
            <w:tcBorders>
              <w:top w:val="nil"/>
              <w:left w:val="single" w:sz="8" w:space="0" w:color="auto"/>
              <w:bottom w:val="nil"/>
              <w:right w:val="nil"/>
            </w:tcBorders>
            <w:shd w:val="clear" w:color="000000" w:fill="FFFFFF"/>
            <w:noWrap/>
            <w:vAlign w:val="bottom"/>
            <w:hideMark/>
          </w:tcPr>
          <w:p w:rsidR="006B10C4" w:rsidRPr="00942766" w:rsidRDefault="006B10C4" w:rsidP="00DF2FD0">
            <w:pPr>
              <w:jc w:val="right"/>
              <w:rPr>
                <w:rFonts w:eastAsia="Times New Roman"/>
                <w:color w:val="000000"/>
                <w:sz w:val="20"/>
                <w:szCs w:val="20"/>
              </w:rPr>
            </w:pPr>
            <w:r w:rsidRPr="00942766">
              <w:rPr>
                <w:rFonts w:eastAsia="Times New Roman"/>
                <w:color w:val="000000"/>
                <w:sz w:val="20"/>
                <w:szCs w:val="20"/>
              </w:rPr>
              <w:t xml:space="preserve"> - </w:t>
            </w:r>
          </w:p>
        </w:tc>
        <w:tc>
          <w:tcPr>
            <w:tcW w:w="1135" w:type="dxa"/>
            <w:tcBorders>
              <w:top w:val="nil"/>
              <w:left w:val="nil"/>
              <w:bottom w:val="nil"/>
              <w:right w:val="nil"/>
            </w:tcBorders>
            <w:shd w:val="clear" w:color="000000" w:fill="FFFFFF"/>
            <w:noWrap/>
            <w:vAlign w:val="bottom"/>
            <w:hideMark/>
          </w:tcPr>
          <w:p w:rsidR="006B10C4" w:rsidRPr="00942766" w:rsidRDefault="006B10C4" w:rsidP="00DF2FD0">
            <w:pPr>
              <w:rPr>
                <w:rFonts w:eastAsia="Times New Roman"/>
                <w:color w:val="000000"/>
                <w:sz w:val="20"/>
                <w:szCs w:val="20"/>
              </w:rPr>
            </w:pPr>
            <w:r w:rsidRPr="00942766">
              <w:rPr>
                <w:rFonts w:eastAsia="Times New Roman"/>
                <w:color w:val="000000"/>
                <w:sz w:val="20"/>
                <w:szCs w:val="20"/>
              </w:rPr>
              <w:t> </w:t>
            </w:r>
          </w:p>
        </w:tc>
        <w:tc>
          <w:tcPr>
            <w:tcW w:w="928" w:type="dxa"/>
            <w:tcBorders>
              <w:top w:val="nil"/>
              <w:left w:val="nil"/>
              <w:bottom w:val="nil"/>
              <w:right w:val="nil"/>
            </w:tcBorders>
            <w:shd w:val="clear" w:color="000000" w:fill="FFFFFF"/>
            <w:noWrap/>
            <w:vAlign w:val="bottom"/>
            <w:hideMark/>
          </w:tcPr>
          <w:p w:rsidR="006B10C4" w:rsidRPr="00942766" w:rsidRDefault="006B10C4" w:rsidP="00DF2FD0">
            <w:pPr>
              <w:rPr>
                <w:rFonts w:eastAsia="Times New Roman"/>
                <w:color w:val="000000"/>
                <w:sz w:val="20"/>
                <w:szCs w:val="20"/>
              </w:rPr>
            </w:pPr>
            <w:r w:rsidRPr="00942766">
              <w:rPr>
                <w:rFonts w:eastAsia="Times New Roman"/>
                <w:color w:val="000000"/>
                <w:sz w:val="20"/>
                <w:szCs w:val="20"/>
              </w:rPr>
              <w:t> </w:t>
            </w:r>
          </w:p>
        </w:tc>
        <w:tc>
          <w:tcPr>
            <w:tcW w:w="1126" w:type="dxa"/>
            <w:tcBorders>
              <w:top w:val="nil"/>
              <w:left w:val="nil"/>
              <w:bottom w:val="nil"/>
              <w:right w:val="nil"/>
            </w:tcBorders>
            <w:shd w:val="clear" w:color="000000" w:fill="FFFFFF"/>
            <w:noWrap/>
            <w:vAlign w:val="bottom"/>
            <w:hideMark/>
          </w:tcPr>
          <w:p w:rsidR="006B10C4" w:rsidRPr="00942766" w:rsidRDefault="006B10C4" w:rsidP="00DF2FD0">
            <w:pPr>
              <w:rPr>
                <w:rFonts w:eastAsia="Times New Roman"/>
                <w:color w:val="000000"/>
                <w:sz w:val="20"/>
                <w:szCs w:val="20"/>
              </w:rPr>
            </w:pPr>
            <w:r w:rsidRPr="00942766">
              <w:rPr>
                <w:rFonts w:eastAsia="Times New Roman"/>
                <w:color w:val="000000"/>
                <w:sz w:val="20"/>
                <w:szCs w:val="20"/>
              </w:rPr>
              <w:t> </w:t>
            </w:r>
          </w:p>
        </w:tc>
        <w:tc>
          <w:tcPr>
            <w:tcW w:w="1031" w:type="dxa"/>
            <w:tcBorders>
              <w:top w:val="nil"/>
              <w:left w:val="nil"/>
              <w:bottom w:val="nil"/>
              <w:right w:val="nil"/>
            </w:tcBorders>
            <w:shd w:val="clear" w:color="000000" w:fill="FFFFFF"/>
            <w:noWrap/>
            <w:vAlign w:val="bottom"/>
            <w:hideMark/>
          </w:tcPr>
          <w:p w:rsidR="006B10C4" w:rsidRPr="00942766" w:rsidRDefault="006B10C4" w:rsidP="00DF2FD0">
            <w:pPr>
              <w:rPr>
                <w:rFonts w:eastAsia="Times New Roman"/>
                <w:color w:val="000000"/>
                <w:sz w:val="20"/>
                <w:szCs w:val="20"/>
              </w:rPr>
            </w:pPr>
            <w:r w:rsidRPr="00942766">
              <w:rPr>
                <w:rFonts w:eastAsia="Times New Roman"/>
                <w:color w:val="000000"/>
                <w:sz w:val="20"/>
                <w:szCs w:val="20"/>
              </w:rPr>
              <w:t> </w:t>
            </w:r>
          </w:p>
        </w:tc>
        <w:tc>
          <w:tcPr>
            <w:tcW w:w="1262" w:type="dxa"/>
            <w:tcBorders>
              <w:top w:val="nil"/>
              <w:left w:val="nil"/>
              <w:bottom w:val="nil"/>
              <w:right w:val="nil"/>
            </w:tcBorders>
            <w:shd w:val="clear" w:color="000000" w:fill="FFFFFF"/>
            <w:noWrap/>
            <w:vAlign w:val="bottom"/>
            <w:hideMark/>
          </w:tcPr>
          <w:p w:rsidR="006B10C4" w:rsidRPr="00942766" w:rsidRDefault="006B10C4" w:rsidP="00DF2FD0">
            <w:pPr>
              <w:rPr>
                <w:rFonts w:eastAsia="Times New Roman"/>
                <w:color w:val="000000"/>
                <w:sz w:val="20"/>
                <w:szCs w:val="20"/>
              </w:rPr>
            </w:pPr>
            <w:r w:rsidRPr="00942766">
              <w:rPr>
                <w:rFonts w:eastAsia="Times New Roman"/>
                <w:color w:val="000000"/>
                <w:sz w:val="20"/>
                <w:szCs w:val="20"/>
              </w:rPr>
              <w:t> </w:t>
            </w:r>
          </w:p>
        </w:tc>
        <w:tc>
          <w:tcPr>
            <w:tcW w:w="980" w:type="dxa"/>
            <w:tcBorders>
              <w:top w:val="nil"/>
              <w:left w:val="nil"/>
              <w:bottom w:val="nil"/>
              <w:right w:val="nil"/>
            </w:tcBorders>
            <w:shd w:val="clear" w:color="000000" w:fill="FFFFFF"/>
            <w:noWrap/>
            <w:vAlign w:val="bottom"/>
            <w:hideMark/>
          </w:tcPr>
          <w:p w:rsidR="006B10C4" w:rsidRPr="00942766" w:rsidRDefault="006B10C4" w:rsidP="00DF2FD0">
            <w:pPr>
              <w:jc w:val="right"/>
              <w:rPr>
                <w:rFonts w:eastAsia="Times New Roman"/>
                <w:color w:val="000000"/>
                <w:sz w:val="20"/>
                <w:szCs w:val="20"/>
              </w:rPr>
            </w:pPr>
            <w:r w:rsidRPr="00942766">
              <w:rPr>
                <w:rFonts w:eastAsia="Times New Roman"/>
                <w:color w:val="000000"/>
                <w:sz w:val="20"/>
                <w:szCs w:val="20"/>
              </w:rPr>
              <w:t xml:space="preserve"> - </w:t>
            </w:r>
          </w:p>
        </w:tc>
        <w:tc>
          <w:tcPr>
            <w:tcW w:w="1126" w:type="dxa"/>
            <w:tcBorders>
              <w:top w:val="nil"/>
              <w:left w:val="nil"/>
              <w:bottom w:val="nil"/>
              <w:right w:val="nil"/>
            </w:tcBorders>
            <w:shd w:val="clear" w:color="000000" w:fill="FFFFFF"/>
            <w:noWrap/>
            <w:vAlign w:val="bottom"/>
            <w:hideMark/>
          </w:tcPr>
          <w:p w:rsidR="006B10C4" w:rsidRPr="00942766" w:rsidRDefault="006B10C4" w:rsidP="00DF2FD0">
            <w:pPr>
              <w:rPr>
                <w:rFonts w:eastAsia="Times New Roman"/>
                <w:color w:val="000000"/>
                <w:sz w:val="20"/>
                <w:szCs w:val="20"/>
              </w:rPr>
            </w:pPr>
            <w:r w:rsidRPr="00942766">
              <w:rPr>
                <w:rFonts w:eastAsia="Times New Roman"/>
                <w:color w:val="000000"/>
                <w:sz w:val="20"/>
                <w:szCs w:val="20"/>
              </w:rPr>
              <w:t> </w:t>
            </w:r>
          </w:p>
        </w:tc>
        <w:tc>
          <w:tcPr>
            <w:tcW w:w="836" w:type="dxa"/>
            <w:tcBorders>
              <w:top w:val="nil"/>
              <w:left w:val="nil"/>
              <w:bottom w:val="nil"/>
              <w:right w:val="nil"/>
            </w:tcBorders>
            <w:shd w:val="clear" w:color="000000" w:fill="FFFFFF"/>
            <w:noWrap/>
            <w:vAlign w:val="bottom"/>
            <w:hideMark/>
          </w:tcPr>
          <w:p w:rsidR="006B10C4" w:rsidRPr="00942766" w:rsidRDefault="006B10C4" w:rsidP="00DF2FD0">
            <w:pPr>
              <w:rPr>
                <w:rFonts w:eastAsia="Times New Roman"/>
                <w:color w:val="000000"/>
                <w:sz w:val="20"/>
                <w:szCs w:val="20"/>
              </w:rPr>
            </w:pPr>
            <w:r w:rsidRPr="00942766">
              <w:rPr>
                <w:rFonts w:eastAsia="Times New Roman"/>
                <w:color w:val="000000"/>
                <w:sz w:val="20"/>
                <w:szCs w:val="20"/>
              </w:rPr>
              <w:t> </w:t>
            </w:r>
          </w:p>
        </w:tc>
        <w:tc>
          <w:tcPr>
            <w:tcW w:w="979" w:type="dxa"/>
            <w:tcBorders>
              <w:top w:val="nil"/>
              <w:left w:val="nil"/>
              <w:bottom w:val="nil"/>
              <w:right w:val="nil"/>
            </w:tcBorders>
            <w:shd w:val="clear" w:color="000000" w:fill="FFFFFF"/>
            <w:noWrap/>
            <w:vAlign w:val="bottom"/>
            <w:hideMark/>
          </w:tcPr>
          <w:p w:rsidR="006B10C4" w:rsidRPr="00942766" w:rsidRDefault="006B10C4" w:rsidP="00DF2FD0">
            <w:pPr>
              <w:rPr>
                <w:rFonts w:eastAsia="Times New Roman"/>
                <w:color w:val="000000"/>
                <w:sz w:val="20"/>
                <w:szCs w:val="20"/>
              </w:rPr>
            </w:pPr>
            <w:r w:rsidRPr="00942766">
              <w:rPr>
                <w:rFonts w:eastAsia="Times New Roman"/>
                <w:color w:val="000000"/>
                <w:sz w:val="20"/>
                <w:szCs w:val="20"/>
              </w:rPr>
              <w:t> </w:t>
            </w:r>
          </w:p>
        </w:tc>
        <w:tc>
          <w:tcPr>
            <w:tcW w:w="1592" w:type="dxa"/>
            <w:tcBorders>
              <w:top w:val="nil"/>
              <w:left w:val="nil"/>
              <w:bottom w:val="nil"/>
              <w:right w:val="nil"/>
            </w:tcBorders>
            <w:shd w:val="clear" w:color="000000" w:fill="FFFFFF"/>
            <w:noWrap/>
            <w:vAlign w:val="bottom"/>
            <w:hideMark/>
          </w:tcPr>
          <w:p w:rsidR="006B10C4" w:rsidRPr="00942766" w:rsidRDefault="006B10C4" w:rsidP="00DF2FD0">
            <w:pPr>
              <w:jc w:val="center"/>
              <w:rPr>
                <w:rFonts w:eastAsia="Times New Roman"/>
                <w:b/>
                <w:bCs/>
                <w:color w:val="000000"/>
                <w:sz w:val="20"/>
                <w:szCs w:val="20"/>
              </w:rPr>
            </w:pPr>
            <w:r w:rsidRPr="00942766">
              <w:rPr>
                <w:rFonts w:eastAsia="Times New Roman"/>
                <w:b/>
                <w:bCs/>
                <w:color w:val="000000"/>
                <w:sz w:val="20"/>
                <w:szCs w:val="20"/>
              </w:rPr>
              <w:t> </w:t>
            </w:r>
          </w:p>
        </w:tc>
        <w:tc>
          <w:tcPr>
            <w:tcW w:w="816" w:type="dxa"/>
            <w:tcBorders>
              <w:top w:val="nil"/>
              <w:left w:val="nil"/>
              <w:bottom w:val="nil"/>
              <w:right w:val="nil"/>
            </w:tcBorders>
            <w:shd w:val="clear" w:color="000000" w:fill="FFFFFF"/>
            <w:noWrap/>
            <w:vAlign w:val="bottom"/>
            <w:hideMark/>
          </w:tcPr>
          <w:p w:rsidR="006B10C4" w:rsidRPr="00942766" w:rsidRDefault="006B10C4" w:rsidP="00DF2FD0">
            <w:pPr>
              <w:rPr>
                <w:rFonts w:eastAsia="Times New Roman"/>
                <w:b/>
                <w:bCs/>
                <w:color w:val="000000"/>
                <w:sz w:val="20"/>
                <w:szCs w:val="20"/>
              </w:rPr>
            </w:pPr>
            <w:r w:rsidRPr="00942766">
              <w:rPr>
                <w:rFonts w:eastAsia="Times New Roman"/>
                <w:b/>
                <w:bCs/>
                <w:color w:val="000000"/>
                <w:sz w:val="20"/>
                <w:szCs w:val="20"/>
              </w:rPr>
              <w:t> </w:t>
            </w:r>
          </w:p>
        </w:tc>
        <w:tc>
          <w:tcPr>
            <w:tcW w:w="896" w:type="dxa"/>
            <w:tcBorders>
              <w:top w:val="nil"/>
              <w:left w:val="nil"/>
              <w:bottom w:val="nil"/>
              <w:right w:val="nil"/>
            </w:tcBorders>
            <w:shd w:val="clear" w:color="000000" w:fill="FFFFFF"/>
            <w:noWrap/>
            <w:vAlign w:val="bottom"/>
            <w:hideMark/>
          </w:tcPr>
          <w:p w:rsidR="006B10C4" w:rsidRPr="00942766" w:rsidRDefault="006B10C4" w:rsidP="00DF2FD0">
            <w:pPr>
              <w:rPr>
                <w:rFonts w:eastAsia="Times New Roman"/>
                <w:b/>
                <w:bCs/>
                <w:color w:val="000000"/>
                <w:sz w:val="20"/>
                <w:szCs w:val="20"/>
              </w:rPr>
            </w:pPr>
            <w:r w:rsidRPr="00942766">
              <w:rPr>
                <w:rFonts w:eastAsia="Times New Roman"/>
                <w:b/>
                <w:bCs/>
                <w:color w:val="000000"/>
                <w:sz w:val="20"/>
                <w:szCs w:val="20"/>
              </w:rPr>
              <w:t> </w:t>
            </w:r>
          </w:p>
        </w:tc>
      </w:tr>
      <w:tr w:rsidR="00525861" w:rsidRPr="00942766" w:rsidTr="00B2413F">
        <w:trPr>
          <w:trHeight w:val="320"/>
        </w:trPr>
        <w:tc>
          <w:tcPr>
            <w:tcW w:w="1975" w:type="dxa"/>
            <w:tcBorders>
              <w:top w:val="nil"/>
              <w:left w:val="nil"/>
              <w:bottom w:val="single" w:sz="4" w:space="0" w:color="auto"/>
              <w:right w:val="single" w:sz="8" w:space="0" w:color="auto"/>
            </w:tcBorders>
            <w:shd w:val="clear" w:color="000000" w:fill="FFFFFF"/>
            <w:noWrap/>
            <w:vAlign w:val="center"/>
            <w:hideMark/>
          </w:tcPr>
          <w:p w:rsidR="006B10C4" w:rsidRPr="00942766" w:rsidRDefault="00EB7698" w:rsidP="00DF2FD0">
            <w:pPr>
              <w:rPr>
                <w:rFonts w:eastAsia="Times New Roman"/>
                <w:color w:val="000000"/>
                <w:sz w:val="22"/>
                <w:szCs w:val="22"/>
              </w:rPr>
            </w:pPr>
            <w:r w:rsidRPr="00942766">
              <w:rPr>
                <w:rFonts w:eastAsia="Times New Roman"/>
                <w:color w:val="000000"/>
                <w:sz w:val="22"/>
                <w:szCs w:val="22"/>
              </w:rPr>
              <w:t xml:space="preserve">                     </w:t>
            </w:r>
            <w:r w:rsidR="006B10C4" w:rsidRPr="00942766">
              <w:rPr>
                <w:rFonts w:eastAsia="Times New Roman"/>
                <w:color w:val="000000"/>
                <w:sz w:val="22"/>
                <w:szCs w:val="22"/>
              </w:rPr>
              <w:t>UNHS</w:t>
            </w:r>
          </w:p>
        </w:tc>
        <w:tc>
          <w:tcPr>
            <w:tcW w:w="1002" w:type="dxa"/>
            <w:tcBorders>
              <w:top w:val="nil"/>
              <w:left w:val="single" w:sz="8" w:space="0" w:color="auto"/>
              <w:bottom w:val="single" w:sz="4" w:space="0" w:color="auto"/>
              <w:right w:val="nil"/>
            </w:tcBorders>
            <w:shd w:val="clear" w:color="000000" w:fill="FFFFFF"/>
            <w:noWrap/>
            <w:vAlign w:val="bottom"/>
            <w:hideMark/>
          </w:tcPr>
          <w:p w:rsidR="006B10C4" w:rsidRPr="00942766" w:rsidRDefault="006B10C4" w:rsidP="00DF2FD0">
            <w:pPr>
              <w:jc w:val="right"/>
              <w:rPr>
                <w:rFonts w:eastAsia="Times New Roman"/>
                <w:color w:val="000000"/>
                <w:sz w:val="20"/>
                <w:szCs w:val="20"/>
              </w:rPr>
            </w:pPr>
            <w:r w:rsidRPr="00942766">
              <w:rPr>
                <w:rFonts w:eastAsia="Times New Roman"/>
                <w:color w:val="000000"/>
                <w:sz w:val="20"/>
                <w:szCs w:val="20"/>
              </w:rPr>
              <w:t xml:space="preserve"> 1,075.14 </w:t>
            </w:r>
          </w:p>
        </w:tc>
        <w:tc>
          <w:tcPr>
            <w:tcW w:w="1135" w:type="dxa"/>
            <w:tcBorders>
              <w:top w:val="nil"/>
              <w:left w:val="nil"/>
              <w:bottom w:val="single" w:sz="4" w:space="0" w:color="auto"/>
              <w:right w:val="nil"/>
            </w:tcBorders>
            <w:shd w:val="clear" w:color="000000" w:fill="FFFFFF"/>
            <w:noWrap/>
            <w:vAlign w:val="bottom"/>
            <w:hideMark/>
          </w:tcPr>
          <w:p w:rsidR="006B10C4" w:rsidRPr="00942766" w:rsidRDefault="006B10C4" w:rsidP="00DF2FD0">
            <w:pPr>
              <w:rPr>
                <w:rFonts w:eastAsia="Times New Roman"/>
                <w:color w:val="000000"/>
                <w:sz w:val="20"/>
                <w:szCs w:val="20"/>
              </w:rPr>
            </w:pPr>
            <w:r w:rsidRPr="00942766">
              <w:rPr>
                <w:rFonts w:eastAsia="Times New Roman"/>
                <w:color w:val="000000"/>
                <w:sz w:val="20"/>
                <w:szCs w:val="20"/>
              </w:rPr>
              <w:t>(4,561.45)</w:t>
            </w:r>
          </w:p>
        </w:tc>
        <w:tc>
          <w:tcPr>
            <w:tcW w:w="928" w:type="dxa"/>
            <w:tcBorders>
              <w:top w:val="nil"/>
              <w:left w:val="nil"/>
              <w:bottom w:val="single" w:sz="4" w:space="0" w:color="auto"/>
              <w:right w:val="nil"/>
            </w:tcBorders>
            <w:shd w:val="clear" w:color="000000" w:fill="FFFFFF"/>
            <w:noWrap/>
            <w:vAlign w:val="bottom"/>
            <w:hideMark/>
          </w:tcPr>
          <w:p w:rsidR="006B10C4" w:rsidRPr="00942766" w:rsidRDefault="006B10C4" w:rsidP="00DF2FD0">
            <w:pPr>
              <w:rPr>
                <w:rFonts w:eastAsia="Times New Roman"/>
                <w:color w:val="000000"/>
                <w:sz w:val="20"/>
                <w:szCs w:val="20"/>
              </w:rPr>
            </w:pPr>
            <w:r w:rsidRPr="00942766">
              <w:rPr>
                <w:rFonts w:eastAsia="Times New Roman"/>
                <w:color w:val="000000"/>
                <w:sz w:val="20"/>
                <w:szCs w:val="20"/>
              </w:rPr>
              <w:t> </w:t>
            </w:r>
          </w:p>
        </w:tc>
        <w:tc>
          <w:tcPr>
            <w:tcW w:w="1126" w:type="dxa"/>
            <w:tcBorders>
              <w:top w:val="nil"/>
              <w:left w:val="nil"/>
              <w:bottom w:val="single" w:sz="4" w:space="0" w:color="auto"/>
              <w:right w:val="nil"/>
            </w:tcBorders>
            <w:shd w:val="clear" w:color="000000" w:fill="FFFFFF"/>
            <w:noWrap/>
            <w:vAlign w:val="bottom"/>
            <w:hideMark/>
          </w:tcPr>
          <w:p w:rsidR="006B10C4" w:rsidRPr="00942766" w:rsidRDefault="006B10C4" w:rsidP="00DF2FD0">
            <w:pPr>
              <w:rPr>
                <w:rFonts w:eastAsia="Times New Roman"/>
                <w:color w:val="000000"/>
                <w:sz w:val="20"/>
                <w:szCs w:val="20"/>
              </w:rPr>
            </w:pPr>
            <w:r w:rsidRPr="00942766">
              <w:rPr>
                <w:rFonts w:eastAsia="Times New Roman"/>
                <w:color w:val="000000"/>
                <w:sz w:val="20"/>
                <w:szCs w:val="20"/>
              </w:rPr>
              <w:t> </w:t>
            </w:r>
          </w:p>
        </w:tc>
        <w:tc>
          <w:tcPr>
            <w:tcW w:w="1031" w:type="dxa"/>
            <w:tcBorders>
              <w:top w:val="nil"/>
              <w:left w:val="nil"/>
              <w:bottom w:val="single" w:sz="4" w:space="0" w:color="auto"/>
              <w:right w:val="nil"/>
            </w:tcBorders>
            <w:shd w:val="clear" w:color="000000" w:fill="FFFFFF"/>
            <w:noWrap/>
            <w:vAlign w:val="bottom"/>
            <w:hideMark/>
          </w:tcPr>
          <w:p w:rsidR="006B10C4" w:rsidRPr="00942766" w:rsidRDefault="006B10C4" w:rsidP="00DF2FD0">
            <w:pPr>
              <w:rPr>
                <w:rFonts w:eastAsia="Times New Roman"/>
                <w:color w:val="000000"/>
                <w:sz w:val="20"/>
                <w:szCs w:val="20"/>
              </w:rPr>
            </w:pPr>
            <w:r w:rsidRPr="00942766">
              <w:rPr>
                <w:rFonts w:eastAsia="Times New Roman"/>
                <w:color w:val="000000"/>
                <w:sz w:val="20"/>
                <w:szCs w:val="20"/>
              </w:rPr>
              <w:t> </w:t>
            </w:r>
          </w:p>
        </w:tc>
        <w:tc>
          <w:tcPr>
            <w:tcW w:w="1262" w:type="dxa"/>
            <w:tcBorders>
              <w:top w:val="nil"/>
              <w:left w:val="nil"/>
              <w:bottom w:val="single" w:sz="4" w:space="0" w:color="auto"/>
              <w:right w:val="nil"/>
            </w:tcBorders>
            <w:shd w:val="clear" w:color="000000" w:fill="FFFFFF"/>
            <w:noWrap/>
            <w:vAlign w:val="bottom"/>
            <w:hideMark/>
          </w:tcPr>
          <w:p w:rsidR="006B10C4" w:rsidRPr="00942766" w:rsidRDefault="006B10C4" w:rsidP="00DF2FD0">
            <w:pPr>
              <w:rPr>
                <w:rFonts w:eastAsia="Times New Roman"/>
                <w:color w:val="000000"/>
                <w:sz w:val="20"/>
                <w:szCs w:val="20"/>
              </w:rPr>
            </w:pPr>
            <w:r w:rsidRPr="00942766">
              <w:rPr>
                <w:rFonts w:eastAsia="Times New Roman"/>
                <w:color w:val="000000"/>
                <w:sz w:val="20"/>
                <w:szCs w:val="20"/>
              </w:rPr>
              <w:t> </w:t>
            </w:r>
          </w:p>
        </w:tc>
        <w:tc>
          <w:tcPr>
            <w:tcW w:w="980" w:type="dxa"/>
            <w:tcBorders>
              <w:top w:val="nil"/>
              <w:left w:val="nil"/>
              <w:bottom w:val="single" w:sz="4" w:space="0" w:color="auto"/>
              <w:right w:val="nil"/>
            </w:tcBorders>
            <w:shd w:val="clear" w:color="000000" w:fill="FFFFFF"/>
            <w:noWrap/>
            <w:vAlign w:val="bottom"/>
            <w:hideMark/>
          </w:tcPr>
          <w:p w:rsidR="006B10C4" w:rsidRPr="00942766" w:rsidRDefault="006B10C4" w:rsidP="00DF2FD0">
            <w:pPr>
              <w:jc w:val="right"/>
              <w:rPr>
                <w:rFonts w:eastAsia="Times New Roman"/>
                <w:color w:val="000000"/>
                <w:sz w:val="20"/>
                <w:szCs w:val="20"/>
              </w:rPr>
            </w:pPr>
            <w:r w:rsidRPr="00942766">
              <w:rPr>
                <w:rFonts w:eastAsia="Times New Roman"/>
                <w:color w:val="000000"/>
                <w:sz w:val="20"/>
                <w:szCs w:val="20"/>
              </w:rPr>
              <w:t xml:space="preserve"> 552.93 </w:t>
            </w:r>
          </w:p>
        </w:tc>
        <w:tc>
          <w:tcPr>
            <w:tcW w:w="1126" w:type="dxa"/>
            <w:tcBorders>
              <w:top w:val="nil"/>
              <w:left w:val="nil"/>
              <w:bottom w:val="single" w:sz="4" w:space="0" w:color="auto"/>
              <w:right w:val="nil"/>
            </w:tcBorders>
            <w:shd w:val="clear" w:color="000000" w:fill="FFFFFF"/>
            <w:noWrap/>
            <w:vAlign w:val="bottom"/>
            <w:hideMark/>
          </w:tcPr>
          <w:p w:rsidR="006B10C4" w:rsidRPr="00942766" w:rsidRDefault="006B10C4" w:rsidP="00DF2FD0">
            <w:pPr>
              <w:rPr>
                <w:rFonts w:eastAsia="Times New Roman"/>
                <w:color w:val="000000"/>
                <w:sz w:val="20"/>
                <w:szCs w:val="20"/>
              </w:rPr>
            </w:pPr>
            <w:r w:rsidRPr="00942766">
              <w:rPr>
                <w:rFonts w:eastAsia="Times New Roman"/>
                <w:color w:val="000000"/>
                <w:sz w:val="20"/>
                <w:szCs w:val="20"/>
              </w:rPr>
              <w:t>(3,271.18)</w:t>
            </w:r>
          </w:p>
        </w:tc>
        <w:tc>
          <w:tcPr>
            <w:tcW w:w="836" w:type="dxa"/>
            <w:tcBorders>
              <w:top w:val="nil"/>
              <w:left w:val="nil"/>
              <w:bottom w:val="single" w:sz="4" w:space="0" w:color="auto"/>
              <w:right w:val="nil"/>
            </w:tcBorders>
            <w:shd w:val="clear" w:color="000000" w:fill="FFFFFF"/>
            <w:noWrap/>
            <w:vAlign w:val="bottom"/>
            <w:hideMark/>
          </w:tcPr>
          <w:p w:rsidR="006B10C4" w:rsidRPr="00942766" w:rsidRDefault="006B10C4" w:rsidP="00DF2FD0">
            <w:pPr>
              <w:rPr>
                <w:rFonts w:eastAsia="Times New Roman"/>
                <w:color w:val="000000"/>
                <w:sz w:val="20"/>
                <w:szCs w:val="20"/>
              </w:rPr>
            </w:pPr>
            <w:r w:rsidRPr="00942766">
              <w:rPr>
                <w:rFonts w:eastAsia="Times New Roman"/>
                <w:color w:val="000000"/>
                <w:sz w:val="20"/>
                <w:szCs w:val="20"/>
              </w:rPr>
              <w:t> </w:t>
            </w:r>
          </w:p>
        </w:tc>
        <w:tc>
          <w:tcPr>
            <w:tcW w:w="979" w:type="dxa"/>
            <w:tcBorders>
              <w:top w:val="nil"/>
              <w:left w:val="nil"/>
              <w:bottom w:val="single" w:sz="4" w:space="0" w:color="auto"/>
              <w:right w:val="nil"/>
            </w:tcBorders>
            <w:shd w:val="clear" w:color="000000" w:fill="FFFFFF"/>
            <w:noWrap/>
            <w:vAlign w:val="bottom"/>
            <w:hideMark/>
          </w:tcPr>
          <w:p w:rsidR="006B10C4" w:rsidRPr="00942766" w:rsidRDefault="006B10C4" w:rsidP="00DF2FD0">
            <w:pPr>
              <w:rPr>
                <w:rFonts w:eastAsia="Times New Roman"/>
                <w:color w:val="000000"/>
                <w:sz w:val="20"/>
                <w:szCs w:val="20"/>
              </w:rPr>
            </w:pPr>
            <w:r w:rsidRPr="00942766">
              <w:rPr>
                <w:rFonts w:eastAsia="Times New Roman"/>
                <w:color w:val="000000"/>
                <w:sz w:val="20"/>
                <w:szCs w:val="20"/>
              </w:rPr>
              <w:t> </w:t>
            </w:r>
          </w:p>
        </w:tc>
        <w:tc>
          <w:tcPr>
            <w:tcW w:w="1592" w:type="dxa"/>
            <w:tcBorders>
              <w:top w:val="nil"/>
              <w:left w:val="nil"/>
              <w:bottom w:val="single" w:sz="4" w:space="0" w:color="auto"/>
              <w:right w:val="nil"/>
            </w:tcBorders>
            <w:shd w:val="clear" w:color="000000" w:fill="FFFFFF"/>
            <w:noWrap/>
            <w:vAlign w:val="bottom"/>
            <w:hideMark/>
          </w:tcPr>
          <w:p w:rsidR="006B10C4" w:rsidRPr="00942766" w:rsidRDefault="006B10C4" w:rsidP="00DF2FD0">
            <w:pPr>
              <w:jc w:val="center"/>
              <w:rPr>
                <w:rFonts w:eastAsia="Times New Roman"/>
                <w:b/>
                <w:bCs/>
                <w:color w:val="000000"/>
                <w:sz w:val="20"/>
                <w:szCs w:val="20"/>
              </w:rPr>
            </w:pPr>
            <w:r w:rsidRPr="00942766">
              <w:rPr>
                <w:rFonts w:eastAsia="Times New Roman"/>
                <w:b/>
                <w:bCs/>
                <w:color w:val="000000"/>
                <w:sz w:val="20"/>
                <w:szCs w:val="20"/>
              </w:rPr>
              <w:t> </w:t>
            </w:r>
          </w:p>
        </w:tc>
        <w:tc>
          <w:tcPr>
            <w:tcW w:w="816" w:type="dxa"/>
            <w:tcBorders>
              <w:top w:val="nil"/>
              <w:left w:val="nil"/>
              <w:bottom w:val="single" w:sz="4" w:space="0" w:color="auto"/>
              <w:right w:val="nil"/>
            </w:tcBorders>
            <w:shd w:val="clear" w:color="000000" w:fill="FFFFFF"/>
            <w:noWrap/>
            <w:vAlign w:val="bottom"/>
            <w:hideMark/>
          </w:tcPr>
          <w:p w:rsidR="006B10C4" w:rsidRPr="00942766" w:rsidRDefault="006B10C4" w:rsidP="00DF2FD0">
            <w:pPr>
              <w:rPr>
                <w:rFonts w:eastAsia="Times New Roman"/>
                <w:b/>
                <w:bCs/>
                <w:color w:val="000000"/>
                <w:sz w:val="20"/>
                <w:szCs w:val="20"/>
              </w:rPr>
            </w:pPr>
            <w:r w:rsidRPr="00942766">
              <w:rPr>
                <w:rFonts w:eastAsia="Times New Roman"/>
                <w:b/>
                <w:bCs/>
                <w:color w:val="000000"/>
                <w:sz w:val="20"/>
                <w:szCs w:val="20"/>
              </w:rPr>
              <w:t> </w:t>
            </w:r>
          </w:p>
        </w:tc>
        <w:tc>
          <w:tcPr>
            <w:tcW w:w="896" w:type="dxa"/>
            <w:tcBorders>
              <w:top w:val="nil"/>
              <w:left w:val="nil"/>
              <w:bottom w:val="single" w:sz="4" w:space="0" w:color="auto"/>
              <w:right w:val="nil"/>
            </w:tcBorders>
            <w:shd w:val="clear" w:color="000000" w:fill="FFFFFF"/>
            <w:noWrap/>
            <w:vAlign w:val="bottom"/>
            <w:hideMark/>
          </w:tcPr>
          <w:p w:rsidR="006B10C4" w:rsidRPr="00942766" w:rsidRDefault="006B10C4" w:rsidP="00DF2FD0">
            <w:pPr>
              <w:rPr>
                <w:rFonts w:eastAsia="Times New Roman"/>
                <w:b/>
                <w:bCs/>
                <w:color w:val="000000"/>
                <w:sz w:val="20"/>
                <w:szCs w:val="20"/>
              </w:rPr>
            </w:pPr>
            <w:r w:rsidRPr="00942766">
              <w:rPr>
                <w:rFonts w:eastAsia="Times New Roman"/>
                <w:b/>
                <w:bCs/>
                <w:color w:val="000000"/>
                <w:sz w:val="20"/>
                <w:szCs w:val="20"/>
              </w:rPr>
              <w:t> </w:t>
            </w:r>
          </w:p>
        </w:tc>
      </w:tr>
    </w:tbl>
    <w:p w:rsidR="00BB7AEB" w:rsidRPr="00942766" w:rsidRDefault="00F6153B" w:rsidP="00BB7AEB">
      <w:pPr>
        <w:rPr>
          <w:b/>
          <w:iCs/>
          <w:sz w:val="22"/>
          <w:szCs w:val="22"/>
        </w:rPr>
      </w:pPr>
      <w:r w:rsidRPr="00942766">
        <w:rPr>
          <w:b/>
          <w:iCs/>
          <w:sz w:val="22"/>
          <w:szCs w:val="22"/>
        </w:rPr>
        <w:br w:type="page"/>
      </w:r>
      <w:r w:rsidR="00BB7AEB" w:rsidRPr="00942766">
        <w:rPr>
          <w:b/>
          <w:iCs/>
          <w:sz w:val="22"/>
          <w:szCs w:val="22"/>
        </w:rPr>
        <w:lastRenderedPageBreak/>
        <w:t xml:space="preserve">Table </w:t>
      </w:r>
      <w:r w:rsidR="00F13D33" w:rsidRPr="00942766">
        <w:rPr>
          <w:b/>
          <w:iCs/>
          <w:sz w:val="22"/>
          <w:szCs w:val="22"/>
        </w:rPr>
        <w:t>4</w:t>
      </w:r>
      <w:r w:rsidR="00BB7AEB" w:rsidRPr="00942766">
        <w:rPr>
          <w:b/>
          <w:iCs/>
          <w:sz w:val="22"/>
          <w:szCs w:val="22"/>
        </w:rPr>
        <w:t xml:space="preserve"> Annual mean costs by cost category for health &amp; social service use and UNHS status</w:t>
      </w:r>
      <w:r w:rsidR="00B2413F" w:rsidRPr="00942766">
        <w:rPr>
          <w:b/>
          <w:iCs/>
          <w:sz w:val="22"/>
          <w:szCs w:val="22"/>
        </w:rPr>
        <w:t xml:space="preserve"> (concl)</w:t>
      </w:r>
    </w:p>
    <w:p w:rsidR="00DF2FD0" w:rsidRPr="00942766" w:rsidRDefault="00DF2FD0">
      <w:pPr>
        <w:rPr>
          <w:sz w:val="20"/>
          <w:szCs w:val="20"/>
        </w:rPr>
      </w:pPr>
    </w:p>
    <w:tbl>
      <w:tblPr>
        <w:tblW w:w="15735" w:type="dxa"/>
        <w:tblInd w:w="-142" w:type="dxa"/>
        <w:tblLook w:val="04A0" w:firstRow="1" w:lastRow="0" w:firstColumn="1" w:lastColumn="0" w:noHBand="0" w:noVBand="1"/>
      </w:tblPr>
      <w:tblGrid>
        <w:gridCol w:w="1416"/>
        <w:gridCol w:w="1060"/>
        <w:gridCol w:w="1211"/>
        <w:gridCol w:w="1093"/>
        <w:gridCol w:w="1265"/>
        <w:gridCol w:w="1046"/>
        <w:gridCol w:w="1282"/>
        <w:gridCol w:w="1172"/>
        <w:gridCol w:w="1245"/>
        <w:gridCol w:w="916"/>
        <w:gridCol w:w="1052"/>
        <w:gridCol w:w="1701"/>
        <w:gridCol w:w="428"/>
        <w:gridCol w:w="848"/>
      </w:tblGrid>
      <w:tr w:rsidR="00BB7AEB" w:rsidRPr="00942766" w:rsidTr="00080173">
        <w:trPr>
          <w:trHeight w:val="340"/>
        </w:trPr>
        <w:tc>
          <w:tcPr>
            <w:tcW w:w="1416" w:type="dxa"/>
            <w:vMerge w:val="restart"/>
            <w:tcBorders>
              <w:top w:val="single" w:sz="4" w:space="0" w:color="auto"/>
              <w:left w:val="nil"/>
              <w:bottom w:val="single" w:sz="4" w:space="0" w:color="000000"/>
              <w:right w:val="single" w:sz="8" w:space="0" w:color="auto"/>
            </w:tcBorders>
            <w:shd w:val="clear" w:color="000000" w:fill="FFFFFF"/>
            <w:noWrap/>
            <w:vAlign w:val="bottom"/>
          </w:tcPr>
          <w:p w:rsidR="00DF2FD0" w:rsidRPr="00942766" w:rsidRDefault="00DF2FD0" w:rsidP="00080173">
            <w:pPr>
              <w:rPr>
                <w:rFonts w:eastAsia="Times New Roman"/>
                <w:b/>
                <w:bCs/>
                <w:color w:val="000000"/>
                <w:sz w:val="14"/>
                <w:szCs w:val="14"/>
              </w:rPr>
            </w:pPr>
            <w:r w:rsidRPr="00942766">
              <w:rPr>
                <w:rFonts w:eastAsia="Times New Roman"/>
                <w:b/>
                <w:bCs/>
                <w:color w:val="000000"/>
                <w:sz w:val="22"/>
                <w:szCs w:val="22"/>
              </w:rPr>
              <w:t>Cost Domain</w:t>
            </w:r>
          </w:p>
        </w:tc>
        <w:tc>
          <w:tcPr>
            <w:tcW w:w="9374" w:type="dxa"/>
            <w:gridSpan w:val="8"/>
            <w:tcBorders>
              <w:top w:val="single" w:sz="4" w:space="0" w:color="auto"/>
              <w:left w:val="single" w:sz="8" w:space="0" w:color="auto"/>
              <w:bottom w:val="single" w:sz="4" w:space="0" w:color="auto"/>
              <w:right w:val="nil"/>
            </w:tcBorders>
            <w:shd w:val="clear" w:color="auto" w:fill="auto"/>
            <w:noWrap/>
            <w:vAlign w:val="center"/>
          </w:tcPr>
          <w:p w:rsidR="00DF2FD0" w:rsidRPr="00942766" w:rsidRDefault="00DF2FD0" w:rsidP="00DF2FD0">
            <w:pPr>
              <w:jc w:val="center"/>
              <w:rPr>
                <w:rFonts w:eastAsia="Times New Roman"/>
                <w:b/>
                <w:bCs/>
                <w:color w:val="000000"/>
                <w:sz w:val="14"/>
                <w:szCs w:val="14"/>
              </w:rPr>
            </w:pPr>
            <w:r w:rsidRPr="00942766">
              <w:rPr>
                <w:rFonts w:eastAsia="Times New Roman"/>
                <w:b/>
                <w:bCs/>
                <w:color w:val="000000"/>
                <w:sz w:val="22"/>
                <w:szCs w:val="22"/>
              </w:rPr>
              <w:t>Children With PCHL</w:t>
            </w:r>
          </w:p>
        </w:tc>
        <w:tc>
          <w:tcPr>
            <w:tcW w:w="1968" w:type="dxa"/>
            <w:gridSpan w:val="2"/>
            <w:vMerge w:val="restart"/>
            <w:tcBorders>
              <w:top w:val="single" w:sz="4" w:space="0" w:color="auto"/>
              <w:left w:val="nil"/>
              <w:bottom w:val="nil"/>
              <w:right w:val="nil"/>
            </w:tcBorders>
            <w:shd w:val="clear" w:color="000000" w:fill="FFFFFF"/>
            <w:vAlign w:val="center"/>
          </w:tcPr>
          <w:p w:rsidR="00DF2FD0" w:rsidRPr="00942766" w:rsidRDefault="00DF2FD0" w:rsidP="00DF2FD0">
            <w:pPr>
              <w:jc w:val="center"/>
              <w:rPr>
                <w:rFonts w:eastAsia="Times New Roman"/>
                <w:b/>
                <w:bCs/>
                <w:color w:val="000000"/>
                <w:sz w:val="14"/>
                <w:szCs w:val="14"/>
              </w:rPr>
            </w:pPr>
            <w:r w:rsidRPr="00942766">
              <w:rPr>
                <w:rFonts w:eastAsia="Times New Roman"/>
                <w:b/>
                <w:bCs/>
                <w:color w:val="000000"/>
                <w:sz w:val="22"/>
                <w:szCs w:val="22"/>
              </w:rPr>
              <w:t>HCG (n=37)</w:t>
            </w:r>
          </w:p>
        </w:tc>
        <w:tc>
          <w:tcPr>
            <w:tcW w:w="1701" w:type="dxa"/>
            <w:tcBorders>
              <w:top w:val="single" w:sz="4" w:space="0" w:color="auto"/>
              <w:left w:val="nil"/>
              <w:bottom w:val="nil"/>
              <w:right w:val="nil"/>
            </w:tcBorders>
            <w:shd w:val="clear" w:color="000000" w:fill="FFFFFF"/>
            <w:vAlign w:val="center"/>
          </w:tcPr>
          <w:p w:rsidR="00DF2FD0" w:rsidRPr="00942766" w:rsidRDefault="00B2413F" w:rsidP="002833D4">
            <w:pPr>
              <w:jc w:val="center"/>
              <w:rPr>
                <w:rFonts w:eastAsia="Times New Roman"/>
                <w:b/>
                <w:bCs/>
                <w:color w:val="000000"/>
                <w:sz w:val="22"/>
                <w:szCs w:val="22"/>
              </w:rPr>
            </w:pPr>
            <w:r w:rsidRPr="00942766">
              <w:rPr>
                <w:rFonts w:eastAsia="Times New Roman"/>
                <w:b/>
                <w:bCs/>
                <w:color w:val="000000"/>
                <w:sz w:val="22"/>
                <w:szCs w:val="22"/>
              </w:rPr>
              <w:t>PCHL vs HCG</w:t>
            </w:r>
          </w:p>
        </w:tc>
        <w:tc>
          <w:tcPr>
            <w:tcW w:w="1276" w:type="dxa"/>
            <w:gridSpan w:val="2"/>
            <w:tcBorders>
              <w:top w:val="single" w:sz="4" w:space="0" w:color="auto"/>
              <w:left w:val="nil"/>
              <w:bottom w:val="nil"/>
              <w:right w:val="nil"/>
            </w:tcBorders>
            <w:shd w:val="clear" w:color="000000" w:fill="FFFFFF"/>
            <w:vAlign w:val="center"/>
          </w:tcPr>
          <w:p w:rsidR="00DF2FD0" w:rsidRPr="00942766" w:rsidRDefault="00DF2FD0" w:rsidP="002833D4">
            <w:pPr>
              <w:jc w:val="center"/>
              <w:rPr>
                <w:rFonts w:eastAsia="Times New Roman"/>
                <w:b/>
                <w:bCs/>
                <w:color w:val="000000"/>
                <w:sz w:val="14"/>
                <w:szCs w:val="14"/>
              </w:rPr>
            </w:pPr>
            <w:r w:rsidRPr="00942766">
              <w:rPr>
                <w:rFonts w:eastAsia="Times New Roman"/>
                <w:b/>
                <w:bCs/>
                <w:color w:val="000000"/>
                <w:sz w:val="22"/>
                <w:szCs w:val="22"/>
              </w:rPr>
              <w:t>95% CI</w:t>
            </w:r>
          </w:p>
        </w:tc>
      </w:tr>
      <w:tr w:rsidR="00080173" w:rsidRPr="00942766" w:rsidTr="00080173">
        <w:trPr>
          <w:trHeight w:val="422"/>
        </w:trPr>
        <w:tc>
          <w:tcPr>
            <w:tcW w:w="1416" w:type="dxa"/>
            <w:vMerge/>
            <w:tcBorders>
              <w:top w:val="single" w:sz="4" w:space="0" w:color="auto"/>
              <w:left w:val="nil"/>
              <w:bottom w:val="single" w:sz="4" w:space="0" w:color="000000"/>
              <w:right w:val="single" w:sz="8" w:space="0" w:color="auto"/>
            </w:tcBorders>
            <w:vAlign w:val="center"/>
          </w:tcPr>
          <w:p w:rsidR="00DF2FD0" w:rsidRPr="00942766" w:rsidRDefault="00DF2FD0" w:rsidP="00DF2FD0">
            <w:pPr>
              <w:rPr>
                <w:rFonts w:eastAsia="Times New Roman"/>
                <w:b/>
                <w:bCs/>
                <w:color w:val="000000"/>
                <w:sz w:val="14"/>
                <w:szCs w:val="14"/>
              </w:rPr>
            </w:pPr>
          </w:p>
        </w:tc>
        <w:tc>
          <w:tcPr>
            <w:tcW w:w="2271" w:type="dxa"/>
            <w:gridSpan w:val="2"/>
            <w:tcBorders>
              <w:top w:val="nil"/>
              <w:left w:val="single" w:sz="8" w:space="0" w:color="auto"/>
              <w:bottom w:val="nil"/>
              <w:right w:val="nil"/>
            </w:tcBorders>
            <w:shd w:val="clear" w:color="000000" w:fill="FFFFFF"/>
            <w:noWrap/>
            <w:vAlign w:val="center"/>
          </w:tcPr>
          <w:p w:rsidR="00DF2FD0" w:rsidRPr="00942766" w:rsidRDefault="00DF2FD0" w:rsidP="00DF2FD0">
            <w:pPr>
              <w:jc w:val="center"/>
              <w:rPr>
                <w:rFonts w:eastAsia="Times New Roman"/>
                <w:b/>
                <w:bCs/>
                <w:color w:val="000000"/>
                <w:sz w:val="14"/>
                <w:szCs w:val="14"/>
              </w:rPr>
            </w:pPr>
            <w:r w:rsidRPr="00942766">
              <w:rPr>
                <w:rFonts w:eastAsia="Times New Roman"/>
                <w:b/>
                <w:bCs/>
                <w:color w:val="000000"/>
                <w:sz w:val="22"/>
                <w:szCs w:val="22"/>
              </w:rPr>
              <w:t>Moderate (n=32)</w:t>
            </w:r>
          </w:p>
        </w:tc>
        <w:tc>
          <w:tcPr>
            <w:tcW w:w="2358" w:type="dxa"/>
            <w:gridSpan w:val="2"/>
            <w:tcBorders>
              <w:top w:val="nil"/>
              <w:left w:val="nil"/>
              <w:bottom w:val="nil"/>
              <w:right w:val="nil"/>
            </w:tcBorders>
            <w:shd w:val="clear" w:color="000000" w:fill="FFFFFF"/>
            <w:noWrap/>
            <w:vAlign w:val="center"/>
          </w:tcPr>
          <w:p w:rsidR="00DF2FD0" w:rsidRPr="00942766" w:rsidRDefault="00DF2FD0" w:rsidP="00DF2FD0">
            <w:pPr>
              <w:jc w:val="center"/>
              <w:rPr>
                <w:rFonts w:eastAsia="Times New Roman"/>
                <w:b/>
                <w:bCs/>
                <w:color w:val="000000"/>
                <w:sz w:val="14"/>
                <w:szCs w:val="14"/>
              </w:rPr>
            </w:pPr>
            <w:r w:rsidRPr="00942766">
              <w:rPr>
                <w:rFonts w:eastAsia="Times New Roman"/>
                <w:b/>
                <w:bCs/>
                <w:color w:val="000000"/>
                <w:sz w:val="22"/>
                <w:szCs w:val="22"/>
              </w:rPr>
              <w:t>Severe (n=18)</w:t>
            </w:r>
          </w:p>
        </w:tc>
        <w:tc>
          <w:tcPr>
            <w:tcW w:w="2328" w:type="dxa"/>
            <w:gridSpan w:val="2"/>
            <w:tcBorders>
              <w:top w:val="nil"/>
              <w:left w:val="nil"/>
              <w:bottom w:val="nil"/>
              <w:right w:val="nil"/>
            </w:tcBorders>
            <w:shd w:val="clear" w:color="000000" w:fill="FFFFFF"/>
            <w:noWrap/>
            <w:vAlign w:val="center"/>
          </w:tcPr>
          <w:p w:rsidR="00DF2FD0" w:rsidRPr="00942766" w:rsidRDefault="00DF2FD0" w:rsidP="00DF2FD0">
            <w:pPr>
              <w:jc w:val="center"/>
              <w:rPr>
                <w:rFonts w:eastAsia="Times New Roman"/>
                <w:b/>
                <w:bCs/>
                <w:color w:val="000000"/>
                <w:sz w:val="14"/>
                <w:szCs w:val="14"/>
              </w:rPr>
            </w:pPr>
            <w:r w:rsidRPr="00942766">
              <w:rPr>
                <w:rFonts w:eastAsia="Times New Roman"/>
                <w:b/>
                <w:bCs/>
                <w:color w:val="000000"/>
                <w:sz w:val="22"/>
                <w:szCs w:val="22"/>
              </w:rPr>
              <w:t>Profound (n=23)</w:t>
            </w:r>
          </w:p>
        </w:tc>
        <w:tc>
          <w:tcPr>
            <w:tcW w:w="2417" w:type="dxa"/>
            <w:gridSpan w:val="2"/>
            <w:tcBorders>
              <w:top w:val="nil"/>
              <w:left w:val="nil"/>
              <w:bottom w:val="nil"/>
              <w:right w:val="nil"/>
            </w:tcBorders>
            <w:shd w:val="clear" w:color="000000" w:fill="FFFFFF"/>
            <w:noWrap/>
            <w:vAlign w:val="center"/>
          </w:tcPr>
          <w:p w:rsidR="00DF2FD0" w:rsidRPr="00942766" w:rsidRDefault="00DF2FD0" w:rsidP="00DF2FD0">
            <w:pPr>
              <w:jc w:val="center"/>
              <w:rPr>
                <w:rFonts w:eastAsia="Times New Roman"/>
                <w:b/>
                <w:bCs/>
                <w:color w:val="000000"/>
                <w:sz w:val="14"/>
                <w:szCs w:val="14"/>
              </w:rPr>
            </w:pPr>
            <w:r w:rsidRPr="00942766">
              <w:rPr>
                <w:rFonts w:eastAsia="Times New Roman"/>
                <w:b/>
                <w:bCs/>
                <w:color w:val="000000"/>
                <w:sz w:val="22"/>
                <w:szCs w:val="22"/>
              </w:rPr>
              <w:t>All PCHL (n=73)</w:t>
            </w:r>
          </w:p>
        </w:tc>
        <w:tc>
          <w:tcPr>
            <w:tcW w:w="1968" w:type="dxa"/>
            <w:gridSpan w:val="2"/>
            <w:vMerge/>
            <w:tcBorders>
              <w:top w:val="single" w:sz="4" w:space="0" w:color="auto"/>
              <w:left w:val="nil"/>
              <w:bottom w:val="nil"/>
              <w:right w:val="nil"/>
            </w:tcBorders>
            <w:vAlign w:val="center"/>
          </w:tcPr>
          <w:p w:rsidR="00DF2FD0" w:rsidRPr="00942766" w:rsidRDefault="00DF2FD0" w:rsidP="00DF2FD0">
            <w:pPr>
              <w:rPr>
                <w:rFonts w:eastAsia="Times New Roman"/>
                <w:b/>
                <w:bCs/>
                <w:color w:val="000000"/>
                <w:sz w:val="14"/>
                <w:szCs w:val="14"/>
              </w:rPr>
            </w:pPr>
          </w:p>
        </w:tc>
        <w:tc>
          <w:tcPr>
            <w:tcW w:w="1701" w:type="dxa"/>
            <w:tcBorders>
              <w:top w:val="nil"/>
              <w:left w:val="nil"/>
              <w:bottom w:val="nil"/>
              <w:right w:val="nil"/>
            </w:tcBorders>
            <w:shd w:val="clear" w:color="auto" w:fill="auto"/>
            <w:vAlign w:val="center"/>
          </w:tcPr>
          <w:p w:rsidR="00DF2FD0" w:rsidRPr="00942766" w:rsidRDefault="00B2413F" w:rsidP="00DF2FD0">
            <w:pPr>
              <w:jc w:val="center"/>
              <w:rPr>
                <w:rFonts w:eastAsia="Times New Roman"/>
                <w:b/>
                <w:bCs/>
                <w:color w:val="000000"/>
                <w:sz w:val="14"/>
                <w:szCs w:val="14"/>
              </w:rPr>
            </w:pPr>
            <w:r w:rsidRPr="00942766">
              <w:rPr>
                <w:rFonts w:eastAsia="Times New Roman"/>
                <w:b/>
                <w:bCs/>
                <w:color w:val="000000"/>
                <w:sz w:val="22"/>
                <w:szCs w:val="22"/>
              </w:rPr>
              <w:t>Mean diff</w:t>
            </w:r>
          </w:p>
        </w:tc>
        <w:tc>
          <w:tcPr>
            <w:tcW w:w="1276" w:type="dxa"/>
            <w:gridSpan w:val="2"/>
            <w:tcBorders>
              <w:top w:val="nil"/>
              <w:left w:val="nil"/>
              <w:bottom w:val="nil"/>
              <w:right w:val="nil"/>
            </w:tcBorders>
            <w:shd w:val="clear" w:color="000000" w:fill="FFFFFF"/>
            <w:vAlign w:val="center"/>
          </w:tcPr>
          <w:p w:rsidR="00DF2FD0" w:rsidRPr="00942766" w:rsidRDefault="00DF2FD0" w:rsidP="00DF2FD0">
            <w:pPr>
              <w:jc w:val="center"/>
              <w:rPr>
                <w:rFonts w:eastAsia="Times New Roman"/>
                <w:b/>
                <w:bCs/>
                <w:color w:val="000000"/>
                <w:sz w:val="14"/>
                <w:szCs w:val="14"/>
              </w:rPr>
            </w:pPr>
          </w:p>
        </w:tc>
      </w:tr>
      <w:tr w:rsidR="00525861" w:rsidRPr="00942766" w:rsidTr="00B2413F">
        <w:trPr>
          <w:trHeight w:val="320"/>
        </w:trPr>
        <w:tc>
          <w:tcPr>
            <w:tcW w:w="1416" w:type="dxa"/>
            <w:vMerge/>
            <w:tcBorders>
              <w:top w:val="single" w:sz="4" w:space="0" w:color="auto"/>
              <w:left w:val="nil"/>
              <w:bottom w:val="single" w:sz="4" w:space="0" w:color="000000"/>
              <w:right w:val="single" w:sz="8" w:space="0" w:color="auto"/>
            </w:tcBorders>
            <w:vAlign w:val="center"/>
          </w:tcPr>
          <w:p w:rsidR="00DF2FD0" w:rsidRPr="00942766" w:rsidRDefault="00DF2FD0" w:rsidP="00DF2FD0">
            <w:pPr>
              <w:rPr>
                <w:rFonts w:eastAsia="Times New Roman"/>
                <w:b/>
                <w:bCs/>
                <w:color w:val="000000"/>
                <w:sz w:val="14"/>
                <w:szCs w:val="14"/>
              </w:rPr>
            </w:pPr>
          </w:p>
        </w:tc>
        <w:tc>
          <w:tcPr>
            <w:tcW w:w="1060" w:type="dxa"/>
            <w:tcBorders>
              <w:top w:val="nil"/>
              <w:left w:val="single" w:sz="8" w:space="0" w:color="auto"/>
              <w:bottom w:val="single" w:sz="4" w:space="0" w:color="auto"/>
              <w:right w:val="nil"/>
            </w:tcBorders>
            <w:shd w:val="clear" w:color="000000" w:fill="FFFFFF"/>
            <w:noWrap/>
            <w:vAlign w:val="center"/>
          </w:tcPr>
          <w:p w:rsidR="00DF2FD0" w:rsidRPr="00942766" w:rsidRDefault="00DF2FD0" w:rsidP="00DF2FD0">
            <w:pPr>
              <w:jc w:val="center"/>
              <w:rPr>
                <w:rFonts w:eastAsia="Times New Roman"/>
                <w:color w:val="000000"/>
                <w:sz w:val="14"/>
                <w:szCs w:val="14"/>
              </w:rPr>
            </w:pPr>
            <w:r w:rsidRPr="00942766">
              <w:rPr>
                <w:rFonts w:eastAsia="Times New Roman"/>
                <w:color w:val="000000"/>
                <w:sz w:val="22"/>
                <w:szCs w:val="22"/>
              </w:rPr>
              <w:t>Mean</w:t>
            </w:r>
          </w:p>
        </w:tc>
        <w:tc>
          <w:tcPr>
            <w:tcW w:w="1211" w:type="dxa"/>
            <w:tcBorders>
              <w:top w:val="nil"/>
              <w:left w:val="nil"/>
              <w:bottom w:val="single" w:sz="4" w:space="0" w:color="auto"/>
              <w:right w:val="nil"/>
            </w:tcBorders>
            <w:shd w:val="clear" w:color="000000" w:fill="FFFFFF"/>
            <w:noWrap/>
            <w:vAlign w:val="center"/>
          </w:tcPr>
          <w:p w:rsidR="00DF2FD0" w:rsidRPr="00942766" w:rsidRDefault="00DF2FD0" w:rsidP="002833D4">
            <w:pPr>
              <w:jc w:val="center"/>
              <w:rPr>
                <w:rFonts w:eastAsia="Times New Roman"/>
                <w:color w:val="000000"/>
                <w:sz w:val="14"/>
                <w:szCs w:val="14"/>
              </w:rPr>
            </w:pPr>
            <w:r w:rsidRPr="00942766">
              <w:rPr>
                <w:rFonts w:eastAsia="Times New Roman"/>
                <w:color w:val="000000"/>
                <w:sz w:val="22"/>
                <w:szCs w:val="22"/>
              </w:rPr>
              <w:t>(SD)</w:t>
            </w:r>
          </w:p>
        </w:tc>
        <w:tc>
          <w:tcPr>
            <w:tcW w:w="1093" w:type="dxa"/>
            <w:tcBorders>
              <w:top w:val="nil"/>
              <w:left w:val="nil"/>
              <w:bottom w:val="single" w:sz="4" w:space="0" w:color="auto"/>
              <w:right w:val="nil"/>
            </w:tcBorders>
            <w:shd w:val="clear" w:color="000000" w:fill="FFFFFF"/>
            <w:noWrap/>
            <w:vAlign w:val="center"/>
          </w:tcPr>
          <w:p w:rsidR="00DF2FD0" w:rsidRPr="00942766" w:rsidRDefault="00DF2FD0" w:rsidP="00DF2FD0">
            <w:pPr>
              <w:jc w:val="center"/>
              <w:rPr>
                <w:rFonts w:eastAsia="Times New Roman"/>
                <w:color w:val="000000"/>
                <w:sz w:val="14"/>
                <w:szCs w:val="14"/>
              </w:rPr>
            </w:pPr>
            <w:r w:rsidRPr="00942766">
              <w:rPr>
                <w:rFonts w:eastAsia="Times New Roman"/>
                <w:color w:val="000000"/>
                <w:sz w:val="22"/>
                <w:szCs w:val="22"/>
              </w:rPr>
              <w:t>Mean</w:t>
            </w:r>
          </w:p>
        </w:tc>
        <w:tc>
          <w:tcPr>
            <w:tcW w:w="1265" w:type="dxa"/>
            <w:tcBorders>
              <w:top w:val="nil"/>
              <w:left w:val="nil"/>
              <w:bottom w:val="single" w:sz="4" w:space="0" w:color="auto"/>
              <w:right w:val="nil"/>
            </w:tcBorders>
            <w:shd w:val="clear" w:color="000000" w:fill="FFFFFF"/>
            <w:noWrap/>
            <w:vAlign w:val="center"/>
          </w:tcPr>
          <w:p w:rsidR="00DF2FD0" w:rsidRPr="00942766" w:rsidRDefault="00DF2FD0" w:rsidP="00DF2FD0">
            <w:pPr>
              <w:jc w:val="center"/>
              <w:rPr>
                <w:rFonts w:eastAsia="Times New Roman"/>
                <w:color w:val="000000"/>
                <w:sz w:val="14"/>
                <w:szCs w:val="14"/>
              </w:rPr>
            </w:pPr>
            <w:r w:rsidRPr="00942766">
              <w:rPr>
                <w:rFonts w:eastAsia="Times New Roman"/>
                <w:color w:val="000000"/>
                <w:sz w:val="22"/>
                <w:szCs w:val="22"/>
              </w:rPr>
              <w:t>(SD)</w:t>
            </w:r>
          </w:p>
        </w:tc>
        <w:tc>
          <w:tcPr>
            <w:tcW w:w="1046" w:type="dxa"/>
            <w:tcBorders>
              <w:top w:val="nil"/>
              <w:left w:val="nil"/>
              <w:bottom w:val="single" w:sz="4" w:space="0" w:color="auto"/>
              <w:right w:val="nil"/>
            </w:tcBorders>
            <w:shd w:val="clear" w:color="000000" w:fill="FFFFFF"/>
            <w:noWrap/>
            <w:vAlign w:val="center"/>
          </w:tcPr>
          <w:p w:rsidR="00DF2FD0" w:rsidRPr="00942766" w:rsidRDefault="00DF2FD0" w:rsidP="00DF2FD0">
            <w:pPr>
              <w:jc w:val="center"/>
              <w:rPr>
                <w:rFonts w:eastAsia="Times New Roman"/>
                <w:color w:val="000000"/>
                <w:sz w:val="14"/>
                <w:szCs w:val="14"/>
              </w:rPr>
            </w:pPr>
            <w:r w:rsidRPr="00942766">
              <w:rPr>
                <w:rFonts w:eastAsia="Times New Roman"/>
                <w:color w:val="000000"/>
                <w:sz w:val="22"/>
                <w:szCs w:val="22"/>
              </w:rPr>
              <w:t>Mean</w:t>
            </w:r>
          </w:p>
        </w:tc>
        <w:tc>
          <w:tcPr>
            <w:tcW w:w="1282" w:type="dxa"/>
            <w:tcBorders>
              <w:top w:val="nil"/>
              <w:left w:val="nil"/>
              <w:bottom w:val="single" w:sz="4" w:space="0" w:color="auto"/>
              <w:right w:val="nil"/>
            </w:tcBorders>
            <w:shd w:val="clear" w:color="000000" w:fill="FFFFFF"/>
            <w:noWrap/>
            <w:vAlign w:val="center"/>
          </w:tcPr>
          <w:p w:rsidR="00DF2FD0" w:rsidRPr="00942766" w:rsidRDefault="00DF2FD0" w:rsidP="00DF2FD0">
            <w:pPr>
              <w:jc w:val="center"/>
              <w:rPr>
                <w:rFonts w:eastAsia="Times New Roman"/>
                <w:color w:val="000000"/>
                <w:sz w:val="14"/>
                <w:szCs w:val="14"/>
              </w:rPr>
            </w:pPr>
            <w:r w:rsidRPr="00942766">
              <w:rPr>
                <w:rFonts w:eastAsia="Times New Roman"/>
                <w:color w:val="000000"/>
                <w:sz w:val="22"/>
                <w:szCs w:val="22"/>
              </w:rPr>
              <w:t>(SD)</w:t>
            </w:r>
          </w:p>
        </w:tc>
        <w:tc>
          <w:tcPr>
            <w:tcW w:w="1172" w:type="dxa"/>
            <w:tcBorders>
              <w:top w:val="nil"/>
              <w:left w:val="nil"/>
              <w:bottom w:val="single" w:sz="4" w:space="0" w:color="auto"/>
              <w:right w:val="nil"/>
            </w:tcBorders>
            <w:shd w:val="clear" w:color="000000" w:fill="FFFFFF"/>
            <w:noWrap/>
            <w:vAlign w:val="center"/>
          </w:tcPr>
          <w:p w:rsidR="00DF2FD0" w:rsidRPr="00942766" w:rsidRDefault="00DF2FD0" w:rsidP="00DF2FD0">
            <w:pPr>
              <w:jc w:val="center"/>
              <w:rPr>
                <w:rFonts w:eastAsia="Times New Roman"/>
                <w:color w:val="000000"/>
                <w:sz w:val="14"/>
                <w:szCs w:val="14"/>
              </w:rPr>
            </w:pPr>
            <w:r w:rsidRPr="00942766">
              <w:rPr>
                <w:rFonts w:eastAsia="Times New Roman"/>
                <w:color w:val="000000"/>
                <w:sz w:val="22"/>
                <w:szCs w:val="22"/>
              </w:rPr>
              <w:t>Mean</w:t>
            </w:r>
          </w:p>
        </w:tc>
        <w:tc>
          <w:tcPr>
            <w:tcW w:w="1245" w:type="dxa"/>
            <w:tcBorders>
              <w:top w:val="nil"/>
              <w:left w:val="nil"/>
              <w:bottom w:val="single" w:sz="4" w:space="0" w:color="auto"/>
              <w:right w:val="nil"/>
            </w:tcBorders>
            <w:shd w:val="clear" w:color="000000" w:fill="FFFFFF"/>
            <w:noWrap/>
            <w:vAlign w:val="center"/>
          </w:tcPr>
          <w:p w:rsidR="00DF2FD0" w:rsidRPr="00942766" w:rsidRDefault="00DF2FD0" w:rsidP="00DF2FD0">
            <w:pPr>
              <w:jc w:val="center"/>
              <w:rPr>
                <w:rFonts w:eastAsia="Times New Roman"/>
                <w:color w:val="000000"/>
                <w:sz w:val="14"/>
                <w:szCs w:val="14"/>
              </w:rPr>
            </w:pPr>
            <w:r w:rsidRPr="00942766">
              <w:rPr>
                <w:rFonts w:eastAsia="Times New Roman"/>
                <w:color w:val="000000"/>
                <w:sz w:val="22"/>
                <w:szCs w:val="22"/>
              </w:rPr>
              <w:t>(SD.)</w:t>
            </w:r>
          </w:p>
        </w:tc>
        <w:tc>
          <w:tcPr>
            <w:tcW w:w="916" w:type="dxa"/>
            <w:tcBorders>
              <w:top w:val="nil"/>
              <w:left w:val="nil"/>
              <w:bottom w:val="single" w:sz="4" w:space="0" w:color="auto"/>
              <w:right w:val="nil"/>
            </w:tcBorders>
            <w:shd w:val="clear" w:color="000000" w:fill="FFFFFF"/>
            <w:noWrap/>
            <w:vAlign w:val="center"/>
          </w:tcPr>
          <w:p w:rsidR="00DF2FD0" w:rsidRPr="00942766" w:rsidRDefault="00DF2FD0" w:rsidP="00DF2FD0">
            <w:pPr>
              <w:jc w:val="center"/>
              <w:rPr>
                <w:rFonts w:eastAsia="Times New Roman"/>
                <w:color w:val="000000"/>
                <w:sz w:val="14"/>
                <w:szCs w:val="14"/>
              </w:rPr>
            </w:pPr>
            <w:r w:rsidRPr="00942766">
              <w:rPr>
                <w:rFonts w:eastAsia="Times New Roman"/>
                <w:color w:val="000000"/>
                <w:sz w:val="22"/>
                <w:szCs w:val="22"/>
              </w:rPr>
              <w:t>Mean</w:t>
            </w:r>
          </w:p>
        </w:tc>
        <w:tc>
          <w:tcPr>
            <w:tcW w:w="1052" w:type="dxa"/>
            <w:tcBorders>
              <w:top w:val="nil"/>
              <w:left w:val="nil"/>
              <w:bottom w:val="single" w:sz="4" w:space="0" w:color="auto"/>
              <w:right w:val="nil"/>
            </w:tcBorders>
            <w:shd w:val="clear" w:color="000000" w:fill="FFFFFF"/>
            <w:noWrap/>
            <w:vAlign w:val="center"/>
          </w:tcPr>
          <w:p w:rsidR="00DF2FD0" w:rsidRPr="00942766" w:rsidRDefault="00DF2FD0" w:rsidP="00DF2FD0">
            <w:pPr>
              <w:jc w:val="center"/>
              <w:rPr>
                <w:rFonts w:eastAsia="Times New Roman"/>
                <w:color w:val="000000"/>
                <w:sz w:val="14"/>
                <w:szCs w:val="14"/>
              </w:rPr>
            </w:pPr>
            <w:r w:rsidRPr="00942766">
              <w:rPr>
                <w:rFonts w:eastAsia="Times New Roman"/>
                <w:color w:val="000000"/>
                <w:sz w:val="22"/>
                <w:szCs w:val="22"/>
              </w:rPr>
              <w:t>(SD)</w:t>
            </w:r>
          </w:p>
        </w:tc>
        <w:tc>
          <w:tcPr>
            <w:tcW w:w="1701" w:type="dxa"/>
            <w:tcBorders>
              <w:top w:val="nil"/>
              <w:left w:val="nil"/>
              <w:bottom w:val="single" w:sz="4" w:space="0" w:color="auto"/>
              <w:right w:val="nil"/>
            </w:tcBorders>
            <w:shd w:val="clear" w:color="000000" w:fill="FFFFFF"/>
            <w:noWrap/>
            <w:vAlign w:val="center"/>
          </w:tcPr>
          <w:p w:rsidR="00DF2FD0" w:rsidRPr="00942766" w:rsidRDefault="00DF2FD0" w:rsidP="00DF2FD0">
            <w:pPr>
              <w:jc w:val="center"/>
              <w:rPr>
                <w:rFonts w:eastAsia="Times New Roman"/>
                <w:color w:val="000000"/>
                <w:sz w:val="14"/>
                <w:szCs w:val="14"/>
              </w:rPr>
            </w:pPr>
            <w:r w:rsidRPr="00942766">
              <w:rPr>
                <w:rFonts w:eastAsia="Times New Roman"/>
                <w:color w:val="000000"/>
                <w:sz w:val="22"/>
                <w:szCs w:val="22"/>
              </w:rPr>
              <w:t xml:space="preserve">(Bootstrap SE) </w:t>
            </w:r>
          </w:p>
        </w:tc>
        <w:tc>
          <w:tcPr>
            <w:tcW w:w="428" w:type="dxa"/>
            <w:tcBorders>
              <w:top w:val="nil"/>
              <w:left w:val="nil"/>
              <w:bottom w:val="single" w:sz="4" w:space="0" w:color="auto"/>
              <w:right w:val="nil"/>
            </w:tcBorders>
            <w:shd w:val="clear" w:color="000000" w:fill="FFFFFF"/>
            <w:noWrap/>
            <w:vAlign w:val="center"/>
          </w:tcPr>
          <w:p w:rsidR="00DF2FD0" w:rsidRPr="00942766" w:rsidRDefault="00DF2FD0" w:rsidP="00DF2FD0">
            <w:pPr>
              <w:jc w:val="center"/>
              <w:rPr>
                <w:rFonts w:eastAsia="Times New Roman"/>
                <w:color w:val="000000"/>
                <w:sz w:val="14"/>
                <w:szCs w:val="14"/>
              </w:rPr>
            </w:pPr>
          </w:p>
        </w:tc>
        <w:tc>
          <w:tcPr>
            <w:tcW w:w="848" w:type="dxa"/>
            <w:tcBorders>
              <w:top w:val="nil"/>
              <w:left w:val="nil"/>
              <w:bottom w:val="single" w:sz="4" w:space="0" w:color="auto"/>
              <w:right w:val="nil"/>
            </w:tcBorders>
            <w:shd w:val="clear" w:color="000000" w:fill="FFFFFF"/>
            <w:noWrap/>
            <w:vAlign w:val="center"/>
          </w:tcPr>
          <w:p w:rsidR="00DF2FD0" w:rsidRPr="00942766" w:rsidRDefault="00DF2FD0" w:rsidP="00DF2FD0">
            <w:pPr>
              <w:jc w:val="center"/>
              <w:rPr>
                <w:rFonts w:eastAsia="Times New Roman"/>
                <w:color w:val="000000"/>
                <w:sz w:val="14"/>
                <w:szCs w:val="14"/>
              </w:rPr>
            </w:pPr>
          </w:p>
        </w:tc>
      </w:tr>
      <w:tr w:rsidR="00BB7AEB" w:rsidRPr="00942766" w:rsidTr="00080173">
        <w:trPr>
          <w:trHeight w:val="320"/>
        </w:trPr>
        <w:tc>
          <w:tcPr>
            <w:tcW w:w="1416" w:type="dxa"/>
            <w:tcBorders>
              <w:top w:val="nil"/>
              <w:left w:val="nil"/>
              <w:bottom w:val="nil"/>
              <w:right w:val="nil"/>
            </w:tcBorders>
            <w:shd w:val="clear" w:color="000000" w:fill="FFFFFF"/>
            <w:noWrap/>
            <w:vAlign w:val="center"/>
            <w:hideMark/>
          </w:tcPr>
          <w:p w:rsidR="00DF2FD0" w:rsidRPr="00942766" w:rsidRDefault="00BB7AEB" w:rsidP="00DF2FD0">
            <w:pPr>
              <w:rPr>
                <w:rFonts w:eastAsia="Times New Roman"/>
                <w:b/>
                <w:bCs/>
                <w:color w:val="000000"/>
                <w:sz w:val="22"/>
                <w:szCs w:val="22"/>
              </w:rPr>
            </w:pPr>
            <w:r w:rsidRPr="00942766">
              <w:rPr>
                <w:rFonts w:eastAsia="Times New Roman"/>
                <w:b/>
                <w:bCs/>
                <w:color w:val="000000"/>
                <w:sz w:val="22"/>
                <w:szCs w:val="22"/>
              </w:rPr>
              <w:t>Equipment &amp; h</w:t>
            </w:r>
            <w:r w:rsidR="00DF2FD0" w:rsidRPr="00942766">
              <w:rPr>
                <w:rFonts w:eastAsia="Times New Roman"/>
                <w:b/>
                <w:bCs/>
                <w:color w:val="000000"/>
                <w:sz w:val="22"/>
                <w:szCs w:val="22"/>
              </w:rPr>
              <w:t>ome adaptations</w:t>
            </w:r>
          </w:p>
        </w:tc>
        <w:tc>
          <w:tcPr>
            <w:tcW w:w="1060"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b/>
                <w:bCs/>
                <w:color w:val="000000"/>
                <w:sz w:val="20"/>
                <w:szCs w:val="20"/>
              </w:rPr>
            </w:pPr>
            <w:r w:rsidRPr="00942766">
              <w:rPr>
                <w:rFonts w:eastAsia="Times New Roman"/>
                <w:b/>
                <w:bCs/>
                <w:color w:val="000000"/>
                <w:sz w:val="20"/>
                <w:szCs w:val="20"/>
              </w:rPr>
              <w:t>129.51</w:t>
            </w:r>
          </w:p>
        </w:tc>
        <w:tc>
          <w:tcPr>
            <w:tcW w:w="1211"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b/>
                <w:bCs/>
                <w:color w:val="000000"/>
                <w:sz w:val="20"/>
                <w:szCs w:val="20"/>
              </w:rPr>
            </w:pPr>
            <w:r w:rsidRPr="00942766">
              <w:rPr>
                <w:rFonts w:eastAsia="Times New Roman"/>
                <w:b/>
                <w:bCs/>
                <w:color w:val="000000"/>
                <w:sz w:val="20"/>
                <w:szCs w:val="20"/>
              </w:rPr>
              <w:t>(220.89)</w:t>
            </w:r>
          </w:p>
        </w:tc>
        <w:tc>
          <w:tcPr>
            <w:tcW w:w="1093"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b/>
                <w:bCs/>
                <w:color w:val="000000"/>
                <w:sz w:val="20"/>
                <w:szCs w:val="20"/>
              </w:rPr>
            </w:pPr>
            <w:r w:rsidRPr="00942766">
              <w:rPr>
                <w:rFonts w:eastAsia="Times New Roman"/>
                <w:b/>
                <w:bCs/>
                <w:color w:val="000000"/>
                <w:sz w:val="20"/>
                <w:szCs w:val="20"/>
              </w:rPr>
              <w:t>200.33</w:t>
            </w:r>
          </w:p>
        </w:tc>
        <w:tc>
          <w:tcPr>
            <w:tcW w:w="1265"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b/>
                <w:bCs/>
                <w:color w:val="000000"/>
                <w:sz w:val="20"/>
                <w:szCs w:val="20"/>
              </w:rPr>
            </w:pPr>
            <w:r w:rsidRPr="00942766">
              <w:rPr>
                <w:rFonts w:eastAsia="Times New Roman"/>
                <w:b/>
                <w:bCs/>
                <w:color w:val="000000"/>
                <w:sz w:val="20"/>
                <w:szCs w:val="20"/>
              </w:rPr>
              <w:t>(238.68)</w:t>
            </w:r>
          </w:p>
        </w:tc>
        <w:tc>
          <w:tcPr>
            <w:tcW w:w="1046"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b/>
                <w:bCs/>
                <w:color w:val="000000"/>
                <w:sz w:val="20"/>
                <w:szCs w:val="20"/>
              </w:rPr>
            </w:pPr>
            <w:r w:rsidRPr="00942766">
              <w:rPr>
                <w:rFonts w:eastAsia="Times New Roman"/>
                <w:b/>
                <w:bCs/>
                <w:color w:val="000000"/>
                <w:sz w:val="20"/>
                <w:szCs w:val="20"/>
              </w:rPr>
              <w:t>63.48</w:t>
            </w:r>
          </w:p>
        </w:tc>
        <w:tc>
          <w:tcPr>
            <w:tcW w:w="1282"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b/>
                <w:bCs/>
                <w:color w:val="000000"/>
                <w:sz w:val="20"/>
                <w:szCs w:val="20"/>
              </w:rPr>
            </w:pPr>
            <w:r w:rsidRPr="00942766">
              <w:rPr>
                <w:rFonts w:eastAsia="Times New Roman"/>
                <w:b/>
                <w:bCs/>
                <w:color w:val="000000"/>
                <w:sz w:val="20"/>
                <w:szCs w:val="20"/>
              </w:rPr>
              <w:t>(122.87)</w:t>
            </w:r>
          </w:p>
        </w:tc>
        <w:tc>
          <w:tcPr>
            <w:tcW w:w="1172"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b/>
                <w:bCs/>
                <w:color w:val="000000"/>
                <w:sz w:val="20"/>
                <w:szCs w:val="20"/>
              </w:rPr>
            </w:pPr>
            <w:r w:rsidRPr="00942766">
              <w:rPr>
                <w:rFonts w:eastAsia="Times New Roman"/>
                <w:b/>
                <w:bCs/>
                <w:color w:val="000000"/>
                <w:sz w:val="20"/>
                <w:szCs w:val="20"/>
              </w:rPr>
              <w:t>126.17</w:t>
            </w:r>
          </w:p>
        </w:tc>
        <w:tc>
          <w:tcPr>
            <w:tcW w:w="1245"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b/>
                <w:bCs/>
                <w:color w:val="000000"/>
                <w:sz w:val="20"/>
                <w:szCs w:val="20"/>
              </w:rPr>
            </w:pPr>
            <w:r w:rsidRPr="00942766">
              <w:rPr>
                <w:rFonts w:eastAsia="Times New Roman"/>
                <w:b/>
                <w:bCs/>
                <w:color w:val="000000"/>
                <w:sz w:val="20"/>
                <w:szCs w:val="20"/>
              </w:rPr>
              <w:t>(204.22)</w:t>
            </w:r>
          </w:p>
        </w:tc>
        <w:tc>
          <w:tcPr>
            <w:tcW w:w="1968" w:type="dxa"/>
            <w:gridSpan w:val="2"/>
            <w:tcBorders>
              <w:top w:val="nil"/>
              <w:left w:val="nil"/>
              <w:bottom w:val="nil"/>
              <w:right w:val="nil"/>
            </w:tcBorders>
            <w:shd w:val="clear" w:color="000000" w:fill="FFFFFF"/>
            <w:noWrap/>
            <w:vAlign w:val="center"/>
            <w:hideMark/>
          </w:tcPr>
          <w:p w:rsidR="00DF2FD0" w:rsidRPr="00942766" w:rsidRDefault="00DF2FD0" w:rsidP="002833D4">
            <w:pPr>
              <w:jc w:val="center"/>
              <w:rPr>
                <w:rFonts w:eastAsia="Times New Roman"/>
                <w:b/>
                <w:bCs/>
                <w:color w:val="000000"/>
                <w:sz w:val="20"/>
                <w:szCs w:val="20"/>
              </w:rPr>
            </w:pPr>
            <w:r w:rsidRPr="00942766">
              <w:rPr>
                <w:rFonts w:eastAsia="Times New Roman"/>
                <w:b/>
                <w:bCs/>
                <w:color w:val="000000"/>
                <w:sz w:val="20"/>
                <w:szCs w:val="20"/>
              </w:rPr>
              <w:t>-</w:t>
            </w:r>
          </w:p>
        </w:tc>
        <w:tc>
          <w:tcPr>
            <w:tcW w:w="1701" w:type="dxa"/>
            <w:tcBorders>
              <w:top w:val="nil"/>
              <w:left w:val="nil"/>
              <w:bottom w:val="nil"/>
              <w:right w:val="nil"/>
            </w:tcBorders>
            <w:shd w:val="clear" w:color="000000" w:fill="FFFFFF"/>
            <w:noWrap/>
            <w:vAlign w:val="center"/>
            <w:hideMark/>
          </w:tcPr>
          <w:p w:rsidR="00DF2FD0" w:rsidRPr="00942766" w:rsidRDefault="00DF2FD0" w:rsidP="002833D4">
            <w:pPr>
              <w:jc w:val="center"/>
              <w:rPr>
                <w:rFonts w:eastAsia="Times New Roman"/>
                <w:b/>
                <w:bCs/>
                <w:color w:val="000000"/>
                <w:sz w:val="20"/>
                <w:szCs w:val="20"/>
              </w:rPr>
            </w:pPr>
            <w:r w:rsidRPr="00942766">
              <w:rPr>
                <w:rFonts w:eastAsia="Times New Roman"/>
                <w:b/>
                <w:bCs/>
                <w:color w:val="000000"/>
                <w:sz w:val="20"/>
                <w:szCs w:val="20"/>
              </w:rPr>
              <w:t>126.17 (22.49)</w:t>
            </w:r>
          </w:p>
        </w:tc>
        <w:tc>
          <w:tcPr>
            <w:tcW w:w="1276" w:type="dxa"/>
            <w:gridSpan w:val="2"/>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b/>
                <w:bCs/>
                <w:color w:val="000000"/>
                <w:sz w:val="20"/>
                <w:szCs w:val="20"/>
              </w:rPr>
            </w:pPr>
            <w:r w:rsidRPr="00942766">
              <w:rPr>
                <w:rFonts w:eastAsia="Times New Roman"/>
                <w:b/>
                <w:bCs/>
                <w:color w:val="000000"/>
                <w:sz w:val="20"/>
                <w:szCs w:val="20"/>
              </w:rPr>
              <w:t>82.10 to 170.24</w:t>
            </w:r>
          </w:p>
        </w:tc>
      </w:tr>
      <w:tr w:rsidR="00080173" w:rsidRPr="00942766" w:rsidTr="00080173">
        <w:trPr>
          <w:trHeight w:val="320"/>
        </w:trPr>
        <w:tc>
          <w:tcPr>
            <w:tcW w:w="1416" w:type="dxa"/>
            <w:tcBorders>
              <w:top w:val="nil"/>
              <w:left w:val="nil"/>
              <w:bottom w:val="nil"/>
              <w:right w:val="nil"/>
            </w:tcBorders>
            <w:shd w:val="clear" w:color="000000" w:fill="FFFFFF"/>
            <w:noWrap/>
            <w:vAlign w:val="center"/>
            <w:hideMark/>
          </w:tcPr>
          <w:p w:rsidR="00DF2FD0" w:rsidRPr="00942766" w:rsidRDefault="00BB7AEB" w:rsidP="00DF2FD0">
            <w:pPr>
              <w:rPr>
                <w:rFonts w:eastAsia="Times New Roman"/>
                <w:color w:val="000000"/>
                <w:sz w:val="22"/>
                <w:szCs w:val="22"/>
              </w:rPr>
            </w:pPr>
            <w:r w:rsidRPr="00942766">
              <w:rPr>
                <w:rFonts w:eastAsia="Times New Roman"/>
                <w:color w:val="000000"/>
                <w:sz w:val="22"/>
                <w:szCs w:val="22"/>
              </w:rPr>
              <w:t xml:space="preserve">     </w:t>
            </w:r>
            <w:r w:rsidR="00DF2FD0" w:rsidRPr="00942766">
              <w:rPr>
                <w:rFonts w:eastAsia="Times New Roman"/>
                <w:color w:val="000000"/>
                <w:sz w:val="22"/>
                <w:szCs w:val="22"/>
              </w:rPr>
              <w:t>No UNHS</w:t>
            </w:r>
          </w:p>
        </w:tc>
        <w:tc>
          <w:tcPr>
            <w:tcW w:w="1060"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r w:rsidRPr="00942766">
              <w:rPr>
                <w:rFonts w:eastAsia="Times New Roman"/>
                <w:color w:val="000000"/>
                <w:sz w:val="20"/>
                <w:szCs w:val="20"/>
              </w:rPr>
              <w:t>168.64</w:t>
            </w:r>
          </w:p>
        </w:tc>
        <w:tc>
          <w:tcPr>
            <w:tcW w:w="1211"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r w:rsidRPr="00942766">
              <w:rPr>
                <w:rFonts w:eastAsia="Times New Roman"/>
                <w:color w:val="000000"/>
                <w:sz w:val="20"/>
                <w:szCs w:val="20"/>
              </w:rPr>
              <w:t>(286.39)</w:t>
            </w:r>
          </w:p>
        </w:tc>
        <w:tc>
          <w:tcPr>
            <w:tcW w:w="1093"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r w:rsidRPr="00942766">
              <w:rPr>
                <w:rFonts w:eastAsia="Times New Roman"/>
                <w:color w:val="000000"/>
                <w:sz w:val="20"/>
                <w:szCs w:val="20"/>
              </w:rPr>
              <w:t>223.00</w:t>
            </w:r>
          </w:p>
        </w:tc>
        <w:tc>
          <w:tcPr>
            <w:tcW w:w="1265"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r w:rsidRPr="00942766">
              <w:rPr>
                <w:rFonts w:eastAsia="Times New Roman"/>
                <w:color w:val="000000"/>
                <w:sz w:val="20"/>
                <w:szCs w:val="20"/>
              </w:rPr>
              <w:t>(282.84)</w:t>
            </w:r>
          </w:p>
        </w:tc>
        <w:tc>
          <w:tcPr>
            <w:tcW w:w="1046"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r w:rsidRPr="00942766">
              <w:rPr>
                <w:rFonts w:eastAsia="Times New Roman"/>
                <w:color w:val="000000"/>
                <w:sz w:val="20"/>
                <w:szCs w:val="20"/>
              </w:rPr>
              <w:t>36.43</w:t>
            </w:r>
          </w:p>
        </w:tc>
        <w:tc>
          <w:tcPr>
            <w:tcW w:w="1282"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r w:rsidRPr="00942766">
              <w:rPr>
                <w:rFonts w:eastAsia="Times New Roman"/>
                <w:color w:val="000000"/>
                <w:sz w:val="20"/>
                <w:szCs w:val="20"/>
              </w:rPr>
              <w:t>(72.39)</w:t>
            </w:r>
          </w:p>
        </w:tc>
        <w:tc>
          <w:tcPr>
            <w:tcW w:w="1172"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r w:rsidRPr="00942766">
              <w:rPr>
                <w:rFonts w:eastAsia="Times New Roman"/>
                <w:color w:val="000000"/>
                <w:sz w:val="20"/>
                <w:szCs w:val="20"/>
              </w:rPr>
              <w:t>134.24</w:t>
            </w:r>
          </w:p>
        </w:tc>
        <w:tc>
          <w:tcPr>
            <w:tcW w:w="1245"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r w:rsidRPr="00942766">
              <w:rPr>
                <w:rFonts w:eastAsia="Times New Roman"/>
                <w:color w:val="000000"/>
                <w:sz w:val="20"/>
                <w:szCs w:val="20"/>
              </w:rPr>
              <w:t>(237.31)</w:t>
            </w:r>
          </w:p>
        </w:tc>
        <w:tc>
          <w:tcPr>
            <w:tcW w:w="916"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p>
        </w:tc>
        <w:tc>
          <w:tcPr>
            <w:tcW w:w="1052"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p>
        </w:tc>
        <w:tc>
          <w:tcPr>
            <w:tcW w:w="1701" w:type="dxa"/>
            <w:tcBorders>
              <w:top w:val="nil"/>
              <w:left w:val="nil"/>
              <w:bottom w:val="nil"/>
              <w:right w:val="nil"/>
            </w:tcBorders>
            <w:shd w:val="clear" w:color="000000" w:fill="FFFFFF"/>
            <w:noWrap/>
            <w:vAlign w:val="center"/>
            <w:hideMark/>
          </w:tcPr>
          <w:p w:rsidR="00DF2FD0" w:rsidRPr="00942766" w:rsidRDefault="00DF2FD0" w:rsidP="002833D4">
            <w:pPr>
              <w:jc w:val="center"/>
              <w:rPr>
                <w:rFonts w:eastAsia="Times New Roman"/>
                <w:b/>
                <w:bCs/>
                <w:color w:val="000000"/>
                <w:sz w:val="20"/>
                <w:szCs w:val="20"/>
              </w:rPr>
            </w:pPr>
          </w:p>
        </w:tc>
        <w:tc>
          <w:tcPr>
            <w:tcW w:w="428"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b/>
                <w:bCs/>
                <w:color w:val="000000"/>
                <w:sz w:val="20"/>
                <w:szCs w:val="20"/>
              </w:rPr>
            </w:pPr>
          </w:p>
        </w:tc>
        <w:tc>
          <w:tcPr>
            <w:tcW w:w="848"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b/>
                <w:bCs/>
                <w:color w:val="000000"/>
                <w:sz w:val="20"/>
                <w:szCs w:val="20"/>
              </w:rPr>
            </w:pPr>
          </w:p>
        </w:tc>
      </w:tr>
      <w:tr w:rsidR="00080173" w:rsidRPr="00942766" w:rsidTr="00080173">
        <w:trPr>
          <w:trHeight w:val="320"/>
        </w:trPr>
        <w:tc>
          <w:tcPr>
            <w:tcW w:w="1416" w:type="dxa"/>
            <w:tcBorders>
              <w:top w:val="nil"/>
              <w:left w:val="nil"/>
              <w:bottom w:val="nil"/>
              <w:right w:val="nil"/>
            </w:tcBorders>
            <w:shd w:val="clear" w:color="000000" w:fill="FFFFFF"/>
            <w:noWrap/>
            <w:vAlign w:val="center"/>
            <w:hideMark/>
          </w:tcPr>
          <w:p w:rsidR="00DF2FD0" w:rsidRPr="00942766" w:rsidRDefault="00BB7AEB" w:rsidP="00DF2FD0">
            <w:pPr>
              <w:rPr>
                <w:rFonts w:eastAsia="Times New Roman"/>
                <w:color w:val="000000"/>
                <w:sz w:val="22"/>
                <w:szCs w:val="22"/>
              </w:rPr>
            </w:pPr>
            <w:r w:rsidRPr="00942766">
              <w:rPr>
                <w:rFonts w:eastAsia="Times New Roman"/>
                <w:color w:val="000000"/>
                <w:sz w:val="22"/>
                <w:szCs w:val="22"/>
              </w:rPr>
              <w:t xml:space="preserve">          </w:t>
            </w:r>
            <w:r w:rsidR="00DF2FD0" w:rsidRPr="00942766">
              <w:rPr>
                <w:rFonts w:eastAsia="Times New Roman"/>
                <w:color w:val="000000"/>
                <w:sz w:val="22"/>
                <w:szCs w:val="22"/>
              </w:rPr>
              <w:t>UNHS</w:t>
            </w:r>
          </w:p>
        </w:tc>
        <w:tc>
          <w:tcPr>
            <w:tcW w:w="1060"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r w:rsidRPr="00942766">
              <w:rPr>
                <w:rFonts w:eastAsia="Times New Roman"/>
                <w:color w:val="000000"/>
                <w:sz w:val="20"/>
                <w:szCs w:val="20"/>
              </w:rPr>
              <w:t>99.07</w:t>
            </w:r>
          </w:p>
        </w:tc>
        <w:tc>
          <w:tcPr>
            <w:tcW w:w="1211"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r w:rsidRPr="00942766">
              <w:rPr>
                <w:rFonts w:eastAsia="Times New Roman"/>
                <w:color w:val="000000"/>
                <w:sz w:val="20"/>
                <w:szCs w:val="20"/>
              </w:rPr>
              <w:t>(154.97)</w:t>
            </w:r>
          </w:p>
        </w:tc>
        <w:tc>
          <w:tcPr>
            <w:tcW w:w="1093"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r w:rsidRPr="00942766">
              <w:rPr>
                <w:rFonts w:eastAsia="Times New Roman"/>
                <w:color w:val="000000"/>
                <w:sz w:val="20"/>
                <w:szCs w:val="20"/>
              </w:rPr>
              <w:t>172.00</w:t>
            </w:r>
          </w:p>
        </w:tc>
        <w:tc>
          <w:tcPr>
            <w:tcW w:w="1265"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r w:rsidRPr="00942766">
              <w:rPr>
                <w:rFonts w:eastAsia="Times New Roman"/>
                <w:color w:val="000000"/>
                <w:sz w:val="20"/>
                <w:szCs w:val="20"/>
              </w:rPr>
              <w:t>(183.95)</w:t>
            </w:r>
          </w:p>
        </w:tc>
        <w:tc>
          <w:tcPr>
            <w:tcW w:w="1046"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r w:rsidRPr="00942766">
              <w:rPr>
                <w:rFonts w:eastAsia="Times New Roman"/>
                <w:color w:val="000000"/>
                <w:sz w:val="20"/>
                <w:szCs w:val="20"/>
              </w:rPr>
              <w:t>105.56</w:t>
            </w:r>
          </w:p>
        </w:tc>
        <w:tc>
          <w:tcPr>
            <w:tcW w:w="1282"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r w:rsidRPr="00942766">
              <w:rPr>
                <w:rFonts w:eastAsia="Times New Roman"/>
                <w:color w:val="000000"/>
                <w:sz w:val="20"/>
                <w:szCs w:val="20"/>
              </w:rPr>
              <w:t>(172.43)</w:t>
            </w:r>
          </w:p>
        </w:tc>
        <w:tc>
          <w:tcPr>
            <w:tcW w:w="1172"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r w:rsidRPr="00942766">
              <w:rPr>
                <w:rFonts w:eastAsia="Times New Roman"/>
                <w:color w:val="000000"/>
                <w:sz w:val="20"/>
                <w:szCs w:val="20"/>
              </w:rPr>
              <w:t>117.41</w:t>
            </w:r>
          </w:p>
        </w:tc>
        <w:tc>
          <w:tcPr>
            <w:tcW w:w="1245"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r w:rsidRPr="00942766">
              <w:rPr>
                <w:rFonts w:eastAsia="Times New Roman"/>
                <w:color w:val="000000"/>
                <w:sz w:val="20"/>
                <w:szCs w:val="20"/>
              </w:rPr>
              <w:t>(163.97)</w:t>
            </w:r>
          </w:p>
        </w:tc>
        <w:tc>
          <w:tcPr>
            <w:tcW w:w="916"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p>
        </w:tc>
        <w:tc>
          <w:tcPr>
            <w:tcW w:w="1052"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p>
        </w:tc>
        <w:tc>
          <w:tcPr>
            <w:tcW w:w="1701" w:type="dxa"/>
            <w:tcBorders>
              <w:top w:val="nil"/>
              <w:left w:val="nil"/>
              <w:bottom w:val="nil"/>
              <w:right w:val="nil"/>
            </w:tcBorders>
            <w:shd w:val="clear" w:color="000000" w:fill="FFFFFF"/>
            <w:noWrap/>
            <w:vAlign w:val="center"/>
            <w:hideMark/>
          </w:tcPr>
          <w:p w:rsidR="00DF2FD0" w:rsidRPr="00942766" w:rsidRDefault="00DF2FD0" w:rsidP="002833D4">
            <w:pPr>
              <w:jc w:val="center"/>
              <w:rPr>
                <w:rFonts w:eastAsia="Times New Roman"/>
                <w:b/>
                <w:bCs/>
                <w:color w:val="000000"/>
                <w:sz w:val="20"/>
                <w:szCs w:val="20"/>
              </w:rPr>
            </w:pPr>
          </w:p>
        </w:tc>
        <w:tc>
          <w:tcPr>
            <w:tcW w:w="428"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b/>
                <w:bCs/>
                <w:color w:val="000000"/>
                <w:sz w:val="20"/>
                <w:szCs w:val="20"/>
              </w:rPr>
            </w:pPr>
          </w:p>
        </w:tc>
        <w:tc>
          <w:tcPr>
            <w:tcW w:w="848"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b/>
                <w:bCs/>
                <w:color w:val="000000"/>
                <w:sz w:val="20"/>
                <w:szCs w:val="20"/>
              </w:rPr>
            </w:pPr>
          </w:p>
        </w:tc>
      </w:tr>
      <w:tr w:rsidR="00B2413F" w:rsidRPr="00942766" w:rsidTr="00080173">
        <w:trPr>
          <w:trHeight w:val="320"/>
        </w:trPr>
        <w:tc>
          <w:tcPr>
            <w:tcW w:w="1416" w:type="dxa"/>
            <w:tcBorders>
              <w:top w:val="nil"/>
              <w:left w:val="nil"/>
              <w:bottom w:val="nil"/>
              <w:right w:val="nil"/>
            </w:tcBorders>
            <w:shd w:val="clear" w:color="000000" w:fill="FFFFFF"/>
            <w:noWrap/>
            <w:vAlign w:val="center"/>
            <w:hideMark/>
          </w:tcPr>
          <w:p w:rsidR="00DF2FD0" w:rsidRPr="00942766" w:rsidRDefault="00DF2FD0" w:rsidP="00DF2FD0">
            <w:pPr>
              <w:rPr>
                <w:rFonts w:eastAsia="Times New Roman"/>
                <w:b/>
                <w:bCs/>
                <w:color w:val="000000"/>
                <w:sz w:val="22"/>
                <w:szCs w:val="22"/>
              </w:rPr>
            </w:pPr>
            <w:r w:rsidRPr="00942766">
              <w:rPr>
                <w:rFonts w:eastAsia="Times New Roman"/>
                <w:b/>
                <w:bCs/>
                <w:color w:val="000000"/>
                <w:sz w:val="22"/>
                <w:szCs w:val="22"/>
              </w:rPr>
              <w:t>Educational Services</w:t>
            </w:r>
          </w:p>
        </w:tc>
        <w:tc>
          <w:tcPr>
            <w:tcW w:w="1060"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b/>
                <w:bCs/>
                <w:color w:val="000000"/>
                <w:sz w:val="20"/>
                <w:szCs w:val="20"/>
              </w:rPr>
            </w:pPr>
            <w:r w:rsidRPr="00942766">
              <w:rPr>
                <w:rFonts w:eastAsia="Times New Roman"/>
                <w:b/>
                <w:bCs/>
                <w:color w:val="000000"/>
                <w:sz w:val="20"/>
                <w:szCs w:val="20"/>
              </w:rPr>
              <w:t>9,250.30</w:t>
            </w:r>
          </w:p>
        </w:tc>
        <w:tc>
          <w:tcPr>
            <w:tcW w:w="1211"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b/>
                <w:bCs/>
                <w:color w:val="000000"/>
                <w:sz w:val="20"/>
                <w:szCs w:val="20"/>
              </w:rPr>
            </w:pPr>
            <w:r w:rsidRPr="00942766">
              <w:rPr>
                <w:rFonts w:eastAsia="Times New Roman"/>
                <w:b/>
                <w:bCs/>
                <w:color w:val="000000"/>
                <w:sz w:val="20"/>
                <w:szCs w:val="20"/>
              </w:rPr>
              <w:t>(7,817.55)</w:t>
            </w:r>
          </w:p>
        </w:tc>
        <w:tc>
          <w:tcPr>
            <w:tcW w:w="1093"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b/>
                <w:bCs/>
                <w:color w:val="000000"/>
                <w:sz w:val="20"/>
                <w:szCs w:val="20"/>
              </w:rPr>
            </w:pPr>
            <w:r w:rsidRPr="00942766">
              <w:rPr>
                <w:rFonts w:eastAsia="Times New Roman"/>
                <w:b/>
                <w:bCs/>
                <w:color w:val="000000"/>
                <w:sz w:val="20"/>
                <w:szCs w:val="20"/>
              </w:rPr>
              <w:t>9,743.14</w:t>
            </w:r>
          </w:p>
        </w:tc>
        <w:tc>
          <w:tcPr>
            <w:tcW w:w="1265"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b/>
                <w:bCs/>
                <w:color w:val="000000"/>
                <w:sz w:val="20"/>
                <w:szCs w:val="20"/>
              </w:rPr>
            </w:pPr>
            <w:r w:rsidRPr="00942766">
              <w:rPr>
                <w:rFonts w:eastAsia="Times New Roman"/>
                <w:b/>
                <w:bCs/>
                <w:color w:val="000000"/>
                <w:sz w:val="20"/>
                <w:szCs w:val="20"/>
              </w:rPr>
              <w:t>(9,356.48)</w:t>
            </w:r>
          </w:p>
        </w:tc>
        <w:tc>
          <w:tcPr>
            <w:tcW w:w="1046"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b/>
                <w:bCs/>
                <w:color w:val="000000"/>
                <w:sz w:val="20"/>
                <w:szCs w:val="20"/>
              </w:rPr>
            </w:pPr>
            <w:r w:rsidRPr="00942766">
              <w:rPr>
                <w:rFonts w:eastAsia="Times New Roman"/>
                <w:b/>
                <w:bCs/>
                <w:color w:val="000000"/>
                <w:sz w:val="20"/>
                <w:szCs w:val="20"/>
              </w:rPr>
              <w:t>17,752.05</w:t>
            </w:r>
          </w:p>
        </w:tc>
        <w:tc>
          <w:tcPr>
            <w:tcW w:w="1282"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b/>
                <w:bCs/>
                <w:color w:val="000000"/>
                <w:sz w:val="20"/>
                <w:szCs w:val="20"/>
              </w:rPr>
            </w:pPr>
            <w:r w:rsidRPr="00942766">
              <w:rPr>
                <w:rFonts w:eastAsia="Times New Roman"/>
                <w:b/>
                <w:bCs/>
                <w:color w:val="000000"/>
                <w:sz w:val="20"/>
                <w:szCs w:val="20"/>
              </w:rPr>
              <w:t>(10,077.91)</w:t>
            </w:r>
          </w:p>
        </w:tc>
        <w:tc>
          <w:tcPr>
            <w:tcW w:w="1172"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b/>
                <w:bCs/>
                <w:color w:val="000000"/>
                <w:sz w:val="20"/>
                <w:szCs w:val="20"/>
              </w:rPr>
            </w:pPr>
            <w:r w:rsidRPr="00942766">
              <w:rPr>
                <w:rFonts w:eastAsia="Times New Roman"/>
                <w:b/>
                <w:bCs/>
                <w:color w:val="000000"/>
                <w:sz w:val="20"/>
                <w:szCs w:val="20"/>
              </w:rPr>
              <w:t>12,082.50</w:t>
            </w:r>
          </w:p>
        </w:tc>
        <w:tc>
          <w:tcPr>
            <w:tcW w:w="1245"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b/>
                <w:bCs/>
                <w:color w:val="000000"/>
                <w:sz w:val="20"/>
                <w:szCs w:val="20"/>
              </w:rPr>
            </w:pPr>
            <w:r w:rsidRPr="00942766">
              <w:rPr>
                <w:rFonts w:eastAsia="Times New Roman"/>
                <w:b/>
                <w:bCs/>
                <w:color w:val="000000"/>
                <w:sz w:val="20"/>
                <w:szCs w:val="20"/>
              </w:rPr>
              <w:t>(9,655.09)</w:t>
            </w:r>
          </w:p>
        </w:tc>
        <w:tc>
          <w:tcPr>
            <w:tcW w:w="916"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b/>
                <w:bCs/>
                <w:color w:val="000000"/>
                <w:sz w:val="20"/>
                <w:szCs w:val="20"/>
              </w:rPr>
            </w:pPr>
            <w:r w:rsidRPr="00942766">
              <w:rPr>
                <w:rFonts w:eastAsia="Times New Roman"/>
                <w:b/>
                <w:bCs/>
                <w:color w:val="000000"/>
                <w:sz w:val="20"/>
                <w:szCs w:val="20"/>
              </w:rPr>
              <w:t>5,330.24</w:t>
            </w:r>
          </w:p>
        </w:tc>
        <w:tc>
          <w:tcPr>
            <w:tcW w:w="1052"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b/>
                <w:bCs/>
                <w:color w:val="000000"/>
                <w:sz w:val="20"/>
                <w:szCs w:val="20"/>
              </w:rPr>
            </w:pPr>
            <w:r w:rsidRPr="00942766">
              <w:rPr>
                <w:rFonts w:eastAsia="Times New Roman"/>
                <w:b/>
                <w:bCs/>
                <w:color w:val="000000"/>
                <w:sz w:val="20"/>
                <w:szCs w:val="20"/>
              </w:rPr>
              <w:t>(1,690.63)</w:t>
            </w:r>
          </w:p>
        </w:tc>
        <w:tc>
          <w:tcPr>
            <w:tcW w:w="1701" w:type="dxa"/>
            <w:tcBorders>
              <w:top w:val="nil"/>
              <w:left w:val="nil"/>
              <w:bottom w:val="nil"/>
              <w:right w:val="nil"/>
            </w:tcBorders>
            <w:shd w:val="clear" w:color="000000" w:fill="FFFFFF"/>
            <w:noWrap/>
            <w:vAlign w:val="center"/>
            <w:hideMark/>
          </w:tcPr>
          <w:p w:rsidR="00DF2FD0" w:rsidRPr="00942766" w:rsidRDefault="00DF2FD0" w:rsidP="002833D4">
            <w:pPr>
              <w:jc w:val="center"/>
              <w:rPr>
                <w:rFonts w:eastAsia="Times New Roman"/>
                <w:b/>
                <w:bCs/>
                <w:color w:val="000000"/>
                <w:sz w:val="20"/>
                <w:szCs w:val="20"/>
              </w:rPr>
            </w:pPr>
            <w:r w:rsidRPr="00942766">
              <w:rPr>
                <w:rFonts w:eastAsia="Times New Roman"/>
                <w:b/>
                <w:bCs/>
                <w:color w:val="000000"/>
                <w:sz w:val="20"/>
                <w:szCs w:val="20"/>
              </w:rPr>
              <w:t>6,752.26 (1117.46)</w:t>
            </w:r>
          </w:p>
        </w:tc>
        <w:tc>
          <w:tcPr>
            <w:tcW w:w="1276" w:type="dxa"/>
            <w:gridSpan w:val="2"/>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b/>
                <w:bCs/>
                <w:color w:val="000000"/>
                <w:sz w:val="20"/>
                <w:szCs w:val="20"/>
              </w:rPr>
            </w:pPr>
            <w:r w:rsidRPr="00942766">
              <w:rPr>
                <w:rFonts w:eastAsia="Times New Roman"/>
                <w:b/>
                <w:bCs/>
                <w:color w:val="000000"/>
                <w:sz w:val="20"/>
                <w:szCs w:val="20"/>
              </w:rPr>
              <w:t>4562.08 to 8942.44</w:t>
            </w:r>
          </w:p>
        </w:tc>
      </w:tr>
      <w:tr w:rsidR="00080173" w:rsidRPr="00942766" w:rsidTr="00080173">
        <w:trPr>
          <w:trHeight w:val="320"/>
        </w:trPr>
        <w:tc>
          <w:tcPr>
            <w:tcW w:w="1416" w:type="dxa"/>
            <w:tcBorders>
              <w:top w:val="nil"/>
              <w:left w:val="nil"/>
              <w:bottom w:val="nil"/>
              <w:right w:val="nil"/>
            </w:tcBorders>
            <w:shd w:val="clear" w:color="000000" w:fill="FFFFFF"/>
            <w:noWrap/>
            <w:vAlign w:val="center"/>
            <w:hideMark/>
          </w:tcPr>
          <w:p w:rsidR="00DF2FD0" w:rsidRPr="00942766" w:rsidRDefault="00BB7AEB" w:rsidP="00DF2FD0">
            <w:pPr>
              <w:rPr>
                <w:rFonts w:eastAsia="Times New Roman"/>
                <w:color w:val="000000"/>
                <w:sz w:val="22"/>
                <w:szCs w:val="22"/>
              </w:rPr>
            </w:pPr>
            <w:r w:rsidRPr="00942766">
              <w:rPr>
                <w:rFonts w:eastAsia="Times New Roman"/>
                <w:color w:val="000000"/>
                <w:sz w:val="22"/>
                <w:szCs w:val="22"/>
              </w:rPr>
              <w:t xml:space="preserve">     </w:t>
            </w:r>
            <w:r w:rsidR="00DF2FD0" w:rsidRPr="00942766">
              <w:rPr>
                <w:rFonts w:eastAsia="Times New Roman"/>
                <w:color w:val="000000"/>
                <w:sz w:val="22"/>
                <w:szCs w:val="22"/>
              </w:rPr>
              <w:t>No UNHS</w:t>
            </w:r>
          </w:p>
        </w:tc>
        <w:tc>
          <w:tcPr>
            <w:tcW w:w="1060"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r w:rsidRPr="00942766">
              <w:rPr>
                <w:rFonts w:eastAsia="Times New Roman"/>
                <w:color w:val="000000"/>
                <w:sz w:val="20"/>
                <w:szCs w:val="20"/>
              </w:rPr>
              <w:t>12,020.40</w:t>
            </w:r>
          </w:p>
        </w:tc>
        <w:tc>
          <w:tcPr>
            <w:tcW w:w="1211"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r w:rsidRPr="00942766">
              <w:rPr>
                <w:rFonts w:eastAsia="Times New Roman"/>
                <w:color w:val="000000"/>
                <w:sz w:val="20"/>
                <w:szCs w:val="20"/>
              </w:rPr>
              <w:t>(9,894.91)</w:t>
            </w:r>
          </w:p>
        </w:tc>
        <w:tc>
          <w:tcPr>
            <w:tcW w:w="1093"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r w:rsidRPr="00942766">
              <w:rPr>
                <w:rFonts w:eastAsia="Times New Roman"/>
                <w:color w:val="000000"/>
                <w:sz w:val="20"/>
                <w:szCs w:val="20"/>
              </w:rPr>
              <w:t>9,940.71</w:t>
            </w:r>
          </w:p>
        </w:tc>
        <w:tc>
          <w:tcPr>
            <w:tcW w:w="1265"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r w:rsidRPr="00942766">
              <w:rPr>
                <w:rFonts w:eastAsia="Times New Roman"/>
                <w:color w:val="000000"/>
                <w:sz w:val="20"/>
                <w:szCs w:val="20"/>
              </w:rPr>
              <w:t>(9,096.11)</w:t>
            </w:r>
          </w:p>
        </w:tc>
        <w:tc>
          <w:tcPr>
            <w:tcW w:w="1046"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r w:rsidRPr="00942766">
              <w:rPr>
                <w:rFonts w:eastAsia="Times New Roman"/>
                <w:color w:val="000000"/>
                <w:sz w:val="20"/>
                <w:szCs w:val="20"/>
              </w:rPr>
              <w:t>17,080.49</w:t>
            </w:r>
          </w:p>
        </w:tc>
        <w:tc>
          <w:tcPr>
            <w:tcW w:w="1282"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r w:rsidRPr="00942766">
              <w:rPr>
                <w:rFonts w:eastAsia="Times New Roman"/>
                <w:color w:val="000000"/>
                <w:sz w:val="20"/>
                <w:szCs w:val="20"/>
              </w:rPr>
              <w:t>(10,828.66)</w:t>
            </w:r>
          </w:p>
        </w:tc>
        <w:tc>
          <w:tcPr>
            <w:tcW w:w="1172"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r w:rsidRPr="00942766">
              <w:rPr>
                <w:rFonts w:eastAsia="Times New Roman"/>
                <w:color w:val="000000"/>
                <w:sz w:val="20"/>
                <w:szCs w:val="20"/>
              </w:rPr>
              <w:t>13,429.16</w:t>
            </w:r>
          </w:p>
        </w:tc>
        <w:tc>
          <w:tcPr>
            <w:tcW w:w="1245"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r w:rsidRPr="00942766">
              <w:rPr>
                <w:rFonts w:eastAsia="Times New Roman"/>
                <w:color w:val="000000"/>
                <w:sz w:val="20"/>
                <w:szCs w:val="20"/>
              </w:rPr>
              <w:t>(10,251.11)</w:t>
            </w:r>
          </w:p>
        </w:tc>
        <w:tc>
          <w:tcPr>
            <w:tcW w:w="916"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p>
        </w:tc>
        <w:tc>
          <w:tcPr>
            <w:tcW w:w="1052"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p>
        </w:tc>
        <w:tc>
          <w:tcPr>
            <w:tcW w:w="1701" w:type="dxa"/>
            <w:tcBorders>
              <w:top w:val="nil"/>
              <w:left w:val="nil"/>
              <w:bottom w:val="nil"/>
              <w:right w:val="nil"/>
            </w:tcBorders>
            <w:shd w:val="clear" w:color="000000" w:fill="FFFFFF"/>
            <w:noWrap/>
            <w:vAlign w:val="center"/>
            <w:hideMark/>
          </w:tcPr>
          <w:p w:rsidR="00DF2FD0" w:rsidRPr="00942766" w:rsidRDefault="00DF2FD0" w:rsidP="002833D4">
            <w:pPr>
              <w:jc w:val="center"/>
              <w:rPr>
                <w:rFonts w:eastAsia="Times New Roman"/>
                <w:b/>
                <w:bCs/>
                <w:color w:val="000000"/>
                <w:sz w:val="20"/>
                <w:szCs w:val="20"/>
              </w:rPr>
            </w:pPr>
          </w:p>
        </w:tc>
        <w:tc>
          <w:tcPr>
            <w:tcW w:w="428"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b/>
                <w:bCs/>
                <w:color w:val="000000"/>
                <w:sz w:val="20"/>
                <w:szCs w:val="20"/>
              </w:rPr>
            </w:pPr>
          </w:p>
        </w:tc>
        <w:tc>
          <w:tcPr>
            <w:tcW w:w="848"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b/>
                <w:bCs/>
                <w:color w:val="000000"/>
                <w:sz w:val="20"/>
                <w:szCs w:val="20"/>
              </w:rPr>
            </w:pPr>
          </w:p>
        </w:tc>
      </w:tr>
      <w:tr w:rsidR="00080173" w:rsidRPr="00942766" w:rsidTr="00080173">
        <w:trPr>
          <w:trHeight w:val="320"/>
        </w:trPr>
        <w:tc>
          <w:tcPr>
            <w:tcW w:w="1416" w:type="dxa"/>
            <w:tcBorders>
              <w:top w:val="nil"/>
              <w:left w:val="nil"/>
              <w:bottom w:val="nil"/>
              <w:right w:val="nil"/>
            </w:tcBorders>
            <w:shd w:val="clear" w:color="000000" w:fill="FFFFFF"/>
            <w:noWrap/>
            <w:vAlign w:val="center"/>
            <w:hideMark/>
          </w:tcPr>
          <w:p w:rsidR="00DF2FD0" w:rsidRPr="00942766" w:rsidRDefault="00BB7AEB" w:rsidP="00DF2FD0">
            <w:pPr>
              <w:rPr>
                <w:rFonts w:eastAsia="Times New Roman"/>
                <w:color w:val="000000"/>
                <w:sz w:val="22"/>
                <w:szCs w:val="22"/>
              </w:rPr>
            </w:pPr>
            <w:r w:rsidRPr="00942766">
              <w:rPr>
                <w:rFonts w:eastAsia="Times New Roman"/>
                <w:color w:val="000000"/>
                <w:sz w:val="22"/>
                <w:szCs w:val="22"/>
              </w:rPr>
              <w:t xml:space="preserve">          </w:t>
            </w:r>
            <w:r w:rsidR="00DF2FD0" w:rsidRPr="00942766">
              <w:rPr>
                <w:rFonts w:eastAsia="Times New Roman"/>
                <w:color w:val="000000"/>
                <w:sz w:val="22"/>
                <w:szCs w:val="22"/>
              </w:rPr>
              <w:t>UNHS</w:t>
            </w:r>
          </w:p>
        </w:tc>
        <w:tc>
          <w:tcPr>
            <w:tcW w:w="1060"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r w:rsidRPr="00942766">
              <w:rPr>
                <w:rFonts w:eastAsia="Times New Roman"/>
                <w:color w:val="000000"/>
                <w:sz w:val="20"/>
                <w:szCs w:val="20"/>
              </w:rPr>
              <w:t>7,095.77</w:t>
            </w:r>
          </w:p>
        </w:tc>
        <w:tc>
          <w:tcPr>
            <w:tcW w:w="1211"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r w:rsidRPr="00942766">
              <w:rPr>
                <w:rFonts w:eastAsia="Times New Roman"/>
                <w:color w:val="000000"/>
                <w:sz w:val="20"/>
                <w:szCs w:val="20"/>
              </w:rPr>
              <w:t>(5,033.60)</w:t>
            </w:r>
          </w:p>
        </w:tc>
        <w:tc>
          <w:tcPr>
            <w:tcW w:w="1093"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r w:rsidRPr="00942766">
              <w:rPr>
                <w:rFonts w:eastAsia="Times New Roman"/>
                <w:color w:val="000000"/>
                <w:sz w:val="20"/>
                <w:szCs w:val="20"/>
              </w:rPr>
              <w:t>9,520.87</w:t>
            </w:r>
          </w:p>
        </w:tc>
        <w:tc>
          <w:tcPr>
            <w:tcW w:w="1265"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r w:rsidRPr="00942766">
              <w:rPr>
                <w:rFonts w:eastAsia="Times New Roman"/>
                <w:color w:val="000000"/>
                <w:sz w:val="20"/>
                <w:szCs w:val="20"/>
              </w:rPr>
              <w:t>(10,268.11)</w:t>
            </w:r>
          </w:p>
        </w:tc>
        <w:tc>
          <w:tcPr>
            <w:tcW w:w="1046"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r w:rsidRPr="00942766">
              <w:rPr>
                <w:rFonts w:eastAsia="Times New Roman"/>
                <w:color w:val="000000"/>
                <w:sz w:val="20"/>
                <w:szCs w:val="20"/>
              </w:rPr>
              <w:t>18,796.71</w:t>
            </w:r>
          </w:p>
        </w:tc>
        <w:tc>
          <w:tcPr>
            <w:tcW w:w="1282"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r w:rsidRPr="00942766">
              <w:rPr>
                <w:rFonts w:eastAsia="Times New Roman"/>
                <w:color w:val="000000"/>
                <w:sz w:val="20"/>
                <w:szCs w:val="20"/>
              </w:rPr>
              <w:t>(9,313.30)</w:t>
            </w:r>
          </w:p>
        </w:tc>
        <w:tc>
          <w:tcPr>
            <w:tcW w:w="1172"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r w:rsidRPr="00942766">
              <w:rPr>
                <w:rFonts w:eastAsia="Times New Roman"/>
                <w:color w:val="000000"/>
                <w:sz w:val="20"/>
                <w:szCs w:val="20"/>
              </w:rPr>
              <w:t>10,658.89</w:t>
            </w:r>
          </w:p>
        </w:tc>
        <w:tc>
          <w:tcPr>
            <w:tcW w:w="1245"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r w:rsidRPr="00942766">
              <w:rPr>
                <w:rFonts w:eastAsia="Times New Roman"/>
                <w:color w:val="000000"/>
                <w:sz w:val="20"/>
                <w:szCs w:val="20"/>
              </w:rPr>
              <w:t>(8,907.32)</w:t>
            </w:r>
          </w:p>
        </w:tc>
        <w:tc>
          <w:tcPr>
            <w:tcW w:w="916"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p>
        </w:tc>
        <w:tc>
          <w:tcPr>
            <w:tcW w:w="1052"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p>
        </w:tc>
        <w:tc>
          <w:tcPr>
            <w:tcW w:w="1701" w:type="dxa"/>
            <w:tcBorders>
              <w:top w:val="nil"/>
              <w:left w:val="nil"/>
              <w:bottom w:val="nil"/>
              <w:right w:val="nil"/>
            </w:tcBorders>
            <w:shd w:val="clear" w:color="000000" w:fill="FFFFFF"/>
            <w:noWrap/>
            <w:vAlign w:val="center"/>
            <w:hideMark/>
          </w:tcPr>
          <w:p w:rsidR="00DF2FD0" w:rsidRPr="00942766" w:rsidRDefault="00DF2FD0" w:rsidP="002833D4">
            <w:pPr>
              <w:jc w:val="center"/>
              <w:rPr>
                <w:rFonts w:eastAsia="Times New Roman"/>
                <w:b/>
                <w:bCs/>
                <w:color w:val="000000"/>
                <w:sz w:val="20"/>
                <w:szCs w:val="20"/>
              </w:rPr>
            </w:pPr>
          </w:p>
        </w:tc>
        <w:tc>
          <w:tcPr>
            <w:tcW w:w="428"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b/>
                <w:bCs/>
                <w:color w:val="000000"/>
                <w:sz w:val="20"/>
                <w:szCs w:val="20"/>
              </w:rPr>
            </w:pPr>
          </w:p>
        </w:tc>
        <w:tc>
          <w:tcPr>
            <w:tcW w:w="848"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b/>
                <w:bCs/>
                <w:color w:val="000000"/>
                <w:sz w:val="20"/>
                <w:szCs w:val="20"/>
              </w:rPr>
            </w:pPr>
          </w:p>
        </w:tc>
      </w:tr>
      <w:tr w:rsidR="00BB7AEB" w:rsidRPr="00942766" w:rsidTr="00080173">
        <w:trPr>
          <w:trHeight w:val="320"/>
        </w:trPr>
        <w:tc>
          <w:tcPr>
            <w:tcW w:w="1416" w:type="dxa"/>
            <w:tcBorders>
              <w:top w:val="nil"/>
              <w:left w:val="nil"/>
              <w:bottom w:val="nil"/>
              <w:right w:val="nil"/>
            </w:tcBorders>
            <w:shd w:val="clear" w:color="000000" w:fill="FFFFFF"/>
            <w:noWrap/>
            <w:vAlign w:val="center"/>
            <w:hideMark/>
          </w:tcPr>
          <w:p w:rsidR="00DF2FD0" w:rsidRPr="00942766" w:rsidRDefault="00DF2FD0" w:rsidP="00DF2FD0">
            <w:pPr>
              <w:rPr>
                <w:rFonts w:eastAsia="Times New Roman"/>
                <w:b/>
                <w:bCs/>
                <w:color w:val="000000"/>
                <w:sz w:val="22"/>
                <w:szCs w:val="22"/>
              </w:rPr>
            </w:pPr>
            <w:r w:rsidRPr="00942766">
              <w:rPr>
                <w:rFonts w:eastAsia="Times New Roman"/>
                <w:b/>
                <w:bCs/>
                <w:color w:val="000000"/>
                <w:sz w:val="22"/>
                <w:szCs w:val="22"/>
              </w:rPr>
              <w:t>Lost productivity</w:t>
            </w:r>
          </w:p>
        </w:tc>
        <w:tc>
          <w:tcPr>
            <w:tcW w:w="1060"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b/>
                <w:bCs/>
                <w:color w:val="000000"/>
                <w:sz w:val="20"/>
                <w:szCs w:val="20"/>
              </w:rPr>
            </w:pPr>
            <w:r w:rsidRPr="00942766">
              <w:rPr>
                <w:rFonts w:eastAsia="Times New Roman"/>
                <w:b/>
                <w:bCs/>
                <w:color w:val="000000"/>
                <w:sz w:val="20"/>
                <w:szCs w:val="20"/>
              </w:rPr>
              <w:t>16.88</w:t>
            </w:r>
          </w:p>
        </w:tc>
        <w:tc>
          <w:tcPr>
            <w:tcW w:w="1211"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b/>
                <w:bCs/>
                <w:color w:val="000000"/>
                <w:sz w:val="20"/>
                <w:szCs w:val="20"/>
              </w:rPr>
            </w:pPr>
            <w:r w:rsidRPr="00942766">
              <w:rPr>
                <w:rFonts w:eastAsia="Times New Roman"/>
                <w:b/>
                <w:bCs/>
                <w:color w:val="000000"/>
                <w:sz w:val="20"/>
                <w:szCs w:val="20"/>
              </w:rPr>
              <w:t>(59.48)</w:t>
            </w:r>
          </w:p>
        </w:tc>
        <w:tc>
          <w:tcPr>
            <w:tcW w:w="2358" w:type="dxa"/>
            <w:gridSpan w:val="2"/>
            <w:tcBorders>
              <w:top w:val="nil"/>
              <w:left w:val="nil"/>
              <w:bottom w:val="nil"/>
              <w:right w:val="nil"/>
            </w:tcBorders>
            <w:shd w:val="clear" w:color="000000" w:fill="FFFFFF"/>
            <w:noWrap/>
            <w:vAlign w:val="center"/>
            <w:hideMark/>
          </w:tcPr>
          <w:p w:rsidR="00DF2FD0" w:rsidRPr="00942766" w:rsidRDefault="00DF2FD0" w:rsidP="002833D4">
            <w:pPr>
              <w:jc w:val="center"/>
              <w:rPr>
                <w:rFonts w:eastAsia="Times New Roman"/>
                <w:b/>
                <w:bCs/>
                <w:color w:val="000000"/>
                <w:sz w:val="20"/>
                <w:szCs w:val="20"/>
              </w:rPr>
            </w:pPr>
            <w:r w:rsidRPr="00942766">
              <w:rPr>
                <w:rFonts w:eastAsia="Times New Roman"/>
                <w:b/>
                <w:bCs/>
                <w:color w:val="000000"/>
                <w:sz w:val="20"/>
                <w:szCs w:val="20"/>
              </w:rPr>
              <w:t>-</w:t>
            </w:r>
          </w:p>
        </w:tc>
        <w:tc>
          <w:tcPr>
            <w:tcW w:w="1046"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b/>
                <w:bCs/>
                <w:color w:val="000000"/>
                <w:sz w:val="20"/>
                <w:szCs w:val="20"/>
              </w:rPr>
            </w:pPr>
            <w:r w:rsidRPr="00942766">
              <w:rPr>
                <w:rFonts w:eastAsia="Times New Roman"/>
                <w:b/>
                <w:bCs/>
                <w:color w:val="000000"/>
                <w:sz w:val="20"/>
                <w:szCs w:val="20"/>
              </w:rPr>
              <w:t>82.61</w:t>
            </w:r>
          </w:p>
        </w:tc>
        <w:tc>
          <w:tcPr>
            <w:tcW w:w="1282"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b/>
                <w:bCs/>
                <w:color w:val="000000"/>
                <w:sz w:val="20"/>
                <w:szCs w:val="20"/>
              </w:rPr>
            </w:pPr>
            <w:r w:rsidRPr="00942766">
              <w:rPr>
                <w:rFonts w:eastAsia="Times New Roman"/>
                <w:b/>
                <w:bCs/>
                <w:color w:val="000000"/>
                <w:sz w:val="20"/>
                <w:szCs w:val="20"/>
              </w:rPr>
              <w:t>(315.73)</w:t>
            </w:r>
          </w:p>
        </w:tc>
        <w:tc>
          <w:tcPr>
            <w:tcW w:w="1172"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b/>
                <w:bCs/>
                <w:color w:val="000000"/>
                <w:sz w:val="20"/>
                <w:szCs w:val="20"/>
              </w:rPr>
            </w:pPr>
            <w:r w:rsidRPr="00942766">
              <w:rPr>
                <w:rFonts w:eastAsia="Times New Roman"/>
                <w:b/>
                <w:bCs/>
                <w:color w:val="000000"/>
                <w:sz w:val="20"/>
                <w:szCs w:val="20"/>
              </w:rPr>
              <w:t>33.42</w:t>
            </w:r>
          </w:p>
        </w:tc>
        <w:tc>
          <w:tcPr>
            <w:tcW w:w="1245"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b/>
                <w:bCs/>
                <w:color w:val="000000"/>
                <w:sz w:val="20"/>
                <w:szCs w:val="20"/>
              </w:rPr>
            </w:pPr>
            <w:r w:rsidRPr="00942766">
              <w:rPr>
                <w:rFonts w:eastAsia="Times New Roman"/>
                <w:b/>
                <w:bCs/>
                <w:color w:val="000000"/>
                <w:sz w:val="20"/>
                <w:szCs w:val="20"/>
              </w:rPr>
              <w:t>(182.09)</w:t>
            </w:r>
          </w:p>
        </w:tc>
        <w:tc>
          <w:tcPr>
            <w:tcW w:w="916"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b/>
                <w:bCs/>
                <w:color w:val="000000"/>
                <w:sz w:val="20"/>
                <w:szCs w:val="20"/>
              </w:rPr>
            </w:pPr>
            <w:r w:rsidRPr="00942766">
              <w:rPr>
                <w:rFonts w:eastAsia="Times New Roman"/>
                <w:b/>
                <w:bCs/>
                <w:color w:val="000000"/>
                <w:sz w:val="20"/>
                <w:szCs w:val="20"/>
              </w:rPr>
              <w:t>12.97</w:t>
            </w:r>
          </w:p>
        </w:tc>
        <w:tc>
          <w:tcPr>
            <w:tcW w:w="1052"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b/>
                <w:bCs/>
                <w:color w:val="000000"/>
                <w:sz w:val="20"/>
                <w:szCs w:val="20"/>
              </w:rPr>
            </w:pPr>
            <w:r w:rsidRPr="00942766">
              <w:rPr>
                <w:rFonts w:eastAsia="Times New Roman"/>
                <w:b/>
                <w:bCs/>
                <w:color w:val="000000"/>
                <w:sz w:val="20"/>
                <w:szCs w:val="20"/>
              </w:rPr>
              <w:t>(78.91)</w:t>
            </w:r>
          </w:p>
        </w:tc>
        <w:tc>
          <w:tcPr>
            <w:tcW w:w="1701" w:type="dxa"/>
            <w:tcBorders>
              <w:top w:val="nil"/>
              <w:left w:val="nil"/>
              <w:bottom w:val="nil"/>
              <w:right w:val="nil"/>
            </w:tcBorders>
            <w:shd w:val="clear" w:color="000000" w:fill="FFFFFF"/>
            <w:noWrap/>
            <w:vAlign w:val="center"/>
            <w:hideMark/>
          </w:tcPr>
          <w:p w:rsidR="00DF2FD0" w:rsidRPr="00942766" w:rsidRDefault="00DF2FD0" w:rsidP="002833D4">
            <w:pPr>
              <w:jc w:val="center"/>
              <w:rPr>
                <w:rFonts w:eastAsia="Times New Roman"/>
                <w:b/>
                <w:bCs/>
                <w:color w:val="000000"/>
                <w:sz w:val="20"/>
                <w:szCs w:val="20"/>
              </w:rPr>
            </w:pPr>
            <w:r w:rsidRPr="00942766">
              <w:rPr>
                <w:rFonts w:eastAsia="Times New Roman"/>
                <w:b/>
                <w:bCs/>
                <w:color w:val="000000"/>
                <w:sz w:val="20"/>
                <w:szCs w:val="20"/>
              </w:rPr>
              <w:t>20.45 (24.39)</w:t>
            </w:r>
          </w:p>
        </w:tc>
        <w:tc>
          <w:tcPr>
            <w:tcW w:w="1276" w:type="dxa"/>
            <w:gridSpan w:val="2"/>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b/>
                <w:bCs/>
                <w:color w:val="000000"/>
                <w:sz w:val="20"/>
                <w:szCs w:val="20"/>
              </w:rPr>
            </w:pPr>
            <w:r w:rsidRPr="00942766">
              <w:rPr>
                <w:rFonts w:eastAsia="Times New Roman"/>
                <w:b/>
                <w:bCs/>
                <w:color w:val="000000"/>
                <w:sz w:val="20"/>
                <w:szCs w:val="20"/>
              </w:rPr>
              <w:t>-27.35 to 68.25</w:t>
            </w:r>
          </w:p>
        </w:tc>
      </w:tr>
      <w:tr w:rsidR="00080173" w:rsidRPr="00942766" w:rsidTr="00080173">
        <w:trPr>
          <w:trHeight w:val="320"/>
        </w:trPr>
        <w:tc>
          <w:tcPr>
            <w:tcW w:w="1416" w:type="dxa"/>
            <w:tcBorders>
              <w:top w:val="nil"/>
              <w:left w:val="nil"/>
              <w:bottom w:val="nil"/>
              <w:right w:val="nil"/>
            </w:tcBorders>
            <w:shd w:val="clear" w:color="000000" w:fill="FFFFFF"/>
            <w:noWrap/>
            <w:vAlign w:val="center"/>
            <w:hideMark/>
          </w:tcPr>
          <w:p w:rsidR="00DF2FD0" w:rsidRPr="00942766" w:rsidRDefault="00BB7AEB" w:rsidP="00DF2FD0">
            <w:pPr>
              <w:rPr>
                <w:rFonts w:eastAsia="Times New Roman"/>
                <w:color w:val="000000"/>
                <w:sz w:val="22"/>
                <w:szCs w:val="22"/>
              </w:rPr>
            </w:pPr>
            <w:r w:rsidRPr="00942766">
              <w:rPr>
                <w:rFonts w:eastAsia="Times New Roman"/>
                <w:color w:val="000000"/>
                <w:sz w:val="22"/>
                <w:szCs w:val="22"/>
              </w:rPr>
              <w:t xml:space="preserve">    </w:t>
            </w:r>
            <w:r w:rsidR="00EB7698" w:rsidRPr="00942766">
              <w:rPr>
                <w:rFonts w:eastAsia="Times New Roman"/>
                <w:color w:val="000000"/>
                <w:sz w:val="22"/>
                <w:szCs w:val="22"/>
              </w:rPr>
              <w:t xml:space="preserve"> </w:t>
            </w:r>
            <w:r w:rsidR="00DF2FD0" w:rsidRPr="00942766">
              <w:rPr>
                <w:rFonts w:eastAsia="Times New Roman"/>
                <w:color w:val="000000"/>
                <w:sz w:val="22"/>
                <w:szCs w:val="22"/>
              </w:rPr>
              <w:t>No UNHS</w:t>
            </w:r>
          </w:p>
        </w:tc>
        <w:tc>
          <w:tcPr>
            <w:tcW w:w="1060"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r w:rsidRPr="00942766">
              <w:rPr>
                <w:rFonts w:eastAsia="Times New Roman"/>
                <w:color w:val="000000"/>
                <w:sz w:val="20"/>
                <w:szCs w:val="20"/>
              </w:rPr>
              <w:t>21.43</w:t>
            </w:r>
          </w:p>
        </w:tc>
        <w:tc>
          <w:tcPr>
            <w:tcW w:w="1211"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r w:rsidRPr="00942766">
              <w:rPr>
                <w:rFonts w:eastAsia="Times New Roman"/>
                <w:color w:val="000000"/>
                <w:sz w:val="20"/>
                <w:szCs w:val="20"/>
              </w:rPr>
              <w:t>(80.18)</w:t>
            </w:r>
          </w:p>
        </w:tc>
        <w:tc>
          <w:tcPr>
            <w:tcW w:w="1093"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p>
        </w:tc>
        <w:tc>
          <w:tcPr>
            <w:tcW w:w="1265"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p>
        </w:tc>
        <w:tc>
          <w:tcPr>
            <w:tcW w:w="1046"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r w:rsidRPr="00942766">
              <w:rPr>
                <w:rFonts w:eastAsia="Times New Roman"/>
                <w:color w:val="000000"/>
                <w:sz w:val="20"/>
                <w:szCs w:val="20"/>
              </w:rPr>
              <w:t>107.14</w:t>
            </w:r>
          </w:p>
        </w:tc>
        <w:tc>
          <w:tcPr>
            <w:tcW w:w="1282"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r w:rsidRPr="00942766">
              <w:rPr>
                <w:rFonts w:eastAsia="Times New Roman"/>
                <w:color w:val="000000"/>
                <w:sz w:val="20"/>
                <w:szCs w:val="20"/>
              </w:rPr>
              <w:t>(400.89)</w:t>
            </w:r>
          </w:p>
        </w:tc>
        <w:tc>
          <w:tcPr>
            <w:tcW w:w="1172"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r w:rsidRPr="00942766">
              <w:rPr>
                <w:rFonts w:eastAsia="Times New Roman"/>
                <w:color w:val="000000"/>
                <w:sz w:val="20"/>
                <w:szCs w:val="20"/>
              </w:rPr>
              <w:t>47.37</w:t>
            </w:r>
          </w:p>
        </w:tc>
        <w:tc>
          <w:tcPr>
            <w:tcW w:w="1245"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r w:rsidRPr="00942766">
              <w:rPr>
                <w:rFonts w:eastAsia="Times New Roman"/>
                <w:color w:val="000000"/>
                <w:sz w:val="20"/>
                <w:szCs w:val="20"/>
              </w:rPr>
              <w:t>(246.86)</w:t>
            </w:r>
          </w:p>
        </w:tc>
        <w:tc>
          <w:tcPr>
            <w:tcW w:w="916"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p>
        </w:tc>
        <w:tc>
          <w:tcPr>
            <w:tcW w:w="1052"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p>
        </w:tc>
        <w:tc>
          <w:tcPr>
            <w:tcW w:w="1701" w:type="dxa"/>
            <w:tcBorders>
              <w:top w:val="nil"/>
              <w:left w:val="nil"/>
              <w:bottom w:val="nil"/>
              <w:right w:val="nil"/>
            </w:tcBorders>
            <w:shd w:val="clear" w:color="000000" w:fill="FFFFFF"/>
            <w:noWrap/>
            <w:vAlign w:val="center"/>
            <w:hideMark/>
          </w:tcPr>
          <w:p w:rsidR="00DF2FD0" w:rsidRPr="00942766" w:rsidRDefault="00DF2FD0" w:rsidP="002833D4">
            <w:pPr>
              <w:jc w:val="center"/>
              <w:rPr>
                <w:rFonts w:eastAsia="Times New Roman"/>
                <w:b/>
                <w:bCs/>
                <w:color w:val="000000"/>
                <w:sz w:val="20"/>
                <w:szCs w:val="20"/>
              </w:rPr>
            </w:pPr>
          </w:p>
        </w:tc>
        <w:tc>
          <w:tcPr>
            <w:tcW w:w="428"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b/>
                <w:bCs/>
                <w:color w:val="000000"/>
                <w:sz w:val="20"/>
                <w:szCs w:val="20"/>
              </w:rPr>
            </w:pPr>
          </w:p>
        </w:tc>
        <w:tc>
          <w:tcPr>
            <w:tcW w:w="848"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b/>
                <w:bCs/>
                <w:color w:val="000000"/>
                <w:sz w:val="20"/>
                <w:szCs w:val="20"/>
              </w:rPr>
            </w:pPr>
          </w:p>
        </w:tc>
      </w:tr>
      <w:tr w:rsidR="00080173" w:rsidRPr="00942766" w:rsidTr="00080173">
        <w:trPr>
          <w:trHeight w:val="320"/>
        </w:trPr>
        <w:tc>
          <w:tcPr>
            <w:tcW w:w="1416" w:type="dxa"/>
            <w:tcBorders>
              <w:top w:val="nil"/>
              <w:left w:val="nil"/>
              <w:bottom w:val="nil"/>
              <w:right w:val="nil"/>
            </w:tcBorders>
            <w:shd w:val="clear" w:color="000000" w:fill="FFFFFF"/>
            <w:noWrap/>
            <w:vAlign w:val="center"/>
            <w:hideMark/>
          </w:tcPr>
          <w:p w:rsidR="00DF2FD0" w:rsidRPr="00942766" w:rsidRDefault="00BB7AEB" w:rsidP="00DF2FD0">
            <w:pPr>
              <w:rPr>
                <w:rFonts w:eastAsia="Times New Roman"/>
                <w:color w:val="000000"/>
                <w:sz w:val="22"/>
                <w:szCs w:val="22"/>
              </w:rPr>
            </w:pPr>
            <w:r w:rsidRPr="00942766">
              <w:rPr>
                <w:rFonts w:eastAsia="Times New Roman"/>
                <w:color w:val="000000"/>
                <w:sz w:val="22"/>
                <w:szCs w:val="22"/>
              </w:rPr>
              <w:t xml:space="preserve">          </w:t>
            </w:r>
            <w:r w:rsidR="00DF2FD0" w:rsidRPr="00942766">
              <w:rPr>
                <w:rFonts w:eastAsia="Times New Roman"/>
                <w:color w:val="000000"/>
                <w:sz w:val="22"/>
                <w:szCs w:val="22"/>
              </w:rPr>
              <w:t>UNHS</w:t>
            </w:r>
          </w:p>
        </w:tc>
        <w:tc>
          <w:tcPr>
            <w:tcW w:w="1060"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r w:rsidRPr="00942766">
              <w:rPr>
                <w:rFonts w:eastAsia="Times New Roman"/>
                <w:color w:val="000000"/>
                <w:sz w:val="20"/>
                <w:szCs w:val="20"/>
              </w:rPr>
              <w:t>13.33</w:t>
            </w:r>
          </w:p>
        </w:tc>
        <w:tc>
          <w:tcPr>
            <w:tcW w:w="1211"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r w:rsidRPr="00942766">
              <w:rPr>
                <w:rFonts w:eastAsia="Times New Roman"/>
                <w:color w:val="000000"/>
                <w:sz w:val="20"/>
                <w:szCs w:val="20"/>
              </w:rPr>
              <w:t>(38.81)</w:t>
            </w:r>
          </w:p>
        </w:tc>
        <w:tc>
          <w:tcPr>
            <w:tcW w:w="1093"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p>
        </w:tc>
        <w:tc>
          <w:tcPr>
            <w:tcW w:w="1265"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p>
        </w:tc>
        <w:tc>
          <w:tcPr>
            <w:tcW w:w="1046"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r w:rsidRPr="00942766">
              <w:rPr>
                <w:rFonts w:eastAsia="Times New Roman"/>
                <w:color w:val="000000"/>
                <w:sz w:val="20"/>
                <w:szCs w:val="20"/>
              </w:rPr>
              <w:t>44.44</w:t>
            </w:r>
          </w:p>
        </w:tc>
        <w:tc>
          <w:tcPr>
            <w:tcW w:w="1282"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r w:rsidRPr="00942766">
              <w:rPr>
                <w:rFonts w:eastAsia="Times New Roman"/>
                <w:color w:val="000000"/>
                <w:sz w:val="20"/>
                <w:szCs w:val="20"/>
              </w:rPr>
              <w:t>(101.38)</w:t>
            </w:r>
          </w:p>
        </w:tc>
        <w:tc>
          <w:tcPr>
            <w:tcW w:w="1172"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r w:rsidRPr="00942766">
              <w:rPr>
                <w:rFonts w:eastAsia="Times New Roman"/>
                <w:color w:val="000000"/>
                <w:sz w:val="20"/>
                <w:szCs w:val="20"/>
              </w:rPr>
              <w:t>18.29</w:t>
            </w:r>
          </w:p>
        </w:tc>
        <w:tc>
          <w:tcPr>
            <w:tcW w:w="1245"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r w:rsidRPr="00942766">
              <w:rPr>
                <w:rFonts w:eastAsia="Times New Roman"/>
                <w:color w:val="000000"/>
                <w:sz w:val="20"/>
                <w:szCs w:val="20"/>
              </w:rPr>
              <w:t>(58.69)</w:t>
            </w:r>
          </w:p>
        </w:tc>
        <w:tc>
          <w:tcPr>
            <w:tcW w:w="916"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p>
        </w:tc>
        <w:tc>
          <w:tcPr>
            <w:tcW w:w="1052"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p>
        </w:tc>
        <w:tc>
          <w:tcPr>
            <w:tcW w:w="1701" w:type="dxa"/>
            <w:tcBorders>
              <w:top w:val="nil"/>
              <w:left w:val="nil"/>
              <w:bottom w:val="nil"/>
              <w:right w:val="nil"/>
            </w:tcBorders>
            <w:shd w:val="clear" w:color="000000" w:fill="FFFFFF"/>
            <w:noWrap/>
            <w:vAlign w:val="center"/>
            <w:hideMark/>
          </w:tcPr>
          <w:p w:rsidR="00DF2FD0" w:rsidRPr="00942766" w:rsidRDefault="00DF2FD0" w:rsidP="002833D4">
            <w:pPr>
              <w:jc w:val="center"/>
              <w:rPr>
                <w:rFonts w:eastAsia="Times New Roman"/>
                <w:b/>
                <w:bCs/>
                <w:color w:val="000000"/>
                <w:sz w:val="20"/>
                <w:szCs w:val="20"/>
              </w:rPr>
            </w:pPr>
          </w:p>
        </w:tc>
        <w:tc>
          <w:tcPr>
            <w:tcW w:w="428"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b/>
                <w:bCs/>
                <w:color w:val="000000"/>
                <w:sz w:val="20"/>
                <w:szCs w:val="20"/>
              </w:rPr>
            </w:pPr>
          </w:p>
        </w:tc>
        <w:tc>
          <w:tcPr>
            <w:tcW w:w="848"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b/>
                <w:bCs/>
                <w:color w:val="000000"/>
                <w:sz w:val="20"/>
                <w:szCs w:val="20"/>
              </w:rPr>
            </w:pPr>
          </w:p>
        </w:tc>
      </w:tr>
      <w:tr w:rsidR="00B2413F" w:rsidRPr="00942766" w:rsidTr="00080173">
        <w:trPr>
          <w:trHeight w:val="320"/>
        </w:trPr>
        <w:tc>
          <w:tcPr>
            <w:tcW w:w="1416" w:type="dxa"/>
            <w:tcBorders>
              <w:top w:val="nil"/>
              <w:left w:val="nil"/>
              <w:bottom w:val="nil"/>
              <w:right w:val="nil"/>
            </w:tcBorders>
            <w:shd w:val="clear" w:color="000000" w:fill="FFFFFF"/>
            <w:noWrap/>
            <w:vAlign w:val="center"/>
            <w:hideMark/>
          </w:tcPr>
          <w:p w:rsidR="00DF2FD0" w:rsidRPr="00942766" w:rsidRDefault="00DF2FD0" w:rsidP="002833D4">
            <w:pPr>
              <w:rPr>
                <w:rFonts w:eastAsia="Times New Roman"/>
                <w:b/>
                <w:bCs/>
                <w:color w:val="000000"/>
                <w:sz w:val="22"/>
                <w:szCs w:val="22"/>
              </w:rPr>
            </w:pPr>
            <w:r w:rsidRPr="00942766">
              <w:rPr>
                <w:rFonts w:eastAsia="Times New Roman"/>
                <w:b/>
                <w:bCs/>
                <w:color w:val="000000"/>
                <w:sz w:val="22"/>
                <w:szCs w:val="22"/>
              </w:rPr>
              <w:t xml:space="preserve">Other household </w:t>
            </w:r>
          </w:p>
        </w:tc>
        <w:tc>
          <w:tcPr>
            <w:tcW w:w="1060"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b/>
                <w:bCs/>
                <w:color w:val="000000"/>
                <w:sz w:val="20"/>
                <w:szCs w:val="20"/>
              </w:rPr>
            </w:pPr>
            <w:r w:rsidRPr="00942766">
              <w:rPr>
                <w:rFonts w:eastAsia="Times New Roman"/>
                <w:b/>
                <w:bCs/>
                <w:color w:val="000000"/>
                <w:sz w:val="20"/>
                <w:szCs w:val="20"/>
              </w:rPr>
              <w:t>521.25</w:t>
            </w:r>
          </w:p>
        </w:tc>
        <w:tc>
          <w:tcPr>
            <w:tcW w:w="1211"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b/>
                <w:bCs/>
                <w:color w:val="000000"/>
                <w:sz w:val="20"/>
                <w:szCs w:val="20"/>
              </w:rPr>
            </w:pPr>
            <w:r w:rsidRPr="00942766">
              <w:rPr>
                <w:rFonts w:eastAsia="Times New Roman"/>
                <w:b/>
                <w:bCs/>
                <w:color w:val="000000"/>
                <w:sz w:val="20"/>
                <w:szCs w:val="20"/>
              </w:rPr>
              <w:t>(2,040.87)</w:t>
            </w:r>
          </w:p>
        </w:tc>
        <w:tc>
          <w:tcPr>
            <w:tcW w:w="1093"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b/>
                <w:bCs/>
                <w:color w:val="000000"/>
                <w:sz w:val="20"/>
                <w:szCs w:val="20"/>
              </w:rPr>
            </w:pPr>
            <w:r w:rsidRPr="00942766">
              <w:rPr>
                <w:rFonts w:eastAsia="Times New Roman"/>
                <w:b/>
                <w:bCs/>
                <w:color w:val="000000"/>
                <w:sz w:val="20"/>
                <w:szCs w:val="20"/>
              </w:rPr>
              <w:t>461.22</w:t>
            </w:r>
          </w:p>
        </w:tc>
        <w:tc>
          <w:tcPr>
            <w:tcW w:w="1265"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b/>
                <w:bCs/>
                <w:color w:val="000000"/>
                <w:sz w:val="20"/>
                <w:szCs w:val="20"/>
              </w:rPr>
            </w:pPr>
            <w:r w:rsidRPr="00942766">
              <w:rPr>
                <w:rFonts w:eastAsia="Times New Roman"/>
                <w:b/>
                <w:bCs/>
                <w:color w:val="000000"/>
                <w:sz w:val="20"/>
                <w:szCs w:val="20"/>
              </w:rPr>
              <w:t>(912.33)</w:t>
            </w:r>
          </w:p>
        </w:tc>
        <w:tc>
          <w:tcPr>
            <w:tcW w:w="1046"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b/>
                <w:bCs/>
                <w:color w:val="000000"/>
                <w:sz w:val="20"/>
                <w:szCs w:val="20"/>
              </w:rPr>
            </w:pPr>
            <w:r w:rsidRPr="00942766">
              <w:rPr>
                <w:rFonts w:eastAsia="Times New Roman"/>
                <w:b/>
                <w:bCs/>
                <w:color w:val="000000"/>
                <w:sz w:val="20"/>
                <w:szCs w:val="20"/>
              </w:rPr>
              <w:t>710.09</w:t>
            </w:r>
          </w:p>
        </w:tc>
        <w:tc>
          <w:tcPr>
            <w:tcW w:w="1282"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b/>
                <w:bCs/>
                <w:color w:val="000000"/>
                <w:sz w:val="20"/>
                <w:szCs w:val="20"/>
              </w:rPr>
            </w:pPr>
            <w:r w:rsidRPr="00942766">
              <w:rPr>
                <w:rFonts w:eastAsia="Times New Roman"/>
                <w:b/>
                <w:bCs/>
                <w:color w:val="000000"/>
                <w:sz w:val="20"/>
                <w:szCs w:val="20"/>
              </w:rPr>
              <w:t>(1,289.46)</w:t>
            </w:r>
          </w:p>
        </w:tc>
        <w:tc>
          <w:tcPr>
            <w:tcW w:w="1172"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b/>
                <w:bCs/>
                <w:color w:val="000000"/>
                <w:sz w:val="20"/>
                <w:szCs w:val="20"/>
              </w:rPr>
            </w:pPr>
            <w:r w:rsidRPr="00942766">
              <w:rPr>
                <w:rFonts w:eastAsia="Times New Roman"/>
                <w:b/>
                <w:bCs/>
                <w:color w:val="000000"/>
                <w:sz w:val="20"/>
                <w:szCs w:val="20"/>
              </w:rPr>
              <w:t>565.95</w:t>
            </w:r>
          </w:p>
        </w:tc>
        <w:tc>
          <w:tcPr>
            <w:tcW w:w="1245"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b/>
                <w:bCs/>
                <w:color w:val="000000"/>
                <w:sz w:val="20"/>
                <w:szCs w:val="20"/>
              </w:rPr>
            </w:pPr>
            <w:r w:rsidRPr="00942766">
              <w:rPr>
                <w:rFonts w:eastAsia="Times New Roman"/>
                <w:b/>
                <w:bCs/>
                <w:color w:val="000000"/>
                <w:sz w:val="20"/>
                <w:szCs w:val="20"/>
              </w:rPr>
              <w:t>(1,583.72)</w:t>
            </w:r>
          </w:p>
        </w:tc>
        <w:tc>
          <w:tcPr>
            <w:tcW w:w="916"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b/>
                <w:bCs/>
                <w:color w:val="000000"/>
                <w:sz w:val="20"/>
                <w:szCs w:val="20"/>
              </w:rPr>
            </w:pPr>
            <w:r w:rsidRPr="00942766">
              <w:rPr>
                <w:rFonts w:eastAsia="Times New Roman"/>
                <w:b/>
                <w:bCs/>
                <w:color w:val="000000"/>
                <w:sz w:val="20"/>
                <w:szCs w:val="20"/>
              </w:rPr>
              <w:t>38.92</w:t>
            </w:r>
          </w:p>
        </w:tc>
        <w:tc>
          <w:tcPr>
            <w:tcW w:w="1052"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b/>
                <w:bCs/>
                <w:color w:val="000000"/>
                <w:sz w:val="20"/>
                <w:szCs w:val="20"/>
              </w:rPr>
            </w:pPr>
            <w:r w:rsidRPr="00942766">
              <w:rPr>
                <w:rFonts w:eastAsia="Times New Roman"/>
                <w:b/>
                <w:bCs/>
                <w:color w:val="000000"/>
                <w:sz w:val="20"/>
                <w:szCs w:val="20"/>
              </w:rPr>
              <w:t>(236.73)</w:t>
            </w:r>
          </w:p>
        </w:tc>
        <w:tc>
          <w:tcPr>
            <w:tcW w:w="1701" w:type="dxa"/>
            <w:tcBorders>
              <w:top w:val="nil"/>
              <w:left w:val="nil"/>
              <w:bottom w:val="nil"/>
              <w:right w:val="nil"/>
            </w:tcBorders>
            <w:shd w:val="clear" w:color="000000" w:fill="FFFFFF"/>
            <w:noWrap/>
            <w:vAlign w:val="center"/>
            <w:hideMark/>
          </w:tcPr>
          <w:p w:rsidR="00DF2FD0" w:rsidRPr="00942766" w:rsidRDefault="00DF2FD0" w:rsidP="002833D4">
            <w:pPr>
              <w:jc w:val="center"/>
              <w:rPr>
                <w:rFonts w:eastAsia="Times New Roman"/>
                <w:b/>
                <w:bCs/>
                <w:color w:val="000000"/>
                <w:sz w:val="20"/>
                <w:szCs w:val="20"/>
              </w:rPr>
            </w:pPr>
            <w:r w:rsidRPr="00942766">
              <w:rPr>
                <w:rFonts w:eastAsia="Times New Roman"/>
                <w:b/>
                <w:bCs/>
                <w:color w:val="000000"/>
                <w:sz w:val="20"/>
                <w:szCs w:val="20"/>
              </w:rPr>
              <w:t>527.03 (153.73)</w:t>
            </w:r>
          </w:p>
        </w:tc>
        <w:tc>
          <w:tcPr>
            <w:tcW w:w="1276" w:type="dxa"/>
            <w:gridSpan w:val="2"/>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b/>
                <w:bCs/>
                <w:color w:val="000000"/>
                <w:sz w:val="20"/>
                <w:szCs w:val="20"/>
              </w:rPr>
            </w:pPr>
            <w:r w:rsidRPr="00942766">
              <w:rPr>
                <w:rFonts w:eastAsia="Times New Roman"/>
                <w:b/>
                <w:bCs/>
                <w:color w:val="000000"/>
                <w:sz w:val="20"/>
                <w:szCs w:val="20"/>
              </w:rPr>
              <w:t>225.72 to 828.34</w:t>
            </w:r>
          </w:p>
        </w:tc>
      </w:tr>
      <w:tr w:rsidR="00080173" w:rsidRPr="00942766" w:rsidTr="00080173">
        <w:trPr>
          <w:trHeight w:val="320"/>
        </w:trPr>
        <w:tc>
          <w:tcPr>
            <w:tcW w:w="1416" w:type="dxa"/>
            <w:tcBorders>
              <w:top w:val="nil"/>
              <w:left w:val="nil"/>
              <w:bottom w:val="nil"/>
              <w:right w:val="nil"/>
            </w:tcBorders>
            <w:shd w:val="clear" w:color="000000" w:fill="FFFFFF"/>
            <w:noWrap/>
            <w:vAlign w:val="center"/>
            <w:hideMark/>
          </w:tcPr>
          <w:p w:rsidR="00DF2FD0" w:rsidRPr="00942766" w:rsidRDefault="00BB7AEB" w:rsidP="00DF2FD0">
            <w:pPr>
              <w:rPr>
                <w:rFonts w:eastAsia="Times New Roman"/>
                <w:color w:val="000000"/>
                <w:sz w:val="22"/>
                <w:szCs w:val="22"/>
              </w:rPr>
            </w:pPr>
            <w:r w:rsidRPr="00942766">
              <w:rPr>
                <w:rFonts w:eastAsia="Times New Roman"/>
                <w:color w:val="000000"/>
                <w:sz w:val="22"/>
                <w:szCs w:val="22"/>
              </w:rPr>
              <w:t xml:space="preserve">   </w:t>
            </w:r>
            <w:r w:rsidR="00EB7698" w:rsidRPr="00942766">
              <w:rPr>
                <w:rFonts w:eastAsia="Times New Roman"/>
                <w:color w:val="000000"/>
                <w:sz w:val="22"/>
                <w:szCs w:val="22"/>
              </w:rPr>
              <w:t xml:space="preserve"> </w:t>
            </w:r>
            <w:r w:rsidR="00DF2FD0" w:rsidRPr="00942766">
              <w:rPr>
                <w:rFonts w:eastAsia="Times New Roman"/>
                <w:color w:val="000000"/>
                <w:sz w:val="22"/>
                <w:szCs w:val="22"/>
              </w:rPr>
              <w:t>No UNHS</w:t>
            </w:r>
          </w:p>
        </w:tc>
        <w:tc>
          <w:tcPr>
            <w:tcW w:w="1060"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r w:rsidRPr="00942766">
              <w:rPr>
                <w:rFonts w:eastAsia="Times New Roman"/>
                <w:color w:val="000000"/>
                <w:sz w:val="20"/>
                <w:szCs w:val="20"/>
              </w:rPr>
              <w:t>927.43</w:t>
            </w:r>
          </w:p>
        </w:tc>
        <w:tc>
          <w:tcPr>
            <w:tcW w:w="1211"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r w:rsidRPr="00942766">
              <w:rPr>
                <w:rFonts w:eastAsia="Times New Roman"/>
                <w:color w:val="000000"/>
                <w:sz w:val="20"/>
                <w:szCs w:val="20"/>
              </w:rPr>
              <w:t>(3,071.52)</w:t>
            </w:r>
          </w:p>
        </w:tc>
        <w:tc>
          <w:tcPr>
            <w:tcW w:w="1093"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r w:rsidRPr="00942766">
              <w:rPr>
                <w:rFonts w:eastAsia="Times New Roman"/>
                <w:color w:val="000000"/>
                <w:sz w:val="20"/>
                <w:szCs w:val="20"/>
              </w:rPr>
              <w:t>208.60</w:t>
            </w:r>
          </w:p>
        </w:tc>
        <w:tc>
          <w:tcPr>
            <w:tcW w:w="1265"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r w:rsidRPr="00942766">
              <w:rPr>
                <w:rFonts w:eastAsia="Times New Roman"/>
                <w:color w:val="000000"/>
                <w:sz w:val="20"/>
                <w:szCs w:val="20"/>
              </w:rPr>
              <w:t>(390.24)</w:t>
            </w:r>
          </w:p>
        </w:tc>
        <w:tc>
          <w:tcPr>
            <w:tcW w:w="1046"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r w:rsidRPr="00942766">
              <w:rPr>
                <w:rFonts w:eastAsia="Times New Roman"/>
                <w:color w:val="000000"/>
                <w:sz w:val="20"/>
                <w:szCs w:val="20"/>
              </w:rPr>
              <w:t>686.57</w:t>
            </w:r>
          </w:p>
        </w:tc>
        <w:tc>
          <w:tcPr>
            <w:tcW w:w="1282"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r w:rsidRPr="00942766">
              <w:rPr>
                <w:rFonts w:eastAsia="Times New Roman"/>
                <w:color w:val="000000"/>
                <w:sz w:val="20"/>
                <w:szCs w:val="20"/>
              </w:rPr>
              <w:t>(1,372.79)</w:t>
            </w:r>
          </w:p>
        </w:tc>
        <w:tc>
          <w:tcPr>
            <w:tcW w:w="1172"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r w:rsidRPr="00942766">
              <w:rPr>
                <w:rFonts w:eastAsia="Times New Roman"/>
                <w:color w:val="000000"/>
                <w:sz w:val="20"/>
                <w:szCs w:val="20"/>
              </w:rPr>
              <w:t>649.53</w:t>
            </w:r>
          </w:p>
        </w:tc>
        <w:tc>
          <w:tcPr>
            <w:tcW w:w="1245"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r w:rsidRPr="00942766">
              <w:rPr>
                <w:rFonts w:eastAsia="Times New Roman"/>
                <w:color w:val="000000"/>
                <w:sz w:val="20"/>
                <w:szCs w:val="20"/>
              </w:rPr>
              <w:t>(2,023.91)</w:t>
            </w:r>
          </w:p>
        </w:tc>
        <w:tc>
          <w:tcPr>
            <w:tcW w:w="916"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p>
        </w:tc>
        <w:tc>
          <w:tcPr>
            <w:tcW w:w="1052"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p>
        </w:tc>
        <w:tc>
          <w:tcPr>
            <w:tcW w:w="1701" w:type="dxa"/>
            <w:tcBorders>
              <w:top w:val="nil"/>
              <w:left w:val="nil"/>
              <w:bottom w:val="nil"/>
              <w:right w:val="nil"/>
            </w:tcBorders>
            <w:shd w:val="clear" w:color="000000" w:fill="FFFFFF"/>
            <w:noWrap/>
            <w:vAlign w:val="center"/>
            <w:hideMark/>
          </w:tcPr>
          <w:p w:rsidR="00DF2FD0" w:rsidRPr="00942766" w:rsidRDefault="00DF2FD0" w:rsidP="002833D4">
            <w:pPr>
              <w:jc w:val="center"/>
              <w:rPr>
                <w:rFonts w:eastAsia="Times New Roman"/>
                <w:b/>
                <w:bCs/>
                <w:color w:val="000000"/>
                <w:sz w:val="20"/>
                <w:szCs w:val="20"/>
              </w:rPr>
            </w:pPr>
          </w:p>
        </w:tc>
        <w:tc>
          <w:tcPr>
            <w:tcW w:w="428"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b/>
                <w:bCs/>
                <w:color w:val="000000"/>
                <w:sz w:val="20"/>
                <w:szCs w:val="20"/>
              </w:rPr>
            </w:pPr>
          </w:p>
        </w:tc>
        <w:tc>
          <w:tcPr>
            <w:tcW w:w="848"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b/>
                <w:bCs/>
                <w:color w:val="000000"/>
                <w:sz w:val="20"/>
                <w:szCs w:val="20"/>
              </w:rPr>
            </w:pPr>
          </w:p>
        </w:tc>
      </w:tr>
      <w:tr w:rsidR="00080173" w:rsidRPr="00942766" w:rsidTr="00080173">
        <w:trPr>
          <w:trHeight w:val="320"/>
        </w:trPr>
        <w:tc>
          <w:tcPr>
            <w:tcW w:w="1416" w:type="dxa"/>
            <w:tcBorders>
              <w:top w:val="nil"/>
              <w:left w:val="nil"/>
              <w:bottom w:val="nil"/>
              <w:right w:val="nil"/>
            </w:tcBorders>
            <w:shd w:val="clear" w:color="000000" w:fill="FFFFFF"/>
            <w:noWrap/>
            <w:vAlign w:val="center"/>
            <w:hideMark/>
          </w:tcPr>
          <w:p w:rsidR="00DF2FD0" w:rsidRPr="00942766" w:rsidRDefault="00BB7AEB" w:rsidP="00DF2FD0">
            <w:pPr>
              <w:rPr>
                <w:rFonts w:eastAsia="Times New Roman"/>
                <w:color w:val="000000"/>
                <w:sz w:val="22"/>
                <w:szCs w:val="22"/>
              </w:rPr>
            </w:pPr>
            <w:r w:rsidRPr="00942766">
              <w:rPr>
                <w:rFonts w:eastAsia="Times New Roman"/>
                <w:color w:val="000000"/>
                <w:sz w:val="22"/>
                <w:szCs w:val="22"/>
              </w:rPr>
              <w:t xml:space="preserve">         </w:t>
            </w:r>
            <w:r w:rsidR="00EB7698" w:rsidRPr="00942766">
              <w:rPr>
                <w:rFonts w:eastAsia="Times New Roman"/>
                <w:color w:val="000000"/>
                <w:sz w:val="22"/>
                <w:szCs w:val="22"/>
              </w:rPr>
              <w:t xml:space="preserve"> </w:t>
            </w:r>
            <w:r w:rsidR="00DF2FD0" w:rsidRPr="00942766">
              <w:rPr>
                <w:rFonts w:eastAsia="Times New Roman"/>
                <w:color w:val="000000"/>
                <w:sz w:val="22"/>
                <w:szCs w:val="22"/>
              </w:rPr>
              <w:t>UNHS</w:t>
            </w:r>
          </w:p>
        </w:tc>
        <w:tc>
          <w:tcPr>
            <w:tcW w:w="1060"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r w:rsidRPr="00942766">
              <w:rPr>
                <w:rFonts w:eastAsia="Times New Roman"/>
                <w:color w:val="000000"/>
                <w:sz w:val="20"/>
                <w:szCs w:val="20"/>
              </w:rPr>
              <w:t>205.33</w:t>
            </w:r>
          </w:p>
        </w:tc>
        <w:tc>
          <w:tcPr>
            <w:tcW w:w="1211"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r w:rsidRPr="00942766">
              <w:rPr>
                <w:rFonts w:eastAsia="Times New Roman"/>
                <w:color w:val="000000"/>
                <w:sz w:val="20"/>
                <w:szCs w:val="20"/>
              </w:rPr>
              <w:t>(373.21)</w:t>
            </w:r>
          </w:p>
        </w:tc>
        <w:tc>
          <w:tcPr>
            <w:tcW w:w="1093"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r w:rsidRPr="00942766">
              <w:rPr>
                <w:rFonts w:eastAsia="Times New Roman"/>
                <w:color w:val="000000"/>
                <w:sz w:val="20"/>
                <w:szCs w:val="20"/>
              </w:rPr>
              <w:t>777.00</w:t>
            </w:r>
          </w:p>
        </w:tc>
        <w:tc>
          <w:tcPr>
            <w:tcW w:w="1265"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r w:rsidRPr="00942766">
              <w:rPr>
                <w:rFonts w:eastAsia="Times New Roman"/>
                <w:color w:val="000000"/>
                <w:sz w:val="20"/>
                <w:szCs w:val="20"/>
              </w:rPr>
              <w:t>(1,272.98)</w:t>
            </w:r>
          </w:p>
        </w:tc>
        <w:tc>
          <w:tcPr>
            <w:tcW w:w="1046"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r w:rsidRPr="00942766">
              <w:rPr>
                <w:rFonts w:eastAsia="Times New Roman"/>
                <w:color w:val="000000"/>
                <w:sz w:val="20"/>
                <w:szCs w:val="20"/>
              </w:rPr>
              <w:t>746.67</w:t>
            </w:r>
          </w:p>
        </w:tc>
        <w:tc>
          <w:tcPr>
            <w:tcW w:w="1282"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r w:rsidRPr="00942766">
              <w:rPr>
                <w:rFonts w:eastAsia="Times New Roman"/>
                <w:color w:val="000000"/>
                <w:sz w:val="20"/>
                <w:szCs w:val="20"/>
              </w:rPr>
              <w:t>(1,227.84)</w:t>
            </w:r>
          </w:p>
        </w:tc>
        <w:tc>
          <w:tcPr>
            <w:tcW w:w="1172"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r w:rsidRPr="00942766">
              <w:rPr>
                <w:rFonts w:eastAsia="Times New Roman"/>
                <w:color w:val="000000"/>
                <w:sz w:val="20"/>
                <w:szCs w:val="20"/>
              </w:rPr>
              <w:t>475.20</w:t>
            </w:r>
          </w:p>
        </w:tc>
        <w:tc>
          <w:tcPr>
            <w:tcW w:w="1245"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r w:rsidRPr="00942766">
              <w:rPr>
                <w:rFonts w:eastAsia="Times New Roman"/>
                <w:color w:val="000000"/>
                <w:sz w:val="20"/>
                <w:szCs w:val="20"/>
              </w:rPr>
              <w:t>(915.15)</w:t>
            </w:r>
          </w:p>
        </w:tc>
        <w:tc>
          <w:tcPr>
            <w:tcW w:w="916"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p>
        </w:tc>
        <w:tc>
          <w:tcPr>
            <w:tcW w:w="1052"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p>
        </w:tc>
        <w:tc>
          <w:tcPr>
            <w:tcW w:w="1701" w:type="dxa"/>
            <w:tcBorders>
              <w:top w:val="nil"/>
              <w:left w:val="nil"/>
              <w:bottom w:val="nil"/>
              <w:right w:val="nil"/>
            </w:tcBorders>
            <w:shd w:val="clear" w:color="000000" w:fill="FFFFFF"/>
            <w:noWrap/>
            <w:vAlign w:val="center"/>
            <w:hideMark/>
          </w:tcPr>
          <w:p w:rsidR="00DF2FD0" w:rsidRPr="00942766" w:rsidRDefault="00DF2FD0" w:rsidP="002833D4">
            <w:pPr>
              <w:jc w:val="center"/>
              <w:rPr>
                <w:rFonts w:eastAsia="Times New Roman"/>
                <w:b/>
                <w:bCs/>
                <w:color w:val="000000"/>
                <w:sz w:val="20"/>
                <w:szCs w:val="20"/>
              </w:rPr>
            </w:pPr>
          </w:p>
        </w:tc>
        <w:tc>
          <w:tcPr>
            <w:tcW w:w="428"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b/>
                <w:bCs/>
                <w:color w:val="000000"/>
                <w:sz w:val="20"/>
                <w:szCs w:val="20"/>
              </w:rPr>
            </w:pPr>
          </w:p>
        </w:tc>
        <w:tc>
          <w:tcPr>
            <w:tcW w:w="848"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b/>
                <w:bCs/>
                <w:color w:val="000000"/>
                <w:sz w:val="20"/>
                <w:szCs w:val="20"/>
              </w:rPr>
            </w:pPr>
          </w:p>
        </w:tc>
      </w:tr>
      <w:tr w:rsidR="00B2413F" w:rsidRPr="00942766" w:rsidTr="00080173">
        <w:trPr>
          <w:trHeight w:val="320"/>
        </w:trPr>
        <w:tc>
          <w:tcPr>
            <w:tcW w:w="1416" w:type="dxa"/>
            <w:tcBorders>
              <w:top w:val="nil"/>
              <w:left w:val="nil"/>
              <w:bottom w:val="nil"/>
              <w:right w:val="nil"/>
            </w:tcBorders>
            <w:shd w:val="clear" w:color="000000" w:fill="FFFFFF"/>
            <w:noWrap/>
            <w:vAlign w:val="center"/>
            <w:hideMark/>
          </w:tcPr>
          <w:p w:rsidR="00DF2FD0" w:rsidRPr="00942766" w:rsidRDefault="00DF2FD0" w:rsidP="002833D4">
            <w:pPr>
              <w:rPr>
                <w:rFonts w:eastAsia="Times New Roman"/>
                <w:b/>
                <w:bCs/>
                <w:color w:val="000000"/>
                <w:sz w:val="22"/>
                <w:szCs w:val="22"/>
                <w:u w:val="single"/>
              </w:rPr>
            </w:pPr>
            <w:r w:rsidRPr="00942766">
              <w:rPr>
                <w:rFonts w:eastAsia="Times New Roman"/>
                <w:b/>
                <w:bCs/>
                <w:color w:val="000000"/>
                <w:sz w:val="22"/>
                <w:szCs w:val="22"/>
                <w:u w:val="single"/>
              </w:rPr>
              <w:t xml:space="preserve">Total costs </w:t>
            </w:r>
            <w:r w:rsidR="00BB7AEB" w:rsidRPr="00942766">
              <w:rPr>
                <w:rFonts w:eastAsia="Times New Roman"/>
                <w:b/>
                <w:bCs/>
                <w:color w:val="000000"/>
                <w:sz w:val="22"/>
                <w:szCs w:val="22"/>
                <w:u w:val="single"/>
              </w:rPr>
              <w:t>excluding e</w:t>
            </w:r>
            <w:r w:rsidRPr="00942766">
              <w:rPr>
                <w:rFonts w:eastAsia="Times New Roman"/>
                <w:b/>
                <w:bCs/>
                <w:color w:val="000000"/>
                <w:sz w:val="22"/>
                <w:szCs w:val="22"/>
                <w:u w:val="single"/>
              </w:rPr>
              <w:t>ducation</w:t>
            </w:r>
          </w:p>
        </w:tc>
        <w:tc>
          <w:tcPr>
            <w:tcW w:w="1060"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b/>
                <w:bCs/>
                <w:color w:val="000000"/>
                <w:sz w:val="20"/>
                <w:szCs w:val="20"/>
              </w:rPr>
            </w:pPr>
            <w:r w:rsidRPr="00942766">
              <w:rPr>
                <w:rFonts w:eastAsia="Times New Roman"/>
                <w:b/>
                <w:bCs/>
                <w:color w:val="000000"/>
                <w:sz w:val="20"/>
                <w:szCs w:val="20"/>
              </w:rPr>
              <w:t>2,548.77</w:t>
            </w:r>
          </w:p>
        </w:tc>
        <w:tc>
          <w:tcPr>
            <w:tcW w:w="1211"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b/>
                <w:bCs/>
                <w:color w:val="000000"/>
                <w:sz w:val="20"/>
                <w:szCs w:val="20"/>
              </w:rPr>
            </w:pPr>
            <w:r w:rsidRPr="00942766">
              <w:rPr>
                <w:rFonts w:eastAsia="Times New Roman"/>
                <w:b/>
                <w:bCs/>
                <w:color w:val="000000"/>
                <w:sz w:val="20"/>
                <w:szCs w:val="20"/>
              </w:rPr>
              <w:t>(4,914.31)</w:t>
            </w:r>
          </w:p>
        </w:tc>
        <w:tc>
          <w:tcPr>
            <w:tcW w:w="1093"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b/>
                <w:bCs/>
                <w:color w:val="000000"/>
                <w:sz w:val="20"/>
                <w:szCs w:val="20"/>
              </w:rPr>
            </w:pPr>
            <w:r w:rsidRPr="00942766">
              <w:rPr>
                <w:rFonts w:eastAsia="Times New Roman"/>
                <w:b/>
                <w:bCs/>
                <w:color w:val="000000"/>
                <w:sz w:val="20"/>
                <w:szCs w:val="20"/>
              </w:rPr>
              <w:t>3,286.65</w:t>
            </w:r>
          </w:p>
        </w:tc>
        <w:tc>
          <w:tcPr>
            <w:tcW w:w="1265"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b/>
                <w:bCs/>
                <w:color w:val="000000"/>
                <w:sz w:val="20"/>
                <w:szCs w:val="20"/>
              </w:rPr>
            </w:pPr>
            <w:r w:rsidRPr="00942766">
              <w:rPr>
                <w:rFonts w:eastAsia="Times New Roman"/>
                <w:b/>
                <w:bCs/>
                <w:color w:val="000000"/>
                <w:sz w:val="20"/>
                <w:szCs w:val="20"/>
              </w:rPr>
              <w:t>(5,160.29)</w:t>
            </w:r>
          </w:p>
        </w:tc>
        <w:tc>
          <w:tcPr>
            <w:tcW w:w="1046"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b/>
                <w:bCs/>
                <w:color w:val="000000"/>
                <w:sz w:val="20"/>
                <w:szCs w:val="20"/>
              </w:rPr>
            </w:pPr>
            <w:r w:rsidRPr="00942766">
              <w:rPr>
                <w:rFonts w:eastAsia="Times New Roman"/>
                <w:b/>
                <w:bCs/>
                <w:color w:val="000000"/>
                <w:sz w:val="20"/>
                <w:szCs w:val="20"/>
              </w:rPr>
              <w:t>6,568.22</w:t>
            </w:r>
          </w:p>
        </w:tc>
        <w:tc>
          <w:tcPr>
            <w:tcW w:w="1282"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b/>
                <w:bCs/>
                <w:color w:val="000000"/>
                <w:sz w:val="20"/>
                <w:szCs w:val="20"/>
              </w:rPr>
            </w:pPr>
            <w:r w:rsidRPr="00942766">
              <w:rPr>
                <w:rFonts w:eastAsia="Times New Roman"/>
                <w:b/>
                <w:bCs/>
                <w:color w:val="000000"/>
                <w:sz w:val="20"/>
                <w:szCs w:val="20"/>
              </w:rPr>
              <w:t>(8,890.53)</w:t>
            </w:r>
          </w:p>
        </w:tc>
        <w:tc>
          <w:tcPr>
            <w:tcW w:w="1172"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b/>
                <w:bCs/>
                <w:color w:val="000000"/>
                <w:sz w:val="20"/>
                <w:szCs w:val="20"/>
              </w:rPr>
            </w:pPr>
            <w:r w:rsidRPr="00942766">
              <w:rPr>
                <w:rFonts w:eastAsia="Times New Roman"/>
                <w:b/>
                <w:bCs/>
                <w:color w:val="000000"/>
                <w:sz w:val="20"/>
                <w:szCs w:val="20"/>
              </w:rPr>
              <w:t>3,997.12</w:t>
            </w:r>
          </w:p>
        </w:tc>
        <w:tc>
          <w:tcPr>
            <w:tcW w:w="1245"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b/>
                <w:bCs/>
                <w:color w:val="000000"/>
                <w:sz w:val="20"/>
                <w:szCs w:val="20"/>
              </w:rPr>
            </w:pPr>
            <w:r w:rsidRPr="00942766">
              <w:rPr>
                <w:rFonts w:eastAsia="Times New Roman"/>
                <w:b/>
                <w:bCs/>
                <w:color w:val="000000"/>
                <w:sz w:val="20"/>
                <w:szCs w:val="20"/>
              </w:rPr>
              <w:t>(6,633.79)</w:t>
            </w:r>
          </w:p>
        </w:tc>
        <w:tc>
          <w:tcPr>
            <w:tcW w:w="916"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b/>
                <w:bCs/>
                <w:color w:val="000000"/>
                <w:sz w:val="20"/>
                <w:szCs w:val="20"/>
              </w:rPr>
            </w:pPr>
            <w:r w:rsidRPr="00942766">
              <w:rPr>
                <w:rFonts w:eastAsia="Times New Roman"/>
                <w:b/>
                <w:bCs/>
                <w:color w:val="000000"/>
                <w:sz w:val="20"/>
                <w:szCs w:val="20"/>
              </w:rPr>
              <w:t>696.88</w:t>
            </w:r>
          </w:p>
        </w:tc>
        <w:tc>
          <w:tcPr>
            <w:tcW w:w="1052"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b/>
                <w:bCs/>
                <w:color w:val="000000"/>
                <w:sz w:val="20"/>
                <w:szCs w:val="20"/>
              </w:rPr>
            </w:pPr>
            <w:r w:rsidRPr="00942766">
              <w:rPr>
                <w:rFonts w:eastAsia="Times New Roman"/>
                <w:b/>
                <w:bCs/>
                <w:color w:val="000000"/>
                <w:sz w:val="20"/>
                <w:szCs w:val="20"/>
              </w:rPr>
              <w:t>(674.54)</w:t>
            </w:r>
          </w:p>
        </w:tc>
        <w:tc>
          <w:tcPr>
            <w:tcW w:w="1701" w:type="dxa"/>
            <w:tcBorders>
              <w:top w:val="nil"/>
              <w:left w:val="nil"/>
              <w:bottom w:val="nil"/>
              <w:right w:val="nil"/>
            </w:tcBorders>
            <w:shd w:val="clear" w:color="000000" w:fill="FFFFFF"/>
            <w:noWrap/>
            <w:vAlign w:val="center"/>
            <w:hideMark/>
          </w:tcPr>
          <w:p w:rsidR="00DF2FD0" w:rsidRPr="00942766" w:rsidRDefault="00DF2FD0" w:rsidP="002833D4">
            <w:pPr>
              <w:jc w:val="center"/>
              <w:rPr>
                <w:rFonts w:eastAsia="Times New Roman"/>
                <w:b/>
                <w:bCs/>
                <w:color w:val="000000"/>
                <w:sz w:val="20"/>
                <w:szCs w:val="20"/>
              </w:rPr>
            </w:pPr>
            <w:r w:rsidRPr="00942766">
              <w:rPr>
                <w:rFonts w:eastAsia="Times New Roman"/>
                <w:b/>
                <w:bCs/>
                <w:color w:val="000000"/>
                <w:sz w:val="20"/>
                <w:szCs w:val="20"/>
              </w:rPr>
              <w:t>3,300.24 (644.21)</w:t>
            </w:r>
          </w:p>
        </w:tc>
        <w:tc>
          <w:tcPr>
            <w:tcW w:w="1276" w:type="dxa"/>
            <w:gridSpan w:val="2"/>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b/>
                <w:bCs/>
                <w:color w:val="000000"/>
                <w:sz w:val="20"/>
                <w:szCs w:val="20"/>
              </w:rPr>
            </w:pPr>
            <w:r w:rsidRPr="00942766">
              <w:rPr>
                <w:rFonts w:eastAsia="Times New Roman"/>
                <w:b/>
                <w:bCs/>
                <w:color w:val="000000"/>
                <w:sz w:val="20"/>
                <w:szCs w:val="20"/>
              </w:rPr>
              <w:t>2037.62 to 4562.86</w:t>
            </w:r>
          </w:p>
        </w:tc>
      </w:tr>
      <w:tr w:rsidR="00080173" w:rsidRPr="00942766" w:rsidTr="00080173">
        <w:trPr>
          <w:trHeight w:val="320"/>
        </w:trPr>
        <w:tc>
          <w:tcPr>
            <w:tcW w:w="1416" w:type="dxa"/>
            <w:tcBorders>
              <w:top w:val="nil"/>
              <w:left w:val="nil"/>
              <w:bottom w:val="nil"/>
              <w:right w:val="nil"/>
            </w:tcBorders>
            <w:shd w:val="clear" w:color="000000" w:fill="FFFFFF"/>
            <w:noWrap/>
            <w:vAlign w:val="center"/>
            <w:hideMark/>
          </w:tcPr>
          <w:p w:rsidR="00DF2FD0" w:rsidRPr="00942766" w:rsidRDefault="00BB7AEB" w:rsidP="00DF2FD0">
            <w:pPr>
              <w:rPr>
                <w:rFonts w:eastAsia="Times New Roman"/>
                <w:color w:val="000000"/>
                <w:sz w:val="22"/>
                <w:szCs w:val="22"/>
              </w:rPr>
            </w:pPr>
            <w:r w:rsidRPr="00942766">
              <w:rPr>
                <w:rFonts w:eastAsia="Times New Roman"/>
                <w:color w:val="000000"/>
                <w:sz w:val="22"/>
                <w:szCs w:val="22"/>
              </w:rPr>
              <w:t xml:space="preserve">     </w:t>
            </w:r>
            <w:r w:rsidR="00DF2FD0" w:rsidRPr="00942766">
              <w:rPr>
                <w:rFonts w:eastAsia="Times New Roman"/>
                <w:color w:val="000000"/>
                <w:sz w:val="22"/>
                <w:szCs w:val="22"/>
              </w:rPr>
              <w:t>No UNHS</w:t>
            </w:r>
          </w:p>
        </w:tc>
        <w:tc>
          <w:tcPr>
            <w:tcW w:w="1060"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r w:rsidRPr="00942766">
              <w:rPr>
                <w:rFonts w:eastAsia="Times New Roman"/>
                <w:color w:val="000000"/>
                <w:sz w:val="20"/>
                <w:szCs w:val="20"/>
              </w:rPr>
              <w:t>2,709.45</w:t>
            </w:r>
          </w:p>
        </w:tc>
        <w:tc>
          <w:tcPr>
            <w:tcW w:w="1211"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r w:rsidRPr="00942766">
              <w:rPr>
                <w:rFonts w:eastAsia="Times New Roman"/>
                <w:color w:val="000000"/>
                <w:sz w:val="20"/>
                <w:szCs w:val="20"/>
              </w:rPr>
              <w:t>(4,331.12)</w:t>
            </w:r>
          </w:p>
        </w:tc>
        <w:tc>
          <w:tcPr>
            <w:tcW w:w="1093"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r w:rsidRPr="00942766">
              <w:rPr>
                <w:rFonts w:eastAsia="Times New Roman"/>
                <w:color w:val="000000"/>
                <w:sz w:val="20"/>
                <w:szCs w:val="20"/>
              </w:rPr>
              <w:t>3,435.76</w:t>
            </w:r>
          </w:p>
        </w:tc>
        <w:tc>
          <w:tcPr>
            <w:tcW w:w="1265"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r w:rsidRPr="00942766">
              <w:rPr>
                <w:rFonts w:eastAsia="Times New Roman"/>
                <w:color w:val="000000"/>
                <w:sz w:val="20"/>
                <w:szCs w:val="20"/>
              </w:rPr>
              <w:t>(6,541.88)</w:t>
            </w:r>
          </w:p>
        </w:tc>
        <w:tc>
          <w:tcPr>
            <w:tcW w:w="1046"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r w:rsidRPr="00942766">
              <w:rPr>
                <w:rFonts w:eastAsia="Times New Roman"/>
                <w:color w:val="000000"/>
                <w:sz w:val="20"/>
                <w:szCs w:val="20"/>
              </w:rPr>
              <w:t>7,217.90</w:t>
            </w:r>
          </w:p>
        </w:tc>
        <w:tc>
          <w:tcPr>
            <w:tcW w:w="1282"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r w:rsidRPr="00942766">
              <w:rPr>
                <w:rFonts w:eastAsia="Times New Roman"/>
                <w:color w:val="000000"/>
                <w:sz w:val="20"/>
                <w:szCs w:val="20"/>
              </w:rPr>
              <w:t>(10,191.51)</w:t>
            </w:r>
          </w:p>
        </w:tc>
        <w:tc>
          <w:tcPr>
            <w:tcW w:w="1172"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r w:rsidRPr="00942766">
              <w:rPr>
                <w:rFonts w:eastAsia="Times New Roman"/>
                <w:color w:val="000000"/>
                <w:sz w:val="20"/>
                <w:szCs w:val="20"/>
              </w:rPr>
              <w:t>4,561.59</w:t>
            </w:r>
          </w:p>
        </w:tc>
        <w:tc>
          <w:tcPr>
            <w:tcW w:w="1245"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r w:rsidRPr="00942766">
              <w:rPr>
                <w:rFonts w:eastAsia="Times New Roman"/>
                <w:color w:val="000000"/>
                <w:sz w:val="20"/>
                <w:szCs w:val="20"/>
              </w:rPr>
              <w:t>(7,602.96)</w:t>
            </w:r>
          </w:p>
        </w:tc>
        <w:tc>
          <w:tcPr>
            <w:tcW w:w="916"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p>
        </w:tc>
        <w:tc>
          <w:tcPr>
            <w:tcW w:w="1052"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p>
        </w:tc>
        <w:tc>
          <w:tcPr>
            <w:tcW w:w="1701" w:type="dxa"/>
            <w:tcBorders>
              <w:top w:val="nil"/>
              <w:left w:val="nil"/>
              <w:bottom w:val="nil"/>
              <w:right w:val="nil"/>
            </w:tcBorders>
            <w:shd w:val="clear" w:color="000000" w:fill="FFFFFF"/>
            <w:noWrap/>
            <w:vAlign w:val="center"/>
            <w:hideMark/>
          </w:tcPr>
          <w:p w:rsidR="00DF2FD0" w:rsidRPr="00942766" w:rsidRDefault="00DF2FD0" w:rsidP="002833D4">
            <w:pPr>
              <w:jc w:val="center"/>
              <w:rPr>
                <w:rFonts w:eastAsia="Times New Roman"/>
                <w:b/>
                <w:bCs/>
                <w:color w:val="000000"/>
                <w:sz w:val="20"/>
                <w:szCs w:val="20"/>
              </w:rPr>
            </w:pPr>
          </w:p>
        </w:tc>
        <w:tc>
          <w:tcPr>
            <w:tcW w:w="428"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b/>
                <w:bCs/>
                <w:color w:val="000000"/>
                <w:sz w:val="20"/>
                <w:szCs w:val="20"/>
              </w:rPr>
            </w:pPr>
          </w:p>
        </w:tc>
        <w:tc>
          <w:tcPr>
            <w:tcW w:w="848"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b/>
                <w:bCs/>
                <w:color w:val="000000"/>
                <w:sz w:val="20"/>
                <w:szCs w:val="20"/>
              </w:rPr>
            </w:pPr>
          </w:p>
        </w:tc>
      </w:tr>
      <w:tr w:rsidR="00080173" w:rsidRPr="00942766" w:rsidTr="00080173">
        <w:trPr>
          <w:trHeight w:val="320"/>
        </w:trPr>
        <w:tc>
          <w:tcPr>
            <w:tcW w:w="1416" w:type="dxa"/>
            <w:tcBorders>
              <w:top w:val="nil"/>
              <w:left w:val="nil"/>
              <w:bottom w:val="nil"/>
              <w:right w:val="nil"/>
            </w:tcBorders>
            <w:shd w:val="clear" w:color="000000" w:fill="FFFFFF"/>
            <w:noWrap/>
            <w:vAlign w:val="center"/>
            <w:hideMark/>
          </w:tcPr>
          <w:p w:rsidR="00DF2FD0" w:rsidRPr="00942766" w:rsidRDefault="00BB7AEB" w:rsidP="00DF2FD0">
            <w:pPr>
              <w:rPr>
                <w:rFonts w:eastAsia="Times New Roman"/>
                <w:color w:val="000000"/>
                <w:sz w:val="22"/>
                <w:szCs w:val="22"/>
              </w:rPr>
            </w:pPr>
            <w:r w:rsidRPr="00942766">
              <w:rPr>
                <w:rFonts w:eastAsia="Times New Roman"/>
                <w:color w:val="000000"/>
                <w:sz w:val="22"/>
                <w:szCs w:val="22"/>
              </w:rPr>
              <w:t xml:space="preserve">          </w:t>
            </w:r>
            <w:r w:rsidR="00DF2FD0" w:rsidRPr="00942766">
              <w:rPr>
                <w:rFonts w:eastAsia="Times New Roman"/>
                <w:color w:val="000000"/>
                <w:sz w:val="22"/>
                <w:szCs w:val="22"/>
              </w:rPr>
              <w:t>UNHS</w:t>
            </w:r>
          </w:p>
        </w:tc>
        <w:tc>
          <w:tcPr>
            <w:tcW w:w="1060"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r w:rsidRPr="00942766">
              <w:rPr>
                <w:rFonts w:eastAsia="Times New Roman"/>
                <w:color w:val="000000"/>
                <w:sz w:val="20"/>
                <w:szCs w:val="20"/>
              </w:rPr>
              <w:t>2,423.80</w:t>
            </w:r>
          </w:p>
        </w:tc>
        <w:tc>
          <w:tcPr>
            <w:tcW w:w="1211"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r w:rsidRPr="00942766">
              <w:rPr>
                <w:rFonts w:eastAsia="Times New Roman"/>
                <w:color w:val="000000"/>
                <w:sz w:val="20"/>
                <w:szCs w:val="20"/>
              </w:rPr>
              <w:t>(5,445.76)</w:t>
            </w:r>
          </w:p>
        </w:tc>
        <w:tc>
          <w:tcPr>
            <w:tcW w:w="1093"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r w:rsidRPr="00942766">
              <w:rPr>
                <w:rFonts w:eastAsia="Times New Roman"/>
                <w:color w:val="000000"/>
                <w:sz w:val="20"/>
                <w:szCs w:val="20"/>
              </w:rPr>
              <w:t>3,100.26</w:t>
            </w:r>
          </w:p>
        </w:tc>
        <w:tc>
          <w:tcPr>
            <w:tcW w:w="1265"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r w:rsidRPr="00942766">
              <w:rPr>
                <w:rFonts w:eastAsia="Times New Roman"/>
                <w:color w:val="000000"/>
                <w:sz w:val="20"/>
                <w:szCs w:val="20"/>
              </w:rPr>
              <w:t>(3,094.22)</w:t>
            </w:r>
          </w:p>
        </w:tc>
        <w:tc>
          <w:tcPr>
            <w:tcW w:w="1046"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r w:rsidRPr="00942766">
              <w:rPr>
                <w:rFonts w:eastAsia="Times New Roman"/>
                <w:color w:val="000000"/>
                <w:sz w:val="20"/>
                <w:szCs w:val="20"/>
              </w:rPr>
              <w:t>5,557.61</w:t>
            </w:r>
          </w:p>
        </w:tc>
        <w:tc>
          <w:tcPr>
            <w:tcW w:w="1282"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r w:rsidRPr="00942766">
              <w:rPr>
                <w:rFonts w:eastAsia="Times New Roman"/>
                <w:color w:val="000000"/>
                <w:sz w:val="20"/>
                <w:szCs w:val="20"/>
              </w:rPr>
              <w:t>(6,833.21)</w:t>
            </w:r>
          </w:p>
        </w:tc>
        <w:tc>
          <w:tcPr>
            <w:tcW w:w="1172"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r w:rsidRPr="00942766">
              <w:rPr>
                <w:rFonts w:eastAsia="Times New Roman"/>
                <w:color w:val="000000"/>
                <w:sz w:val="20"/>
                <w:szCs w:val="20"/>
              </w:rPr>
              <w:t>3,384.26</w:t>
            </w:r>
          </w:p>
        </w:tc>
        <w:tc>
          <w:tcPr>
            <w:tcW w:w="1245"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r w:rsidRPr="00942766">
              <w:rPr>
                <w:rFonts w:eastAsia="Times New Roman"/>
                <w:color w:val="000000"/>
                <w:sz w:val="20"/>
                <w:szCs w:val="20"/>
              </w:rPr>
              <w:t>(5,435.40)</w:t>
            </w:r>
          </w:p>
        </w:tc>
        <w:tc>
          <w:tcPr>
            <w:tcW w:w="916"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p>
        </w:tc>
        <w:tc>
          <w:tcPr>
            <w:tcW w:w="1052"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p>
        </w:tc>
        <w:tc>
          <w:tcPr>
            <w:tcW w:w="1701" w:type="dxa"/>
            <w:tcBorders>
              <w:top w:val="nil"/>
              <w:left w:val="nil"/>
              <w:bottom w:val="nil"/>
              <w:right w:val="nil"/>
            </w:tcBorders>
            <w:shd w:val="clear" w:color="000000" w:fill="FFFFFF"/>
            <w:noWrap/>
            <w:vAlign w:val="center"/>
            <w:hideMark/>
          </w:tcPr>
          <w:p w:rsidR="00DF2FD0" w:rsidRPr="00942766" w:rsidRDefault="00DF2FD0" w:rsidP="002833D4">
            <w:pPr>
              <w:jc w:val="center"/>
              <w:rPr>
                <w:rFonts w:eastAsia="Times New Roman"/>
                <w:b/>
                <w:bCs/>
                <w:color w:val="000000"/>
                <w:sz w:val="20"/>
                <w:szCs w:val="20"/>
              </w:rPr>
            </w:pPr>
          </w:p>
        </w:tc>
        <w:tc>
          <w:tcPr>
            <w:tcW w:w="428"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b/>
                <w:bCs/>
                <w:color w:val="000000"/>
                <w:sz w:val="20"/>
                <w:szCs w:val="20"/>
              </w:rPr>
            </w:pPr>
          </w:p>
        </w:tc>
        <w:tc>
          <w:tcPr>
            <w:tcW w:w="848"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b/>
                <w:bCs/>
                <w:color w:val="000000"/>
                <w:sz w:val="20"/>
                <w:szCs w:val="20"/>
              </w:rPr>
            </w:pPr>
          </w:p>
        </w:tc>
      </w:tr>
      <w:tr w:rsidR="00B2413F" w:rsidRPr="00942766" w:rsidTr="00080173">
        <w:trPr>
          <w:trHeight w:val="320"/>
        </w:trPr>
        <w:tc>
          <w:tcPr>
            <w:tcW w:w="1416" w:type="dxa"/>
            <w:tcBorders>
              <w:top w:val="nil"/>
              <w:left w:val="nil"/>
              <w:bottom w:val="nil"/>
              <w:right w:val="nil"/>
            </w:tcBorders>
            <w:shd w:val="clear" w:color="000000" w:fill="FFFFFF"/>
            <w:noWrap/>
            <w:vAlign w:val="center"/>
            <w:hideMark/>
          </w:tcPr>
          <w:p w:rsidR="00DF2FD0" w:rsidRPr="00942766" w:rsidRDefault="00BB7AEB" w:rsidP="00DF2FD0">
            <w:pPr>
              <w:rPr>
                <w:rFonts w:eastAsia="Times New Roman"/>
                <w:b/>
                <w:bCs/>
                <w:color w:val="000000"/>
                <w:sz w:val="22"/>
                <w:szCs w:val="22"/>
                <w:u w:val="single"/>
              </w:rPr>
            </w:pPr>
            <w:r w:rsidRPr="00942766">
              <w:rPr>
                <w:rFonts w:eastAsia="Times New Roman"/>
                <w:b/>
                <w:bCs/>
                <w:color w:val="000000"/>
                <w:sz w:val="22"/>
                <w:szCs w:val="22"/>
                <w:u w:val="single"/>
              </w:rPr>
              <w:t>Total costs including e</w:t>
            </w:r>
            <w:r w:rsidR="00DF2FD0" w:rsidRPr="00942766">
              <w:rPr>
                <w:rFonts w:eastAsia="Times New Roman"/>
                <w:b/>
                <w:bCs/>
                <w:color w:val="000000"/>
                <w:sz w:val="22"/>
                <w:szCs w:val="22"/>
                <w:u w:val="single"/>
              </w:rPr>
              <w:t>ducation</w:t>
            </w:r>
          </w:p>
        </w:tc>
        <w:tc>
          <w:tcPr>
            <w:tcW w:w="1060"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b/>
                <w:bCs/>
                <w:color w:val="000000"/>
                <w:sz w:val="20"/>
                <w:szCs w:val="20"/>
              </w:rPr>
            </w:pPr>
            <w:r w:rsidRPr="00942766">
              <w:rPr>
                <w:rFonts w:eastAsia="Times New Roman"/>
                <w:b/>
                <w:bCs/>
                <w:color w:val="000000"/>
                <w:sz w:val="20"/>
                <w:szCs w:val="20"/>
              </w:rPr>
              <w:t>11,799.07</w:t>
            </w:r>
          </w:p>
        </w:tc>
        <w:tc>
          <w:tcPr>
            <w:tcW w:w="1211"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b/>
                <w:bCs/>
                <w:color w:val="000000"/>
                <w:sz w:val="20"/>
                <w:szCs w:val="20"/>
              </w:rPr>
            </w:pPr>
            <w:r w:rsidRPr="00942766">
              <w:rPr>
                <w:rFonts w:eastAsia="Times New Roman"/>
                <w:b/>
                <w:bCs/>
                <w:color w:val="000000"/>
                <w:sz w:val="20"/>
                <w:szCs w:val="20"/>
              </w:rPr>
              <w:t>(10,186.17)</w:t>
            </w:r>
          </w:p>
        </w:tc>
        <w:tc>
          <w:tcPr>
            <w:tcW w:w="1093"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b/>
                <w:bCs/>
                <w:color w:val="000000"/>
                <w:sz w:val="20"/>
                <w:szCs w:val="20"/>
              </w:rPr>
            </w:pPr>
            <w:r w:rsidRPr="00942766">
              <w:rPr>
                <w:rFonts w:eastAsia="Times New Roman"/>
                <w:b/>
                <w:bCs/>
                <w:color w:val="000000"/>
                <w:sz w:val="20"/>
                <w:szCs w:val="20"/>
              </w:rPr>
              <w:t>12,488.50</w:t>
            </w:r>
          </w:p>
        </w:tc>
        <w:tc>
          <w:tcPr>
            <w:tcW w:w="1265"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b/>
                <w:bCs/>
                <w:color w:val="000000"/>
                <w:sz w:val="20"/>
                <w:szCs w:val="20"/>
              </w:rPr>
            </w:pPr>
            <w:r w:rsidRPr="00942766">
              <w:rPr>
                <w:rFonts w:eastAsia="Times New Roman"/>
                <w:b/>
                <w:bCs/>
                <w:color w:val="000000"/>
                <w:sz w:val="20"/>
                <w:szCs w:val="20"/>
              </w:rPr>
              <w:t>(13,179.43)</w:t>
            </w:r>
          </w:p>
        </w:tc>
        <w:tc>
          <w:tcPr>
            <w:tcW w:w="1046"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b/>
                <w:bCs/>
                <w:color w:val="000000"/>
                <w:sz w:val="20"/>
                <w:szCs w:val="20"/>
              </w:rPr>
            </w:pPr>
            <w:r w:rsidRPr="00942766">
              <w:rPr>
                <w:rFonts w:eastAsia="Times New Roman"/>
                <w:b/>
                <w:bCs/>
                <w:color w:val="000000"/>
                <w:sz w:val="20"/>
                <w:szCs w:val="20"/>
              </w:rPr>
              <w:t>24,320.28</w:t>
            </w:r>
          </w:p>
        </w:tc>
        <w:tc>
          <w:tcPr>
            <w:tcW w:w="1282"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b/>
                <w:bCs/>
                <w:color w:val="000000"/>
                <w:sz w:val="20"/>
                <w:szCs w:val="20"/>
              </w:rPr>
            </w:pPr>
            <w:r w:rsidRPr="00942766">
              <w:rPr>
                <w:rFonts w:eastAsia="Times New Roman"/>
                <w:b/>
                <w:bCs/>
                <w:color w:val="000000"/>
                <w:sz w:val="20"/>
                <w:szCs w:val="20"/>
              </w:rPr>
              <w:t>(16,381.95)</w:t>
            </w:r>
          </w:p>
        </w:tc>
        <w:tc>
          <w:tcPr>
            <w:tcW w:w="1172"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b/>
                <w:bCs/>
                <w:color w:val="000000"/>
                <w:sz w:val="20"/>
                <w:szCs w:val="20"/>
              </w:rPr>
            </w:pPr>
            <w:r w:rsidRPr="00942766">
              <w:rPr>
                <w:rFonts w:eastAsia="Times New Roman"/>
                <w:b/>
                <w:bCs/>
                <w:color w:val="000000"/>
                <w:sz w:val="20"/>
                <w:szCs w:val="20"/>
              </w:rPr>
              <w:t>15,914.10</w:t>
            </w:r>
          </w:p>
        </w:tc>
        <w:tc>
          <w:tcPr>
            <w:tcW w:w="1245"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b/>
                <w:bCs/>
                <w:color w:val="000000"/>
                <w:sz w:val="20"/>
                <w:szCs w:val="20"/>
              </w:rPr>
            </w:pPr>
            <w:r w:rsidRPr="00942766">
              <w:rPr>
                <w:rFonts w:eastAsia="Times New Roman"/>
                <w:b/>
                <w:bCs/>
                <w:color w:val="000000"/>
                <w:sz w:val="20"/>
                <w:szCs w:val="20"/>
              </w:rPr>
              <w:t>(14,167.56)</w:t>
            </w:r>
          </w:p>
        </w:tc>
        <w:tc>
          <w:tcPr>
            <w:tcW w:w="916"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b/>
                <w:bCs/>
                <w:color w:val="000000"/>
                <w:sz w:val="20"/>
                <w:szCs w:val="20"/>
              </w:rPr>
            </w:pPr>
            <w:r w:rsidRPr="00942766">
              <w:rPr>
                <w:rFonts w:eastAsia="Times New Roman"/>
                <w:b/>
                <w:bCs/>
                <w:color w:val="000000"/>
                <w:sz w:val="20"/>
                <w:szCs w:val="20"/>
              </w:rPr>
              <w:t>5,883.05</w:t>
            </w:r>
          </w:p>
        </w:tc>
        <w:tc>
          <w:tcPr>
            <w:tcW w:w="1052"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b/>
                <w:bCs/>
                <w:color w:val="000000"/>
                <w:sz w:val="20"/>
                <w:szCs w:val="20"/>
              </w:rPr>
            </w:pPr>
            <w:r w:rsidRPr="00942766">
              <w:rPr>
                <w:rFonts w:eastAsia="Times New Roman"/>
                <w:b/>
                <w:bCs/>
                <w:color w:val="000000"/>
                <w:sz w:val="20"/>
                <w:szCs w:val="20"/>
              </w:rPr>
              <w:t>(2,075.50)</w:t>
            </w:r>
          </w:p>
        </w:tc>
        <w:tc>
          <w:tcPr>
            <w:tcW w:w="1701" w:type="dxa"/>
            <w:tcBorders>
              <w:top w:val="nil"/>
              <w:left w:val="nil"/>
              <w:bottom w:val="nil"/>
              <w:right w:val="nil"/>
            </w:tcBorders>
            <w:shd w:val="clear" w:color="000000" w:fill="FFFFFF"/>
            <w:noWrap/>
            <w:vAlign w:val="center"/>
            <w:hideMark/>
          </w:tcPr>
          <w:p w:rsidR="00DF2FD0" w:rsidRPr="00942766" w:rsidRDefault="00DF2FD0" w:rsidP="002833D4">
            <w:pPr>
              <w:jc w:val="center"/>
              <w:rPr>
                <w:rFonts w:eastAsia="Times New Roman"/>
                <w:b/>
                <w:bCs/>
                <w:color w:val="000000"/>
                <w:sz w:val="20"/>
                <w:szCs w:val="20"/>
              </w:rPr>
            </w:pPr>
            <w:r w:rsidRPr="00942766">
              <w:rPr>
                <w:rFonts w:eastAsia="Times New Roman"/>
                <w:b/>
                <w:bCs/>
                <w:color w:val="000000"/>
                <w:sz w:val="20"/>
                <w:szCs w:val="20"/>
              </w:rPr>
              <w:t>10,031.05 (1,822.27)</w:t>
            </w:r>
          </w:p>
        </w:tc>
        <w:tc>
          <w:tcPr>
            <w:tcW w:w="1276" w:type="dxa"/>
            <w:gridSpan w:val="2"/>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b/>
                <w:bCs/>
                <w:color w:val="000000"/>
                <w:sz w:val="20"/>
                <w:szCs w:val="20"/>
              </w:rPr>
            </w:pPr>
            <w:r w:rsidRPr="00942766">
              <w:rPr>
                <w:rFonts w:eastAsia="Times New Roman"/>
                <w:b/>
                <w:bCs/>
                <w:color w:val="000000"/>
                <w:sz w:val="20"/>
                <w:szCs w:val="20"/>
              </w:rPr>
              <w:t>6459.47 to 13602.62</w:t>
            </w:r>
          </w:p>
        </w:tc>
      </w:tr>
      <w:tr w:rsidR="00080173" w:rsidRPr="00942766" w:rsidTr="00080173">
        <w:trPr>
          <w:trHeight w:val="320"/>
        </w:trPr>
        <w:tc>
          <w:tcPr>
            <w:tcW w:w="1416" w:type="dxa"/>
            <w:tcBorders>
              <w:top w:val="nil"/>
              <w:left w:val="nil"/>
              <w:bottom w:val="nil"/>
              <w:right w:val="nil"/>
            </w:tcBorders>
            <w:shd w:val="clear" w:color="000000" w:fill="FFFFFF"/>
            <w:noWrap/>
            <w:vAlign w:val="center"/>
            <w:hideMark/>
          </w:tcPr>
          <w:p w:rsidR="00DF2FD0" w:rsidRPr="00942766" w:rsidRDefault="00EB7698" w:rsidP="00DF2FD0">
            <w:pPr>
              <w:rPr>
                <w:rFonts w:eastAsia="Times New Roman"/>
                <w:color w:val="000000"/>
                <w:sz w:val="22"/>
                <w:szCs w:val="22"/>
              </w:rPr>
            </w:pPr>
            <w:r w:rsidRPr="00942766">
              <w:rPr>
                <w:rFonts w:eastAsia="Times New Roman"/>
                <w:color w:val="000000"/>
                <w:sz w:val="22"/>
                <w:szCs w:val="22"/>
              </w:rPr>
              <w:t xml:space="preserve">     </w:t>
            </w:r>
            <w:r w:rsidR="00DF2FD0" w:rsidRPr="00942766">
              <w:rPr>
                <w:rFonts w:eastAsia="Times New Roman"/>
                <w:color w:val="000000"/>
                <w:sz w:val="22"/>
                <w:szCs w:val="22"/>
              </w:rPr>
              <w:t>No UNHS</w:t>
            </w:r>
          </w:p>
        </w:tc>
        <w:tc>
          <w:tcPr>
            <w:tcW w:w="1060"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r w:rsidRPr="00942766">
              <w:rPr>
                <w:rFonts w:eastAsia="Times New Roman"/>
                <w:color w:val="000000"/>
                <w:sz w:val="20"/>
                <w:szCs w:val="20"/>
              </w:rPr>
              <w:t>14,729.85</w:t>
            </w:r>
          </w:p>
        </w:tc>
        <w:tc>
          <w:tcPr>
            <w:tcW w:w="1211"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r w:rsidRPr="00942766">
              <w:rPr>
                <w:rFonts w:eastAsia="Times New Roman"/>
                <w:color w:val="000000"/>
                <w:sz w:val="20"/>
                <w:szCs w:val="20"/>
              </w:rPr>
              <w:t>(12,598.90)</w:t>
            </w:r>
          </w:p>
        </w:tc>
        <w:tc>
          <w:tcPr>
            <w:tcW w:w="1093"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r w:rsidRPr="00942766">
              <w:rPr>
                <w:rFonts w:eastAsia="Times New Roman"/>
                <w:color w:val="000000"/>
                <w:sz w:val="20"/>
                <w:szCs w:val="20"/>
              </w:rPr>
              <w:t>12,382.40</w:t>
            </w:r>
          </w:p>
        </w:tc>
        <w:tc>
          <w:tcPr>
            <w:tcW w:w="1265"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r w:rsidRPr="00942766">
              <w:rPr>
                <w:rFonts w:eastAsia="Times New Roman"/>
                <w:color w:val="000000"/>
                <w:sz w:val="20"/>
                <w:szCs w:val="20"/>
              </w:rPr>
              <w:t>(13,892.31)</w:t>
            </w:r>
          </w:p>
        </w:tc>
        <w:tc>
          <w:tcPr>
            <w:tcW w:w="1046"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r w:rsidRPr="00942766">
              <w:rPr>
                <w:rFonts w:eastAsia="Times New Roman"/>
                <w:color w:val="000000"/>
                <w:sz w:val="20"/>
                <w:szCs w:val="20"/>
              </w:rPr>
              <w:t>24,298.39</w:t>
            </w:r>
          </w:p>
        </w:tc>
        <w:tc>
          <w:tcPr>
            <w:tcW w:w="1282"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r w:rsidRPr="00942766">
              <w:rPr>
                <w:rFonts w:eastAsia="Times New Roman"/>
                <w:color w:val="000000"/>
                <w:sz w:val="20"/>
                <w:szCs w:val="20"/>
              </w:rPr>
              <w:t>(19,877.75)</w:t>
            </w:r>
          </w:p>
        </w:tc>
        <w:tc>
          <w:tcPr>
            <w:tcW w:w="1172"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r w:rsidRPr="00942766">
              <w:rPr>
                <w:rFonts w:eastAsia="Times New Roman"/>
                <w:color w:val="000000"/>
                <w:sz w:val="20"/>
                <w:szCs w:val="20"/>
              </w:rPr>
              <w:t>17,637.35</w:t>
            </w:r>
          </w:p>
        </w:tc>
        <w:tc>
          <w:tcPr>
            <w:tcW w:w="1245"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r w:rsidRPr="00942766">
              <w:rPr>
                <w:rFonts w:eastAsia="Times New Roman"/>
                <w:color w:val="000000"/>
                <w:sz w:val="20"/>
                <w:szCs w:val="20"/>
              </w:rPr>
              <w:t>(16,401.04)</w:t>
            </w:r>
          </w:p>
        </w:tc>
        <w:tc>
          <w:tcPr>
            <w:tcW w:w="916"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p>
        </w:tc>
        <w:tc>
          <w:tcPr>
            <w:tcW w:w="1052"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p>
        </w:tc>
        <w:tc>
          <w:tcPr>
            <w:tcW w:w="1701" w:type="dxa"/>
            <w:tcBorders>
              <w:top w:val="nil"/>
              <w:left w:val="nil"/>
              <w:bottom w:val="nil"/>
              <w:right w:val="nil"/>
            </w:tcBorders>
            <w:shd w:val="clear" w:color="000000" w:fill="FFFFFF"/>
            <w:noWrap/>
            <w:vAlign w:val="center"/>
            <w:hideMark/>
          </w:tcPr>
          <w:p w:rsidR="00DF2FD0" w:rsidRPr="00942766" w:rsidRDefault="00DF2FD0" w:rsidP="002833D4">
            <w:pPr>
              <w:jc w:val="center"/>
              <w:rPr>
                <w:rFonts w:eastAsia="Times New Roman"/>
                <w:color w:val="000000"/>
                <w:sz w:val="20"/>
                <w:szCs w:val="20"/>
              </w:rPr>
            </w:pPr>
          </w:p>
        </w:tc>
        <w:tc>
          <w:tcPr>
            <w:tcW w:w="428"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b/>
                <w:bCs/>
                <w:color w:val="000000"/>
                <w:sz w:val="20"/>
                <w:szCs w:val="20"/>
              </w:rPr>
            </w:pPr>
          </w:p>
        </w:tc>
        <w:tc>
          <w:tcPr>
            <w:tcW w:w="848" w:type="dxa"/>
            <w:tcBorders>
              <w:top w:val="nil"/>
              <w:left w:val="nil"/>
              <w:bottom w:val="nil"/>
              <w:right w:val="nil"/>
            </w:tcBorders>
            <w:shd w:val="clear" w:color="000000" w:fill="FFFFFF"/>
            <w:noWrap/>
            <w:vAlign w:val="center"/>
            <w:hideMark/>
          </w:tcPr>
          <w:p w:rsidR="00DF2FD0" w:rsidRPr="00942766" w:rsidRDefault="00DF2FD0" w:rsidP="00080173">
            <w:pPr>
              <w:jc w:val="center"/>
              <w:rPr>
                <w:rFonts w:eastAsia="Times New Roman"/>
                <w:b/>
                <w:bCs/>
                <w:color w:val="000000"/>
                <w:sz w:val="20"/>
                <w:szCs w:val="20"/>
              </w:rPr>
            </w:pPr>
          </w:p>
        </w:tc>
      </w:tr>
      <w:tr w:rsidR="00080173" w:rsidRPr="00942766" w:rsidTr="00080173">
        <w:trPr>
          <w:trHeight w:val="320"/>
        </w:trPr>
        <w:tc>
          <w:tcPr>
            <w:tcW w:w="1416" w:type="dxa"/>
            <w:tcBorders>
              <w:top w:val="nil"/>
              <w:left w:val="nil"/>
              <w:bottom w:val="single" w:sz="4" w:space="0" w:color="auto"/>
              <w:right w:val="nil"/>
            </w:tcBorders>
            <w:shd w:val="clear" w:color="000000" w:fill="FFFFFF"/>
            <w:noWrap/>
            <w:vAlign w:val="center"/>
            <w:hideMark/>
          </w:tcPr>
          <w:p w:rsidR="00DF2FD0" w:rsidRPr="00942766" w:rsidRDefault="00EB7698" w:rsidP="00DF2FD0">
            <w:pPr>
              <w:rPr>
                <w:rFonts w:eastAsia="Times New Roman"/>
                <w:color w:val="000000"/>
                <w:sz w:val="22"/>
                <w:szCs w:val="22"/>
              </w:rPr>
            </w:pPr>
            <w:r w:rsidRPr="00942766">
              <w:rPr>
                <w:rFonts w:eastAsia="Times New Roman"/>
                <w:color w:val="000000"/>
                <w:sz w:val="22"/>
                <w:szCs w:val="22"/>
              </w:rPr>
              <w:t xml:space="preserve">          </w:t>
            </w:r>
            <w:r w:rsidR="00DF2FD0" w:rsidRPr="00942766">
              <w:rPr>
                <w:rFonts w:eastAsia="Times New Roman"/>
                <w:color w:val="000000"/>
                <w:sz w:val="22"/>
                <w:szCs w:val="22"/>
              </w:rPr>
              <w:t>UNHS</w:t>
            </w:r>
          </w:p>
        </w:tc>
        <w:tc>
          <w:tcPr>
            <w:tcW w:w="1060" w:type="dxa"/>
            <w:tcBorders>
              <w:top w:val="nil"/>
              <w:left w:val="nil"/>
              <w:bottom w:val="single" w:sz="4" w:space="0" w:color="auto"/>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r w:rsidRPr="00942766">
              <w:rPr>
                <w:rFonts w:eastAsia="Times New Roman"/>
                <w:color w:val="000000"/>
                <w:sz w:val="20"/>
                <w:szCs w:val="20"/>
              </w:rPr>
              <w:t>9,519.57</w:t>
            </w:r>
          </w:p>
        </w:tc>
        <w:tc>
          <w:tcPr>
            <w:tcW w:w="1211" w:type="dxa"/>
            <w:tcBorders>
              <w:top w:val="nil"/>
              <w:left w:val="nil"/>
              <w:bottom w:val="single" w:sz="4" w:space="0" w:color="auto"/>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r w:rsidRPr="00942766">
              <w:rPr>
                <w:rFonts w:eastAsia="Times New Roman"/>
                <w:color w:val="000000"/>
                <w:sz w:val="20"/>
                <w:szCs w:val="20"/>
              </w:rPr>
              <w:t>(7,432.83)</w:t>
            </w:r>
          </w:p>
        </w:tc>
        <w:tc>
          <w:tcPr>
            <w:tcW w:w="1093" w:type="dxa"/>
            <w:tcBorders>
              <w:top w:val="nil"/>
              <w:left w:val="nil"/>
              <w:bottom w:val="single" w:sz="4" w:space="0" w:color="auto"/>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r w:rsidRPr="00942766">
              <w:rPr>
                <w:rFonts w:eastAsia="Times New Roman"/>
                <w:color w:val="000000"/>
                <w:sz w:val="20"/>
                <w:szCs w:val="20"/>
              </w:rPr>
              <w:t>12,621.12</w:t>
            </w:r>
          </w:p>
        </w:tc>
        <w:tc>
          <w:tcPr>
            <w:tcW w:w="1265" w:type="dxa"/>
            <w:tcBorders>
              <w:top w:val="nil"/>
              <w:left w:val="nil"/>
              <w:bottom w:val="single" w:sz="4" w:space="0" w:color="auto"/>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r w:rsidRPr="00942766">
              <w:rPr>
                <w:rFonts w:eastAsia="Times New Roman"/>
                <w:color w:val="000000"/>
                <w:sz w:val="20"/>
                <w:szCs w:val="20"/>
              </w:rPr>
              <w:t>(13,178.09)</w:t>
            </w:r>
          </w:p>
        </w:tc>
        <w:tc>
          <w:tcPr>
            <w:tcW w:w="1046" w:type="dxa"/>
            <w:tcBorders>
              <w:top w:val="nil"/>
              <w:left w:val="nil"/>
              <w:bottom w:val="single" w:sz="4" w:space="0" w:color="auto"/>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r w:rsidRPr="00942766">
              <w:rPr>
                <w:rFonts w:eastAsia="Times New Roman"/>
                <w:color w:val="000000"/>
                <w:sz w:val="20"/>
                <w:szCs w:val="20"/>
              </w:rPr>
              <w:t>24,354.32</w:t>
            </w:r>
          </w:p>
        </w:tc>
        <w:tc>
          <w:tcPr>
            <w:tcW w:w="1282" w:type="dxa"/>
            <w:tcBorders>
              <w:top w:val="nil"/>
              <w:left w:val="nil"/>
              <w:bottom w:val="single" w:sz="4" w:space="0" w:color="auto"/>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r w:rsidRPr="00942766">
              <w:rPr>
                <w:rFonts w:eastAsia="Times New Roman"/>
                <w:color w:val="000000"/>
                <w:sz w:val="20"/>
                <w:szCs w:val="20"/>
              </w:rPr>
              <w:t>(9,794.52)</w:t>
            </w:r>
          </w:p>
        </w:tc>
        <w:tc>
          <w:tcPr>
            <w:tcW w:w="1172" w:type="dxa"/>
            <w:tcBorders>
              <w:top w:val="nil"/>
              <w:left w:val="nil"/>
              <w:bottom w:val="single" w:sz="4" w:space="0" w:color="auto"/>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r w:rsidRPr="00942766">
              <w:rPr>
                <w:rFonts w:eastAsia="Times New Roman"/>
                <w:color w:val="000000"/>
                <w:sz w:val="20"/>
                <w:szCs w:val="20"/>
              </w:rPr>
              <w:t>14,043.15</w:t>
            </w:r>
          </w:p>
        </w:tc>
        <w:tc>
          <w:tcPr>
            <w:tcW w:w="1245" w:type="dxa"/>
            <w:tcBorders>
              <w:top w:val="nil"/>
              <w:left w:val="nil"/>
              <w:bottom w:val="single" w:sz="4" w:space="0" w:color="auto"/>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r w:rsidRPr="00942766">
              <w:rPr>
                <w:rFonts w:eastAsia="Times New Roman"/>
                <w:color w:val="000000"/>
                <w:sz w:val="20"/>
                <w:szCs w:val="20"/>
              </w:rPr>
              <w:t>(11,198.32)</w:t>
            </w:r>
          </w:p>
        </w:tc>
        <w:tc>
          <w:tcPr>
            <w:tcW w:w="916" w:type="dxa"/>
            <w:tcBorders>
              <w:top w:val="nil"/>
              <w:left w:val="nil"/>
              <w:bottom w:val="single" w:sz="4" w:space="0" w:color="auto"/>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p>
        </w:tc>
        <w:tc>
          <w:tcPr>
            <w:tcW w:w="1052" w:type="dxa"/>
            <w:tcBorders>
              <w:top w:val="nil"/>
              <w:left w:val="nil"/>
              <w:bottom w:val="single" w:sz="4" w:space="0" w:color="auto"/>
              <w:right w:val="nil"/>
            </w:tcBorders>
            <w:shd w:val="clear" w:color="000000" w:fill="FFFFFF"/>
            <w:noWrap/>
            <w:vAlign w:val="center"/>
            <w:hideMark/>
          </w:tcPr>
          <w:p w:rsidR="00DF2FD0" w:rsidRPr="00942766" w:rsidRDefault="00DF2FD0" w:rsidP="00080173">
            <w:pPr>
              <w:jc w:val="center"/>
              <w:rPr>
                <w:rFonts w:eastAsia="Times New Roman"/>
                <w:color w:val="000000"/>
                <w:sz w:val="20"/>
                <w:szCs w:val="20"/>
              </w:rPr>
            </w:pPr>
          </w:p>
        </w:tc>
        <w:tc>
          <w:tcPr>
            <w:tcW w:w="1701" w:type="dxa"/>
            <w:tcBorders>
              <w:top w:val="nil"/>
              <w:left w:val="nil"/>
              <w:bottom w:val="single" w:sz="4" w:space="0" w:color="auto"/>
              <w:right w:val="nil"/>
            </w:tcBorders>
            <w:shd w:val="clear" w:color="000000" w:fill="FFFFFF"/>
            <w:noWrap/>
            <w:vAlign w:val="center"/>
            <w:hideMark/>
          </w:tcPr>
          <w:p w:rsidR="00DF2FD0" w:rsidRPr="00942766" w:rsidRDefault="00DF2FD0" w:rsidP="002833D4">
            <w:pPr>
              <w:jc w:val="center"/>
              <w:rPr>
                <w:rFonts w:eastAsia="Times New Roman"/>
                <w:color w:val="000000"/>
                <w:sz w:val="20"/>
                <w:szCs w:val="20"/>
              </w:rPr>
            </w:pPr>
          </w:p>
        </w:tc>
        <w:tc>
          <w:tcPr>
            <w:tcW w:w="428" w:type="dxa"/>
            <w:tcBorders>
              <w:top w:val="nil"/>
              <w:left w:val="nil"/>
              <w:bottom w:val="single" w:sz="4" w:space="0" w:color="auto"/>
              <w:right w:val="nil"/>
            </w:tcBorders>
            <w:shd w:val="clear" w:color="000000" w:fill="FFFFFF"/>
            <w:noWrap/>
            <w:vAlign w:val="center"/>
            <w:hideMark/>
          </w:tcPr>
          <w:p w:rsidR="00DF2FD0" w:rsidRPr="00942766" w:rsidRDefault="00DF2FD0" w:rsidP="00080173">
            <w:pPr>
              <w:jc w:val="center"/>
              <w:rPr>
                <w:rFonts w:eastAsia="Times New Roman"/>
                <w:b/>
                <w:bCs/>
                <w:color w:val="000000"/>
                <w:sz w:val="20"/>
                <w:szCs w:val="20"/>
              </w:rPr>
            </w:pPr>
          </w:p>
        </w:tc>
        <w:tc>
          <w:tcPr>
            <w:tcW w:w="848" w:type="dxa"/>
            <w:tcBorders>
              <w:top w:val="nil"/>
              <w:left w:val="nil"/>
              <w:bottom w:val="single" w:sz="4" w:space="0" w:color="auto"/>
              <w:right w:val="nil"/>
            </w:tcBorders>
            <w:shd w:val="clear" w:color="000000" w:fill="FFFFFF"/>
            <w:noWrap/>
            <w:vAlign w:val="center"/>
            <w:hideMark/>
          </w:tcPr>
          <w:p w:rsidR="00DF2FD0" w:rsidRPr="00942766" w:rsidRDefault="00DF2FD0" w:rsidP="00080173">
            <w:pPr>
              <w:jc w:val="center"/>
              <w:rPr>
                <w:rFonts w:eastAsia="Times New Roman"/>
                <w:b/>
                <w:bCs/>
                <w:color w:val="000000"/>
                <w:sz w:val="20"/>
                <w:szCs w:val="20"/>
              </w:rPr>
            </w:pPr>
          </w:p>
        </w:tc>
      </w:tr>
    </w:tbl>
    <w:p w:rsidR="00DF2FD0" w:rsidRPr="00942766" w:rsidRDefault="00DF2FD0">
      <w:pPr>
        <w:rPr>
          <w:sz w:val="20"/>
          <w:szCs w:val="20"/>
        </w:rPr>
      </w:pPr>
    </w:p>
    <w:p w:rsidR="009761DE" w:rsidRPr="00942766" w:rsidRDefault="009761DE">
      <w:pPr>
        <w:rPr>
          <w:sz w:val="20"/>
          <w:szCs w:val="20"/>
        </w:rPr>
      </w:pPr>
    </w:p>
    <w:p w:rsidR="009761DE" w:rsidRPr="00942766" w:rsidRDefault="009761DE">
      <w:pPr>
        <w:rPr>
          <w:sz w:val="20"/>
          <w:szCs w:val="20"/>
        </w:rPr>
      </w:pPr>
    </w:p>
    <w:p w:rsidR="00DF2FD0" w:rsidRPr="00942766" w:rsidRDefault="00344D5B">
      <w:pPr>
        <w:rPr>
          <w:sz w:val="20"/>
          <w:szCs w:val="20"/>
        </w:rPr>
      </w:pPr>
      <w:r w:rsidRPr="00942766">
        <w:rPr>
          <w:sz w:val="20"/>
          <w:szCs w:val="20"/>
        </w:rPr>
        <w:lastRenderedPageBreak/>
        <w:t xml:space="preserve">PCHL = permanent childhood hearing loss </w:t>
      </w:r>
      <w:r w:rsidRPr="00942766">
        <w:rPr>
          <w:sz w:val="20"/>
          <w:szCs w:val="20"/>
          <w:u w:val="single"/>
        </w:rPr>
        <w:t>&gt;</w:t>
      </w:r>
      <w:r w:rsidRPr="00942766">
        <w:rPr>
          <w:sz w:val="20"/>
          <w:szCs w:val="20"/>
        </w:rPr>
        <w:t>40 dB;</w:t>
      </w:r>
      <w:r w:rsidR="00DF2FD0" w:rsidRPr="00942766">
        <w:rPr>
          <w:sz w:val="20"/>
          <w:szCs w:val="20"/>
        </w:rPr>
        <w:t xml:space="preserve"> </w:t>
      </w:r>
      <w:r w:rsidRPr="00942766">
        <w:rPr>
          <w:sz w:val="20"/>
          <w:szCs w:val="20"/>
        </w:rPr>
        <w:t xml:space="preserve">HCG = Hearing Comparison Group; </w:t>
      </w:r>
      <w:r w:rsidR="00DF2FD0" w:rsidRPr="00942766">
        <w:rPr>
          <w:sz w:val="20"/>
          <w:szCs w:val="20"/>
        </w:rPr>
        <w:t xml:space="preserve">Diff = Difference; CI = confidence interval </w:t>
      </w:r>
      <w:r w:rsidRPr="00942766">
        <w:rPr>
          <w:sz w:val="20"/>
          <w:szCs w:val="20"/>
        </w:rPr>
        <w:t xml:space="preserve">SD = standard deviation; SE = standard error; </w:t>
      </w:r>
    </w:p>
    <w:p w:rsidR="00F6153B" w:rsidRPr="00942766" w:rsidRDefault="00344D5B">
      <w:pPr>
        <w:rPr>
          <w:sz w:val="20"/>
          <w:szCs w:val="20"/>
        </w:rPr>
        <w:sectPr w:rsidR="00F6153B" w:rsidRPr="00942766" w:rsidSect="00080173">
          <w:pgSz w:w="16838" w:h="11906" w:orient="landscape"/>
          <w:pgMar w:top="720" w:right="720" w:bottom="720" w:left="720" w:header="708" w:footer="708" w:gutter="0"/>
          <w:cols w:space="708"/>
          <w:docGrid w:linePitch="360"/>
        </w:sectPr>
      </w:pPr>
      <w:r w:rsidRPr="00942766">
        <w:rPr>
          <w:sz w:val="20"/>
          <w:szCs w:val="20"/>
        </w:rPr>
        <w:t>UNHS = universal newborn hearing screening</w:t>
      </w:r>
    </w:p>
    <w:p w:rsidR="006B10C4" w:rsidRPr="00942766" w:rsidRDefault="006B10C4"/>
    <w:p w:rsidR="00266EC1" w:rsidRPr="00942766" w:rsidRDefault="00266EC1" w:rsidP="002833D4">
      <w:pPr>
        <w:rPr>
          <w:lang w:eastAsia="en-US"/>
        </w:rPr>
      </w:pPr>
    </w:p>
    <w:p w:rsidR="00B2413F" w:rsidRPr="00942766" w:rsidRDefault="00B2413F" w:rsidP="00B2413F">
      <w:pPr>
        <w:rPr>
          <w:b/>
          <w:bCs/>
          <w:sz w:val="22"/>
          <w:szCs w:val="22"/>
        </w:rPr>
      </w:pPr>
      <w:bookmarkStart w:id="3" w:name="_Toc487891346"/>
      <w:r w:rsidRPr="00942766">
        <w:rPr>
          <w:b/>
          <w:bCs/>
          <w:sz w:val="22"/>
          <w:szCs w:val="22"/>
        </w:rPr>
        <w:t xml:space="preserve">Table </w:t>
      </w:r>
      <w:r w:rsidR="00F13D33" w:rsidRPr="00942766">
        <w:rPr>
          <w:b/>
          <w:bCs/>
          <w:sz w:val="22"/>
          <w:szCs w:val="22"/>
        </w:rPr>
        <w:t xml:space="preserve">5  </w:t>
      </w:r>
      <w:r w:rsidRPr="00942766">
        <w:rPr>
          <w:b/>
          <w:bCs/>
          <w:sz w:val="22"/>
          <w:szCs w:val="22"/>
        </w:rPr>
        <w:t>Total costs in preceding year in relation to presence of UNHS, confirmation by age 9 months, receptive language ability and reading</w:t>
      </w:r>
    </w:p>
    <w:bookmarkEnd w:id="3"/>
    <w:p w:rsidR="000C3DA5" w:rsidRPr="00942766" w:rsidRDefault="000C3DA5" w:rsidP="00080173">
      <w:pPr>
        <w:rPr>
          <w:b/>
        </w:rPr>
      </w:pPr>
    </w:p>
    <w:tbl>
      <w:tblPr>
        <w:tblW w:w="14821" w:type="dxa"/>
        <w:tblInd w:w="-1071" w:type="dxa"/>
        <w:tblLayout w:type="fixed"/>
        <w:tblLook w:val="04A0" w:firstRow="1" w:lastRow="0" w:firstColumn="1" w:lastColumn="0" w:noHBand="0" w:noVBand="1"/>
      </w:tblPr>
      <w:tblGrid>
        <w:gridCol w:w="2489"/>
        <w:gridCol w:w="1134"/>
        <w:gridCol w:w="2126"/>
        <w:gridCol w:w="851"/>
        <w:gridCol w:w="1134"/>
        <w:gridCol w:w="2268"/>
        <w:gridCol w:w="850"/>
        <w:gridCol w:w="992"/>
        <w:gridCol w:w="2268"/>
        <w:gridCol w:w="709"/>
      </w:tblGrid>
      <w:tr w:rsidR="001175A1" w:rsidRPr="00942766" w:rsidTr="00080173">
        <w:trPr>
          <w:trHeight w:val="660"/>
        </w:trPr>
        <w:tc>
          <w:tcPr>
            <w:tcW w:w="2489" w:type="dxa"/>
            <w:tcBorders>
              <w:top w:val="nil"/>
              <w:left w:val="nil"/>
              <w:bottom w:val="single" w:sz="4" w:space="0" w:color="auto"/>
              <w:right w:val="single" w:sz="8" w:space="0" w:color="auto"/>
            </w:tcBorders>
            <w:shd w:val="clear" w:color="auto" w:fill="auto"/>
            <w:noWrap/>
            <w:vAlign w:val="bottom"/>
          </w:tcPr>
          <w:p w:rsidR="001175A1" w:rsidRPr="00942766" w:rsidRDefault="001175A1" w:rsidP="00A50F84">
            <w:pPr>
              <w:rPr>
                <w:rFonts w:ascii="Calibri" w:eastAsia="Times New Roman" w:hAnsi="Calibri"/>
                <w:b/>
                <w:sz w:val="22"/>
                <w:szCs w:val="22"/>
              </w:rPr>
            </w:pPr>
          </w:p>
        </w:tc>
        <w:tc>
          <w:tcPr>
            <w:tcW w:w="4111" w:type="dxa"/>
            <w:gridSpan w:val="3"/>
            <w:tcBorders>
              <w:top w:val="nil"/>
              <w:left w:val="single" w:sz="8" w:space="0" w:color="auto"/>
              <w:bottom w:val="single" w:sz="4" w:space="0" w:color="auto"/>
              <w:right w:val="single" w:sz="4" w:space="0" w:color="auto"/>
            </w:tcBorders>
            <w:shd w:val="clear" w:color="auto" w:fill="auto"/>
          </w:tcPr>
          <w:p w:rsidR="001175A1" w:rsidRPr="00942766" w:rsidRDefault="001175A1" w:rsidP="00080173">
            <w:pPr>
              <w:jc w:val="center"/>
              <w:rPr>
                <w:rFonts w:ascii="Calibri" w:eastAsia="Times New Roman" w:hAnsi="Calibri"/>
                <w:b/>
                <w:sz w:val="22"/>
                <w:szCs w:val="22"/>
              </w:rPr>
            </w:pPr>
            <w:r w:rsidRPr="00942766">
              <w:rPr>
                <w:rFonts w:ascii="Calibri" w:eastAsia="Times New Roman" w:hAnsi="Calibri"/>
                <w:b/>
                <w:sz w:val="22"/>
                <w:szCs w:val="22"/>
              </w:rPr>
              <w:t>Unadjusted Costs</w:t>
            </w:r>
          </w:p>
        </w:tc>
        <w:tc>
          <w:tcPr>
            <w:tcW w:w="4252" w:type="dxa"/>
            <w:gridSpan w:val="3"/>
            <w:tcBorders>
              <w:top w:val="nil"/>
              <w:left w:val="single" w:sz="4" w:space="0" w:color="auto"/>
              <w:bottom w:val="single" w:sz="4" w:space="0" w:color="auto"/>
              <w:right w:val="single" w:sz="4" w:space="0" w:color="auto"/>
            </w:tcBorders>
            <w:shd w:val="clear" w:color="auto" w:fill="auto"/>
          </w:tcPr>
          <w:p w:rsidR="001175A1" w:rsidRPr="00942766" w:rsidRDefault="001175A1" w:rsidP="00080173">
            <w:pPr>
              <w:jc w:val="center"/>
              <w:rPr>
                <w:rFonts w:ascii="Calibri" w:eastAsia="Times New Roman" w:hAnsi="Calibri"/>
                <w:b/>
                <w:sz w:val="22"/>
                <w:szCs w:val="22"/>
              </w:rPr>
            </w:pPr>
            <w:r w:rsidRPr="00942766">
              <w:rPr>
                <w:rFonts w:ascii="Calibri" w:eastAsia="Times New Roman" w:hAnsi="Calibri"/>
                <w:b/>
                <w:sz w:val="22"/>
                <w:szCs w:val="22"/>
              </w:rPr>
              <w:t xml:space="preserve">Costs adjusted for cochlear implantation and presence of </w:t>
            </w:r>
            <w:r w:rsidR="00266EC1" w:rsidRPr="00942766">
              <w:rPr>
                <w:rFonts w:ascii="Calibri" w:eastAsia="Times New Roman" w:hAnsi="Calibri"/>
                <w:b/>
                <w:sz w:val="22"/>
                <w:szCs w:val="22"/>
              </w:rPr>
              <w:t>an additional medical condition</w:t>
            </w:r>
          </w:p>
        </w:tc>
        <w:tc>
          <w:tcPr>
            <w:tcW w:w="3969" w:type="dxa"/>
            <w:gridSpan w:val="3"/>
            <w:tcBorders>
              <w:top w:val="nil"/>
              <w:left w:val="single" w:sz="4" w:space="0" w:color="auto"/>
              <w:bottom w:val="single" w:sz="4" w:space="0" w:color="auto"/>
              <w:right w:val="nil"/>
            </w:tcBorders>
            <w:shd w:val="clear" w:color="auto" w:fill="auto"/>
          </w:tcPr>
          <w:p w:rsidR="001175A1" w:rsidRPr="00942766" w:rsidRDefault="001175A1" w:rsidP="002833D4">
            <w:pPr>
              <w:jc w:val="center"/>
              <w:rPr>
                <w:rFonts w:ascii="Calibri" w:eastAsia="Times New Roman" w:hAnsi="Calibri"/>
                <w:b/>
                <w:sz w:val="22"/>
                <w:szCs w:val="22"/>
              </w:rPr>
            </w:pPr>
            <w:r w:rsidRPr="00942766">
              <w:rPr>
                <w:rFonts w:ascii="Calibri" w:eastAsia="Times New Roman" w:hAnsi="Calibri"/>
                <w:b/>
                <w:sz w:val="22"/>
                <w:szCs w:val="22"/>
              </w:rPr>
              <w:t xml:space="preserve">Costs adjusted for cochlear implantation, presence of </w:t>
            </w:r>
            <w:r w:rsidR="00266EC1" w:rsidRPr="00942766">
              <w:rPr>
                <w:rFonts w:ascii="Calibri" w:eastAsia="Times New Roman" w:hAnsi="Calibri"/>
                <w:b/>
                <w:sz w:val="22"/>
                <w:szCs w:val="22"/>
              </w:rPr>
              <w:t>an additional medical condition and severity of PCHL</w:t>
            </w:r>
          </w:p>
        </w:tc>
      </w:tr>
      <w:tr w:rsidR="00BC3C05" w:rsidRPr="00942766" w:rsidTr="00080173">
        <w:trPr>
          <w:trHeight w:val="660"/>
        </w:trPr>
        <w:tc>
          <w:tcPr>
            <w:tcW w:w="2489" w:type="dxa"/>
            <w:tcBorders>
              <w:top w:val="nil"/>
              <w:left w:val="nil"/>
              <w:bottom w:val="single" w:sz="4" w:space="0" w:color="auto"/>
              <w:right w:val="single" w:sz="8" w:space="0" w:color="auto"/>
            </w:tcBorders>
            <w:shd w:val="clear" w:color="auto" w:fill="auto"/>
            <w:noWrap/>
            <w:vAlign w:val="center"/>
            <w:hideMark/>
          </w:tcPr>
          <w:p w:rsidR="00A50F84" w:rsidRPr="00942766" w:rsidRDefault="00A50F84" w:rsidP="002833D4">
            <w:pPr>
              <w:rPr>
                <w:rFonts w:ascii="Calibri" w:eastAsia="Times New Roman" w:hAnsi="Calibri"/>
                <w:b/>
                <w:sz w:val="22"/>
                <w:szCs w:val="22"/>
              </w:rPr>
            </w:pPr>
            <w:r w:rsidRPr="00942766">
              <w:rPr>
                <w:rFonts w:ascii="Calibri" w:eastAsia="Times New Roman" w:hAnsi="Calibri"/>
                <w:b/>
                <w:sz w:val="22"/>
                <w:szCs w:val="22"/>
              </w:rPr>
              <w:t>Variable </w:t>
            </w:r>
          </w:p>
        </w:tc>
        <w:tc>
          <w:tcPr>
            <w:tcW w:w="1134" w:type="dxa"/>
            <w:tcBorders>
              <w:top w:val="nil"/>
              <w:left w:val="single" w:sz="8" w:space="0" w:color="auto"/>
              <w:bottom w:val="single" w:sz="4" w:space="0" w:color="auto"/>
              <w:right w:val="nil"/>
            </w:tcBorders>
            <w:shd w:val="clear" w:color="auto" w:fill="auto"/>
            <w:vAlign w:val="center"/>
            <w:hideMark/>
          </w:tcPr>
          <w:p w:rsidR="00A50F84" w:rsidRPr="00942766" w:rsidRDefault="00A50F84" w:rsidP="00080173">
            <w:pPr>
              <w:jc w:val="center"/>
              <w:rPr>
                <w:rFonts w:ascii="Calibri" w:eastAsia="Times New Roman" w:hAnsi="Calibri"/>
                <w:b/>
                <w:sz w:val="22"/>
                <w:szCs w:val="22"/>
              </w:rPr>
            </w:pPr>
            <w:r w:rsidRPr="00942766">
              <w:rPr>
                <w:rFonts w:ascii="Calibri" w:eastAsia="Times New Roman" w:hAnsi="Calibri"/>
                <w:b/>
                <w:sz w:val="22"/>
                <w:szCs w:val="22"/>
              </w:rPr>
              <w:t>β Coef.</w:t>
            </w:r>
          </w:p>
        </w:tc>
        <w:tc>
          <w:tcPr>
            <w:tcW w:w="2126" w:type="dxa"/>
            <w:tcBorders>
              <w:top w:val="nil"/>
              <w:left w:val="nil"/>
              <w:bottom w:val="single" w:sz="4" w:space="0" w:color="auto"/>
              <w:right w:val="nil"/>
            </w:tcBorders>
            <w:shd w:val="clear" w:color="auto" w:fill="auto"/>
            <w:vAlign w:val="center"/>
            <w:hideMark/>
          </w:tcPr>
          <w:p w:rsidR="00A50F84" w:rsidRPr="00942766" w:rsidRDefault="00A50F84" w:rsidP="002833D4">
            <w:pPr>
              <w:jc w:val="center"/>
              <w:rPr>
                <w:rFonts w:ascii="Calibri" w:eastAsia="Times New Roman" w:hAnsi="Calibri"/>
                <w:b/>
                <w:sz w:val="22"/>
                <w:szCs w:val="22"/>
              </w:rPr>
            </w:pPr>
            <w:r w:rsidRPr="00942766">
              <w:rPr>
                <w:rFonts w:ascii="Calibri" w:eastAsia="Times New Roman" w:hAnsi="Calibri"/>
                <w:b/>
                <w:sz w:val="22"/>
                <w:szCs w:val="22"/>
              </w:rPr>
              <w:t>95% CI</w:t>
            </w:r>
          </w:p>
        </w:tc>
        <w:tc>
          <w:tcPr>
            <w:tcW w:w="851" w:type="dxa"/>
            <w:tcBorders>
              <w:top w:val="nil"/>
              <w:left w:val="nil"/>
              <w:bottom w:val="single" w:sz="4" w:space="0" w:color="auto"/>
              <w:right w:val="single" w:sz="4" w:space="0" w:color="auto"/>
            </w:tcBorders>
            <w:shd w:val="clear" w:color="auto" w:fill="auto"/>
            <w:noWrap/>
            <w:vAlign w:val="center"/>
            <w:hideMark/>
          </w:tcPr>
          <w:p w:rsidR="00A50F84" w:rsidRPr="00942766" w:rsidRDefault="00A50F84" w:rsidP="00080173">
            <w:pPr>
              <w:jc w:val="center"/>
              <w:rPr>
                <w:rFonts w:ascii="Calibri" w:eastAsia="Times New Roman" w:hAnsi="Calibri"/>
                <w:b/>
                <w:i/>
                <w:sz w:val="22"/>
                <w:szCs w:val="22"/>
              </w:rPr>
            </w:pPr>
            <w:r w:rsidRPr="00942766">
              <w:rPr>
                <w:rFonts w:ascii="Calibri" w:eastAsia="Times New Roman" w:hAnsi="Calibri"/>
                <w:b/>
                <w:i/>
                <w:sz w:val="22"/>
                <w:szCs w:val="22"/>
              </w:rPr>
              <w:t>P</w:t>
            </w:r>
          </w:p>
        </w:tc>
        <w:tc>
          <w:tcPr>
            <w:tcW w:w="1134" w:type="dxa"/>
            <w:tcBorders>
              <w:top w:val="nil"/>
              <w:left w:val="single" w:sz="4" w:space="0" w:color="auto"/>
              <w:bottom w:val="single" w:sz="4" w:space="0" w:color="auto"/>
              <w:right w:val="nil"/>
            </w:tcBorders>
            <w:shd w:val="clear" w:color="auto" w:fill="auto"/>
            <w:vAlign w:val="center"/>
            <w:hideMark/>
          </w:tcPr>
          <w:p w:rsidR="00A50F84" w:rsidRPr="00942766" w:rsidRDefault="00A50F84" w:rsidP="00080173">
            <w:pPr>
              <w:jc w:val="center"/>
              <w:rPr>
                <w:rFonts w:ascii="Calibri" w:eastAsia="Times New Roman" w:hAnsi="Calibri"/>
                <w:b/>
                <w:sz w:val="22"/>
                <w:szCs w:val="22"/>
              </w:rPr>
            </w:pPr>
            <w:r w:rsidRPr="00942766">
              <w:rPr>
                <w:rFonts w:ascii="Calibri" w:eastAsia="Times New Roman" w:hAnsi="Calibri"/>
                <w:b/>
                <w:sz w:val="22"/>
                <w:szCs w:val="22"/>
              </w:rPr>
              <w:t>β Coef.</w:t>
            </w:r>
          </w:p>
        </w:tc>
        <w:tc>
          <w:tcPr>
            <w:tcW w:w="2268" w:type="dxa"/>
            <w:tcBorders>
              <w:top w:val="nil"/>
              <w:left w:val="nil"/>
              <w:bottom w:val="single" w:sz="4" w:space="0" w:color="auto"/>
              <w:right w:val="nil"/>
            </w:tcBorders>
            <w:shd w:val="clear" w:color="auto" w:fill="auto"/>
            <w:vAlign w:val="center"/>
            <w:hideMark/>
          </w:tcPr>
          <w:p w:rsidR="00A50F84" w:rsidRPr="00942766" w:rsidRDefault="00A50F84" w:rsidP="002833D4">
            <w:pPr>
              <w:jc w:val="center"/>
              <w:rPr>
                <w:rFonts w:ascii="Calibri" w:eastAsia="Times New Roman" w:hAnsi="Calibri"/>
                <w:b/>
                <w:sz w:val="22"/>
                <w:szCs w:val="22"/>
              </w:rPr>
            </w:pPr>
            <w:r w:rsidRPr="00942766">
              <w:rPr>
                <w:rFonts w:ascii="Calibri" w:eastAsia="Times New Roman" w:hAnsi="Calibri"/>
                <w:b/>
                <w:sz w:val="22"/>
                <w:szCs w:val="22"/>
              </w:rPr>
              <w:t>95% CI</w:t>
            </w:r>
          </w:p>
        </w:tc>
        <w:tc>
          <w:tcPr>
            <w:tcW w:w="850" w:type="dxa"/>
            <w:tcBorders>
              <w:top w:val="nil"/>
              <w:left w:val="nil"/>
              <w:bottom w:val="single" w:sz="4" w:space="0" w:color="auto"/>
              <w:right w:val="single" w:sz="4" w:space="0" w:color="auto"/>
            </w:tcBorders>
            <w:shd w:val="clear" w:color="auto" w:fill="auto"/>
            <w:noWrap/>
            <w:vAlign w:val="center"/>
            <w:hideMark/>
          </w:tcPr>
          <w:p w:rsidR="00A50F84" w:rsidRPr="00942766" w:rsidRDefault="00A50F84" w:rsidP="00080173">
            <w:pPr>
              <w:jc w:val="center"/>
              <w:rPr>
                <w:rFonts w:ascii="Calibri" w:eastAsia="Times New Roman" w:hAnsi="Calibri"/>
                <w:b/>
                <w:i/>
                <w:sz w:val="22"/>
                <w:szCs w:val="22"/>
              </w:rPr>
            </w:pPr>
            <w:r w:rsidRPr="00942766">
              <w:rPr>
                <w:rFonts w:ascii="Calibri" w:eastAsia="Times New Roman" w:hAnsi="Calibri"/>
                <w:b/>
                <w:i/>
                <w:sz w:val="22"/>
                <w:szCs w:val="22"/>
              </w:rPr>
              <w:t>P</w:t>
            </w:r>
          </w:p>
        </w:tc>
        <w:tc>
          <w:tcPr>
            <w:tcW w:w="992" w:type="dxa"/>
            <w:tcBorders>
              <w:top w:val="nil"/>
              <w:left w:val="single" w:sz="4" w:space="0" w:color="auto"/>
              <w:bottom w:val="single" w:sz="4" w:space="0" w:color="auto"/>
              <w:right w:val="nil"/>
            </w:tcBorders>
            <w:shd w:val="clear" w:color="auto" w:fill="auto"/>
            <w:vAlign w:val="center"/>
          </w:tcPr>
          <w:p w:rsidR="00A50F84" w:rsidRPr="00942766" w:rsidRDefault="00A50F84" w:rsidP="00080173">
            <w:pPr>
              <w:jc w:val="center"/>
              <w:rPr>
                <w:rFonts w:ascii="Calibri" w:eastAsia="Times New Roman" w:hAnsi="Calibri"/>
                <w:b/>
                <w:sz w:val="22"/>
                <w:szCs w:val="22"/>
              </w:rPr>
            </w:pPr>
            <w:r w:rsidRPr="00942766">
              <w:rPr>
                <w:rFonts w:ascii="Calibri" w:eastAsia="Times New Roman" w:hAnsi="Calibri"/>
                <w:b/>
                <w:sz w:val="22"/>
                <w:szCs w:val="22"/>
              </w:rPr>
              <w:t>β Coef.</w:t>
            </w:r>
          </w:p>
        </w:tc>
        <w:tc>
          <w:tcPr>
            <w:tcW w:w="2268" w:type="dxa"/>
            <w:tcBorders>
              <w:top w:val="nil"/>
              <w:left w:val="nil"/>
              <w:bottom w:val="single" w:sz="4" w:space="0" w:color="auto"/>
              <w:right w:val="nil"/>
            </w:tcBorders>
            <w:shd w:val="clear" w:color="auto" w:fill="auto"/>
            <w:vAlign w:val="center"/>
          </w:tcPr>
          <w:p w:rsidR="00A50F84" w:rsidRPr="00942766" w:rsidRDefault="00A50F84" w:rsidP="00080173">
            <w:pPr>
              <w:jc w:val="center"/>
              <w:rPr>
                <w:rFonts w:ascii="Calibri" w:eastAsia="Times New Roman" w:hAnsi="Calibri"/>
                <w:b/>
                <w:sz w:val="22"/>
                <w:szCs w:val="22"/>
              </w:rPr>
            </w:pPr>
            <w:r w:rsidRPr="00942766">
              <w:rPr>
                <w:rFonts w:ascii="Calibri" w:eastAsia="Times New Roman" w:hAnsi="Calibri"/>
                <w:b/>
                <w:sz w:val="22"/>
                <w:szCs w:val="22"/>
              </w:rPr>
              <w:t>95% CI</w:t>
            </w:r>
          </w:p>
        </w:tc>
        <w:tc>
          <w:tcPr>
            <w:tcW w:w="709" w:type="dxa"/>
            <w:tcBorders>
              <w:top w:val="nil"/>
              <w:left w:val="nil"/>
              <w:bottom w:val="single" w:sz="4" w:space="0" w:color="auto"/>
              <w:right w:val="nil"/>
            </w:tcBorders>
            <w:shd w:val="clear" w:color="auto" w:fill="auto"/>
            <w:vAlign w:val="center"/>
          </w:tcPr>
          <w:p w:rsidR="00A50F84" w:rsidRPr="00942766" w:rsidRDefault="002A4563" w:rsidP="00080173">
            <w:pPr>
              <w:jc w:val="center"/>
              <w:rPr>
                <w:rFonts w:ascii="Calibri" w:eastAsia="Times New Roman" w:hAnsi="Calibri"/>
                <w:b/>
                <w:i/>
                <w:sz w:val="22"/>
                <w:szCs w:val="22"/>
              </w:rPr>
            </w:pPr>
            <w:r w:rsidRPr="00942766">
              <w:rPr>
                <w:rFonts w:ascii="Calibri" w:eastAsia="Times New Roman" w:hAnsi="Calibri"/>
                <w:b/>
                <w:i/>
                <w:sz w:val="22"/>
                <w:szCs w:val="22"/>
              </w:rPr>
              <w:t>P</w:t>
            </w:r>
          </w:p>
        </w:tc>
      </w:tr>
      <w:tr w:rsidR="00BC3C05" w:rsidRPr="00942766" w:rsidTr="00080173">
        <w:trPr>
          <w:trHeight w:val="600"/>
        </w:trPr>
        <w:tc>
          <w:tcPr>
            <w:tcW w:w="2489" w:type="dxa"/>
            <w:tcBorders>
              <w:top w:val="nil"/>
              <w:left w:val="nil"/>
              <w:bottom w:val="nil"/>
              <w:right w:val="single" w:sz="8" w:space="0" w:color="auto"/>
            </w:tcBorders>
            <w:shd w:val="clear" w:color="auto" w:fill="auto"/>
            <w:vAlign w:val="center"/>
            <w:hideMark/>
          </w:tcPr>
          <w:p w:rsidR="00A50F84" w:rsidRPr="00942766" w:rsidRDefault="00A50F84" w:rsidP="002833D4">
            <w:pPr>
              <w:rPr>
                <w:rFonts w:ascii="Calibri" w:eastAsia="Times New Roman" w:hAnsi="Calibri"/>
                <w:b/>
                <w:iCs/>
                <w:sz w:val="22"/>
                <w:szCs w:val="22"/>
              </w:rPr>
            </w:pPr>
            <w:r w:rsidRPr="00942766">
              <w:rPr>
                <w:rFonts w:ascii="Calibri" w:eastAsia="Times New Roman" w:hAnsi="Calibri"/>
                <w:b/>
                <w:iCs/>
                <w:sz w:val="22"/>
                <w:szCs w:val="22"/>
              </w:rPr>
              <w:t xml:space="preserve">Born during </w:t>
            </w:r>
            <w:r w:rsidR="00BC3C05" w:rsidRPr="00942766">
              <w:rPr>
                <w:rFonts w:ascii="Calibri" w:eastAsia="Times New Roman" w:hAnsi="Calibri"/>
                <w:b/>
                <w:iCs/>
                <w:sz w:val="22"/>
                <w:szCs w:val="22"/>
              </w:rPr>
              <w:t xml:space="preserve">periods with </w:t>
            </w:r>
            <w:r w:rsidRPr="00942766">
              <w:rPr>
                <w:rFonts w:ascii="Calibri" w:eastAsia="Times New Roman" w:hAnsi="Calibri"/>
                <w:b/>
                <w:iCs/>
                <w:sz w:val="22"/>
                <w:szCs w:val="22"/>
              </w:rPr>
              <w:t>UNHS</w:t>
            </w:r>
          </w:p>
        </w:tc>
        <w:tc>
          <w:tcPr>
            <w:tcW w:w="1134" w:type="dxa"/>
            <w:tcBorders>
              <w:top w:val="nil"/>
              <w:left w:val="single" w:sz="8" w:space="0" w:color="auto"/>
              <w:bottom w:val="nil"/>
              <w:right w:val="nil"/>
            </w:tcBorders>
            <w:shd w:val="clear" w:color="auto" w:fill="auto"/>
            <w:noWrap/>
            <w:vAlign w:val="center"/>
            <w:hideMark/>
          </w:tcPr>
          <w:p w:rsidR="00A50F84" w:rsidRPr="00942766" w:rsidRDefault="00A50F84" w:rsidP="00080173">
            <w:pPr>
              <w:jc w:val="center"/>
              <w:rPr>
                <w:rFonts w:ascii="Calibri" w:eastAsia="Times New Roman" w:hAnsi="Calibri"/>
                <w:sz w:val="22"/>
                <w:szCs w:val="22"/>
              </w:rPr>
            </w:pPr>
            <w:r w:rsidRPr="00942766">
              <w:rPr>
                <w:rFonts w:ascii="Calibri" w:eastAsia="Times New Roman" w:hAnsi="Calibri"/>
                <w:sz w:val="22"/>
                <w:szCs w:val="22"/>
              </w:rPr>
              <w:t>-3,594.21</w:t>
            </w:r>
          </w:p>
        </w:tc>
        <w:tc>
          <w:tcPr>
            <w:tcW w:w="2126" w:type="dxa"/>
            <w:tcBorders>
              <w:top w:val="nil"/>
              <w:left w:val="nil"/>
              <w:bottom w:val="nil"/>
              <w:right w:val="nil"/>
            </w:tcBorders>
            <w:shd w:val="clear" w:color="auto" w:fill="auto"/>
            <w:noWrap/>
            <w:vAlign w:val="center"/>
            <w:hideMark/>
          </w:tcPr>
          <w:p w:rsidR="00A50F84" w:rsidRPr="00942766" w:rsidRDefault="00A50F84" w:rsidP="001237A2">
            <w:pPr>
              <w:jc w:val="center"/>
              <w:rPr>
                <w:rFonts w:ascii="Calibri" w:eastAsia="Times New Roman" w:hAnsi="Calibri"/>
                <w:sz w:val="22"/>
                <w:szCs w:val="22"/>
              </w:rPr>
            </w:pPr>
            <w:r w:rsidRPr="00942766">
              <w:rPr>
                <w:rFonts w:ascii="Calibri" w:eastAsia="Times New Roman" w:hAnsi="Calibri"/>
                <w:sz w:val="22"/>
                <w:szCs w:val="22"/>
              </w:rPr>
              <w:t>(-10105.9 to 2917.6)</w:t>
            </w:r>
          </w:p>
        </w:tc>
        <w:tc>
          <w:tcPr>
            <w:tcW w:w="851" w:type="dxa"/>
            <w:tcBorders>
              <w:top w:val="nil"/>
              <w:left w:val="nil"/>
              <w:bottom w:val="nil"/>
              <w:right w:val="single" w:sz="4" w:space="0" w:color="auto"/>
            </w:tcBorders>
            <w:shd w:val="clear" w:color="auto" w:fill="auto"/>
            <w:noWrap/>
            <w:vAlign w:val="center"/>
            <w:hideMark/>
          </w:tcPr>
          <w:p w:rsidR="00A50F84" w:rsidRPr="00942766" w:rsidRDefault="00A50F84" w:rsidP="00080173">
            <w:pPr>
              <w:jc w:val="center"/>
              <w:rPr>
                <w:rFonts w:ascii="Calibri" w:eastAsia="Times New Roman" w:hAnsi="Calibri"/>
                <w:sz w:val="22"/>
                <w:szCs w:val="22"/>
              </w:rPr>
            </w:pPr>
            <w:r w:rsidRPr="00942766">
              <w:rPr>
                <w:rFonts w:ascii="Calibri" w:eastAsia="Times New Roman" w:hAnsi="Calibri"/>
                <w:sz w:val="22"/>
                <w:szCs w:val="22"/>
              </w:rPr>
              <w:t>0.2</w:t>
            </w:r>
            <w:r w:rsidR="00C92329" w:rsidRPr="00942766">
              <w:rPr>
                <w:rFonts w:ascii="Calibri" w:eastAsia="Times New Roman" w:hAnsi="Calibri"/>
                <w:sz w:val="22"/>
                <w:szCs w:val="22"/>
              </w:rPr>
              <w:t>8</w:t>
            </w:r>
          </w:p>
        </w:tc>
        <w:tc>
          <w:tcPr>
            <w:tcW w:w="1134" w:type="dxa"/>
            <w:tcBorders>
              <w:top w:val="nil"/>
              <w:left w:val="single" w:sz="4" w:space="0" w:color="auto"/>
              <w:bottom w:val="nil"/>
              <w:right w:val="nil"/>
            </w:tcBorders>
            <w:shd w:val="clear" w:color="auto" w:fill="auto"/>
            <w:noWrap/>
            <w:vAlign w:val="center"/>
            <w:hideMark/>
          </w:tcPr>
          <w:p w:rsidR="00A50F84" w:rsidRPr="00942766" w:rsidRDefault="00A50F84" w:rsidP="00080173">
            <w:pPr>
              <w:jc w:val="center"/>
              <w:rPr>
                <w:rFonts w:ascii="Calibri" w:eastAsia="Times New Roman" w:hAnsi="Calibri"/>
                <w:sz w:val="22"/>
                <w:szCs w:val="22"/>
              </w:rPr>
            </w:pPr>
            <w:r w:rsidRPr="00942766">
              <w:rPr>
                <w:rFonts w:ascii="Calibri" w:eastAsia="Times New Roman" w:hAnsi="Calibri"/>
                <w:sz w:val="22"/>
                <w:szCs w:val="22"/>
              </w:rPr>
              <w:t>-</w:t>
            </w:r>
            <w:r w:rsidR="00C92329" w:rsidRPr="00942766">
              <w:rPr>
                <w:rFonts w:ascii="Calibri" w:eastAsia="Times New Roman" w:hAnsi="Calibri"/>
                <w:sz w:val="22"/>
                <w:szCs w:val="22"/>
              </w:rPr>
              <w:t>970.46</w:t>
            </w:r>
          </w:p>
        </w:tc>
        <w:tc>
          <w:tcPr>
            <w:tcW w:w="2268" w:type="dxa"/>
            <w:tcBorders>
              <w:top w:val="nil"/>
              <w:left w:val="nil"/>
              <w:bottom w:val="nil"/>
              <w:right w:val="nil"/>
            </w:tcBorders>
            <w:shd w:val="clear" w:color="auto" w:fill="auto"/>
            <w:noWrap/>
            <w:vAlign w:val="center"/>
            <w:hideMark/>
          </w:tcPr>
          <w:p w:rsidR="00A50F84" w:rsidRPr="00942766" w:rsidRDefault="00A50F84" w:rsidP="001237A2">
            <w:pPr>
              <w:jc w:val="center"/>
              <w:rPr>
                <w:rFonts w:ascii="Calibri" w:eastAsia="Times New Roman" w:hAnsi="Calibri"/>
                <w:sz w:val="22"/>
                <w:szCs w:val="22"/>
              </w:rPr>
            </w:pPr>
            <w:r w:rsidRPr="00942766">
              <w:rPr>
                <w:rFonts w:ascii="Calibri" w:eastAsia="Times New Roman" w:hAnsi="Calibri"/>
                <w:sz w:val="22"/>
                <w:szCs w:val="22"/>
              </w:rPr>
              <w:t>(-</w:t>
            </w:r>
            <w:r w:rsidR="002A4563" w:rsidRPr="00942766">
              <w:rPr>
                <w:rFonts w:ascii="Calibri" w:eastAsia="Times New Roman" w:hAnsi="Calibri"/>
                <w:sz w:val="22"/>
                <w:szCs w:val="22"/>
              </w:rPr>
              <w:t>6099.42 to 4158.50</w:t>
            </w:r>
            <w:r w:rsidRPr="00942766">
              <w:rPr>
                <w:rFonts w:ascii="Calibri" w:eastAsia="Times New Roman" w:hAnsi="Calibri"/>
                <w:sz w:val="22"/>
                <w:szCs w:val="22"/>
              </w:rPr>
              <w:t>)</w:t>
            </w:r>
          </w:p>
        </w:tc>
        <w:tc>
          <w:tcPr>
            <w:tcW w:w="850" w:type="dxa"/>
            <w:tcBorders>
              <w:top w:val="nil"/>
              <w:left w:val="nil"/>
              <w:bottom w:val="nil"/>
              <w:right w:val="single" w:sz="4" w:space="0" w:color="auto"/>
            </w:tcBorders>
            <w:shd w:val="clear" w:color="auto" w:fill="auto"/>
            <w:noWrap/>
            <w:vAlign w:val="center"/>
            <w:hideMark/>
          </w:tcPr>
          <w:p w:rsidR="00A50F84" w:rsidRPr="00942766" w:rsidRDefault="00A50F84" w:rsidP="00080173">
            <w:pPr>
              <w:jc w:val="center"/>
              <w:rPr>
                <w:rFonts w:ascii="Calibri" w:eastAsia="Times New Roman" w:hAnsi="Calibri"/>
                <w:sz w:val="22"/>
                <w:szCs w:val="22"/>
              </w:rPr>
            </w:pPr>
            <w:r w:rsidRPr="00942766">
              <w:rPr>
                <w:rFonts w:ascii="Calibri" w:eastAsia="Times New Roman" w:hAnsi="Calibri"/>
                <w:sz w:val="22"/>
                <w:szCs w:val="22"/>
              </w:rPr>
              <w:t>0.</w:t>
            </w:r>
            <w:r w:rsidR="002A4563" w:rsidRPr="00942766">
              <w:rPr>
                <w:rFonts w:ascii="Calibri" w:eastAsia="Times New Roman" w:hAnsi="Calibri"/>
                <w:sz w:val="22"/>
                <w:szCs w:val="22"/>
              </w:rPr>
              <w:t>71</w:t>
            </w:r>
          </w:p>
        </w:tc>
        <w:tc>
          <w:tcPr>
            <w:tcW w:w="992" w:type="dxa"/>
            <w:tcBorders>
              <w:left w:val="single" w:sz="4" w:space="0" w:color="auto"/>
              <w:right w:val="nil"/>
            </w:tcBorders>
            <w:vAlign w:val="center"/>
          </w:tcPr>
          <w:p w:rsidR="00A50F84" w:rsidRPr="00942766" w:rsidRDefault="00A50F84" w:rsidP="00080173">
            <w:pPr>
              <w:jc w:val="center"/>
              <w:rPr>
                <w:rFonts w:ascii="Calibri" w:eastAsia="Times New Roman" w:hAnsi="Calibri"/>
                <w:sz w:val="22"/>
                <w:szCs w:val="22"/>
              </w:rPr>
            </w:pPr>
            <w:r w:rsidRPr="00942766">
              <w:rPr>
                <w:rFonts w:ascii="Calibri" w:eastAsia="Times New Roman" w:hAnsi="Calibri"/>
                <w:sz w:val="22"/>
                <w:szCs w:val="22"/>
              </w:rPr>
              <w:t>-228.35</w:t>
            </w:r>
          </w:p>
        </w:tc>
        <w:tc>
          <w:tcPr>
            <w:tcW w:w="2268" w:type="dxa"/>
            <w:tcBorders>
              <w:left w:val="nil"/>
              <w:right w:val="nil"/>
            </w:tcBorders>
            <w:vAlign w:val="center"/>
          </w:tcPr>
          <w:p w:rsidR="00A50F84" w:rsidRPr="00942766" w:rsidRDefault="00A50F84" w:rsidP="00080173">
            <w:pPr>
              <w:jc w:val="center"/>
              <w:rPr>
                <w:rFonts w:ascii="Calibri" w:eastAsia="Times New Roman" w:hAnsi="Calibri"/>
                <w:sz w:val="22"/>
                <w:szCs w:val="22"/>
              </w:rPr>
            </w:pPr>
            <w:r w:rsidRPr="00942766">
              <w:rPr>
                <w:rFonts w:ascii="Calibri" w:eastAsia="Times New Roman" w:hAnsi="Calibri"/>
                <w:sz w:val="22"/>
                <w:szCs w:val="22"/>
              </w:rPr>
              <w:t>(-5303.44 to 4846.74)</w:t>
            </w:r>
          </w:p>
        </w:tc>
        <w:tc>
          <w:tcPr>
            <w:tcW w:w="709" w:type="dxa"/>
            <w:tcBorders>
              <w:left w:val="nil"/>
              <w:right w:val="nil"/>
            </w:tcBorders>
            <w:vAlign w:val="center"/>
          </w:tcPr>
          <w:p w:rsidR="00A50F84" w:rsidRPr="00942766" w:rsidRDefault="00A50F84" w:rsidP="00080173">
            <w:pPr>
              <w:jc w:val="center"/>
              <w:rPr>
                <w:rFonts w:ascii="Calibri" w:eastAsia="Times New Roman" w:hAnsi="Calibri"/>
                <w:sz w:val="22"/>
                <w:szCs w:val="22"/>
              </w:rPr>
            </w:pPr>
            <w:r w:rsidRPr="00942766">
              <w:rPr>
                <w:rFonts w:ascii="Calibri" w:eastAsia="Times New Roman" w:hAnsi="Calibri"/>
                <w:sz w:val="22"/>
                <w:szCs w:val="22"/>
              </w:rPr>
              <w:t>0.93</w:t>
            </w:r>
          </w:p>
        </w:tc>
      </w:tr>
      <w:tr w:rsidR="00BC3C05" w:rsidRPr="00942766" w:rsidTr="00080173">
        <w:trPr>
          <w:trHeight w:val="600"/>
        </w:trPr>
        <w:tc>
          <w:tcPr>
            <w:tcW w:w="2489" w:type="dxa"/>
            <w:tcBorders>
              <w:top w:val="nil"/>
              <w:left w:val="nil"/>
              <w:bottom w:val="nil"/>
              <w:right w:val="single" w:sz="8" w:space="0" w:color="auto"/>
            </w:tcBorders>
            <w:shd w:val="clear" w:color="auto" w:fill="auto"/>
            <w:vAlign w:val="center"/>
            <w:hideMark/>
          </w:tcPr>
          <w:p w:rsidR="00A50F84" w:rsidRPr="00942766" w:rsidRDefault="00A50F84" w:rsidP="002833D4">
            <w:pPr>
              <w:rPr>
                <w:rFonts w:ascii="Calibri" w:eastAsia="Times New Roman" w:hAnsi="Calibri"/>
                <w:b/>
                <w:iCs/>
                <w:sz w:val="22"/>
                <w:szCs w:val="22"/>
              </w:rPr>
            </w:pPr>
            <w:r w:rsidRPr="00942766">
              <w:rPr>
                <w:rFonts w:ascii="Calibri" w:eastAsia="Times New Roman" w:hAnsi="Calibri"/>
                <w:b/>
                <w:iCs/>
                <w:sz w:val="22"/>
                <w:szCs w:val="22"/>
              </w:rPr>
              <w:t xml:space="preserve">Confirmation of PCHL at </w:t>
            </w:r>
            <w:r w:rsidR="00266EC1" w:rsidRPr="00942766">
              <w:rPr>
                <w:rFonts w:ascii="Calibri" w:eastAsia="Times New Roman" w:hAnsi="Calibri"/>
                <w:b/>
                <w:iCs/>
                <w:sz w:val="22"/>
                <w:szCs w:val="22"/>
              </w:rPr>
              <w:t>&gt;</w:t>
            </w:r>
            <w:r w:rsidRPr="00942766">
              <w:rPr>
                <w:rFonts w:ascii="Calibri" w:eastAsia="Times New Roman" w:hAnsi="Calibri"/>
                <w:b/>
                <w:iCs/>
                <w:sz w:val="22"/>
                <w:szCs w:val="22"/>
              </w:rPr>
              <w:t>9 months</w:t>
            </w:r>
          </w:p>
        </w:tc>
        <w:tc>
          <w:tcPr>
            <w:tcW w:w="1134" w:type="dxa"/>
            <w:tcBorders>
              <w:top w:val="nil"/>
              <w:left w:val="single" w:sz="8" w:space="0" w:color="auto"/>
              <w:bottom w:val="nil"/>
              <w:right w:val="nil"/>
            </w:tcBorders>
            <w:shd w:val="clear" w:color="auto" w:fill="auto"/>
            <w:noWrap/>
            <w:vAlign w:val="center"/>
            <w:hideMark/>
          </w:tcPr>
          <w:p w:rsidR="00A50F84" w:rsidRPr="00942766" w:rsidRDefault="00A50F84" w:rsidP="00080173">
            <w:pPr>
              <w:jc w:val="center"/>
              <w:rPr>
                <w:rFonts w:ascii="Calibri" w:eastAsia="Times New Roman" w:hAnsi="Calibri"/>
                <w:sz w:val="22"/>
                <w:szCs w:val="22"/>
              </w:rPr>
            </w:pPr>
            <w:r w:rsidRPr="00942766">
              <w:rPr>
                <w:rFonts w:ascii="Calibri" w:eastAsia="Times New Roman" w:hAnsi="Calibri"/>
                <w:sz w:val="22"/>
                <w:szCs w:val="22"/>
              </w:rPr>
              <w:t>-2,824.11</w:t>
            </w:r>
          </w:p>
        </w:tc>
        <w:tc>
          <w:tcPr>
            <w:tcW w:w="2126" w:type="dxa"/>
            <w:tcBorders>
              <w:top w:val="nil"/>
              <w:left w:val="nil"/>
              <w:bottom w:val="nil"/>
              <w:right w:val="nil"/>
            </w:tcBorders>
            <w:shd w:val="clear" w:color="auto" w:fill="auto"/>
            <w:vAlign w:val="center"/>
            <w:hideMark/>
          </w:tcPr>
          <w:p w:rsidR="00A50F84" w:rsidRPr="00942766" w:rsidRDefault="00A50F84" w:rsidP="001237A2">
            <w:pPr>
              <w:jc w:val="center"/>
              <w:rPr>
                <w:rFonts w:ascii="Calibri" w:eastAsia="Times New Roman" w:hAnsi="Calibri"/>
                <w:sz w:val="22"/>
                <w:szCs w:val="22"/>
              </w:rPr>
            </w:pPr>
            <w:r w:rsidRPr="00942766">
              <w:rPr>
                <w:rFonts w:ascii="Calibri" w:eastAsia="Times New Roman" w:hAnsi="Calibri"/>
                <w:sz w:val="22"/>
                <w:szCs w:val="22"/>
              </w:rPr>
              <w:t>(-9381.5 to 3733.3)</w:t>
            </w:r>
          </w:p>
        </w:tc>
        <w:tc>
          <w:tcPr>
            <w:tcW w:w="851" w:type="dxa"/>
            <w:tcBorders>
              <w:top w:val="nil"/>
              <w:left w:val="nil"/>
              <w:bottom w:val="nil"/>
              <w:right w:val="single" w:sz="4" w:space="0" w:color="auto"/>
            </w:tcBorders>
            <w:shd w:val="clear" w:color="auto" w:fill="auto"/>
            <w:noWrap/>
            <w:vAlign w:val="center"/>
            <w:hideMark/>
          </w:tcPr>
          <w:p w:rsidR="00A50F84" w:rsidRPr="00942766" w:rsidRDefault="00A50F84" w:rsidP="00080173">
            <w:pPr>
              <w:jc w:val="center"/>
              <w:rPr>
                <w:rFonts w:ascii="Calibri" w:eastAsia="Times New Roman" w:hAnsi="Calibri"/>
                <w:sz w:val="22"/>
                <w:szCs w:val="22"/>
              </w:rPr>
            </w:pPr>
            <w:r w:rsidRPr="00942766">
              <w:rPr>
                <w:rFonts w:ascii="Calibri" w:eastAsia="Times New Roman" w:hAnsi="Calibri"/>
                <w:sz w:val="22"/>
                <w:szCs w:val="22"/>
              </w:rPr>
              <w:t>0.39</w:t>
            </w:r>
          </w:p>
        </w:tc>
        <w:tc>
          <w:tcPr>
            <w:tcW w:w="1134" w:type="dxa"/>
            <w:tcBorders>
              <w:top w:val="nil"/>
              <w:left w:val="single" w:sz="4" w:space="0" w:color="auto"/>
              <w:bottom w:val="nil"/>
              <w:right w:val="nil"/>
            </w:tcBorders>
            <w:shd w:val="clear" w:color="auto" w:fill="auto"/>
            <w:noWrap/>
            <w:vAlign w:val="center"/>
            <w:hideMark/>
          </w:tcPr>
          <w:p w:rsidR="00A50F84" w:rsidRPr="00942766" w:rsidRDefault="00C92329" w:rsidP="00080173">
            <w:pPr>
              <w:jc w:val="center"/>
              <w:rPr>
                <w:rFonts w:ascii="Calibri" w:eastAsia="Times New Roman" w:hAnsi="Calibri"/>
                <w:sz w:val="22"/>
                <w:szCs w:val="22"/>
              </w:rPr>
            </w:pPr>
            <w:r w:rsidRPr="00942766">
              <w:rPr>
                <w:rFonts w:ascii="Calibri" w:eastAsia="Times New Roman" w:hAnsi="Calibri"/>
                <w:sz w:val="22"/>
                <w:szCs w:val="22"/>
              </w:rPr>
              <w:t>-408.01</w:t>
            </w:r>
          </w:p>
        </w:tc>
        <w:tc>
          <w:tcPr>
            <w:tcW w:w="2268" w:type="dxa"/>
            <w:tcBorders>
              <w:top w:val="nil"/>
              <w:left w:val="nil"/>
              <w:bottom w:val="nil"/>
              <w:right w:val="nil"/>
            </w:tcBorders>
            <w:shd w:val="clear" w:color="auto" w:fill="auto"/>
            <w:vAlign w:val="center"/>
            <w:hideMark/>
          </w:tcPr>
          <w:p w:rsidR="00A50F84" w:rsidRPr="00942766" w:rsidRDefault="00A50F84" w:rsidP="001237A2">
            <w:pPr>
              <w:jc w:val="center"/>
              <w:rPr>
                <w:rFonts w:ascii="Calibri" w:eastAsia="Times New Roman" w:hAnsi="Calibri"/>
                <w:sz w:val="22"/>
                <w:szCs w:val="22"/>
              </w:rPr>
            </w:pPr>
            <w:r w:rsidRPr="00942766">
              <w:rPr>
                <w:rFonts w:ascii="Calibri" w:eastAsia="Times New Roman" w:hAnsi="Calibri"/>
                <w:sz w:val="22"/>
                <w:szCs w:val="22"/>
              </w:rPr>
              <w:t>(-</w:t>
            </w:r>
            <w:r w:rsidR="00C92329" w:rsidRPr="00942766">
              <w:rPr>
                <w:rFonts w:ascii="Calibri" w:eastAsia="Times New Roman" w:hAnsi="Calibri"/>
                <w:sz w:val="22"/>
                <w:szCs w:val="22"/>
              </w:rPr>
              <w:t>5662.35 to 4846.32</w:t>
            </w:r>
            <w:r w:rsidRPr="00942766">
              <w:rPr>
                <w:rFonts w:ascii="Calibri" w:eastAsia="Times New Roman" w:hAnsi="Calibri"/>
                <w:sz w:val="22"/>
                <w:szCs w:val="22"/>
              </w:rPr>
              <w:t>)</w:t>
            </w:r>
          </w:p>
        </w:tc>
        <w:tc>
          <w:tcPr>
            <w:tcW w:w="850" w:type="dxa"/>
            <w:tcBorders>
              <w:top w:val="nil"/>
              <w:left w:val="nil"/>
              <w:bottom w:val="nil"/>
              <w:right w:val="single" w:sz="4" w:space="0" w:color="auto"/>
            </w:tcBorders>
            <w:shd w:val="clear" w:color="auto" w:fill="auto"/>
            <w:noWrap/>
            <w:vAlign w:val="center"/>
            <w:hideMark/>
          </w:tcPr>
          <w:p w:rsidR="00A50F84" w:rsidRPr="00942766" w:rsidRDefault="00A50F84" w:rsidP="00080173">
            <w:pPr>
              <w:jc w:val="center"/>
              <w:rPr>
                <w:rFonts w:ascii="Calibri" w:eastAsia="Times New Roman" w:hAnsi="Calibri"/>
                <w:sz w:val="22"/>
                <w:szCs w:val="22"/>
              </w:rPr>
            </w:pPr>
            <w:r w:rsidRPr="00942766">
              <w:rPr>
                <w:rFonts w:ascii="Calibri" w:eastAsia="Times New Roman" w:hAnsi="Calibri"/>
                <w:sz w:val="22"/>
                <w:szCs w:val="22"/>
              </w:rPr>
              <w:t>0.8</w:t>
            </w:r>
            <w:r w:rsidR="002A4563" w:rsidRPr="00942766">
              <w:rPr>
                <w:rFonts w:ascii="Calibri" w:eastAsia="Times New Roman" w:hAnsi="Calibri"/>
                <w:sz w:val="22"/>
                <w:szCs w:val="22"/>
              </w:rPr>
              <w:t>8</w:t>
            </w:r>
          </w:p>
        </w:tc>
        <w:tc>
          <w:tcPr>
            <w:tcW w:w="992" w:type="dxa"/>
            <w:tcBorders>
              <w:left w:val="single" w:sz="4" w:space="0" w:color="auto"/>
              <w:right w:val="nil"/>
            </w:tcBorders>
            <w:vAlign w:val="center"/>
          </w:tcPr>
          <w:p w:rsidR="00A50F84" w:rsidRPr="00942766" w:rsidRDefault="00A50F84" w:rsidP="00080173">
            <w:pPr>
              <w:jc w:val="center"/>
              <w:rPr>
                <w:rFonts w:ascii="Calibri" w:eastAsia="Times New Roman" w:hAnsi="Calibri"/>
                <w:sz w:val="22"/>
                <w:szCs w:val="22"/>
              </w:rPr>
            </w:pPr>
            <w:r w:rsidRPr="00942766">
              <w:rPr>
                <w:rFonts w:ascii="Calibri" w:eastAsia="Times New Roman" w:hAnsi="Calibri"/>
                <w:sz w:val="22"/>
                <w:szCs w:val="22"/>
              </w:rPr>
              <w:t>47.99</w:t>
            </w:r>
          </w:p>
        </w:tc>
        <w:tc>
          <w:tcPr>
            <w:tcW w:w="2268" w:type="dxa"/>
            <w:tcBorders>
              <w:left w:val="nil"/>
              <w:right w:val="nil"/>
            </w:tcBorders>
            <w:vAlign w:val="center"/>
          </w:tcPr>
          <w:p w:rsidR="00A50F84" w:rsidRPr="00942766" w:rsidRDefault="00A50F84" w:rsidP="00080173">
            <w:pPr>
              <w:jc w:val="center"/>
              <w:rPr>
                <w:rFonts w:ascii="Calibri" w:eastAsia="Times New Roman" w:hAnsi="Calibri"/>
                <w:sz w:val="22"/>
                <w:szCs w:val="22"/>
              </w:rPr>
            </w:pPr>
            <w:r w:rsidRPr="00942766">
              <w:rPr>
                <w:rFonts w:ascii="Calibri" w:eastAsia="Times New Roman" w:hAnsi="Calibri"/>
                <w:sz w:val="22"/>
                <w:szCs w:val="22"/>
              </w:rPr>
              <w:t>(-5098.08 to 5194.06)</w:t>
            </w:r>
          </w:p>
        </w:tc>
        <w:tc>
          <w:tcPr>
            <w:tcW w:w="709" w:type="dxa"/>
            <w:tcBorders>
              <w:left w:val="nil"/>
              <w:right w:val="nil"/>
            </w:tcBorders>
            <w:vAlign w:val="center"/>
          </w:tcPr>
          <w:p w:rsidR="00A50F84" w:rsidRPr="00942766" w:rsidRDefault="00C92329" w:rsidP="00080173">
            <w:pPr>
              <w:jc w:val="center"/>
              <w:rPr>
                <w:rFonts w:ascii="Calibri" w:eastAsia="Times New Roman" w:hAnsi="Calibri"/>
                <w:sz w:val="22"/>
                <w:szCs w:val="22"/>
              </w:rPr>
            </w:pPr>
            <w:r w:rsidRPr="00942766">
              <w:rPr>
                <w:rFonts w:ascii="Calibri" w:eastAsia="Times New Roman" w:hAnsi="Calibri"/>
                <w:sz w:val="22"/>
                <w:szCs w:val="22"/>
              </w:rPr>
              <w:t>0.98</w:t>
            </w:r>
          </w:p>
        </w:tc>
      </w:tr>
      <w:tr w:rsidR="00BC3C05" w:rsidRPr="00942766" w:rsidTr="00080173">
        <w:trPr>
          <w:trHeight w:val="600"/>
        </w:trPr>
        <w:tc>
          <w:tcPr>
            <w:tcW w:w="2489" w:type="dxa"/>
            <w:tcBorders>
              <w:top w:val="nil"/>
              <w:left w:val="nil"/>
              <w:bottom w:val="nil"/>
              <w:right w:val="single" w:sz="8" w:space="0" w:color="auto"/>
            </w:tcBorders>
            <w:shd w:val="clear" w:color="auto" w:fill="auto"/>
            <w:vAlign w:val="center"/>
            <w:hideMark/>
          </w:tcPr>
          <w:p w:rsidR="00A50F84" w:rsidRPr="00942766" w:rsidRDefault="00A50F84" w:rsidP="002833D4">
            <w:pPr>
              <w:rPr>
                <w:rFonts w:ascii="Calibri" w:eastAsia="Times New Roman" w:hAnsi="Calibri"/>
                <w:b/>
                <w:iCs/>
                <w:sz w:val="22"/>
                <w:szCs w:val="22"/>
              </w:rPr>
            </w:pPr>
            <w:r w:rsidRPr="00942766">
              <w:rPr>
                <w:rFonts w:ascii="Calibri" w:eastAsia="Times New Roman" w:hAnsi="Calibri"/>
                <w:b/>
                <w:iCs/>
                <w:sz w:val="22"/>
                <w:szCs w:val="22"/>
              </w:rPr>
              <w:t xml:space="preserve">Receptive Language </w:t>
            </w:r>
            <w:r w:rsidR="00BC3C05" w:rsidRPr="00942766">
              <w:rPr>
                <w:rFonts w:ascii="Calibri" w:eastAsia="Times New Roman" w:hAnsi="Calibri"/>
                <w:b/>
                <w:iCs/>
                <w:sz w:val="22"/>
                <w:szCs w:val="22"/>
              </w:rPr>
              <w:t xml:space="preserve">      </w:t>
            </w:r>
            <w:r w:rsidRPr="00942766">
              <w:rPr>
                <w:rFonts w:ascii="Calibri" w:eastAsia="Times New Roman" w:hAnsi="Calibri"/>
                <w:b/>
                <w:iCs/>
                <w:sz w:val="22"/>
                <w:szCs w:val="22"/>
              </w:rPr>
              <w:t>z-score</w:t>
            </w:r>
          </w:p>
        </w:tc>
        <w:tc>
          <w:tcPr>
            <w:tcW w:w="1134" w:type="dxa"/>
            <w:tcBorders>
              <w:top w:val="nil"/>
              <w:left w:val="single" w:sz="8" w:space="0" w:color="auto"/>
              <w:bottom w:val="nil"/>
              <w:right w:val="nil"/>
            </w:tcBorders>
            <w:shd w:val="clear" w:color="auto" w:fill="auto"/>
            <w:noWrap/>
            <w:vAlign w:val="center"/>
            <w:hideMark/>
          </w:tcPr>
          <w:p w:rsidR="00A50F84" w:rsidRPr="00942766" w:rsidRDefault="00A50F84" w:rsidP="00080173">
            <w:pPr>
              <w:jc w:val="center"/>
              <w:rPr>
                <w:rFonts w:ascii="Calibri" w:eastAsia="Times New Roman" w:hAnsi="Calibri"/>
                <w:sz w:val="22"/>
                <w:szCs w:val="22"/>
              </w:rPr>
            </w:pPr>
            <w:r w:rsidRPr="00942766">
              <w:rPr>
                <w:rFonts w:ascii="Calibri" w:eastAsia="Times New Roman" w:hAnsi="Calibri"/>
                <w:sz w:val="22"/>
                <w:szCs w:val="22"/>
              </w:rPr>
              <w:t>-1,615.84</w:t>
            </w:r>
          </w:p>
        </w:tc>
        <w:tc>
          <w:tcPr>
            <w:tcW w:w="2126" w:type="dxa"/>
            <w:tcBorders>
              <w:top w:val="nil"/>
              <w:left w:val="nil"/>
              <w:bottom w:val="nil"/>
              <w:right w:val="nil"/>
            </w:tcBorders>
            <w:shd w:val="clear" w:color="auto" w:fill="auto"/>
            <w:noWrap/>
            <w:vAlign w:val="center"/>
            <w:hideMark/>
          </w:tcPr>
          <w:p w:rsidR="00A50F84" w:rsidRPr="00942766" w:rsidRDefault="00A50F84" w:rsidP="001237A2">
            <w:pPr>
              <w:jc w:val="center"/>
              <w:rPr>
                <w:rFonts w:ascii="Calibri" w:eastAsia="Times New Roman" w:hAnsi="Calibri"/>
                <w:sz w:val="22"/>
                <w:szCs w:val="22"/>
              </w:rPr>
            </w:pPr>
            <w:r w:rsidRPr="00942766">
              <w:rPr>
                <w:rFonts w:ascii="Calibri" w:eastAsia="Times New Roman" w:hAnsi="Calibri"/>
                <w:sz w:val="22"/>
                <w:szCs w:val="22"/>
              </w:rPr>
              <w:t>(-2389.3 to -842.4)</w:t>
            </w:r>
          </w:p>
        </w:tc>
        <w:tc>
          <w:tcPr>
            <w:tcW w:w="851" w:type="dxa"/>
            <w:tcBorders>
              <w:top w:val="nil"/>
              <w:left w:val="nil"/>
              <w:bottom w:val="nil"/>
              <w:right w:val="single" w:sz="4" w:space="0" w:color="auto"/>
            </w:tcBorders>
            <w:shd w:val="clear" w:color="auto" w:fill="auto"/>
            <w:noWrap/>
            <w:vAlign w:val="center"/>
            <w:hideMark/>
          </w:tcPr>
          <w:p w:rsidR="00A50F84" w:rsidRPr="00942766" w:rsidRDefault="00A50F84" w:rsidP="00080173">
            <w:pPr>
              <w:jc w:val="center"/>
              <w:rPr>
                <w:rFonts w:ascii="Calibri" w:eastAsia="Times New Roman" w:hAnsi="Calibri"/>
                <w:sz w:val="22"/>
                <w:szCs w:val="22"/>
              </w:rPr>
            </w:pPr>
            <w:r w:rsidRPr="00942766">
              <w:rPr>
                <w:rFonts w:ascii="Calibri" w:eastAsia="Times New Roman" w:hAnsi="Calibri"/>
                <w:sz w:val="22"/>
                <w:szCs w:val="22"/>
              </w:rPr>
              <w:t>&lt;.001</w:t>
            </w:r>
          </w:p>
        </w:tc>
        <w:tc>
          <w:tcPr>
            <w:tcW w:w="1134" w:type="dxa"/>
            <w:tcBorders>
              <w:top w:val="nil"/>
              <w:left w:val="single" w:sz="4" w:space="0" w:color="auto"/>
              <w:bottom w:val="nil"/>
              <w:right w:val="nil"/>
            </w:tcBorders>
            <w:shd w:val="clear" w:color="auto" w:fill="auto"/>
            <w:noWrap/>
            <w:vAlign w:val="center"/>
            <w:hideMark/>
          </w:tcPr>
          <w:p w:rsidR="00A50F84" w:rsidRPr="00942766" w:rsidRDefault="00A50F84" w:rsidP="00080173">
            <w:pPr>
              <w:jc w:val="center"/>
              <w:rPr>
                <w:rFonts w:ascii="Calibri" w:eastAsia="Times New Roman" w:hAnsi="Calibri"/>
                <w:sz w:val="22"/>
                <w:szCs w:val="22"/>
              </w:rPr>
            </w:pPr>
            <w:r w:rsidRPr="00942766">
              <w:rPr>
                <w:rFonts w:ascii="Calibri" w:eastAsia="Times New Roman" w:hAnsi="Calibri"/>
                <w:sz w:val="22"/>
                <w:szCs w:val="22"/>
              </w:rPr>
              <w:t>-</w:t>
            </w:r>
            <w:r w:rsidR="00C92329" w:rsidRPr="00942766">
              <w:rPr>
                <w:rFonts w:ascii="Calibri" w:eastAsia="Times New Roman" w:hAnsi="Calibri"/>
                <w:sz w:val="22"/>
                <w:szCs w:val="22"/>
              </w:rPr>
              <w:t>1011.33</w:t>
            </w:r>
          </w:p>
        </w:tc>
        <w:tc>
          <w:tcPr>
            <w:tcW w:w="2268" w:type="dxa"/>
            <w:tcBorders>
              <w:top w:val="nil"/>
              <w:left w:val="nil"/>
              <w:bottom w:val="nil"/>
              <w:right w:val="nil"/>
            </w:tcBorders>
            <w:shd w:val="clear" w:color="auto" w:fill="auto"/>
            <w:noWrap/>
            <w:vAlign w:val="center"/>
            <w:hideMark/>
          </w:tcPr>
          <w:p w:rsidR="00A50F84" w:rsidRPr="00942766" w:rsidRDefault="00A50F84" w:rsidP="001237A2">
            <w:pPr>
              <w:jc w:val="center"/>
              <w:rPr>
                <w:rFonts w:ascii="Calibri" w:eastAsia="Times New Roman" w:hAnsi="Calibri"/>
                <w:sz w:val="22"/>
                <w:szCs w:val="22"/>
              </w:rPr>
            </w:pPr>
            <w:r w:rsidRPr="00942766">
              <w:rPr>
                <w:rFonts w:ascii="Calibri" w:eastAsia="Times New Roman" w:hAnsi="Calibri"/>
                <w:sz w:val="22"/>
                <w:szCs w:val="22"/>
              </w:rPr>
              <w:t>(-</w:t>
            </w:r>
            <w:r w:rsidR="00C92329" w:rsidRPr="00942766">
              <w:rPr>
                <w:rFonts w:ascii="Calibri" w:eastAsia="Times New Roman" w:hAnsi="Calibri"/>
                <w:sz w:val="22"/>
                <w:szCs w:val="22"/>
              </w:rPr>
              <w:t>2086.17 to63.50</w:t>
            </w:r>
            <w:r w:rsidRPr="00942766">
              <w:rPr>
                <w:rFonts w:ascii="Calibri" w:eastAsia="Times New Roman" w:hAnsi="Calibri"/>
                <w:sz w:val="22"/>
                <w:szCs w:val="22"/>
              </w:rPr>
              <w:t>)</w:t>
            </w:r>
          </w:p>
        </w:tc>
        <w:tc>
          <w:tcPr>
            <w:tcW w:w="850" w:type="dxa"/>
            <w:tcBorders>
              <w:top w:val="nil"/>
              <w:left w:val="nil"/>
              <w:bottom w:val="nil"/>
              <w:right w:val="single" w:sz="4" w:space="0" w:color="auto"/>
            </w:tcBorders>
            <w:shd w:val="clear" w:color="auto" w:fill="auto"/>
            <w:noWrap/>
            <w:vAlign w:val="center"/>
            <w:hideMark/>
          </w:tcPr>
          <w:p w:rsidR="00A50F84" w:rsidRPr="00942766" w:rsidRDefault="00A50F84" w:rsidP="00080173">
            <w:pPr>
              <w:jc w:val="center"/>
              <w:rPr>
                <w:rFonts w:ascii="Calibri" w:eastAsia="Times New Roman" w:hAnsi="Calibri"/>
                <w:sz w:val="22"/>
                <w:szCs w:val="22"/>
              </w:rPr>
            </w:pPr>
            <w:r w:rsidRPr="00942766">
              <w:rPr>
                <w:rFonts w:ascii="Calibri" w:eastAsia="Times New Roman" w:hAnsi="Calibri"/>
                <w:sz w:val="22"/>
                <w:szCs w:val="22"/>
              </w:rPr>
              <w:t>0.</w:t>
            </w:r>
            <w:r w:rsidR="002A4563" w:rsidRPr="00942766">
              <w:rPr>
                <w:rFonts w:ascii="Calibri" w:eastAsia="Times New Roman" w:hAnsi="Calibri"/>
                <w:sz w:val="22"/>
                <w:szCs w:val="22"/>
              </w:rPr>
              <w:t>065</w:t>
            </w:r>
          </w:p>
        </w:tc>
        <w:tc>
          <w:tcPr>
            <w:tcW w:w="992" w:type="dxa"/>
            <w:tcBorders>
              <w:left w:val="single" w:sz="4" w:space="0" w:color="auto"/>
              <w:right w:val="nil"/>
            </w:tcBorders>
            <w:vAlign w:val="center"/>
          </w:tcPr>
          <w:p w:rsidR="00A50F84" w:rsidRPr="00942766" w:rsidRDefault="00C92329" w:rsidP="00080173">
            <w:pPr>
              <w:jc w:val="center"/>
              <w:rPr>
                <w:rFonts w:ascii="Calibri" w:eastAsia="Times New Roman" w:hAnsi="Calibri"/>
                <w:sz w:val="22"/>
                <w:szCs w:val="22"/>
              </w:rPr>
            </w:pPr>
            <w:r w:rsidRPr="00942766">
              <w:rPr>
                <w:rFonts w:ascii="Calibri" w:eastAsia="Times New Roman" w:hAnsi="Calibri"/>
                <w:sz w:val="22"/>
                <w:szCs w:val="22"/>
              </w:rPr>
              <w:t>-649.90</w:t>
            </w:r>
          </w:p>
        </w:tc>
        <w:tc>
          <w:tcPr>
            <w:tcW w:w="2268" w:type="dxa"/>
            <w:tcBorders>
              <w:left w:val="nil"/>
              <w:right w:val="nil"/>
            </w:tcBorders>
            <w:vAlign w:val="center"/>
          </w:tcPr>
          <w:p w:rsidR="00A50F84" w:rsidRPr="00942766" w:rsidRDefault="00C92329" w:rsidP="00080173">
            <w:pPr>
              <w:jc w:val="center"/>
              <w:rPr>
                <w:rFonts w:ascii="Calibri" w:eastAsia="Times New Roman" w:hAnsi="Calibri"/>
                <w:sz w:val="22"/>
                <w:szCs w:val="22"/>
              </w:rPr>
            </w:pPr>
            <w:r w:rsidRPr="00942766">
              <w:rPr>
                <w:rFonts w:ascii="Calibri" w:eastAsia="Times New Roman" w:hAnsi="Calibri"/>
                <w:sz w:val="22"/>
                <w:szCs w:val="22"/>
              </w:rPr>
              <w:t>(-1745.77 to 445.97)</w:t>
            </w:r>
          </w:p>
        </w:tc>
        <w:tc>
          <w:tcPr>
            <w:tcW w:w="709" w:type="dxa"/>
            <w:tcBorders>
              <w:left w:val="nil"/>
              <w:right w:val="nil"/>
            </w:tcBorders>
            <w:vAlign w:val="center"/>
          </w:tcPr>
          <w:p w:rsidR="00A50F84" w:rsidRPr="00942766" w:rsidRDefault="00C92329" w:rsidP="00080173">
            <w:pPr>
              <w:jc w:val="center"/>
              <w:rPr>
                <w:rFonts w:ascii="Calibri" w:eastAsia="Times New Roman" w:hAnsi="Calibri"/>
                <w:sz w:val="22"/>
                <w:szCs w:val="22"/>
              </w:rPr>
            </w:pPr>
            <w:r w:rsidRPr="00942766">
              <w:rPr>
                <w:rFonts w:ascii="Calibri" w:eastAsia="Times New Roman" w:hAnsi="Calibri"/>
                <w:sz w:val="22"/>
                <w:szCs w:val="22"/>
              </w:rPr>
              <w:t>0.24</w:t>
            </w:r>
          </w:p>
        </w:tc>
      </w:tr>
      <w:tr w:rsidR="00F6153B" w:rsidRPr="00942766" w:rsidTr="00F6153B">
        <w:trPr>
          <w:trHeight w:val="600"/>
        </w:trPr>
        <w:tc>
          <w:tcPr>
            <w:tcW w:w="2489" w:type="dxa"/>
            <w:tcBorders>
              <w:top w:val="nil"/>
              <w:left w:val="nil"/>
              <w:bottom w:val="nil"/>
              <w:right w:val="single" w:sz="8" w:space="0" w:color="auto"/>
            </w:tcBorders>
            <w:shd w:val="clear" w:color="auto" w:fill="auto"/>
            <w:vAlign w:val="center"/>
            <w:hideMark/>
          </w:tcPr>
          <w:p w:rsidR="00A50F84" w:rsidRPr="00942766" w:rsidRDefault="00A50F84" w:rsidP="002833D4">
            <w:pPr>
              <w:rPr>
                <w:rFonts w:ascii="Calibri" w:eastAsia="Times New Roman" w:hAnsi="Calibri"/>
                <w:b/>
                <w:iCs/>
                <w:sz w:val="22"/>
                <w:szCs w:val="22"/>
              </w:rPr>
            </w:pPr>
            <w:r w:rsidRPr="00942766">
              <w:rPr>
                <w:rFonts w:ascii="Calibri" w:eastAsia="Times New Roman" w:hAnsi="Calibri"/>
                <w:b/>
                <w:iCs/>
                <w:sz w:val="22"/>
                <w:szCs w:val="22"/>
              </w:rPr>
              <w:t xml:space="preserve">Reading </w:t>
            </w:r>
            <w:r w:rsidR="00BC3C05" w:rsidRPr="00942766">
              <w:rPr>
                <w:rFonts w:ascii="Calibri" w:eastAsia="Times New Roman" w:hAnsi="Calibri"/>
                <w:b/>
                <w:iCs/>
                <w:sz w:val="22"/>
                <w:szCs w:val="22"/>
              </w:rPr>
              <w:t>C</w:t>
            </w:r>
            <w:r w:rsidRPr="00942766">
              <w:rPr>
                <w:rFonts w:ascii="Calibri" w:eastAsia="Times New Roman" w:hAnsi="Calibri"/>
                <w:b/>
                <w:iCs/>
                <w:sz w:val="22"/>
                <w:szCs w:val="22"/>
              </w:rPr>
              <w:t>omprehension z-score</w:t>
            </w:r>
          </w:p>
        </w:tc>
        <w:tc>
          <w:tcPr>
            <w:tcW w:w="1134" w:type="dxa"/>
            <w:tcBorders>
              <w:top w:val="nil"/>
              <w:left w:val="single" w:sz="8" w:space="0" w:color="auto"/>
              <w:bottom w:val="nil"/>
              <w:right w:val="nil"/>
            </w:tcBorders>
            <w:shd w:val="clear" w:color="auto" w:fill="auto"/>
            <w:noWrap/>
            <w:vAlign w:val="center"/>
            <w:hideMark/>
          </w:tcPr>
          <w:p w:rsidR="00A50F84" w:rsidRPr="00942766" w:rsidRDefault="00A50F84" w:rsidP="00080173">
            <w:pPr>
              <w:jc w:val="center"/>
              <w:rPr>
                <w:rFonts w:ascii="Calibri" w:eastAsia="Times New Roman" w:hAnsi="Calibri"/>
                <w:sz w:val="22"/>
                <w:szCs w:val="22"/>
              </w:rPr>
            </w:pPr>
            <w:r w:rsidRPr="00942766">
              <w:rPr>
                <w:rFonts w:ascii="Calibri" w:eastAsia="Times New Roman" w:hAnsi="Calibri"/>
                <w:sz w:val="22"/>
                <w:szCs w:val="22"/>
              </w:rPr>
              <w:t>-1,886.94</w:t>
            </w:r>
          </w:p>
        </w:tc>
        <w:tc>
          <w:tcPr>
            <w:tcW w:w="2126" w:type="dxa"/>
            <w:tcBorders>
              <w:top w:val="nil"/>
              <w:left w:val="nil"/>
              <w:bottom w:val="nil"/>
              <w:right w:val="nil"/>
            </w:tcBorders>
            <w:shd w:val="clear" w:color="auto" w:fill="auto"/>
            <w:vAlign w:val="center"/>
            <w:hideMark/>
          </w:tcPr>
          <w:p w:rsidR="00A50F84" w:rsidRPr="00942766" w:rsidRDefault="00A50F84" w:rsidP="001237A2">
            <w:pPr>
              <w:jc w:val="center"/>
              <w:rPr>
                <w:rFonts w:ascii="Calibri" w:eastAsia="Times New Roman" w:hAnsi="Calibri"/>
                <w:sz w:val="22"/>
                <w:szCs w:val="22"/>
              </w:rPr>
            </w:pPr>
            <w:r w:rsidRPr="00942766">
              <w:rPr>
                <w:rFonts w:ascii="Calibri" w:eastAsia="Times New Roman" w:hAnsi="Calibri"/>
                <w:sz w:val="22"/>
                <w:szCs w:val="22"/>
              </w:rPr>
              <w:t>(-3797.4 to 23.5)</w:t>
            </w:r>
          </w:p>
        </w:tc>
        <w:tc>
          <w:tcPr>
            <w:tcW w:w="851" w:type="dxa"/>
            <w:tcBorders>
              <w:top w:val="nil"/>
              <w:left w:val="nil"/>
              <w:bottom w:val="nil"/>
              <w:right w:val="single" w:sz="4" w:space="0" w:color="auto"/>
            </w:tcBorders>
            <w:shd w:val="clear" w:color="auto" w:fill="auto"/>
            <w:noWrap/>
            <w:vAlign w:val="center"/>
            <w:hideMark/>
          </w:tcPr>
          <w:p w:rsidR="00A50F84" w:rsidRPr="00942766" w:rsidRDefault="00A50F84" w:rsidP="00080173">
            <w:pPr>
              <w:jc w:val="center"/>
              <w:rPr>
                <w:rFonts w:ascii="Calibri" w:eastAsia="Times New Roman" w:hAnsi="Calibri"/>
                <w:sz w:val="22"/>
                <w:szCs w:val="22"/>
              </w:rPr>
            </w:pPr>
            <w:r w:rsidRPr="00942766">
              <w:rPr>
                <w:rFonts w:ascii="Calibri" w:eastAsia="Times New Roman" w:hAnsi="Calibri"/>
                <w:sz w:val="22"/>
                <w:szCs w:val="22"/>
              </w:rPr>
              <w:t>0.05</w:t>
            </w:r>
          </w:p>
        </w:tc>
        <w:tc>
          <w:tcPr>
            <w:tcW w:w="1134" w:type="dxa"/>
            <w:tcBorders>
              <w:top w:val="nil"/>
              <w:left w:val="single" w:sz="4" w:space="0" w:color="auto"/>
              <w:bottom w:val="nil"/>
              <w:right w:val="nil"/>
            </w:tcBorders>
            <w:shd w:val="clear" w:color="auto" w:fill="auto"/>
            <w:noWrap/>
            <w:vAlign w:val="center"/>
            <w:hideMark/>
          </w:tcPr>
          <w:p w:rsidR="00A50F84" w:rsidRPr="00942766" w:rsidRDefault="00A50F84" w:rsidP="00080173">
            <w:pPr>
              <w:jc w:val="center"/>
              <w:rPr>
                <w:rFonts w:ascii="Calibri" w:eastAsia="Times New Roman" w:hAnsi="Calibri"/>
                <w:sz w:val="22"/>
                <w:szCs w:val="22"/>
              </w:rPr>
            </w:pPr>
            <w:r w:rsidRPr="00942766">
              <w:rPr>
                <w:rFonts w:ascii="Calibri" w:eastAsia="Times New Roman" w:hAnsi="Calibri"/>
                <w:sz w:val="22"/>
                <w:szCs w:val="22"/>
              </w:rPr>
              <w:t>-</w:t>
            </w:r>
            <w:r w:rsidR="00C92329" w:rsidRPr="00942766">
              <w:rPr>
                <w:rFonts w:ascii="Calibri" w:eastAsia="Times New Roman" w:hAnsi="Calibri"/>
                <w:sz w:val="22"/>
                <w:szCs w:val="22"/>
              </w:rPr>
              <w:t>669.91</w:t>
            </w:r>
          </w:p>
        </w:tc>
        <w:tc>
          <w:tcPr>
            <w:tcW w:w="2268" w:type="dxa"/>
            <w:tcBorders>
              <w:top w:val="nil"/>
              <w:left w:val="nil"/>
              <w:bottom w:val="nil"/>
              <w:right w:val="nil"/>
            </w:tcBorders>
            <w:shd w:val="clear" w:color="auto" w:fill="auto"/>
            <w:vAlign w:val="center"/>
            <w:hideMark/>
          </w:tcPr>
          <w:p w:rsidR="00A50F84" w:rsidRPr="00942766" w:rsidRDefault="00A50F84" w:rsidP="001237A2">
            <w:pPr>
              <w:jc w:val="center"/>
              <w:rPr>
                <w:rFonts w:ascii="Calibri" w:eastAsia="Times New Roman" w:hAnsi="Calibri"/>
                <w:sz w:val="22"/>
                <w:szCs w:val="22"/>
              </w:rPr>
            </w:pPr>
            <w:r w:rsidRPr="00942766">
              <w:rPr>
                <w:rFonts w:ascii="Calibri" w:eastAsia="Times New Roman" w:hAnsi="Calibri"/>
                <w:sz w:val="22"/>
                <w:szCs w:val="22"/>
              </w:rPr>
              <w:t>(-</w:t>
            </w:r>
            <w:r w:rsidR="00C92329" w:rsidRPr="00942766">
              <w:rPr>
                <w:rFonts w:ascii="Calibri" w:eastAsia="Times New Roman" w:hAnsi="Calibri"/>
                <w:sz w:val="22"/>
                <w:szCs w:val="22"/>
              </w:rPr>
              <w:t>2516.30 to1176.48</w:t>
            </w:r>
            <w:r w:rsidRPr="00942766">
              <w:rPr>
                <w:rFonts w:ascii="Calibri" w:eastAsia="Times New Roman" w:hAnsi="Calibri"/>
                <w:sz w:val="22"/>
                <w:szCs w:val="22"/>
              </w:rPr>
              <w:t>)</w:t>
            </w:r>
          </w:p>
        </w:tc>
        <w:tc>
          <w:tcPr>
            <w:tcW w:w="850" w:type="dxa"/>
            <w:tcBorders>
              <w:top w:val="nil"/>
              <w:left w:val="nil"/>
              <w:bottom w:val="nil"/>
              <w:right w:val="single" w:sz="4" w:space="0" w:color="auto"/>
            </w:tcBorders>
            <w:shd w:val="clear" w:color="auto" w:fill="auto"/>
            <w:noWrap/>
            <w:vAlign w:val="center"/>
            <w:hideMark/>
          </w:tcPr>
          <w:p w:rsidR="00A50F84" w:rsidRPr="00942766" w:rsidRDefault="00A50F84" w:rsidP="00080173">
            <w:pPr>
              <w:jc w:val="center"/>
              <w:rPr>
                <w:rFonts w:ascii="Calibri" w:eastAsia="Times New Roman" w:hAnsi="Calibri"/>
                <w:sz w:val="22"/>
                <w:szCs w:val="22"/>
              </w:rPr>
            </w:pPr>
            <w:r w:rsidRPr="00942766">
              <w:rPr>
                <w:rFonts w:ascii="Calibri" w:eastAsia="Times New Roman" w:hAnsi="Calibri"/>
                <w:sz w:val="22"/>
                <w:szCs w:val="22"/>
              </w:rPr>
              <w:t>0.</w:t>
            </w:r>
            <w:r w:rsidR="00C92329" w:rsidRPr="00942766">
              <w:rPr>
                <w:rFonts w:ascii="Calibri" w:eastAsia="Times New Roman" w:hAnsi="Calibri"/>
                <w:sz w:val="22"/>
                <w:szCs w:val="22"/>
              </w:rPr>
              <w:t>47</w:t>
            </w:r>
          </w:p>
        </w:tc>
        <w:tc>
          <w:tcPr>
            <w:tcW w:w="992" w:type="dxa"/>
            <w:tcBorders>
              <w:left w:val="single" w:sz="4" w:space="0" w:color="auto"/>
              <w:right w:val="nil"/>
            </w:tcBorders>
            <w:vAlign w:val="center"/>
          </w:tcPr>
          <w:p w:rsidR="00A50F84" w:rsidRPr="00942766" w:rsidRDefault="00C92329" w:rsidP="00080173">
            <w:pPr>
              <w:jc w:val="center"/>
              <w:rPr>
                <w:rFonts w:ascii="Calibri" w:eastAsia="Times New Roman" w:hAnsi="Calibri"/>
                <w:sz w:val="22"/>
                <w:szCs w:val="22"/>
              </w:rPr>
            </w:pPr>
            <w:r w:rsidRPr="00942766">
              <w:rPr>
                <w:rFonts w:ascii="Calibri" w:eastAsia="Times New Roman" w:hAnsi="Calibri"/>
                <w:sz w:val="22"/>
                <w:szCs w:val="22"/>
              </w:rPr>
              <w:t>-328.15</w:t>
            </w:r>
          </w:p>
        </w:tc>
        <w:tc>
          <w:tcPr>
            <w:tcW w:w="2268" w:type="dxa"/>
            <w:tcBorders>
              <w:left w:val="nil"/>
              <w:right w:val="nil"/>
            </w:tcBorders>
            <w:vAlign w:val="center"/>
          </w:tcPr>
          <w:p w:rsidR="00A50F84" w:rsidRPr="00942766" w:rsidRDefault="00C92329" w:rsidP="00080173">
            <w:pPr>
              <w:jc w:val="center"/>
              <w:rPr>
                <w:rFonts w:ascii="Calibri" w:eastAsia="Times New Roman" w:hAnsi="Calibri"/>
                <w:sz w:val="22"/>
                <w:szCs w:val="22"/>
              </w:rPr>
            </w:pPr>
            <w:r w:rsidRPr="00942766">
              <w:rPr>
                <w:rFonts w:ascii="Calibri" w:eastAsia="Times New Roman" w:hAnsi="Calibri"/>
                <w:sz w:val="22"/>
                <w:szCs w:val="22"/>
              </w:rPr>
              <w:t>(-2478.69 to 1822.39)</w:t>
            </w:r>
          </w:p>
        </w:tc>
        <w:tc>
          <w:tcPr>
            <w:tcW w:w="709" w:type="dxa"/>
            <w:tcBorders>
              <w:left w:val="nil"/>
              <w:right w:val="nil"/>
            </w:tcBorders>
            <w:vAlign w:val="center"/>
          </w:tcPr>
          <w:p w:rsidR="00A50F84" w:rsidRPr="00942766" w:rsidRDefault="00C92329" w:rsidP="00080173">
            <w:pPr>
              <w:jc w:val="center"/>
              <w:rPr>
                <w:rFonts w:ascii="Calibri" w:eastAsia="Times New Roman" w:hAnsi="Calibri"/>
                <w:sz w:val="22"/>
                <w:szCs w:val="22"/>
              </w:rPr>
            </w:pPr>
            <w:r w:rsidRPr="00942766">
              <w:rPr>
                <w:rFonts w:ascii="Calibri" w:eastAsia="Times New Roman" w:hAnsi="Calibri"/>
                <w:sz w:val="22"/>
                <w:szCs w:val="22"/>
              </w:rPr>
              <w:t>0.76</w:t>
            </w:r>
          </w:p>
        </w:tc>
      </w:tr>
    </w:tbl>
    <w:p w:rsidR="00266EC1" w:rsidRPr="00942766" w:rsidRDefault="00266EC1" w:rsidP="00335472">
      <w:pPr>
        <w:rPr>
          <w:rFonts w:ascii="Calibri" w:eastAsia="Times New Roman" w:hAnsi="Calibri"/>
          <w:sz w:val="18"/>
          <w:szCs w:val="18"/>
        </w:rPr>
      </w:pPr>
    </w:p>
    <w:p w:rsidR="00335472" w:rsidRPr="00080173" w:rsidRDefault="00266EC1" w:rsidP="00335472">
      <w:pPr>
        <w:rPr>
          <w:sz w:val="20"/>
          <w:szCs w:val="20"/>
        </w:rPr>
      </w:pPr>
      <w:r w:rsidRPr="00942766">
        <w:rPr>
          <w:rFonts w:ascii="Calibri" w:eastAsia="Times New Roman" w:hAnsi="Calibri"/>
          <w:sz w:val="20"/>
          <w:szCs w:val="20"/>
        </w:rPr>
        <w:t xml:space="preserve">PCHL=bilateral permanent childhood hearing loss </w:t>
      </w:r>
      <w:r w:rsidRPr="00942766">
        <w:rPr>
          <w:rFonts w:ascii="Calibri" w:eastAsia="Times New Roman" w:hAnsi="Calibri"/>
          <w:sz w:val="20"/>
          <w:szCs w:val="20"/>
          <w:u w:val="single"/>
        </w:rPr>
        <w:t>&gt;</w:t>
      </w:r>
      <w:r w:rsidRPr="00942766">
        <w:rPr>
          <w:rFonts w:ascii="Calibri" w:eastAsia="Times New Roman" w:hAnsi="Calibri"/>
          <w:sz w:val="20"/>
          <w:szCs w:val="20"/>
        </w:rPr>
        <w:t xml:space="preserve">40 dB HL; Coef.=Coefficient; </w:t>
      </w:r>
      <w:r w:rsidR="00335472" w:rsidRPr="00942766">
        <w:rPr>
          <w:rFonts w:ascii="Calibri" w:eastAsia="Times New Roman" w:hAnsi="Calibri"/>
          <w:sz w:val="20"/>
          <w:szCs w:val="20"/>
        </w:rPr>
        <w:t>UNHS=Universal newborn hearing screening</w:t>
      </w:r>
      <w:r w:rsidRPr="00942766">
        <w:rPr>
          <w:rFonts w:ascii="Calibri" w:eastAsia="Times New Roman" w:hAnsi="Calibri"/>
          <w:sz w:val="20"/>
          <w:szCs w:val="20"/>
        </w:rPr>
        <w:t>.</w:t>
      </w:r>
      <w:bookmarkStart w:id="4" w:name="_GoBack"/>
      <w:bookmarkEnd w:id="4"/>
      <w:r w:rsidR="00335472" w:rsidRPr="00080173">
        <w:rPr>
          <w:rFonts w:ascii="Calibri" w:eastAsia="Times New Roman" w:hAnsi="Calibri"/>
          <w:sz w:val="20"/>
          <w:szCs w:val="20"/>
        </w:rPr>
        <w:t xml:space="preserve"> </w:t>
      </w:r>
    </w:p>
    <w:p w:rsidR="00335472" w:rsidRDefault="00335472" w:rsidP="00335472"/>
    <w:p w:rsidR="004E273D" w:rsidRPr="004E273D" w:rsidRDefault="004E273D" w:rsidP="004E273D">
      <w:pPr>
        <w:spacing w:line="480" w:lineRule="auto"/>
        <w:rPr>
          <w:rFonts w:ascii="Cambria" w:hAnsi="Cambria"/>
        </w:rPr>
      </w:pPr>
    </w:p>
    <w:p w:rsidR="004E273D" w:rsidRPr="004E273D" w:rsidRDefault="004E273D" w:rsidP="004E273D">
      <w:pPr>
        <w:spacing w:line="480" w:lineRule="auto"/>
        <w:rPr>
          <w:rFonts w:ascii="Cambria" w:hAnsi="Cambria"/>
        </w:rPr>
      </w:pPr>
    </w:p>
    <w:p w:rsidR="004E273D" w:rsidRPr="004E273D" w:rsidRDefault="004E273D" w:rsidP="004E273D">
      <w:pPr>
        <w:spacing w:line="480" w:lineRule="auto"/>
        <w:rPr>
          <w:rFonts w:ascii="Cambria" w:hAnsi="Cambria"/>
        </w:rPr>
      </w:pPr>
    </w:p>
    <w:sectPr w:rsidR="004E273D" w:rsidRPr="004E273D" w:rsidSect="00080173">
      <w:headerReference w:type="default" r:id="rId11"/>
      <w:footerReference w:type="default" r:id="rId12"/>
      <w:pgSz w:w="16838" w:h="11906" w:orient="landscape"/>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FCBF4C" w16cid:durableId="1DD1622B"/>
  <w16cid:commentId w16cid:paraId="20D4E9FC" w16cid:durableId="1DD1622C"/>
  <w16cid:commentId w16cid:paraId="0C96FDE5" w16cid:durableId="1DD1622D"/>
  <w16cid:commentId w16cid:paraId="2746285C" w16cid:durableId="1DD1622E"/>
  <w16cid:commentId w16cid:paraId="2DB58C9B" w16cid:durableId="1DD1622F"/>
  <w16cid:commentId w16cid:paraId="7F81EA65" w16cid:durableId="1DD16DEE"/>
  <w16cid:commentId w16cid:paraId="2E93D8E9" w16cid:durableId="1DD16E7A"/>
  <w16cid:commentId w16cid:paraId="6C9325D7" w16cid:durableId="1DD16F3F"/>
  <w16cid:commentId w16cid:paraId="04FA512C" w16cid:durableId="1DD16230"/>
  <w16cid:commentId w16cid:paraId="1CB8EDFA" w16cid:durableId="1DD16231"/>
  <w16cid:commentId w16cid:paraId="46779DB9" w16cid:durableId="1DD170F6"/>
  <w16cid:commentId w16cid:paraId="3BA18D67" w16cid:durableId="1DD16232"/>
  <w16cid:commentId w16cid:paraId="63986004" w16cid:durableId="1DD16233"/>
  <w16cid:commentId w16cid:paraId="54346A57" w16cid:durableId="1DD17BF7"/>
  <w16cid:commentId w16cid:paraId="10A28C95" w16cid:durableId="1DD16234"/>
  <w16cid:commentId w16cid:paraId="623AFEEA" w16cid:durableId="1DD16235"/>
  <w16cid:commentId w16cid:paraId="59790B3F" w16cid:durableId="1DD17763"/>
  <w16cid:commentId w16cid:paraId="53B0A75F" w16cid:durableId="1DD1767C"/>
  <w16cid:commentId w16cid:paraId="24BA3EC6" w16cid:durableId="1DD17809"/>
  <w16cid:commentId w16cid:paraId="0E07E768" w16cid:durableId="1DD17E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766" w:rsidRDefault="00942766">
      <w:r>
        <w:separator/>
      </w:r>
    </w:p>
  </w:endnote>
  <w:endnote w:type="continuationSeparator" w:id="0">
    <w:p w:rsidR="00942766" w:rsidRDefault="00942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Body)">
    <w:altName w:val="Times New Roman"/>
    <w:charset w:val="00"/>
    <w:family w:val="auto"/>
    <w:pitch w:val="variable"/>
    <w:sig w:usb0="00000001"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908706"/>
      <w:docPartObj>
        <w:docPartGallery w:val="Page Numbers (Bottom of Page)"/>
        <w:docPartUnique/>
      </w:docPartObj>
    </w:sdtPr>
    <w:sdtEndPr>
      <w:rPr>
        <w:noProof/>
      </w:rPr>
    </w:sdtEndPr>
    <w:sdtContent>
      <w:p w:rsidR="00437B31" w:rsidRDefault="00437B31">
        <w:pPr>
          <w:pStyle w:val="Footer"/>
          <w:jc w:val="right"/>
        </w:pPr>
        <w:r>
          <w:fldChar w:fldCharType="begin"/>
        </w:r>
        <w:r>
          <w:instrText xml:space="preserve"> PAGE   \* MERGEFORMAT </w:instrText>
        </w:r>
        <w:r>
          <w:fldChar w:fldCharType="separate"/>
        </w:r>
        <w:r w:rsidR="00942766">
          <w:rPr>
            <w:noProof/>
          </w:rPr>
          <w:t>3</w:t>
        </w:r>
        <w:r>
          <w:rPr>
            <w:noProof/>
          </w:rPr>
          <w:fldChar w:fldCharType="end"/>
        </w:r>
      </w:p>
    </w:sdtContent>
  </w:sdt>
  <w:p w:rsidR="00437B31" w:rsidRDefault="00437B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3798885"/>
      <w:docPartObj>
        <w:docPartGallery w:val="Page Numbers (Bottom of Page)"/>
        <w:docPartUnique/>
      </w:docPartObj>
    </w:sdtPr>
    <w:sdtEndPr>
      <w:rPr>
        <w:noProof/>
      </w:rPr>
    </w:sdtEndPr>
    <w:sdtContent>
      <w:p w:rsidR="00437B31" w:rsidRDefault="00437B31">
        <w:pPr>
          <w:pStyle w:val="Footer"/>
          <w:jc w:val="right"/>
        </w:pPr>
        <w:r>
          <w:fldChar w:fldCharType="begin"/>
        </w:r>
        <w:r>
          <w:instrText xml:space="preserve"> PAGE   \* MERGEFORMAT </w:instrText>
        </w:r>
        <w:r>
          <w:fldChar w:fldCharType="separate"/>
        </w:r>
        <w:r w:rsidR="00942766">
          <w:rPr>
            <w:noProof/>
          </w:rPr>
          <w:t>30</w:t>
        </w:r>
        <w:r>
          <w:rPr>
            <w:noProof/>
          </w:rPr>
          <w:fldChar w:fldCharType="end"/>
        </w:r>
      </w:p>
    </w:sdtContent>
  </w:sdt>
  <w:p w:rsidR="00437B31" w:rsidRDefault="00437B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766" w:rsidRDefault="00942766">
      <w:r>
        <w:separator/>
      </w:r>
    </w:p>
  </w:footnote>
  <w:footnote w:type="continuationSeparator" w:id="0">
    <w:p w:rsidR="00942766" w:rsidRDefault="009427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B31" w:rsidRDefault="00437B31" w:rsidP="00CA204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A749F"/>
    <w:multiLevelType w:val="singleLevel"/>
    <w:tmpl w:val="BC42DB4C"/>
    <w:lvl w:ilvl="0">
      <w:start w:val="1"/>
      <w:numFmt w:val="decimal"/>
      <w:lvlText w:val="%1."/>
      <w:lvlJc w:val="left"/>
      <w:pPr>
        <w:tabs>
          <w:tab w:val="num" w:pos="360"/>
        </w:tabs>
        <w:ind w:left="360" w:hanging="360"/>
      </w:pPr>
      <w:rPr>
        <w:rFonts w:ascii="Times New Roman" w:hAnsi="Times New Roman" w:cs="Times New Roman" w:hint="default"/>
        <w:b w:val="0"/>
      </w:rPr>
    </w:lvl>
  </w:abstractNum>
  <w:abstractNum w:abstractNumId="1" w15:restartNumberingAfterBreak="0">
    <w:nsid w:val="12126037"/>
    <w:multiLevelType w:val="hybridMultilevel"/>
    <w:tmpl w:val="E484483A"/>
    <w:lvl w:ilvl="0" w:tplc="04090001">
      <w:start w:val="1"/>
      <w:numFmt w:val="bullet"/>
      <w:lvlText w:val=""/>
      <w:lvlJc w:val="left"/>
      <w:pPr>
        <w:ind w:left="5764" w:hanging="360"/>
      </w:pPr>
      <w:rPr>
        <w:rFonts w:ascii="Symbol" w:hAnsi="Symbol" w:hint="default"/>
      </w:rPr>
    </w:lvl>
    <w:lvl w:ilvl="1" w:tplc="04090003" w:tentative="1">
      <w:start w:val="1"/>
      <w:numFmt w:val="bullet"/>
      <w:lvlText w:val="o"/>
      <w:lvlJc w:val="left"/>
      <w:pPr>
        <w:ind w:left="6484" w:hanging="360"/>
      </w:pPr>
      <w:rPr>
        <w:rFonts w:ascii="Courier New" w:hAnsi="Courier New" w:hint="default"/>
      </w:rPr>
    </w:lvl>
    <w:lvl w:ilvl="2" w:tplc="04090005" w:tentative="1">
      <w:start w:val="1"/>
      <w:numFmt w:val="bullet"/>
      <w:lvlText w:val=""/>
      <w:lvlJc w:val="left"/>
      <w:pPr>
        <w:ind w:left="7204" w:hanging="360"/>
      </w:pPr>
      <w:rPr>
        <w:rFonts w:ascii="Wingdings" w:hAnsi="Wingdings" w:hint="default"/>
      </w:rPr>
    </w:lvl>
    <w:lvl w:ilvl="3" w:tplc="04090001" w:tentative="1">
      <w:start w:val="1"/>
      <w:numFmt w:val="bullet"/>
      <w:lvlText w:val=""/>
      <w:lvlJc w:val="left"/>
      <w:pPr>
        <w:ind w:left="7924" w:hanging="360"/>
      </w:pPr>
      <w:rPr>
        <w:rFonts w:ascii="Symbol" w:hAnsi="Symbol" w:hint="default"/>
      </w:rPr>
    </w:lvl>
    <w:lvl w:ilvl="4" w:tplc="04090003" w:tentative="1">
      <w:start w:val="1"/>
      <w:numFmt w:val="bullet"/>
      <w:lvlText w:val="o"/>
      <w:lvlJc w:val="left"/>
      <w:pPr>
        <w:ind w:left="8644" w:hanging="360"/>
      </w:pPr>
      <w:rPr>
        <w:rFonts w:ascii="Courier New" w:hAnsi="Courier New" w:hint="default"/>
      </w:rPr>
    </w:lvl>
    <w:lvl w:ilvl="5" w:tplc="04090005" w:tentative="1">
      <w:start w:val="1"/>
      <w:numFmt w:val="bullet"/>
      <w:lvlText w:val=""/>
      <w:lvlJc w:val="left"/>
      <w:pPr>
        <w:ind w:left="9364" w:hanging="360"/>
      </w:pPr>
      <w:rPr>
        <w:rFonts w:ascii="Wingdings" w:hAnsi="Wingdings" w:hint="default"/>
      </w:rPr>
    </w:lvl>
    <w:lvl w:ilvl="6" w:tplc="04090001" w:tentative="1">
      <w:start w:val="1"/>
      <w:numFmt w:val="bullet"/>
      <w:lvlText w:val=""/>
      <w:lvlJc w:val="left"/>
      <w:pPr>
        <w:ind w:left="10084" w:hanging="360"/>
      </w:pPr>
      <w:rPr>
        <w:rFonts w:ascii="Symbol" w:hAnsi="Symbol" w:hint="default"/>
      </w:rPr>
    </w:lvl>
    <w:lvl w:ilvl="7" w:tplc="04090003" w:tentative="1">
      <w:start w:val="1"/>
      <w:numFmt w:val="bullet"/>
      <w:lvlText w:val="o"/>
      <w:lvlJc w:val="left"/>
      <w:pPr>
        <w:ind w:left="10804" w:hanging="360"/>
      </w:pPr>
      <w:rPr>
        <w:rFonts w:ascii="Courier New" w:hAnsi="Courier New" w:hint="default"/>
      </w:rPr>
    </w:lvl>
    <w:lvl w:ilvl="8" w:tplc="04090005" w:tentative="1">
      <w:start w:val="1"/>
      <w:numFmt w:val="bullet"/>
      <w:lvlText w:val=""/>
      <w:lvlJc w:val="left"/>
      <w:pPr>
        <w:ind w:left="11524" w:hanging="360"/>
      </w:pPr>
      <w:rPr>
        <w:rFonts w:ascii="Wingdings" w:hAnsi="Wingdings" w:hint="default"/>
      </w:rPr>
    </w:lvl>
  </w:abstractNum>
  <w:abstractNum w:abstractNumId="2" w15:restartNumberingAfterBreak="0">
    <w:nsid w:val="16F8686A"/>
    <w:multiLevelType w:val="hybridMultilevel"/>
    <w:tmpl w:val="4F062D84"/>
    <w:lvl w:ilvl="0" w:tplc="C502555E">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1FC0332F"/>
    <w:multiLevelType w:val="hybridMultilevel"/>
    <w:tmpl w:val="9260DCF2"/>
    <w:lvl w:ilvl="0" w:tplc="04090001">
      <w:start w:val="1"/>
      <w:numFmt w:val="bullet"/>
      <w:lvlText w:val=""/>
      <w:lvlJc w:val="left"/>
      <w:pPr>
        <w:ind w:left="5764" w:hanging="360"/>
      </w:pPr>
      <w:rPr>
        <w:rFonts w:ascii="Symbol" w:hAnsi="Symbol" w:hint="default"/>
      </w:rPr>
    </w:lvl>
    <w:lvl w:ilvl="1" w:tplc="04090003" w:tentative="1">
      <w:start w:val="1"/>
      <w:numFmt w:val="bullet"/>
      <w:lvlText w:val="o"/>
      <w:lvlJc w:val="left"/>
      <w:pPr>
        <w:ind w:left="6484" w:hanging="360"/>
      </w:pPr>
      <w:rPr>
        <w:rFonts w:ascii="Courier New" w:hAnsi="Courier New" w:hint="default"/>
      </w:rPr>
    </w:lvl>
    <w:lvl w:ilvl="2" w:tplc="04090005" w:tentative="1">
      <w:start w:val="1"/>
      <w:numFmt w:val="bullet"/>
      <w:lvlText w:val=""/>
      <w:lvlJc w:val="left"/>
      <w:pPr>
        <w:ind w:left="7204" w:hanging="360"/>
      </w:pPr>
      <w:rPr>
        <w:rFonts w:ascii="Wingdings" w:hAnsi="Wingdings" w:hint="default"/>
      </w:rPr>
    </w:lvl>
    <w:lvl w:ilvl="3" w:tplc="04090001" w:tentative="1">
      <w:start w:val="1"/>
      <w:numFmt w:val="bullet"/>
      <w:lvlText w:val=""/>
      <w:lvlJc w:val="left"/>
      <w:pPr>
        <w:ind w:left="7924" w:hanging="360"/>
      </w:pPr>
      <w:rPr>
        <w:rFonts w:ascii="Symbol" w:hAnsi="Symbol" w:hint="default"/>
      </w:rPr>
    </w:lvl>
    <w:lvl w:ilvl="4" w:tplc="04090003" w:tentative="1">
      <w:start w:val="1"/>
      <w:numFmt w:val="bullet"/>
      <w:lvlText w:val="o"/>
      <w:lvlJc w:val="left"/>
      <w:pPr>
        <w:ind w:left="8644" w:hanging="360"/>
      </w:pPr>
      <w:rPr>
        <w:rFonts w:ascii="Courier New" w:hAnsi="Courier New" w:hint="default"/>
      </w:rPr>
    </w:lvl>
    <w:lvl w:ilvl="5" w:tplc="04090005" w:tentative="1">
      <w:start w:val="1"/>
      <w:numFmt w:val="bullet"/>
      <w:lvlText w:val=""/>
      <w:lvlJc w:val="left"/>
      <w:pPr>
        <w:ind w:left="9364" w:hanging="360"/>
      </w:pPr>
      <w:rPr>
        <w:rFonts w:ascii="Wingdings" w:hAnsi="Wingdings" w:hint="default"/>
      </w:rPr>
    </w:lvl>
    <w:lvl w:ilvl="6" w:tplc="04090001" w:tentative="1">
      <w:start w:val="1"/>
      <w:numFmt w:val="bullet"/>
      <w:lvlText w:val=""/>
      <w:lvlJc w:val="left"/>
      <w:pPr>
        <w:ind w:left="10084" w:hanging="360"/>
      </w:pPr>
      <w:rPr>
        <w:rFonts w:ascii="Symbol" w:hAnsi="Symbol" w:hint="default"/>
      </w:rPr>
    </w:lvl>
    <w:lvl w:ilvl="7" w:tplc="04090003" w:tentative="1">
      <w:start w:val="1"/>
      <w:numFmt w:val="bullet"/>
      <w:lvlText w:val="o"/>
      <w:lvlJc w:val="left"/>
      <w:pPr>
        <w:ind w:left="10804" w:hanging="360"/>
      </w:pPr>
      <w:rPr>
        <w:rFonts w:ascii="Courier New" w:hAnsi="Courier New" w:hint="default"/>
      </w:rPr>
    </w:lvl>
    <w:lvl w:ilvl="8" w:tplc="04090005" w:tentative="1">
      <w:start w:val="1"/>
      <w:numFmt w:val="bullet"/>
      <w:lvlText w:val=""/>
      <w:lvlJc w:val="left"/>
      <w:pPr>
        <w:ind w:left="11524" w:hanging="360"/>
      </w:pPr>
      <w:rPr>
        <w:rFonts w:ascii="Wingdings" w:hAnsi="Wingdings" w:hint="default"/>
      </w:rPr>
    </w:lvl>
  </w:abstractNum>
  <w:abstractNum w:abstractNumId="4" w15:restartNumberingAfterBreak="0">
    <w:nsid w:val="28E167B8"/>
    <w:multiLevelType w:val="hybridMultilevel"/>
    <w:tmpl w:val="76C27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3D1E1D"/>
    <w:multiLevelType w:val="hybridMultilevel"/>
    <w:tmpl w:val="D2385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3E2B34"/>
    <w:multiLevelType w:val="hybridMultilevel"/>
    <w:tmpl w:val="9BD8315E"/>
    <w:lvl w:ilvl="0" w:tplc="17A46B08">
      <w:numFmt w:val="bullet"/>
      <w:lvlText w:val="-"/>
      <w:lvlJc w:val="left"/>
      <w:pPr>
        <w:ind w:left="720" w:hanging="360"/>
      </w:pPr>
      <w:rPr>
        <w:rFonts w:ascii="Calibri" w:eastAsiaTheme="minorEastAsia"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6B5B4A"/>
    <w:multiLevelType w:val="hybridMultilevel"/>
    <w:tmpl w:val="C1B263AC"/>
    <w:lvl w:ilvl="0" w:tplc="4028ABDC">
      <w:start w:val="1"/>
      <w:numFmt w:val="upperLetter"/>
      <w:lvlText w:val="%1."/>
      <w:lvlJc w:val="left"/>
      <w:pPr>
        <w:ind w:left="2520" w:hanging="36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15:restartNumberingAfterBreak="0">
    <w:nsid w:val="67D05F44"/>
    <w:multiLevelType w:val="hybridMultilevel"/>
    <w:tmpl w:val="27DEDAB2"/>
    <w:lvl w:ilvl="0" w:tplc="C0D2F088">
      <w:start w:val="1"/>
      <w:numFmt w:val="bullet"/>
      <w:lvlText w:val="-"/>
      <w:lvlJc w:val="left"/>
      <w:pPr>
        <w:ind w:left="2487" w:hanging="360"/>
      </w:pPr>
      <w:rPr>
        <w:rFonts w:ascii="Calibri" w:eastAsiaTheme="minorEastAsia" w:hAnsi="Calibri" w:cstheme="minorBidi" w:hint="default"/>
      </w:rPr>
    </w:lvl>
    <w:lvl w:ilvl="1" w:tplc="08090003">
      <w:start w:val="1"/>
      <w:numFmt w:val="bullet"/>
      <w:lvlText w:val="o"/>
      <w:lvlJc w:val="left"/>
      <w:pPr>
        <w:ind w:left="3207" w:hanging="360"/>
      </w:pPr>
      <w:rPr>
        <w:rFonts w:ascii="Courier New" w:hAnsi="Courier New" w:cs="Courier New" w:hint="default"/>
      </w:rPr>
    </w:lvl>
    <w:lvl w:ilvl="2" w:tplc="08090005">
      <w:start w:val="1"/>
      <w:numFmt w:val="bullet"/>
      <w:lvlText w:val=""/>
      <w:lvlJc w:val="left"/>
      <w:pPr>
        <w:ind w:left="3927" w:hanging="360"/>
      </w:pPr>
      <w:rPr>
        <w:rFonts w:ascii="Wingdings" w:hAnsi="Wingdings"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abstractNum w:abstractNumId="9" w15:restartNumberingAfterBreak="0">
    <w:nsid w:val="78761012"/>
    <w:multiLevelType w:val="hybridMultilevel"/>
    <w:tmpl w:val="0EA09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1"/>
  </w:num>
  <w:num w:numId="5">
    <w:abstractNumId w:val="3"/>
  </w:num>
  <w:num w:numId="6">
    <w:abstractNumId w:val="6"/>
  </w:num>
  <w:num w:numId="7">
    <w:abstractNumId w:val="9"/>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3FA"/>
    <w:rsid w:val="00012AEF"/>
    <w:rsid w:val="00012BBD"/>
    <w:rsid w:val="00022B09"/>
    <w:rsid w:val="00044CB0"/>
    <w:rsid w:val="00080173"/>
    <w:rsid w:val="000C3DA5"/>
    <w:rsid w:val="000E1E57"/>
    <w:rsid w:val="000E5778"/>
    <w:rsid w:val="001175A1"/>
    <w:rsid w:val="001237A2"/>
    <w:rsid w:val="00124EDF"/>
    <w:rsid w:val="00127A16"/>
    <w:rsid w:val="00137C33"/>
    <w:rsid w:val="001477F3"/>
    <w:rsid w:val="00166FDD"/>
    <w:rsid w:val="0017715C"/>
    <w:rsid w:val="00184BD2"/>
    <w:rsid w:val="001A221E"/>
    <w:rsid w:val="001B261F"/>
    <w:rsid w:val="001B3B0D"/>
    <w:rsid w:val="001C5BA4"/>
    <w:rsid w:val="001D7BE3"/>
    <w:rsid w:val="001E16A4"/>
    <w:rsid w:val="00266EC1"/>
    <w:rsid w:val="002833D4"/>
    <w:rsid w:val="00296FBD"/>
    <w:rsid w:val="002A3A59"/>
    <w:rsid w:val="002A4563"/>
    <w:rsid w:val="002A6BC2"/>
    <w:rsid w:val="002A7B32"/>
    <w:rsid w:val="002A7CD4"/>
    <w:rsid w:val="002B3047"/>
    <w:rsid w:val="002B5A73"/>
    <w:rsid w:val="002C6511"/>
    <w:rsid w:val="002E2E23"/>
    <w:rsid w:val="002E36EC"/>
    <w:rsid w:val="002E5C04"/>
    <w:rsid w:val="00315FEC"/>
    <w:rsid w:val="00322999"/>
    <w:rsid w:val="00335472"/>
    <w:rsid w:val="00344D5B"/>
    <w:rsid w:val="00345306"/>
    <w:rsid w:val="00352165"/>
    <w:rsid w:val="003673FA"/>
    <w:rsid w:val="003724C4"/>
    <w:rsid w:val="003817C9"/>
    <w:rsid w:val="00381EB4"/>
    <w:rsid w:val="00387254"/>
    <w:rsid w:val="0039499A"/>
    <w:rsid w:val="003B0CD0"/>
    <w:rsid w:val="003B0E71"/>
    <w:rsid w:val="003B32A4"/>
    <w:rsid w:val="003B6A63"/>
    <w:rsid w:val="003D13A9"/>
    <w:rsid w:val="003E2818"/>
    <w:rsid w:val="003E6782"/>
    <w:rsid w:val="003F00D0"/>
    <w:rsid w:val="00400B80"/>
    <w:rsid w:val="0041591A"/>
    <w:rsid w:val="00433E70"/>
    <w:rsid w:val="00437B31"/>
    <w:rsid w:val="00450D79"/>
    <w:rsid w:val="00450EC2"/>
    <w:rsid w:val="00457A34"/>
    <w:rsid w:val="00465048"/>
    <w:rsid w:val="0046549E"/>
    <w:rsid w:val="00470B05"/>
    <w:rsid w:val="00495B07"/>
    <w:rsid w:val="004A2A1D"/>
    <w:rsid w:val="004E273D"/>
    <w:rsid w:val="004E46A6"/>
    <w:rsid w:val="00502A43"/>
    <w:rsid w:val="00511483"/>
    <w:rsid w:val="005237F8"/>
    <w:rsid w:val="0052568E"/>
    <w:rsid w:val="00525861"/>
    <w:rsid w:val="00537731"/>
    <w:rsid w:val="00544AC7"/>
    <w:rsid w:val="00552503"/>
    <w:rsid w:val="005964D8"/>
    <w:rsid w:val="005A24F2"/>
    <w:rsid w:val="005B06D6"/>
    <w:rsid w:val="005C1F8C"/>
    <w:rsid w:val="005C37C9"/>
    <w:rsid w:val="005D0620"/>
    <w:rsid w:val="005D45FF"/>
    <w:rsid w:val="005E1750"/>
    <w:rsid w:val="005F4A43"/>
    <w:rsid w:val="005F6BEC"/>
    <w:rsid w:val="00603661"/>
    <w:rsid w:val="0062216C"/>
    <w:rsid w:val="006450AA"/>
    <w:rsid w:val="006518F3"/>
    <w:rsid w:val="00652200"/>
    <w:rsid w:val="00652C74"/>
    <w:rsid w:val="00655096"/>
    <w:rsid w:val="00665241"/>
    <w:rsid w:val="006676A9"/>
    <w:rsid w:val="00672D71"/>
    <w:rsid w:val="00675AA6"/>
    <w:rsid w:val="006762F8"/>
    <w:rsid w:val="00684B89"/>
    <w:rsid w:val="00686279"/>
    <w:rsid w:val="006B10C4"/>
    <w:rsid w:val="006B1A6A"/>
    <w:rsid w:val="006B6858"/>
    <w:rsid w:val="006C326A"/>
    <w:rsid w:val="00701C4A"/>
    <w:rsid w:val="0071015E"/>
    <w:rsid w:val="0071027F"/>
    <w:rsid w:val="0071574B"/>
    <w:rsid w:val="00724DA3"/>
    <w:rsid w:val="0074339C"/>
    <w:rsid w:val="007453B0"/>
    <w:rsid w:val="007477D9"/>
    <w:rsid w:val="00752335"/>
    <w:rsid w:val="00755523"/>
    <w:rsid w:val="007710A4"/>
    <w:rsid w:val="00775381"/>
    <w:rsid w:val="0077782D"/>
    <w:rsid w:val="00780B0D"/>
    <w:rsid w:val="0079507C"/>
    <w:rsid w:val="007D091C"/>
    <w:rsid w:val="007D2D60"/>
    <w:rsid w:val="007E3EC5"/>
    <w:rsid w:val="007F5FC8"/>
    <w:rsid w:val="007F64D3"/>
    <w:rsid w:val="0080222C"/>
    <w:rsid w:val="00806134"/>
    <w:rsid w:val="00816B13"/>
    <w:rsid w:val="008328DB"/>
    <w:rsid w:val="0083450D"/>
    <w:rsid w:val="00845780"/>
    <w:rsid w:val="008713F0"/>
    <w:rsid w:val="0088529A"/>
    <w:rsid w:val="008A369D"/>
    <w:rsid w:val="008A5FA3"/>
    <w:rsid w:val="008B7A7F"/>
    <w:rsid w:val="00923ADD"/>
    <w:rsid w:val="0093425F"/>
    <w:rsid w:val="00942766"/>
    <w:rsid w:val="009504AE"/>
    <w:rsid w:val="00955123"/>
    <w:rsid w:val="009674A9"/>
    <w:rsid w:val="0097106A"/>
    <w:rsid w:val="00972C4F"/>
    <w:rsid w:val="00974B17"/>
    <w:rsid w:val="009761DE"/>
    <w:rsid w:val="009909D0"/>
    <w:rsid w:val="009A409D"/>
    <w:rsid w:val="009E6FD3"/>
    <w:rsid w:val="009E77AC"/>
    <w:rsid w:val="009E7F51"/>
    <w:rsid w:val="009F5712"/>
    <w:rsid w:val="00A03370"/>
    <w:rsid w:val="00A109BE"/>
    <w:rsid w:val="00A110AB"/>
    <w:rsid w:val="00A14F1F"/>
    <w:rsid w:val="00A36BC5"/>
    <w:rsid w:val="00A4106D"/>
    <w:rsid w:val="00A430AC"/>
    <w:rsid w:val="00A50F84"/>
    <w:rsid w:val="00A5616F"/>
    <w:rsid w:val="00A60356"/>
    <w:rsid w:val="00A736B8"/>
    <w:rsid w:val="00A96CC2"/>
    <w:rsid w:val="00AD1759"/>
    <w:rsid w:val="00AF4EAC"/>
    <w:rsid w:val="00B02D3D"/>
    <w:rsid w:val="00B13451"/>
    <w:rsid w:val="00B2413F"/>
    <w:rsid w:val="00B3672B"/>
    <w:rsid w:val="00B4447D"/>
    <w:rsid w:val="00B56C15"/>
    <w:rsid w:val="00B64946"/>
    <w:rsid w:val="00B8099B"/>
    <w:rsid w:val="00BA05AA"/>
    <w:rsid w:val="00BA0BAA"/>
    <w:rsid w:val="00BA3DB6"/>
    <w:rsid w:val="00BA53E7"/>
    <w:rsid w:val="00BB3575"/>
    <w:rsid w:val="00BB7AEB"/>
    <w:rsid w:val="00BC1C3E"/>
    <w:rsid w:val="00BC3C05"/>
    <w:rsid w:val="00BC7676"/>
    <w:rsid w:val="00BD2688"/>
    <w:rsid w:val="00BE1B29"/>
    <w:rsid w:val="00BE34C2"/>
    <w:rsid w:val="00BE6DB9"/>
    <w:rsid w:val="00C05DF4"/>
    <w:rsid w:val="00C060E7"/>
    <w:rsid w:val="00C07782"/>
    <w:rsid w:val="00C07A3C"/>
    <w:rsid w:val="00C10717"/>
    <w:rsid w:val="00C17E37"/>
    <w:rsid w:val="00C249AA"/>
    <w:rsid w:val="00C25134"/>
    <w:rsid w:val="00C3274B"/>
    <w:rsid w:val="00C32BE5"/>
    <w:rsid w:val="00C52097"/>
    <w:rsid w:val="00C70C75"/>
    <w:rsid w:val="00C92329"/>
    <w:rsid w:val="00C97911"/>
    <w:rsid w:val="00CA15BC"/>
    <w:rsid w:val="00CA204D"/>
    <w:rsid w:val="00CB4228"/>
    <w:rsid w:val="00CC2613"/>
    <w:rsid w:val="00CF0707"/>
    <w:rsid w:val="00CF40CD"/>
    <w:rsid w:val="00D228B2"/>
    <w:rsid w:val="00D42008"/>
    <w:rsid w:val="00D71C51"/>
    <w:rsid w:val="00D73B5A"/>
    <w:rsid w:val="00D80915"/>
    <w:rsid w:val="00D91D5F"/>
    <w:rsid w:val="00DA1089"/>
    <w:rsid w:val="00DA783E"/>
    <w:rsid w:val="00DA7ED5"/>
    <w:rsid w:val="00DB659F"/>
    <w:rsid w:val="00DB6DC5"/>
    <w:rsid w:val="00DC66FE"/>
    <w:rsid w:val="00DD42DF"/>
    <w:rsid w:val="00DE2248"/>
    <w:rsid w:val="00DF2FD0"/>
    <w:rsid w:val="00E014F5"/>
    <w:rsid w:val="00E024F5"/>
    <w:rsid w:val="00E03134"/>
    <w:rsid w:val="00E035A3"/>
    <w:rsid w:val="00E07BA8"/>
    <w:rsid w:val="00E1052D"/>
    <w:rsid w:val="00E1502E"/>
    <w:rsid w:val="00E43056"/>
    <w:rsid w:val="00E53C80"/>
    <w:rsid w:val="00E56B26"/>
    <w:rsid w:val="00E620E8"/>
    <w:rsid w:val="00E74188"/>
    <w:rsid w:val="00EA1CF6"/>
    <w:rsid w:val="00EB7698"/>
    <w:rsid w:val="00EE5D99"/>
    <w:rsid w:val="00EF197E"/>
    <w:rsid w:val="00EF20C5"/>
    <w:rsid w:val="00EF3BF4"/>
    <w:rsid w:val="00EF5133"/>
    <w:rsid w:val="00EF604C"/>
    <w:rsid w:val="00F01656"/>
    <w:rsid w:val="00F1167C"/>
    <w:rsid w:val="00F13D33"/>
    <w:rsid w:val="00F16A6E"/>
    <w:rsid w:val="00F27E8A"/>
    <w:rsid w:val="00F27EAD"/>
    <w:rsid w:val="00F317CB"/>
    <w:rsid w:val="00F42F9A"/>
    <w:rsid w:val="00F52BE1"/>
    <w:rsid w:val="00F53C09"/>
    <w:rsid w:val="00F6153B"/>
    <w:rsid w:val="00F64CB1"/>
    <w:rsid w:val="00F77EF4"/>
    <w:rsid w:val="00F86EEE"/>
    <w:rsid w:val="00F91934"/>
    <w:rsid w:val="00F92A11"/>
    <w:rsid w:val="00F93E52"/>
    <w:rsid w:val="00FA0268"/>
    <w:rsid w:val="00FA2A71"/>
    <w:rsid w:val="00FA5341"/>
    <w:rsid w:val="00FA76A1"/>
    <w:rsid w:val="00FB03B6"/>
    <w:rsid w:val="00FC0EFF"/>
    <w:rsid w:val="00FC4C2D"/>
    <w:rsid w:val="00FD2549"/>
    <w:rsid w:val="00FE3A47"/>
    <w:rsid w:val="00FF6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656"/>
    <w:rPr>
      <w:rFonts w:ascii="Times New Roman" w:eastAsiaTheme="minorEastAsia" w:hAnsi="Times New Roman" w:cs="Times New Roman"/>
      <w:lang w:eastAsia="en-GB"/>
    </w:rPr>
  </w:style>
  <w:style w:type="paragraph" w:styleId="Heading1">
    <w:name w:val="heading 1"/>
    <w:basedOn w:val="Normal"/>
    <w:next w:val="Normal"/>
    <w:link w:val="Heading1Char"/>
    <w:uiPriority w:val="9"/>
    <w:qFormat/>
    <w:rsid w:val="00F01656"/>
    <w:pPr>
      <w:spacing w:before="480" w:line="276" w:lineRule="auto"/>
      <w:contextualSpacing/>
      <w:outlineLvl w:val="0"/>
    </w:pPr>
    <w:rPr>
      <w:rFonts w:asciiTheme="majorHAnsi" w:eastAsiaTheme="majorEastAsia" w:hAnsiTheme="majorHAnsi" w:cstheme="majorBidi"/>
      <w:b/>
      <w:bCs/>
      <w:sz w:val="28"/>
      <w:szCs w:val="28"/>
      <w:lang w:eastAsia="en-US"/>
    </w:rPr>
  </w:style>
  <w:style w:type="paragraph" w:styleId="Heading2">
    <w:name w:val="heading 2"/>
    <w:basedOn w:val="Normal"/>
    <w:next w:val="Normal"/>
    <w:link w:val="Heading2Char"/>
    <w:uiPriority w:val="9"/>
    <w:unhideWhenUsed/>
    <w:qFormat/>
    <w:rsid w:val="004E273D"/>
    <w:pPr>
      <w:spacing w:before="200" w:line="276" w:lineRule="auto"/>
      <w:outlineLvl w:val="1"/>
    </w:pPr>
    <w:rPr>
      <w:rFonts w:asciiTheme="majorHAnsi" w:eastAsiaTheme="majorEastAsia" w:hAnsiTheme="majorHAnsi" w:cstheme="majorBidi"/>
      <w:b/>
      <w:bCs/>
      <w:sz w:val="26"/>
      <w:szCs w:val="26"/>
      <w:lang w:eastAsia="en-US"/>
    </w:rPr>
  </w:style>
  <w:style w:type="paragraph" w:styleId="Heading3">
    <w:name w:val="heading 3"/>
    <w:basedOn w:val="Normal"/>
    <w:next w:val="Normal"/>
    <w:link w:val="Heading3Char"/>
    <w:uiPriority w:val="9"/>
    <w:unhideWhenUsed/>
    <w:qFormat/>
    <w:rsid w:val="004E273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4E273D"/>
    <w:pPr>
      <w:spacing w:before="200" w:line="276" w:lineRule="auto"/>
      <w:outlineLvl w:val="3"/>
    </w:pPr>
    <w:rPr>
      <w:rFonts w:asciiTheme="majorHAnsi" w:eastAsiaTheme="majorEastAsia" w:hAnsiTheme="majorHAnsi" w:cstheme="majorBidi"/>
      <w:b/>
      <w:bCs/>
      <w:i/>
      <w:iCs/>
      <w:sz w:val="22"/>
      <w:szCs w:val="22"/>
      <w:lang w:eastAsia="en-US"/>
    </w:rPr>
  </w:style>
  <w:style w:type="paragraph" w:styleId="Heading5">
    <w:name w:val="heading 5"/>
    <w:basedOn w:val="Normal"/>
    <w:next w:val="Normal"/>
    <w:link w:val="Heading5Char"/>
    <w:uiPriority w:val="9"/>
    <w:unhideWhenUsed/>
    <w:qFormat/>
    <w:rsid w:val="004E273D"/>
    <w:pPr>
      <w:spacing w:before="200" w:line="276" w:lineRule="auto"/>
      <w:outlineLvl w:val="4"/>
    </w:pPr>
    <w:rPr>
      <w:rFonts w:asciiTheme="majorHAnsi" w:eastAsiaTheme="majorEastAsia" w:hAnsiTheme="majorHAnsi" w:cstheme="majorBidi"/>
      <w:b/>
      <w:bCs/>
      <w:color w:val="7F7F7F" w:themeColor="text1" w:themeTint="80"/>
      <w:sz w:val="22"/>
      <w:szCs w:val="22"/>
      <w:lang w:eastAsia="en-US"/>
    </w:rPr>
  </w:style>
  <w:style w:type="paragraph" w:styleId="Heading6">
    <w:name w:val="heading 6"/>
    <w:basedOn w:val="Normal"/>
    <w:next w:val="Normal"/>
    <w:link w:val="Heading6Char"/>
    <w:uiPriority w:val="9"/>
    <w:semiHidden/>
    <w:unhideWhenUsed/>
    <w:qFormat/>
    <w:rsid w:val="004E273D"/>
    <w:pPr>
      <w:spacing w:line="271" w:lineRule="auto"/>
      <w:outlineLvl w:val="5"/>
    </w:pPr>
    <w:rPr>
      <w:rFonts w:asciiTheme="majorHAnsi" w:eastAsiaTheme="majorEastAsia" w:hAnsiTheme="majorHAnsi" w:cstheme="majorBidi"/>
      <w:b/>
      <w:bCs/>
      <w:i/>
      <w:iCs/>
      <w:color w:val="7F7F7F" w:themeColor="text1" w:themeTint="80"/>
      <w:sz w:val="22"/>
      <w:szCs w:val="22"/>
      <w:lang w:eastAsia="en-US"/>
    </w:rPr>
  </w:style>
  <w:style w:type="paragraph" w:styleId="Heading7">
    <w:name w:val="heading 7"/>
    <w:basedOn w:val="Normal"/>
    <w:next w:val="Normal"/>
    <w:link w:val="Heading7Char"/>
    <w:uiPriority w:val="9"/>
    <w:semiHidden/>
    <w:unhideWhenUsed/>
    <w:qFormat/>
    <w:rsid w:val="004E273D"/>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E273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E273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1656"/>
    <w:rPr>
      <w:rFonts w:asciiTheme="majorHAnsi" w:eastAsiaTheme="majorEastAsia" w:hAnsiTheme="majorHAnsi" w:cstheme="majorBidi"/>
      <w:b/>
      <w:bCs/>
      <w:sz w:val="28"/>
      <w:szCs w:val="28"/>
    </w:rPr>
  </w:style>
  <w:style w:type="character" w:styleId="Hyperlink">
    <w:name w:val="Hyperlink"/>
    <w:basedOn w:val="DefaultParagraphFont"/>
    <w:uiPriority w:val="99"/>
    <w:unhideWhenUsed/>
    <w:rsid w:val="00F01656"/>
    <w:rPr>
      <w:color w:val="0563C1" w:themeColor="hyperlink"/>
      <w:u w:val="single"/>
    </w:rPr>
  </w:style>
  <w:style w:type="character" w:customStyle="1" w:styleId="Heading3Char">
    <w:name w:val="Heading 3 Char"/>
    <w:basedOn w:val="DefaultParagraphFont"/>
    <w:link w:val="Heading3"/>
    <w:uiPriority w:val="9"/>
    <w:rsid w:val="004E273D"/>
    <w:rPr>
      <w:rFonts w:asciiTheme="majorHAnsi" w:eastAsiaTheme="majorEastAsia" w:hAnsiTheme="majorHAnsi" w:cstheme="majorBidi"/>
      <w:color w:val="1F3763" w:themeColor="accent1" w:themeShade="7F"/>
      <w:lang w:eastAsia="en-GB"/>
    </w:rPr>
  </w:style>
  <w:style w:type="character" w:customStyle="1" w:styleId="Heading2Char">
    <w:name w:val="Heading 2 Char"/>
    <w:basedOn w:val="DefaultParagraphFont"/>
    <w:link w:val="Heading2"/>
    <w:uiPriority w:val="9"/>
    <w:rsid w:val="004E273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4E273D"/>
    <w:rPr>
      <w:rFonts w:asciiTheme="majorHAnsi" w:eastAsiaTheme="majorEastAsia" w:hAnsiTheme="majorHAnsi" w:cstheme="majorBidi"/>
      <w:b/>
      <w:bCs/>
      <w:i/>
      <w:iCs/>
      <w:sz w:val="22"/>
      <w:szCs w:val="22"/>
    </w:rPr>
  </w:style>
  <w:style w:type="character" w:customStyle="1" w:styleId="Heading5Char">
    <w:name w:val="Heading 5 Char"/>
    <w:basedOn w:val="DefaultParagraphFont"/>
    <w:link w:val="Heading5"/>
    <w:uiPriority w:val="9"/>
    <w:rsid w:val="004E273D"/>
    <w:rPr>
      <w:rFonts w:asciiTheme="majorHAnsi" w:eastAsiaTheme="majorEastAsia" w:hAnsiTheme="majorHAnsi" w:cstheme="majorBidi"/>
      <w:b/>
      <w:bCs/>
      <w:color w:val="7F7F7F" w:themeColor="text1" w:themeTint="80"/>
      <w:sz w:val="22"/>
      <w:szCs w:val="22"/>
    </w:rPr>
  </w:style>
  <w:style w:type="character" w:customStyle="1" w:styleId="Heading6Char">
    <w:name w:val="Heading 6 Char"/>
    <w:basedOn w:val="DefaultParagraphFont"/>
    <w:link w:val="Heading6"/>
    <w:uiPriority w:val="9"/>
    <w:semiHidden/>
    <w:rsid w:val="004E273D"/>
    <w:rPr>
      <w:rFonts w:asciiTheme="majorHAnsi" w:eastAsiaTheme="majorEastAsia" w:hAnsiTheme="majorHAnsi" w:cstheme="majorBidi"/>
      <w:b/>
      <w:bCs/>
      <w:i/>
      <w:iCs/>
      <w:color w:val="7F7F7F" w:themeColor="text1" w:themeTint="80"/>
      <w:sz w:val="22"/>
      <w:szCs w:val="22"/>
    </w:rPr>
  </w:style>
  <w:style w:type="character" w:customStyle="1" w:styleId="Heading7Char">
    <w:name w:val="Heading 7 Char"/>
    <w:basedOn w:val="DefaultParagraphFont"/>
    <w:link w:val="Heading7"/>
    <w:uiPriority w:val="9"/>
    <w:semiHidden/>
    <w:rsid w:val="004E273D"/>
    <w:rPr>
      <w:rFonts w:asciiTheme="majorHAnsi" w:eastAsiaTheme="majorEastAsia" w:hAnsiTheme="majorHAnsi" w:cstheme="majorBidi"/>
      <w:i/>
      <w:iCs/>
      <w:lang w:eastAsia="en-GB"/>
    </w:rPr>
  </w:style>
  <w:style w:type="character" w:customStyle="1" w:styleId="Heading8Char">
    <w:name w:val="Heading 8 Char"/>
    <w:basedOn w:val="DefaultParagraphFont"/>
    <w:link w:val="Heading8"/>
    <w:uiPriority w:val="9"/>
    <w:semiHidden/>
    <w:rsid w:val="004E273D"/>
    <w:rPr>
      <w:rFonts w:asciiTheme="majorHAnsi" w:eastAsiaTheme="majorEastAsia" w:hAnsiTheme="majorHAnsi" w:cstheme="majorBidi"/>
      <w:sz w:val="20"/>
      <w:szCs w:val="20"/>
      <w:lang w:eastAsia="en-GB"/>
    </w:rPr>
  </w:style>
  <w:style w:type="character" w:customStyle="1" w:styleId="Heading9Char">
    <w:name w:val="Heading 9 Char"/>
    <w:basedOn w:val="DefaultParagraphFont"/>
    <w:link w:val="Heading9"/>
    <w:uiPriority w:val="9"/>
    <w:semiHidden/>
    <w:rsid w:val="004E273D"/>
    <w:rPr>
      <w:rFonts w:asciiTheme="majorHAnsi" w:eastAsiaTheme="majorEastAsia" w:hAnsiTheme="majorHAnsi" w:cstheme="majorBidi"/>
      <w:i/>
      <w:iCs/>
      <w:spacing w:val="5"/>
      <w:sz w:val="20"/>
      <w:szCs w:val="20"/>
      <w:lang w:eastAsia="en-GB"/>
    </w:rPr>
  </w:style>
  <w:style w:type="paragraph" w:styleId="Caption">
    <w:name w:val="caption"/>
    <w:basedOn w:val="Normal"/>
    <w:next w:val="Normal"/>
    <w:uiPriority w:val="35"/>
    <w:unhideWhenUsed/>
    <w:qFormat/>
    <w:rsid w:val="004E273D"/>
    <w:pPr>
      <w:spacing w:after="200" w:line="276" w:lineRule="auto"/>
    </w:pPr>
    <w:rPr>
      <w:rFonts w:asciiTheme="minorHAnsi" w:hAnsiTheme="minorHAnsi" w:cstheme="minorBidi"/>
      <w:b/>
      <w:bCs/>
      <w:smallCaps/>
      <w:color w:val="44546A" w:themeColor="text2"/>
      <w:spacing w:val="10"/>
      <w:sz w:val="18"/>
      <w:szCs w:val="18"/>
      <w:lang w:eastAsia="en-US"/>
    </w:rPr>
  </w:style>
  <w:style w:type="paragraph" w:styleId="Title">
    <w:name w:val="Title"/>
    <w:basedOn w:val="Normal"/>
    <w:next w:val="Normal"/>
    <w:link w:val="TitleChar"/>
    <w:uiPriority w:val="10"/>
    <w:qFormat/>
    <w:rsid w:val="004E273D"/>
    <w:pPr>
      <w:pBdr>
        <w:bottom w:val="single" w:sz="4" w:space="1" w:color="auto"/>
      </w:pBdr>
      <w:spacing w:after="200"/>
      <w:contextualSpacing/>
    </w:pPr>
    <w:rPr>
      <w:rFonts w:asciiTheme="majorHAnsi" w:eastAsiaTheme="majorEastAsia" w:hAnsiTheme="majorHAnsi" w:cstheme="majorBidi"/>
      <w:spacing w:val="5"/>
      <w:sz w:val="52"/>
      <w:szCs w:val="52"/>
      <w:lang w:eastAsia="en-US"/>
    </w:rPr>
  </w:style>
  <w:style w:type="character" w:customStyle="1" w:styleId="TitleChar">
    <w:name w:val="Title Char"/>
    <w:basedOn w:val="DefaultParagraphFont"/>
    <w:link w:val="Title"/>
    <w:uiPriority w:val="10"/>
    <w:rsid w:val="004E273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E273D"/>
    <w:pPr>
      <w:spacing w:after="600" w:line="276" w:lineRule="auto"/>
    </w:pPr>
    <w:rPr>
      <w:rFonts w:asciiTheme="majorHAnsi" w:eastAsiaTheme="majorEastAsia" w:hAnsiTheme="majorHAnsi" w:cstheme="majorBidi"/>
      <w:i/>
      <w:iCs/>
      <w:spacing w:val="13"/>
      <w:lang w:eastAsia="en-US"/>
    </w:rPr>
  </w:style>
  <w:style w:type="character" w:customStyle="1" w:styleId="SubtitleChar">
    <w:name w:val="Subtitle Char"/>
    <w:basedOn w:val="DefaultParagraphFont"/>
    <w:link w:val="Subtitle"/>
    <w:uiPriority w:val="11"/>
    <w:rsid w:val="004E273D"/>
    <w:rPr>
      <w:rFonts w:asciiTheme="majorHAnsi" w:eastAsiaTheme="majorEastAsia" w:hAnsiTheme="majorHAnsi" w:cstheme="majorBidi"/>
      <w:i/>
      <w:iCs/>
      <w:spacing w:val="13"/>
    </w:rPr>
  </w:style>
  <w:style w:type="character" w:styleId="Strong">
    <w:name w:val="Strong"/>
    <w:uiPriority w:val="22"/>
    <w:qFormat/>
    <w:rsid w:val="004E273D"/>
    <w:rPr>
      <w:b/>
      <w:bCs/>
    </w:rPr>
  </w:style>
  <w:style w:type="character" w:styleId="Emphasis">
    <w:name w:val="Emphasis"/>
    <w:uiPriority w:val="20"/>
    <w:qFormat/>
    <w:rsid w:val="004E273D"/>
    <w:rPr>
      <w:b/>
      <w:bCs/>
      <w:i/>
      <w:iCs/>
      <w:spacing w:val="10"/>
      <w:bdr w:val="none" w:sz="0" w:space="0" w:color="auto"/>
      <w:shd w:val="clear" w:color="auto" w:fill="auto"/>
    </w:rPr>
  </w:style>
  <w:style w:type="paragraph" w:styleId="NoSpacing">
    <w:name w:val="No Spacing"/>
    <w:basedOn w:val="Normal"/>
    <w:uiPriority w:val="1"/>
    <w:qFormat/>
    <w:rsid w:val="004E273D"/>
    <w:rPr>
      <w:rFonts w:asciiTheme="minorHAnsi" w:hAnsiTheme="minorHAnsi" w:cstheme="minorBidi"/>
      <w:sz w:val="22"/>
      <w:szCs w:val="22"/>
      <w:lang w:eastAsia="en-US"/>
    </w:rPr>
  </w:style>
  <w:style w:type="paragraph" w:styleId="ListParagraph">
    <w:name w:val="List Paragraph"/>
    <w:basedOn w:val="Normal"/>
    <w:uiPriority w:val="34"/>
    <w:qFormat/>
    <w:rsid w:val="004E273D"/>
    <w:pPr>
      <w:spacing w:after="200" w:line="276" w:lineRule="auto"/>
      <w:ind w:left="720"/>
      <w:contextualSpacing/>
    </w:pPr>
    <w:rPr>
      <w:rFonts w:asciiTheme="minorHAnsi" w:hAnsiTheme="minorHAnsi" w:cstheme="minorBidi"/>
      <w:sz w:val="22"/>
      <w:szCs w:val="22"/>
      <w:lang w:eastAsia="en-US"/>
    </w:rPr>
  </w:style>
  <w:style w:type="paragraph" w:styleId="Quote">
    <w:name w:val="Quote"/>
    <w:basedOn w:val="Normal"/>
    <w:next w:val="Normal"/>
    <w:link w:val="QuoteChar"/>
    <w:uiPriority w:val="29"/>
    <w:qFormat/>
    <w:rsid w:val="004E273D"/>
    <w:pPr>
      <w:spacing w:before="200" w:line="276" w:lineRule="auto"/>
      <w:ind w:left="360" w:right="360"/>
    </w:pPr>
    <w:rPr>
      <w:rFonts w:asciiTheme="minorHAnsi" w:hAnsiTheme="minorHAnsi" w:cstheme="minorBidi"/>
      <w:i/>
      <w:iCs/>
      <w:sz w:val="22"/>
      <w:szCs w:val="22"/>
      <w:lang w:eastAsia="en-US"/>
    </w:rPr>
  </w:style>
  <w:style w:type="character" w:customStyle="1" w:styleId="QuoteChar">
    <w:name w:val="Quote Char"/>
    <w:basedOn w:val="DefaultParagraphFont"/>
    <w:link w:val="Quote"/>
    <w:uiPriority w:val="29"/>
    <w:rsid w:val="004E273D"/>
    <w:rPr>
      <w:rFonts w:eastAsiaTheme="minorEastAsia"/>
      <w:i/>
      <w:iCs/>
      <w:sz w:val="22"/>
      <w:szCs w:val="22"/>
    </w:rPr>
  </w:style>
  <w:style w:type="paragraph" w:styleId="IntenseQuote">
    <w:name w:val="Intense Quote"/>
    <w:basedOn w:val="Normal"/>
    <w:next w:val="Normal"/>
    <w:link w:val="IntenseQuoteChar"/>
    <w:uiPriority w:val="30"/>
    <w:qFormat/>
    <w:rsid w:val="004E273D"/>
    <w:pPr>
      <w:pBdr>
        <w:bottom w:val="single" w:sz="4" w:space="1" w:color="auto"/>
      </w:pBdr>
      <w:spacing w:before="200" w:after="280" w:line="276" w:lineRule="auto"/>
      <w:ind w:left="1008" w:right="1152"/>
      <w:jc w:val="both"/>
    </w:pPr>
    <w:rPr>
      <w:rFonts w:asciiTheme="minorHAnsi" w:hAnsiTheme="minorHAnsi" w:cstheme="minorBidi"/>
      <w:b/>
      <w:bCs/>
      <w:i/>
      <w:iCs/>
      <w:sz w:val="22"/>
      <w:szCs w:val="22"/>
      <w:lang w:eastAsia="en-US"/>
    </w:rPr>
  </w:style>
  <w:style w:type="character" w:customStyle="1" w:styleId="IntenseQuoteChar">
    <w:name w:val="Intense Quote Char"/>
    <w:basedOn w:val="DefaultParagraphFont"/>
    <w:link w:val="IntenseQuote"/>
    <w:uiPriority w:val="30"/>
    <w:rsid w:val="004E273D"/>
    <w:rPr>
      <w:rFonts w:eastAsiaTheme="minorEastAsia"/>
      <w:b/>
      <w:bCs/>
      <w:i/>
      <w:iCs/>
      <w:sz w:val="22"/>
      <w:szCs w:val="22"/>
    </w:rPr>
  </w:style>
  <w:style w:type="character" w:styleId="SubtleEmphasis">
    <w:name w:val="Subtle Emphasis"/>
    <w:uiPriority w:val="19"/>
    <w:qFormat/>
    <w:rsid w:val="004E273D"/>
    <w:rPr>
      <w:i/>
      <w:iCs/>
    </w:rPr>
  </w:style>
  <w:style w:type="character" w:styleId="IntenseEmphasis">
    <w:name w:val="Intense Emphasis"/>
    <w:uiPriority w:val="21"/>
    <w:qFormat/>
    <w:rsid w:val="004E273D"/>
    <w:rPr>
      <w:b/>
      <w:bCs/>
    </w:rPr>
  </w:style>
  <w:style w:type="character" w:styleId="SubtleReference">
    <w:name w:val="Subtle Reference"/>
    <w:uiPriority w:val="31"/>
    <w:qFormat/>
    <w:rsid w:val="004E273D"/>
    <w:rPr>
      <w:smallCaps/>
    </w:rPr>
  </w:style>
  <w:style w:type="character" w:styleId="IntenseReference">
    <w:name w:val="Intense Reference"/>
    <w:uiPriority w:val="32"/>
    <w:qFormat/>
    <w:rsid w:val="004E273D"/>
    <w:rPr>
      <w:smallCaps/>
      <w:spacing w:val="5"/>
      <w:u w:val="single"/>
    </w:rPr>
  </w:style>
  <w:style w:type="character" w:styleId="BookTitle">
    <w:name w:val="Book Title"/>
    <w:uiPriority w:val="33"/>
    <w:qFormat/>
    <w:rsid w:val="004E273D"/>
    <w:rPr>
      <w:i/>
      <w:iCs/>
      <w:smallCaps/>
      <w:spacing w:val="5"/>
    </w:rPr>
  </w:style>
  <w:style w:type="paragraph" w:styleId="TOCHeading">
    <w:name w:val="TOC Heading"/>
    <w:basedOn w:val="Heading1"/>
    <w:next w:val="Normal"/>
    <w:uiPriority w:val="39"/>
    <w:unhideWhenUsed/>
    <w:qFormat/>
    <w:rsid w:val="004E273D"/>
    <w:pPr>
      <w:outlineLvl w:val="9"/>
    </w:pPr>
    <w:rPr>
      <w:lang w:bidi="en-US"/>
    </w:rPr>
  </w:style>
  <w:style w:type="character" w:styleId="CommentReference">
    <w:name w:val="annotation reference"/>
    <w:basedOn w:val="DefaultParagraphFont"/>
    <w:uiPriority w:val="99"/>
    <w:semiHidden/>
    <w:unhideWhenUsed/>
    <w:rsid w:val="004E273D"/>
    <w:rPr>
      <w:sz w:val="16"/>
      <w:szCs w:val="16"/>
    </w:rPr>
  </w:style>
  <w:style w:type="paragraph" w:styleId="CommentText">
    <w:name w:val="annotation text"/>
    <w:basedOn w:val="Normal"/>
    <w:link w:val="CommentTextChar"/>
    <w:uiPriority w:val="99"/>
    <w:unhideWhenUsed/>
    <w:rsid w:val="004E273D"/>
    <w:pPr>
      <w:spacing w:after="200"/>
    </w:pPr>
    <w:rPr>
      <w:rFonts w:asciiTheme="minorHAnsi" w:hAnsiTheme="minorHAnsi" w:cstheme="minorBidi"/>
      <w:sz w:val="22"/>
      <w:szCs w:val="22"/>
      <w:lang w:eastAsia="en-US"/>
    </w:rPr>
  </w:style>
  <w:style w:type="character" w:customStyle="1" w:styleId="CommentTextChar">
    <w:name w:val="Comment Text Char"/>
    <w:basedOn w:val="DefaultParagraphFont"/>
    <w:link w:val="CommentText"/>
    <w:uiPriority w:val="99"/>
    <w:rsid w:val="004E273D"/>
    <w:rPr>
      <w:rFonts w:eastAsiaTheme="minorEastAsia"/>
      <w:sz w:val="22"/>
      <w:szCs w:val="22"/>
    </w:rPr>
  </w:style>
  <w:style w:type="paragraph" w:styleId="CommentSubject">
    <w:name w:val="annotation subject"/>
    <w:basedOn w:val="CommentText"/>
    <w:next w:val="CommentText"/>
    <w:link w:val="CommentSubjectChar"/>
    <w:uiPriority w:val="99"/>
    <w:semiHidden/>
    <w:unhideWhenUsed/>
    <w:rsid w:val="004E273D"/>
    <w:rPr>
      <w:b/>
      <w:bCs/>
    </w:rPr>
  </w:style>
  <w:style w:type="character" w:customStyle="1" w:styleId="CommentSubjectChar">
    <w:name w:val="Comment Subject Char"/>
    <w:basedOn w:val="CommentTextChar"/>
    <w:link w:val="CommentSubject"/>
    <w:uiPriority w:val="99"/>
    <w:semiHidden/>
    <w:rsid w:val="004E273D"/>
    <w:rPr>
      <w:rFonts w:eastAsiaTheme="minorEastAsia"/>
      <w:b/>
      <w:bCs/>
      <w:sz w:val="22"/>
      <w:szCs w:val="22"/>
    </w:rPr>
  </w:style>
  <w:style w:type="paragraph" w:styleId="BalloonText">
    <w:name w:val="Balloon Text"/>
    <w:basedOn w:val="Normal"/>
    <w:link w:val="BalloonTextChar"/>
    <w:uiPriority w:val="99"/>
    <w:semiHidden/>
    <w:unhideWhenUsed/>
    <w:rsid w:val="004E273D"/>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4E273D"/>
    <w:rPr>
      <w:rFonts w:ascii="Tahoma" w:eastAsiaTheme="minorEastAsia" w:hAnsi="Tahoma" w:cs="Tahoma"/>
      <w:sz w:val="16"/>
      <w:szCs w:val="16"/>
    </w:rPr>
  </w:style>
  <w:style w:type="table" w:styleId="TableGrid">
    <w:name w:val="Table Grid"/>
    <w:basedOn w:val="TableNormal"/>
    <w:uiPriority w:val="59"/>
    <w:rsid w:val="004E273D"/>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273D"/>
    <w:pPr>
      <w:tabs>
        <w:tab w:val="center" w:pos="4320"/>
        <w:tab w:val="right" w:pos="8640"/>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4E273D"/>
    <w:rPr>
      <w:rFonts w:eastAsiaTheme="minorEastAsia"/>
      <w:sz w:val="22"/>
      <w:szCs w:val="22"/>
    </w:rPr>
  </w:style>
  <w:style w:type="paragraph" w:styleId="Footer">
    <w:name w:val="footer"/>
    <w:basedOn w:val="Normal"/>
    <w:link w:val="FooterChar"/>
    <w:uiPriority w:val="99"/>
    <w:unhideWhenUsed/>
    <w:rsid w:val="004E273D"/>
    <w:pPr>
      <w:tabs>
        <w:tab w:val="center" w:pos="4320"/>
        <w:tab w:val="right" w:pos="8640"/>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4E273D"/>
    <w:rPr>
      <w:rFonts w:eastAsiaTheme="minorEastAsia"/>
      <w:sz w:val="22"/>
      <w:szCs w:val="22"/>
    </w:rPr>
  </w:style>
  <w:style w:type="paragraph" w:customStyle="1" w:styleId="EndNoteBibliographyTitle">
    <w:name w:val="EndNote Bibliography Title"/>
    <w:basedOn w:val="Normal"/>
    <w:rsid w:val="004E273D"/>
    <w:pPr>
      <w:spacing w:line="276" w:lineRule="auto"/>
      <w:jc w:val="center"/>
    </w:pPr>
    <w:rPr>
      <w:rFonts w:ascii="Calibri" w:hAnsi="Calibri" w:cstheme="minorBidi"/>
      <w:sz w:val="20"/>
      <w:szCs w:val="22"/>
      <w:lang w:val="en-US" w:eastAsia="en-US"/>
    </w:rPr>
  </w:style>
  <w:style w:type="paragraph" w:customStyle="1" w:styleId="EndNoteBibliography">
    <w:name w:val="EndNote Bibliography"/>
    <w:basedOn w:val="Normal"/>
    <w:rsid w:val="004E273D"/>
    <w:pPr>
      <w:spacing w:after="200"/>
    </w:pPr>
    <w:rPr>
      <w:rFonts w:ascii="Calibri" w:hAnsi="Calibri" w:cstheme="minorBidi"/>
      <w:sz w:val="20"/>
      <w:szCs w:val="22"/>
      <w:lang w:val="en-US" w:eastAsia="en-US"/>
    </w:rPr>
  </w:style>
  <w:style w:type="paragraph" w:styleId="Revision">
    <w:name w:val="Revision"/>
    <w:hidden/>
    <w:uiPriority w:val="99"/>
    <w:semiHidden/>
    <w:rsid w:val="004E273D"/>
    <w:rPr>
      <w:rFonts w:eastAsiaTheme="minorEastAsia"/>
      <w:sz w:val="22"/>
      <w:szCs w:val="22"/>
    </w:rPr>
  </w:style>
  <w:style w:type="character" w:styleId="FollowedHyperlink">
    <w:name w:val="FollowedHyperlink"/>
    <w:basedOn w:val="DefaultParagraphFont"/>
    <w:uiPriority w:val="99"/>
    <w:semiHidden/>
    <w:unhideWhenUsed/>
    <w:rsid w:val="004E273D"/>
    <w:rPr>
      <w:color w:val="954F72" w:themeColor="followedHyperlink"/>
      <w:u w:val="single"/>
    </w:rPr>
  </w:style>
  <w:style w:type="paragraph" w:styleId="BodyTextIndent3">
    <w:name w:val="Body Text Indent 3"/>
    <w:basedOn w:val="Normal"/>
    <w:link w:val="BodyTextIndent3Char"/>
    <w:uiPriority w:val="99"/>
    <w:semiHidden/>
    <w:unhideWhenUsed/>
    <w:rsid w:val="004E273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E273D"/>
    <w:rPr>
      <w:rFonts w:ascii="Times New Roman" w:eastAsiaTheme="minorEastAsia" w:hAnsi="Times New Roman" w:cs="Times New Roman"/>
      <w:sz w:val="16"/>
      <w:szCs w:val="16"/>
      <w:lang w:eastAsia="en-GB"/>
    </w:rPr>
  </w:style>
  <w:style w:type="paragraph" w:customStyle="1" w:styleId="p1">
    <w:name w:val="p1"/>
    <w:basedOn w:val="Normal"/>
    <w:rsid w:val="004E273D"/>
    <w:rPr>
      <w:rFonts w:ascii="Calibri" w:hAnsi="Calibri"/>
      <w:sz w:val="18"/>
      <w:szCs w:val="18"/>
      <w:lang w:val="en-US" w:eastAsia="en-US"/>
    </w:rPr>
  </w:style>
  <w:style w:type="paragraph" w:customStyle="1" w:styleId="p2">
    <w:name w:val="p2"/>
    <w:basedOn w:val="Normal"/>
    <w:rsid w:val="004E273D"/>
    <w:rPr>
      <w:sz w:val="18"/>
      <w:szCs w:val="18"/>
      <w:lang w:val="en-US" w:eastAsia="en-US"/>
    </w:rPr>
  </w:style>
  <w:style w:type="paragraph" w:customStyle="1" w:styleId="p3">
    <w:name w:val="p3"/>
    <w:basedOn w:val="Normal"/>
    <w:rsid w:val="004E273D"/>
    <w:rPr>
      <w:rFonts w:ascii="Calibri" w:hAnsi="Calibri"/>
      <w:color w:val="1E497D"/>
      <w:sz w:val="17"/>
      <w:szCs w:val="17"/>
      <w:lang w:val="en-US" w:eastAsia="en-US"/>
    </w:rPr>
  </w:style>
  <w:style w:type="character" w:customStyle="1" w:styleId="s2">
    <w:name w:val="s2"/>
    <w:basedOn w:val="DefaultParagraphFont"/>
    <w:rsid w:val="004E273D"/>
    <w:rPr>
      <w:color w:val="0433FF"/>
      <w:u w:val="single"/>
    </w:rPr>
  </w:style>
  <w:style w:type="character" w:customStyle="1" w:styleId="s1">
    <w:name w:val="s1"/>
    <w:basedOn w:val="DefaultParagraphFont"/>
    <w:rsid w:val="004E273D"/>
  </w:style>
  <w:style w:type="paragraph" w:styleId="TOC1">
    <w:name w:val="toc 1"/>
    <w:basedOn w:val="Normal"/>
    <w:next w:val="Normal"/>
    <w:autoRedefine/>
    <w:uiPriority w:val="39"/>
    <w:semiHidden/>
    <w:unhideWhenUsed/>
    <w:rsid w:val="00335472"/>
    <w:pPr>
      <w:spacing w:before="120"/>
    </w:pPr>
    <w:rPr>
      <w:rFonts w:asciiTheme="minorHAnsi" w:eastAsiaTheme="minorHAnsi" w:hAnsiTheme="minorHAnsi" w:cstheme="minorBidi"/>
      <w:b/>
      <w:bCs/>
      <w:lang w:eastAsia="en-US"/>
    </w:rPr>
  </w:style>
  <w:style w:type="paragraph" w:styleId="TOC2">
    <w:name w:val="toc 2"/>
    <w:basedOn w:val="Normal"/>
    <w:next w:val="Normal"/>
    <w:autoRedefine/>
    <w:uiPriority w:val="39"/>
    <w:semiHidden/>
    <w:unhideWhenUsed/>
    <w:rsid w:val="00335472"/>
    <w:pPr>
      <w:ind w:left="240"/>
    </w:pPr>
    <w:rPr>
      <w:rFonts w:asciiTheme="minorHAnsi" w:eastAsiaTheme="minorHAnsi" w:hAnsiTheme="minorHAnsi" w:cstheme="minorBidi"/>
      <w:b/>
      <w:bCs/>
      <w:sz w:val="22"/>
      <w:szCs w:val="22"/>
      <w:lang w:eastAsia="en-US"/>
    </w:rPr>
  </w:style>
  <w:style w:type="paragraph" w:styleId="TOC3">
    <w:name w:val="toc 3"/>
    <w:basedOn w:val="Normal"/>
    <w:next w:val="Normal"/>
    <w:autoRedefine/>
    <w:uiPriority w:val="39"/>
    <w:semiHidden/>
    <w:unhideWhenUsed/>
    <w:rsid w:val="00335472"/>
    <w:pPr>
      <w:ind w:left="480"/>
    </w:pPr>
    <w:rPr>
      <w:rFonts w:asciiTheme="minorHAnsi" w:eastAsiaTheme="minorHAnsi" w:hAnsiTheme="minorHAnsi" w:cstheme="minorBidi"/>
      <w:sz w:val="22"/>
      <w:szCs w:val="22"/>
      <w:lang w:eastAsia="en-US"/>
    </w:rPr>
  </w:style>
  <w:style w:type="paragraph" w:styleId="TOC4">
    <w:name w:val="toc 4"/>
    <w:basedOn w:val="Normal"/>
    <w:next w:val="Normal"/>
    <w:autoRedefine/>
    <w:uiPriority w:val="39"/>
    <w:semiHidden/>
    <w:unhideWhenUsed/>
    <w:rsid w:val="00335472"/>
    <w:pPr>
      <w:ind w:left="720"/>
    </w:pPr>
    <w:rPr>
      <w:rFonts w:asciiTheme="minorHAnsi" w:eastAsiaTheme="minorHAnsi" w:hAnsiTheme="minorHAnsi" w:cstheme="minorBidi"/>
      <w:sz w:val="20"/>
      <w:szCs w:val="20"/>
      <w:lang w:eastAsia="en-US"/>
    </w:rPr>
  </w:style>
  <w:style w:type="paragraph" w:styleId="TOC5">
    <w:name w:val="toc 5"/>
    <w:basedOn w:val="Normal"/>
    <w:next w:val="Normal"/>
    <w:autoRedefine/>
    <w:uiPriority w:val="39"/>
    <w:semiHidden/>
    <w:unhideWhenUsed/>
    <w:rsid w:val="00335472"/>
    <w:pPr>
      <w:ind w:left="960"/>
    </w:pPr>
    <w:rPr>
      <w:rFonts w:asciiTheme="minorHAnsi" w:eastAsiaTheme="minorHAnsi" w:hAnsiTheme="minorHAnsi" w:cstheme="minorBidi"/>
      <w:sz w:val="20"/>
      <w:szCs w:val="20"/>
      <w:lang w:eastAsia="en-US"/>
    </w:rPr>
  </w:style>
  <w:style w:type="paragraph" w:styleId="TOC6">
    <w:name w:val="toc 6"/>
    <w:basedOn w:val="Normal"/>
    <w:next w:val="Normal"/>
    <w:autoRedefine/>
    <w:uiPriority w:val="39"/>
    <w:semiHidden/>
    <w:unhideWhenUsed/>
    <w:rsid w:val="00335472"/>
    <w:pPr>
      <w:ind w:left="1200"/>
    </w:pPr>
    <w:rPr>
      <w:rFonts w:asciiTheme="minorHAnsi" w:eastAsiaTheme="minorHAnsi" w:hAnsiTheme="minorHAnsi" w:cstheme="minorBidi"/>
      <w:sz w:val="20"/>
      <w:szCs w:val="20"/>
      <w:lang w:eastAsia="en-US"/>
    </w:rPr>
  </w:style>
  <w:style w:type="paragraph" w:styleId="TOC7">
    <w:name w:val="toc 7"/>
    <w:basedOn w:val="Normal"/>
    <w:next w:val="Normal"/>
    <w:autoRedefine/>
    <w:uiPriority w:val="39"/>
    <w:semiHidden/>
    <w:unhideWhenUsed/>
    <w:rsid w:val="00335472"/>
    <w:pPr>
      <w:ind w:left="1440"/>
    </w:pPr>
    <w:rPr>
      <w:rFonts w:asciiTheme="minorHAnsi" w:eastAsiaTheme="minorHAnsi" w:hAnsiTheme="minorHAnsi" w:cstheme="minorBidi"/>
      <w:sz w:val="20"/>
      <w:szCs w:val="20"/>
      <w:lang w:eastAsia="en-US"/>
    </w:rPr>
  </w:style>
  <w:style w:type="paragraph" w:styleId="TOC8">
    <w:name w:val="toc 8"/>
    <w:basedOn w:val="Normal"/>
    <w:next w:val="Normal"/>
    <w:autoRedefine/>
    <w:uiPriority w:val="39"/>
    <w:semiHidden/>
    <w:unhideWhenUsed/>
    <w:rsid w:val="00335472"/>
    <w:pPr>
      <w:ind w:left="1680"/>
    </w:pPr>
    <w:rPr>
      <w:rFonts w:asciiTheme="minorHAnsi" w:eastAsiaTheme="minorHAnsi" w:hAnsiTheme="minorHAnsi" w:cstheme="minorBidi"/>
      <w:sz w:val="20"/>
      <w:szCs w:val="20"/>
      <w:lang w:eastAsia="en-US"/>
    </w:rPr>
  </w:style>
  <w:style w:type="paragraph" w:styleId="TOC9">
    <w:name w:val="toc 9"/>
    <w:basedOn w:val="Normal"/>
    <w:next w:val="Normal"/>
    <w:autoRedefine/>
    <w:uiPriority w:val="39"/>
    <w:semiHidden/>
    <w:unhideWhenUsed/>
    <w:rsid w:val="00335472"/>
    <w:pPr>
      <w:ind w:left="1920"/>
    </w:pPr>
    <w:rPr>
      <w:rFonts w:asciiTheme="minorHAnsi" w:eastAsiaTheme="minorHAnsi" w:hAnsiTheme="minorHAnsi" w:cstheme="minorBidi"/>
      <w:sz w:val="20"/>
      <w:szCs w:val="20"/>
      <w:lang w:eastAsia="en-US"/>
    </w:rPr>
  </w:style>
  <w:style w:type="paragraph" w:styleId="TableofFigures">
    <w:name w:val="table of figures"/>
    <w:basedOn w:val="Normal"/>
    <w:next w:val="Normal"/>
    <w:uiPriority w:val="99"/>
    <w:unhideWhenUsed/>
    <w:rsid w:val="00335472"/>
    <w:pPr>
      <w:ind w:left="480" w:hanging="480"/>
    </w:pPr>
    <w:rPr>
      <w:rFonts w:asciiTheme="minorHAnsi" w:eastAsiaTheme="minorHAnsi" w:hAnsiTheme="minorHAnsi" w:cstheme="minorBidi"/>
      <w:lang w:eastAsia="en-US"/>
    </w:rPr>
  </w:style>
  <w:style w:type="table" w:styleId="PlainTable3">
    <w:name w:val="Plain Table 3"/>
    <w:basedOn w:val="TableNormal"/>
    <w:uiPriority w:val="43"/>
    <w:rsid w:val="001237A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k1@soton.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controlled-trials.com/ISRCTN03307358/hearing+outcomes+in+teenag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A348D-A2ED-49E3-9219-222D1747A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7093</Words>
  <Characters>40432</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MC iMac</Company>
  <LinksUpToDate>false</LinksUpToDate>
  <CharactersWithSpaces>47431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C.R.</dc:creator>
  <cp:keywords/>
  <dc:description/>
  <cp:lastModifiedBy>Kennedy C.R.</cp:lastModifiedBy>
  <cp:revision>1</cp:revision>
  <cp:lastPrinted>2017-12-08T18:39:00Z</cp:lastPrinted>
  <dcterms:created xsi:type="dcterms:W3CDTF">2018-01-10T11:55:00Z</dcterms:created>
  <dcterms:modified xsi:type="dcterms:W3CDTF">2018-01-10T11:56:00Z</dcterms:modified>
</cp:coreProperties>
</file>