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028B" w:rsidRDefault="002A6AB4">
      <w:pPr>
        <w:spacing w:after="198"/>
      </w:pPr>
      <w:bookmarkStart w:id="0" w:name="_GoBack"/>
      <w:bookmarkEnd w:id="0"/>
      <w:r>
        <w:rPr>
          <w:color w:val="243188"/>
          <w:sz w:val="18"/>
        </w:rPr>
        <w:t>Drug Evaluation</w:t>
      </w:r>
    </w:p>
    <w:p w:rsidR="0009028B" w:rsidRDefault="002A6AB4">
      <w:pPr>
        <w:spacing w:after="1083"/>
      </w:pPr>
      <w:r>
        <w:rPr>
          <w:i/>
          <w:color w:val="211F1F"/>
          <w:sz w:val="20"/>
        </w:rPr>
        <w:t>For reprint orders, please contact: reprints@futuremedicine.com</w:t>
      </w:r>
    </w:p>
    <w:p w:rsidR="0009028B" w:rsidRDefault="002A6AB4">
      <w:pPr>
        <w:spacing w:after="56" w:line="229" w:lineRule="auto"/>
        <w:ind w:right="2075"/>
      </w:pPr>
      <w:r>
        <w:rPr>
          <w:color w:val="211F1F"/>
          <w:sz w:val="36"/>
        </w:rPr>
        <w:t>Subcutaneous rituximab with recombinant human hyaluronidase in the treatment of non-Hodgkin lymphoma and chronic lymphocytic leukemia</w:t>
      </w:r>
    </w:p>
    <w:p w:rsidR="0009028B" w:rsidRDefault="002A6AB4">
      <w:pPr>
        <w:spacing w:after="5" w:line="264" w:lineRule="auto"/>
        <w:ind w:left="-5" w:right="1458" w:hanging="10"/>
        <w:jc w:val="both"/>
      </w:pPr>
      <w:r>
        <w:rPr>
          <w:color w:val="211F1F"/>
          <w:sz w:val="18"/>
        </w:rPr>
        <w:t>Samuel Luke Hill</w:t>
      </w:r>
      <w:r>
        <w:rPr>
          <w:color w:val="211F1F"/>
          <w:sz w:val="18"/>
          <w:vertAlign w:val="superscript"/>
        </w:rPr>
        <w:t xml:space="preserve">1 </w:t>
      </w:r>
      <w:r>
        <w:rPr>
          <w:color w:val="211F1F"/>
          <w:sz w:val="18"/>
        </w:rPr>
        <w:t>&amp; Andrew Davies*</w:t>
      </w:r>
      <w:r>
        <w:rPr>
          <w:color w:val="211F1F"/>
          <w:sz w:val="18"/>
          <w:vertAlign w:val="superscript"/>
        </w:rPr>
        <w:t>,2</w:t>
      </w:r>
    </w:p>
    <w:p w:rsidR="0009028B" w:rsidRDefault="002A6AB4">
      <w:pPr>
        <w:spacing w:after="35" w:line="265" w:lineRule="auto"/>
        <w:ind w:left="-5" w:hanging="10"/>
      </w:pPr>
      <w:r>
        <w:rPr>
          <w:color w:val="211F1F"/>
          <w:sz w:val="14"/>
          <w:vertAlign w:val="superscript"/>
        </w:rPr>
        <w:t>1</w:t>
      </w:r>
      <w:r>
        <w:rPr>
          <w:color w:val="211F1F"/>
          <w:sz w:val="14"/>
        </w:rPr>
        <w:t>Medical Oncology, Southampton General Hospital, Southampton, UK</w:t>
      </w:r>
    </w:p>
    <w:p w:rsidR="0009028B" w:rsidRDefault="002A6AB4">
      <w:pPr>
        <w:spacing w:after="35" w:line="265" w:lineRule="auto"/>
        <w:ind w:left="-5" w:hanging="10"/>
      </w:pPr>
      <w:r>
        <w:rPr>
          <w:color w:val="211F1F"/>
          <w:sz w:val="14"/>
          <w:vertAlign w:val="superscript"/>
        </w:rPr>
        <w:t>2</w:t>
      </w:r>
      <w:r>
        <w:rPr>
          <w:color w:val="211F1F"/>
          <w:sz w:val="14"/>
        </w:rPr>
        <w:t>Cancer Research UK Centre, Cancer Sciences Division, University of Southampton, Southampton, UK</w:t>
      </w:r>
    </w:p>
    <w:p w:rsidR="0009028B" w:rsidRDefault="002A6AB4">
      <w:pPr>
        <w:spacing w:after="469" w:line="265" w:lineRule="auto"/>
        <w:ind w:left="-5" w:hanging="10"/>
      </w:pPr>
      <w:r>
        <w:rPr>
          <w:color w:val="211F1F"/>
          <w:sz w:val="14"/>
        </w:rPr>
        <w:t>* Author for correspondence: a.davies@soton.ac.uk</w:t>
      </w:r>
    </w:p>
    <w:p w:rsidR="0009028B" w:rsidRDefault="002A6AB4">
      <w:pPr>
        <w:spacing w:after="248" w:line="264" w:lineRule="auto"/>
        <w:ind w:left="-5" w:right="1458" w:hanging="10"/>
        <w:jc w:val="both"/>
      </w:pPr>
      <w:r>
        <w:rPr>
          <w:color w:val="211F1F"/>
          <w:sz w:val="18"/>
        </w:rPr>
        <w:t>The anti-CD20 monoclonal antibody rituximab (</w:t>
      </w:r>
      <w:r>
        <w:rPr>
          <w:color w:val="211F1F"/>
          <w:sz w:val="18"/>
        </w:rPr>
        <w:t>MabThera</w:t>
      </w:r>
      <w:r>
        <w:rPr>
          <w:color w:val="211F1F"/>
          <w:sz w:val="15"/>
          <w:vertAlign w:val="superscript"/>
        </w:rPr>
        <w:t>R</w:t>
      </w:r>
      <w:r>
        <w:rPr>
          <w:color w:val="211F1F"/>
          <w:sz w:val="18"/>
        </w:rPr>
        <w:t>/Rituxan</w:t>
      </w:r>
      <w:r>
        <w:rPr>
          <w:color w:val="211F1F"/>
          <w:sz w:val="15"/>
          <w:vertAlign w:val="superscript"/>
        </w:rPr>
        <w:t xml:space="preserve">R </w:t>
      </w:r>
      <w:r>
        <w:rPr>
          <w:color w:val="211F1F"/>
          <w:sz w:val="18"/>
        </w:rPr>
        <w:t>) has been proven to improve outcomes in a range of B-cell malignancies. Initially developed as a formulation for intravenous infusion, administration times for rituximab can be prolonged and associated with infusion-related reactions, p</w:t>
      </w:r>
      <w:r>
        <w:rPr>
          <w:color w:val="211F1F"/>
          <w:sz w:val="18"/>
        </w:rPr>
        <w:t>rompting a combined clinical development program investigating subcutaneous delivery in combination with recombinant human hyaluronidase. As this program comes to fruition, this article reviews the evidence demonstrating subcutaneous rituximab to have noni</w:t>
      </w:r>
      <w:r>
        <w:rPr>
          <w:color w:val="211F1F"/>
          <w:sz w:val="18"/>
        </w:rPr>
        <w:t>nferior pharmacokinetics when delivered at a fixeddose as well as equivalent clinical outcomes in the treatment of follicular lymphoma, chronic lymphocytic leukemia and diffuse large B-cell lymphoma. This mode of delivery is more preferable to patients and</w:t>
      </w:r>
      <w:r>
        <w:rPr>
          <w:color w:val="211F1F"/>
          <w:sz w:val="18"/>
        </w:rPr>
        <w:t xml:space="preserve"> healthcare professionals and is associated with time and cost savings.</w:t>
      </w:r>
    </w:p>
    <w:p w:rsidR="0009028B" w:rsidRDefault="002A6AB4">
      <w:pPr>
        <w:spacing w:after="5" w:line="264" w:lineRule="auto"/>
        <w:ind w:left="-5" w:right="1458" w:hanging="10"/>
        <w:jc w:val="both"/>
      </w:pPr>
      <w:r>
        <w:rPr>
          <w:noProof/>
        </w:rPr>
        <w:drawing>
          <wp:anchor distT="0" distB="0" distL="114300" distR="114300" simplePos="0" relativeHeight="251658240" behindDoc="0" locked="0" layoutInCell="1" allowOverlap="0">
            <wp:simplePos x="0" y="0"/>
            <wp:positionH relativeFrom="page">
              <wp:posOffset>4391978</wp:posOffset>
            </wp:positionH>
            <wp:positionV relativeFrom="page">
              <wp:posOffset>0</wp:posOffset>
            </wp:positionV>
            <wp:extent cx="3075432" cy="2554224"/>
            <wp:effectExtent l="0" t="0" r="0" b="0"/>
            <wp:wrapSquare wrapText="bothSides"/>
            <wp:docPr id="16554" name="Picture 16554"/>
            <wp:cNvGraphicFramePr/>
            <a:graphic xmlns:a="http://schemas.openxmlformats.org/drawingml/2006/main">
              <a:graphicData uri="http://schemas.openxmlformats.org/drawingml/2006/picture">
                <pic:pic xmlns:pic="http://schemas.openxmlformats.org/drawingml/2006/picture">
                  <pic:nvPicPr>
                    <pic:cNvPr id="16554" name="Picture 16554"/>
                    <pic:cNvPicPr/>
                  </pic:nvPicPr>
                  <pic:blipFill>
                    <a:blip r:embed="rId7"/>
                    <a:stretch>
                      <a:fillRect/>
                    </a:stretch>
                  </pic:blipFill>
                  <pic:spPr>
                    <a:xfrm>
                      <a:off x="0" y="0"/>
                      <a:ext cx="3075432" cy="2554224"/>
                    </a:xfrm>
                    <a:prstGeom prst="rect">
                      <a:avLst/>
                    </a:prstGeom>
                  </pic:spPr>
                </pic:pic>
              </a:graphicData>
            </a:graphic>
          </wp:anchor>
        </w:drawing>
      </w:r>
      <w:r>
        <w:rPr>
          <w:color w:val="211F1F"/>
          <w:sz w:val="18"/>
        </w:rPr>
        <w:t>First draft submitted: 25 October 2017; Accepted for publication: 16 January 2018; Published online:</w:t>
      </w:r>
    </w:p>
    <w:p w:rsidR="0009028B" w:rsidRDefault="002A6AB4">
      <w:pPr>
        <w:spacing w:after="190" w:line="264" w:lineRule="auto"/>
        <w:ind w:left="-5" w:right="1458" w:hanging="10"/>
        <w:jc w:val="both"/>
      </w:pPr>
      <w:r>
        <w:rPr>
          <w:color w:val="211F1F"/>
          <w:sz w:val="18"/>
        </w:rPr>
        <w:t>6 February 2018</w:t>
      </w:r>
    </w:p>
    <w:p w:rsidR="0009028B" w:rsidRDefault="002A6AB4">
      <w:pPr>
        <w:spacing w:after="221" w:line="391" w:lineRule="auto"/>
        <w:ind w:right="667"/>
      </w:pPr>
      <w:r>
        <w:rPr>
          <w:b/>
          <w:color w:val="243188"/>
          <w:sz w:val="16"/>
        </w:rPr>
        <w:t xml:space="preserve">Keywords: </w:t>
      </w:r>
      <w:r>
        <w:rPr>
          <w:color w:val="243188"/>
          <w:sz w:val="18"/>
        </w:rPr>
        <w:t>chronic lymphocytic leukemia • diffuse large B-cell lymp</w:t>
      </w:r>
      <w:r>
        <w:rPr>
          <w:color w:val="243188"/>
          <w:sz w:val="18"/>
        </w:rPr>
        <w:t>homa • follicular lymphoma • non-Hodgkin lymphoma • rituximab • subcutaneous administration</w:t>
      </w:r>
    </w:p>
    <w:p w:rsidR="0009028B" w:rsidRDefault="002A6AB4">
      <w:pPr>
        <w:spacing w:after="5" w:line="276" w:lineRule="auto"/>
        <w:ind w:left="-15" w:right="1474"/>
        <w:jc w:val="both"/>
      </w:pPr>
      <w:r>
        <w:rPr>
          <w:rFonts w:ascii="Garamond" w:eastAsia="Garamond" w:hAnsi="Garamond" w:cs="Garamond"/>
          <w:color w:val="211F1F"/>
          <w:sz w:val="20"/>
        </w:rPr>
        <w:t>Since its approval in 1997, the anti-CD20 monoclonal antibody rituximab (MabThera</w:t>
      </w:r>
      <w:r>
        <w:rPr>
          <w:rFonts w:ascii="Garamond" w:eastAsia="Garamond" w:hAnsi="Garamond" w:cs="Garamond"/>
          <w:color w:val="211F1F"/>
          <w:sz w:val="15"/>
          <w:vertAlign w:val="superscript"/>
        </w:rPr>
        <w:t>R</w:t>
      </w:r>
      <w:r>
        <w:rPr>
          <w:color w:val="211F1F"/>
          <w:sz w:val="20"/>
        </w:rPr>
        <w:t>/</w:t>
      </w:r>
      <w:r>
        <w:rPr>
          <w:rFonts w:ascii="Garamond" w:eastAsia="Garamond" w:hAnsi="Garamond" w:cs="Garamond"/>
          <w:color w:val="211F1F"/>
          <w:sz w:val="20"/>
        </w:rPr>
        <w:t>Rituxan</w:t>
      </w:r>
      <w:r>
        <w:rPr>
          <w:rFonts w:ascii="Garamond" w:eastAsia="Garamond" w:hAnsi="Garamond" w:cs="Garamond"/>
          <w:color w:val="211F1F"/>
          <w:sz w:val="15"/>
          <w:vertAlign w:val="superscript"/>
        </w:rPr>
        <w:t xml:space="preserve">R </w:t>
      </w:r>
      <w:r>
        <w:rPr>
          <w:rFonts w:ascii="Garamond" w:eastAsia="Garamond" w:hAnsi="Garamond" w:cs="Garamond"/>
          <w:color w:val="211F1F"/>
          <w:sz w:val="20"/>
        </w:rPr>
        <w:t xml:space="preserve">) has become a key drug in treating a variety of B-cell malignancies. So dramatic was the survival advantage observed by adding rituximab to the treatment of high-grade B-cell lymphomas </w:t>
      </w:r>
      <w:r>
        <w:rPr>
          <w:rFonts w:ascii="Garamond" w:eastAsia="Garamond" w:hAnsi="Garamond" w:cs="Garamond"/>
          <w:color w:val="211F1F"/>
          <w:sz w:val="14"/>
        </w:rPr>
        <w:t>[1</w:t>
      </w:r>
      <w:r>
        <w:rPr>
          <w:rFonts w:ascii="Garamond" w:eastAsia="Garamond" w:hAnsi="Garamond" w:cs="Garamond"/>
          <w:color w:val="211F1F"/>
          <w:sz w:val="20"/>
        </w:rPr>
        <w:t>,</w:t>
      </w:r>
      <w:r>
        <w:rPr>
          <w:rFonts w:ascii="Garamond" w:eastAsia="Garamond" w:hAnsi="Garamond" w:cs="Garamond"/>
          <w:color w:val="211F1F"/>
          <w:sz w:val="14"/>
        </w:rPr>
        <w:t>2]</w:t>
      </w:r>
      <w:r>
        <w:rPr>
          <w:rFonts w:ascii="Garamond" w:eastAsia="Garamond" w:hAnsi="Garamond" w:cs="Garamond"/>
          <w:color w:val="211F1F"/>
          <w:sz w:val="20"/>
        </w:rPr>
        <w:t xml:space="preserve">, it was classed as an essential medicine by the WHO in 2015 </w:t>
      </w:r>
      <w:r>
        <w:rPr>
          <w:rFonts w:ascii="Garamond" w:eastAsia="Garamond" w:hAnsi="Garamond" w:cs="Garamond"/>
          <w:color w:val="211F1F"/>
          <w:sz w:val="14"/>
        </w:rPr>
        <w:t>[2</w:t>
      </w:r>
      <w:r>
        <w:rPr>
          <w:rFonts w:ascii="Garamond" w:eastAsia="Garamond" w:hAnsi="Garamond" w:cs="Garamond"/>
          <w:color w:val="211F1F"/>
          <w:sz w:val="20"/>
        </w:rPr>
        <w:t>,</w:t>
      </w:r>
      <w:r>
        <w:rPr>
          <w:rFonts w:ascii="Garamond" w:eastAsia="Garamond" w:hAnsi="Garamond" w:cs="Garamond"/>
          <w:color w:val="211F1F"/>
          <w:sz w:val="14"/>
        </w:rPr>
        <w:t>3</w:t>
      </w:r>
      <w:r>
        <w:rPr>
          <w:rFonts w:ascii="Garamond" w:eastAsia="Garamond" w:hAnsi="Garamond" w:cs="Garamond"/>
          <w:color w:val="211F1F"/>
          <w:sz w:val="14"/>
        </w:rPr>
        <w:t>]</w:t>
      </w:r>
      <w:r>
        <w:rPr>
          <w:rFonts w:ascii="Garamond" w:eastAsia="Garamond" w:hAnsi="Garamond" w:cs="Garamond"/>
          <w:color w:val="211F1F"/>
          <w:sz w:val="20"/>
        </w:rPr>
        <w:t xml:space="preserve">. Rituximab is now a key component in the treatment for diffuse large B-cell lymphoma (DLBCL), follicular lymphoma (FL) and chronic lymphocytic leukemia (CLL), both in first-line and in relapsed disease </w:t>
      </w:r>
      <w:r>
        <w:rPr>
          <w:rFonts w:ascii="Garamond" w:eastAsia="Garamond" w:hAnsi="Garamond" w:cs="Garamond"/>
          <w:color w:val="211F1F"/>
          <w:sz w:val="14"/>
        </w:rPr>
        <w:t>[4–7]</w:t>
      </w:r>
      <w:r>
        <w:rPr>
          <w:rFonts w:ascii="Garamond" w:eastAsia="Garamond" w:hAnsi="Garamond" w:cs="Garamond"/>
          <w:color w:val="211F1F"/>
          <w:sz w:val="20"/>
        </w:rPr>
        <w:t>. It is also widely used to treat a range of ot</w:t>
      </w:r>
      <w:r>
        <w:rPr>
          <w:rFonts w:ascii="Garamond" w:eastAsia="Garamond" w:hAnsi="Garamond" w:cs="Garamond"/>
          <w:color w:val="211F1F"/>
          <w:sz w:val="20"/>
        </w:rPr>
        <w:t xml:space="preserve">her B-cell malignancies and autoimmune conditions </w:t>
      </w:r>
      <w:r>
        <w:rPr>
          <w:rFonts w:ascii="Garamond" w:eastAsia="Garamond" w:hAnsi="Garamond" w:cs="Garamond"/>
          <w:color w:val="211F1F"/>
          <w:sz w:val="14"/>
        </w:rPr>
        <w:t>[7]</w:t>
      </w:r>
      <w:r>
        <w:rPr>
          <w:rFonts w:ascii="Garamond" w:eastAsia="Garamond" w:hAnsi="Garamond" w:cs="Garamond"/>
          <w:color w:val="211F1F"/>
          <w:sz w:val="20"/>
        </w:rPr>
        <w:t>.</w:t>
      </w:r>
    </w:p>
    <w:p w:rsidR="0009028B" w:rsidRDefault="002A6AB4">
      <w:pPr>
        <w:spacing w:after="5" w:line="276" w:lineRule="auto"/>
        <w:ind w:left="-15" w:right="1473" w:firstLine="189"/>
        <w:jc w:val="both"/>
      </w:pPr>
      <w:r>
        <w:rPr>
          <w:rFonts w:ascii="Garamond" w:eastAsia="Garamond" w:hAnsi="Garamond" w:cs="Garamond"/>
          <w:color w:val="211F1F"/>
          <w:sz w:val="20"/>
        </w:rPr>
        <w:t xml:space="preserve">Rituximab is licensed for use in combination with traditional cytotoxic medications for treatment of DLBCL, most commonly cyclophosphamide, doxorubicin and vincristine plus prednisolone (R-CHOP), but also with other agents </w:t>
      </w:r>
      <w:r>
        <w:rPr>
          <w:rFonts w:ascii="Garamond" w:eastAsia="Garamond" w:hAnsi="Garamond" w:cs="Garamond"/>
          <w:color w:val="211F1F"/>
          <w:sz w:val="14"/>
        </w:rPr>
        <w:t>[5]</w:t>
      </w:r>
      <w:r>
        <w:rPr>
          <w:rFonts w:ascii="Garamond" w:eastAsia="Garamond" w:hAnsi="Garamond" w:cs="Garamond"/>
          <w:color w:val="211F1F"/>
          <w:sz w:val="20"/>
        </w:rPr>
        <w:t xml:space="preserve">. It is recommended alongside </w:t>
      </w:r>
      <w:r>
        <w:rPr>
          <w:rFonts w:ascii="Garamond" w:eastAsia="Garamond" w:hAnsi="Garamond" w:cs="Garamond"/>
          <w:color w:val="211F1F"/>
          <w:sz w:val="20"/>
        </w:rPr>
        <w:t xml:space="preserve">chemotherapy in previously treated and untreated individuals with FL. Following successful induction treatment, rituximab may also be used for maintenance treatment in FL for up to 2 years to prolong progression-free survival </w:t>
      </w:r>
      <w:r>
        <w:rPr>
          <w:rFonts w:ascii="Garamond" w:eastAsia="Garamond" w:hAnsi="Garamond" w:cs="Garamond"/>
          <w:color w:val="211F1F"/>
          <w:sz w:val="14"/>
        </w:rPr>
        <w:t>[6]</w:t>
      </w:r>
      <w:r>
        <w:rPr>
          <w:rFonts w:ascii="Garamond" w:eastAsia="Garamond" w:hAnsi="Garamond" w:cs="Garamond"/>
          <w:color w:val="211F1F"/>
          <w:sz w:val="20"/>
        </w:rPr>
        <w:t>. CLL represents a malignan</w:t>
      </w:r>
      <w:r>
        <w:rPr>
          <w:rFonts w:ascii="Garamond" w:eastAsia="Garamond" w:hAnsi="Garamond" w:cs="Garamond"/>
          <w:color w:val="211F1F"/>
          <w:sz w:val="20"/>
        </w:rPr>
        <w:t xml:space="preserve">cy of the clonal mature peripheral B lymphocytes. Rituximab is routinely used as first-line treatment or for relapsed disease in CLL, either in combination with fludarabine and cyclophosphamide (FCR) or with other agents such as chlorambucil </w:t>
      </w:r>
      <w:r>
        <w:rPr>
          <w:rFonts w:ascii="Garamond" w:eastAsia="Garamond" w:hAnsi="Garamond" w:cs="Garamond"/>
          <w:color w:val="211F1F"/>
          <w:sz w:val="14"/>
        </w:rPr>
        <w:t>[4]</w:t>
      </w:r>
      <w:r>
        <w:rPr>
          <w:rFonts w:ascii="Garamond" w:eastAsia="Garamond" w:hAnsi="Garamond" w:cs="Garamond"/>
          <w:color w:val="211F1F"/>
          <w:sz w:val="20"/>
        </w:rPr>
        <w:t>.</w:t>
      </w:r>
    </w:p>
    <w:p w:rsidR="0009028B" w:rsidRDefault="002A6AB4">
      <w:pPr>
        <w:spacing w:after="5" w:line="276" w:lineRule="auto"/>
        <w:ind w:left="-15" w:right="1474" w:firstLine="189"/>
        <w:jc w:val="both"/>
      </w:pPr>
      <w:r>
        <w:rPr>
          <w:rFonts w:ascii="Garamond" w:eastAsia="Garamond" w:hAnsi="Garamond" w:cs="Garamond"/>
          <w:color w:val="211F1F"/>
          <w:sz w:val="20"/>
        </w:rPr>
        <w:t>A chimeri</w:t>
      </w:r>
      <w:r>
        <w:rPr>
          <w:rFonts w:ascii="Garamond" w:eastAsia="Garamond" w:hAnsi="Garamond" w:cs="Garamond"/>
          <w:color w:val="211F1F"/>
          <w:sz w:val="20"/>
        </w:rPr>
        <w:t>c murine</w:t>
      </w:r>
      <w:r>
        <w:rPr>
          <w:color w:val="211F1F"/>
          <w:sz w:val="20"/>
        </w:rPr>
        <w:t>/</w:t>
      </w:r>
      <w:r>
        <w:rPr>
          <w:rFonts w:ascii="Garamond" w:eastAsia="Garamond" w:hAnsi="Garamond" w:cs="Garamond"/>
          <w:color w:val="211F1F"/>
          <w:sz w:val="20"/>
        </w:rPr>
        <w:t xml:space="preserve">human monoclonal antibody, rituximab targets an epitope on the extracellular domain of CD20 </w:t>
      </w:r>
      <w:r>
        <w:rPr>
          <w:rFonts w:ascii="Garamond" w:eastAsia="Garamond" w:hAnsi="Garamond" w:cs="Garamond"/>
          <w:color w:val="211F1F"/>
          <w:sz w:val="14"/>
        </w:rPr>
        <w:t>[8]</w:t>
      </w:r>
      <w:r>
        <w:rPr>
          <w:rFonts w:ascii="Garamond" w:eastAsia="Garamond" w:hAnsi="Garamond" w:cs="Garamond"/>
          <w:color w:val="211F1F"/>
          <w:sz w:val="20"/>
        </w:rPr>
        <w:t>. Expressed first on pro-B cells, this nonglycosylated phosphoprotein is increasingly expressed in maturing B cells, but not on pro-B lymphocytes, plasm</w:t>
      </w:r>
      <w:r>
        <w:rPr>
          <w:rFonts w:ascii="Garamond" w:eastAsia="Garamond" w:hAnsi="Garamond" w:cs="Garamond"/>
          <w:color w:val="211F1F"/>
          <w:sz w:val="20"/>
        </w:rPr>
        <w:t>a cells, hematopoietic stem cells or other healthy tissues. By targeting CD20, present in 95% of B-cell lymphomas, the immature lymphocytes and mature plasma cells remain relatively unscathed.</w:t>
      </w:r>
    </w:p>
    <w:p w:rsidR="0009028B" w:rsidRDefault="002A6AB4">
      <w:pPr>
        <w:spacing w:after="697" w:line="276" w:lineRule="auto"/>
        <w:ind w:left="-15" w:right="1474" w:firstLine="189"/>
        <w:jc w:val="both"/>
      </w:pPr>
      <w:r>
        <w:rPr>
          <w:noProof/>
        </w:rPr>
        <w:lastRenderedPageBreak/>
        <mc:AlternateContent>
          <mc:Choice Requires="wpg">
            <w:drawing>
              <wp:anchor distT="0" distB="0" distL="114300" distR="114300" simplePos="0" relativeHeight="251659264" behindDoc="1" locked="0" layoutInCell="1" allowOverlap="1">
                <wp:simplePos x="0" y="0"/>
                <wp:positionH relativeFrom="column">
                  <wp:posOffset>9</wp:posOffset>
                </wp:positionH>
                <wp:positionV relativeFrom="paragraph">
                  <wp:posOffset>267870</wp:posOffset>
                </wp:positionV>
                <wp:extent cx="6480010" cy="493179"/>
                <wp:effectExtent l="0" t="0" r="0" b="0"/>
                <wp:wrapNone/>
                <wp:docPr id="15164" name="Group 15164"/>
                <wp:cNvGraphicFramePr/>
                <a:graphic xmlns:a="http://schemas.openxmlformats.org/drawingml/2006/main">
                  <a:graphicData uri="http://schemas.microsoft.com/office/word/2010/wordprocessingGroup">
                    <wpg:wgp>
                      <wpg:cNvGrpSpPr/>
                      <wpg:grpSpPr>
                        <a:xfrm>
                          <a:off x="0" y="0"/>
                          <a:ext cx="6480010" cy="493179"/>
                          <a:chOff x="0" y="0"/>
                          <a:chExt cx="6480010" cy="493179"/>
                        </a:xfrm>
                      </wpg:grpSpPr>
                      <wps:wsp>
                        <wps:cNvPr id="104" name="Shape 104"/>
                        <wps:cNvSpPr/>
                        <wps:spPr>
                          <a:xfrm>
                            <a:off x="5760047" y="20662"/>
                            <a:ext cx="69050" cy="109424"/>
                          </a:xfrm>
                          <a:custGeom>
                            <a:avLst/>
                            <a:gdLst/>
                            <a:ahLst/>
                            <a:cxnLst/>
                            <a:rect l="0" t="0" r="0" b="0"/>
                            <a:pathLst>
                              <a:path w="69050" h="109424">
                                <a:moveTo>
                                  <a:pt x="0" y="0"/>
                                </a:moveTo>
                                <a:lnTo>
                                  <a:pt x="69050" y="0"/>
                                </a:lnTo>
                                <a:lnTo>
                                  <a:pt x="69050" y="11761"/>
                                </a:lnTo>
                                <a:lnTo>
                                  <a:pt x="13500" y="11761"/>
                                </a:lnTo>
                                <a:lnTo>
                                  <a:pt x="13500" y="44438"/>
                                </a:lnTo>
                                <a:lnTo>
                                  <a:pt x="62814" y="44438"/>
                                </a:lnTo>
                                <a:lnTo>
                                  <a:pt x="62814" y="56198"/>
                                </a:lnTo>
                                <a:lnTo>
                                  <a:pt x="13500" y="56198"/>
                                </a:lnTo>
                                <a:lnTo>
                                  <a:pt x="13500" y="109424"/>
                                </a:lnTo>
                                <a:lnTo>
                                  <a:pt x="0" y="109424"/>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05" name="Shape 105"/>
                        <wps:cNvSpPr/>
                        <wps:spPr>
                          <a:xfrm>
                            <a:off x="5842750" y="48031"/>
                            <a:ext cx="67805" cy="84303"/>
                          </a:xfrm>
                          <a:custGeom>
                            <a:avLst/>
                            <a:gdLst/>
                            <a:ahLst/>
                            <a:cxnLst/>
                            <a:rect l="0" t="0" r="0" b="0"/>
                            <a:pathLst>
                              <a:path w="67805" h="84303">
                                <a:moveTo>
                                  <a:pt x="0" y="0"/>
                                </a:moveTo>
                                <a:lnTo>
                                  <a:pt x="12776" y="0"/>
                                </a:lnTo>
                                <a:lnTo>
                                  <a:pt x="12776" y="46113"/>
                                </a:lnTo>
                                <a:cubicBezTo>
                                  <a:pt x="12776" y="56655"/>
                                  <a:pt x="14186" y="63665"/>
                                  <a:pt x="17018" y="67094"/>
                                </a:cubicBezTo>
                                <a:cubicBezTo>
                                  <a:pt x="19850" y="70523"/>
                                  <a:pt x="24460" y="72251"/>
                                  <a:pt x="30861" y="72251"/>
                                </a:cubicBezTo>
                                <a:cubicBezTo>
                                  <a:pt x="38405" y="72251"/>
                                  <a:pt x="46469" y="68745"/>
                                  <a:pt x="55029" y="61722"/>
                                </a:cubicBezTo>
                                <a:lnTo>
                                  <a:pt x="55029" y="0"/>
                                </a:lnTo>
                                <a:lnTo>
                                  <a:pt x="67805" y="0"/>
                                </a:lnTo>
                                <a:lnTo>
                                  <a:pt x="67805" y="82055"/>
                                </a:lnTo>
                                <a:lnTo>
                                  <a:pt x="55029" y="82055"/>
                                </a:lnTo>
                                <a:lnTo>
                                  <a:pt x="55029" y="72174"/>
                                </a:lnTo>
                                <a:cubicBezTo>
                                  <a:pt x="45110" y="80264"/>
                                  <a:pt x="35598" y="84303"/>
                                  <a:pt x="26492" y="84303"/>
                                </a:cubicBezTo>
                                <a:cubicBezTo>
                                  <a:pt x="17932" y="84303"/>
                                  <a:pt x="11366" y="81649"/>
                                  <a:pt x="6807" y="76353"/>
                                </a:cubicBezTo>
                                <a:cubicBezTo>
                                  <a:pt x="2273" y="71056"/>
                                  <a:pt x="0" y="63462"/>
                                  <a:pt x="0" y="53594"/>
                                </a:cubicBez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06" name="Shape 106"/>
                        <wps:cNvSpPr/>
                        <wps:spPr>
                          <a:xfrm>
                            <a:off x="5926392" y="24447"/>
                            <a:ext cx="50888" cy="107239"/>
                          </a:xfrm>
                          <a:custGeom>
                            <a:avLst/>
                            <a:gdLst/>
                            <a:ahLst/>
                            <a:cxnLst/>
                            <a:rect l="0" t="0" r="0" b="0"/>
                            <a:pathLst>
                              <a:path w="50888" h="107239">
                                <a:moveTo>
                                  <a:pt x="9436" y="0"/>
                                </a:moveTo>
                                <a:lnTo>
                                  <a:pt x="22136" y="0"/>
                                </a:lnTo>
                                <a:lnTo>
                                  <a:pt x="22136" y="23597"/>
                                </a:lnTo>
                                <a:lnTo>
                                  <a:pt x="50888" y="23597"/>
                                </a:lnTo>
                                <a:lnTo>
                                  <a:pt x="50888" y="34049"/>
                                </a:lnTo>
                                <a:lnTo>
                                  <a:pt x="22136" y="34049"/>
                                </a:lnTo>
                                <a:lnTo>
                                  <a:pt x="22136" y="72022"/>
                                </a:lnTo>
                                <a:cubicBezTo>
                                  <a:pt x="22136" y="80633"/>
                                  <a:pt x="22733" y="86220"/>
                                  <a:pt x="23914" y="88760"/>
                                </a:cubicBezTo>
                                <a:cubicBezTo>
                                  <a:pt x="25108" y="91301"/>
                                  <a:pt x="26898" y="93168"/>
                                  <a:pt x="29337" y="94349"/>
                                </a:cubicBezTo>
                                <a:cubicBezTo>
                                  <a:pt x="31750" y="95542"/>
                                  <a:pt x="34848" y="96139"/>
                                  <a:pt x="38620" y="96139"/>
                                </a:cubicBezTo>
                                <a:cubicBezTo>
                                  <a:pt x="42202" y="96139"/>
                                  <a:pt x="46139" y="95263"/>
                                  <a:pt x="50457" y="93523"/>
                                </a:cubicBezTo>
                                <a:lnTo>
                                  <a:pt x="50888" y="93523"/>
                                </a:lnTo>
                                <a:lnTo>
                                  <a:pt x="50888" y="105144"/>
                                </a:lnTo>
                                <a:cubicBezTo>
                                  <a:pt x="45135" y="106541"/>
                                  <a:pt x="39751" y="107239"/>
                                  <a:pt x="34772" y="107239"/>
                                </a:cubicBezTo>
                                <a:cubicBezTo>
                                  <a:pt x="17831" y="107239"/>
                                  <a:pt x="9347" y="97930"/>
                                  <a:pt x="9347" y="79287"/>
                                </a:cubicBezTo>
                                <a:lnTo>
                                  <a:pt x="9347" y="34049"/>
                                </a:lnTo>
                                <a:lnTo>
                                  <a:pt x="0" y="34049"/>
                                </a:lnTo>
                                <a:lnTo>
                                  <a:pt x="0" y="23597"/>
                                </a:lnTo>
                                <a:lnTo>
                                  <a:pt x="9436" y="23597"/>
                                </a:lnTo>
                                <a:lnTo>
                                  <a:pt x="9436"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07" name="Shape 107"/>
                        <wps:cNvSpPr/>
                        <wps:spPr>
                          <a:xfrm>
                            <a:off x="5991010" y="48031"/>
                            <a:ext cx="67831" cy="84303"/>
                          </a:xfrm>
                          <a:custGeom>
                            <a:avLst/>
                            <a:gdLst/>
                            <a:ahLst/>
                            <a:cxnLst/>
                            <a:rect l="0" t="0" r="0" b="0"/>
                            <a:pathLst>
                              <a:path w="67831" h="84303">
                                <a:moveTo>
                                  <a:pt x="0" y="0"/>
                                </a:moveTo>
                                <a:lnTo>
                                  <a:pt x="12776" y="0"/>
                                </a:lnTo>
                                <a:lnTo>
                                  <a:pt x="12776" y="46113"/>
                                </a:lnTo>
                                <a:cubicBezTo>
                                  <a:pt x="12776" y="56655"/>
                                  <a:pt x="14212" y="63665"/>
                                  <a:pt x="17031" y="67094"/>
                                </a:cubicBezTo>
                                <a:cubicBezTo>
                                  <a:pt x="19863" y="70523"/>
                                  <a:pt x="24473" y="72251"/>
                                  <a:pt x="30861" y="72251"/>
                                </a:cubicBezTo>
                                <a:cubicBezTo>
                                  <a:pt x="38418" y="72251"/>
                                  <a:pt x="46469" y="68745"/>
                                  <a:pt x="55042" y="61722"/>
                                </a:cubicBezTo>
                                <a:lnTo>
                                  <a:pt x="55042" y="0"/>
                                </a:lnTo>
                                <a:lnTo>
                                  <a:pt x="67831" y="0"/>
                                </a:lnTo>
                                <a:lnTo>
                                  <a:pt x="67831" y="82055"/>
                                </a:lnTo>
                                <a:lnTo>
                                  <a:pt x="55042" y="82055"/>
                                </a:lnTo>
                                <a:lnTo>
                                  <a:pt x="55042" y="72174"/>
                                </a:lnTo>
                                <a:cubicBezTo>
                                  <a:pt x="45123" y="80264"/>
                                  <a:pt x="35611" y="84303"/>
                                  <a:pt x="26518" y="84303"/>
                                </a:cubicBezTo>
                                <a:cubicBezTo>
                                  <a:pt x="17932" y="84303"/>
                                  <a:pt x="11379" y="81649"/>
                                  <a:pt x="6833" y="76353"/>
                                </a:cubicBezTo>
                                <a:cubicBezTo>
                                  <a:pt x="2286" y="71056"/>
                                  <a:pt x="0" y="63462"/>
                                  <a:pt x="0" y="53594"/>
                                </a:cubicBez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08" name="Shape 108"/>
                        <wps:cNvSpPr/>
                        <wps:spPr>
                          <a:xfrm>
                            <a:off x="6083517" y="48031"/>
                            <a:ext cx="50406" cy="82055"/>
                          </a:xfrm>
                          <a:custGeom>
                            <a:avLst/>
                            <a:gdLst/>
                            <a:ahLst/>
                            <a:cxnLst/>
                            <a:rect l="0" t="0" r="0" b="0"/>
                            <a:pathLst>
                              <a:path w="50406" h="82055">
                                <a:moveTo>
                                  <a:pt x="0" y="0"/>
                                </a:moveTo>
                                <a:lnTo>
                                  <a:pt x="12789" y="0"/>
                                </a:lnTo>
                                <a:lnTo>
                                  <a:pt x="12789" y="12636"/>
                                </a:lnTo>
                                <a:cubicBezTo>
                                  <a:pt x="23038" y="4216"/>
                                  <a:pt x="32512" y="0"/>
                                  <a:pt x="41173" y="0"/>
                                </a:cubicBezTo>
                                <a:cubicBezTo>
                                  <a:pt x="44221" y="0"/>
                                  <a:pt x="47307" y="241"/>
                                  <a:pt x="50406" y="736"/>
                                </a:cubicBezTo>
                                <a:lnTo>
                                  <a:pt x="50406" y="14084"/>
                                </a:lnTo>
                                <a:lnTo>
                                  <a:pt x="49899" y="14084"/>
                                </a:lnTo>
                                <a:cubicBezTo>
                                  <a:pt x="45872" y="13119"/>
                                  <a:pt x="41808" y="12636"/>
                                  <a:pt x="37681" y="12636"/>
                                </a:cubicBezTo>
                                <a:cubicBezTo>
                                  <a:pt x="29464" y="12636"/>
                                  <a:pt x="21158" y="16116"/>
                                  <a:pt x="12789" y="23089"/>
                                </a:cubicBezTo>
                                <a:lnTo>
                                  <a:pt x="12789" y="82055"/>
                                </a:lnTo>
                                <a:lnTo>
                                  <a:pt x="0" y="82055"/>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09" name="Shape 109"/>
                        <wps:cNvSpPr/>
                        <wps:spPr>
                          <a:xfrm>
                            <a:off x="6138913" y="46141"/>
                            <a:ext cx="37148" cy="84926"/>
                          </a:xfrm>
                          <a:custGeom>
                            <a:avLst/>
                            <a:gdLst/>
                            <a:ahLst/>
                            <a:cxnLst/>
                            <a:rect l="0" t="0" r="0" b="0"/>
                            <a:pathLst>
                              <a:path w="37148" h="84926">
                                <a:moveTo>
                                  <a:pt x="37148" y="0"/>
                                </a:moveTo>
                                <a:lnTo>
                                  <a:pt x="37148" y="10553"/>
                                </a:lnTo>
                                <a:lnTo>
                                  <a:pt x="20905" y="16483"/>
                                </a:lnTo>
                                <a:cubicBezTo>
                                  <a:pt x="16370" y="20839"/>
                                  <a:pt x="13754" y="26821"/>
                                  <a:pt x="13081" y="34428"/>
                                </a:cubicBezTo>
                                <a:lnTo>
                                  <a:pt x="37148" y="34428"/>
                                </a:lnTo>
                                <a:lnTo>
                                  <a:pt x="37148" y="44080"/>
                                </a:lnTo>
                                <a:lnTo>
                                  <a:pt x="13081" y="44080"/>
                                </a:lnTo>
                                <a:cubicBezTo>
                                  <a:pt x="13081" y="53961"/>
                                  <a:pt x="15749" y="61543"/>
                                  <a:pt x="21108" y="66839"/>
                                </a:cubicBezTo>
                                <a:lnTo>
                                  <a:pt x="37148" y="72599"/>
                                </a:lnTo>
                                <a:lnTo>
                                  <a:pt x="37148" y="84926"/>
                                </a:lnTo>
                                <a:lnTo>
                                  <a:pt x="24883" y="83062"/>
                                </a:lnTo>
                                <a:cubicBezTo>
                                  <a:pt x="19590" y="81218"/>
                                  <a:pt x="15063" y="78453"/>
                                  <a:pt x="11291" y="74764"/>
                                </a:cubicBezTo>
                                <a:cubicBezTo>
                                  <a:pt x="3759" y="67384"/>
                                  <a:pt x="0" y="56932"/>
                                  <a:pt x="0" y="43432"/>
                                </a:cubicBezTo>
                                <a:cubicBezTo>
                                  <a:pt x="0" y="30021"/>
                                  <a:pt x="3608" y="19353"/>
                                  <a:pt x="10821" y="11441"/>
                                </a:cubicBezTo>
                                <a:cubicBezTo>
                                  <a:pt x="14428" y="7485"/>
                                  <a:pt x="18619" y="4517"/>
                                  <a:pt x="23397" y="2537"/>
                                </a:cubicBezTo>
                                <a:lnTo>
                                  <a:pt x="37148"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0" name="Shape 110"/>
                        <wps:cNvSpPr/>
                        <wps:spPr>
                          <a:xfrm>
                            <a:off x="6176061" y="111137"/>
                            <a:ext cx="34887" cy="20828"/>
                          </a:xfrm>
                          <a:custGeom>
                            <a:avLst/>
                            <a:gdLst/>
                            <a:ahLst/>
                            <a:cxnLst/>
                            <a:rect l="0" t="0" r="0" b="0"/>
                            <a:pathLst>
                              <a:path w="34887" h="20828">
                                <a:moveTo>
                                  <a:pt x="34303" y="0"/>
                                </a:moveTo>
                                <a:lnTo>
                                  <a:pt x="34887" y="0"/>
                                </a:lnTo>
                                <a:lnTo>
                                  <a:pt x="34887" y="13856"/>
                                </a:lnTo>
                                <a:cubicBezTo>
                                  <a:pt x="23216" y="18517"/>
                                  <a:pt x="13564" y="20828"/>
                                  <a:pt x="5918" y="20828"/>
                                </a:cubicBezTo>
                                <a:lnTo>
                                  <a:pt x="0" y="19929"/>
                                </a:lnTo>
                                <a:lnTo>
                                  <a:pt x="0" y="7602"/>
                                </a:lnTo>
                                <a:lnTo>
                                  <a:pt x="6134" y="9805"/>
                                </a:lnTo>
                                <a:cubicBezTo>
                                  <a:pt x="15519" y="9805"/>
                                  <a:pt x="24917" y="6541"/>
                                  <a:pt x="34303"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1" name="Shape 111"/>
                        <wps:cNvSpPr/>
                        <wps:spPr>
                          <a:xfrm>
                            <a:off x="6176061" y="45707"/>
                            <a:ext cx="36550" cy="44514"/>
                          </a:xfrm>
                          <a:custGeom>
                            <a:avLst/>
                            <a:gdLst/>
                            <a:ahLst/>
                            <a:cxnLst/>
                            <a:rect l="0" t="0" r="0" b="0"/>
                            <a:pathLst>
                              <a:path w="36550" h="44514">
                                <a:moveTo>
                                  <a:pt x="2349" y="0"/>
                                </a:moveTo>
                                <a:cubicBezTo>
                                  <a:pt x="13195" y="0"/>
                                  <a:pt x="21603" y="3251"/>
                                  <a:pt x="27584" y="9740"/>
                                </a:cubicBezTo>
                                <a:cubicBezTo>
                                  <a:pt x="33566" y="16218"/>
                                  <a:pt x="36550" y="25464"/>
                                  <a:pt x="36550" y="37478"/>
                                </a:cubicBezTo>
                                <a:lnTo>
                                  <a:pt x="36550" y="44514"/>
                                </a:lnTo>
                                <a:lnTo>
                                  <a:pt x="0" y="44514"/>
                                </a:lnTo>
                                <a:lnTo>
                                  <a:pt x="0" y="34861"/>
                                </a:lnTo>
                                <a:lnTo>
                                  <a:pt x="24066" y="34861"/>
                                </a:lnTo>
                                <a:cubicBezTo>
                                  <a:pt x="23672" y="18542"/>
                                  <a:pt x="16205" y="10389"/>
                                  <a:pt x="1638" y="10389"/>
                                </a:cubicBezTo>
                                <a:lnTo>
                                  <a:pt x="0" y="10986"/>
                                </a:lnTo>
                                <a:lnTo>
                                  <a:pt x="0" y="433"/>
                                </a:lnTo>
                                <a:lnTo>
                                  <a:pt x="2349"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2" name="Shape 112"/>
                        <wps:cNvSpPr/>
                        <wps:spPr>
                          <a:xfrm>
                            <a:off x="5760035" y="184175"/>
                            <a:ext cx="96647" cy="109424"/>
                          </a:xfrm>
                          <a:custGeom>
                            <a:avLst/>
                            <a:gdLst/>
                            <a:ahLst/>
                            <a:cxnLst/>
                            <a:rect l="0" t="0" r="0" b="0"/>
                            <a:pathLst>
                              <a:path w="96647" h="109424">
                                <a:moveTo>
                                  <a:pt x="0" y="0"/>
                                </a:moveTo>
                                <a:lnTo>
                                  <a:pt x="17285" y="0"/>
                                </a:lnTo>
                                <a:lnTo>
                                  <a:pt x="48285" y="62942"/>
                                </a:lnTo>
                                <a:lnTo>
                                  <a:pt x="79222" y="0"/>
                                </a:lnTo>
                                <a:lnTo>
                                  <a:pt x="96647" y="0"/>
                                </a:lnTo>
                                <a:lnTo>
                                  <a:pt x="96647" y="109424"/>
                                </a:lnTo>
                                <a:lnTo>
                                  <a:pt x="83134" y="109424"/>
                                </a:lnTo>
                                <a:lnTo>
                                  <a:pt x="83134" y="15456"/>
                                </a:lnTo>
                                <a:lnTo>
                                  <a:pt x="51549" y="79629"/>
                                </a:lnTo>
                                <a:lnTo>
                                  <a:pt x="44145" y="79629"/>
                                </a:lnTo>
                                <a:lnTo>
                                  <a:pt x="12560" y="15456"/>
                                </a:lnTo>
                                <a:lnTo>
                                  <a:pt x="12560" y="109424"/>
                                </a:lnTo>
                                <a:lnTo>
                                  <a:pt x="0" y="109424"/>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3" name="Shape 113"/>
                        <wps:cNvSpPr/>
                        <wps:spPr>
                          <a:xfrm>
                            <a:off x="5876430" y="209656"/>
                            <a:ext cx="37141" cy="84909"/>
                          </a:xfrm>
                          <a:custGeom>
                            <a:avLst/>
                            <a:gdLst/>
                            <a:ahLst/>
                            <a:cxnLst/>
                            <a:rect l="0" t="0" r="0" b="0"/>
                            <a:pathLst>
                              <a:path w="37141" h="84909">
                                <a:moveTo>
                                  <a:pt x="37141" y="0"/>
                                </a:moveTo>
                                <a:lnTo>
                                  <a:pt x="37141" y="10554"/>
                                </a:lnTo>
                                <a:lnTo>
                                  <a:pt x="20917" y="16493"/>
                                </a:lnTo>
                                <a:cubicBezTo>
                                  <a:pt x="16370" y="20837"/>
                                  <a:pt x="13754" y="26818"/>
                                  <a:pt x="13068" y="34413"/>
                                </a:cubicBezTo>
                                <a:lnTo>
                                  <a:pt x="37141" y="34413"/>
                                </a:lnTo>
                                <a:lnTo>
                                  <a:pt x="37141" y="44077"/>
                                </a:lnTo>
                                <a:lnTo>
                                  <a:pt x="13068" y="44077"/>
                                </a:lnTo>
                                <a:cubicBezTo>
                                  <a:pt x="13068" y="53946"/>
                                  <a:pt x="15748" y="61540"/>
                                  <a:pt x="21107" y="66835"/>
                                </a:cubicBezTo>
                                <a:lnTo>
                                  <a:pt x="37141" y="72581"/>
                                </a:lnTo>
                                <a:lnTo>
                                  <a:pt x="37141" y="84909"/>
                                </a:lnTo>
                                <a:lnTo>
                                  <a:pt x="24882" y="83046"/>
                                </a:lnTo>
                                <a:cubicBezTo>
                                  <a:pt x="19586" y="81203"/>
                                  <a:pt x="15056" y="78437"/>
                                  <a:pt x="11290" y="74748"/>
                                </a:cubicBezTo>
                                <a:cubicBezTo>
                                  <a:pt x="3772" y="67369"/>
                                  <a:pt x="0" y="56930"/>
                                  <a:pt x="0" y="43417"/>
                                </a:cubicBezTo>
                                <a:cubicBezTo>
                                  <a:pt x="0" y="30006"/>
                                  <a:pt x="3619" y="19338"/>
                                  <a:pt x="10820" y="11438"/>
                                </a:cubicBezTo>
                                <a:cubicBezTo>
                                  <a:pt x="14427" y="7476"/>
                                  <a:pt x="18621" y="4507"/>
                                  <a:pt x="23402" y="2529"/>
                                </a:cubicBezTo>
                                <a:lnTo>
                                  <a:pt x="37141"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4" name="Shape 114"/>
                        <wps:cNvSpPr/>
                        <wps:spPr>
                          <a:xfrm>
                            <a:off x="5913571" y="274638"/>
                            <a:ext cx="34893" cy="20828"/>
                          </a:xfrm>
                          <a:custGeom>
                            <a:avLst/>
                            <a:gdLst/>
                            <a:ahLst/>
                            <a:cxnLst/>
                            <a:rect l="0" t="0" r="0" b="0"/>
                            <a:pathLst>
                              <a:path w="34893" h="20828">
                                <a:moveTo>
                                  <a:pt x="34309" y="0"/>
                                </a:moveTo>
                                <a:lnTo>
                                  <a:pt x="34893" y="0"/>
                                </a:lnTo>
                                <a:lnTo>
                                  <a:pt x="34893" y="13869"/>
                                </a:lnTo>
                                <a:cubicBezTo>
                                  <a:pt x="23222" y="18517"/>
                                  <a:pt x="13583" y="20828"/>
                                  <a:pt x="5924" y="20828"/>
                                </a:cubicBezTo>
                                <a:lnTo>
                                  <a:pt x="0" y="19927"/>
                                </a:lnTo>
                                <a:lnTo>
                                  <a:pt x="0" y="7600"/>
                                </a:lnTo>
                                <a:lnTo>
                                  <a:pt x="6153" y="9805"/>
                                </a:lnTo>
                                <a:cubicBezTo>
                                  <a:pt x="15525" y="9805"/>
                                  <a:pt x="24911" y="6541"/>
                                  <a:pt x="34309"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5" name="Shape 115"/>
                        <wps:cNvSpPr/>
                        <wps:spPr>
                          <a:xfrm>
                            <a:off x="5913571" y="209220"/>
                            <a:ext cx="36557" cy="44514"/>
                          </a:xfrm>
                          <a:custGeom>
                            <a:avLst/>
                            <a:gdLst/>
                            <a:ahLst/>
                            <a:cxnLst/>
                            <a:rect l="0" t="0" r="0" b="0"/>
                            <a:pathLst>
                              <a:path w="36557" h="44514">
                                <a:moveTo>
                                  <a:pt x="2368" y="0"/>
                                </a:moveTo>
                                <a:cubicBezTo>
                                  <a:pt x="13202" y="0"/>
                                  <a:pt x="21622" y="3239"/>
                                  <a:pt x="27591" y="9728"/>
                                </a:cubicBezTo>
                                <a:cubicBezTo>
                                  <a:pt x="33572" y="16218"/>
                                  <a:pt x="36557" y="25451"/>
                                  <a:pt x="36557" y="37465"/>
                                </a:cubicBezTo>
                                <a:lnTo>
                                  <a:pt x="36557" y="44514"/>
                                </a:lnTo>
                                <a:lnTo>
                                  <a:pt x="0" y="44514"/>
                                </a:lnTo>
                                <a:lnTo>
                                  <a:pt x="0" y="34849"/>
                                </a:lnTo>
                                <a:lnTo>
                                  <a:pt x="24073" y="34849"/>
                                </a:lnTo>
                                <a:cubicBezTo>
                                  <a:pt x="23692" y="18542"/>
                                  <a:pt x="16199" y="10389"/>
                                  <a:pt x="1645" y="10389"/>
                                </a:cubicBezTo>
                                <a:lnTo>
                                  <a:pt x="0" y="10991"/>
                                </a:lnTo>
                                <a:lnTo>
                                  <a:pt x="0" y="436"/>
                                </a:lnTo>
                                <a:lnTo>
                                  <a:pt x="2368"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6" name="Shape 116"/>
                        <wps:cNvSpPr/>
                        <wps:spPr>
                          <a:xfrm>
                            <a:off x="5962396" y="209220"/>
                            <a:ext cx="36056" cy="86627"/>
                          </a:xfrm>
                          <a:custGeom>
                            <a:avLst/>
                            <a:gdLst/>
                            <a:ahLst/>
                            <a:cxnLst/>
                            <a:rect l="0" t="0" r="0" b="0"/>
                            <a:pathLst>
                              <a:path w="36056" h="86627">
                                <a:moveTo>
                                  <a:pt x="36017" y="0"/>
                                </a:moveTo>
                                <a:lnTo>
                                  <a:pt x="36056" y="11"/>
                                </a:lnTo>
                                <a:lnTo>
                                  <a:pt x="36056" y="12616"/>
                                </a:lnTo>
                                <a:lnTo>
                                  <a:pt x="19965" y="19863"/>
                                </a:lnTo>
                                <a:cubicBezTo>
                                  <a:pt x="15469" y="25489"/>
                                  <a:pt x="13221" y="33427"/>
                                  <a:pt x="13221" y="43624"/>
                                </a:cubicBezTo>
                                <a:cubicBezTo>
                                  <a:pt x="13221" y="64262"/>
                                  <a:pt x="20600" y="74575"/>
                                  <a:pt x="35370" y="74575"/>
                                </a:cubicBezTo>
                                <a:lnTo>
                                  <a:pt x="36056" y="74437"/>
                                </a:lnTo>
                                <a:lnTo>
                                  <a:pt x="36056" y="85710"/>
                                </a:lnTo>
                                <a:lnTo>
                                  <a:pt x="31738" y="86627"/>
                                </a:lnTo>
                                <a:cubicBezTo>
                                  <a:pt x="22060" y="86627"/>
                                  <a:pt x="14339" y="82830"/>
                                  <a:pt x="8598" y="75223"/>
                                </a:cubicBezTo>
                                <a:cubicBezTo>
                                  <a:pt x="2870" y="67615"/>
                                  <a:pt x="0" y="57239"/>
                                  <a:pt x="0" y="44082"/>
                                </a:cubicBezTo>
                                <a:cubicBezTo>
                                  <a:pt x="0" y="31052"/>
                                  <a:pt x="3455" y="20448"/>
                                  <a:pt x="10389" y="12256"/>
                                </a:cubicBezTo>
                                <a:cubicBezTo>
                                  <a:pt x="17311" y="4090"/>
                                  <a:pt x="25857" y="0"/>
                                  <a:pt x="36017"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7" name="Shape 117"/>
                        <wps:cNvSpPr/>
                        <wps:spPr>
                          <a:xfrm>
                            <a:off x="5998452" y="179312"/>
                            <a:ext cx="35623" cy="115619"/>
                          </a:xfrm>
                          <a:custGeom>
                            <a:avLst/>
                            <a:gdLst/>
                            <a:ahLst/>
                            <a:cxnLst/>
                            <a:rect l="0" t="0" r="0" b="0"/>
                            <a:pathLst>
                              <a:path w="35623" h="115619">
                                <a:moveTo>
                                  <a:pt x="22834" y="0"/>
                                </a:moveTo>
                                <a:lnTo>
                                  <a:pt x="35623" y="0"/>
                                </a:lnTo>
                                <a:lnTo>
                                  <a:pt x="35623" y="114288"/>
                                </a:lnTo>
                                <a:lnTo>
                                  <a:pt x="22834" y="114288"/>
                                </a:lnTo>
                                <a:lnTo>
                                  <a:pt x="22834" y="105194"/>
                                </a:lnTo>
                                <a:cubicBezTo>
                                  <a:pt x="18167" y="108972"/>
                                  <a:pt x="13570" y="111808"/>
                                  <a:pt x="9044" y="113698"/>
                                </a:cubicBezTo>
                                <a:lnTo>
                                  <a:pt x="0" y="115619"/>
                                </a:lnTo>
                                <a:lnTo>
                                  <a:pt x="0" y="104346"/>
                                </a:lnTo>
                                <a:lnTo>
                                  <a:pt x="11402" y="102065"/>
                                </a:lnTo>
                                <a:cubicBezTo>
                                  <a:pt x="15322" y="100454"/>
                                  <a:pt x="19132" y="98038"/>
                                  <a:pt x="22834" y="94818"/>
                                </a:cubicBezTo>
                                <a:lnTo>
                                  <a:pt x="22834" y="46241"/>
                                </a:lnTo>
                                <a:cubicBezTo>
                                  <a:pt x="15671" y="42938"/>
                                  <a:pt x="8966" y="41301"/>
                                  <a:pt x="2718" y="41301"/>
                                </a:cubicBezTo>
                                <a:lnTo>
                                  <a:pt x="0" y="42525"/>
                                </a:lnTo>
                                <a:lnTo>
                                  <a:pt x="0" y="29919"/>
                                </a:lnTo>
                                <a:lnTo>
                                  <a:pt x="22834" y="36373"/>
                                </a:lnTo>
                                <a:lnTo>
                                  <a:pt x="22834"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884" name="Shape 16884"/>
                        <wps:cNvSpPr/>
                        <wps:spPr>
                          <a:xfrm>
                            <a:off x="6058903" y="211537"/>
                            <a:ext cx="12776" cy="82061"/>
                          </a:xfrm>
                          <a:custGeom>
                            <a:avLst/>
                            <a:gdLst/>
                            <a:ahLst/>
                            <a:cxnLst/>
                            <a:rect l="0" t="0" r="0" b="0"/>
                            <a:pathLst>
                              <a:path w="12776" h="82061">
                                <a:moveTo>
                                  <a:pt x="0" y="0"/>
                                </a:moveTo>
                                <a:lnTo>
                                  <a:pt x="12776" y="0"/>
                                </a:lnTo>
                                <a:lnTo>
                                  <a:pt x="12776" y="82061"/>
                                </a:lnTo>
                                <a:lnTo>
                                  <a:pt x="0" y="82061"/>
                                </a:lnTo>
                                <a:lnTo>
                                  <a:pt x="0" y="0"/>
                                </a:lnTo>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19" name="Shape 119"/>
                        <wps:cNvSpPr/>
                        <wps:spPr>
                          <a:xfrm>
                            <a:off x="6090501" y="209512"/>
                            <a:ext cx="65634" cy="85954"/>
                          </a:xfrm>
                          <a:custGeom>
                            <a:avLst/>
                            <a:gdLst/>
                            <a:ahLst/>
                            <a:cxnLst/>
                            <a:rect l="0" t="0" r="0" b="0"/>
                            <a:pathLst>
                              <a:path w="65634" h="85954">
                                <a:moveTo>
                                  <a:pt x="39993" y="0"/>
                                </a:moveTo>
                                <a:cubicBezTo>
                                  <a:pt x="48096" y="0"/>
                                  <a:pt x="56617" y="2248"/>
                                  <a:pt x="65634" y="6744"/>
                                </a:cubicBezTo>
                                <a:lnTo>
                                  <a:pt x="65634" y="20981"/>
                                </a:lnTo>
                                <a:lnTo>
                                  <a:pt x="65050" y="20981"/>
                                </a:lnTo>
                                <a:cubicBezTo>
                                  <a:pt x="55995" y="14351"/>
                                  <a:pt x="47549" y="11037"/>
                                  <a:pt x="39701" y="11037"/>
                                </a:cubicBezTo>
                                <a:cubicBezTo>
                                  <a:pt x="31331" y="11037"/>
                                  <a:pt x="24829" y="13818"/>
                                  <a:pt x="20181" y="19380"/>
                                </a:cubicBezTo>
                                <a:cubicBezTo>
                                  <a:pt x="15532" y="24943"/>
                                  <a:pt x="13208" y="32893"/>
                                  <a:pt x="13208" y="43206"/>
                                </a:cubicBezTo>
                                <a:cubicBezTo>
                                  <a:pt x="13208" y="53505"/>
                                  <a:pt x="15520" y="61379"/>
                                  <a:pt x="20143" y="66790"/>
                                </a:cubicBezTo>
                                <a:cubicBezTo>
                                  <a:pt x="24765" y="72225"/>
                                  <a:pt x="31280" y="74930"/>
                                  <a:pt x="39701" y="74930"/>
                                </a:cubicBezTo>
                                <a:cubicBezTo>
                                  <a:pt x="47790" y="74930"/>
                                  <a:pt x="56249" y="71666"/>
                                  <a:pt x="65050" y="65125"/>
                                </a:cubicBezTo>
                                <a:lnTo>
                                  <a:pt x="65634" y="65125"/>
                                </a:lnTo>
                                <a:lnTo>
                                  <a:pt x="65634" y="79070"/>
                                </a:lnTo>
                                <a:cubicBezTo>
                                  <a:pt x="55804" y="83668"/>
                                  <a:pt x="47244" y="85954"/>
                                  <a:pt x="39929" y="85954"/>
                                </a:cubicBezTo>
                                <a:cubicBezTo>
                                  <a:pt x="27293" y="85954"/>
                                  <a:pt x="17476" y="82271"/>
                                  <a:pt x="10491" y="74854"/>
                                </a:cubicBezTo>
                                <a:cubicBezTo>
                                  <a:pt x="3480" y="67450"/>
                                  <a:pt x="0" y="56897"/>
                                  <a:pt x="0" y="43206"/>
                                </a:cubicBezTo>
                                <a:cubicBezTo>
                                  <a:pt x="0" y="29794"/>
                                  <a:pt x="3594" y="19241"/>
                                  <a:pt x="10808" y="11544"/>
                                </a:cubicBezTo>
                                <a:cubicBezTo>
                                  <a:pt x="18021" y="3849"/>
                                  <a:pt x="27750" y="0"/>
                                  <a:pt x="39993"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885" name="Shape 16885"/>
                        <wps:cNvSpPr/>
                        <wps:spPr>
                          <a:xfrm>
                            <a:off x="6172035" y="211537"/>
                            <a:ext cx="12776" cy="82061"/>
                          </a:xfrm>
                          <a:custGeom>
                            <a:avLst/>
                            <a:gdLst/>
                            <a:ahLst/>
                            <a:cxnLst/>
                            <a:rect l="0" t="0" r="0" b="0"/>
                            <a:pathLst>
                              <a:path w="12776" h="82061">
                                <a:moveTo>
                                  <a:pt x="0" y="0"/>
                                </a:moveTo>
                                <a:lnTo>
                                  <a:pt x="12776" y="0"/>
                                </a:lnTo>
                                <a:lnTo>
                                  <a:pt x="12776" y="82061"/>
                                </a:lnTo>
                                <a:lnTo>
                                  <a:pt x="0" y="82061"/>
                                </a:lnTo>
                                <a:lnTo>
                                  <a:pt x="0" y="0"/>
                                </a:lnTo>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1" name="Shape 121"/>
                        <wps:cNvSpPr/>
                        <wps:spPr>
                          <a:xfrm>
                            <a:off x="6209653" y="209207"/>
                            <a:ext cx="67805" cy="84392"/>
                          </a:xfrm>
                          <a:custGeom>
                            <a:avLst/>
                            <a:gdLst/>
                            <a:ahLst/>
                            <a:cxnLst/>
                            <a:rect l="0" t="0" r="0" b="0"/>
                            <a:pathLst>
                              <a:path w="67805" h="84392">
                                <a:moveTo>
                                  <a:pt x="41313" y="0"/>
                                </a:moveTo>
                                <a:cubicBezTo>
                                  <a:pt x="49771" y="0"/>
                                  <a:pt x="56311" y="2655"/>
                                  <a:pt x="60909" y="7951"/>
                                </a:cubicBezTo>
                                <a:cubicBezTo>
                                  <a:pt x="65506" y="13259"/>
                                  <a:pt x="67805" y="20930"/>
                                  <a:pt x="67805" y="30938"/>
                                </a:cubicBezTo>
                                <a:lnTo>
                                  <a:pt x="67805" y="84392"/>
                                </a:lnTo>
                                <a:lnTo>
                                  <a:pt x="55029" y="84392"/>
                                </a:lnTo>
                                <a:lnTo>
                                  <a:pt x="55029" y="38418"/>
                                </a:lnTo>
                                <a:cubicBezTo>
                                  <a:pt x="55029" y="27763"/>
                                  <a:pt x="53619" y="20714"/>
                                  <a:pt x="50812" y="17247"/>
                                </a:cubicBezTo>
                                <a:cubicBezTo>
                                  <a:pt x="48006" y="13792"/>
                                  <a:pt x="43383" y="12053"/>
                                  <a:pt x="36944" y="12053"/>
                                </a:cubicBezTo>
                                <a:cubicBezTo>
                                  <a:pt x="29349" y="12053"/>
                                  <a:pt x="21298" y="15596"/>
                                  <a:pt x="12776" y="22657"/>
                                </a:cubicBezTo>
                                <a:lnTo>
                                  <a:pt x="12776" y="84392"/>
                                </a:lnTo>
                                <a:lnTo>
                                  <a:pt x="0" y="84392"/>
                                </a:lnTo>
                                <a:lnTo>
                                  <a:pt x="0" y="2337"/>
                                </a:lnTo>
                                <a:lnTo>
                                  <a:pt x="12776" y="2337"/>
                                </a:lnTo>
                                <a:lnTo>
                                  <a:pt x="12776" y="12205"/>
                                </a:lnTo>
                                <a:cubicBezTo>
                                  <a:pt x="22403" y="4077"/>
                                  <a:pt x="31915" y="0"/>
                                  <a:pt x="41313"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2" name="Shape 122"/>
                        <wps:cNvSpPr/>
                        <wps:spPr>
                          <a:xfrm>
                            <a:off x="6295542" y="209652"/>
                            <a:ext cx="37148" cy="84913"/>
                          </a:xfrm>
                          <a:custGeom>
                            <a:avLst/>
                            <a:gdLst/>
                            <a:ahLst/>
                            <a:cxnLst/>
                            <a:rect l="0" t="0" r="0" b="0"/>
                            <a:pathLst>
                              <a:path w="37148" h="84913">
                                <a:moveTo>
                                  <a:pt x="37148" y="0"/>
                                </a:moveTo>
                                <a:lnTo>
                                  <a:pt x="37148" y="10556"/>
                                </a:lnTo>
                                <a:lnTo>
                                  <a:pt x="20930" y="16497"/>
                                </a:lnTo>
                                <a:cubicBezTo>
                                  <a:pt x="16370" y="20841"/>
                                  <a:pt x="13742" y="26822"/>
                                  <a:pt x="13081" y="34417"/>
                                </a:cubicBezTo>
                                <a:lnTo>
                                  <a:pt x="37148" y="34417"/>
                                </a:lnTo>
                                <a:lnTo>
                                  <a:pt x="37148" y="44081"/>
                                </a:lnTo>
                                <a:lnTo>
                                  <a:pt x="13081" y="44081"/>
                                </a:lnTo>
                                <a:cubicBezTo>
                                  <a:pt x="13081" y="53949"/>
                                  <a:pt x="15749" y="61544"/>
                                  <a:pt x="21095" y="66839"/>
                                </a:cubicBezTo>
                                <a:lnTo>
                                  <a:pt x="37148" y="72592"/>
                                </a:lnTo>
                                <a:lnTo>
                                  <a:pt x="37148" y="84913"/>
                                </a:lnTo>
                                <a:lnTo>
                                  <a:pt x="24888" y="83050"/>
                                </a:lnTo>
                                <a:cubicBezTo>
                                  <a:pt x="19593" y="81207"/>
                                  <a:pt x="15063" y="78441"/>
                                  <a:pt x="11291" y="74752"/>
                                </a:cubicBezTo>
                                <a:cubicBezTo>
                                  <a:pt x="3773" y="67373"/>
                                  <a:pt x="0" y="56934"/>
                                  <a:pt x="0" y="43421"/>
                                </a:cubicBezTo>
                                <a:cubicBezTo>
                                  <a:pt x="0" y="30010"/>
                                  <a:pt x="3620" y="19341"/>
                                  <a:pt x="10821" y="11442"/>
                                </a:cubicBezTo>
                                <a:cubicBezTo>
                                  <a:pt x="14428" y="7479"/>
                                  <a:pt x="18622" y="4511"/>
                                  <a:pt x="23402" y="2533"/>
                                </a:cubicBezTo>
                                <a:lnTo>
                                  <a:pt x="37148"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3" name="Shape 123"/>
                        <wps:cNvSpPr/>
                        <wps:spPr>
                          <a:xfrm>
                            <a:off x="6332690" y="274638"/>
                            <a:ext cx="34887" cy="20828"/>
                          </a:xfrm>
                          <a:custGeom>
                            <a:avLst/>
                            <a:gdLst/>
                            <a:ahLst/>
                            <a:cxnLst/>
                            <a:rect l="0" t="0" r="0" b="0"/>
                            <a:pathLst>
                              <a:path w="34887" h="20828">
                                <a:moveTo>
                                  <a:pt x="34303" y="0"/>
                                </a:moveTo>
                                <a:lnTo>
                                  <a:pt x="34887" y="0"/>
                                </a:lnTo>
                                <a:lnTo>
                                  <a:pt x="34887" y="13869"/>
                                </a:lnTo>
                                <a:cubicBezTo>
                                  <a:pt x="23216" y="18517"/>
                                  <a:pt x="13564" y="20828"/>
                                  <a:pt x="5918" y="20828"/>
                                </a:cubicBezTo>
                                <a:lnTo>
                                  <a:pt x="0" y="19928"/>
                                </a:lnTo>
                                <a:lnTo>
                                  <a:pt x="0" y="7607"/>
                                </a:lnTo>
                                <a:lnTo>
                                  <a:pt x="6134" y="9805"/>
                                </a:lnTo>
                                <a:cubicBezTo>
                                  <a:pt x="15519" y="9805"/>
                                  <a:pt x="24917" y="6541"/>
                                  <a:pt x="34303"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4" name="Shape 124"/>
                        <wps:cNvSpPr/>
                        <wps:spPr>
                          <a:xfrm>
                            <a:off x="6332690" y="209220"/>
                            <a:ext cx="36550" cy="44514"/>
                          </a:xfrm>
                          <a:custGeom>
                            <a:avLst/>
                            <a:gdLst/>
                            <a:ahLst/>
                            <a:cxnLst/>
                            <a:rect l="0" t="0" r="0" b="0"/>
                            <a:pathLst>
                              <a:path w="36550" h="44514">
                                <a:moveTo>
                                  <a:pt x="2349" y="0"/>
                                </a:moveTo>
                                <a:cubicBezTo>
                                  <a:pt x="13208" y="0"/>
                                  <a:pt x="21615" y="3239"/>
                                  <a:pt x="27584" y="9728"/>
                                </a:cubicBezTo>
                                <a:cubicBezTo>
                                  <a:pt x="33566" y="16218"/>
                                  <a:pt x="36550" y="25451"/>
                                  <a:pt x="36550" y="37465"/>
                                </a:cubicBezTo>
                                <a:lnTo>
                                  <a:pt x="36550" y="44514"/>
                                </a:lnTo>
                                <a:lnTo>
                                  <a:pt x="0" y="44514"/>
                                </a:lnTo>
                                <a:lnTo>
                                  <a:pt x="0" y="34849"/>
                                </a:lnTo>
                                <a:lnTo>
                                  <a:pt x="24066" y="34849"/>
                                </a:lnTo>
                                <a:cubicBezTo>
                                  <a:pt x="23685" y="18542"/>
                                  <a:pt x="16205" y="10389"/>
                                  <a:pt x="1638" y="10389"/>
                                </a:cubicBezTo>
                                <a:lnTo>
                                  <a:pt x="0" y="10988"/>
                                </a:lnTo>
                                <a:lnTo>
                                  <a:pt x="0" y="433"/>
                                </a:lnTo>
                                <a:lnTo>
                                  <a:pt x="2349"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5" name="Shape 125"/>
                        <wps:cNvSpPr/>
                        <wps:spPr>
                          <a:xfrm>
                            <a:off x="6325718" y="55270"/>
                            <a:ext cx="10122" cy="10643"/>
                          </a:xfrm>
                          <a:custGeom>
                            <a:avLst/>
                            <a:gdLst/>
                            <a:ahLst/>
                            <a:cxnLst/>
                            <a:rect l="0" t="0" r="0" b="0"/>
                            <a:pathLst>
                              <a:path w="10122" h="10643">
                                <a:moveTo>
                                  <a:pt x="5373" y="178"/>
                                </a:moveTo>
                                <a:cubicBezTo>
                                  <a:pt x="8065" y="343"/>
                                  <a:pt x="10122" y="2794"/>
                                  <a:pt x="9944" y="5626"/>
                                </a:cubicBezTo>
                                <a:cubicBezTo>
                                  <a:pt x="9779" y="8483"/>
                                  <a:pt x="7430" y="10643"/>
                                  <a:pt x="4738" y="10478"/>
                                </a:cubicBezTo>
                                <a:cubicBezTo>
                                  <a:pt x="2032" y="10313"/>
                                  <a:pt x="0" y="7874"/>
                                  <a:pt x="178" y="5029"/>
                                </a:cubicBezTo>
                                <a:cubicBezTo>
                                  <a:pt x="343" y="2184"/>
                                  <a:pt x="2667" y="0"/>
                                  <a:pt x="5373" y="178"/>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7" name="Shape 127"/>
                        <wps:cNvSpPr/>
                        <wps:spPr>
                          <a:xfrm>
                            <a:off x="6468923" y="175031"/>
                            <a:ext cx="10084" cy="10617"/>
                          </a:xfrm>
                          <a:custGeom>
                            <a:avLst/>
                            <a:gdLst/>
                            <a:ahLst/>
                            <a:cxnLst/>
                            <a:rect l="0" t="0" r="0" b="0"/>
                            <a:pathLst>
                              <a:path w="10084" h="10617">
                                <a:moveTo>
                                  <a:pt x="5359" y="165"/>
                                </a:moveTo>
                                <a:cubicBezTo>
                                  <a:pt x="8065" y="330"/>
                                  <a:pt x="10084" y="2769"/>
                                  <a:pt x="9919" y="5614"/>
                                </a:cubicBezTo>
                                <a:cubicBezTo>
                                  <a:pt x="9741" y="8433"/>
                                  <a:pt x="7417" y="10617"/>
                                  <a:pt x="4725" y="10440"/>
                                </a:cubicBezTo>
                                <a:cubicBezTo>
                                  <a:pt x="2019" y="10287"/>
                                  <a:pt x="0" y="7836"/>
                                  <a:pt x="165" y="5004"/>
                                </a:cubicBezTo>
                                <a:cubicBezTo>
                                  <a:pt x="356" y="2172"/>
                                  <a:pt x="2654" y="0"/>
                                  <a:pt x="5359" y="165"/>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8" name="Shape 128"/>
                        <wps:cNvSpPr/>
                        <wps:spPr>
                          <a:xfrm>
                            <a:off x="6344488" y="45390"/>
                            <a:ext cx="14529" cy="15278"/>
                          </a:xfrm>
                          <a:custGeom>
                            <a:avLst/>
                            <a:gdLst/>
                            <a:ahLst/>
                            <a:cxnLst/>
                            <a:rect l="0" t="0" r="0" b="0"/>
                            <a:pathLst>
                              <a:path w="14529" h="15278">
                                <a:moveTo>
                                  <a:pt x="7722" y="241"/>
                                </a:moveTo>
                                <a:cubicBezTo>
                                  <a:pt x="11595" y="482"/>
                                  <a:pt x="14529" y="3975"/>
                                  <a:pt x="14275" y="8077"/>
                                </a:cubicBezTo>
                                <a:cubicBezTo>
                                  <a:pt x="14034" y="12154"/>
                                  <a:pt x="10694" y="15278"/>
                                  <a:pt x="6807" y="15036"/>
                                </a:cubicBezTo>
                                <a:cubicBezTo>
                                  <a:pt x="2934" y="14795"/>
                                  <a:pt x="0" y="11290"/>
                                  <a:pt x="242" y="7214"/>
                                </a:cubicBezTo>
                                <a:cubicBezTo>
                                  <a:pt x="495" y="3124"/>
                                  <a:pt x="3849" y="0"/>
                                  <a:pt x="7722" y="241"/>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29" name="Shape 129"/>
                        <wps:cNvSpPr/>
                        <wps:spPr>
                          <a:xfrm>
                            <a:off x="6443257" y="183286"/>
                            <a:ext cx="14554" cy="15291"/>
                          </a:xfrm>
                          <a:custGeom>
                            <a:avLst/>
                            <a:gdLst/>
                            <a:ahLst/>
                            <a:cxnLst/>
                            <a:rect l="0" t="0" r="0" b="0"/>
                            <a:pathLst>
                              <a:path w="14554" h="15291">
                                <a:moveTo>
                                  <a:pt x="7722" y="254"/>
                                </a:moveTo>
                                <a:cubicBezTo>
                                  <a:pt x="11608" y="483"/>
                                  <a:pt x="14554" y="4001"/>
                                  <a:pt x="14313" y="8103"/>
                                </a:cubicBezTo>
                                <a:cubicBezTo>
                                  <a:pt x="14072" y="12167"/>
                                  <a:pt x="10694" y="15291"/>
                                  <a:pt x="6807" y="15062"/>
                                </a:cubicBezTo>
                                <a:cubicBezTo>
                                  <a:pt x="2946" y="14821"/>
                                  <a:pt x="0" y="11290"/>
                                  <a:pt x="242" y="7227"/>
                                </a:cubicBezTo>
                                <a:cubicBezTo>
                                  <a:pt x="508" y="3137"/>
                                  <a:pt x="3861" y="0"/>
                                  <a:pt x="7722" y="254"/>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0" name="Shape 130"/>
                        <wps:cNvSpPr/>
                        <wps:spPr>
                          <a:xfrm>
                            <a:off x="6361824" y="49034"/>
                            <a:ext cx="18948" cy="19952"/>
                          </a:xfrm>
                          <a:custGeom>
                            <a:avLst/>
                            <a:gdLst/>
                            <a:ahLst/>
                            <a:cxnLst/>
                            <a:rect l="0" t="0" r="0" b="0"/>
                            <a:pathLst>
                              <a:path w="18948" h="19952">
                                <a:moveTo>
                                  <a:pt x="10058" y="318"/>
                                </a:moveTo>
                                <a:cubicBezTo>
                                  <a:pt x="15113" y="622"/>
                                  <a:pt x="18948" y="5220"/>
                                  <a:pt x="18618" y="10541"/>
                                </a:cubicBezTo>
                                <a:cubicBezTo>
                                  <a:pt x="18288" y="15850"/>
                                  <a:pt x="13919" y="19952"/>
                                  <a:pt x="8865" y="19634"/>
                                </a:cubicBezTo>
                                <a:cubicBezTo>
                                  <a:pt x="3810" y="19317"/>
                                  <a:pt x="0" y="14732"/>
                                  <a:pt x="318" y="9423"/>
                                </a:cubicBezTo>
                                <a:cubicBezTo>
                                  <a:pt x="648" y="4090"/>
                                  <a:pt x="5004" y="0"/>
                                  <a:pt x="10058" y="318"/>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1" name="Shape 131"/>
                        <wps:cNvSpPr/>
                        <wps:spPr>
                          <a:xfrm>
                            <a:off x="6414085" y="175616"/>
                            <a:ext cx="18974" cy="19951"/>
                          </a:xfrm>
                          <a:custGeom>
                            <a:avLst/>
                            <a:gdLst/>
                            <a:ahLst/>
                            <a:cxnLst/>
                            <a:rect l="0" t="0" r="0" b="0"/>
                            <a:pathLst>
                              <a:path w="18974" h="19951">
                                <a:moveTo>
                                  <a:pt x="10084" y="305"/>
                                </a:moveTo>
                                <a:cubicBezTo>
                                  <a:pt x="15139" y="609"/>
                                  <a:pt x="18974" y="5194"/>
                                  <a:pt x="18644" y="10516"/>
                                </a:cubicBezTo>
                                <a:cubicBezTo>
                                  <a:pt x="18314" y="15863"/>
                                  <a:pt x="13945" y="19951"/>
                                  <a:pt x="8890" y="19634"/>
                                </a:cubicBezTo>
                                <a:cubicBezTo>
                                  <a:pt x="3835" y="19317"/>
                                  <a:pt x="0" y="14732"/>
                                  <a:pt x="330" y="9398"/>
                                </a:cubicBezTo>
                                <a:cubicBezTo>
                                  <a:pt x="660" y="4064"/>
                                  <a:pt x="5029" y="0"/>
                                  <a:pt x="10084" y="305"/>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2" name="Shape 132"/>
                        <wps:cNvSpPr/>
                        <wps:spPr>
                          <a:xfrm>
                            <a:off x="6374397" y="70917"/>
                            <a:ext cx="23406" cy="24574"/>
                          </a:xfrm>
                          <a:custGeom>
                            <a:avLst/>
                            <a:gdLst/>
                            <a:ahLst/>
                            <a:cxnLst/>
                            <a:rect l="0" t="0" r="0" b="0"/>
                            <a:pathLst>
                              <a:path w="23406" h="24574">
                                <a:moveTo>
                                  <a:pt x="12446" y="381"/>
                                </a:moveTo>
                                <a:cubicBezTo>
                                  <a:pt x="18694" y="762"/>
                                  <a:pt x="23406" y="6400"/>
                                  <a:pt x="22999" y="12979"/>
                                </a:cubicBezTo>
                                <a:cubicBezTo>
                                  <a:pt x="22593" y="19558"/>
                                  <a:pt x="17221" y="24574"/>
                                  <a:pt x="10998" y="24181"/>
                                </a:cubicBezTo>
                                <a:cubicBezTo>
                                  <a:pt x="4763" y="23813"/>
                                  <a:pt x="0" y="18173"/>
                                  <a:pt x="419" y="11582"/>
                                </a:cubicBezTo>
                                <a:cubicBezTo>
                                  <a:pt x="826" y="5016"/>
                                  <a:pt x="6197" y="0"/>
                                  <a:pt x="12446" y="381"/>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3" name="Shape 133"/>
                        <wps:cNvSpPr/>
                        <wps:spPr>
                          <a:xfrm>
                            <a:off x="6392787" y="144145"/>
                            <a:ext cx="23381" cy="24587"/>
                          </a:xfrm>
                          <a:custGeom>
                            <a:avLst/>
                            <a:gdLst/>
                            <a:ahLst/>
                            <a:cxnLst/>
                            <a:rect l="0" t="0" r="0" b="0"/>
                            <a:pathLst>
                              <a:path w="23381" h="24587">
                                <a:moveTo>
                                  <a:pt x="12421" y="381"/>
                                </a:moveTo>
                                <a:cubicBezTo>
                                  <a:pt x="18669" y="774"/>
                                  <a:pt x="23381" y="6400"/>
                                  <a:pt x="22987" y="12979"/>
                                </a:cubicBezTo>
                                <a:cubicBezTo>
                                  <a:pt x="22581" y="19558"/>
                                  <a:pt x="17208" y="24587"/>
                                  <a:pt x="10960" y="24206"/>
                                </a:cubicBezTo>
                                <a:cubicBezTo>
                                  <a:pt x="4725" y="23813"/>
                                  <a:pt x="0" y="18161"/>
                                  <a:pt x="406" y="11582"/>
                                </a:cubicBezTo>
                                <a:cubicBezTo>
                                  <a:pt x="800" y="5016"/>
                                  <a:pt x="6197" y="0"/>
                                  <a:pt x="12421" y="381"/>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4" name="Shape 134"/>
                        <wps:cNvSpPr/>
                        <wps:spPr>
                          <a:xfrm>
                            <a:off x="6380341" y="104890"/>
                            <a:ext cx="27825" cy="29235"/>
                          </a:xfrm>
                          <a:custGeom>
                            <a:avLst/>
                            <a:gdLst/>
                            <a:ahLst/>
                            <a:cxnLst/>
                            <a:rect l="0" t="0" r="0" b="0"/>
                            <a:pathLst>
                              <a:path w="27825" h="29235">
                                <a:moveTo>
                                  <a:pt x="14783" y="457"/>
                                </a:moveTo>
                                <a:cubicBezTo>
                                  <a:pt x="22199" y="901"/>
                                  <a:pt x="27825" y="7633"/>
                                  <a:pt x="27330" y="15443"/>
                                </a:cubicBezTo>
                                <a:cubicBezTo>
                                  <a:pt x="26860" y="23254"/>
                                  <a:pt x="20447" y="29235"/>
                                  <a:pt x="13055" y="28778"/>
                                </a:cubicBezTo>
                                <a:cubicBezTo>
                                  <a:pt x="5626" y="28321"/>
                                  <a:pt x="0" y="21603"/>
                                  <a:pt x="470" y="13792"/>
                                </a:cubicBezTo>
                                <a:cubicBezTo>
                                  <a:pt x="952" y="5982"/>
                                  <a:pt x="7365" y="0"/>
                                  <a:pt x="14783" y="457"/>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5" name="Shape 135"/>
                        <wps:cNvSpPr/>
                        <wps:spPr>
                          <a:xfrm>
                            <a:off x="6276416" y="88049"/>
                            <a:ext cx="10122" cy="10617"/>
                          </a:xfrm>
                          <a:custGeom>
                            <a:avLst/>
                            <a:gdLst/>
                            <a:ahLst/>
                            <a:cxnLst/>
                            <a:rect l="0" t="0" r="0" b="0"/>
                            <a:pathLst>
                              <a:path w="10122" h="10617">
                                <a:moveTo>
                                  <a:pt x="5373" y="165"/>
                                </a:moveTo>
                                <a:cubicBezTo>
                                  <a:pt x="8052" y="330"/>
                                  <a:pt x="10122" y="2756"/>
                                  <a:pt x="9944" y="5614"/>
                                </a:cubicBezTo>
                                <a:cubicBezTo>
                                  <a:pt x="9779" y="8446"/>
                                  <a:pt x="7430" y="10617"/>
                                  <a:pt x="4738" y="10465"/>
                                </a:cubicBezTo>
                                <a:cubicBezTo>
                                  <a:pt x="2045" y="10300"/>
                                  <a:pt x="0" y="7862"/>
                                  <a:pt x="165" y="5017"/>
                                </a:cubicBezTo>
                                <a:cubicBezTo>
                                  <a:pt x="343" y="2160"/>
                                  <a:pt x="2667" y="0"/>
                                  <a:pt x="5373" y="165"/>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36" name="Shape 136"/>
                        <wps:cNvSpPr/>
                        <wps:spPr>
                          <a:xfrm>
                            <a:off x="6368047" y="130264"/>
                            <a:ext cx="10122" cy="10642"/>
                          </a:xfrm>
                          <a:custGeom>
                            <a:avLst/>
                            <a:gdLst/>
                            <a:ahLst/>
                            <a:cxnLst/>
                            <a:rect l="0" t="0" r="0" b="0"/>
                            <a:pathLst>
                              <a:path w="10122" h="10642">
                                <a:moveTo>
                                  <a:pt x="5372" y="152"/>
                                </a:moveTo>
                                <a:cubicBezTo>
                                  <a:pt x="8065" y="330"/>
                                  <a:pt x="10122" y="2768"/>
                                  <a:pt x="9957" y="5600"/>
                                </a:cubicBezTo>
                                <a:cubicBezTo>
                                  <a:pt x="9766" y="8458"/>
                                  <a:pt x="7430" y="10642"/>
                                  <a:pt x="4737" y="10464"/>
                                </a:cubicBezTo>
                                <a:cubicBezTo>
                                  <a:pt x="2045" y="10299"/>
                                  <a:pt x="0" y="7861"/>
                                  <a:pt x="178" y="5004"/>
                                </a:cubicBezTo>
                                <a:cubicBezTo>
                                  <a:pt x="343" y="2171"/>
                                  <a:pt x="2680" y="0"/>
                                  <a:pt x="5372" y="152"/>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37" name="Shape 137"/>
                        <wps:cNvSpPr/>
                        <wps:spPr>
                          <a:xfrm>
                            <a:off x="6228270" y="12205"/>
                            <a:ext cx="10135" cy="10630"/>
                          </a:xfrm>
                          <a:custGeom>
                            <a:avLst/>
                            <a:gdLst/>
                            <a:ahLst/>
                            <a:cxnLst/>
                            <a:rect l="0" t="0" r="0" b="0"/>
                            <a:pathLst>
                              <a:path w="10135" h="10630">
                                <a:moveTo>
                                  <a:pt x="5359" y="165"/>
                                </a:moveTo>
                                <a:cubicBezTo>
                                  <a:pt x="8065" y="330"/>
                                  <a:pt x="10135" y="2769"/>
                                  <a:pt x="9944" y="5614"/>
                                </a:cubicBezTo>
                                <a:cubicBezTo>
                                  <a:pt x="9779" y="8458"/>
                                  <a:pt x="7430" y="10630"/>
                                  <a:pt x="4738" y="10465"/>
                                </a:cubicBezTo>
                                <a:cubicBezTo>
                                  <a:pt x="2032" y="10300"/>
                                  <a:pt x="0" y="7862"/>
                                  <a:pt x="191" y="5017"/>
                                </a:cubicBezTo>
                                <a:cubicBezTo>
                                  <a:pt x="356" y="2172"/>
                                  <a:pt x="2667" y="0"/>
                                  <a:pt x="5359" y="165"/>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38" name="Shape 138"/>
                        <wps:cNvSpPr/>
                        <wps:spPr>
                          <a:xfrm>
                            <a:off x="6349035" y="140564"/>
                            <a:ext cx="14554" cy="15278"/>
                          </a:xfrm>
                          <a:custGeom>
                            <a:avLst/>
                            <a:gdLst/>
                            <a:ahLst/>
                            <a:cxnLst/>
                            <a:rect l="0" t="0" r="0" b="0"/>
                            <a:pathLst>
                              <a:path w="14554" h="15278">
                                <a:moveTo>
                                  <a:pt x="7747" y="229"/>
                                </a:moveTo>
                                <a:cubicBezTo>
                                  <a:pt x="11608" y="470"/>
                                  <a:pt x="14554" y="3987"/>
                                  <a:pt x="14300" y="8077"/>
                                </a:cubicBezTo>
                                <a:cubicBezTo>
                                  <a:pt x="14059" y="12154"/>
                                  <a:pt x="10706" y="15278"/>
                                  <a:pt x="6832" y="15049"/>
                                </a:cubicBezTo>
                                <a:cubicBezTo>
                                  <a:pt x="2946" y="14808"/>
                                  <a:pt x="0" y="11290"/>
                                  <a:pt x="241" y="7214"/>
                                </a:cubicBezTo>
                                <a:cubicBezTo>
                                  <a:pt x="508" y="3124"/>
                                  <a:pt x="3835" y="0"/>
                                  <a:pt x="7747" y="229"/>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39" name="Shape 139"/>
                        <wps:cNvSpPr/>
                        <wps:spPr>
                          <a:xfrm>
                            <a:off x="6249683" y="0"/>
                            <a:ext cx="14567" cy="15291"/>
                          </a:xfrm>
                          <a:custGeom>
                            <a:avLst/>
                            <a:gdLst/>
                            <a:ahLst/>
                            <a:cxnLst/>
                            <a:rect l="0" t="0" r="0" b="0"/>
                            <a:pathLst>
                              <a:path w="14567" h="15291">
                                <a:moveTo>
                                  <a:pt x="7734" y="241"/>
                                </a:moveTo>
                                <a:cubicBezTo>
                                  <a:pt x="11595" y="483"/>
                                  <a:pt x="14567" y="3963"/>
                                  <a:pt x="14300" y="8065"/>
                                </a:cubicBezTo>
                                <a:cubicBezTo>
                                  <a:pt x="14059" y="12154"/>
                                  <a:pt x="10693" y="15291"/>
                                  <a:pt x="6820" y="15049"/>
                                </a:cubicBezTo>
                                <a:cubicBezTo>
                                  <a:pt x="2946" y="14808"/>
                                  <a:pt x="0" y="11291"/>
                                  <a:pt x="253" y="7201"/>
                                </a:cubicBezTo>
                                <a:cubicBezTo>
                                  <a:pt x="508" y="3111"/>
                                  <a:pt x="3860" y="0"/>
                                  <a:pt x="7734" y="241"/>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0" name="Shape 140"/>
                        <wps:cNvSpPr/>
                        <wps:spPr>
                          <a:xfrm>
                            <a:off x="6323217" y="132766"/>
                            <a:ext cx="18961" cy="19952"/>
                          </a:xfrm>
                          <a:custGeom>
                            <a:avLst/>
                            <a:gdLst/>
                            <a:ahLst/>
                            <a:cxnLst/>
                            <a:rect l="0" t="0" r="0" b="0"/>
                            <a:pathLst>
                              <a:path w="18961" h="19952">
                                <a:moveTo>
                                  <a:pt x="10071" y="305"/>
                                </a:moveTo>
                                <a:cubicBezTo>
                                  <a:pt x="15125" y="622"/>
                                  <a:pt x="18961" y="5207"/>
                                  <a:pt x="18631" y="10541"/>
                                </a:cubicBezTo>
                                <a:cubicBezTo>
                                  <a:pt x="18300" y="15875"/>
                                  <a:pt x="13957" y="19952"/>
                                  <a:pt x="8877" y="19634"/>
                                </a:cubicBezTo>
                                <a:cubicBezTo>
                                  <a:pt x="3848" y="19330"/>
                                  <a:pt x="0" y="14745"/>
                                  <a:pt x="317" y="9411"/>
                                </a:cubicBezTo>
                                <a:cubicBezTo>
                                  <a:pt x="660" y="4077"/>
                                  <a:pt x="5042" y="0"/>
                                  <a:pt x="10071" y="305"/>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1" name="Shape 141"/>
                        <wps:cNvSpPr/>
                        <wps:spPr>
                          <a:xfrm>
                            <a:off x="6269966" y="1931"/>
                            <a:ext cx="18999" cy="19939"/>
                          </a:xfrm>
                          <a:custGeom>
                            <a:avLst/>
                            <a:gdLst/>
                            <a:ahLst/>
                            <a:cxnLst/>
                            <a:rect l="0" t="0" r="0" b="0"/>
                            <a:pathLst>
                              <a:path w="18999" h="19939">
                                <a:moveTo>
                                  <a:pt x="10096" y="317"/>
                                </a:moveTo>
                                <a:cubicBezTo>
                                  <a:pt x="15151" y="622"/>
                                  <a:pt x="18999" y="5219"/>
                                  <a:pt x="18669" y="10528"/>
                                </a:cubicBezTo>
                                <a:cubicBezTo>
                                  <a:pt x="18338" y="15862"/>
                                  <a:pt x="13970" y="19939"/>
                                  <a:pt x="8915" y="19634"/>
                                </a:cubicBezTo>
                                <a:cubicBezTo>
                                  <a:pt x="3848" y="19317"/>
                                  <a:pt x="0" y="14732"/>
                                  <a:pt x="330" y="9410"/>
                                </a:cubicBezTo>
                                <a:cubicBezTo>
                                  <a:pt x="660" y="4089"/>
                                  <a:pt x="5042" y="0"/>
                                  <a:pt x="10096" y="317"/>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2" name="Shape 142"/>
                        <wps:cNvSpPr/>
                        <wps:spPr>
                          <a:xfrm>
                            <a:off x="6304992" y="100356"/>
                            <a:ext cx="23406" cy="24562"/>
                          </a:xfrm>
                          <a:custGeom>
                            <a:avLst/>
                            <a:gdLst/>
                            <a:ahLst/>
                            <a:cxnLst/>
                            <a:rect l="0" t="0" r="0" b="0"/>
                            <a:pathLst>
                              <a:path w="23406" h="24562">
                                <a:moveTo>
                                  <a:pt x="12420" y="368"/>
                                </a:moveTo>
                                <a:cubicBezTo>
                                  <a:pt x="18669" y="762"/>
                                  <a:pt x="23406" y="6400"/>
                                  <a:pt x="22999" y="12967"/>
                                </a:cubicBezTo>
                                <a:cubicBezTo>
                                  <a:pt x="22593" y="19558"/>
                                  <a:pt x="17208" y="24562"/>
                                  <a:pt x="10960" y="24181"/>
                                </a:cubicBezTo>
                                <a:cubicBezTo>
                                  <a:pt x="4749" y="23800"/>
                                  <a:pt x="0" y="18161"/>
                                  <a:pt x="406" y="11570"/>
                                </a:cubicBezTo>
                                <a:cubicBezTo>
                                  <a:pt x="812" y="5004"/>
                                  <a:pt x="6210" y="0"/>
                                  <a:pt x="12420" y="368"/>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3" name="Shape 143"/>
                        <wps:cNvSpPr/>
                        <wps:spPr>
                          <a:xfrm>
                            <a:off x="6281763" y="27826"/>
                            <a:ext cx="23406" cy="24587"/>
                          </a:xfrm>
                          <a:custGeom>
                            <a:avLst/>
                            <a:gdLst/>
                            <a:ahLst/>
                            <a:cxnLst/>
                            <a:rect l="0" t="0" r="0" b="0"/>
                            <a:pathLst>
                              <a:path w="23406" h="24587">
                                <a:moveTo>
                                  <a:pt x="12420" y="381"/>
                                </a:moveTo>
                                <a:cubicBezTo>
                                  <a:pt x="18656" y="774"/>
                                  <a:pt x="23406" y="6400"/>
                                  <a:pt x="22999" y="12979"/>
                                </a:cubicBezTo>
                                <a:cubicBezTo>
                                  <a:pt x="22593" y="19570"/>
                                  <a:pt x="17196" y="24587"/>
                                  <a:pt x="10947" y="24206"/>
                                </a:cubicBezTo>
                                <a:cubicBezTo>
                                  <a:pt x="4737" y="23825"/>
                                  <a:pt x="0" y="18186"/>
                                  <a:pt x="406" y="11595"/>
                                </a:cubicBezTo>
                                <a:cubicBezTo>
                                  <a:pt x="812" y="5016"/>
                                  <a:pt x="6197" y="0"/>
                                  <a:pt x="12420" y="381"/>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4" name="Shape 144"/>
                        <wps:cNvSpPr/>
                        <wps:spPr>
                          <a:xfrm>
                            <a:off x="6290374" y="61328"/>
                            <a:ext cx="27839" cy="29235"/>
                          </a:xfrm>
                          <a:custGeom>
                            <a:avLst/>
                            <a:gdLst/>
                            <a:ahLst/>
                            <a:cxnLst/>
                            <a:rect l="0" t="0" r="0" b="0"/>
                            <a:pathLst>
                              <a:path w="27839" h="29235">
                                <a:moveTo>
                                  <a:pt x="14808" y="457"/>
                                </a:moveTo>
                                <a:cubicBezTo>
                                  <a:pt x="22199" y="915"/>
                                  <a:pt x="27839" y="7607"/>
                                  <a:pt x="27356" y="15443"/>
                                </a:cubicBezTo>
                                <a:cubicBezTo>
                                  <a:pt x="26873" y="23267"/>
                                  <a:pt x="20485" y="29235"/>
                                  <a:pt x="13056" y="28791"/>
                                </a:cubicBezTo>
                                <a:cubicBezTo>
                                  <a:pt x="5652" y="28334"/>
                                  <a:pt x="0" y="21616"/>
                                  <a:pt x="495" y="13792"/>
                                </a:cubicBezTo>
                                <a:cubicBezTo>
                                  <a:pt x="977" y="5969"/>
                                  <a:pt x="7379" y="0"/>
                                  <a:pt x="14808" y="457"/>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5" name="Shape 145"/>
                        <wps:cNvSpPr/>
                        <wps:spPr>
                          <a:xfrm>
                            <a:off x="6414415" y="100279"/>
                            <a:ext cx="10122" cy="10630"/>
                          </a:xfrm>
                          <a:custGeom>
                            <a:avLst/>
                            <a:gdLst/>
                            <a:ahLst/>
                            <a:cxnLst/>
                            <a:rect l="0" t="0" r="0" b="0"/>
                            <a:pathLst>
                              <a:path w="10122" h="10630">
                                <a:moveTo>
                                  <a:pt x="5385" y="165"/>
                                </a:moveTo>
                                <a:cubicBezTo>
                                  <a:pt x="8077" y="318"/>
                                  <a:pt x="10122" y="2769"/>
                                  <a:pt x="9957" y="5614"/>
                                </a:cubicBezTo>
                                <a:cubicBezTo>
                                  <a:pt x="9779" y="8446"/>
                                  <a:pt x="7442" y="10630"/>
                                  <a:pt x="4750" y="10465"/>
                                </a:cubicBezTo>
                                <a:cubicBezTo>
                                  <a:pt x="2045" y="10300"/>
                                  <a:pt x="0" y="7849"/>
                                  <a:pt x="178" y="5017"/>
                                </a:cubicBezTo>
                                <a:cubicBezTo>
                                  <a:pt x="343" y="2160"/>
                                  <a:pt x="2680" y="0"/>
                                  <a:pt x="5385" y="165"/>
                                </a:cubicBezTo>
                                <a:close/>
                              </a:path>
                            </a:pathLst>
                          </a:custGeom>
                          <a:ln w="0" cap="flat">
                            <a:miter lim="127000"/>
                          </a:ln>
                        </wps:spPr>
                        <wps:style>
                          <a:lnRef idx="0">
                            <a:srgbClr val="000000">
                              <a:alpha val="0"/>
                            </a:srgbClr>
                          </a:lnRef>
                          <a:fillRef idx="1">
                            <a:srgbClr val="6C6D70"/>
                          </a:fillRef>
                          <a:effectRef idx="0">
                            <a:scrgbClr r="0" g="0" b="0"/>
                          </a:effectRef>
                          <a:fontRef idx="none"/>
                        </wps:style>
                        <wps:bodyPr/>
                      </wps:wsp>
                      <wps:wsp>
                        <wps:cNvPr id="146" name="Shape 146"/>
                        <wps:cNvSpPr/>
                        <wps:spPr>
                          <a:xfrm>
                            <a:off x="6057672" y="183020"/>
                            <a:ext cx="15811" cy="15824"/>
                          </a:xfrm>
                          <a:custGeom>
                            <a:avLst/>
                            <a:gdLst/>
                            <a:ahLst/>
                            <a:cxnLst/>
                            <a:rect l="0" t="0" r="0" b="0"/>
                            <a:pathLst>
                              <a:path w="15811" h="15824">
                                <a:moveTo>
                                  <a:pt x="7912" y="0"/>
                                </a:moveTo>
                                <a:cubicBezTo>
                                  <a:pt x="12281" y="0"/>
                                  <a:pt x="15811" y="3556"/>
                                  <a:pt x="15811" y="7912"/>
                                </a:cubicBezTo>
                                <a:cubicBezTo>
                                  <a:pt x="15811" y="12293"/>
                                  <a:pt x="12281" y="15824"/>
                                  <a:pt x="7912" y="15824"/>
                                </a:cubicBezTo>
                                <a:cubicBezTo>
                                  <a:pt x="3531" y="15824"/>
                                  <a:pt x="0" y="12293"/>
                                  <a:pt x="0" y="7912"/>
                                </a:cubicBezTo>
                                <a:cubicBezTo>
                                  <a:pt x="0" y="3556"/>
                                  <a:pt x="3531" y="0"/>
                                  <a:pt x="7912"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47" name="Shape 147"/>
                        <wps:cNvSpPr/>
                        <wps:spPr>
                          <a:xfrm>
                            <a:off x="6170512" y="183020"/>
                            <a:ext cx="15824" cy="15824"/>
                          </a:xfrm>
                          <a:custGeom>
                            <a:avLst/>
                            <a:gdLst/>
                            <a:ahLst/>
                            <a:cxnLst/>
                            <a:rect l="0" t="0" r="0" b="0"/>
                            <a:pathLst>
                              <a:path w="15824" h="15824">
                                <a:moveTo>
                                  <a:pt x="7912" y="0"/>
                                </a:moveTo>
                                <a:cubicBezTo>
                                  <a:pt x="12267" y="0"/>
                                  <a:pt x="15824" y="3556"/>
                                  <a:pt x="15824" y="7912"/>
                                </a:cubicBezTo>
                                <a:cubicBezTo>
                                  <a:pt x="15824" y="12293"/>
                                  <a:pt x="12267" y="15824"/>
                                  <a:pt x="7912" y="15824"/>
                                </a:cubicBezTo>
                                <a:cubicBezTo>
                                  <a:pt x="3543" y="15824"/>
                                  <a:pt x="0" y="12293"/>
                                  <a:pt x="0" y="7912"/>
                                </a:cubicBezTo>
                                <a:cubicBezTo>
                                  <a:pt x="0" y="3556"/>
                                  <a:pt x="3543" y="0"/>
                                  <a:pt x="7912"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48" name="Shape 148"/>
                        <wps:cNvSpPr/>
                        <wps:spPr>
                          <a:xfrm>
                            <a:off x="0" y="493179"/>
                            <a:ext cx="6480010" cy="0"/>
                          </a:xfrm>
                          <a:custGeom>
                            <a:avLst/>
                            <a:gdLst/>
                            <a:ahLst/>
                            <a:cxnLst/>
                            <a:rect l="0" t="0" r="0" b="0"/>
                            <a:pathLst>
                              <a:path w="6480010">
                                <a:moveTo>
                                  <a:pt x="0" y="0"/>
                                </a:moveTo>
                                <a:lnTo>
                                  <a:pt x="6480010" y="0"/>
                                </a:lnTo>
                              </a:path>
                            </a:pathLst>
                          </a:custGeom>
                          <a:ln w="5144" cap="flat">
                            <a:miter lim="127000"/>
                          </a:ln>
                        </wps:spPr>
                        <wps:style>
                          <a:lnRef idx="1">
                            <a:srgbClr val="21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164" style="width:510.237pt;height:38.833pt;position:absolute;z-index:-2147483530;mso-position-horizontal-relative:text;mso-position-horizontal:absolute;margin-left:0.000740051pt;mso-position-vertical-relative:text;margin-top:21.0921pt;" coordsize="64800,4931">
                <v:shape id="Shape 104" style="position:absolute;width:690;height:1094;left:57600;top:206;" coordsize="69050,109424" path="m0,0l69050,0l69050,11761l13500,11761l13500,44438l62814,44438l62814,56198l13500,56198l13500,109424l0,109424l0,0x">
                  <v:stroke weight="0pt" endcap="flat" joinstyle="miter" miterlimit="10" on="false" color="#000000" opacity="0"/>
                  <v:fill on="true" color="#211f1f"/>
                </v:shape>
                <v:shape id="Shape 105" style="position:absolute;width:678;height:843;left:58427;top:480;" coordsize="67805,84303" path="m0,0l12776,0l12776,46113c12776,56655,14186,63665,17018,67094c19850,70523,24460,72251,30861,72251c38405,72251,46469,68745,55029,61722l55029,0l67805,0l67805,82055l55029,82055l55029,72174c45110,80264,35598,84303,26492,84303c17932,84303,11366,81649,6807,76353c2273,71056,0,63462,0,53594l0,0x">
                  <v:stroke weight="0pt" endcap="flat" joinstyle="miter" miterlimit="10" on="false" color="#000000" opacity="0"/>
                  <v:fill on="true" color="#211f1f"/>
                </v:shape>
                <v:shape id="Shape 106" style="position:absolute;width:508;height:1072;left:59263;top:244;" coordsize="50888,107239" path="m9436,0l22136,0l22136,23597l50888,23597l50888,34049l22136,34049l22136,72022c22136,80633,22733,86220,23914,88760c25108,91301,26898,93168,29337,94349c31750,95542,34848,96139,38620,96139c42202,96139,46139,95263,50457,93523l50888,93523l50888,105144c45135,106541,39751,107239,34772,107239c17831,107239,9347,97930,9347,79287l9347,34049l0,34049l0,23597l9436,23597l9436,0x">
                  <v:stroke weight="0pt" endcap="flat" joinstyle="miter" miterlimit="10" on="false" color="#000000" opacity="0"/>
                  <v:fill on="true" color="#211f1f"/>
                </v:shape>
                <v:shape id="Shape 107" style="position:absolute;width:678;height:843;left:59910;top:480;" coordsize="67831,84303" path="m0,0l12776,0l12776,46113c12776,56655,14212,63665,17031,67094c19863,70523,24473,72251,30861,72251c38418,72251,46469,68745,55042,61722l55042,0l67831,0l67831,82055l55042,82055l55042,72174c45123,80264,35611,84303,26518,84303c17932,84303,11379,81649,6833,76353c2286,71056,0,63462,0,53594l0,0x">
                  <v:stroke weight="0pt" endcap="flat" joinstyle="miter" miterlimit="10" on="false" color="#000000" opacity="0"/>
                  <v:fill on="true" color="#211f1f"/>
                </v:shape>
                <v:shape id="Shape 108" style="position:absolute;width:504;height:820;left:60835;top:480;" coordsize="50406,82055" path="m0,0l12789,0l12789,12636c23038,4216,32512,0,41173,0c44221,0,47307,241,50406,736l50406,14084l49899,14084c45872,13119,41808,12636,37681,12636c29464,12636,21158,16116,12789,23089l12789,82055l0,82055l0,0x">
                  <v:stroke weight="0pt" endcap="flat" joinstyle="miter" miterlimit="10" on="false" color="#000000" opacity="0"/>
                  <v:fill on="true" color="#211f1f"/>
                </v:shape>
                <v:shape id="Shape 109" style="position:absolute;width:371;height:849;left:61389;top:461;" coordsize="37148,84926" path="m37148,0l37148,10553l20905,16483c16370,20839,13754,26821,13081,34428l37148,34428l37148,44080l13081,44080c13081,53961,15749,61543,21108,66839l37148,72599l37148,84926l24883,83062c19590,81218,15063,78453,11291,74764c3759,67384,0,56932,0,43432c0,30021,3608,19353,10821,11441c14428,7485,18619,4517,23397,2537l37148,0x">
                  <v:stroke weight="0pt" endcap="flat" joinstyle="miter" miterlimit="10" on="false" color="#000000" opacity="0"/>
                  <v:fill on="true" color="#211f1f"/>
                </v:shape>
                <v:shape id="Shape 110" style="position:absolute;width:348;height:208;left:61760;top:1111;" coordsize="34887,20828" path="m34303,0l34887,0l34887,13856c23216,18517,13564,20828,5918,20828l0,19929l0,7602l6134,9805c15519,9805,24917,6541,34303,0x">
                  <v:stroke weight="0pt" endcap="flat" joinstyle="miter" miterlimit="10" on="false" color="#000000" opacity="0"/>
                  <v:fill on="true" color="#211f1f"/>
                </v:shape>
                <v:shape id="Shape 111" style="position:absolute;width:365;height:445;left:61760;top:457;" coordsize="36550,44514" path="m2349,0c13195,0,21603,3251,27584,9740c33566,16218,36550,25464,36550,37478l36550,44514l0,44514l0,34861l24066,34861c23672,18542,16205,10389,1638,10389l0,10986l0,433l2349,0x">
                  <v:stroke weight="0pt" endcap="flat" joinstyle="miter" miterlimit="10" on="false" color="#000000" opacity="0"/>
                  <v:fill on="true" color="#211f1f"/>
                </v:shape>
                <v:shape id="Shape 112" style="position:absolute;width:966;height:1094;left:57600;top:1841;" coordsize="96647,109424" path="m0,0l17285,0l48285,62942l79222,0l96647,0l96647,109424l83134,109424l83134,15456l51549,79629l44145,79629l12560,15456l12560,109424l0,109424l0,0x">
                  <v:stroke weight="0pt" endcap="flat" joinstyle="miter" miterlimit="10" on="false" color="#000000" opacity="0"/>
                  <v:fill on="true" color="#211f1f"/>
                </v:shape>
                <v:shape id="Shape 113" style="position:absolute;width:371;height:849;left:58764;top:2096;" coordsize="37141,84909" path="m37141,0l37141,10554l20917,16493c16370,20837,13754,26818,13068,34413l37141,34413l37141,44077l13068,44077c13068,53946,15748,61540,21107,66835l37141,72581l37141,84909l24882,83046c19586,81203,15056,78437,11290,74748c3772,67369,0,56930,0,43417c0,30006,3619,19338,10820,11438c14427,7476,18621,4507,23402,2529l37141,0x">
                  <v:stroke weight="0pt" endcap="flat" joinstyle="miter" miterlimit="10" on="false" color="#000000" opacity="0"/>
                  <v:fill on="true" color="#211f1f"/>
                </v:shape>
                <v:shape id="Shape 114" style="position:absolute;width:348;height:208;left:59135;top:2746;" coordsize="34893,20828" path="m34309,0l34893,0l34893,13869c23222,18517,13583,20828,5924,20828l0,19927l0,7600l6153,9805c15525,9805,24911,6541,34309,0x">
                  <v:stroke weight="0pt" endcap="flat" joinstyle="miter" miterlimit="10" on="false" color="#000000" opacity="0"/>
                  <v:fill on="true" color="#211f1f"/>
                </v:shape>
                <v:shape id="Shape 115" style="position:absolute;width:365;height:445;left:59135;top:2092;" coordsize="36557,44514" path="m2368,0c13202,0,21622,3239,27591,9728c33572,16218,36557,25451,36557,37465l36557,44514l0,44514l0,34849l24073,34849c23692,18542,16199,10389,1645,10389l0,10991l0,436l2368,0x">
                  <v:stroke weight="0pt" endcap="flat" joinstyle="miter" miterlimit="10" on="false" color="#000000" opacity="0"/>
                  <v:fill on="true" color="#211f1f"/>
                </v:shape>
                <v:shape id="Shape 116" style="position:absolute;width:360;height:866;left:59623;top:2092;" coordsize="36056,86627" path="m36017,0l36056,11l36056,12616l19965,19863c15469,25489,13221,33427,13221,43624c13221,64262,20600,74575,35370,74575l36056,74437l36056,85710l31738,86627c22060,86627,14339,82830,8598,75223c2870,67615,0,57239,0,44082c0,31052,3455,20448,10389,12256c17311,4090,25857,0,36017,0x">
                  <v:stroke weight="0pt" endcap="flat" joinstyle="miter" miterlimit="10" on="false" color="#000000" opacity="0"/>
                  <v:fill on="true" color="#211f1f"/>
                </v:shape>
                <v:shape id="Shape 117" style="position:absolute;width:356;height:1156;left:59984;top:1793;" coordsize="35623,115619" path="m22834,0l35623,0l35623,114288l22834,114288l22834,105194c18167,108972,13570,111808,9044,113698l0,115619l0,104346l11402,102065c15322,100454,19132,98038,22834,94818l22834,46241c15671,42938,8966,41301,2718,41301l0,42525l0,29919l22834,36373l22834,0x">
                  <v:stroke weight="0pt" endcap="flat" joinstyle="miter" miterlimit="10" on="false" color="#000000" opacity="0"/>
                  <v:fill on="true" color="#211f1f"/>
                </v:shape>
                <v:shape id="Shape 16886" style="position:absolute;width:127;height:820;left:60589;top:2115;" coordsize="12776,82061" path="m0,0l12776,0l12776,82061l0,82061l0,0">
                  <v:stroke weight="0pt" endcap="flat" joinstyle="miter" miterlimit="10" on="false" color="#000000" opacity="0"/>
                  <v:fill on="true" color="#211f1f"/>
                </v:shape>
                <v:shape id="Shape 119" style="position:absolute;width:656;height:859;left:60905;top:2095;" coordsize="65634,85954" path="m39993,0c48096,0,56617,2248,65634,6744l65634,20981l65050,20981c55995,14351,47549,11037,39701,11037c31331,11037,24829,13818,20181,19380c15532,24943,13208,32893,13208,43206c13208,53505,15520,61379,20143,66790c24765,72225,31280,74930,39701,74930c47790,74930,56249,71666,65050,65125l65634,65125l65634,79070c55804,83668,47244,85954,39929,85954c27293,85954,17476,82271,10491,74854c3480,67450,0,56897,0,43206c0,29794,3594,19241,10808,11544c18021,3849,27750,0,39993,0x">
                  <v:stroke weight="0pt" endcap="flat" joinstyle="miter" miterlimit="10" on="false" color="#000000" opacity="0"/>
                  <v:fill on="true" color="#211f1f"/>
                </v:shape>
                <v:shape id="Shape 16887" style="position:absolute;width:127;height:820;left:61720;top:2115;" coordsize="12776,82061" path="m0,0l12776,0l12776,82061l0,82061l0,0">
                  <v:stroke weight="0pt" endcap="flat" joinstyle="miter" miterlimit="10" on="false" color="#000000" opacity="0"/>
                  <v:fill on="true" color="#211f1f"/>
                </v:shape>
                <v:shape id="Shape 121" style="position:absolute;width:678;height:843;left:62096;top:2092;" coordsize="67805,84392" path="m41313,0c49771,0,56311,2655,60909,7951c65506,13259,67805,20930,67805,30938l67805,84392l55029,84392l55029,38418c55029,27763,53619,20714,50812,17247c48006,13792,43383,12053,36944,12053c29349,12053,21298,15596,12776,22657l12776,84392l0,84392l0,2337l12776,2337l12776,12205c22403,4077,31915,0,41313,0x">
                  <v:stroke weight="0pt" endcap="flat" joinstyle="miter" miterlimit="10" on="false" color="#000000" opacity="0"/>
                  <v:fill on="true" color="#211f1f"/>
                </v:shape>
                <v:shape id="Shape 122" style="position:absolute;width:371;height:849;left:62955;top:2096;" coordsize="37148,84913" path="m37148,0l37148,10556l20930,16497c16370,20841,13742,26822,13081,34417l37148,34417l37148,44081l13081,44081c13081,53949,15749,61544,21095,66839l37148,72592l37148,84913l24888,83050c19593,81207,15063,78441,11291,74752c3773,67373,0,56934,0,43421c0,30010,3620,19341,10821,11442c14428,7479,18622,4511,23402,2533l37148,0x">
                  <v:stroke weight="0pt" endcap="flat" joinstyle="miter" miterlimit="10" on="false" color="#000000" opacity="0"/>
                  <v:fill on="true" color="#211f1f"/>
                </v:shape>
                <v:shape id="Shape 123" style="position:absolute;width:348;height:208;left:63326;top:2746;" coordsize="34887,20828" path="m34303,0l34887,0l34887,13869c23216,18517,13564,20828,5918,20828l0,19928l0,7607l6134,9805c15519,9805,24917,6541,34303,0x">
                  <v:stroke weight="0pt" endcap="flat" joinstyle="miter" miterlimit="10" on="false" color="#000000" opacity="0"/>
                  <v:fill on="true" color="#211f1f"/>
                </v:shape>
                <v:shape id="Shape 124" style="position:absolute;width:365;height:445;left:63326;top:2092;" coordsize="36550,44514" path="m2349,0c13208,0,21615,3239,27584,9728c33566,16218,36550,25451,36550,37465l36550,44514l0,44514l0,34849l24066,34849c23685,18542,16205,10389,1638,10389l0,10988l0,433l2349,0x">
                  <v:stroke weight="0pt" endcap="flat" joinstyle="miter" miterlimit="10" on="false" color="#000000" opacity="0"/>
                  <v:fill on="true" color="#211f1f"/>
                </v:shape>
                <v:shape id="Shape 125" style="position:absolute;width:101;height:106;left:63257;top:552;" coordsize="10122,10643" path="m5373,178c8065,343,10122,2794,9944,5626c9779,8483,7430,10643,4738,10478c2032,10313,0,7874,178,5029c343,2184,2667,0,5373,178x">
                  <v:stroke weight="0pt" endcap="flat" joinstyle="miter" miterlimit="10" on="false" color="#000000" opacity="0"/>
                  <v:fill on="true" color="#211f1f"/>
                </v:shape>
                <v:shape id="Shape 127" style="position:absolute;width:100;height:106;left:64689;top:1750;" coordsize="10084,10617" path="m5359,165c8065,330,10084,2769,9919,5614c9741,8433,7417,10617,4725,10440c2019,10287,0,7836,165,5004c356,2172,2654,0,5359,165x">
                  <v:stroke weight="0pt" endcap="flat" joinstyle="miter" miterlimit="10" on="false" color="#000000" opacity="0"/>
                  <v:fill on="true" color="#211f1f"/>
                </v:shape>
                <v:shape id="Shape 128" style="position:absolute;width:145;height:152;left:63444;top:453;" coordsize="14529,15278" path="m7722,241c11595,482,14529,3975,14275,8077c14034,12154,10694,15278,6807,15036c2934,14795,0,11290,242,7214c495,3124,3849,0,7722,241x">
                  <v:stroke weight="0pt" endcap="flat" joinstyle="miter" miterlimit="10" on="false" color="#000000" opacity="0"/>
                  <v:fill on="true" color="#211f1f"/>
                </v:shape>
                <v:shape id="Shape 129" style="position:absolute;width:145;height:152;left:64432;top:1832;" coordsize="14554,15291" path="m7722,254c11608,483,14554,4001,14313,8103c14072,12167,10694,15291,6807,15062c2946,14821,0,11290,242,7227c508,3137,3861,0,7722,254x">
                  <v:stroke weight="0pt" endcap="flat" joinstyle="miter" miterlimit="10" on="false" color="#000000" opacity="0"/>
                  <v:fill on="true" color="#211f1f"/>
                </v:shape>
                <v:shape id="Shape 130" style="position:absolute;width:189;height:199;left:63618;top:490;" coordsize="18948,19952" path="m10058,318c15113,622,18948,5220,18618,10541c18288,15850,13919,19952,8865,19634c3810,19317,0,14732,318,9423c648,4090,5004,0,10058,318x">
                  <v:stroke weight="0pt" endcap="flat" joinstyle="miter" miterlimit="10" on="false" color="#000000" opacity="0"/>
                  <v:fill on="true" color="#211f1f"/>
                </v:shape>
                <v:shape id="Shape 131" style="position:absolute;width:189;height:199;left:64140;top:1756;" coordsize="18974,19951" path="m10084,305c15139,609,18974,5194,18644,10516c18314,15863,13945,19951,8890,19634c3835,19317,0,14732,330,9398c660,4064,5029,0,10084,305x">
                  <v:stroke weight="0pt" endcap="flat" joinstyle="miter" miterlimit="10" on="false" color="#000000" opacity="0"/>
                  <v:fill on="true" color="#211f1f"/>
                </v:shape>
                <v:shape id="Shape 132" style="position:absolute;width:234;height:245;left:63743;top:709;" coordsize="23406,24574" path="m12446,381c18694,762,23406,6400,22999,12979c22593,19558,17221,24574,10998,24181c4763,23813,0,18173,419,11582c826,5016,6197,0,12446,381x">
                  <v:stroke weight="0pt" endcap="flat" joinstyle="miter" miterlimit="10" on="false" color="#000000" opacity="0"/>
                  <v:fill on="true" color="#211f1f"/>
                </v:shape>
                <v:shape id="Shape 133" style="position:absolute;width:233;height:245;left:63927;top:1441;" coordsize="23381,24587" path="m12421,381c18669,774,23381,6400,22987,12979c22581,19558,17208,24587,10960,24206c4725,23813,0,18161,406,11582c800,5016,6197,0,12421,381x">
                  <v:stroke weight="0pt" endcap="flat" joinstyle="miter" miterlimit="10" on="false" color="#000000" opacity="0"/>
                  <v:fill on="true" color="#211f1f"/>
                </v:shape>
                <v:shape id="Shape 134" style="position:absolute;width:278;height:292;left:63803;top:1048;" coordsize="27825,29235" path="m14783,457c22199,901,27825,7633,27330,15443c26860,23254,20447,29235,13055,28778c5626,28321,0,21603,470,13792c952,5982,7365,0,14783,457x">
                  <v:stroke weight="0pt" endcap="flat" joinstyle="miter" miterlimit="10" on="false" color="#000000" opacity="0"/>
                  <v:fill on="true" color="#211f1f"/>
                </v:shape>
                <v:shape id="Shape 135" style="position:absolute;width:101;height:106;left:62764;top:880;" coordsize="10122,10617" path="m5373,165c8052,330,10122,2756,9944,5614c9779,8446,7430,10617,4738,10465c2045,10300,0,7862,165,5017c343,2160,2667,0,5373,165x">
                  <v:stroke weight="0pt" endcap="flat" joinstyle="miter" miterlimit="10" on="false" color="#000000" opacity="0"/>
                  <v:fill on="true" color="#211f1f"/>
                </v:shape>
                <v:shape id="Shape 136" style="position:absolute;width:101;height:106;left:63680;top:1302;" coordsize="10122,10642" path="m5372,152c8065,330,10122,2768,9957,5600c9766,8458,7430,10642,4737,10464c2045,10299,0,7861,178,5004c343,2171,2680,0,5372,152x">
                  <v:stroke weight="0pt" endcap="flat" joinstyle="miter" miterlimit="10" on="false" color="#000000" opacity="0"/>
                  <v:fill on="true" color="#6c6d70"/>
                </v:shape>
                <v:shape id="Shape 137" style="position:absolute;width:101;height:106;left:62282;top:122;" coordsize="10135,10630" path="m5359,165c8065,330,10135,2769,9944,5614c9779,8458,7430,10630,4738,10465c2032,10300,0,7862,191,5017c356,2172,2667,0,5359,165x">
                  <v:stroke weight="0pt" endcap="flat" joinstyle="miter" miterlimit="10" on="false" color="#000000" opacity="0"/>
                  <v:fill on="true" color="#6c6d70"/>
                </v:shape>
                <v:shape id="Shape 138" style="position:absolute;width:145;height:152;left:63490;top:1405;" coordsize="14554,15278" path="m7747,229c11608,470,14554,3987,14300,8077c14059,12154,10706,15278,6832,15049c2946,14808,0,11290,241,7214c508,3124,3835,0,7747,229x">
                  <v:stroke weight="0pt" endcap="flat" joinstyle="miter" miterlimit="10" on="false" color="#000000" opacity="0"/>
                  <v:fill on="true" color="#6c6d70"/>
                </v:shape>
                <v:shape id="Shape 139" style="position:absolute;width:145;height:152;left:62496;top:0;" coordsize="14567,15291" path="m7734,241c11595,483,14567,3963,14300,8065c14059,12154,10693,15291,6820,15049c2946,14808,0,11291,253,7201c508,3111,3860,0,7734,241x">
                  <v:stroke weight="0pt" endcap="flat" joinstyle="miter" miterlimit="10" on="false" color="#000000" opacity="0"/>
                  <v:fill on="true" color="#6c6d70"/>
                </v:shape>
                <v:shape id="Shape 140" style="position:absolute;width:189;height:199;left:63232;top:1327;" coordsize="18961,19952" path="m10071,305c15125,622,18961,5207,18631,10541c18300,15875,13957,19952,8877,19634c3848,19330,0,14745,317,9411c660,4077,5042,0,10071,305x">
                  <v:stroke weight="0pt" endcap="flat" joinstyle="miter" miterlimit="10" on="false" color="#000000" opacity="0"/>
                  <v:fill on="true" color="#6c6d70"/>
                </v:shape>
                <v:shape id="Shape 141" style="position:absolute;width:189;height:199;left:62699;top:19;" coordsize="18999,19939" path="m10096,317c15151,622,18999,5219,18669,10528c18338,15862,13970,19939,8915,19634c3848,19317,0,14732,330,9410c660,4089,5042,0,10096,317x">
                  <v:stroke weight="0pt" endcap="flat" joinstyle="miter" miterlimit="10" on="false" color="#000000" opacity="0"/>
                  <v:fill on="true" color="#6c6d70"/>
                </v:shape>
                <v:shape id="Shape 142" style="position:absolute;width:234;height:245;left:63049;top:1003;" coordsize="23406,24562" path="m12420,368c18669,762,23406,6400,22999,12967c22593,19558,17208,24562,10960,24181c4749,23800,0,18161,406,11570c812,5004,6210,0,12420,368x">
                  <v:stroke weight="0pt" endcap="flat" joinstyle="miter" miterlimit="10" on="false" color="#000000" opacity="0"/>
                  <v:fill on="true" color="#6c6d70"/>
                </v:shape>
                <v:shape id="Shape 143" style="position:absolute;width:234;height:245;left:62817;top:278;" coordsize="23406,24587" path="m12420,381c18656,774,23406,6400,22999,12979c22593,19570,17196,24587,10947,24206c4737,23825,0,18186,406,11595c812,5016,6197,0,12420,381x">
                  <v:stroke weight="0pt" endcap="flat" joinstyle="miter" miterlimit="10" on="false" color="#000000" opacity="0"/>
                  <v:fill on="true" color="#6c6d70"/>
                </v:shape>
                <v:shape id="Shape 144" style="position:absolute;width:278;height:292;left:62903;top:613;" coordsize="27839,29235" path="m14808,457c22199,915,27839,7607,27356,15443c26873,23267,20485,29235,13056,28791c5652,28334,0,21616,495,13792c977,5969,7379,0,14808,457x">
                  <v:stroke weight="0pt" endcap="flat" joinstyle="miter" miterlimit="10" on="false" color="#000000" opacity="0"/>
                  <v:fill on="true" color="#6c6d70"/>
                </v:shape>
                <v:shape id="Shape 145" style="position:absolute;width:101;height:106;left:64144;top:1002;" coordsize="10122,10630" path="m5385,165c8077,318,10122,2769,9957,5614c9779,8446,7442,10630,4750,10465c2045,10300,0,7849,178,5017c343,2160,2680,0,5385,165x">
                  <v:stroke weight="0pt" endcap="flat" joinstyle="miter" miterlimit="10" on="false" color="#000000" opacity="0"/>
                  <v:fill on="true" color="#6c6d70"/>
                </v:shape>
                <v:shape id="Shape 146" style="position:absolute;width:158;height:158;left:60576;top:1830;" coordsize="15811,15824" path="m7912,0c12281,0,15811,3556,15811,7912c15811,12293,12281,15824,7912,15824c3531,15824,0,12293,0,7912c0,3556,3531,0,7912,0x">
                  <v:stroke weight="0pt" endcap="flat" joinstyle="miter" miterlimit="10" on="false" color="#000000" opacity="0"/>
                  <v:fill on="true" color="#211f1f"/>
                </v:shape>
                <v:shape id="Shape 147" style="position:absolute;width:158;height:158;left:61705;top:1830;" coordsize="15824,15824" path="m7912,0c12267,0,15824,3556,15824,7912c15824,12293,12267,15824,7912,15824c3543,15824,0,12293,0,7912c0,3556,3543,0,7912,0x">
                  <v:stroke weight="0pt" endcap="flat" joinstyle="miter" miterlimit="10" on="false" color="#000000" opacity="0"/>
                  <v:fill on="true" color="#211f1f"/>
                </v:shape>
                <v:shape id="Shape 148" style="position:absolute;width:64800;height:0;left:0;top:4931;" coordsize="6480010,0" path="m0,0l6480010,0">
                  <v:stroke weight="0.405pt" endcap="flat" joinstyle="miter" miterlimit="10" on="true" color="#211f1f"/>
                  <v:fill on="false" color="#000000" opacity="0"/>
                </v:shape>
              </v:group>
            </w:pict>
          </mc:Fallback>
        </mc:AlternateContent>
      </w:r>
      <w:r>
        <w:rPr>
          <w:rFonts w:ascii="Garamond" w:eastAsia="Garamond" w:hAnsi="Garamond" w:cs="Garamond"/>
          <w:color w:val="211F1F"/>
          <w:sz w:val="20"/>
        </w:rPr>
        <w:t>Rituximab has been shown to have numerous mechanisms of action</w:t>
      </w:r>
      <w:r>
        <w:rPr>
          <w:rFonts w:ascii="Garamond" w:eastAsia="Garamond" w:hAnsi="Garamond" w:cs="Garamond"/>
          <w:color w:val="211F1F"/>
          <w:sz w:val="20"/>
        </w:rPr>
        <w:t>. The antibody’s Fab domain is specific for CD20 allowing the Fc domain to interact with a host of immune effector cells and molecules. This results in target cell depletion via antibody-dependent cell death through the recruitment of granulocytes, natural</w:t>
      </w:r>
      <w:r>
        <w:rPr>
          <w:rFonts w:ascii="Garamond" w:eastAsia="Garamond" w:hAnsi="Garamond" w:cs="Garamond"/>
          <w:color w:val="211F1F"/>
          <w:sz w:val="20"/>
        </w:rPr>
        <w:t xml:space="preserve"> killer cells and</w:t>
      </w:r>
    </w:p>
    <w:p w:rsidR="0009028B" w:rsidRDefault="002A6AB4">
      <w:pPr>
        <w:tabs>
          <w:tab w:val="center" w:pos="4931"/>
          <w:tab w:val="right" w:pos="10205"/>
        </w:tabs>
        <w:spacing w:after="0"/>
      </w:pPr>
      <w:r>
        <w:rPr>
          <w:noProof/>
        </w:rPr>
        <w:drawing>
          <wp:inline distT="0" distB="0" distL="0" distR="0">
            <wp:extent cx="1030224" cy="79248"/>
            <wp:effectExtent l="0" t="0" r="0" b="0"/>
            <wp:docPr id="16553" name="Picture 16553"/>
            <wp:cNvGraphicFramePr/>
            <a:graphic xmlns:a="http://schemas.openxmlformats.org/drawingml/2006/main">
              <a:graphicData uri="http://schemas.openxmlformats.org/drawingml/2006/picture">
                <pic:pic xmlns:pic="http://schemas.openxmlformats.org/drawingml/2006/picture">
                  <pic:nvPicPr>
                    <pic:cNvPr id="16553" name="Picture 16553"/>
                    <pic:cNvPicPr/>
                  </pic:nvPicPr>
                  <pic:blipFill>
                    <a:blip r:embed="rId8"/>
                    <a:stretch>
                      <a:fillRect/>
                    </a:stretch>
                  </pic:blipFill>
                  <pic:spPr>
                    <a:xfrm>
                      <a:off x="0" y="0"/>
                      <a:ext cx="1030224" cy="79248"/>
                    </a:xfrm>
                    <a:prstGeom prst="rect">
                      <a:avLst/>
                    </a:prstGeom>
                  </pic:spPr>
                </pic:pic>
              </a:graphicData>
            </a:graphic>
          </wp:inline>
        </w:drawing>
      </w:r>
      <w:r>
        <w:rPr>
          <w:color w:val="211F1F"/>
          <w:sz w:val="16"/>
        </w:rPr>
        <w:t>2018 Future Medicine Ltd</w:t>
      </w:r>
      <w:r>
        <w:rPr>
          <w:color w:val="211F1F"/>
          <w:sz w:val="16"/>
        </w:rPr>
        <w:tab/>
      </w:r>
      <w:r>
        <w:rPr>
          <w:b/>
          <w:i/>
          <w:color w:val="211F1F"/>
          <w:sz w:val="16"/>
        </w:rPr>
        <w:t xml:space="preserve">Future Oncol. </w:t>
      </w:r>
      <w:r>
        <w:rPr>
          <w:color w:val="211F1F"/>
          <w:sz w:val="16"/>
        </w:rPr>
        <w:t>(Epub ahead of print)</w:t>
      </w:r>
      <w:r>
        <w:rPr>
          <w:color w:val="211F1F"/>
          <w:sz w:val="16"/>
        </w:rPr>
        <w:tab/>
        <w:t>ISSN 1479-6694</w:t>
      </w:r>
    </w:p>
    <w:p w:rsidR="0009028B" w:rsidRDefault="002A6AB4">
      <w:pPr>
        <w:spacing w:after="5" w:line="276" w:lineRule="auto"/>
        <w:ind w:left="-15" w:right="-14"/>
        <w:jc w:val="both"/>
      </w:pPr>
      <w:r>
        <w:rPr>
          <w:rFonts w:ascii="Garamond" w:eastAsia="Garamond" w:hAnsi="Garamond" w:cs="Garamond"/>
          <w:color w:val="211F1F"/>
          <w:sz w:val="20"/>
        </w:rPr>
        <w:t>macrophages to the Fc domain. The Fc domain also recruits the complement cascade by binding C1q, initiating complement-dependent cytotoxicity. Antibody binding t</w:t>
      </w:r>
      <w:r>
        <w:rPr>
          <w:rFonts w:ascii="Garamond" w:eastAsia="Garamond" w:hAnsi="Garamond" w:cs="Garamond"/>
          <w:color w:val="211F1F"/>
          <w:sz w:val="20"/>
        </w:rPr>
        <w:t xml:space="preserve">o CD20 is also considered to have a direct apoptotic effect on its target cell </w:t>
      </w:r>
      <w:r>
        <w:rPr>
          <w:rFonts w:ascii="Garamond" w:eastAsia="Garamond" w:hAnsi="Garamond" w:cs="Garamond"/>
          <w:color w:val="211F1F"/>
          <w:sz w:val="14"/>
        </w:rPr>
        <w:t>[9]</w:t>
      </w:r>
      <w:r>
        <w:rPr>
          <w:rFonts w:ascii="Garamond" w:eastAsia="Garamond" w:hAnsi="Garamond" w:cs="Garamond"/>
          <w:color w:val="211F1F"/>
          <w:sz w:val="20"/>
        </w:rPr>
        <w:t xml:space="preserve">. Increased sensitivity of malignant B lymphocytes to rituximab has been observed when used in parallel with traditional cytotoxic agents </w:t>
      </w:r>
      <w:r>
        <w:rPr>
          <w:rFonts w:ascii="Garamond" w:eastAsia="Garamond" w:hAnsi="Garamond" w:cs="Garamond"/>
          <w:color w:val="211F1F"/>
          <w:sz w:val="14"/>
        </w:rPr>
        <w:t>[10]</w:t>
      </w:r>
      <w:r>
        <w:rPr>
          <w:rFonts w:ascii="Garamond" w:eastAsia="Garamond" w:hAnsi="Garamond" w:cs="Garamond"/>
          <w:color w:val="211F1F"/>
          <w:sz w:val="20"/>
        </w:rPr>
        <w:t>.</w:t>
      </w:r>
    </w:p>
    <w:p w:rsidR="0009028B" w:rsidRDefault="002A6AB4">
      <w:pPr>
        <w:spacing w:after="5" w:line="276" w:lineRule="auto"/>
        <w:ind w:left="-15" w:right="-14" w:firstLine="189"/>
        <w:jc w:val="both"/>
      </w:pPr>
      <w:r>
        <w:rPr>
          <w:rFonts w:ascii="Garamond" w:eastAsia="Garamond" w:hAnsi="Garamond" w:cs="Garamond"/>
          <w:color w:val="211F1F"/>
          <w:sz w:val="20"/>
        </w:rPr>
        <w:t>Initially formulated and marke</w:t>
      </w:r>
      <w:r>
        <w:rPr>
          <w:rFonts w:ascii="Garamond" w:eastAsia="Garamond" w:hAnsi="Garamond" w:cs="Garamond"/>
          <w:color w:val="211F1F"/>
          <w:sz w:val="20"/>
        </w:rPr>
        <w:t xml:space="preserve">ted for intravenous (iv.) infusion, administration times for rituximab vary and can be lengthy. Infusion-related reactions (IRRs) are common with first exposure necessitating slow administration of the first dose </w:t>
      </w:r>
      <w:r>
        <w:rPr>
          <w:rFonts w:ascii="Garamond" w:eastAsia="Garamond" w:hAnsi="Garamond" w:cs="Garamond"/>
          <w:color w:val="211F1F"/>
          <w:sz w:val="14"/>
        </w:rPr>
        <w:t>[7]</w:t>
      </w:r>
      <w:r>
        <w:rPr>
          <w:rFonts w:ascii="Garamond" w:eastAsia="Garamond" w:hAnsi="Garamond" w:cs="Garamond"/>
          <w:color w:val="211F1F"/>
          <w:sz w:val="20"/>
        </w:rPr>
        <w:t>. Subsequent treatments can be more rapi</w:t>
      </w:r>
      <w:r>
        <w:rPr>
          <w:rFonts w:ascii="Garamond" w:eastAsia="Garamond" w:hAnsi="Garamond" w:cs="Garamond"/>
          <w:color w:val="211F1F"/>
          <w:sz w:val="20"/>
        </w:rPr>
        <w:t xml:space="preserve">d but administration typically takes between 1.5 and 6 h </w:t>
      </w:r>
      <w:r>
        <w:rPr>
          <w:rFonts w:ascii="Garamond" w:eastAsia="Garamond" w:hAnsi="Garamond" w:cs="Garamond"/>
          <w:color w:val="211F1F"/>
          <w:sz w:val="14"/>
        </w:rPr>
        <w:t>[7</w:t>
      </w:r>
      <w:r>
        <w:rPr>
          <w:rFonts w:ascii="Garamond" w:eastAsia="Garamond" w:hAnsi="Garamond" w:cs="Garamond"/>
          <w:color w:val="211F1F"/>
          <w:sz w:val="20"/>
        </w:rPr>
        <w:t>,</w:t>
      </w:r>
      <w:r>
        <w:rPr>
          <w:rFonts w:ascii="Garamond" w:eastAsia="Garamond" w:hAnsi="Garamond" w:cs="Garamond"/>
          <w:color w:val="211F1F"/>
          <w:sz w:val="14"/>
        </w:rPr>
        <w:t xml:space="preserve">11] </w:t>
      </w:r>
      <w:r>
        <w:rPr>
          <w:rFonts w:ascii="Garamond" w:eastAsia="Garamond" w:hAnsi="Garamond" w:cs="Garamond"/>
          <w:color w:val="211F1F"/>
          <w:sz w:val="20"/>
        </w:rPr>
        <w:t>but can still be prolonged. As such intravenous dosing is associated with significant costs, in terms of prolonged time in chemotherapy day units and management of reactions, as well as placin</w:t>
      </w:r>
      <w:r>
        <w:rPr>
          <w:rFonts w:ascii="Garamond" w:eastAsia="Garamond" w:hAnsi="Garamond" w:cs="Garamond"/>
          <w:color w:val="211F1F"/>
          <w:sz w:val="20"/>
        </w:rPr>
        <w:t xml:space="preserve">g a burden on patients and carers. Dosing by body weight increases preparation time by pharmacy services and introduces possibility of dosing errors at the time of prescription or while in dispensing </w:t>
      </w:r>
      <w:r>
        <w:rPr>
          <w:rFonts w:ascii="Garamond" w:eastAsia="Garamond" w:hAnsi="Garamond" w:cs="Garamond"/>
          <w:color w:val="211F1F"/>
          <w:sz w:val="14"/>
        </w:rPr>
        <w:t>[12</w:t>
      </w:r>
      <w:r>
        <w:rPr>
          <w:rFonts w:ascii="Garamond" w:eastAsia="Garamond" w:hAnsi="Garamond" w:cs="Garamond"/>
          <w:color w:val="211F1F"/>
          <w:sz w:val="20"/>
        </w:rPr>
        <w:t>,</w:t>
      </w:r>
      <w:r>
        <w:rPr>
          <w:rFonts w:ascii="Garamond" w:eastAsia="Garamond" w:hAnsi="Garamond" w:cs="Garamond"/>
          <w:color w:val="211F1F"/>
          <w:sz w:val="14"/>
        </w:rPr>
        <w:t>13]</w:t>
      </w:r>
      <w:r>
        <w:rPr>
          <w:rFonts w:ascii="Garamond" w:eastAsia="Garamond" w:hAnsi="Garamond" w:cs="Garamond"/>
          <w:color w:val="211F1F"/>
          <w:sz w:val="20"/>
        </w:rPr>
        <w:t>.</w:t>
      </w:r>
    </w:p>
    <w:p w:rsidR="0009028B" w:rsidRDefault="002A6AB4">
      <w:pPr>
        <w:spacing w:after="5" w:line="276" w:lineRule="auto"/>
        <w:ind w:left="-15" w:right="-14" w:firstLine="189"/>
        <w:jc w:val="both"/>
      </w:pPr>
      <w:r>
        <w:rPr>
          <w:rFonts w:ascii="Garamond" w:eastAsia="Garamond" w:hAnsi="Garamond" w:cs="Garamond"/>
          <w:color w:val="211F1F"/>
          <w:sz w:val="20"/>
        </w:rPr>
        <w:t xml:space="preserve">Subcutaneous (sc.) administration of monoclonal antibodies has been proven to be quick and efficacious in the context of trastuzumab for HER2-positive breast cancer, paving the way for the development of a sc. rituximab formulation </w:t>
      </w:r>
      <w:r>
        <w:rPr>
          <w:rFonts w:ascii="Garamond" w:eastAsia="Garamond" w:hAnsi="Garamond" w:cs="Garamond"/>
          <w:color w:val="211F1F"/>
          <w:sz w:val="14"/>
        </w:rPr>
        <w:t>[14</w:t>
      </w:r>
      <w:r>
        <w:rPr>
          <w:rFonts w:ascii="Garamond" w:eastAsia="Garamond" w:hAnsi="Garamond" w:cs="Garamond"/>
          <w:color w:val="211F1F"/>
          <w:sz w:val="20"/>
        </w:rPr>
        <w:t>,</w:t>
      </w:r>
      <w:r>
        <w:rPr>
          <w:rFonts w:ascii="Garamond" w:eastAsia="Garamond" w:hAnsi="Garamond" w:cs="Garamond"/>
          <w:color w:val="211F1F"/>
          <w:sz w:val="14"/>
        </w:rPr>
        <w:t>15]</w:t>
      </w:r>
      <w:r>
        <w:rPr>
          <w:rFonts w:ascii="Garamond" w:eastAsia="Garamond" w:hAnsi="Garamond" w:cs="Garamond"/>
          <w:color w:val="211F1F"/>
          <w:sz w:val="20"/>
        </w:rPr>
        <w:t xml:space="preserve">. There has been </w:t>
      </w:r>
      <w:r>
        <w:rPr>
          <w:rFonts w:ascii="Garamond" w:eastAsia="Garamond" w:hAnsi="Garamond" w:cs="Garamond"/>
          <w:color w:val="211F1F"/>
          <w:sz w:val="20"/>
        </w:rPr>
        <w:t xml:space="preserve">a strong patient preference for subcutaneous administration of trastuzumab compared with intravenous dosing, a sentiment that was expected to be replicated in patients receiving rituximab </w:t>
      </w:r>
      <w:r>
        <w:rPr>
          <w:rFonts w:ascii="Garamond" w:eastAsia="Garamond" w:hAnsi="Garamond" w:cs="Garamond"/>
          <w:color w:val="211F1F"/>
          <w:sz w:val="14"/>
        </w:rPr>
        <w:t>[16</w:t>
      </w:r>
      <w:r>
        <w:rPr>
          <w:rFonts w:ascii="Garamond" w:eastAsia="Garamond" w:hAnsi="Garamond" w:cs="Garamond"/>
          <w:color w:val="211F1F"/>
          <w:sz w:val="20"/>
        </w:rPr>
        <w:t>,</w:t>
      </w:r>
      <w:r>
        <w:rPr>
          <w:rFonts w:ascii="Garamond" w:eastAsia="Garamond" w:hAnsi="Garamond" w:cs="Garamond"/>
          <w:color w:val="211F1F"/>
          <w:sz w:val="14"/>
        </w:rPr>
        <w:t>17]</w:t>
      </w:r>
      <w:r>
        <w:rPr>
          <w:rFonts w:ascii="Garamond" w:eastAsia="Garamond" w:hAnsi="Garamond" w:cs="Garamond"/>
          <w:color w:val="211F1F"/>
          <w:sz w:val="20"/>
        </w:rPr>
        <w:t>.</w:t>
      </w:r>
    </w:p>
    <w:p w:rsidR="0009028B" w:rsidRDefault="002A6AB4">
      <w:pPr>
        <w:spacing w:after="5" w:line="276" w:lineRule="auto"/>
        <w:ind w:left="-15" w:right="-14" w:firstLine="189"/>
        <w:jc w:val="both"/>
      </w:pPr>
      <w:r>
        <w:rPr>
          <w:rFonts w:ascii="Garamond" w:eastAsia="Garamond" w:hAnsi="Garamond" w:cs="Garamond"/>
          <w:color w:val="211F1F"/>
          <w:sz w:val="20"/>
        </w:rPr>
        <w:t>The subcutaneous preparation of rituximab as MabThera for s</w:t>
      </w:r>
      <w:r>
        <w:rPr>
          <w:rFonts w:ascii="Garamond" w:eastAsia="Garamond" w:hAnsi="Garamond" w:cs="Garamond"/>
          <w:color w:val="211F1F"/>
          <w:sz w:val="20"/>
        </w:rPr>
        <w:t>ubcutaneous injection contains rituximab at 120 mg</w:t>
      </w:r>
      <w:r>
        <w:rPr>
          <w:color w:val="211F1F"/>
          <w:sz w:val="20"/>
        </w:rPr>
        <w:t>/</w:t>
      </w:r>
      <w:r>
        <w:rPr>
          <w:rFonts w:ascii="Garamond" w:eastAsia="Garamond" w:hAnsi="Garamond" w:cs="Garamond"/>
          <w:color w:val="211F1F"/>
          <w:sz w:val="20"/>
        </w:rPr>
        <w:t>ml, a 12-fold increase in concentration when compared with the intravenous preparation. The total dose of rituximab per vial is 1400 mg (11.7 ml) which is combined with recombinant human hyaluronidase (rHu</w:t>
      </w:r>
      <w:r>
        <w:rPr>
          <w:rFonts w:ascii="Garamond" w:eastAsia="Garamond" w:hAnsi="Garamond" w:cs="Garamond"/>
          <w:color w:val="211F1F"/>
          <w:sz w:val="20"/>
        </w:rPr>
        <w:t xml:space="preserve">PH20) </w:t>
      </w:r>
      <w:r>
        <w:rPr>
          <w:rFonts w:ascii="Garamond" w:eastAsia="Garamond" w:hAnsi="Garamond" w:cs="Garamond"/>
          <w:color w:val="211F1F"/>
          <w:sz w:val="14"/>
        </w:rPr>
        <w:t>[7]</w:t>
      </w:r>
      <w:r>
        <w:rPr>
          <w:rFonts w:ascii="Garamond" w:eastAsia="Garamond" w:hAnsi="Garamond" w:cs="Garamond"/>
          <w:color w:val="211F1F"/>
          <w:sz w:val="20"/>
        </w:rPr>
        <w:t>. rHuPH20 is a recombinant human enzyme that acts to transiently depolymerize interstitial hyaluronan allowing rapid dispersion and absorption of subcutaneously administered medication. Hyaluronan is an important component of subcutaneous extracel</w:t>
      </w:r>
      <w:r>
        <w:rPr>
          <w:rFonts w:ascii="Garamond" w:eastAsia="Garamond" w:hAnsi="Garamond" w:cs="Garamond"/>
          <w:color w:val="211F1F"/>
          <w:sz w:val="20"/>
        </w:rPr>
        <w:t xml:space="preserve">lular matrix and provides resistance to large volume subcutaneous infusion </w:t>
      </w:r>
      <w:r>
        <w:rPr>
          <w:rFonts w:ascii="Garamond" w:eastAsia="Garamond" w:hAnsi="Garamond" w:cs="Garamond"/>
          <w:color w:val="211F1F"/>
          <w:sz w:val="14"/>
        </w:rPr>
        <w:t>[18]</w:t>
      </w:r>
      <w:r>
        <w:rPr>
          <w:rFonts w:ascii="Garamond" w:eastAsia="Garamond" w:hAnsi="Garamond" w:cs="Garamond"/>
          <w:color w:val="211F1F"/>
          <w:sz w:val="20"/>
        </w:rPr>
        <w:t xml:space="preserve">. Depolymerization by rHuPH20 is rapid but transient with a half-life of 30 min and resynthesis of hyaluronan in 24–48 h </w:t>
      </w:r>
      <w:r>
        <w:rPr>
          <w:rFonts w:ascii="Garamond" w:eastAsia="Garamond" w:hAnsi="Garamond" w:cs="Garamond"/>
          <w:color w:val="211F1F"/>
          <w:sz w:val="14"/>
        </w:rPr>
        <w:t>[18–20]</w:t>
      </w:r>
      <w:r>
        <w:rPr>
          <w:rFonts w:ascii="Garamond" w:eastAsia="Garamond" w:hAnsi="Garamond" w:cs="Garamond"/>
          <w:color w:val="211F1F"/>
          <w:sz w:val="20"/>
        </w:rPr>
        <w:t>. This causes decreased resistance to injection a</w:t>
      </w:r>
      <w:r>
        <w:rPr>
          <w:rFonts w:ascii="Garamond" w:eastAsia="Garamond" w:hAnsi="Garamond" w:cs="Garamond"/>
          <w:color w:val="211F1F"/>
          <w:sz w:val="20"/>
        </w:rPr>
        <w:t>nd allows larger volumes that would normally be tolerated to be given subcutaneously.</w:t>
      </w:r>
    </w:p>
    <w:p w:rsidR="0009028B" w:rsidRDefault="002A6AB4">
      <w:pPr>
        <w:spacing w:after="5" w:line="276" w:lineRule="auto"/>
        <w:ind w:left="-15" w:right="-14" w:firstLine="189"/>
        <w:jc w:val="both"/>
      </w:pPr>
      <w:r>
        <w:rPr>
          <w:rFonts w:ascii="Garamond" w:eastAsia="Garamond" w:hAnsi="Garamond" w:cs="Garamond"/>
          <w:color w:val="211F1F"/>
          <w:sz w:val="20"/>
        </w:rPr>
        <w:t xml:space="preserve">rHuPH20 is typically well tolerated and has long been used in the palliative care setting. It does not tend to cause any local side effects or lasting tissue damage, and </w:t>
      </w:r>
      <w:r>
        <w:rPr>
          <w:rFonts w:ascii="Garamond" w:eastAsia="Garamond" w:hAnsi="Garamond" w:cs="Garamond"/>
          <w:color w:val="211F1F"/>
          <w:sz w:val="20"/>
        </w:rPr>
        <w:t xml:space="preserve">does not interact with rituximab </w:t>
      </w:r>
      <w:r>
        <w:rPr>
          <w:rFonts w:ascii="Garamond" w:eastAsia="Garamond" w:hAnsi="Garamond" w:cs="Garamond"/>
          <w:color w:val="211F1F"/>
          <w:sz w:val="14"/>
        </w:rPr>
        <w:t>[19</w:t>
      </w:r>
      <w:r>
        <w:rPr>
          <w:rFonts w:ascii="Garamond" w:eastAsia="Garamond" w:hAnsi="Garamond" w:cs="Garamond"/>
          <w:color w:val="211F1F"/>
          <w:sz w:val="20"/>
        </w:rPr>
        <w:t>,</w:t>
      </w:r>
      <w:r>
        <w:rPr>
          <w:rFonts w:ascii="Garamond" w:eastAsia="Garamond" w:hAnsi="Garamond" w:cs="Garamond"/>
          <w:color w:val="211F1F"/>
          <w:sz w:val="14"/>
        </w:rPr>
        <w:t>21–22]</w:t>
      </w:r>
      <w:r>
        <w:rPr>
          <w:rFonts w:ascii="Garamond" w:eastAsia="Garamond" w:hAnsi="Garamond" w:cs="Garamond"/>
          <w:color w:val="211F1F"/>
          <w:sz w:val="20"/>
        </w:rPr>
        <w:t>. There appears to be very little in the way of systemic dispersion. This approach of combining rHuPH20 with monoclonal antibodies to facilitate subcutaneous administration has been successfully adopted in the for</w:t>
      </w:r>
      <w:r>
        <w:rPr>
          <w:rFonts w:ascii="Garamond" w:eastAsia="Garamond" w:hAnsi="Garamond" w:cs="Garamond"/>
          <w:color w:val="211F1F"/>
          <w:sz w:val="20"/>
        </w:rPr>
        <w:t>mulation of subcutaneous trastuzumab, licensed for use in HER-2-positive breast cancer treatment.</w:t>
      </w:r>
    </w:p>
    <w:p w:rsidR="0009028B" w:rsidRDefault="002A6AB4">
      <w:pPr>
        <w:spacing w:after="5" w:line="276" w:lineRule="auto"/>
        <w:ind w:left="-15" w:right="-14" w:firstLine="189"/>
        <w:jc w:val="both"/>
      </w:pPr>
      <w:r>
        <w:rPr>
          <w:rFonts w:ascii="Garamond" w:eastAsia="Garamond" w:hAnsi="Garamond" w:cs="Garamond"/>
          <w:color w:val="211F1F"/>
          <w:sz w:val="20"/>
        </w:rPr>
        <w:t>Given the prolonged intravenous infusion times observed with rituximab and the complications associated with dosing by body surface area (BSA), a move to subc</w:t>
      </w:r>
      <w:r>
        <w:rPr>
          <w:rFonts w:ascii="Garamond" w:eastAsia="Garamond" w:hAnsi="Garamond" w:cs="Garamond"/>
          <w:color w:val="211F1F"/>
          <w:sz w:val="20"/>
        </w:rPr>
        <w:t>utaneous administration would save considerable time and resources in increasingly busy hematology and oncology departments. A move to single-dose administration may also reduce the risk for practitioner error.</w:t>
      </w:r>
    </w:p>
    <w:p w:rsidR="0009028B" w:rsidRDefault="002A6AB4">
      <w:pPr>
        <w:spacing w:after="738" w:line="276" w:lineRule="auto"/>
        <w:ind w:left="-15" w:right="-14" w:firstLine="189"/>
        <w:jc w:val="both"/>
      </w:pPr>
      <w:r>
        <w:rPr>
          <w:rFonts w:ascii="Garamond" w:eastAsia="Garamond" w:hAnsi="Garamond" w:cs="Garamond"/>
          <w:color w:val="211F1F"/>
          <w:sz w:val="20"/>
        </w:rPr>
        <w:t xml:space="preserve">This article will review the outcomes of the </w:t>
      </w:r>
      <w:r>
        <w:rPr>
          <w:rFonts w:ascii="Garamond" w:eastAsia="Garamond" w:hAnsi="Garamond" w:cs="Garamond"/>
          <w:color w:val="211F1F"/>
          <w:sz w:val="20"/>
        </w:rPr>
        <w:t>coordinated clinical development program to investigating the feasibility and efficacy of delivering rituximab as a subcutaneous formulation, in combination with rHuPH20, in the treatment of FL, DLBCL and CLL. In particular, the outcomes of the SparkThera,</w:t>
      </w:r>
      <w:r>
        <w:rPr>
          <w:rFonts w:ascii="Garamond" w:eastAsia="Garamond" w:hAnsi="Garamond" w:cs="Garamond"/>
          <w:color w:val="211F1F"/>
          <w:sz w:val="20"/>
        </w:rPr>
        <w:t xml:space="preserve"> SAWYER and SABRINA studies are reviewed as the basis for the pharmacological and clinical equivalence of subcutaneous administration. The safety and tolerability as well as the benefits to patients and healthcare providers of moving to this mode of treatm</w:t>
      </w:r>
      <w:r>
        <w:rPr>
          <w:rFonts w:ascii="Garamond" w:eastAsia="Garamond" w:hAnsi="Garamond" w:cs="Garamond"/>
          <w:color w:val="211F1F"/>
          <w:sz w:val="20"/>
        </w:rPr>
        <w:t>ent are also discussed.</w:t>
      </w:r>
    </w:p>
    <w:p w:rsidR="0009028B" w:rsidRDefault="002A6AB4">
      <w:pPr>
        <w:pStyle w:val="Heading1"/>
        <w:ind w:left="-5"/>
      </w:pPr>
      <w:r>
        <w:t>Pharmacology</w:t>
      </w:r>
    </w:p>
    <w:p w:rsidR="0009028B" w:rsidRDefault="002A6AB4">
      <w:pPr>
        <w:spacing w:after="5" w:line="276" w:lineRule="auto"/>
        <w:ind w:left="-15" w:right="-14"/>
        <w:jc w:val="both"/>
      </w:pPr>
      <w:r>
        <w:rPr>
          <w:rFonts w:ascii="Garamond" w:eastAsia="Garamond" w:hAnsi="Garamond" w:cs="Garamond"/>
          <w:color w:val="211F1F"/>
          <w:sz w:val="20"/>
        </w:rPr>
        <w:t>The development of a sc. rituximab formulation drew upon the knowledge and experience gained during its initial investigation as an intravenous preparation. It was considered that an equivalent serum rituximab level achieved subcutaneously as intravenously</w:t>
      </w:r>
      <w:r>
        <w:rPr>
          <w:rFonts w:ascii="Garamond" w:eastAsia="Garamond" w:hAnsi="Garamond" w:cs="Garamond"/>
          <w:color w:val="211F1F"/>
          <w:sz w:val="20"/>
        </w:rPr>
        <w:t xml:space="preserve"> would result in an equal degree of target-site saturation. This in turn was expected to result in equal efficacy given the active compound, the monoclonal antibody, was identical in both preparations, all be it at a higher concentration when given subcuta</w:t>
      </w:r>
      <w:r>
        <w:rPr>
          <w:rFonts w:ascii="Garamond" w:eastAsia="Garamond" w:hAnsi="Garamond" w:cs="Garamond"/>
          <w:color w:val="211F1F"/>
          <w:sz w:val="20"/>
        </w:rPr>
        <w:t>neously.</w:t>
      </w:r>
    </w:p>
    <w:p w:rsidR="0009028B" w:rsidRDefault="002A6AB4">
      <w:pPr>
        <w:spacing w:after="5" w:line="276" w:lineRule="auto"/>
        <w:ind w:left="-15" w:right="-14" w:firstLine="189"/>
        <w:jc w:val="both"/>
      </w:pPr>
      <w:r>
        <w:rPr>
          <w:rFonts w:ascii="Garamond" w:eastAsia="Garamond" w:hAnsi="Garamond" w:cs="Garamond"/>
          <w:color w:val="211F1F"/>
          <w:sz w:val="20"/>
        </w:rPr>
        <w:t>A pharmacokinetic (PK)-based clinical bridging program was initiated, with parallel studies investigating the effects of a switch to subcutaneous administration in FL, DLBCL and CLL. These studies assessed the PK noninferiority, safety profile and</w:t>
      </w:r>
      <w:r>
        <w:rPr>
          <w:rFonts w:ascii="Garamond" w:eastAsia="Garamond" w:hAnsi="Garamond" w:cs="Garamond"/>
          <w:color w:val="211F1F"/>
          <w:sz w:val="20"/>
        </w:rPr>
        <w:t xml:space="preserve"> subsequently clinical efficacy of this delivery method. Information was also gathered on the acceptability of subcutaneous administration of rituximab to patients.</w:t>
      </w:r>
    </w:p>
    <w:p w:rsidR="0009028B" w:rsidRDefault="002A6AB4">
      <w:pPr>
        <w:pStyle w:val="Heading2"/>
        <w:spacing w:after="65"/>
        <w:ind w:left="-5"/>
      </w:pPr>
      <w:r>
        <w:lastRenderedPageBreak/>
        <w:t>Initial considerations</w:t>
      </w:r>
    </w:p>
    <w:p w:rsidR="0009028B" w:rsidRDefault="002A6AB4">
      <w:pPr>
        <w:spacing w:after="5" w:line="276" w:lineRule="auto"/>
        <w:ind w:left="-15" w:right="-14"/>
        <w:jc w:val="both"/>
      </w:pPr>
      <w:r>
        <w:rPr>
          <w:rFonts w:ascii="Garamond" w:eastAsia="Garamond" w:hAnsi="Garamond" w:cs="Garamond"/>
          <w:color w:val="211F1F"/>
          <w:sz w:val="20"/>
        </w:rPr>
        <w:t>In order to achieve noninferiority with subcutaneous administration,</w:t>
      </w:r>
      <w:r>
        <w:rPr>
          <w:rFonts w:ascii="Garamond" w:eastAsia="Garamond" w:hAnsi="Garamond" w:cs="Garamond"/>
          <w:color w:val="211F1F"/>
          <w:sz w:val="20"/>
        </w:rPr>
        <w:t xml:space="preserve"> the bridging studies utilized the rituximab serum trough concentration (C</w:t>
      </w:r>
      <w:r>
        <w:rPr>
          <w:rFonts w:ascii="Garamond" w:eastAsia="Garamond" w:hAnsi="Garamond" w:cs="Garamond"/>
          <w:color w:val="211F1F"/>
          <w:sz w:val="20"/>
          <w:vertAlign w:val="subscript"/>
        </w:rPr>
        <w:t>trough</w:t>
      </w:r>
      <w:r>
        <w:rPr>
          <w:rFonts w:ascii="Garamond" w:eastAsia="Garamond" w:hAnsi="Garamond" w:cs="Garamond"/>
          <w:color w:val="211F1F"/>
          <w:sz w:val="20"/>
        </w:rPr>
        <w:t xml:space="preserve">) as a marker of target exposure. Representing the minimum concentration in a defined treatment cycle, this reflects the duration of target exposure. Working on the assumption </w:t>
      </w:r>
      <w:r>
        <w:rPr>
          <w:rFonts w:ascii="Garamond" w:eastAsia="Garamond" w:hAnsi="Garamond" w:cs="Garamond"/>
          <w:color w:val="211F1F"/>
          <w:sz w:val="20"/>
        </w:rPr>
        <w:t>that peak efficacy is achieved when all target sites are saturated, it was expected that similar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following subcutaneous administration would result in comparable pharmacodynamic effects.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along with estimation of area under the concentration</w:t>
      </w:r>
      <w:r>
        <w:rPr>
          <w:rFonts w:ascii="Garamond" w:eastAsia="Garamond" w:hAnsi="Garamond" w:cs="Garamond"/>
          <w:color w:val="211F1F"/>
          <w:sz w:val="20"/>
        </w:rPr>
        <w:t xml:space="preserve"> over time curve (AUC) has been shown to correlate with disease response in FL, where these two measures have also been shown to correlate with each other </w:t>
      </w:r>
      <w:r>
        <w:rPr>
          <w:rFonts w:ascii="Garamond" w:eastAsia="Garamond" w:hAnsi="Garamond" w:cs="Garamond"/>
          <w:color w:val="211F1F"/>
          <w:sz w:val="14"/>
        </w:rPr>
        <w:t>[23</w:t>
      </w:r>
      <w:r>
        <w:rPr>
          <w:rFonts w:ascii="Garamond" w:eastAsia="Garamond" w:hAnsi="Garamond" w:cs="Garamond"/>
          <w:color w:val="211F1F"/>
          <w:sz w:val="20"/>
        </w:rPr>
        <w:t>,</w:t>
      </w:r>
      <w:r>
        <w:rPr>
          <w:rFonts w:ascii="Garamond" w:eastAsia="Garamond" w:hAnsi="Garamond" w:cs="Garamond"/>
          <w:color w:val="211F1F"/>
          <w:sz w:val="14"/>
        </w:rPr>
        <w:t>24]</w:t>
      </w:r>
      <w:r>
        <w:rPr>
          <w:rFonts w:ascii="Garamond" w:eastAsia="Garamond" w:hAnsi="Garamond" w:cs="Garamond"/>
          <w:color w:val="211F1F"/>
          <w:sz w:val="20"/>
        </w:rPr>
        <w:t>. As such they were chosen as the primary and secondary end points in the bridging studies.</w:t>
      </w:r>
    </w:p>
    <w:p w:rsidR="0009028B" w:rsidRDefault="002A6AB4">
      <w:pPr>
        <w:spacing w:after="5" w:line="276" w:lineRule="auto"/>
        <w:ind w:left="-15" w:right="-14" w:firstLine="189"/>
        <w:jc w:val="both"/>
      </w:pPr>
      <w:r>
        <w:rPr>
          <w:rFonts w:ascii="Garamond" w:eastAsia="Garamond" w:hAnsi="Garamond" w:cs="Garamond"/>
          <w:color w:val="211F1F"/>
          <w:sz w:val="20"/>
        </w:rPr>
        <w:t>Th</w:t>
      </w:r>
      <w:r>
        <w:rPr>
          <w:rFonts w:ascii="Garamond" w:eastAsia="Garamond" w:hAnsi="Garamond" w:cs="Garamond"/>
          <w:color w:val="211F1F"/>
          <w:sz w:val="20"/>
        </w:rPr>
        <w:t>e peak serum rituximab concentration (C</w:t>
      </w:r>
      <w:r>
        <w:rPr>
          <w:rFonts w:ascii="Garamond" w:eastAsia="Garamond" w:hAnsi="Garamond" w:cs="Garamond"/>
          <w:color w:val="211F1F"/>
          <w:sz w:val="20"/>
          <w:vertAlign w:val="subscript"/>
        </w:rPr>
        <w:t>max</w:t>
      </w:r>
      <w:r>
        <w:rPr>
          <w:rFonts w:ascii="Garamond" w:eastAsia="Garamond" w:hAnsi="Garamond" w:cs="Garamond"/>
          <w:color w:val="211F1F"/>
          <w:sz w:val="20"/>
        </w:rPr>
        <w:t>) is not considered a relevant PK parameter. This occurs later, after 3 days, and is less pronounced, in subcutaneous compared with intravenous administration. The high C</w:t>
      </w:r>
      <w:r>
        <w:rPr>
          <w:rFonts w:ascii="Garamond" w:eastAsia="Garamond" w:hAnsi="Garamond" w:cs="Garamond"/>
          <w:color w:val="211F1F"/>
          <w:sz w:val="20"/>
          <w:vertAlign w:val="subscript"/>
        </w:rPr>
        <w:t xml:space="preserve">max </w:t>
      </w:r>
      <w:r>
        <w:rPr>
          <w:rFonts w:ascii="Garamond" w:eastAsia="Garamond" w:hAnsi="Garamond" w:cs="Garamond"/>
          <w:color w:val="211F1F"/>
          <w:sz w:val="20"/>
        </w:rPr>
        <w:t>observed with intravenous administration</w:t>
      </w:r>
      <w:r>
        <w:rPr>
          <w:rFonts w:ascii="Garamond" w:eastAsia="Garamond" w:hAnsi="Garamond" w:cs="Garamond"/>
          <w:color w:val="211F1F"/>
          <w:sz w:val="20"/>
        </w:rPr>
        <w:t xml:space="preserve"> may account for some of its propensity to produce IRRs </w:t>
      </w:r>
      <w:r>
        <w:rPr>
          <w:rFonts w:ascii="Garamond" w:eastAsia="Garamond" w:hAnsi="Garamond" w:cs="Garamond"/>
          <w:color w:val="211F1F"/>
          <w:sz w:val="14"/>
        </w:rPr>
        <w:t>[23]</w:t>
      </w:r>
      <w:r>
        <w:rPr>
          <w:rFonts w:ascii="Garamond" w:eastAsia="Garamond" w:hAnsi="Garamond" w:cs="Garamond"/>
          <w:color w:val="211F1F"/>
          <w:sz w:val="20"/>
        </w:rPr>
        <w:t>.</w:t>
      </w:r>
    </w:p>
    <w:p w:rsidR="0009028B" w:rsidRDefault="002A6AB4">
      <w:pPr>
        <w:spacing w:after="5" w:line="276" w:lineRule="auto"/>
        <w:ind w:left="-15" w:right="-14" w:firstLine="189"/>
        <w:jc w:val="both"/>
      </w:pPr>
      <w:r>
        <w:rPr>
          <w:rFonts w:ascii="Garamond" w:eastAsia="Garamond" w:hAnsi="Garamond" w:cs="Garamond"/>
          <w:color w:val="211F1F"/>
          <w:sz w:val="20"/>
        </w:rPr>
        <w:t>Switching to subcutaneous administration of rituximab has also allowed a shift to fixed (flat) dosing. Such a change would be expected to allow ready-to-use formulation, reducing drug preparatio</w:t>
      </w:r>
      <w:r>
        <w:rPr>
          <w:rFonts w:ascii="Garamond" w:eastAsia="Garamond" w:hAnsi="Garamond" w:cs="Garamond"/>
          <w:color w:val="211F1F"/>
          <w:sz w:val="20"/>
        </w:rPr>
        <w:t>n time in pharmacies, reducing waste and reducing the risk of dosing errors. Following on from the traditional dosing of chemotherapies by BSA, rituximab as the first anticancer monoclonal antibody treatment was initially dosed in a similar fashion. Subseq</w:t>
      </w:r>
      <w:r>
        <w:rPr>
          <w:rFonts w:ascii="Garamond" w:eastAsia="Garamond" w:hAnsi="Garamond" w:cs="Garamond"/>
          <w:color w:val="211F1F"/>
          <w:sz w:val="20"/>
        </w:rPr>
        <w:t>uent assessment has revealed that monoclonal antibodies in contrast to most cytotoxic chemotherapies have a wide therapeutic index and wide variability in concentrations achieved in individuals regardless of BSA. In fact other factors, including gender, di</w:t>
      </w:r>
      <w:r>
        <w:rPr>
          <w:rFonts w:ascii="Garamond" w:eastAsia="Garamond" w:hAnsi="Garamond" w:cs="Garamond"/>
          <w:color w:val="211F1F"/>
          <w:sz w:val="20"/>
        </w:rPr>
        <w:t>sease burden and bone marrow involvement, have all been shown to significantly affect the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 xml:space="preserve">levels </w:t>
      </w:r>
      <w:r>
        <w:rPr>
          <w:rFonts w:ascii="Garamond" w:eastAsia="Garamond" w:hAnsi="Garamond" w:cs="Garamond"/>
          <w:color w:val="211F1F"/>
          <w:sz w:val="14"/>
        </w:rPr>
        <w:t>[24]</w:t>
      </w:r>
      <w:r>
        <w:rPr>
          <w:rFonts w:ascii="Garamond" w:eastAsia="Garamond" w:hAnsi="Garamond" w:cs="Garamond"/>
          <w:color w:val="211F1F"/>
          <w:sz w:val="20"/>
        </w:rPr>
        <w:t>. It has been shown that variations in PK would be no greater with fixed dosing for rituximab, as well as numerous other therapeutic monoclonal ant</w:t>
      </w:r>
      <w:r>
        <w:rPr>
          <w:rFonts w:ascii="Garamond" w:eastAsia="Garamond" w:hAnsi="Garamond" w:cs="Garamond"/>
          <w:color w:val="211F1F"/>
          <w:sz w:val="20"/>
        </w:rPr>
        <w:t xml:space="preserve">ibodies, than if BSA-based dosing schedule were applied </w:t>
      </w:r>
      <w:r>
        <w:rPr>
          <w:rFonts w:ascii="Garamond" w:eastAsia="Garamond" w:hAnsi="Garamond" w:cs="Garamond"/>
          <w:color w:val="211F1F"/>
          <w:sz w:val="14"/>
        </w:rPr>
        <w:t>[25]</w:t>
      </w:r>
      <w:r>
        <w:rPr>
          <w:rFonts w:ascii="Garamond" w:eastAsia="Garamond" w:hAnsi="Garamond" w:cs="Garamond"/>
          <w:color w:val="211F1F"/>
          <w:sz w:val="20"/>
        </w:rPr>
        <w:t>.</w:t>
      </w:r>
    </w:p>
    <w:p w:rsidR="0009028B" w:rsidRDefault="002A6AB4">
      <w:pPr>
        <w:spacing w:after="5" w:line="276" w:lineRule="auto"/>
        <w:ind w:left="-15" w:right="-14" w:firstLine="189"/>
        <w:jc w:val="both"/>
      </w:pPr>
      <w:r>
        <w:rPr>
          <w:rFonts w:ascii="Garamond" w:eastAsia="Garamond" w:hAnsi="Garamond" w:cs="Garamond"/>
          <w:color w:val="211F1F"/>
          <w:sz w:val="20"/>
        </w:rPr>
        <w:t>The wide therapeutic index associated with monoclonal antibodies allows a dose large enough to achieve an acceptable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in individuals with a high BSA to be given to the whole population. T</w:t>
      </w:r>
      <w:r>
        <w:rPr>
          <w:rFonts w:ascii="Garamond" w:eastAsia="Garamond" w:hAnsi="Garamond" w:cs="Garamond"/>
          <w:color w:val="211F1F"/>
          <w:sz w:val="20"/>
        </w:rPr>
        <w:t>his allows those who would experience a lower exposure to the drug with fixed dosing to be adequately treated, while also keeping potential toxicities to a minimum in smaller individuals.</w:t>
      </w:r>
    </w:p>
    <w:p w:rsidR="0009028B" w:rsidRDefault="002A6AB4">
      <w:pPr>
        <w:spacing w:after="166" w:line="276" w:lineRule="auto"/>
        <w:ind w:left="-15" w:right="-14" w:firstLine="189"/>
        <w:jc w:val="both"/>
      </w:pPr>
      <w:r>
        <w:rPr>
          <w:rFonts w:ascii="Garamond" w:eastAsia="Garamond" w:hAnsi="Garamond" w:cs="Garamond"/>
          <w:color w:val="211F1F"/>
          <w:sz w:val="20"/>
        </w:rPr>
        <w:t>A similar approach had been successfully deployed to develop a subcu</w:t>
      </w:r>
      <w:r>
        <w:rPr>
          <w:rFonts w:ascii="Garamond" w:eastAsia="Garamond" w:hAnsi="Garamond" w:cs="Garamond"/>
          <w:color w:val="211F1F"/>
          <w:sz w:val="20"/>
        </w:rPr>
        <w:t>taneous preparation of trastuzumab. A Phase I study utilizing both healthy male volunteers and patients with HER-2-positive early breast cancer found single dose subcutaneous administration could result in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and AUC levels equivalent to those achieve</w:t>
      </w:r>
      <w:r>
        <w:rPr>
          <w:rFonts w:ascii="Garamond" w:eastAsia="Garamond" w:hAnsi="Garamond" w:cs="Garamond"/>
          <w:color w:val="211F1F"/>
          <w:sz w:val="20"/>
        </w:rPr>
        <w:t xml:space="preserve">d with the conventional intravenous dosing regimen </w:t>
      </w:r>
      <w:r>
        <w:rPr>
          <w:rFonts w:ascii="Garamond" w:eastAsia="Garamond" w:hAnsi="Garamond" w:cs="Garamond"/>
          <w:color w:val="211F1F"/>
          <w:sz w:val="14"/>
        </w:rPr>
        <w:t>[14]</w:t>
      </w:r>
      <w:r>
        <w:rPr>
          <w:rFonts w:ascii="Garamond" w:eastAsia="Garamond" w:hAnsi="Garamond" w:cs="Garamond"/>
          <w:color w:val="211F1F"/>
          <w:sz w:val="20"/>
        </w:rPr>
        <w:t xml:space="preserve">. The findings of this early phase study were consolidated by a Phase III study showing noninferiority of a fixed subcutaneous dose in terms of clinical efficacy </w:t>
      </w:r>
      <w:r>
        <w:rPr>
          <w:rFonts w:ascii="Garamond" w:eastAsia="Garamond" w:hAnsi="Garamond" w:cs="Garamond"/>
          <w:color w:val="211F1F"/>
          <w:sz w:val="14"/>
        </w:rPr>
        <w:t>[15]</w:t>
      </w:r>
      <w:r>
        <w:rPr>
          <w:rFonts w:ascii="Garamond" w:eastAsia="Garamond" w:hAnsi="Garamond" w:cs="Garamond"/>
          <w:color w:val="211F1F"/>
          <w:sz w:val="20"/>
        </w:rPr>
        <w:t>.</w:t>
      </w:r>
    </w:p>
    <w:p w:rsidR="0009028B" w:rsidRDefault="002A6AB4">
      <w:pPr>
        <w:pStyle w:val="Heading2"/>
        <w:spacing w:after="65"/>
        <w:ind w:left="-5"/>
      </w:pPr>
      <w:r>
        <w:t>Preclinical studies</w:t>
      </w:r>
    </w:p>
    <w:p w:rsidR="0009028B" w:rsidRDefault="002A6AB4">
      <w:pPr>
        <w:spacing w:after="5" w:line="276" w:lineRule="auto"/>
        <w:ind w:left="-15" w:right="-14"/>
        <w:jc w:val="both"/>
      </w:pPr>
      <w:r>
        <w:rPr>
          <w:rFonts w:ascii="Garamond" w:eastAsia="Garamond" w:hAnsi="Garamond" w:cs="Garamond"/>
          <w:color w:val="211F1F"/>
          <w:sz w:val="20"/>
        </w:rPr>
        <w:t>The first preclinical studies showed good dispersal of rituximab with rHuPH20 when administered subcutaneously to mini pigs and also in mouse studies, in keeping with previous research into sc. trastuzumab. Maximum absorption was achieved at doses at or be</w:t>
      </w:r>
      <w:r>
        <w:rPr>
          <w:rFonts w:ascii="Garamond" w:eastAsia="Garamond" w:hAnsi="Garamond" w:cs="Garamond"/>
          <w:color w:val="211F1F"/>
          <w:sz w:val="20"/>
        </w:rPr>
        <w:t>low 6000 u</w:t>
      </w:r>
      <w:r>
        <w:rPr>
          <w:color w:val="211F1F"/>
          <w:sz w:val="20"/>
        </w:rPr>
        <w:t>/</w:t>
      </w:r>
      <w:r>
        <w:rPr>
          <w:rFonts w:ascii="Garamond" w:eastAsia="Garamond" w:hAnsi="Garamond" w:cs="Garamond"/>
          <w:color w:val="211F1F"/>
          <w:sz w:val="20"/>
        </w:rPr>
        <w:t xml:space="preserve">ml rHuPH20 in a number of studies </w:t>
      </w:r>
      <w:r>
        <w:rPr>
          <w:rFonts w:ascii="Garamond" w:eastAsia="Garamond" w:hAnsi="Garamond" w:cs="Garamond"/>
          <w:color w:val="211F1F"/>
          <w:sz w:val="14"/>
        </w:rPr>
        <w:t>[26]</w:t>
      </w:r>
      <w:r>
        <w:rPr>
          <w:rFonts w:ascii="Garamond" w:eastAsia="Garamond" w:hAnsi="Garamond" w:cs="Garamond"/>
          <w:color w:val="211F1F"/>
          <w:sz w:val="20"/>
        </w:rPr>
        <w:t>.</w:t>
      </w:r>
    </w:p>
    <w:p w:rsidR="0009028B" w:rsidRDefault="002A6AB4">
      <w:pPr>
        <w:spacing w:after="167" w:line="276" w:lineRule="auto"/>
        <w:ind w:left="-15" w:right="-14" w:firstLine="189"/>
        <w:jc w:val="both"/>
      </w:pPr>
      <w:r>
        <w:rPr>
          <w:rFonts w:ascii="Garamond" w:eastAsia="Garamond" w:hAnsi="Garamond" w:cs="Garamond"/>
          <w:color w:val="211F1F"/>
          <w:sz w:val="20"/>
        </w:rPr>
        <w:t>Subsequent studies utilizing a human tumor xenograft model and cynomolgus monkeys added further evidence to sc. rituximab having equivalent PK effects when compared with intravenous administration. These s</w:t>
      </w:r>
      <w:r>
        <w:rPr>
          <w:rFonts w:ascii="Garamond" w:eastAsia="Garamond" w:hAnsi="Garamond" w:cs="Garamond"/>
          <w:color w:val="211F1F"/>
          <w:sz w:val="20"/>
        </w:rPr>
        <w:t xml:space="preserve">tudies also demonstrated pharmacodynamic similarities in rituximab bioavailability and target cell depletion in both the peripheral blood as well as in the lymphoid tissues </w:t>
      </w:r>
      <w:r>
        <w:rPr>
          <w:rFonts w:ascii="Garamond" w:eastAsia="Garamond" w:hAnsi="Garamond" w:cs="Garamond"/>
          <w:color w:val="211F1F"/>
          <w:sz w:val="14"/>
        </w:rPr>
        <w:t>[27]</w:t>
      </w:r>
      <w:r>
        <w:rPr>
          <w:rFonts w:ascii="Garamond" w:eastAsia="Garamond" w:hAnsi="Garamond" w:cs="Garamond"/>
          <w:color w:val="211F1F"/>
          <w:sz w:val="20"/>
        </w:rPr>
        <w:t>.</w:t>
      </w:r>
    </w:p>
    <w:p w:rsidR="0009028B" w:rsidRDefault="002A6AB4">
      <w:pPr>
        <w:pStyle w:val="Heading2"/>
        <w:spacing w:after="65"/>
        <w:ind w:left="-5"/>
      </w:pPr>
      <w:r>
        <w:t>Early clinical development</w:t>
      </w:r>
    </w:p>
    <w:p w:rsidR="0009028B" w:rsidRDefault="002A6AB4">
      <w:pPr>
        <w:spacing w:after="215" w:line="276" w:lineRule="auto"/>
        <w:ind w:left="-15" w:right="-14"/>
        <w:jc w:val="both"/>
      </w:pPr>
      <w:r>
        <w:rPr>
          <w:rFonts w:ascii="Garamond" w:eastAsia="Garamond" w:hAnsi="Garamond" w:cs="Garamond"/>
          <w:color w:val="211F1F"/>
          <w:sz w:val="20"/>
        </w:rPr>
        <w:t>A coordinated approach of clinical studies was ado</w:t>
      </w:r>
      <w:r>
        <w:rPr>
          <w:rFonts w:ascii="Garamond" w:eastAsia="Garamond" w:hAnsi="Garamond" w:cs="Garamond"/>
          <w:color w:val="211F1F"/>
          <w:sz w:val="20"/>
        </w:rPr>
        <w:t xml:space="preserve">pted to identify the optimal dosing for subcutaneous administration of rituximab in the treatment of non-Hodgkin lymphoma and CLL. This was followed by three parallel studies to assess the PKs, clinical efficacy and safety of the doses established for use </w:t>
      </w:r>
      <w:r>
        <w:rPr>
          <w:rFonts w:ascii="Garamond" w:eastAsia="Garamond" w:hAnsi="Garamond" w:cs="Garamond"/>
          <w:color w:val="211F1F"/>
          <w:sz w:val="20"/>
        </w:rPr>
        <w:t>in treatment of FL, DLBCL and CLL.</w:t>
      </w:r>
    </w:p>
    <w:p w:rsidR="0009028B" w:rsidRDefault="002A6AB4">
      <w:pPr>
        <w:pStyle w:val="Heading2"/>
        <w:ind w:left="-5"/>
      </w:pPr>
      <w:r>
        <w:t>Dose-finding studies</w:t>
      </w:r>
    </w:p>
    <w:p w:rsidR="0009028B" w:rsidRDefault="002A6AB4">
      <w:pPr>
        <w:spacing w:after="5" w:line="276" w:lineRule="auto"/>
        <w:ind w:left="-15" w:right="-14"/>
        <w:jc w:val="both"/>
      </w:pPr>
      <w:r>
        <w:rPr>
          <w:rFonts w:ascii="Garamond" w:eastAsia="Garamond" w:hAnsi="Garamond" w:cs="Garamond"/>
          <w:color w:val="211F1F"/>
          <w:sz w:val="20"/>
        </w:rPr>
        <w:t>The first clinical dose-finding study was the Phase IB SparkThera study. This study of patients in the maintenance phase of treatment for FL had the primary objective of identifying a subcutaneous dos</w:t>
      </w:r>
      <w:r>
        <w:rPr>
          <w:rFonts w:ascii="Garamond" w:eastAsia="Garamond" w:hAnsi="Garamond" w:cs="Garamond"/>
          <w:color w:val="211F1F"/>
          <w:sz w:val="20"/>
        </w:rPr>
        <w:t>e of rituximab that would reliably result in a C</w:t>
      </w:r>
      <w:r>
        <w:rPr>
          <w:rFonts w:ascii="Garamond" w:eastAsia="Garamond" w:hAnsi="Garamond" w:cs="Garamond"/>
          <w:color w:val="211F1F"/>
          <w:sz w:val="20"/>
          <w:vertAlign w:val="subscript"/>
        </w:rPr>
        <w:t xml:space="preserve">trough </w:t>
      </w:r>
      <w:r>
        <w:rPr>
          <w:rFonts w:ascii="Garamond" w:eastAsia="Garamond" w:hAnsi="Garamond" w:cs="Garamond"/>
          <w:color w:val="211F1F"/>
          <w:sz w:val="20"/>
        </w:rPr>
        <w:t>equivalent to an iv. dose given at 375 mg</w:t>
      </w:r>
      <w:r>
        <w:rPr>
          <w:color w:val="211F1F"/>
          <w:sz w:val="20"/>
        </w:rPr>
        <w:t>/</w:t>
      </w:r>
      <w:r>
        <w:rPr>
          <w:rFonts w:ascii="Garamond" w:eastAsia="Garamond" w:hAnsi="Garamond" w:cs="Garamond"/>
          <w:color w:val="211F1F"/>
          <w:sz w:val="20"/>
        </w:rPr>
        <w:t>m</w:t>
      </w:r>
      <w:r>
        <w:rPr>
          <w:rFonts w:ascii="Garamond" w:eastAsia="Garamond" w:hAnsi="Garamond" w:cs="Garamond"/>
          <w:color w:val="211F1F"/>
          <w:sz w:val="20"/>
          <w:vertAlign w:val="superscript"/>
        </w:rPr>
        <w:t>2</w:t>
      </w:r>
      <w:r>
        <w:rPr>
          <w:rFonts w:ascii="Garamond" w:eastAsia="Garamond" w:hAnsi="Garamond" w:cs="Garamond"/>
          <w:color w:val="211F1F"/>
          <w:sz w:val="20"/>
        </w:rPr>
        <w:t>. The PKs, safety and tolerability of subcutaneous administration was also assessed. Patients selected had already achieved at least a partial response to</w:t>
      </w:r>
    </w:p>
    <w:tbl>
      <w:tblPr>
        <w:tblStyle w:val="TableGrid"/>
        <w:tblW w:w="9859" w:type="dxa"/>
        <w:tblInd w:w="-1132" w:type="dxa"/>
        <w:tblCellMar>
          <w:top w:w="41" w:type="dxa"/>
          <w:left w:w="59" w:type="dxa"/>
          <w:bottom w:w="0" w:type="dxa"/>
          <w:right w:w="56" w:type="dxa"/>
        </w:tblCellMar>
        <w:tblLook w:val="04A0" w:firstRow="1" w:lastRow="0" w:firstColumn="1" w:lastColumn="0" w:noHBand="0" w:noVBand="1"/>
      </w:tblPr>
      <w:tblGrid>
        <w:gridCol w:w="9859"/>
      </w:tblGrid>
      <w:tr w:rsidR="0009028B">
        <w:trPr>
          <w:trHeight w:val="587"/>
        </w:trPr>
        <w:tc>
          <w:tcPr>
            <w:tcW w:w="9859" w:type="dxa"/>
            <w:tcBorders>
              <w:top w:val="nil"/>
              <w:left w:val="nil"/>
              <w:bottom w:val="nil"/>
              <w:right w:val="nil"/>
            </w:tcBorders>
            <w:shd w:val="clear" w:color="auto" w:fill="243188"/>
          </w:tcPr>
          <w:p w:rsidR="0009028B" w:rsidRDefault="002A6AB4">
            <w:pPr>
              <w:spacing w:after="0"/>
            </w:pPr>
            <w:r>
              <w:rPr>
                <w:color w:val="FFFFFF"/>
                <w:sz w:val="18"/>
              </w:rPr>
              <w:t>Table 1. Overview of the studies comparing subcutaneous to intravenous administration of rituximab in non-Hodgkin lymphoma and chronic lymphocytic leukemia.</w:t>
            </w:r>
          </w:p>
        </w:tc>
      </w:tr>
      <w:tr w:rsidR="0009028B">
        <w:trPr>
          <w:trHeight w:val="384"/>
        </w:trPr>
        <w:tc>
          <w:tcPr>
            <w:tcW w:w="9859" w:type="dxa"/>
            <w:tcBorders>
              <w:top w:val="nil"/>
              <w:left w:val="single" w:sz="4" w:space="0" w:color="BFBEDD"/>
              <w:bottom w:val="nil"/>
              <w:right w:val="single" w:sz="4" w:space="0" w:color="BFBEDD"/>
            </w:tcBorders>
            <w:shd w:val="clear" w:color="auto" w:fill="BFBEDD"/>
          </w:tcPr>
          <w:p w:rsidR="0009028B" w:rsidRDefault="002A6AB4">
            <w:pPr>
              <w:spacing w:after="0"/>
              <w:jc w:val="right"/>
            </w:pPr>
            <w:r>
              <w:rPr>
                <w:b/>
                <w:color w:val="211F1F"/>
                <w:sz w:val="13"/>
              </w:rPr>
              <w:t>Study</w:t>
            </w:r>
            <w:r>
              <w:rPr>
                <w:b/>
                <w:color w:val="211F1F"/>
                <w:sz w:val="13"/>
              </w:rPr>
              <w:tab/>
              <w:t>Study design</w:t>
            </w:r>
            <w:r>
              <w:rPr>
                <w:b/>
                <w:color w:val="211F1F"/>
                <w:sz w:val="13"/>
              </w:rPr>
              <w:tab/>
              <w:t>Patient population</w:t>
            </w:r>
            <w:r>
              <w:rPr>
                <w:b/>
                <w:color w:val="211F1F"/>
                <w:sz w:val="13"/>
              </w:rPr>
              <w:tab/>
              <w:t>Number of patients</w:t>
            </w:r>
            <w:r>
              <w:rPr>
                <w:b/>
                <w:color w:val="211F1F"/>
                <w:sz w:val="13"/>
              </w:rPr>
              <w:tab/>
              <w:t>Treatment regimen</w:t>
            </w:r>
            <w:r>
              <w:rPr>
                <w:b/>
                <w:color w:val="211F1F"/>
                <w:sz w:val="13"/>
              </w:rPr>
              <w:tab/>
              <w:t>Overall response</w:t>
            </w:r>
            <w:r>
              <w:rPr>
                <w:b/>
                <w:color w:val="211F1F"/>
                <w:sz w:val="13"/>
              </w:rPr>
              <w:tab/>
              <w:t>Ref. r</w:t>
            </w:r>
            <w:r>
              <w:rPr>
                <w:b/>
                <w:color w:val="211F1F"/>
                <w:sz w:val="13"/>
              </w:rPr>
              <w:t>ate</w:t>
            </w:r>
          </w:p>
        </w:tc>
      </w:tr>
      <w:tr w:rsidR="0009028B">
        <w:trPr>
          <w:trHeight w:val="1785"/>
        </w:trPr>
        <w:tc>
          <w:tcPr>
            <w:tcW w:w="9859" w:type="dxa"/>
            <w:tcBorders>
              <w:top w:val="nil"/>
              <w:left w:val="single" w:sz="4" w:space="0" w:color="BFBEDD"/>
              <w:bottom w:val="single" w:sz="4" w:space="0" w:color="BFBEDD"/>
              <w:right w:val="single" w:sz="4" w:space="0" w:color="BFBEDD"/>
            </w:tcBorders>
          </w:tcPr>
          <w:p w:rsidR="0009028B" w:rsidRDefault="002A6AB4">
            <w:pPr>
              <w:spacing w:after="0" w:line="416" w:lineRule="auto"/>
              <w:ind w:left="1375" w:hanging="1375"/>
            </w:pPr>
            <w:r>
              <w:rPr>
                <w:sz w:val="13"/>
              </w:rPr>
              <w:lastRenderedPageBreak/>
              <w:t>SparkThera</w:t>
            </w:r>
            <w:r>
              <w:rPr>
                <w:sz w:val="13"/>
              </w:rPr>
              <w:tab/>
              <w:t>Phase IB, open-label,</w:t>
            </w:r>
            <w:r>
              <w:rPr>
                <w:sz w:val="13"/>
              </w:rPr>
              <w:tab/>
              <w:t>Previously treated</w:t>
            </w:r>
            <w:r>
              <w:rPr>
                <w:sz w:val="13"/>
              </w:rPr>
              <w:tab/>
              <w:t>– Stage 1: n = 124</w:t>
            </w:r>
            <w:r>
              <w:rPr>
                <w:sz w:val="13"/>
              </w:rPr>
              <w:tab/>
              <w:t>– Stage 1 dose finding: on completion</w:t>
            </w:r>
            <w:r>
              <w:rPr>
                <w:sz w:val="13"/>
              </w:rPr>
              <w:tab/>
              <w:t>[28] multicenter,</w:t>
            </w:r>
            <w:r>
              <w:rPr>
                <w:sz w:val="13"/>
              </w:rPr>
              <w:tab/>
              <w:t>or untreated FL</w:t>
            </w:r>
            <w:r>
              <w:rPr>
                <w:sz w:val="13"/>
              </w:rPr>
              <w:tab/>
              <w:t>– Stage 2: n = 154</w:t>
            </w:r>
            <w:r>
              <w:rPr>
                <w:sz w:val="13"/>
              </w:rPr>
              <w:tab/>
              <w:t>of induction treatment including</w:t>
            </w:r>
          </w:p>
          <w:p w:rsidR="0009028B" w:rsidRDefault="002A6AB4">
            <w:pPr>
              <w:spacing w:after="0" w:line="291" w:lineRule="auto"/>
              <w:ind w:left="1375" w:right="1321"/>
            </w:pPr>
            <w:r>
              <w:rPr>
                <w:sz w:val="13"/>
              </w:rPr>
              <w:t>international two-part,</w:t>
            </w:r>
            <w:r>
              <w:rPr>
                <w:sz w:val="13"/>
              </w:rPr>
              <w:tab/>
              <w:t>rituximab and chemotherapy. Single dose-finding and</w:t>
            </w:r>
            <w:r>
              <w:rPr>
                <w:sz w:val="13"/>
              </w:rPr>
              <w:tab/>
              <w:t>cycle of R-sc. (375, 625 or 800 mg/m</w:t>
            </w:r>
            <w:r>
              <w:rPr>
                <w:sz w:val="13"/>
                <w:vertAlign w:val="superscript"/>
              </w:rPr>
              <w:t>2</w:t>
            </w:r>
            <w:r>
              <w:rPr>
                <w:sz w:val="13"/>
              </w:rPr>
              <w:t>) dose-confirmation</w:t>
            </w:r>
            <w:r>
              <w:rPr>
                <w:sz w:val="13"/>
              </w:rPr>
              <w:tab/>
              <w:t>versus R-iv. (375 mg/m</w:t>
            </w:r>
            <w:r>
              <w:rPr>
                <w:sz w:val="13"/>
                <w:vertAlign w:val="superscript"/>
              </w:rPr>
              <w:t>2</w:t>
            </w:r>
            <w:r>
              <w:rPr>
                <w:sz w:val="13"/>
              </w:rPr>
              <w:t>) followed by</w:t>
            </w:r>
          </w:p>
          <w:p w:rsidR="0009028B" w:rsidRDefault="002A6AB4">
            <w:pPr>
              <w:tabs>
                <w:tab w:val="center" w:pos="1534"/>
                <w:tab w:val="center" w:pos="6269"/>
              </w:tabs>
              <w:spacing w:after="6"/>
            </w:pPr>
            <w:r>
              <w:tab/>
            </w:r>
            <w:r>
              <w:rPr>
                <w:sz w:val="13"/>
              </w:rPr>
              <w:t>study</w:t>
            </w:r>
            <w:r>
              <w:rPr>
                <w:sz w:val="13"/>
              </w:rPr>
              <w:tab/>
              <w:t>2 years R-iv. maintenance</w:t>
            </w:r>
          </w:p>
          <w:p w:rsidR="0009028B" w:rsidRDefault="002A6AB4">
            <w:pPr>
              <w:spacing w:after="10"/>
              <w:ind w:left="3286"/>
              <w:jc w:val="center"/>
            </w:pPr>
            <w:r>
              <w:rPr>
                <w:sz w:val="13"/>
              </w:rPr>
              <w:t>– Stage 2 dose confirmation: R-sc.</w:t>
            </w:r>
          </w:p>
          <w:p w:rsidR="0009028B" w:rsidRDefault="002A6AB4">
            <w:pPr>
              <w:spacing w:after="0"/>
              <w:ind w:left="5519" w:right="1843"/>
            </w:pPr>
            <w:r>
              <w:rPr>
                <w:sz w:val="13"/>
              </w:rPr>
              <w:t>1400 mg every 2 months or 3 months for 2 years versus R-iv. every 2 months for 2 years</w:t>
            </w:r>
          </w:p>
        </w:tc>
      </w:tr>
      <w:tr w:rsidR="0009028B">
        <w:trPr>
          <w:trHeight w:val="1449"/>
        </w:trPr>
        <w:tc>
          <w:tcPr>
            <w:tcW w:w="9859" w:type="dxa"/>
            <w:tcBorders>
              <w:top w:val="single" w:sz="4" w:space="0" w:color="BFBEDD"/>
              <w:left w:val="single" w:sz="4" w:space="0" w:color="BFBEDD"/>
              <w:bottom w:val="single" w:sz="4" w:space="0" w:color="BFBEDD"/>
              <w:right w:val="single" w:sz="4" w:space="0" w:color="BFBEDD"/>
            </w:tcBorders>
          </w:tcPr>
          <w:p w:rsidR="0009028B" w:rsidRDefault="002A6AB4">
            <w:pPr>
              <w:spacing w:after="5" w:line="416" w:lineRule="auto"/>
              <w:ind w:left="1375" w:hanging="1375"/>
            </w:pPr>
            <w:r>
              <w:rPr>
                <w:sz w:val="13"/>
              </w:rPr>
              <w:t>SABRINA</w:t>
            </w:r>
            <w:r>
              <w:rPr>
                <w:sz w:val="13"/>
              </w:rPr>
              <w:tab/>
              <w:t>Phase III, multicenter,</w:t>
            </w:r>
            <w:r>
              <w:rPr>
                <w:sz w:val="13"/>
              </w:rPr>
              <w:tab/>
              <w:t>Previously</w:t>
            </w:r>
            <w:r>
              <w:rPr>
                <w:sz w:val="13"/>
              </w:rPr>
              <w:tab/>
              <w:t>– Stage 1: n = 127</w:t>
            </w:r>
            <w:r>
              <w:rPr>
                <w:sz w:val="13"/>
              </w:rPr>
              <w:tab/>
              <w:t>– Induction with 6–8 cycles of R-sc.</w:t>
            </w:r>
            <w:r>
              <w:rPr>
                <w:sz w:val="13"/>
              </w:rPr>
              <w:tab/>
              <w:t>R-sc.: 84.4%</w:t>
            </w:r>
            <w:r>
              <w:rPr>
                <w:sz w:val="13"/>
              </w:rPr>
              <w:tab/>
              <w:t>[29,30] international,</w:t>
            </w:r>
            <w:r>
              <w:rPr>
                <w:sz w:val="13"/>
              </w:rPr>
              <w:tab/>
              <w:t>untreated FL</w:t>
            </w:r>
            <w:r>
              <w:rPr>
                <w:sz w:val="13"/>
              </w:rPr>
              <w:tab/>
              <w:t>– Stage 2: n = 283</w:t>
            </w:r>
            <w:r>
              <w:rPr>
                <w:sz w:val="13"/>
              </w:rPr>
              <w:tab/>
              <w:t>1</w:t>
            </w:r>
            <w:r>
              <w:rPr>
                <w:sz w:val="13"/>
              </w:rPr>
              <w:t>400 mg + CHOP or CVP versus 6–8</w:t>
            </w:r>
            <w:r>
              <w:rPr>
                <w:sz w:val="13"/>
              </w:rPr>
              <w:tab/>
              <w:t>(95% CI: 78.7–89.1)</w:t>
            </w:r>
          </w:p>
          <w:p w:rsidR="0009028B" w:rsidRDefault="002A6AB4">
            <w:pPr>
              <w:spacing w:after="0" w:line="427" w:lineRule="auto"/>
              <w:ind w:left="1375" w:right="1121"/>
            </w:pPr>
            <w:r>
              <w:rPr>
                <w:sz w:val="13"/>
              </w:rPr>
              <w:t>randomized, two-part</w:t>
            </w:r>
            <w:r>
              <w:rPr>
                <w:sz w:val="13"/>
              </w:rPr>
              <w:tab/>
              <w:t>cycles of R-iv. 375 mg/m</w:t>
            </w:r>
            <w:r>
              <w:rPr>
                <w:sz w:val="13"/>
                <w:vertAlign w:val="superscript"/>
              </w:rPr>
              <w:t xml:space="preserve">2 </w:t>
            </w:r>
            <w:r>
              <w:rPr>
                <w:sz w:val="13"/>
              </w:rPr>
              <w:t>+ CHOP or</w:t>
            </w:r>
            <w:r>
              <w:rPr>
                <w:sz w:val="13"/>
              </w:rPr>
              <w:tab/>
              <w:t>versus study</w:t>
            </w:r>
            <w:r>
              <w:rPr>
                <w:sz w:val="13"/>
              </w:rPr>
              <w:tab/>
              <w:t>CVP (first cycle R-iv. in both arms)</w:t>
            </w:r>
            <w:r>
              <w:rPr>
                <w:sz w:val="13"/>
              </w:rPr>
              <w:tab/>
              <w:t>R-iv.: 84.9%</w:t>
            </w:r>
          </w:p>
          <w:p w:rsidR="0009028B" w:rsidRDefault="002A6AB4">
            <w:pPr>
              <w:spacing w:after="12" w:line="271" w:lineRule="auto"/>
              <w:ind w:left="5519" w:right="679"/>
            </w:pPr>
            <w:r>
              <w:rPr>
                <w:sz w:val="13"/>
              </w:rPr>
              <w:t>– Maintenance with R-sc. 1400 mg</w:t>
            </w:r>
            <w:r>
              <w:rPr>
                <w:sz w:val="13"/>
              </w:rPr>
              <w:tab/>
              <w:t>(95% CI: 79.2–89.5) every 8 weeks in those with at least PR versus R-iv. 375 mg/m</w:t>
            </w:r>
            <w:r>
              <w:rPr>
                <w:sz w:val="13"/>
                <w:vertAlign w:val="superscript"/>
              </w:rPr>
              <w:t xml:space="preserve">2 </w:t>
            </w:r>
            <w:r>
              <w:rPr>
                <w:sz w:val="13"/>
              </w:rPr>
              <w:t>every 8 weeks</w:t>
            </w:r>
          </w:p>
          <w:p w:rsidR="0009028B" w:rsidRDefault="002A6AB4">
            <w:pPr>
              <w:spacing w:after="0"/>
              <w:ind w:left="1919"/>
              <w:jc w:val="center"/>
            </w:pPr>
            <w:r>
              <w:rPr>
                <w:sz w:val="13"/>
              </w:rPr>
              <w:t>for 2 years</w:t>
            </w:r>
          </w:p>
        </w:tc>
      </w:tr>
      <w:tr w:rsidR="0009028B">
        <w:trPr>
          <w:trHeight w:val="1449"/>
        </w:trPr>
        <w:tc>
          <w:tcPr>
            <w:tcW w:w="9859" w:type="dxa"/>
            <w:tcBorders>
              <w:top w:val="single" w:sz="4" w:space="0" w:color="BFBEDD"/>
              <w:left w:val="single" w:sz="4" w:space="0" w:color="BFBEDD"/>
              <w:bottom w:val="single" w:sz="4" w:space="0" w:color="BFBEDD"/>
              <w:right w:val="single" w:sz="4" w:space="0" w:color="BFBEDD"/>
            </w:tcBorders>
          </w:tcPr>
          <w:p w:rsidR="0009028B" w:rsidRDefault="002A6AB4">
            <w:pPr>
              <w:spacing w:after="0" w:line="416" w:lineRule="auto"/>
              <w:ind w:left="1375" w:hanging="1375"/>
            </w:pPr>
            <w:r>
              <w:rPr>
                <w:sz w:val="13"/>
              </w:rPr>
              <w:t>SAWYER</w:t>
            </w:r>
            <w:r>
              <w:rPr>
                <w:sz w:val="13"/>
              </w:rPr>
              <w:tab/>
              <w:t>Phase IB, multicenter,</w:t>
            </w:r>
            <w:r>
              <w:rPr>
                <w:sz w:val="13"/>
              </w:rPr>
              <w:tab/>
              <w:t>Previously</w:t>
            </w:r>
            <w:r>
              <w:rPr>
                <w:sz w:val="13"/>
              </w:rPr>
              <w:tab/>
              <w:t>– Stage 1: n = 64</w:t>
            </w:r>
            <w:r>
              <w:rPr>
                <w:sz w:val="13"/>
              </w:rPr>
              <w:tab/>
              <w:t>– Stage 1: dose finding. Single cycle</w:t>
            </w:r>
            <w:r>
              <w:rPr>
                <w:sz w:val="13"/>
              </w:rPr>
              <w:tab/>
              <w:t>R-sc.: 85%</w:t>
            </w:r>
            <w:r>
              <w:rPr>
                <w:sz w:val="13"/>
              </w:rPr>
              <w:tab/>
              <w:t>[31,3</w:t>
            </w:r>
            <w:r>
              <w:rPr>
                <w:sz w:val="13"/>
              </w:rPr>
              <w:t>2] international,</w:t>
            </w:r>
            <w:r>
              <w:rPr>
                <w:sz w:val="13"/>
              </w:rPr>
              <w:tab/>
              <w:t>untreated CLL</w:t>
            </w:r>
            <w:r>
              <w:rPr>
                <w:sz w:val="13"/>
              </w:rPr>
              <w:tab/>
              <w:t>– Stage 2: n = 176</w:t>
            </w:r>
            <w:r>
              <w:rPr>
                <w:sz w:val="13"/>
              </w:rPr>
              <w:tab/>
              <w:t>R-sc. (1400, 1600 or 1870 mg) with FC</w:t>
            </w:r>
            <w:r>
              <w:rPr>
                <w:sz w:val="13"/>
              </w:rPr>
              <w:tab/>
              <w:t>(95% CI: 76–92) randomized two-part,</w:t>
            </w:r>
            <w:r>
              <w:rPr>
                <w:sz w:val="13"/>
              </w:rPr>
              <w:tab/>
              <w:t>at cycle 6. PK comparison with cycle 5</w:t>
            </w:r>
            <w:r>
              <w:rPr>
                <w:sz w:val="13"/>
              </w:rPr>
              <w:tab/>
              <w:t>versus</w:t>
            </w:r>
          </w:p>
          <w:p w:rsidR="0009028B" w:rsidRDefault="002A6AB4">
            <w:pPr>
              <w:tabs>
                <w:tab w:val="center" w:pos="1881"/>
                <w:tab w:val="center" w:pos="6237"/>
                <w:tab w:val="center" w:pos="8223"/>
              </w:tabs>
              <w:spacing w:after="23"/>
            </w:pPr>
            <w:r>
              <w:tab/>
            </w:r>
            <w:r>
              <w:rPr>
                <w:sz w:val="13"/>
              </w:rPr>
              <w:t>dose-finding and</w:t>
            </w:r>
            <w:r>
              <w:rPr>
                <w:sz w:val="13"/>
              </w:rPr>
              <w:tab/>
              <w:t>R-iv. 500 mg/m</w:t>
            </w:r>
            <w:r>
              <w:rPr>
                <w:sz w:val="13"/>
                <w:vertAlign w:val="superscript"/>
              </w:rPr>
              <w:t xml:space="preserve">2 </w:t>
            </w:r>
            <w:r>
              <w:rPr>
                <w:sz w:val="13"/>
              </w:rPr>
              <w:t>with FC</w:t>
            </w:r>
            <w:r>
              <w:rPr>
                <w:sz w:val="13"/>
              </w:rPr>
              <w:tab/>
              <w:t>R-iv.: 81%</w:t>
            </w:r>
          </w:p>
          <w:p w:rsidR="0009028B" w:rsidRDefault="002A6AB4">
            <w:pPr>
              <w:spacing w:after="5" w:line="278" w:lineRule="auto"/>
              <w:ind w:left="1375" w:right="446"/>
            </w:pPr>
            <w:r>
              <w:rPr>
                <w:sz w:val="13"/>
              </w:rPr>
              <w:t>dose-confirmation</w:t>
            </w:r>
            <w:r>
              <w:rPr>
                <w:sz w:val="13"/>
              </w:rPr>
              <w:tab/>
              <w:t>– Stage 2: dose confirmation. R-sc.</w:t>
            </w:r>
            <w:r>
              <w:rPr>
                <w:sz w:val="13"/>
              </w:rPr>
              <w:tab/>
              <w:t>(95% CI: 71–88%) study</w:t>
            </w:r>
            <w:r>
              <w:rPr>
                <w:sz w:val="13"/>
              </w:rPr>
              <w:tab/>
              <w:t>1600 mg with FC versus R-iv.</w:t>
            </w:r>
          </w:p>
          <w:p w:rsidR="0009028B" w:rsidRDefault="002A6AB4">
            <w:pPr>
              <w:spacing w:after="0"/>
              <w:ind w:left="5519" w:right="1847"/>
            </w:pPr>
            <w:r>
              <w:rPr>
                <w:sz w:val="13"/>
              </w:rPr>
              <w:t>500 mg/m</w:t>
            </w:r>
            <w:r>
              <w:rPr>
                <w:sz w:val="13"/>
                <w:vertAlign w:val="superscript"/>
              </w:rPr>
              <w:t xml:space="preserve">2 </w:t>
            </w:r>
            <w:r>
              <w:rPr>
                <w:sz w:val="13"/>
              </w:rPr>
              <w:t>(first cycle R-iv. in both arms)</w:t>
            </w:r>
          </w:p>
        </w:tc>
      </w:tr>
      <w:tr w:rsidR="0009028B">
        <w:trPr>
          <w:trHeight w:val="935"/>
        </w:trPr>
        <w:tc>
          <w:tcPr>
            <w:tcW w:w="9859" w:type="dxa"/>
            <w:tcBorders>
              <w:top w:val="single" w:sz="4" w:space="0" w:color="BFBEDD"/>
              <w:left w:val="single" w:sz="4" w:space="0" w:color="BFBEDD"/>
              <w:bottom w:val="single" w:sz="4" w:space="0" w:color="BFBEDD"/>
              <w:right w:val="single" w:sz="4" w:space="0" w:color="BFBEDD"/>
            </w:tcBorders>
          </w:tcPr>
          <w:p w:rsidR="0009028B" w:rsidRDefault="002A6AB4">
            <w:pPr>
              <w:spacing w:after="0" w:line="416" w:lineRule="auto"/>
              <w:ind w:left="1375" w:hanging="1375"/>
            </w:pPr>
            <w:r>
              <w:rPr>
                <w:sz w:val="13"/>
              </w:rPr>
              <w:t>MabEase</w:t>
            </w:r>
            <w:r>
              <w:rPr>
                <w:sz w:val="13"/>
              </w:rPr>
              <w:tab/>
              <w:t>Phase IIIB, multicenter,</w:t>
            </w:r>
            <w:r>
              <w:rPr>
                <w:sz w:val="13"/>
              </w:rPr>
              <w:tab/>
              <w:t>Previously</w:t>
            </w:r>
            <w:r>
              <w:rPr>
                <w:sz w:val="13"/>
              </w:rPr>
              <w:tab/>
              <w:t>n = 576</w:t>
            </w:r>
            <w:r>
              <w:rPr>
                <w:sz w:val="13"/>
              </w:rPr>
              <w:tab/>
              <w:t>8 cycles of R-sc. (1400 mg) with CHOP</w:t>
            </w:r>
            <w:r>
              <w:rPr>
                <w:sz w:val="13"/>
              </w:rPr>
              <w:tab/>
              <w:t>R-sc.: 82%</w:t>
            </w:r>
            <w:r>
              <w:rPr>
                <w:sz w:val="13"/>
              </w:rPr>
              <w:tab/>
              <w:t xml:space="preserve">[33] </w:t>
            </w:r>
            <w:r>
              <w:rPr>
                <w:sz w:val="13"/>
              </w:rPr>
              <w:t>open-label randomized</w:t>
            </w:r>
            <w:r>
              <w:rPr>
                <w:sz w:val="13"/>
              </w:rPr>
              <w:tab/>
              <w:t>untreated DLBCL</w:t>
            </w:r>
            <w:r>
              <w:rPr>
                <w:sz w:val="13"/>
              </w:rPr>
              <w:tab/>
              <w:t>(first cycle R-iv.) versus 8 cycles R-iv.</w:t>
            </w:r>
            <w:r>
              <w:rPr>
                <w:sz w:val="13"/>
              </w:rPr>
              <w:tab/>
              <w:t>(95% CI: 78–86%)</w:t>
            </w:r>
          </w:p>
          <w:p w:rsidR="0009028B" w:rsidRDefault="002A6AB4">
            <w:pPr>
              <w:tabs>
                <w:tab w:val="center" w:pos="1927"/>
                <w:tab w:val="center" w:pos="6238"/>
                <w:tab w:val="center" w:pos="8111"/>
              </w:tabs>
              <w:spacing w:after="17"/>
            </w:pPr>
            <w:r>
              <w:tab/>
            </w:r>
            <w:r>
              <w:rPr>
                <w:sz w:val="13"/>
              </w:rPr>
              <w:t>efficacy and safety</w:t>
            </w:r>
            <w:r>
              <w:rPr>
                <w:sz w:val="13"/>
              </w:rPr>
              <w:tab/>
              <w:t>(375 mg/m</w:t>
            </w:r>
            <w:r>
              <w:rPr>
                <w:sz w:val="13"/>
                <w:vertAlign w:val="superscript"/>
              </w:rPr>
              <w:t>2</w:t>
            </w:r>
            <w:r>
              <w:rPr>
                <w:sz w:val="13"/>
              </w:rPr>
              <w:t>) with CHOP</w:t>
            </w:r>
            <w:r>
              <w:rPr>
                <w:sz w:val="13"/>
              </w:rPr>
              <w:tab/>
              <w:t>versus</w:t>
            </w:r>
          </w:p>
          <w:p w:rsidR="0009028B" w:rsidRDefault="002A6AB4">
            <w:pPr>
              <w:tabs>
                <w:tab w:val="center" w:pos="1534"/>
                <w:tab w:val="center" w:pos="8223"/>
              </w:tabs>
              <w:spacing w:after="6"/>
            </w:pPr>
            <w:r>
              <w:tab/>
            </w:r>
            <w:r>
              <w:rPr>
                <w:sz w:val="13"/>
              </w:rPr>
              <w:t>study</w:t>
            </w:r>
            <w:r>
              <w:rPr>
                <w:sz w:val="13"/>
              </w:rPr>
              <w:tab/>
              <w:t>R-iv.: 78%</w:t>
            </w:r>
          </w:p>
          <w:p w:rsidR="0009028B" w:rsidRDefault="002A6AB4">
            <w:pPr>
              <w:spacing w:after="0"/>
              <w:ind w:right="765"/>
              <w:jc w:val="right"/>
            </w:pPr>
            <w:r>
              <w:rPr>
                <w:sz w:val="13"/>
              </w:rPr>
              <w:t>(95% CI: 71–84%)</w:t>
            </w:r>
          </w:p>
        </w:tc>
      </w:tr>
      <w:tr w:rsidR="0009028B">
        <w:trPr>
          <w:trHeight w:val="1283"/>
        </w:trPr>
        <w:tc>
          <w:tcPr>
            <w:tcW w:w="9859" w:type="dxa"/>
            <w:tcBorders>
              <w:top w:val="single" w:sz="4" w:space="0" w:color="BFBEDD"/>
              <w:left w:val="single" w:sz="4" w:space="0" w:color="BFBEDD"/>
              <w:bottom w:val="single" w:sz="7" w:space="0" w:color="BFBEDD"/>
              <w:right w:val="single" w:sz="4" w:space="0" w:color="BFBEDD"/>
            </w:tcBorders>
          </w:tcPr>
          <w:p w:rsidR="0009028B" w:rsidRDefault="002A6AB4">
            <w:pPr>
              <w:spacing w:after="0" w:line="330" w:lineRule="auto"/>
              <w:ind w:left="1375" w:hanging="1375"/>
            </w:pPr>
            <w:r>
              <w:rPr>
                <w:sz w:val="13"/>
              </w:rPr>
              <w:t>PrefMab</w:t>
            </w:r>
            <w:r>
              <w:rPr>
                <w:sz w:val="13"/>
              </w:rPr>
              <w:tab/>
              <w:t>Phase IIIB, multicenter,</w:t>
            </w:r>
            <w:r>
              <w:rPr>
                <w:sz w:val="13"/>
              </w:rPr>
              <w:tab/>
              <w:t>Previously</w:t>
            </w:r>
            <w:r>
              <w:rPr>
                <w:sz w:val="13"/>
              </w:rPr>
              <w:tab/>
              <w:t xml:space="preserve">n = </w:t>
            </w:r>
            <w:r>
              <w:rPr>
                <w:sz w:val="13"/>
              </w:rPr>
              <w:t>743</w:t>
            </w:r>
            <w:r>
              <w:rPr>
                <w:sz w:val="13"/>
              </w:rPr>
              <w:tab/>
              <w:t>All patients first cycle R-iv.</w:t>
            </w:r>
            <w:r>
              <w:rPr>
                <w:sz w:val="13"/>
              </w:rPr>
              <w:tab/>
              <w:t>Arm A: 94%</w:t>
            </w:r>
            <w:r>
              <w:rPr>
                <w:sz w:val="13"/>
              </w:rPr>
              <w:tab/>
              <w:t>[34] international,</w:t>
            </w:r>
            <w:r>
              <w:rPr>
                <w:sz w:val="13"/>
              </w:rPr>
              <w:tab/>
              <w:t>untreated DLBCL or</w:t>
            </w:r>
            <w:r>
              <w:rPr>
                <w:sz w:val="13"/>
              </w:rPr>
              <w:tab/>
              <w:t>(375 mg/m</w:t>
            </w:r>
            <w:r>
              <w:rPr>
                <w:sz w:val="13"/>
                <w:vertAlign w:val="superscript"/>
              </w:rPr>
              <w:t>2</w:t>
            </w:r>
            <w:r>
              <w:rPr>
                <w:sz w:val="13"/>
              </w:rPr>
              <w:t>) with 6–8 cycles of CHOP</w:t>
            </w:r>
            <w:r>
              <w:rPr>
                <w:sz w:val="13"/>
              </w:rPr>
              <w:tab/>
              <w:t>(95% CI: 90–96%) open-label randomized</w:t>
            </w:r>
            <w:r>
              <w:rPr>
                <w:sz w:val="13"/>
              </w:rPr>
              <w:tab/>
              <w:t>FL</w:t>
            </w:r>
            <w:r>
              <w:rPr>
                <w:sz w:val="13"/>
              </w:rPr>
              <w:tab/>
              <w:t>or CVP. Then either Arm A: 3 cycles</w:t>
            </w:r>
            <w:r>
              <w:rPr>
                <w:sz w:val="13"/>
              </w:rPr>
              <w:tab/>
              <w:t>versus Arm B: 92% crossover study</w:t>
            </w:r>
            <w:r>
              <w:rPr>
                <w:sz w:val="13"/>
              </w:rPr>
              <w:tab/>
              <w:t>R-sc. (1400 mg) followe</w:t>
            </w:r>
            <w:r>
              <w:rPr>
                <w:sz w:val="13"/>
              </w:rPr>
              <w:t>d by 4 cycles</w:t>
            </w:r>
            <w:r>
              <w:rPr>
                <w:sz w:val="13"/>
              </w:rPr>
              <w:tab/>
              <w:t>(89–95%)</w:t>
            </w:r>
          </w:p>
          <w:p w:rsidR="0009028B" w:rsidRDefault="002A6AB4">
            <w:pPr>
              <w:spacing w:after="0" w:line="296" w:lineRule="auto"/>
              <w:ind w:left="5519" w:right="1684"/>
            </w:pPr>
            <w:r>
              <w:rPr>
                <w:sz w:val="13"/>
              </w:rPr>
              <w:t>R-iv. (375 mg/m</w:t>
            </w:r>
            <w:r>
              <w:rPr>
                <w:sz w:val="13"/>
                <w:vertAlign w:val="superscript"/>
              </w:rPr>
              <w:t>2</w:t>
            </w:r>
            <w:r>
              <w:rPr>
                <w:sz w:val="13"/>
              </w:rPr>
              <w:t>) or Arm B: further 3 cycles R-iv. (375 mg/m</w:t>
            </w:r>
            <w:r>
              <w:rPr>
                <w:sz w:val="13"/>
                <w:vertAlign w:val="superscript"/>
              </w:rPr>
              <w:t>2</w:t>
            </w:r>
            <w:r>
              <w:rPr>
                <w:sz w:val="13"/>
              </w:rPr>
              <w:t>) followed by 4</w:t>
            </w:r>
          </w:p>
          <w:p w:rsidR="0009028B" w:rsidRDefault="002A6AB4">
            <w:pPr>
              <w:spacing w:after="0"/>
              <w:ind w:left="2556"/>
              <w:jc w:val="center"/>
            </w:pPr>
            <w:r>
              <w:rPr>
                <w:sz w:val="13"/>
              </w:rPr>
              <w:t>cycles R-sc. (1400 mg)</w:t>
            </w:r>
          </w:p>
        </w:tc>
      </w:tr>
      <w:tr w:rsidR="0009028B">
        <w:trPr>
          <w:trHeight w:val="428"/>
        </w:trPr>
        <w:tc>
          <w:tcPr>
            <w:tcW w:w="9859" w:type="dxa"/>
            <w:tcBorders>
              <w:top w:val="single" w:sz="7" w:space="0" w:color="BFBEDD"/>
              <w:left w:val="single" w:sz="4" w:space="0" w:color="BFBEDD"/>
              <w:bottom w:val="single" w:sz="4" w:space="0" w:color="BFBEDD"/>
              <w:right w:val="single" w:sz="4" w:space="0" w:color="BFBEDD"/>
            </w:tcBorders>
          </w:tcPr>
          <w:p w:rsidR="0009028B" w:rsidRDefault="002A6AB4">
            <w:pPr>
              <w:spacing w:after="0"/>
              <w:ind w:left="6"/>
              <w:jc w:val="both"/>
            </w:pPr>
            <w:r>
              <w:rPr>
                <w:sz w:val="13"/>
              </w:rPr>
              <w:t xml:space="preserve">CHOP: Cyclophosphamide, doxorubicin, vincristine and prednisolone; CLL: Chronic lymphocytic leukemia; CVP: Cyclophosphamide, vincristine and prednisolone; DLBCL: Diffuse large B-cell lymphoma; FC: Fludarabine and cyclophosphamide; FL: Follicular lymphoma; </w:t>
            </w:r>
            <w:r>
              <w:rPr>
                <w:sz w:val="13"/>
              </w:rPr>
              <w:t>PR: Partial response; R-iv.: Intravenous rituximab; R-sc.: Subcutaneous rituximab.</w:t>
            </w:r>
          </w:p>
        </w:tc>
      </w:tr>
    </w:tbl>
    <w:p w:rsidR="0009028B" w:rsidRDefault="002A6AB4">
      <w:pPr>
        <w:spacing w:after="4" w:line="270" w:lineRule="auto"/>
        <w:ind w:left="-5" w:hanging="10"/>
        <w:jc w:val="both"/>
      </w:pPr>
      <w:r>
        <w:rPr>
          <w:rFonts w:ascii="Garamond" w:eastAsia="Garamond" w:hAnsi="Garamond" w:cs="Garamond"/>
          <w:sz w:val="20"/>
        </w:rPr>
        <w:t>conventional rituximab containing treatments in the expectation that the B-cell containing tumor burden would be suitably depleted not to interfere with PK measurement. Ind</w:t>
      </w:r>
      <w:r>
        <w:rPr>
          <w:rFonts w:ascii="Garamond" w:eastAsia="Garamond" w:hAnsi="Garamond" w:cs="Garamond"/>
          <w:sz w:val="20"/>
        </w:rPr>
        <w:t>ividuals who had already had their first maintenance dose were randomized to receive either sc. rituximab at (375, 625 or 800 mg</w:t>
      </w:r>
      <w:r>
        <w:rPr>
          <w:sz w:val="20"/>
        </w:rPr>
        <w:t>/</w:t>
      </w:r>
      <w:r>
        <w:rPr>
          <w:rFonts w:ascii="Garamond" w:eastAsia="Garamond" w:hAnsi="Garamond" w:cs="Garamond"/>
          <w:sz w:val="20"/>
        </w:rPr>
        <w:t>m</w:t>
      </w:r>
      <w:r>
        <w:rPr>
          <w:rFonts w:ascii="Garamond" w:eastAsia="Garamond" w:hAnsi="Garamond" w:cs="Garamond"/>
          <w:sz w:val="20"/>
          <w:vertAlign w:val="superscript"/>
        </w:rPr>
        <w:t>2</w:t>
      </w:r>
      <w:r>
        <w:rPr>
          <w:rFonts w:ascii="Garamond" w:eastAsia="Garamond" w:hAnsi="Garamond" w:cs="Garamond"/>
          <w:sz w:val="20"/>
        </w:rPr>
        <w:t>) or rituximab iv. at 375 mg</w:t>
      </w:r>
      <w:r>
        <w:rPr>
          <w:sz w:val="20"/>
        </w:rPr>
        <w:t>/</w:t>
      </w:r>
      <w:r>
        <w:rPr>
          <w:rFonts w:ascii="Garamond" w:eastAsia="Garamond" w:hAnsi="Garamond" w:cs="Garamond"/>
          <w:sz w:val="20"/>
        </w:rPr>
        <w:t>m</w:t>
      </w:r>
      <w:r>
        <w:rPr>
          <w:rFonts w:ascii="Garamond" w:eastAsia="Garamond" w:hAnsi="Garamond" w:cs="Garamond"/>
          <w:sz w:val="20"/>
          <w:vertAlign w:val="superscript"/>
        </w:rPr>
        <w:t>2</w:t>
      </w:r>
      <w:r>
        <w:rPr>
          <w:rFonts w:ascii="Garamond" w:eastAsia="Garamond" w:hAnsi="Garamond" w:cs="Garamond"/>
          <w:sz w:val="20"/>
        </w:rPr>
        <w:t>. After a single subcutaneous dose, all patients completed the remainder of their 2-year intra</w:t>
      </w:r>
      <w:r>
        <w:rPr>
          <w:rFonts w:ascii="Garamond" w:eastAsia="Garamond" w:hAnsi="Garamond" w:cs="Garamond"/>
          <w:sz w:val="20"/>
        </w:rPr>
        <w:t>venous maintenance treatment (</w:t>
      </w:r>
      <w:r>
        <w:rPr>
          <w:rFonts w:ascii="Garamond" w:eastAsia="Garamond" w:hAnsi="Garamond" w:cs="Garamond"/>
          <w:color w:val="243188"/>
          <w:sz w:val="20"/>
        </w:rPr>
        <w:t>Table 1</w:t>
      </w:r>
      <w:r>
        <w:rPr>
          <w:rFonts w:ascii="Garamond" w:eastAsia="Garamond" w:hAnsi="Garamond" w:cs="Garamond"/>
          <w:sz w:val="20"/>
        </w:rPr>
        <w:t>). A sc. dose of 1400 mg was identified as having a noninferior C</w:t>
      </w:r>
      <w:r>
        <w:rPr>
          <w:rFonts w:ascii="Garamond" w:eastAsia="Garamond" w:hAnsi="Garamond" w:cs="Garamond"/>
          <w:sz w:val="20"/>
          <w:vertAlign w:val="subscript"/>
        </w:rPr>
        <w:t xml:space="preserve">trough </w:t>
      </w:r>
      <w:r>
        <w:rPr>
          <w:rFonts w:ascii="Garamond" w:eastAsia="Garamond" w:hAnsi="Garamond" w:cs="Garamond"/>
          <w:sz w:val="20"/>
        </w:rPr>
        <w:t>and AUC as 375 mg</w:t>
      </w:r>
      <w:r>
        <w:rPr>
          <w:sz w:val="20"/>
        </w:rPr>
        <w:t>/</w:t>
      </w:r>
      <w:r>
        <w:rPr>
          <w:rFonts w:ascii="Garamond" w:eastAsia="Garamond" w:hAnsi="Garamond" w:cs="Garamond"/>
          <w:sz w:val="20"/>
        </w:rPr>
        <w:t>m</w:t>
      </w:r>
      <w:r>
        <w:rPr>
          <w:rFonts w:ascii="Garamond" w:eastAsia="Garamond" w:hAnsi="Garamond" w:cs="Garamond"/>
          <w:sz w:val="20"/>
          <w:vertAlign w:val="superscript"/>
        </w:rPr>
        <w:t xml:space="preserve">2 </w:t>
      </w:r>
      <w:r>
        <w:rPr>
          <w:rFonts w:ascii="Garamond" w:eastAsia="Garamond" w:hAnsi="Garamond" w:cs="Garamond"/>
          <w:sz w:val="20"/>
        </w:rPr>
        <w:t xml:space="preserve">iv. rituximab, whether given 2 or 3 monthly and was chosen for ongoing investigation in patients with non-Hodgkin lymphoma </w:t>
      </w:r>
      <w:r>
        <w:rPr>
          <w:rFonts w:ascii="Garamond" w:eastAsia="Garamond" w:hAnsi="Garamond" w:cs="Garamond"/>
          <w:sz w:val="14"/>
        </w:rPr>
        <w:t>[28]</w:t>
      </w:r>
      <w:r>
        <w:rPr>
          <w:rFonts w:ascii="Garamond" w:eastAsia="Garamond" w:hAnsi="Garamond" w:cs="Garamond"/>
          <w:sz w:val="20"/>
        </w:rPr>
        <w:t>.</w:t>
      </w:r>
    </w:p>
    <w:p w:rsidR="0009028B" w:rsidRDefault="002A6AB4">
      <w:pPr>
        <w:spacing w:after="4" w:line="270" w:lineRule="auto"/>
        <w:ind w:left="-15" w:firstLine="199"/>
        <w:jc w:val="both"/>
      </w:pPr>
      <w:r>
        <w:rPr>
          <w:rFonts w:ascii="Garamond" w:eastAsia="Garamond" w:hAnsi="Garamond" w:cs="Garamond"/>
          <w:sz w:val="20"/>
        </w:rPr>
        <w:t>Data gathered from the SparkThera study were used in modeling to calculate an appropriate starting point for the dose finding element of the SAWYER study, investigating the use of sc. rituximab in CLL. This study of patients with previously untreated</w:t>
      </w:r>
      <w:r>
        <w:rPr>
          <w:rFonts w:ascii="Garamond" w:eastAsia="Garamond" w:hAnsi="Garamond" w:cs="Garamond"/>
          <w:sz w:val="20"/>
        </w:rPr>
        <w:t xml:space="preserve"> CLL receiving treatment with rituximab, fludarabine and cyclophosphamide had the objective of identifying a flat dose of sc. rituximab that was noninferior to the intravenous preparation, delivered in this context as 500 mg</w:t>
      </w:r>
      <w:r>
        <w:rPr>
          <w:sz w:val="20"/>
        </w:rPr>
        <w:t>/</w:t>
      </w:r>
      <w:r>
        <w:rPr>
          <w:rFonts w:ascii="Garamond" w:eastAsia="Garamond" w:hAnsi="Garamond" w:cs="Garamond"/>
          <w:sz w:val="20"/>
        </w:rPr>
        <w:t>m</w:t>
      </w:r>
      <w:r>
        <w:rPr>
          <w:rFonts w:ascii="Garamond" w:eastAsia="Garamond" w:hAnsi="Garamond" w:cs="Garamond"/>
          <w:sz w:val="20"/>
          <w:vertAlign w:val="superscript"/>
        </w:rPr>
        <w:t xml:space="preserve">2 </w:t>
      </w:r>
      <w:r>
        <w:rPr>
          <w:rFonts w:ascii="Garamond" w:eastAsia="Garamond" w:hAnsi="Garamond" w:cs="Garamond"/>
          <w:sz w:val="20"/>
        </w:rPr>
        <w:t xml:space="preserve">every 4 weeks. The patients </w:t>
      </w:r>
      <w:r>
        <w:rPr>
          <w:rFonts w:ascii="Garamond" w:eastAsia="Garamond" w:hAnsi="Garamond" w:cs="Garamond"/>
          <w:sz w:val="20"/>
        </w:rPr>
        <w:t>received here their final dose of rituximab as either sc. dose 1870, 1400 or 1200 mg with PK data compared with measurements taken during the previous cycle of treatment with rituximab administered intravenously. The outcome was of a sc. dose of 1600 mg ri</w:t>
      </w:r>
      <w:r>
        <w:rPr>
          <w:rFonts w:ascii="Garamond" w:eastAsia="Garamond" w:hAnsi="Garamond" w:cs="Garamond"/>
          <w:sz w:val="20"/>
        </w:rPr>
        <w:t>tuximab considered noninferior to an iv. dose of 500 mg</w:t>
      </w:r>
      <w:r>
        <w:rPr>
          <w:sz w:val="20"/>
        </w:rPr>
        <w:t>/</w:t>
      </w:r>
      <w:r>
        <w:rPr>
          <w:rFonts w:ascii="Garamond" w:eastAsia="Garamond" w:hAnsi="Garamond" w:cs="Garamond"/>
          <w:sz w:val="20"/>
        </w:rPr>
        <w:t>m</w:t>
      </w:r>
      <w:r>
        <w:rPr>
          <w:rFonts w:ascii="Garamond" w:eastAsia="Garamond" w:hAnsi="Garamond" w:cs="Garamond"/>
          <w:sz w:val="20"/>
          <w:vertAlign w:val="superscript"/>
        </w:rPr>
        <w:t xml:space="preserve">2 </w:t>
      </w:r>
      <w:r>
        <w:rPr>
          <w:rFonts w:ascii="Garamond" w:eastAsia="Garamond" w:hAnsi="Garamond" w:cs="Garamond"/>
          <w:sz w:val="20"/>
        </w:rPr>
        <w:t>when administered every 4 weeks (</w:t>
      </w:r>
      <w:r>
        <w:rPr>
          <w:rFonts w:ascii="Garamond" w:eastAsia="Garamond" w:hAnsi="Garamond" w:cs="Garamond"/>
          <w:color w:val="243188"/>
          <w:sz w:val="20"/>
        </w:rPr>
        <w:t>Table 1</w:t>
      </w:r>
      <w:r>
        <w:rPr>
          <w:rFonts w:ascii="Garamond" w:eastAsia="Garamond" w:hAnsi="Garamond" w:cs="Garamond"/>
          <w:sz w:val="20"/>
        </w:rPr>
        <w:t xml:space="preserve">) </w:t>
      </w:r>
      <w:r>
        <w:rPr>
          <w:rFonts w:ascii="Garamond" w:eastAsia="Garamond" w:hAnsi="Garamond" w:cs="Garamond"/>
          <w:sz w:val="14"/>
        </w:rPr>
        <w:t>[31]</w:t>
      </w:r>
      <w:r>
        <w:rPr>
          <w:rFonts w:ascii="Garamond" w:eastAsia="Garamond" w:hAnsi="Garamond" w:cs="Garamond"/>
          <w:sz w:val="20"/>
        </w:rPr>
        <w:t>.</w:t>
      </w:r>
    </w:p>
    <w:tbl>
      <w:tblPr>
        <w:tblStyle w:val="TableGrid"/>
        <w:tblW w:w="10201" w:type="dxa"/>
        <w:tblInd w:w="1" w:type="dxa"/>
        <w:tblCellMar>
          <w:top w:w="41" w:type="dxa"/>
          <w:left w:w="59" w:type="dxa"/>
          <w:bottom w:w="0" w:type="dxa"/>
          <w:right w:w="125" w:type="dxa"/>
        </w:tblCellMar>
        <w:tblLook w:val="04A0" w:firstRow="1" w:lastRow="0" w:firstColumn="1" w:lastColumn="0" w:noHBand="0" w:noVBand="1"/>
      </w:tblPr>
      <w:tblGrid>
        <w:gridCol w:w="10201"/>
      </w:tblGrid>
      <w:tr w:rsidR="0009028B">
        <w:trPr>
          <w:trHeight w:val="587"/>
        </w:trPr>
        <w:tc>
          <w:tcPr>
            <w:tcW w:w="10201" w:type="dxa"/>
            <w:tcBorders>
              <w:top w:val="nil"/>
              <w:left w:val="nil"/>
              <w:bottom w:val="nil"/>
              <w:right w:val="nil"/>
            </w:tcBorders>
            <w:shd w:val="clear" w:color="auto" w:fill="243188"/>
          </w:tcPr>
          <w:p w:rsidR="0009028B" w:rsidRDefault="002A6AB4">
            <w:pPr>
              <w:spacing w:after="0"/>
            </w:pPr>
            <w:r>
              <w:rPr>
                <w:color w:val="FFFFFF"/>
                <w:sz w:val="18"/>
              </w:rPr>
              <w:t>Table 2. Response rates observed during the SABRINA study at the end of induction treatment showing comparable outcomes between intravenous and subcu</w:t>
            </w:r>
            <w:r>
              <w:rPr>
                <w:color w:val="FFFFFF"/>
                <w:sz w:val="18"/>
              </w:rPr>
              <w:t>taneous administrations across all body surface areas.</w:t>
            </w:r>
          </w:p>
        </w:tc>
      </w:tr>
      <w:tr w:rsidR="0009028B">
        <w:trPr>
          <w:trHeight w:val="212"/>
        </w:trPr>
        <w:tc>
          <w:tcPr>
            <w:tcW w:w="10201" w:type="dxa"/>
            <w:tcBorders>
              <w:top w:val="nil"/>
              <w:left w:val="single" w:sz="4" w:space="0" w:color="BFBEDD"/>
              <w:bottom w:val="nil"/>
              <w:right w:val="single" w:sz="4" w:space="0" w:color="BFBEDD"/>
            </w:tcBorders>
            <w:shd w:val="clear" w:color="auto" w:fill="BFBEDD"/>
          </w:tcPr>
          <w:p w:rsidR="0009028B" w:rsidRDefault="002A6AB4">
            <w:pPr>
              <w:tabs>
                <w:tab w:val="center" w:pos="3776"/>
                <w:tab w:val="center" w:pos="7126"/>
              </w:tabs>
              <w:spacing w:after="0"/>
            </w:pPr>
            <w:r>
              <w:tab/>
            </w:r>
            <w:r>
              <w:rPr>
                <w:b/>
                <w:color w:val="211F1F"/>
                <w:sz w:val="13"/>
              </w:rPr>
              <w:t>iv. rituximab</w:t>
            </w:r>
            <w:r>
              <w:rPr>
                <w:b/>
                <w:color w:val="211F1F"/>
                <w:sz w:val="13"/>
              </w:rPr>
              <w:tab/>
              <w:t>sc. rituximab</w:t>
            </w:r>
          </w:p>
        </w:tc>
      </w:tr>
      <w:tr w:rsidR="0009028B">
        <w:trPr>
          <w:trHeight w:val="585"/>
        </w:trPr>
        <w:tc>
          <w:tcPr>
            <w:tcW w:w="10201" w:type="dxa"/>
            <w:tcBorders>
              <w:top w:val="nil"/>
              <w:left w:val="single" w:sz="4" w:space="0" w:color="BFBEDD"/>
              <w:bottom w:val="single" w:sz="4" w:space="0" w:color="BFBEDD"/>
              <w:right w:val="single" w:sz="4" w:space="0" w:color="BFBEDD"/>
            </w:tcBorders>
          </w:tcPr>
          <w:p w:rsidR="0009028B" w:rsidRDefault="002A6AB4">
            <w:pPr>
              <w:tabs>
                <w:tab w:val="center" w:pos="3597"/>
                <w:tab w:val="center" w:pos="6938"/>
              </w:tabs>
              <w:spacing w:after="87"/>
            </w:pPr>
            <w:r>
              <w:rPr>
                <w:noProof/>
              </w:rPr>
              <w:drawing>
                <wp:anchor distT="0" distB="0" distL="114300" distR="114300" simplePos="0" relativeHeight="251660288" behindDoc="0" locked="0" layoutInCell="1" allowOverlap="0">
                  <wp:simplePos x="0" y="0"/>
                  <wp:positionH relativeFrom="column">
                    <wp:posOffset>2197652</wp:posOffset>
                  </wp:positionH>
                  <wp:positionV relativeFrom="paragraph">
                    <wp:posOffset>109097</wp:posOffset>
                  </wp:positionV>
                  <wp:extent cx="2788920" cy="188976"/>
                  <wp:effectExtent l="0" t="0" r="0" b="0"/>
                  <wp:wrapSquare wrapText="bothSides"/>
                  <wp:docPr id="16555" name="Picture 16555"/>
                  <wp:cNvGraphicFramePr/>
                  <a:graphic xmlns:a="http://schemas.openxmlformats.org/drawingml/2006/main">
                    <a:graphicData uri="http://schemas.openxmlformats.org/drawingml/2006/picture">
                      <pic:pic xmlns:pic="http://schemas.openxmlformats.org/drawingml/2006/picture">
                        <pic:nvPicPr>
                          <pic:cNvPr id="16555" name="Picture 16555"/>
                          <pic:cNvPicPr/>
                        </pic:nvPicPr>
                        <pic:blipFill>
                          <a:blip r:embed="rId9"/>
                          <a:stretch>
                            <a:fillRect/>
                          </a:stretch>
                        </pic:blipFill>
                        <pic:spPr>
                          <a:xfrm>
                            <a:off x="0" y="0"/>
                            <a:ext cx="2788920" cy="188976"/>
                          </a:xfrm>
                          <a:prstGeom prst="rect">
                            <a:avLst/>
                          </a:prstGeom>
                        </pic:spPr>
                      </pic:pic>
                    </a:graphicData>
                  </a:graphic>
                </wp:anchor>
              </w:drawing>
            </w:r>
            <w:r>
              <w:rPr>
                <w:sz w:val="13"/>
              </w:rPr>
              <w:t>Low body surface area</w:t>
            </w:r>
            <w:r>
              <w:rPr>
                <w:sz w:val="13"/>
              </w:rPr>
              <w:tab/>
              <w:t>n = 56</w:t>
            </w:r>
            <w:r>
              <w:rPr>
                <w:sz w:val="13"/>
              </w:rPr>
              <w:tab/>
              <w:t>n = 85</w:t>
            </w:r>
          </w:p>
          <w:p w:rsidR="0009028B" w:rsidRDefault="002A6AB4">
            <w:pPr>
              <w:spacing w:after="3"/>
              <w:ind w:right="2216"/>
            </w:pPr>
            <w:r>
              <w:rPr>
                <w:sz w:val="13"/>
              </w:rPr>
              <w:t>Overall response</w:t>
            </w:r>
          </w:p>
          <w:p w:rsidR="0009028B" w:rsidRDefault="002A6AB4">
            <w:pPr>
              <w:spacing w:after="0"/>
              <w:ind w:right="2216"/>
            </w:pPr>
            <w:r>
              <w:rPr>
                <w:sz w:val="13"/>
              </w:rPr>
              <w:t>Complete response</w:t>
            </w:r>
          </w:p>
        </w:tc>
      </w:tr>
      <w:tr w:rsidR="0009028B">
        <w:trPr>
          <w:trHeight w:val="593"/>
        </w:trPr>
        <w:tc>
          <w:tcPr>
            <w:tcW w:w="10201" w:type="dxa"/>
            <w:tcBorders>
              <w:top w:val="single" w:sz="4" w:space="0" w:color="BFBEDD"/>
              <w:left w:val="single" w:sz="4" w:space="0" w:color="BFBEDD"/>
              <w:bottom w:val="single" w:sz="4" w:space="0" w:color="BFBEDD"/>
              <w:right w:val="single" w:sz="4" w:space="0" w:color="BFBEDD"/>
            </w:tcBorders>
          </w:tcPr>
          <w:p w:rsidR="0009028B" w:rsidRDefault="002A6AB4">
            <w:pPr>
              <w:tabs>
                <w:tab w:val="center" w:pos="3597"/>
                <w:tab w:val="center" w:pos="6938"/>
              </w:tabs>
              <w:spacing w:after="88"/>
            </w:pPr>
            <w:r>
              <w:rPr>
                <w:noProof/>
              </w:rPr>
              <w:drawing>
                <wp:anchor distT="0" distB="0" distL="114300" distR="114300" simplePos="0" relativeHeight="251661312" behindDoc="0" locked="0" layoutInCell="1" allowOverlap="0">
                  <wp:simplePos x="0" y="0"/>
                  <wp:positionH relativeFrom="column">
                    <wp:posOffset>2197652</wp:posOffset>
                  </wp:positionH>
                  <wp:positionV relativeFrom="paragraph">
                    <wp:posOffset>109066</wp:posOffset>
                  </wp:positionV>
                  <wp:extent cx="2788920" cy="185928"/>
                  <wp:effectExtent l="0" t="0" r="0" b="0"/>
                  <wp:wrapSquare wrapText="bothSides"/>
                  <wp:docPr id="16556" name="Picture 16556"/>
                  <wp:cNvGraphicFramePr/>
                  <a:graphic xmlns:a="http://schemas.openxmlformats.org/drawingml/2006/main">
                    <a:graphicData uri="http://schemas.openxmlformats.org/drawingml/2006/picture">
                      <pic:pic xmlns:pic="http://schemas.openxmlformats.org/drawingml/2006/picture">
                        <pic:nvPicPr>
                          <pic:cNvPr id="16556" name="Picture 16556"/>
                          <pic:cNvPicPr/>
                        </pic:nvPicPr>
                        <pic:blipFill>
                          <a:blip r:embed="rId10"/>
                          <a:stretch>
                            <a:fillRect/>
                          </a:stretch>
                        </pic:blipFill>
                        <pic:spPr>
                          <a:xfrm>
                            <a:off x="0" y="0"/>
                            <a:ext cx="2788920" cy="185928"/>
                          </a:xfrm>
                          <a:prstGeom prst="rect">
                            <a:avLst/>
                          </a:prstGeom>
                        </pic:spPr>
                      </pic:pic>
                    </a:graphicData>
                  </a:graphic>
                </wp:anchor>
              </w:drawing>
            </w:r>
            <w:r>
              <w:rPr>
                <w:sz w:val="13"/>
              </w:rPr>
              <w:t>Medium body surface area</w:t>
            </w:r>
            <w:r>
              <w:rPr>
                <w:sz w:val="13"/>
              </w:rPr>
              <w:tab/>
              <w:t>n = 77</w:t>
            </w:r>
            <w:r>
              <w:rPr>
                <w:sz w:val="13"/>
              </w:rPr>
              <w:tab/>
              <w:t>n = 58</w:t>
            </w:r>
          </w:p>
          <w:p w:rsidR="0009028B" w:rsidRDefault="002A6AB4">
            <w:pPr>
              <w:spacing w:after="3"/>
              <w:ind w:right="2216"/>
            </w:pPr>
            <w:r>
              <w:rPr>
                <w:sz w:val="13"/>
              </w:rPr>
              <w:t>Overall response</w:t>
            </w:r>
          </w:p>
          <w:p w:rsidR="0009028B" w:rsidRDefault="002A6AB4">
            <w:pPr>
              <w:spacing w:after="0"/>
              <w:ind w:right="2216"/>
            </w:pPr>
            <w:r>
              <w:rPr>
                <w:sz w:val="13"/>
              </w:rPr>
              <w:t>Complete response</w:t>
            </w:r>
          </w:p>
        </w:tc>
      </w:tr>
      <w:tr w:rsidR="0009028B">
        <w:trPr>
          <w:trHeight w:val="598"/>
        </w:trPr>
        <w:tc>
          <w:tcPr>
            <w:tcW w:w="10201" w:type="dxa"/>
            <w:tcBorders>
              <w:top w:val="single" w:sz="4" w:space="0" w:color="BFBEDD"/>
              <w:left w:val="single" w:sz="4" w:space="0" w:color="BFBEDD"/>
              <w:bottom w:val="single" w:sz="7" w:space="0" w:color="BFBEDD"/>
              <w:right w:val="single" w:sz="4" w:space="0" w:color="BFBEDD"/>
            </w:tcBorders>
          </w:tcPr>
          <w:p w:rsidR="0009028B" w:rsidRDefault="002A6AB4">
            <w:pPr>
              <w:tabs>
                <w:tab w:val="center" w:pos="3597"/>
                <w:tab w:val="center" w:pos="6938"/>
              </w:tabs>
              <w:spacing w:after="87"/>
            </w:pPr>
            <w:r>
              <w:rPr>
                <w:noProof/>
              </w:rPr>
              <w:lastRenderedPageBreak/>
              <w:drawing>
                <wp:anchor distT="0" distB="0" distL="114300" distR="114300" simplePos="0" relativeHeight="251662336" behindDoc="0" locked="0" layoutInCell="1" allowOverlap="0">
                  <wp:simplePos x="0" y="0"/>
                  <wp:positionH relativeFrom="column">
                    <wp:posOffset>2197652</wp:posOffset>
                  </wp:positionH>
                  <wp:positionV relativeFrom="paragraph">
                    <wp:posOffset>109092</wp:posOffset>
                  </wp:positionV>
                  <wp:extent cx="2788920" cy="185928"/>
                  <wp:effectExtent l="0" t="0" r="0" b="0"/>
                  <wp:wrapSquare wrapText="bothSides"/>
                  <wp:docPr id="16557" name="Picture 16557"/>
                  <wp:cNvGraphicFramePr/>
                  <a:graphic xmlns:a="http://schemas.openxmlformats.org/drawingml/2006/main">
                    <a:graphicData uri="http://schemas.openxmlformats.org/drawingml/2006/picture">
                      <pic:pic xmlns:pic="http://schemas.openxmlformats.org/drawingml/2006/picture">
                        <pic:nvPicPr>
                          <pic:cNvPr id="16557" name="Picture 16557"/>
                          <pic:cNvPicPr/>
                        </pic:nvPicPr>
                        <pic:blipFill>
                          <a:blip r:embed="rId11"/>
                          <a:stretch>
                            <a:fillRect/>
                          </a:stretch>
                        </pic:blipFill>
                        <pic:spPr>
                          <a:xfrm>
                            <a:off x="0" y="0"/>
                            <a:ext cx="2788920" cy="185928"/>
                          </a:xfrm>
                          <a:prstGeom prst="rect">
                            <a:avLst/>
                          </a:prstGeom>
                        </pic:spPr>
                      </pic:pic>
                    </a:graphicData>
                  </a:graphic>
                </wp:anchor>
              </w:drawing>
            </w:r>
            <w:r>
              <w:rPr>
                <w:sz w:val="13"/>
              </w:rPr>
              <w:t>High body surface area</w:t>
            </w:r>
            <w:r>
              <w:rPr>
                <w:sz w:val="13"/>
              </w:rPr>
              <w:tab/>
              <w:t>n = 72</w:t>
            </w:r>
            <w:r>
              <w:rPr>
                <w:sz w:val="13"/>
              </w:rPr>
              <w:tab/>
              <w:t>n = 62</w:t>
            </w:r>
          </w:p>
          <w:p w:rsidR="0009028B" w:rsidRDefault="002A6AB4">
            <w:pPr>
              <w:spacing w:after="3"/>
              <w:ind w:right="2216"/>
            </w:pPr>
            <w:r>
              <w:rPr>
                <w:sz w:val="13"/>
              </w:rPr>
              <w:t>Overall response</w:t>
            </w:r>
          </w:p>
          <w:p w:rsidR="0009028B" w:rsidRDefault="002A6AB4">
            <w:pPr>
              <w:spacing w:after="0"/>
              <w:ind w:right="2216"/>
            </w:pPr>
            <w:r>
              <w:rPr>
                <w:sz w:val="13"/>
              </w:rPr>
              <w:t>Complete response</w:t>
            </w:r>
          </w:p>
        </w:tc>
      </w:tr>
      <w:tr w:rsidR="0009028B">
        <w:trPr>
          <w:trHeight w:val="770"/>
        </w:trPr>
        <w:tc>
          <w:tcPr>
            <w:tcW w:w="10201" w:type="dxa"/>
            <w:tcBorders>
              <w:top w:val="single" w:sz="7" w:space="0" w:color="BFBEDD"/>
              <w:left w:val="single" w:sz="4" w:space="0" w:color="BFBEDD"/>
              <w:bottom w:val="single" w:sz="4" w:space="0" w:color="BFBEDD"/>
              <w:right w:val="single" w:sz="4" w:space="0" w:color="BFBEDD"/>
            </w:tcBorders>
          </w:tcPr>
          <w:p w:rsidR="0009028B" w:rsidRDefault="002A6AB4">
            <w:pPr>
              <w:spacing w:after="0" w:line="347" w:lineRule="auto"/>
              <w:ind w:left="6"/>
              <w:jc w:val="both"/>
            </w:pPr>
            <w:r>
              <w:rPr>
                <w:sz w:val="13"/>
              </w:rPr>
              <w:t>Response rate shown as percentage of patients and 95% CI. Complete response includes confirmed and unconfirmed complete response at the end of induction chemotherapy. Low body surface</w:t>
            </w:r>
            <w:r>
              <w:rPr>
                <w:sz w:val="13"/>
              </w:rPr>
              <w:t xml:space="preserve"> area, ≤1.73 m</w:t>
            </w:r>
            <w:r>
              <w:rPr>
                <w:sz w:val="13"/>
                <w:vertAlign w:val="superscript"/>
              </w:rPr>
              <w:t>2</w:t>
            </w:r>
            <w:r>
              <w:rPr>
                <w:sz w:val="13"/>
              </w:rPr>
              <w:t>; medium body surface area, 1.74 to ≤1.92 m</w:t>
            </w:r>
            <w:r>
              <w:rPr>
                <w:sz w:val="13"/>
                <w:vertAlign w:val="superscript"/>
              </w:rPr>
              <w:t>2</w:t>
            </w:r>
            <w:r>
              <w:rPr>
                <w:sz w:val="13"/>
              </w:rPr>
              <w:t>; high body surface area, ≥1.93 m</w:t>
            </w:r>
            <w:r>
              <w:rPr>
                <w:sz w:val="13"/>
                <w:vertAlign w:val="superscript"/>
              </w:rPr>
              <w:t>2</w:t>
            </w:r>
            <w:r>
              <w:rPr>
                <w:sz w:val="13"/>
              </w:rPr>
              <w:t>. iv.: Intravenous; sc.: Subcutaneous.</w:t>
            </w:r>
          </w:p>
          <w:p w:rsidR="0009028B" w:rsidRDefault="002A6AB4">
            <w:pPr>
              <w:spacing w:after="0"/>
              <w:ind w:left="6"/>
            </w:pPr>
            <w:r>
              <w:rPr>
                <w:sz w:val="13"/>
              </w:rPr>
              <w:t xml:space="preserve">Reproduced with permission from [30] </w:t>
            </w:r>
            <w:r>
              <w:rPr>
                <w:sz w:val="10"/>
              </w:rPr>
              <w:t xml:space="preserve">C </w:t>
            </w:r>
            <w:r>
              <w:rPr>
                <w:sz w:val="13"/>
              </w:rPr>
              <w:t>Elsevier (2017).</w:t>
            </w:r>
          </w:p>
        </w:tc>
      </w:tr>
    </w:tbl>
    <w:p w:rsidR="0009028B" w:rsidRDefault="002A6AB4">
      <w:pPr>
        <w:pStyle w:val="Heading2"/>
        <w:spacing w:after="65"/>
        <w:ind w:left="-5"/>
      </w:pPr>
      <w:r>
        <w:t>Dose confirmation &amp; efficacy studies</w:t>
      </w:r>
    </w:p>
    <w:p w:rsidR="0009028B" w:rsidRDefault="002A6AB4">
      <w:pPr>
        <w:spacing w:after="211" w:line="270" w:lineRule="auto"/>
        <w:ind w:left="-5" w:hanging="10"/>
        <w:jc w:val="both"/>
      </w:pPr>
      <w:r>
        <w:rPr>
          <w:rFonts w:ascii="Garamond" w:eastAsia="Garamond" w:hAnsi="Garamond" w:cs="Garamond"/>
          <w:sz w:val="20"/>
        </w:rPr>
        <w:t>Parallel dose confirmation and efficacy studies were performed in patients receiving primary treatment for FL, DLBCL and CLL.</w:t>
      </w:r>
    </w:p>
    <w:p w:rsidR="0009028B" w:rsidRDefault="002A6AB4">
      <w:pPr>
        <w:pStyle w:val="Heading2"/>
        <w:ind w:left="-5"/>
      </w:pPr>
      <w:r>
        <w:t>Follicular lymphoma</w:t>
      </w:r>
    </w:p>
    <w:p w:rsidR="0009028B" w:rsidRDefault="002A6AB4">
      <w:pPr>
        <w:spacing w:after="28" w:line="270" w:lineRule="auto"/>
        <w:ind w:left="-5" w:hanging="10"/>
        <w:jc w:val="both"/>
      </w:pPr>
      <w:r>
        <w:rPr>
          <w:rFonts w:ascii="Garamond" w:eastAsia="Garamond" w:hAnsi="Garamond" w:cs="Garamond"/>
          <w:sz w:val="20"/>
        </w:rPr>
        <w:t xml:space="preserve">The two-stage, Phase III SABRINA study recruited previously untreated patients with FL and randomized them to </w:t>
      </w:r>
      <w:r>
        <w:rPr>
          <w:rFonts w:ascii="Garamond" w:eastAsia="Garamond" w:hAnsi="Garamond" w:cs="Garamond"/>
          <w:sz w:val="20"/>
        </w:rPr>
        <w:t>receive either sc. or iv. rituximab, following an initial dose intravenously, over six cycles in combination with chemotherapy, either CHOP or cyclophosphamide, vincristine and prednisolone. On completion of induction treatment,rituximabandchemotherapytrea</w:t>
      </w:r>
      <w:r>
        <w:rPr>
          <w:rFonts w:ascii="Garamond" w:eastAsia="Garamond" w:hAnsi="Garamond" w:cs="Garamond"/>
          <w:sz w:val="20"/>
        </w:rPr>
        <w:t>tmentgiventogaindiseasecontrolandreducethevolumeofmeasurable disease, the participants proceeded to either intravenous or subcutaneous maintenance treatment 2 or 3 monthly (</w:t>
      </w:r>
      <w:r>
        <w:rPr>
          <w:rFonts w:ascii="Garamond" w:eastAsia="Garamond" w:hAnsi="Garamond" w:cs="Garamond"/>
          <w:color w:val="243188"/>
          <w:sz w:val="20"/>
        </w:rPr>
        <w:t>Table 1</w:t>
      </w:r>
      <w:r>
        <w:rPr>
          <w:rFonts w:ascii="Garamond" w:eastAsia="Garamond" w:hAnsi="Garamond" w:cs="Garamond"/>
          <w:sz w:val="20"/>
        </w:rPr>
        <w:t>). The first stage of this international multicenter study recruited 127 pat</w:t>
      </w:r>
      <w:r>
        <w:rPr>
          <w:rFonts w:ascii="Garamond" w:eastAsia="Garamond" w:hAnsi="Garamond" w:cs="Garamond"/>
          <w:sz w:val="20"/>
        </w:rPr>
        <w:t>ients and assessed C</w:t>
      </w:r>
      <w:r>
        <w:rPr>
          <w:rFonts w:ascii="Garamond" w:eastAsia="Garamond" w:hAnsi="Garamond" w:cs="Garamond"/>
          <w:sz w:val="20"/>
          <w:vertAlign w:val="subscript"/>
        </w:rPr>
        <w:t xml:space="preserve">trough </w:t>
      </w:r>
      <w:r>
        <w:rPr>
          <w:rFonts w:ascii="Garamond" w:eastAsia="Garamond" w:hAnsi="Garamond" w:cs="Garamond"/>
          <w:sz w:val="20"/>
        </w:rPr>
        <w:t>levels at the end of seven cycles of rituximab. This late assessment of C</w:t>
      </w:r>
      <w:r>
        <w:rPr>
          <w:rFonts w:ascii="Garamond" w:eastAsia="Garamond" w:hAnsi="Garamond" w:cs="Garamond"/>
          <w:sz w:val="20"/>
          <w:vertAlign w:val="subscript"/>
        </w:rPr>
        <w:t xml:space="preserve">trough </w:t>
      </w:r>
      <w:r>
        <w:rPr>
          <w:rFonts w:ascii="Garamond" w:eastAsia="Garamond" w:hAnsi="Garamond" w:cs="Garamond"/>
          <w:sz w:val="20"/>
        </w:rPr>
        <w:t>was to minimize the effect of target specific elimination on PK data. The outcome of this stage found that a flat dose of 1400 mg to have noninferior</w:t>
      </w:r>
      <w:r>
        <w:rPr>
          <w:rFonts w:ascii="Garamond" w:eastAsia="Garamond" w:hAnsi="Garamond" w:cs="Garamond"/>
          <w:sz w:val="20"/>
        </w:rPr>
        <w:t xml:space="preserve"> PK parameters to BSA-based dosing at 375 mg</w:t>
      </w:r>
      <w:r>
        <w:rPr>
          <w:sz w:val="20"/>
        </w:rPr>
        <w:t>/</w:t>
      </w:r>
      <w:r>
        <w:rPr>
          <w:rFonts w:ascii="Garamond" w:eastAsia="Garamond" w:hAnsi="Garamond" w:cs="Garamond"/>
          <w:sz w:val="20"/>
        </w:rPr>
        <w:t>m</w:t>
      </w:r>
      <w:r>
        <w:rPr>
          <w:rFonts w:ascii="Garamond" w:eastAsia="Garamond" w:hAnsi="Garamond" w:cs="Garamond"/>
          <w:sz w:val="20"/>
          <w:vertAlign w:val="superscript"/>
        </w:rPr>
        <w:t>2</w:t>
      </w:r>
      <w:r>
        <w:rPr>
          <w:rFonts w:ascii="Garamond" w:eastAsia="Garamond" w:hAnsi="Garamond" w:cs="Garamond"/>
          <w:sz w:val="20"/>
        </w:rPr>
        <w:t xml:space="preserve">, this was true across the spectrum of BSA confirming dose selection </w:t>
      </w:r>
      <w:r>
        <w:rPr>
          <w:rFonts w:ascii="Garamond" w:eastAsia="Garamond" w:hAnsi="Garamond" w:cs="Garamond"/>
          <w:sz w:val="14"/>
        </w:rPr>
        <w:t>[29]</w:t>
      </w:r>
      <w:r>
        <w:rPr>
          <w:rFonts w:ascii="Garamond" w:eastAsia="Garamond" w:hAnsi="Garamond" w:cs="Garamond"/>
          <w:sz w:val="20"/>
        </w:rPr>
        <w:t>. In fact, patients with a high BSA were found to have mean C</w:t>
      </w:r>
      <w:r>
        <w:rPr>
          <w:rFonts w:ascii="Garamond" w:eastAsia="Garamond" w:hAnsi="Garamond" w:cs="Garamond"/>
          <w:sz w:val="20"/>
          <w:vertAlign w:val="subscript"/>
        </w:rPr>
        <w:t xml:space="preserve">trough </w:t>
      </w:r>
      <w:r>
        <w:rPr>
          <w:rFonts w:ascii="Garamond" w:eastAsia="Garamond" w:hAnsi="Garamond" w:cs="Garamond"/>
          <w:sz w:val="20"/>
        </w:rPr>
        <w:t>and AUC measurements higher in the subcutaneous arm when compared wi</w:t>
      </w:r>
      <w:r>
        <w:rPr>
          <w:rFonts w:ascii="Garamond" w:eastAsia="Garamond" w:hAnsi="Garamond" w:cs="Garamond"/>
          <w:sz w:val="20"/>
        </w:rPr>
        <w:t>th intravenous dosing, a finding replicated in the SAWYER and</w:t>
      </w:r>
    </w:p>
    <w:p w:rsidR="0009028B" w:rsidRDefault="002A6AB4">
      <w:pPr>
        <w:spacing w:after="4" w:line="270" w:lineRule="auto"/>
        <w:ind w:left="-5" w:hanging="10"/>
        <w:jc w:val="both"/>
      </w:pPr>
      <w:r>
        <w:rPr>
          <w:rFonts w:ascii="Garamond" w:eastAsia="Garamond" w:hAnsi="Garamond" w:cs="Garamond"/>
          <w:sz w:val="20"/>
        </w:rPr>
        <w:t xml:space="preserve">SparkThera studies </w:t>
      </w:r>
      <w:r>
        <w:rPr>
          <w:rFonts w:ascii="Garamond" w:eastAsia="Garamond" w:hAnsi="Garamond" w:cs="Garamond"/>
          <w:sz w:val="14"/>
        </w:rPr>
        <w:t>[28–29</w:t>
      </w:r>
      <w:r>
        <w:rPr>
          <w:rFonts w:ascii="Garamond" w:eastAsia="Garamond" w:hAnsi="Garamond" w:cs="Garamond"/>
          <w:sz w:val="20"/>
        </w:rPr>
        <w:t>,</w:t>
      </w:r>
      <w:r>
        <w:rPr>
          <w:rFonts w:ascii="Garamond" w:eastAsia="Garamond" w:hAnsi="Garamond" w:cs="Garamond"/>
          <w:sz w:val="14"/>
        </w:rPr>
        <w:t>31–32]</w:t>
      </w:r>
      <w:r>
        <w:rPr>
          <w:rFonts w:ascii="Garamond" w:eastAsia="Garamond" w:hAnsi="Garamond" w:cs="Garamond"/>
          <w:sz w:val="20"/>
        </w:rPr>
        <w:t>.</w:t>
      </w:r>
    </w:p>
    <w:p w:rsidR="0009028B" w:rsidRDefault="002A6AB4">
      <w:pPr>
        <w:spacing w:after="210" w:line="270" w:lineRule="auto"/>
        <w:ind w:left="-15" w:firstLine="199"/>
        <w:jc w:val="both"/>
      </w:pPr>
      <w:r>
        <w:rPr>
          <w:rFonts w:ascii="Garamond" w:eastAsia="Garamond" w:hAnsi="Garamond" w:cs="Garamond"/>
          <w:sz w:val="20"/>
        </w:rPr>
        <w:t>The second stage of the SABRINA study intended to add to the safety and efficacy data of the first. A further 283 patients were recruited who proceeded in an id</w:t>
      </w:r>
      <w:r>
        <w:rPr>
          <w:rFonts w:ascii="Garamond" w:eastAsia="Garamond" w:hAnsi="Garamond" w:cs="Garamond"/>
          <w:sz w:val="20"/>
        </w:rPr>
        <w:t>entical manner to those in the first stage. The pooled data on completion of the second phase demonstrated comparable efficacy with overall response rate of 84.4% (95% CI: 78.7–89.1) in the subcutaneous arm and 84.9% (79.2–89.5) in the intravenous arm (</w:t>
      </w:r>
      <w:r>
        <w:rPr>
          <w:rFonts w:ascii="Garamond" w:eastAsia="Garamond" w:hAnsi="Garamond" w:cs="Garamond"/>
          <w:color w:val="243188"/>
          <w:sz w:val="20"/>
        </w:rPr>
        <w:t>Tab</w:t>
      </w:r>
      <w:r>
        <w:rPr>
          <w:rFonts w:ascii="Garamond" w:eastAsia="Garamond" w:hAnsi="Garamond" w:cs="Garamond"/>
          <w:color w:val="243188"/>
          <w:sz w:val="20"/>
        </w:rPr>
        <w:t>le 1</w:t>
      </w:r>
      <w:r>
        <w:rPr>
          <w:rFonts w:ascii="Garamond" w:eastAsia="Garamond" w:hAnsi="Garamond" w:cs="Garamond"/>
          <w:sz w:val="20"/>
        </w:rPr>
        <w:t>). On further, scrutiny response rates were comparable across all subgroups including BSA (</w:t>
      </w:r>
      <w:r>
        <w:rPr>
          <w:rFonts w:ascii="Garamond" w:eastAsia="Garamond" w:hAnsi="Garamond" w:cs="Garamond"/>
          <w:color w:val="243188"/>
          <w:sz w:val="20"/>
        </w:rPr>
        <w:t>Table 2</w:t>
      </w:r>
      <w:r>
        <w:rPr>
          <w:rFonts w:ascii="Garamond" w:eastAsia="Garamond" w:hAnsi="Garamond" w:cs="Garamond"/>
          <w:sz w:val="20"/>
        </w:rPr>
        <w:t xml:space="preserve">), gender and stage disease </w:t>
      </w:r>
      <w:r>
        <w:rPr>
          <w:rFonts w:ascii="Garamond" w:eastAsia="Garamond" w:hAnsi="Garamond" w:cs="Garamond"/>
          <w:sz w:val="14"/>
        </w:rPr>
        <w:t>[30]</w:t>
      </w:r>
      <w:r>
        <w:rPr>
          <w:rFonts w:ascii="Garamond" w:eastAsia="Garamond" w:hAnsi="Garamond" w:cs="Garamond"/>
          <w:sz w:val="20"/>
        </w:rPr>
        <w:t>.</w:t>
      </w:r>
    </w:p>
    <w:p w:rsidR="0009028B" w:rsidRDefault="002A6AB4">
      <w:pPr>
        <w:pStyle w:val="Heading2"/>
        <w:ind w:left="-5"/>
      </w:pPr>
      <w:r>
        <w:t>Diffuse large B-cell lymphoma</w:t>
      </w:r>
    </w:p>
    <w:p w:rsidR="0009028B" w:rsidRDefault="002A6AB4">
      <w:pPr>
        <w:spacing w:after="211" w:line="270" w:lineRule="auto"/>
        <w:ind w:left="-5" w:hanging="10"/>
        <w:jc w:val="both"/>
      </w:pPr>
      <w:r>
        <w:rPr>
          <w:rFonts w:ascii="Garamond" w:eastAsia="Garamond" w:hAnsi="Garamond" w:cs="Garamond"/>
          <w:sz w:val="20"/>
        </w:rPr>
        <w:t xml:space="preserve">The efficacy in utilizing rituximab subcutaneously in first-line treatment for high-grade </w:t>
      </w:r>
      <w:r>
        <w:rPr>
          <w:rFonts w:ascii="Garamond" w:eastAsia="Garamond" w:hAnsi="Garamond" w:cs="Garamond"/>
          <w:sz w:val="20"/>
        </w:rPr>
        <w:t>B cell lymphomas was explored in the open label MabEase study. This randomized trial of patients with previously untreated DLBCL allocated individuals to receive either sc. rituximab at 1400 mg or iv. rituximab 375 mg</w:t>
      </w:r>
      <w:r>
        <w:rPr>
          <w:sz w:val="20"/>
        </w:rPr>
        <w:t>/</w:t>
      </w:r>
      <w:r>
        <w:rPr>
          <w:rFonts w:ascii="Garamond" w:eastAsia="Garamond" w:hAnsi="Garamond" w:cs="Garamond"/>
          <w:sz w:val="20"/>
        </w:rPr>
        <w:t>m</w:t>
      </w:r>
      <w:r>
        <w:rPr>
          <w:rFonts w:ascii="Garamond" w:eastAsia="Garamond" w:hAnsi="Garamond" w:cs="Garamond"/>
          <w:sz w:val="20"/>
          <w:vertAlign w:val="superscript"/>
        </w:rPr>
        <w:t xml:space="preserve">2 </w:t>
      </w:r>
      <w:r>
        <w:rPr>
          <w:rFonts w:ascii="Garamond" w:eastAsia="Garamond" w:hAnsi="Garamond" w:cs="Garamond"/>
          <w:sz w:val="20"/>
        </w:rPr>
        <w:t>in combination with either six or e</w:t>
      </w:r>
      <w:r>
        <w:rPr>
          <w:rFonts w:ascii="Garamond" w:eastAsia="Garamond" w:hAnsi="Garamond" w:cs="Garamond"/>
          <w:sz w:val="20"/>
        </w:rPr>
        <w:t>ight cycles of CHOP chemotherapy every 14 or 21 days. At the end of the induction treatment the complete response rate was similar in both the sc. and iv. rituximab groups at 51 versus 52%, respectively (</w:t>
      </w:r>
      <w:r>
        <w:rPr>
          <w:rFonts w:ascii="Garamond" w:eastAsia="Garamond" w:hAnsi="Garamond" w:cs="Garamond"/>
          <w:color w:val="243188"/>
          <w:sz w:val="20"/>
        </w:rPr>
        <w:t>Table 1</w:t>
      </w:r>
      <w:r>
        <w:rPr>
          <w:rFonts w:ascii="Garamond" w:eastAsia="Garamond" w:hAnsi="Garamond" w:cs="Garamond"/>
          <w:sz w:val="20"/>
        </w:rPr>
        <w:t>). The long-term progression-free survival an</w:t>
      </w:r>
      <w:r>
        <w:rPr>
          <w:rFonts w:ascii="Garamond" w:eastAsia="Garamond" w:hAnsi="Garamond" w:cs="Garamond"/>
          <w:sz w:val="20"/>
        </w:rPr>
        <w:t xml:space="preserve">d overall survival end points have currently yet to be met at 35 months follow-up. Adverse events were comparable between both treatment groups </w:t>
      </w:r>
      <w:r>
        <w:rPr>
          <w:rFonts w:ascii="Garamond" w:eastAsia="Garamond" w:hAnsi="Garamond" w:cs="Garamond"/>
          <w:sz w:val="14"/>
        </w:rPr>
        <w:t>[33]</w:t>
      </w:r>
      <w:r>
        <w:rPr>
          <w:rFonts w:ascii="Garamond" w:eastAsia="Garamond" w:hAnsi="Garamond" w:cs="Garamond"/>
          <w:sz w:val="20"/>
        </w:rPr>
        <w:t>.</w:t>
      </w:r>
    </w:p>
    <w:p w:rsidR="0009028B" w:rsidRDefault="002A6AB4">
      <w:pPr>
        <w:pStyle w:val="Heading2"/>
        <w:ind w:left="-5"/>
      </w:pPr>
      <w:r>
        <w:t>Chronic lymphocytic leukemia</w:t>
      </w:r>
    </w:p>
    <w:p w:rsidR="0009028B" w:rsidRDefault="002A6AB4">
      <w:pPr>
        <w:spacing w:after="230" w:line="270" w:lineRule="auto"/>
        <w:ind w:left="-5" w:hanging="10"/>
        <w:jc w:val="both"/>
      </w:pPr>
      <w:r>
        <w:rPr>
          <w:rFonts w:ascii="Garamond" w:eastAsia="Garamond" w:hAnsi="Garamond" w:cs="Garamond"/>
          <w:sz w:val="20"/>
        </w:rPr>
        <w:t>Following on from the first stage of the Phase IB SAWYER study, patients were recruited for part two, again with previously untreated CLL and were randomized to treatment with either sc. rituximab at a flat dose of 1600 mg every 4-weeks or iv. rituximab 50</w:t>
      </w:r>
      <w:r>
        <w:rPr>
          <w:rFonts w:ascii="Garamond" w:eastAsia="Garamond" w:hAnsi="Garamond" w:cs="Garamond"/>
          <w:sz w:val="20"/>
        </w:rPr>
        <w:t>0 mg</w:t>
      </w:r>
      <w:r>
        <w:rPr>
          <w:sz w:val="20"/>
        </w:rPr>
        <w:t>/</w:t>
      </w:r>
      <w:r>
        <w:rPr>
          <w:rFonts w:ascii="Garamond" w:eastAsia="Garamond" w:hAnsi="Garamond" w:cs="Garamond"/>
          <w:sz w:val="20"/>
        </w:rPr>
        <w:t>m</w:t>
      </w:r>
      <w:r>
        <w:rPr>
          <w:rFonts w:ascii="Garamond" w:eastAsia="Garamond" w:hAnsi="Garamond" w:cs="Garamond"/>
          <w:sz w:val="20"/>
          <w:vertAlign w:val="superscript"/>
        </w:rPr>
        <w:t>2</w:t>
      </w:r>
      <w:r>
        <w:rPr>
          <w:rFonts w:ascii="Garamond" w:eastAsia="Garamond" w:hAnsi="Garamond" w:cs="Garamond"/>
          <w:sz w:val="20"/>
        </w:rPr>
        <w:t>, in combination with fludarabine and cyclophosphamide chemotherapy (</w:t>
      </w:r>
      <w:r>
        <w:rPr>
          <w:rFonts w:ascii="Garamond" w:eastAsia="Garamond" w:hAnsi="Garamond" w:cs="Garamond"/>
          <w:color w:val="243188"/>
          <w:sz w:val="20"/>
        </w:rPr>
        <w:t>Table 1</w:t>
      </w:r>
      <w:r>
        <w:rPr>
          <w:rFonts w:ascii="Garamond" w:eastAsia="Garamond" w:hAnsi="Garamond" w:cs="Garamond"/>
          <w:sz w:val="20"/>
        </w:rPr>
        <w:t>). PK noninferiority was confirmed with superior C</w:t>
      </w:r>
      <w:r>
        <w:rPr>
          <w:rFonts w:ascii="Garamond" w:eastAsia="Garamond" w:hAnsi="Garamond" w:cs="Garamond"/>
          <w:sz w:val="20"/>
          <w:vertAlign w:val="subscript"/>
        </w:rPr>
        <w:t xml:space="preserve">trough </w:t>
      </w:r>
      <w:r>
        <w:rPr>
          <w:rFonts w:ascii="Garamond" w:eastAsia="Garamond" w:hAnsi="Garamond" w:cs="Garamond"/>
          <w:sz w:val="20"/>
        </w:rPr>
        <w:t>levels observed in the subcutaneous arm. The overall response rate at the end of treatment showed comparable efficac</w:t>
      </w:r>
      <w:r>
        <w:rPr>
          <w:rFonts w:ascii="Garamond" w:eastAsia="Garamond" w:hAnsi="Garamond" w:cs="Garamond"/>
          <w:sz w:val="20"/>
        </w:rPr>
        <w:t xml:space="preserve">y in both subcutaneous and intravenous administration at 85 and 81%, respectively </w:t>
      </w:r>
      <w:r>
        <w:rPr>
          <w:rFonts w:ascii="Garamond" w:eastAsia="Garamond" w:hAnsi="Garamond" w:cs="Garamond"/>
          <w:sz w:val="14"/>
        </w:rPr>
        <w:t>[32]</w:t>
      </w:r>
      <w:r>
        <w:rPr>
          <w:rFonts w:ascii="Garamond" w:eastAsia="Garamond" w:hAnsi="Garamond" w:cs="Garamond"/>
          <w:sz w:val="20"/>
        </w:rPr>
        <w:t xml:space="preserve">. Treatment with sc. rituximab at the 1600 mg dose has now been approved for use in untreated CLL in the USA </w:t>
      </w:r>
      <w:r>
        <w:rPr>
          <w:rFonts w:ascii="Garamond" w:eastAsia="Garamond" w:hAnsi="Garamond" w:cs="Garamond"/>
          <w:sz w:val="14"/>
        </w:rPr>
        <w:t>[35]</w:t>
      </w:r>
      <w:r>
        <w:rPr>
          <w:rFonts w:ascii="Garamond" w:eastAsia="Garamond" w:hAnsi="Garamond" w:cs="Garamond"/>
          <w:sz w:val="20"/>
        </w:rPr>
        <w:t>.</w:t>
      </w:r>
    </w:p>
    <w:p w:rsidR="0009028B" w:rsidRDefault="002A6AB4">
      <w:pPr>
        <w:pStyle w:val="Heading1"/>
        <w:ind w:left="-5"/>
      </w:pPr>
      <w:r>
        <w:t>Safety &amp; tolerability</w:t>
      </w:r>
    </w:p>
    <w:p w:rsidR="0009028B" w:rsidRDefault="002A6AB4">
      <w:pPr>
        <w:spacing w:after="4" w:line="270" w:lineRule="auto"/>
        <w:ind w:left="-5" w:hanging="10"/>
        <w:jc w:val="both"/>
      </w:pPr>
      <w:r>
        <w:rPr>
          <w:rFonts w:ascii="Garamond" w:eastAsia="Garamond" w:hAnsi="Garamond" w:cs="Garamond"/>
          <w:sz w:val="20"/>
        </w:rPr>
        <w:t>As stated previously, rituximab i</w:t>
      </w:r>
      <w:r>
        <w:rPr>
          <w:rFonts w:ascii="Garamond" w:eastAsia="Garamond" w:hAnsi="Garamond" w:cs="Garamond"/>
          <w:sz w:val="20"/>
        </w:rPr>
        <w:t>s associated with IRRs which can be severe and are usually experienced on first exposure. These reactions can include a combination of cytokine release syndrome, tumor lysis syndrome, anaphylactic and hypersensitivity reactions. Such cytokine release react</w:t>
      </w:r>
      <w:r>
        <w:rPr>
          <w:rFonts w:ascii="Garamond" w:eastAsia="Garamond" w:hAnsi="Garamond" w:cs="Garamond"/>
          <w:sz w:val="20"/>
        </w:rPr>
        <w:t>ions result in a complex of dyspnea, bronchospasm, urticaria and angioedema. This can be accompanied by tumor lysis syndrome, particularly in individuals with high tumor bulk who are considered at higher risk of all such reactions. Rarely such reactions ca</w:t>
      </w:r>
      <w:r>
        <w:rPr>
          <w:rFonts w:ascii="Garamond" w:eastAsia="Garamond" w:hAnsi="Garamond" w:cs="Garamond"/>
          <w:sz w:val="20"/>
        </w:rPr>
        <w:t xml:space="preserve">n be associated with respiratory and renal failure and have been documented to be fatal </w:t>
      </w:r>
      <w:r>
        <w:rPr>
          <w:rFonts w:ascii="Garamond" w:eastAsia="Garamond" w:hAnsi="Garamond" w:cs="Garamond"/>
          <w:sz w:val="14"/>
        </w:rPr>
        <w:t>[7]</w:t>
      </w:r>
      <w:r>
        <w:rPr>
          <w:rFonts w:ascii="Garamond" w:eastAsia="Garamond" w:hAnsi="Garamond" w:cs="Garamond"/>
          <w:sz w:val="20"/>
        </w:rPr>
        <w:t>.</w:t>
      </w:r>
    </w:p>
    <w:p w:rsidR="0009028B" w:rsidRDefault="002A6AB4">
      <w:pPr>
        <w:spacing w:after="4" w:line="270" w:lineRule="auto"/>
        <w:ind w:left="-15" w:firstLine="199"/>
        <w:jc w:val="both"/>
      </w:pPr>
      <w:r>
        <w:rPr>
          <w:rFonts w:ascii="Garamond" w:eastAsia="Garamond" w:hAnsi="Garamond" w:cs="Garamond"/>
          <w:sz w:val="20"/>
        </w:rPr>
        <w:t xml:space="preserve">Reactions associated with cytokine release and tumor lysis syndromes are thought to occur regardless of administration route, providing the rational for the first </w:t>
      </w:r>
      <w:r>
        <w:rPr>
          <w:rFonts w:ascii="Garamond" w:eastAsia="Garamond" w:hAnsi="Garamond" w:cs="Garamond"/>
          <w:sz w:val="20"/>
        </w:rPr>
        <w:t xml:space="preserve">dose of rituximab being given in a facility equipped to deal with potential complications. Intravenous administration also allows easy discontinuation or alteration of delivery rate to help reduce reaction severity and increase tolerability. It has become </w:t>
      </w:r>
      <w:r>
        <w:rPr>
          <w:rFonts w:ascii="Garamond" w:eastAsia="Garamond" w:hAnsi="Garamond" w:cs="Garamond"/>
          <w:sz w:val="20"/>
        </w:rPr>
        <w:t>adopted practice that patients planning for sc. rituximab infusion are required to have at least one full cycle of treatment administered intravenously prior to switching. In those not able to tolerate their first cycle without significant complications, t</w:t>
      </w:r>
      <w:r>
        <w:rPr>
          <w:rFonts w:ascii="Garamond" w:eastAsia="Garamond" w:hAnsi="Garamond" w:cs="Garamond"/>
          <w:sz w:val="20"/>
        </w:rPr>
        <w:t>hey should proceed to further administrations intravenously until administration is possible without complication.</w:t>
      </w:r>
    </w:p>
    <w:p w:rsidR="0009028B" w:rsidRDefault="002A6AB4">
      <w:pPr>
        <w:spacing w:after="4" w:line="270" w:lineRule="auto"/>
        <w:ind w:left="-15" w:firstLine="199"/>
        <w:jc w:val="both"/>
      </w:pPr>
      <w:r>
        <w:rPr>
          <w:rFonts w:ascii="Garamond" w:eastAsia="Garamond" w:hAnsi="Garamond" w:cs="Garamond"/>
          <w:sz w:val="20"/>
        </w:rPr>
        <w:lastRenderedPageBreak/>
        <w:t>The above complications of rituximab are possible regardless of route of delivery to the patient. Sc. rituximab should therefore be administe</w:t>
      </w:r>
      <w:r>
        <w:rPr>
          <w:rFonts w:ascii="Garamond" w:eastAsia="Garamond" w:hAnsi="Garamond" w:cs="Garamond"/>
          <w:sz w:val="20"/>
        </w:rPr>
        <w:t>red in a setting with capabilities for delivering emergency resuscitation. Premedication with an antipyretic and an antihistamine should be given and glucocorticoids can be considered in all patients. There is evidence that these can be administered safely</w:t>
      </w:r>
      <w:r>
        <w:rPr>
          <w:rFonts w:ascii="Garamond" w:eastAsia="Garamond" w:hAnsi="Garamond" w:cs="Garamond"/>
          <w:sz w:val="20"/>
        </w:rPr>
        <w:t xml:space="preserve"> as an oral premedication in patients receiving subcutaneous treatment or can even be omitted in certain circumstances. At least 15-min observation should be completed following subcutaneous treatment </w:t>
      </w:r>
      <w:r>
        <w:rPr>
          <w:rFonts w:ascii="Garamond" w:eastAsia="Garamond" w:hAnsi="Garamond" w:cs="Garamond"/>
          <w:sz w:val="14"/>
        </w:rPr>
        <w:t>[29]</w:t>
      </w:r>
      <w:r>
        <w:rPr>
          <w:rFonts w:ascii="Garamond" w:eastAsia="Garamond" w:hAnsi="Garamond" w:cs="Garamond"/>
          <w:sz w:val="20"/>
        </w:rPr>
        <w:t>.</w:t>
      </w:r>
    </w:p>
    <w:p w:rsidR="0009028B" w:rsidRDefault="002A6AB4">
      <w:pPr>
        <w:spacing w:after="246" w:line="270" w:lineRule="auto"/>
        <w:ind w:left="-15" w:firstLine="199"/>
        <w:jc w:val="both"/>
      </w:pPr>
      <w:r>
        <w:rPr>
          <w:rFonts w:ascii="Garamond" w:eastAsia="Garamond" w:hAnsi="Garamond" w:cs="Garamond"/>
          <w:sz w:val="20"/>
        </w:rPr>
        <w:t>Local cutaneous reactions were observed frequentl</w:t>
      </w:r>
      <w:r>
        <w:rPr>
          <w:rFonts w:ascii="Garamond" w:eastAsia="Garamond" w:hAnsi="Garamond" w:cs="Garamond"/>
          <w:sz w:val="20"/>
        </w:rPr>
        <w:t>y in the SABRINA study participants. In general, these were mild and self-limiting, with injection erythema in 11%, injection pain in 5% and injection site pruritis in 6%. Severe, grade 3 or greater side effects were similarly prevalent in the subcutaneous</w:t>
      </w:r>
      <w:r>
        <w:rPr>
          <w:rFonts w:ascii="Garamond" w:eastAsia="Garamond" w:hAnsi="Garamond" w:cs="Garamond"/>
          <w:sz w:val="20"/>
        </w:rPr>
        <w:t xml:space="preserve"> and intravenous treatment groups at 21 and 26%, respectively </w:t>
      </w:r>
      <w:r>
        <w:rPr>
          <w:rFonts w:ascii="Garamond" w:eastAsia="Garamond" w:hAnsi="Garamond" w:cs="Garamond"/>
          <w:sz w:val="14"/>
        </w:rPr>
        <w:t>[29]</w:t>
      </w:r>
      <w:r>
        <w:rPr>
          <w:rFonts w:ascii="Garamond" w:eastAsia="Garamond" w:hAnsi="Garamond" w:cs="Garamond"/>
          <w:sz w:val="20"/>
        </w:rPr>
        <w:t>. There was no apparent difference in the immunogenicity of rituximab based upon assessment of human antichimeric antibodies and human antihuman antibodies between the two routes of administ</w:t>
      </w:r>
      <w:r>
        <w:rPr>
          <w:rFonts w:ascii="Garamond" w:eastAsia="Garamond" w:hAnsi="Garamond" w:cs="Garamond"/>
          <w:sz w:val="20"/>
        </w:rPr>
        <w:t xml:space="preserve">ration </w:t>
      </w:r>
      <w:r>
        <w:rPr>
          <w:rFonts w:ascii="Garamond" w:eastAsia="Garamond" w:hAnsi="Garamond" w:cs="Garamond"/>
          <w:sz w:val="14"/>
        </w:rPr>
        <w:t>[30]</w:t>
      </w:r>
      <w:r>
        <w:rPr>
          <w:rFonts w:ascii="Garamond" w:eastAsia="Garamond" w:hAnsi="Garamond" w:cs="Garamond"/>
          <w:sz w:val="20"/>
        </w:rPr>
        <w:t>.</w:t>
      </w:r>
    </w:p>
    <w:p w:rsidR="0009028B" w:rsidRDefault="002A6AB4">
      <w:pPr>
        <w:pStyle w:val="Heading1"/>
        <w:ind w:left="-5"/>
      </w:pPr>
      <w:r>
        <w:t>Benefits of subcutaneous administration</w:t>
      </w:r>
    </w:p>
    <w:p w:rsidR="0009028B" w:rsidRDefault="002A6AB4">
      <w:pPr>
        <w:spacing w:after="4" w:line="270" w:lineRule="auto"/>
        <w:ind w:left="-5" w:hanging="10"/>
        <w:jc w:val="both"/>
      </w:pPr>
      <w:r>
        <w:rPr>
          <w:rFonts w:ascii="Garamond" w:eastAsia="Garamond" w:hAnsi="Garamond" w:cs="Garamond"/>
          <w:sz w:val="20"/>
        </w:rPr>
        <w:t>Administration of anticancer treatment is a time and labor intense process, placing a high burden on patients, relatives and healthcare infrastructures. A move to subcutaneous treatment with rituximab ha</w:t>
      </w:r>
      <w:r>
        <w:rPr>
          <w:rFonts w:ascii="Garamond" w:eastAsia="Garamond" w:hAnsi="Garamond" w:cs="Garamond"/>
          <w:sz w:val="20"/>
        </w:rPr>
        <w:t>d been expected to reduce the treatment burden and be preferable to patients in a similar manner to sc. trastuzumab administration, and so this has been born out in practice.</w:t>
      </w:r>
    </w:p>
    <w:p w:rsidR="0009028B" w:rsidRDefault="002A6AB4">
      <w:pPr>
        <w:spacing w:after="4" w:line="270" w:lineRule="auto"/>
        <w:ind w:left="-15" w:firstLine="199"/>
        <w:jc w:val="both"/>
      </w:pPr>
      <w:r>
        <w:rPr>
          <w:rFonts w:ascii="Garamond" w:eastAsia="Garamond" w:hAnsi="Garamond" w:cs="Garamond"/>
          <w:sz w:val="20"/>
        </w:rPr>
        <w:t>In the prospective, open-label, randomized crossover PrefMab study, investigating</w:t>
      </w:r>
      <w:r>
        <w:rPr>
          <w:rFonts w:ascii="Garamond" w:eastAsia="Garamond" w:hAnsi="Garamond" w:cs="Garamond"/>
          <w:sz w:val="20"/>
        </w:rPr>
        <w:t xml:space="preserve"> patient preference for either iv. or sc. rituximab, a strong preference was expressed for subcutaneous treatment. The reasons for this were predominantly reduced clinic time, improved comfort and reduction in emotional distress caused by treatment. Higher</w:t>
      </w:r>
      <w:r>
        <w:rPr>
          <w:rFonts w:ascii="Garamond" w:eastAsia="Garamond" w:hAnsi="Garamond" w:cs="Garamond"/>
          <w:sz w:val="20"/>
        </w:rPr>
        <w:t xml:space="preserve"> satisfaction scores were attained in the rituximab-specific treatment satisfaction score when subcutaneous administration was compared with intravenous, with improved convenience being especially highlighted, as well as lower impact on activities of daily</w:t>
      </w:r>
      <w:r>
        <w:rPr>
          <w:rFonts w:ascii="Garamond" w:eastAsia="Garamond" w:hAnsi="Garamond" w:cs="Garamond"/>
          <w:sz w:val="20"/>
        </w:rPr>
        <w:t xml:space="preserve"> living </w:t>
      </w:r>
      <w:r>
        <w:rPr>
          <w:rFonts w:ascii="Garamond" w:eastAsia="Garamond" w:hAnsi="Garamond" w:cs="Garamond"/>
          <w:sz w:val="14"/>
        </w:rPr>
        <w:t>[34</w:t>
      </w:r>
      <w:r>
        <w:rPr>
          <w:rFonts w:ascii="Garamond" w:eastAsia="Garamond" w:hAnsi="Garamond" w:cs="Garamond"/>
          <w:sz w:val="20"/>
        </w:rPr>
        <w:t>,</w:t>
      </w:r>
      <w:r>
        <w:rPr>
          <w:rFonts w:ascii="Garamond" w:eastAsia="Garamond" w:hAnsi="Garamond" w:cs="Garamond"/>
          <w:sz w:val="14"/>
        </w:rPr>
        <w:t>36]</w:t>
      </w:r>
      <w:r>
        <w:rPr>
          <w:rFonts w:ascii="Garamond" w:eastAsia="Garamond" w:hAnsi="Garamond" w:cs="Garamond"/>
          <w:sz w:val="20"/>
        </w:rPr>
        <w:t>. These results were replicated in the MabEase and MabCute studies with a high degree of preference for subcutaneous dosing. Of note, the PrefMab study demonstrated a similarity in the ‘psychological impact’ between intravenous and subcutane</w:t>
      </w:r>
      <w:r>
        <w:rPr>
          <w:rFonts w:ascii="Garamond" w:eastAsia="Garamond" w:hAnsi="Garamond" w:cs="Garamond"/>
          <w:sz w:val="20"/>
        </w:rPr>
        <w:t xml:space="preserve">ous treatment </w:t>
      </w:r>
      <w:r>
        <w:rPr>
          <w:rFonts w:ascii="Garamond" w:eastAsia="Garamond" w:hAnsi="Garamond" w:cs="Garamond"/>
          <w:sz w:val="14"/>
        </w:rPr>
        <w:t>[33–34</w:t>
      </w:r>
      <w:r>
        <w:rPr>
          <w:rFonts w:ascii="Garamond" w:eastAsia="Garamond" w:hAnsi="Garamond" w:cs="Garamond"/>
          <w:sz w:val="20"/>
        </w:rPr>
        <w:t>,</w:t>
      </w:r>
      <w:r>
        <w:rPr>
          <w:rFonts w:ascii="Garamond" w:eastAsia="Garamond" w:hAnsi="Garamond" w:cs="Garamond"/>
          <w:sz w:val="14"/>
        </w:rPr>
        <w:t>36]</w:t>
      </w:r>
      <w:r>
        <w:rPr>
          <w:rFonts w:ascii="Garamond" w:eastAsia="Garamond" w:hAnsi="Garamond" w:cs="Garamond"/>
          <w:sz w:val="20"/>
        </w:rPr>
        <w:t>. It was felt that the shorter administration times were countered by the feeling of prolonged supervision and contact with healthcare workers. However, the MabEase study demonstrated no difference in the amount of time healthcare p</w:t>
      </w:r>
      <w:r>
        <w:rPr>
          <w:rFonts w:ascii="Garamond" w:eastAsia="Garamond" w:hAnsi="Garamond" w:cs="Garamond"/>
          <w:sz w:val="20"/>
        </w:rPr>
        <w:t xml:space="preserve">rofessionals were available to patients, rather just an extended amount of time attached to an intravenous infusion </w:t>
      </w:r>
      <w:r>
        <w:rPr>
          <w:rFonts w:ascii="Garamond" w:eastAsia="Garamond" w:hAnsi="Garamond" w:cs="Garamond"/>
          <w:sz w:val="14"/>
        </w:rPr>
        <w:t>[33]</w:t>
      </w:r>
      <w:r>
        <w:rPr>
          <w:rFonts w:ascii="Garamond" w:eastAsia="Garamond" w:hAnsi="Garamond" w:cs="Garamond"/>
          <w:sz w:val="20"/>
        </w:rPr>
        <w:t>.</w:t>
      </w:r>
    </w:p>
    <w:p w:rsidR="0009028B" w:rsidRDefault="002A6AB4">
      <w:pPr>
        <w:spacing w:after="4" w:line="270" w:lineRule="auto"/>
        <w:ind w:left="-15" w:firstLine="199"/>
        <w:jc w:val="both"/>
      </w:pPr>
      <w:r>
        <w:rPr>
          <w:rFonts w:ascii="Garamond" w:eastAsia="Garamond" w:hAnsi="Garamond" w:cs="Garamond"/>
          <w:sz w:val="20"/>
        </w:rPr>
        <w:t>As well as improving the patient experience through subcutaneous administration, a number of time and motion studies have demonstrated</w:t>
      </w:r>
      <w:r>
        <w:rPr>
          <w:rFonts w:ascii="Garamond" w:eastAsia="Garamond" w:hAnsi="Garamond" w:cs="Garamond"/>
          <w:sz w:val="20"/>
        </w:rPr>
        <w:t xml:space="preserve"> significant reductions in time spent by healthcare professionals in drug preparation and administration, as well as time spent by patients in the treatment room. This adds up to substantial saving in human resource and other costs associated with rituxima</w:t>
      </w:r>
      <w:r>
        <w:rPr>
          <w:rFonts w:ascii="Garamond" w:eastAsia="Garamond" w:hAnsi="Garamond" w:cs="Garamond"/>
          <w:sz w:val="20"/>
        </w:rPr>
        <w:t xml:space="preserve">b administration </w:t>
      </w:r>
      <w:r>
        <w:rPr>
          <w:rFonts w:ascii="Garamond" w:eastAsia="Garamond" w:hAnsi="Garamond" w:cs="Garamond"/>
          <w:sz w:val="14"/>
        </w:rPr>
        <w:t>[12–13</w:t>
      </w:r>
      <w:r>
        <w:rPr>
          <w:rFonts w:ascii="Garamond" w:eastAsia="Garamond" w:hAnsi="Garamond" w:cs="Garamond"/>
          <w:sz w:val="20"/>
        </w:rPr>
        <w:t>,</w:t>
      </w:r>
      <w:r>
        <w:rPr>
          <w:rFonts w:ascii="Garamond" w:eastAsia="Garamond" w:hAnsi="Garamond" w:cs="Garamond"/>
          <w:sz w:val="14"/>
        </w:rPr>
        <w:t>32</w:t>
      </w:r>
      <w:r>
        <w:rPr>
          <w:rFonts w:ascii="Garamond" w:eastAsia="Garamond" w:hAnsi="Garamond" w:cs="Garamond"/>
          <w:sz w:val="20"/>
        </w:rPr>
        <w:t>,</w:t>
      </w:r>
      <w:r>
        <w:rPr>
          <w:rFonts w:ascii="Garamond" w:eastAsia="Garamond" w:hAnsi="Garamond" w:cs="Garamond"/>
          <w:sz w:val="14"/>
        </w:rPr>
        <w:t>37]</w:t>
      </w:r>
      <w:r>
        <w:rPr>
          <w:rFonts w:ascii="Garamond" w:eastAsia="Garamond" w:hAnsi="Garamond" w:cs="Garamond"/>
          <w:sz w:val="20"/>
        </w:rPr>
        <w:t>. Direct observation during the MabCute study demonstrated a reduction in the active healthcare professional time dedicated to the drug preparation and delivery from 23.7 to 35.0 min. This was accompanied by a substantial fall</w:t>
      </w:r>
      <w:r>
        <w:rPr>
          <w:rFonts w:ascii="Garamond" w:eastAsia="Garamond" w:hAnsi="Garamond" w:cs="Garamond"/>
          <w:sz w:val="20"/>
        </w:rPr>
        <w:t xml:space="preserve"> in the patient chair time within the treatment room, dropping from a mean of 262 to 67 min </w:t>
      </w:r>
      <w:r>
        <w:rPr>
          <w:rFonts w:ascii="Garamond" w:eastAsia="Garamond" w:hAnsi="Garamond" w:cs="Garamond"/>
          <w:sz w:val="14"/>
        </w:rPr>
        <w:t>[37]</w:t>
      </w:r>
      <w:r>
        <w:rPr>
          <w:rFonts w:ascii="Garamond" w:eastAsia="Garamond" w:hAnsi="Garamond" w:cs="Garamond"/>
          <w:sz w:val="20"/>
        </w:rPr>
        <w:t>. The authors have suggested that such time savings could result in 3.5 patients being treated via the subcutaneous route for every one intravenously. This will</w:t>
      </w:r>
      <w:r>
        <w:rPr>
          <w:rFonts w:ascii="Garamond" w:eastAsia="Garamond" w:hAnsi="Garamond" w:cs="Garamond"/>
          <w:sz w:val="20"/>
        </w:rPr>
        <w:t xml:space="preserve"> have significant impact on all healthcare providers, but especially those in a resource limited setting.</w:t>
      </w:r>
    </w:p>
    <w:p w:rsidR="0009028B" w:rsidRDefault="002A6AB4">
      <w:pPr>
        <w:spacing w:after="345" w:line="270" w:lineRule="auto"/>
        <w:ind w:left="-15" w:firstLine="199"/>
        <w:jc w:val="both"/>
      </w:pPr>
      <w:r>
        <w:rPr>
          <w:rFonts w:ascii="Garamond" w:eastAsia="Garamond" w:hAnsi="Garamond" w:cs="Garamond"/>
          <w:sz w:val="20"/>
        </w:rPr>
        <w:t>It is not only in the treatment room that potential cost saving can be seen. Significant reductions are also noted in pharmacy preparation time with a</w:t>
      </w:r>
      <w:r>
        <w:rPr>
          <w:rFonts w:ascii="Garamond" w:eastAsia="Garamond" w:hAnsi="Garamond" w:cs="Garamond"/>
          <w:sz w:val="20"/>
        </w:rPr>
        <w:t xml:space="preserve"> switch to flat dosing as well as reductions in waste of the expensive compounds </w:t>
      </w:r>
      <w:r>
        <w:rPr>
          <w:rFonts w:ascii="Garamond" w:eastAsia="Garamond" w:hAnsi="Garamond" w:cs="Garamond"/>
          <w:sz w:val="14"/>
        </w:rPr>
        <w:t>[13]</w:t>
      </w:r>
      <w:r>
        <w:rPr>
          <w:rFonts w:ascii="Garamond" w:eastAsia="Garamond" w:hAnsi="Garamond" w:cs="Garamond"/>
          <w:sz w:val="20"/>
        </w:rPr>
        <w:t>.</w:t>
      </w:r>
    </w:p>
    <w:p w:rsidR="0009028B" w:rsidRDefault="002A6AB4">
      <w:pPr>
        <w:pStyle w:val="Heading1"/>
        <w:ind w:left="-5"/>
      </w:pPr>
      <w:r>
        <w:t>Conclusion</w:t>
      </w:r>
    </w:p>
    <w:p w:rsidR="0009028B" w:rsidRDefault="002A6AB4">
      <w:pPr>
        <w:spacing w:after="149" w:line="270" w:lineRule="auto"/>
        <w:ind w:left="-5" w:hanging="10"/>
        <w:jc w:val="both"/>
      </w:pPr>
      <w:r>
        <w:rPr>
          <w:rFonts w:ascii="Garamond" w:eastAsia="Garamond" w:hAnsi="Garamond" w:cs="Garamond"/>
          <w:sz w:val="20"/>
        </w:rPr>
        <w:t>Rituximab has become an indispensable component of the treatment for non-Hodgkin lymphoma and CLL over the past two decades. Intravenous administration is ass</w:t>
      </w:r>
      <w:r>
        <w:rPr>
          <w:rFonts w:ascii="Garamond" w:eastAsia="Garamond" w:hAnsi="Garamond" w:cs="Garamond"/>
          <w:sz w:val="20"/>
        </w:rPr>
        <w:t>ociated with prolonged treatment times placing a burden on health services as well as patients. A concentrated formulation for subcutaneous administration has been developed in combination with recombinant human hyaluronidase. This has allowed more rapid d</w:t>
      </w:r>
      <w:r>
        <w:rPr>
          <w:rFonts w:ascii="Garamond" w:eastAsia="Garamond" w:hAnsi="Garamond" w:cs="Garamond"/>
          <w:sz w:val="20"/>
        </w:rPr>
        <w:t>elivery of rituximab without significant increase in adverse effects and has been demonstrated to achieve similar C</w:t>
      </w:r>
      <w:r>
        <w:rPr>
          <w:rFonts w:ascii="Garamond" w:eastAsia="Garamond" w:hAnsi="Garamond" w:cs="Garamond"/>
          <w:sz w:val="20"/>
          <w:vertAlign w:val="subscript"/>
        </w:rPr>
        <w:t xml:space="preserve">trough </w:t>
      </w:r>
      <w:r>
        <w:rPr>
          <w:rFonts w:ascii="Garamond" w:eastAsia="Garamond" w:hAnsi="Garamond" w:cs="Garamond"/>
          <w:sz w:val="20"/>
        </w:rPr>
        <w:t xml:space="preserve">levels when administered at a flat dose across a range of individuals. In addition to PK noninferiority, sc. rituximab administration </w:t>
      </w:r>
      <w:r>
        <w:rPr>
          <w:rFonts w:ascii="Garamond" w:eastAsia="Garamond" w:hAnsi="Garamond" w:cs="Garamond"/>
          <w:sz w:val="20"/>
        </w:rPr>
        <w:t>has been demonstrated to be equally efficacious to intravenous treatment in large and ongoing Phase III studies examining its use in FL, DLBCL and CLL. Treatment by this method has been proven to be tolerable and even preferable to patients as well as deli</w:t>
      </w:r>
      <w:r>
        <w:rPr>
          <w:rFonts w:ascii="Garamond" w:eastAsia="Garamond" w:hAnsi="Garamond" w:cs="Garamond"/>
          <w:sz w:val="20"/>
        </w:rPr>
        <w:t>vering cost and time savings to healthcare providers.</w:t>
      </w:r>
    </w:p>
    <w:tbl>
      <w:tblPr>
        <w:tblStyle w:val="TableGrid"/>
        <w:tblW w:w="8721" w:type="dxa"/>
        <w:tblInd w:w="5" w:type="dxa"/>
        <w:tblCellMar>
          <w:top w:w="83" w:type="dxa"/>
          <w:left w:w="63" w:type="dxa"/>
          <w:bottom w:w="0" w:type="dxa"/>
          <w:right w:w="67" w:type="dxa"/>
        </w:tblCellMar>
        <w:tblLook w:val="04A0" w:firstRow="1" w:lastRow="0" w:firstColumn="1" w:lastColumn="0" w:noHBand="0" w:noVBand="1"/>
      </w:tblPr>
      <w:tblGrid>
        <w:gridCol w:w="8721"/>
      </w:tblGrid>
      <w:tr w:rsidR="0009028B">
        <w:trPr>
          <w:trHeight w:val="300"/>
        </w:trPr>
        <w:tc>
          <w:tcPr>
            <w:tcW w:w="8721" w:type="dxa"/>
            <w:tcBorders>
              <w:top w:val="single" w:sz="3" w:space="0" w:color="243188"/>
              <w:left w:val="single" w:sz="3" w:space="0" w:color="243188"/>
              <w:bottom w:val="nil"/>
              <w:right w:val="single" w:sz="3" w:space="0" w:color="243188"/>
            </w:tcBorders>
            <w:shd w:val="clear" w:color="auto" w:fill="243188"/>
          </w:tcPr>
          <w:p w:rsidR="0009028B" w:rsidRDefault="002A6AB4">
            <w:pPr>
              <w:spacing w:after="0"/>
            </w:pPr>
            <w:r>
              <w:rPr>
                <w:color w:val="FFFFFF"/>
                <w:sz w:val="18"/>
              </w:rPr>
              <w:t>Executive summary</w:t>
            </w:r>
          </w:p>
        </w:tc>
      </w:tr>
      <w:tr w:rsidR="0009028B">
        <w:trPr>
          <w:trHeight w:val="7960"/>
        </w:trPr>
        <w:tc>
          <w:tcPr>
            <w:tcW w:w="8721" w:type="dxa"/>
            <w:tcBorders>
              <w:top w:val="nil"/>
              <w:left w:val="single" w:sz="3" w:space="0" w:color="243188"/>
              <w:bottom w:val="single" w:sz="3" w:space="0" w:color="243188"/>
              <w:right w:val="single" w:sz="3" w:space="0" w:color="243188"/>
            </w:tcBorders>
          </w:tcPr>
          <w:p w:rsidR="0009028B" w:rsidRDefault="002A6AB4">
            <w:pPr>
              <w:spacing w:after="50"/>
            </w:pPr>
            <w:r>
              <w:rPr>
                <w:b/>
                <w:color w:val="211F1F"/>
                <w:sz w:val="16"/>
              </w:rPr>
              <w:lastRenderedPageBreak/>
              <w:t>Background</w:t>
            </w:r>
          </w:p>
          <w:p w:rsidR="0009028B" w:rsidRDefault="002A6AB4">
            <w:pPr>
              <w:spacing w:after="43" w:line="293" w:lineRule="auto"/>
              <w:ind w:left="185" w:hanging="145"/>
            </w:pPr>
            <w:r>
              <w:rPr>
                <w:color w:val="243188"/>
                <w:sz w:val="25"/>
                <w:vertAlign w:val="superscript"/>
              </w:rPr>
              <w:t xml:space="preserve"> </w:t>
            </w:r>
            <w:r>
              <w:rPr>
                <w:color w:val="211F1F"/>
                <w:sz w:val="16"/>
              </w:rPr>
              <w:t>Rituximab, an anti-CD20 human/murine chimeric monoclonal antibody, is the first therapeutic anticancer antibody to enter clinical practice.</w:t>
            </w:r>
          </w:p>
          <w:p w:rsidR="0009028B" w:rsidRDefault="002A6AB4">
            <w:pPr>
              <w:spacing w:after="25" w:line="316" w:lineRule="auto"/>
              <w:ind w:left="185" w:hanging="145"/>
            </w:pPr>
            <w:r>
              <w:rPr>
                <w:color w:val="243188"/>
                <w:sz w:val="25"/>
                <w:vertAlign w:val="superscript"/>
              </w:rPr>
              <w:t xml:space="preserve"> </w:t>
            </w:r>
            <w:r>
              <w:rPr>
                <w:color w:val="211F1F"/>
                <w:sz w:val="16"/>
              </w:rPr>
              <w:t>Licensed for use as a single agent or in combination with chemotherapy in the treatment of non-Hodgkin lymphoma and chronic lymphocytic leukemia.</w:t>
            </w:r>
          </w:p>
          <w:p w:rsidR="0009028B" w:rsidRDefault="002A6AB4">
            <w:pPr>
              <w:spacing w:after="25" w:line="316" w:lineRule="auto"/>
              <w:ind w:left="185" w:hanging="145"/>
            </w:pPr>
            <w:r>
              <w:rPr>
                <w:color w:val="243188"/>
                <w:sz w:val="25"/>
                <w:vertAlign w:val="superscript"/>
              </w:rPr>
              <w:t xml:space="preserve"> </w:t>
            </w:r>
            <w:r>
              <w:rPr>
                <w:color w:val="211F1F"/>
                <w:sz w:val="16"/>
              </w:rPr>
              <w:t>Initially developed for intravenous infusion, administration times can be prolonged and associated with infus</w:t>
            </w:r>
            <w:r>
              <w:rPr>
                <w:color w:val="211F1F"/>
                <w:sz w:val="16"/>
              </w:rPr>
              <w:t>ion-related reactions.</w:t>
            </w:r>
          </w:p>
          <w:p w:rsidR="0009028B" w:rsidRDefault="002A6AB4">
            <w:pPr>
              <w:spacing w:after="43" w:line="316" w:lineRule="auto"/>
              <w:ind w:left="185" w:hanging="145"/>
            </w:pPr>
            <w:r>
              <w:rPr>
                <w:color w:val="243188"/>
                <w:sz w:val="25"/>
                <w:vertAlign w:val="superscript"/>
              </w:rPr>
              <w:t xml:space="preserve"> </w:t>
            </w:r>
            <w:r>
              <w:rPr>
                <w:color w:val="211F1F"/>
                <w:sz w:val="16"/>
              </w:rPr>
              <w:t>Successful development of subcutaneous (sc.) administration of trastuzumab with the use of recombinant human hyaluronidase (rHuPH20) has been shown to be cost-effective and increasingly preferable to patients.</w:t>
            </w:r>
          </w:p>
          <w:p w:rsidR="0009028B" w:rsidRDefault="002A6AB4">
            <w:pPr>
              <w:spacing w:after="0" w:line="293" w:lineRule="auto"/>
              <w:ind w:left="185" w:hanging="145"/>
            </w:pPr>
            <w:r>
              <w:rPr>
                <w:color w:val="243188"/>
                <w:sz w:val="25"/>
                <w:vertAlign w:val="superscript"/>
              </w:rPr>
              <w:t xml:space="preserve"> </w:t>
            </w:r>
            <w:r>
              <w:rPr>
                <w:color w:val="211F1F"/>
                <w:sz w:val="16"/>
              </w:rPr>
              <w:t>Concentrated formulat</w:t>
            </w:r>
            <w:r>
              <w:rPr>
                <w:color w:val="211F1F"/>
                <w:sz w:val="16"/>
              </w:rPr>
              <w:t>ion of rituximab (120 mg/ml) with rHuPH20 has been developed for use in a coordinated development program.</w:t>
            </w:r>
          </w:p>
          <w:p w:rsidR="0009028B" w:rsidRDefault="002A6AB4">
            <w:pPr>
              <w:spacing w:after="19"/>
            </w:pPr>
            <w:r>
              <w:rPr>
                <w:b/>
                <w:color w:val="211F1F"/>
                <w:sz w:val="16"/>
              </w:rPr>
              <w:t>Pharmacology</w:t>
            </w:r>
          </w:p>
          <w:p w:rsidR="0009028B" w:rsidRDefault="002A6AB4">
            <w:pPr>
              <w:spacing w:after="65"/>
            </w:pPr>
            <w:r>
              <w:rPr>
                <w:b/>
                <w:color w:val="211F1F"/>
                <w:sz w:val="16"/>
              </w:rPr>
              <w:t>Preclinical &amp; dose-finding studies</w:t>
            </w:r>
          </w:p>
          <w:p w:rsidR="0009028B" w:rsidRDefault="002A6AB4">
            <w:pPr>
              <w:spacing w:after="71" w:line="304" w:lineRule="auto"/>
              <w:ind w:left="185" w:hanging="145"/>
            </w:pPr>
            <w:r>
              <w:rPr>
                <w:color w:val="243188"/>
                <w:sz w:val="25"/>
                <w:vertAlign w:val="superscript"/>
              </w:rPr>
              <w:t xml:space="preserve"> </w:t>
            </w:r>
            <w:r>
              <w:rPr>
                <w:color w:val="211F1F"/>
                <w:sz w:val="16"/>
              </w:rPr>
              <w:t>Rituximab serum trough concentration (C</w:t>
            </w:r>
            <w:r>
              <w:rPr>
                <w:color w:val="211F1F"/>
                <w:sz w:val="16"/>
                <w:vertAlign w:val="subscript"/>
              </w:rPr>
              <w:t>trough</w:t>
            </w:r>
            <w:r>
              <w:rPr>
                <w:color w:val="211F1F"/>
                <w:sz w:val="16"/>
              </w:rPr>
              <w:t>) considered suitable marker for pharmacokinetic (PK) bridging studies.</w:t>
            </w:r>
          </w:p>
          <w:p w:rsidR="0009028B" w:rsidRDefault="002A6AB4">
            <w:pPr>
              <w:spacing w:after="67" w:line="303" w:lineRule="auto"/>
              <w:ind w:left="185" w:hanging="145"/>
            </w:pPr>
            <w:r>
              <w:rPr>
                <w:color w:val="243188"/>
                <w:sz w:val="25"/>
                <w:vertAlign w:val="superscript"/>
              </w:rPr>
              <w:t xml:space="preserve"> </w:t>
            </w:r>
            <w:r>
              <w:rPr>
                <w:color w:val="211F1F"/>
                <w:sz w:val="16"/>
              </w:rPr>
              <w:t>C</w:t>
            </w:r>
            <w:r>
              <w:rPr>
                <w:color w:val="211F1F"/>
                <w:sz w:val="16"/>
                <w:vertAlign w:val="subscript"/>
              </w:rPr>
              <w:t xml:space="preserve">trough </w:t>
            </w:r>
            <w:r>
              <w:rPr>
                <w:color w:val="211F1F"/>
                <w:sz w:val="16"/>
              </w:rPr>
              <w:t>along with estimation of area under the concentration over time curve has been shown to correlate with disease response in follicular lymphoma.</w:t>
            </w:r>
          </w:p>
          <w:p w:rsidR="0009028B" w:rsidRDefault="002A6AB4">
            <w:pPr>
              <w:spacing w:after="0" w:line="310" w:lineRule="auto"/>
              <w:ind w:left="185" w:hanging="145"/>
            </w:pPr>
            <w:r>
              <w:rPr>
                <w:color w:val="243188"/>
                <w:sz w:val="25"/>
                <w:vertAlign w:val="superscript"/>
              </w:rPr>
              <w:t xml:space="preserve"> </w:t>
            </w:r>
            <w:r>
              <w:rPr>
                <w:color w:val="211F1F"/>
                <w:sz w:val="16"/>
              </w:rPr>
              <w:t>Fixed dose of 1400 mg sc. ritu</w:t>
            </w:r>
            <w:r>
              <w:rPr>
                <w:color w:val="211F1F"/>
                <w:sz w:val="16"/>
              </w:rPr>
              <w:t>ximab demonstrated to have noninferior C</w:t>
            </w:r>
            <w:r>
              <w:rPr>
                <w:color w:val="211F1F"/>
                <w:sz w:val="16"/>
                <w:vertAlign w:val="subscript"/>
              </w:rPr>
              <w:t xml:space="preserve">trough </w:t>
            </w:r>
            <w:r>
              <w:rPr>
                <w:color w:val="211F1F"/>
                <w:sz w:val="16"/>
              </w:rPr>
              <w:t>level to 375 mg/m</w:t>
            </w:r>
            <w:r>
              <w:rPr>
                <w:color w:val="211F1F"/>
                <w:sz w:val="16"/>
                <w:vertAlign w:val="superscript"/>
              </w:rPr>
              <w:t xml:space="preserve">2 </w:t>
            </w:r>
            <w:r>
              <w:rPr>
                <w:color w:val="211F1F"/>
                <w:sz w:val="16"/>
              </w:rPr>
              <w:t>three weekly administration in SparkThera study and confirmed in part 1 of SABRINA study.</w:t>
            </w:r>
          </w:p>
          <w:p w:rsidR="0009028B" w:rsidRDefault="002A6AB4">
            <w:pPr>
              <w:spacing w:after="31"/>
            </w:pPr>
            <w:r>
              <w:rPr>
                <w:b/>
                <w:color w:val="211F1F"/>
                <w:sz w:val="16"/>
              </w:rPr>
              <w:t>Dose confirmation &amp; efficacy studies</w:t>
            </w:r>
          </w:p>
          <w:p w:rsidR="0009028B" w:rsidRDefault="002A6AB4">
            <w:pPr>
              <w:spacing w:after="25" w:line="316" w:lineRule="auto"/>
              <w:ind w:left="185" w:hanging="145"/>
            </w:pPr>
            <w:r>
              <w:rPr>
                <w:color w:val="243188"/>
                <w:sz w:val="25"/>
                <w:vertAlign w:val="superscript"/>
              </w:rPr>
              <w:t xml:space="preserve"> </w:t>
            </w:r>
            <w:r>
              <w:rPr>
                <w:color w:val="211F1F"/>
                <w:sz w:val="16"/>
              </w:rPr>
              <w:t>Noninferior PK profile of sc. rituximab when used to treat fol</w:t>
            </w:r>
            <w:r>
              <w:rPr>
                <w:color w:val="211F1F"/>
                <w:sz w:val="16"/>
              </w:rPr>
              <w:t>licular lymphoma confirmed in SABRINA study. Equivalent clinical outcomes demonstrated.</w:t>
            </w:r>
          </w:p>
          <w:p w:rsidR="0009028B" w:rsidRDefault="002A6AB4">
            <w:pPr>
              <w:spacing w:after="30" w:line="334" w:lineRule="auto"/>
              <w:ind w:left="185" w:hanging="145"/>
            </w:pPr>
            <w:r>
              <w:rPr>
                <w:color w:val="243188"/>
                <w:sz w:val="25"/>
                <w:vertAlign w:val="superscript"/>
              </w:rPr>
              <w:t xml:space="preserve"> </w:t>
            </w:r>
            <w:r>
              <w:rPr>
                <w:color w:val="211F1F"/>
                <w:sz w:val="16"/>
              </w:rPr>
              <w:t>SAWYER study demonstrates PK noninferiority of 1600 mg fixed dose of sc. rituximab with intravenous administration at 500 mg/m</w:t>
            </w:r>
            <w:r>
              <w:rPr>
                <w:color w:val="211F1F"/>
                <w:sz w:val="16"/>
                <w:vertAlign w:val="superscript"/>
              </w:rPr>
              <w:t xml:space="preserve">2 </w:t>
            </w:r>
            <w:r>
              <w:rPr>
                <w:color w:val="211F1F"/>
                <w:sz w:val="16"/>
              </w:rPr>
              <w:t>four weekly. Equivalent clinical outcom</w:t>
            </w:r>
            <w:r>
              <w:rPr>
                <w:color w:val="211F1F"/>
                <w:sz w:val="16"/>
              </w:rPr>
              <w:t>e demonstrated.</w:t>
            </w:r>
          </w:p>
          <w:p w:rsidR="0009028B" w:rsidRDefault="002A6AB4">
            <w:pPr>
              <w:spacing w:after="25" w:line="316" w:lineRule="auto"/>
              <w:ind w:left="185" w:hanging="145"/>
            </w:pPr>
            <w:r>
              <w:rPr>
                <w:color w:val="243188"/>
                <w:sz w:val="25"/>
                <w:vertAlign w:val="superscript"/>
              </w:rPr>
              <w:t xml:space="preserve"> </w:t>
            </w:r>
            <w:r>
              <w:rPr>
                <w:color w:val="211F1F"/>
                <w:sz w:val="16"/>
              </w:rPr>
              <w:t>Early results from MabEase study suggests equivalent clinical response with use of sc. rituximab alongside chemotherapy in the treatment of diffuse large B-cell lymphoma.</w:t>
            </w:r>
          </w:p>
          <w:p w:rsidR="0009028B" w:rsidRDefault="002A6AB4">
            <w:pPr>
              <w:spacing w:after="25" w:line="316" w:lineRule="auto"/>
              <w:ind w:left="185" w:hanging="145"/>
            </w:pPr>
            <w:r>
              <w:rPr>
                <w:color w:val="243188"/>
                <w:sz w:val="25"/>
                <w:vertAlign w:val="superscript"/>
              </w:rPr>
              <w:t xml:space="preserve"> </w:t>
            </w:r>
            <w:r>
              <w:rPr>
                <w:color w:val="211F1F"/>
                <w:sz w:val="16"/>
              </w:rPr>
              <w:t>Strong patient preference for use of sc. rituximab in PrefMab study</w:t>
            </w:r>
            <w:r>
              <w:rPr>
                <w:color w:val="211F1F"/>
                <w:sz w:val="16"/>
              </w:rPr>
              <w:t>. Subcutaneous delivery also associated with decrease in patient treatment time and preparation time.</w:t>
            </w:r>
          </w:p>
          <w:p w:rsidR="0009028B" w:rsidRDefault="002A6AB4">
            <w:pPr>
              <w:spacing w:after="0" w:line="287" w:lineRule="auto"/>
              <w:ind w:left="185" w:hanging="145"/>
            </w:pPr>
            <w:r>
              <w:rPr>
                <w:color w:val="243188"/>
                <w:sz w:val="25"/>
                <w:vertAlign w:val="superscript"/>
              </w:rPr>
              <w:t xml:space="preserve"> </w:t>
            </w:r>
            <w:r>
              <w:rPr>
                <w:color w:val="211F1F"/>
                <w:sz w:val="16"/>
              </w:rPr>
              <w:t>Adverse events are comparable in terms of frequency and severity between subcutaneous and intravenous administration of rituximab across clinical studies. Increase in frequency in local skin reactions at injection sites with subcutaneous administration.</w:t>
            </w:r>
          </w:p>
          <w:p w:rsidR="0009028B" w:rsidRDefault="002A6AB4">
            <w:pPr>
              <w:spacing w:after="31"/>
            </w:pPr>
            <w:r>
              <w:rPr>
                <w:b/>
                <w:color w:val="211F1F"/>
                <w:sz w:val="16"/>
              </w:rPr>
              <w:t>Co</w:t>
            </w:r>
            <w:r>
              <w:rPr>
                <w:b/>
                <w:color w:val="211F1F"/>
                <w:sz w:val="16"/>
              </w:rPr>
              <w:t>nclusion</w:t>
            </w:r>
          </w:p>
          <w:p w:rsidR="0009028B" w:rsidRDefault="002A6AB4">
            <w:pPr>
              <w:spacing w:after="0"/>
              <w:ind w:left="185" w:hanging="145"/>
            </w:pPr>
            <w:r>
              <w:rPr>
                <w:color w:val="243188"/>
                <w:sz w:val="25"/>
                <w:vertAlign w:val="superscript"/>
              </w:rPr>
              <w:t xml:space="preserve"> </w:t>
            </w:r>
            <w:r>
              <w:rPr>
                <w:color w:val="211F1F"/>
                <w:sz w:val="16"/>
              </w:rPr>
              <w:t>Subcutaneous administration of rituximab with rHuPH20 is a safe and effective alternative to intravenous administration in the treatment of non-Hodgkin lymphoma and chronic lymphocytic leukemia. This is preferable to patients and represents a pot</w:t>
            </w:r>
            <w:r>
              <w:rPr>
                <w:color w:val="211F1F"/>
                <w:sz w:val="16"/>
              </w:rPr>
              <w:t>ential for cost saving, particularly in a resource limited setting.</w:t>
            </w:r>
          </w:p>
        </w:tc>
      </w:tr>
    </w:tbl>
    <w:p w:rsidR="0009028B" w:rsidRDefault="002A6AB4">
      <w:pPr>
        <w:spacing w:after="39"/>
      </w:pPr>
      <w:r>
        <w:rPr>
          <w:color w:val="243188"/>
          <w:sz w:val="16"/>
        </w:rPr>
        <w:t>Financial &amp; competing interests disclosure</w:t>
      </w:r>
    </w:p>
    <w:p w:rsidR="0009028B" w:rsidRDefault="002A6AB4">
      <w:pPr>
        <w:spacing w:after="0" w:line="307" w:lineRule="auto"/>
        <w:ind w:left="-5" w:hanging="10"/>
        <w:jc w:val="both"/>
      </w:pPr>
      <w:r>
        <w:rPr>
          <w:sz w:val="16"/>
        </w:rPr>
        <w:t>Dr A Davies has received research funding, honorarium and provided advisory support for several organizations (Celgene, Roche, Gilead, Takeda, C</w:t>
      </w:r>
      <w:r>
        <w:rPr>
          <w:sz w:val="16"/>
        </w:rPr>
        <w:t>TI, Mundipharma, GSK, Bayer, Janssen, Karyopharma, Pfizer and Acerta). The authors have no other relevant affiliations or financial involvement with any organization or entity with a financial interest in or financial conflict with the subject matter or ma</w:t>
      </w:r>
      <w:r>
        <w:rPr>
          <w:sz w:val="16"/>
        </w:rPr>
        <w:t>terials discussed in the manuscript apart from those disclosed.</w:t>
      </w:r>
    </w:p>
    <w:p w:rsidR="0009028B" w:rsidRDefault="002A6AB4">
      <w:pPr>
        <w:spacing w:after="406" w:line="307" w:lineRule="auto"/>
        <w:ind w:left="209" w:hanging="10"/>
        <w:jc w:val="both"/>
      </w:pPr>
      <w:r>
        <w:rPr>
          <w:sz w:val="16"/>
        </w:rPr>
        <w:t>No writing assistance was utilized in the production of this manuscript.</w:t>
      </w:r>
    </w:p>
    <w:p w:rsidR="0009028B" w:rsidRDefault="002A6AB4">
      <w:pPr>
        <w:pStyle w:val="Heading1"/>
        <w:ind w:left="-5"/>
      </w:pPr>
      <w:r>
        <w:t>References</w:t>
      </w:r>
    </w:p>
    <w:p w:rsidR="0009028B" w:rsidRDefault="002A6AB4">
      <w:pPr>
        <w:spacing w:after="169" w:line="289" w:lineRule="auto"/>
        <w:ind w:left="-15"/>
      </w:pPr>
      <w:r>
        <w:rPr>
          <w:rFonts w:ascii="Garamond" w:eastAsia="Garamond" w:hAnsi="Garamond" w:cs="Garamond"/>
          <w:sz w:val="16"/>
        </w:rPr>
        <w:t xml:space="preserve">Papers of special note have been highlighted as: </w:t>
      </w:r>
      <w:r>
        <w:rPr>
          <w:sz w:val="16"/>
        </w:rPr>
        <w:t xml:space="preserve">• </w:t>
      </w:r>
      <w:r>
        <w:rPr>
          <w:rFonts w:ascii="Garamond" w:eastAsia="Garamond" w:hAnsi="Garamond" w:cs="Garamond"/>
          <w:sz w:val="16"/>
        </w:rPr>
        <w:t xml:space="preserve">of interest; </w:t>
      </w:r>
      <w:r>
        <w:rPr>
          <w:sz w:val="16"/>
        </w:rPr>
        <w:t xml:space="preserve">•• </w:t>
      </w:r>
      <w:r>
        <w:rPr>
          <w:rFonts w:ascii="Garamond" w:eastAsia="Garamond" w:hAnsi="Garamond" w:cs="Garamond"/>
          <w:sz w:val="16"/>
        </w:rPr>
        <w:t>of considerable interest</w:t>
      </w:r>
    </w:p>
    <w:p w:rsidR="0009028B" w:rsidRDefault="002A6AB4">
      <w:pPr>
        <w:numPr>
          <w:ilvl w:val="0"/>
          <w:numId w:val="1"/>
        </w:numPr>
        <w:spacing w:after="77" w:line="289" w:lineRule="auto"/>
        <w:ind w:hanging="339"/>
      </w:pPr>
      <w:r>
        <w:rPr>
          <w:rFonts w:ascii="Garamond" w:eastAsia="Garamond" w:hAnsi="Garamond" w:cs="Garamond"/>
          <w:sz w:val="16"/>
        </w:rPr>
        <w:t xml:space="preserve">Coiffier B, Lepage E, Briere J </w:t>
      </w:r>
      <w:r>
        <w:rPr>
          <w:rFonts w:ascii="Garamond" w:eastAsia="Garamond" w:hAnsi="Garamond" w:cs="Garamond"/>
          <w:i/>
          <w:sz w:val="16"/>
        </w:rPr>
        <w:t xml:space="preserve">et al. </w:t>
      </w:r>
      <w:r>
        <w:rPr>
          <w:rFonts w:ascii="Garamond" w:eastAsia="Garamond" w:hAnsi="Garamond" w:cs="Garamond"/>
          <w:sz w:val="16"/>
        </w:rPr>
        <w:t xml:space="preserve">CHOP chemotherapy plus rituximab compared with CHOP alone in elderly patients with diffuse large B-cell lymphoma. </w:t>
      </w:r>
      <w:r>
        <w:rPr>
          <w:rFonts w:ascii="Garamond" w:eastAsia="Garamond" w:hAnsi="Garamond" w:cs="Garamond"/>
          <w:i/>
          <w:sz w:val="16"/>
        </w:rPr>
        <w:t xml:space="preserve">N. Engl. J. Med. </w:t>
      </w:r>
      <w:r>
        <w:rPr>
          <w:rFonts w:ascii="Garamond" w:eastAsia="Garamond" w:hAnsi="Garamond" w:cs="Garamond"/>
          <w:sz w:val="16"/>
        </w:rPr>
        <w:t>346(4), 235–242 (2002).</w:t>
      </w:r>
    </w:p>
    <w:p w:rsidR="0009028B" w:rsidRDefault="002A6AB4">
      <w:pPr>
        <w:numPr>
          <w:ilvl w:val="0"/>
          <w:numId w:val="1"/>
        </w:numPr>
        <w:spacing w:after="77" w:line="289" w:lineRule="auto"/>
        <w:ind w:hanging="339"/>
      </w:pPr>
      <w:r>
        <w:rPr>
          <w:rFonts w:ascii="Garamond" w:eastAsia="Garamond" w:hAnsi="Garamond" w:cs="Garamond"/>
          <w:sz w:val="16"/>
        </w:rPr>
        <w:t xml:space="preserve">Coiffier B, Thieblemont C, Van Den Neste E </w:t>
      </w:r>
      <w:r>
        <w:rPr>
          <w:rFonts w:ascii="Garamond" w:eastAsia="Garamond" w:hAnsi="Garamond" w:cs="Garamond"/>
          <w:i/>
          <w:sz w:val="16"/>
        </w:rPr>
        <w:t xml:space="preserve">et al. </w:t>
      </w:r>
      <w:r>
        <w:rPr>
          <w:rFonts w:ascii="Garamond" w:eastAsia="Garamond" w:hAnsi="Garamond" w:cs="Garamond"/>
          <w:sz w:val="16"/>
        </w:rPr>
        <w:t>Long-term out</w:t>
      </w:r>
      <w:r>
        <w:rPr>
          <w:rFonts w:ascii="Garamond" w:eastAsia="Garamond" w:hAnsi="Garamond" w:cs="Garamond"/>
          <w:sz w:val="16"/>
        </w:rPr>
        <w:t xml:space="preserve">come of patients in the LNH-98. 5 trial, the first randomized study comparing rituximab-CHOP to standard CHOP chemotherapy in DLBCL patients: a study by the Groupe d’Etudes des Lymphomes de l’Adulte. </w:t>
      </w:r>
      <w:r>
        <w:rPr>
          <w:rFonts w:ascii="Garamond" w:eastAsia="Garamond" w:hAnsi="Garamond" w:cs="Garamond"/>
          <w:i/>
          <w:sz w:val="16"/>
        </w:rPr>
        <w:t xml:space="preserve">Blood </w:t>
      </w:r>
      <w:r>
        <w:rPr>
          <w:rFonts w:ascii="Garamond" w:eastAsia="Garamond" w:hAnsi="Garamond" w:cs="Garamond"/>
          <w:sz w:val="16"/>
        </w:rPr>
        <w:t>116(12), 2040–2045 (2010).</w:t>
      </w:r>
    </w:p>
    <w:p w:rsidR="0009028B" w:rsidRDefault="002A6AB4">
      <w:pPr>
        <w:numPr>
          <w:ilvl w:val="0"/>
          <w:numId w:val="1"/>
        </w:numPr>
        <w:spacing w:after="0" w:line="289" w:lineRule="auto"/>
        <w:ind w:hanging="339"/>
      </w:pPr>
      <w:r>
        <w:rPr>
          <w:rFonts w:ascii="Garamond" w:eastAsia="Garamond" w:hAnsi="Garamond" w:cs="Garamond"/>
          <w:sz w:val="16"/>
        </w:rPr>
        <w:t>World Health Organizati</w:t>
      </w:r>
      <w:r>
        <w:rPr>
          <w:rFonts w:ascii="Garamond" w:eastAsia="Garamond" w:hAnsi="Garamond" w:cs="Garamond"/>
          <w:sz w:val="16"/>
        </w:rPr>
        <w:t>on. WHO model list of essential medicines (19th Edition).</w:t>
      </w:r>
    </w:p>
    <w:p w:rsidR="0009028B" w:rsidRDefault="002A6AB4">
      <w:pPr>
        <w:spacing w:after="77" w:line="289" w:lineRule="auto"/>
        <w:ind w:left="339"/>
      </w:pPr>
      <w:r>
        <w:rPr>
          <w:rFonts w:ascii="Garamond" w:eastAsia="Garamond" w:hAnsi="Garamond" w:cs="Garamond"/>
          <w:sz w:val="16"/>
        </w:rPr>
        <w:t>(2015). www.who.int/medicines/publications/essentialmedicines/en/</w:t>
      </w:r>
    </w:p>
    <w:p w:rsidR="0009028B" w:rsidRDefault="002A6AB4">
      <w:pPr>
        <w:numPr>
          <w:ilvl w:val="0"/>
          <w:numId w:val="1"/>
        </w:numPr>
        <w:spacing w:after="77" w:line="289" w:lineRule="auto"/>
        <w:ind w:hanging="339"/>
      </w:pPr>
      <w:r>
        <w:rPr>
          <w:rFonts w:ascii="Garamond" w:eastAsia="Garamond" w:hAnsi="Garamond" w:cs="Garamond"/>
          <w:sz w:val="16"/>
        </w:rPr>
        <w:t xml:space="preserve">Eichhorst B, Robak T, Montserrat E </w:t>
      </w:r>
      <w:r>
        <w:rPr>
          <w:rFonts w:ascii="Garamond" w:eastAsia="Garamond" w:hAnsi="Garamond" w:cs="Garamond"/>
          <w:i/>
          <w:sz w:val="16"/>
        </w:rPr>
        <w:t xml:space="preserve">et al. </w:t>
      </w:r>
      <w:r>
        <w:rPr>
          <w:rFonts w:ascii="Garamond" w:eastAsia="Garamond" w:hAnsi="Garamond" w:cs="Garamond"/>
          <w:sz w:val="16"/>
        </w:rPr>
        <w:t xml:space="preserve">Chronic lymphocytic leukaemia: ESMO Clinical Practice Guidelines for diagnosis, treatment </w:t>
      </w:r>
      <w:r>
        <w:rPr>
          <w:rFonts w:ascii="Garamond" w:eastAsia="Garamond" w:hAnsi="Garamond" w:cs="Garamond"/>
          <w:sz w:val="16"/>
        </w:rPr>
        <w:t xml:space="preserve">and follow-up. </w:t>
      </w:r>
      <w:r>
        <w:rPr>
          <w:rFonts w:ascii="Garamond" w:eastAsia="Garamond" w:hAnsi="Garamond" w:cs="Garamond"/>
          <w:i/>
          <w:sz w:val="16"/>
        </w:rPr>
        <w:t xml:space="preserve">Ann. Oncol. </w:t>
      </w:r>
      <w:r>
        <w:rPr>
          <w:rFonts w:ascii="Garamond" w:eastAsia="Garamond" w:hAnsi="Garamond" w:cs="Garamond"/>
          <w:sz w:val="16"/>
        </w:rPr>
        <w:t>26(Suppl. 5), v78–v84 (2015).</w:t>
      </w:r>
    </w:p>
    <w:p w:rsidR="0009028B" w:rsidRDefault="002A6AB4">
      <w:pPr>
        <w:numPr>
          <w:ilvl w:val="0"/>
          <w:numId w:val="1"/>
        </w:numPr>
        <w:spacing w:after="77" w:line="289" w:lineRule="auto"/>
        <w:ind w:hanging="339"/>
      </w:pPr>
      <w:r>
        <w:rPr>
          <w:rFonts w:ascii="Garamond" w:eastAsia="Garamond" w:hAnsi="Garamond" w:cs="Garamond"/>
          <w:sz w:val="16"/>
        </w:rPr>
        <w:t xml:space="preserve">Tilly H, Gomes da Silva M, Vitolo U </w:t>
      </w:r>
      <w:r>
        <w:rPr>
          <w:rFonts w:ascii="Garamond" w:eastAsia="Garamond" w:hAnsi="Garamond" w:cs="Garamond"/>
          <w:i/>
          <w:sz w:val="16"/>
        </w:rPr>
        <w:t xml:space="preserve">et al. </w:t>
      </w:r>
      <w:r>
        <w:rPr>
          <w:rFonts w:ascii="Garamond" w:eastAsia="Garamond" w:hAnsi="Garamond" w:cs="Garamond"/>
          <w:sz w:val="16"/>
        </w:rPr>
        <w:t xml:space="preserve">Diffuse large B-cell lymphoma (DLBCL): ESMO Clinical Practice Guidelines for diagnosis, treatment and follow-up. </w:t>
      </w:r>
      <w:r>
        <w:rPr>
          <w:rFonts w:ascii="Garamond" w:eastAsia="Garamond" w:hAnsi="Garamond" w:cs="Garamond"/>
          <w:i/>
          <w:sz w:val="16"/>
        </w:rPr>
        <w:t xml:space="preserve">Ann. Oncol. </w:t>
      </w:r>
      <w:r>
        <w:rPr>
          <w:rFonts w:ascii="Garamond" w:eastAsia="Garamond" w:hAnsi="Garamond" w:cs="Garamond"/>
          <w:sz w:val="16"/>
        </w:rPr>
        <w:t>26(Suppl. 5), v116–v125 (2015).</w:t>
      </w:r>
    </w:p>
    <w:p w:rsidR="0009028B" w:rsidRDefault="002A6AB4">
      <w:pPr>
        <w:numPr>
          <w:ilvl w:val="0"/>
          <w:numId w:val="1"/>
        </w:numPr>
        <w:spacing w:after="77" w:line="289" w:lineRule="auto"/>
        <w:ind w:hanging="339"/>
      </w:pPr>
      <w:r>
        <w:rPr>
          <w:rFonts w:ascii="Garamond" w:eastAsia="Garamond" w:hAnsi="Garamond" w:cs="Garamond"/>
          <w:sz w:val="16"/>
        </w:rPr>
        <w:t xml:space="preserve">Dreyling M, Ghielmini M, Rule S </w:t>
      </w:r>
      <w:r>
        <w:rPr>
          <w:rFonts w:ascii="Garamond" w:eastAsia="Garamond" w:hAnsi="Garamond" w:cs="Garamond"/>
          <w:i/>
          <w:sz w:val="16"/>
        </w:rPr>
        <w:t xml:space="preserve">et al. </w:t>
      </w:r>
      <w:r>
        <w:rPr>
          <w:rFonts w:ascii="Garamond" w:eastAsia="Garamond" w:hAnsi="Garamond" w:cs="Garamond"/>
          <w:sz w:val="16"/>
        </w:rPr>
        <w:t xml:space="preserve">Newly diagnosed and relapsed follicular lymphoma: ESMO clinical practice guidelines for diagnosis, treatment and follow-up. </w:t>
      </w:r>
      <w:r>
        <w:rPr>
          <w:rFonts w:ascii="Garamond" w:eastAsia="Garamond" w:hAnsi="Garamond" w:cs="Garamond"/>
          <w:i/>
          <w:sz w:val="16"/>
        </w:rPr>
        <w:t xml:space="preserve">Ann. Oncol. </w:t>
      </w:r>
      <w:r>
        <w:rPr>
          <w:rFonts w:ascii="Garamond" w:eastAsia="Garamond" w:hAnsi="Garamond" w:cs="Garamond"/>
          <w:sz w:val="16"/>
        </w:rPr>
        <w:t>27(Suppl. 5), v83–v90 (2016).</w:t>
      </w:r>
    </w:p>
    <w:p w:rsidR="0009028B" w:rsidRDefault="002A6AB4">
      <w:pPr>
        <w:numPr>
          <w:ilvl w:val="0"/>
          <w:numId w:val="1"/>
        </w:numPr>
        <w:spacing w:after="9" w:line="289" w:lineRule="auto"/>
        <w:ind w:hanging="339"/>
      </w:pPr>
      <w:r>
        <w:rPr>
          <w:rFonts w:ascii="Garamond" w:eastAsia="Garamond" w:hAnsi="Garamond" w:cs="Garamond"/>
          <w:sz w:val="16"/>
        </w:rPr>
        <w:lastRenderedPageBreak/>
        <w:t>European Medicines Agency. Summary of product char</w:t>
      </w:r>
      <w:r>
        <w:rPr>
          <w:rFonts w:ascii="Garamond" w:eastAsia="Garamond" w:hAnsi="Garamond" w:cs="Garamond"/>
          <w:sz w:val="16"/>
        </w:rPr>
        <w:t>acteristics – rituximab. 14–16 (2000).</w:t>
      </w:r>
    </w:p>
    <w:p w:rsidR="0009028B" w:rsidRDefault="002A6AB4">
      <w:pPr>
        <w:spacing w:after="77" w:line="289" w:lineRule="auto"/>
        <w:ind w:left="339"/>
      </w:pPr>
      <w:r>
        <w:rPr>
          <w:rFonts w:ascii="Garamond" w:eastAsia="Garamond" w:hAnsi="Garamond" w:cs="Garamond"/>
          <w:sz w:val="16"/>
        </w:rPr>
        <w:t xml:space="preserve">www.ema.europa.eu/docs/en </w:t>
      </w:r>
      <w:r>
        <w:rPr>
          <w:noProof/>
        </w:rPr>
        <mc:AlternateContent>
          <mc:Choice Requires="wpg">
            <w:drawing>
              <wp:inline distT="0" distB="0" distL="0" distR="0">
                <wp:extent cx="30404" cy="5144"/>
                <wp:effectExtent l="0" t="0" r="0" b="0"/>
                <wp:docPr id="15955" name="Group 15955"/>
                <wp:cNvGraphicFramePr/>
                <a:graphic xmlns:a="http://schemas.openxmlformats.org/drawingml/2006/main">
                  <a:graphicData uri="http://schemas.microsoft.com/office/word/2010/wordprocessingGroup">
                    <wpg:wgp>
                      <wpg:cNvGrpSpPr/>
                      <wpg:grpSpPr>
                        <a:xfrm>
                          <a:off x="0" y="0"/>
                          <a:ext cx="30404" cy="5144"/>
                          <a:chOff x="0" y="0"/>
                          <a:chExt cx="30404" cy="5144"/>
                        </a:xfrm>
                      </wpg:grpSpPr>
                      <wps:wsp>
                        <wps:cNvPr id="1195" name="Shape 1195"/>
                        <wps:cNvSpPr/>
                        <wps:spPr>
                          <a:xfrm>
                            <a:off x="0" y="0"/>
                            <a:ext cx="30404" cy="0"/>
                          </a:xfrm>
                          <a:custGeom>
                            <a:avLst/>
                            <a:gdLst/>
                            <a:ahLst/>
                            <a:cxnLst/>
                            <a:rect l="0" t="0" r="0" b="0"/>
                            <a:pathLst>
                              <a:path w="30404">
                                <a:moveTo>
                                  <a:pt x="0" y="0"/>
                                </a:moveTo>
                                <a:lnTo>
                                  <a:pt x="30404" y="0"/>
                                </a:lnTo>
                              </a:path>
                            </a:pathLst>
                          </a:custGeom>
                          <a:ln w="5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5" style="width:2.394pt;height:0.405pt;mso-position-horizontal-relative:char;mso-position-vertical-relative:line" coordsize="304,51">
                <v:shape id="Shape 1195" style="position:absolute;width:304;height:0;left:0;top:0;" coordsize="30404,0" path="m0,0l30404,0">
                  <v:stroke weight="0.405pt" endcap="flat" joinstyle="miter" miterlimit="10" on="true" color="#000000"/>
                  <v:fill on="false" color="#000000" opacity="0"/>
                </v:shape>
              </v:group>
            </w:pict>
          </mc:Fallback>
        </mc:AlternateContent>
      </w:r>
      <w:r>
        <w:rPr>
          <w:rFonts w:ascii="Garamond" w:eastAsia="Garamond" w:hAnsi="Garamond" w:cs="Garamond"/>
          <w:sz w:val="16"/>
        </w:rPr>
        <w:t xml:space="preserve">GB/document library/EPAR </w:t>
      </w:r>
      <w:r>
        <w:rPr>
          <w:rFonts w:ascii="Garamond" w:eastAsia="Garamond" w:hAnsi="Garamond" w:cs="Garamond"/>
          <w:sz w:val="16"/>
          <w:u w:val="single" w:color="000000"/>
        </w:rPr>
        <w:t xml:space="preserve">- </w:t>
      </w:r>
      <w:r>
        <w:rPr>
          <w:rFonts w:ascii="Garamond" w:eastAsia="Garamond" w:hAnsi="Garamond" w:cs="Garamond"/>
          <w:sz w:val="16"/>
        </w:rPr>
        <w:t xml:space="preserve">Product </w:t>
      </w:r>
      <w:r>
        <w:rPr>
          <w:noProof/>
        </w:rPr>
        <mc:AlternateContent>
          <mc:Choice Requires="wpg">
            <w:drawing>
              <wp:inline distT="0" distB="0" distL="0" distR="0">
                <wp:extent cx="30404" cy="5144"/>
                <wp:effectExtent l="0" t="0" r="0" b="0"/>
                <wp:docPr id="15956" name="Group 15956"/>
                <wp:cNvGraphicFramePr/>
                <a:graphic xmlns:a="http://schemas.openxmlformats.org/drawingml/2006/main">
                  <a:graphicData uri="http://schemas.microsoft.com/office/word/2010/wordprocessingGroup">
                    <wpg:wgp>
                      <wpg:cNvGrpSpPr/>
                      <wpg:grpSpPr>
                        <a:xfrm>
                          <a:off x="0" y="0"/>
                          <a:ext cx="30404" cy="5144"/>
                          <a:chOff x="0" y="0"/>
                          <a:chExt cx="30404" cy="5144"/>
                        </a:xfrm>
                      </wpg:grpSpPr>
                      <wps:wsp>
                        <wps:cNvPr id="1203" name="Shape 1203"/>
                        <wps:cNvSpPr/>
                        <wps:spPr>
                          <a:xfrm>
                            <a:off x="0" y="0"/>
                            <a:ext cx="30404" cy="0"/>
                          </a:xfrm>
                          <a:custGeom>
                            <a:avLst/>
                            <a:gdLst/>
                            <a:ahLst/>
                            <a:cxnLst/>
                            <a:rect l="0" t="0" r="0" b="0"/>
                            <a:pathLst>
                              <a:path w="30404">
                                <a:moveTo>
                                  <a:pt x="0" y="0"/>
                                </a:moveTo>
                                <a:lnTo>
                                  <a:pt x="30404" y="0"/>
                                </a:lnTo>
                              </a:path>
                            </a:pathLst>
                          </a:custGeom>
                          <a:ln w="5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956" style="width:2.39401pt;height:0.405pt;mso-position-horizontal-relative:char;mso-position-vertical-relative:line" coordsize="304,51">
                <v:shape id="Shape 1203" style="position:absolute;width:304;height:0;left:0;top:0;" coordsize="30404,0" path="m0,0l30404,0">
                  <v:stroke weight="0.405pt" endcap="flat" joinstyle="miter" miterlimit="10" on="true" color="#000000"/>
                  <v:fill on="false" color="#000000" opacity="0"/>
                </v:shape>
              </v:group>
            </w:pict>
          </mc:Fallback>
        </mc:AlternateContent>
      </w:r>
      <w:r>
        <w:rPr>
          <w:rFonts w:ascii="Garamond" w:eastAsia="Garamond" w:hAnsi="Garamond" w:cs="Garamond"/>
          <w:sz w:val="16"/>
        </w:rPr>
        <w:t>Information/human/000165/WC500025821.pdf</w:t>
      </w:r>
    </w:p>
    <w:p w:rsidR="0009028B" w:rsidRDefault="002A6AB4">
      <w:pPr>
        <w:numPr>
          <w:ilvl w:val="0"/>
          <w:numId w:val="1"/>
        </w:numPr>
        <w:spacing w:after="77" w:line="289" w:lineRule="auto"/>
        <w:ind w:hanging="339"/>
      </w:pPr>
      <w:r>
        <w:rPr>
          <w:rFonts w:ascii="Garamond" w:eastAsia="Garamond" w:hAnsi="Garamond" w:cs="Garamond"/>
          <w:sz w:val="16"/>
        </w:rPr>
        <w:t xml:space="preserve">Reff ME, Carner K, Chambers KS </w:t>
      </w:r>
      <w:r>
        <w:rPr>
          <w:rFonts w:ascii="Garamond" w:eastAsia="Garamond" w:hAnsi="Garamond" w:cs="Garamond"/>
          <w:i/>
          <w:sz w:val="16"/>
        </w:rPr>
        <w:t xml:space="preserve">et al. </w:t>
      </w:r>
      <w:r>
        <w:rPr>
          <w:rFonts w:ascii="Garamond" w:eastAsia="Garamond" w:hAnsi="Garamond" w:cs="Garamond"/>
          <w:sz w:val="16"/>
        </w:rPr>
        <w:t xml:space="preserve">Depletion of B cells </w:t>
      </w:r>
      <w:r>
        <w:rPr>
          <w:rFonts w:ascii="Garamond" w:eastAsia="Garamond" w:hAnsi="Garamond" w:cs="Garamond"/>
          <w:i/>
          <w:sz w:val="16"/>
        </w:rPr>
        <w:t xml:space="preserve">in vivo </w:t>
      </w:r>
      <w:r>
        <w:rPr>
          <w:rFonts w:ascii="Garamond" w:eastAsia="Garamond" w:hAnsi="Garamond" w:cs="Garamond"/>
          <w:sz w:val="16"/>
        </w:rPr>
        <w:t xml:space="preserve">by a chimeric mouse human monoclonal antibody to CD20. </w:t>
      </w:r>
      <w:r>
        <w:rPr>
          <w:rFonts w:ascii="Garamond" w:eastAsia="Garamond" w:hAnsi="Garamond" w:cs="Garamond"/>
          <w:i/>
          <w:sz w:val="16"/>
        </w:rPr>
        <w:t xml:space="preserve">Blood </w:t>
      </w:r>
      <w:r>
        <w:rPr>
          <w:rFonts w:ascii="Garamond" w:eastAsia="Garamond" w:hAnsi="Garamond" w:cs="Garamond"/>
          <w:sz w:val="16"/>
        </w:rPr>
        <w:t>83(2), 435–445 (1994).</w:t>
      </w:r>
    </w:p>
    <w:p w:rsidR="0009028B" w:rsidRDefault="002A6AB4">
      <w:pPr>
        <w:numPr>
          <w:ilvl w:val="0"/>
          <w:numId w:val="1"/>
        </w:numPr>
        <w:spacing w:after="77" w:line="289" w:lineRule="auto"/>
        <w:ind w:hanging="339"/>
      </w:pPr>
      <w:r>
        <w:rPr>
          <w:rFonts w:ascii="Garamond" w:eastAsia="Garamond" w:hAnsi="Garamond" w:cs="Garamond"/>
          <w:sz w:val="16"/>
        </w:rPr>
        <w:t xml:space="preserve">Weiner GJ. Rituximab: mechanism of action. </w:t>
      </w:r>
      <w:r>
        <w:rPr>
          <w:rFonts w:ascii="Garamond" w:eastAsia="Garamond" w:hAnsi="Garamond" w:cs="Garamond"/>
          <w:i/>
          <w:sz w:val="16"/>
        </w:rPr>
        <w:t xml:space="preserve">Semin. Haematol. </w:t>
      </w:r>
      <w:r>
        <w:rPr>
          <w:rFonts w:ascii="Garamond" w:eastAsia="Garamond" w:hAnsi="Garamond" w:cs="Garamond"/>
          <w:sz w:val="16"/>
        </w:rPr>
        <w:t>47(2), 115–123 (2011).</w:t>
      </w:r>
    </w:p>
    <w:p w:rsidR="0009028B" w:rsidRDefault="002A6AB4">
      <w:pPr>
        <w:numPr>
          <w:ilvl w:val="0"/>
          <w:numId w:val="1"/>
        </w:numPr>
        <w:spacing w:after="77" w:line="289" w:lineRule="auto"/>
        <w:ind w:hanging="339"/>
      </w:pPr>
      <w:r>
        <w:rPr>
          <w:rFonts w:ascii="Garamond" w:eastAsia="Garamond" w:hAnsi="Garamond" w:cs="Garamond"/>
          <w:sz w:val="16"/>
        </w:rPr>
        <w:t xml:space="preserve">Chow KU, Sommerlad WD, Boehrer S </w:t>
      </w:r>
      <w:r>
        <w:rPr>
          <w:rFonts w:ascii="Garamond" w:eastAsia="Garamond" w:hAnsi="Garamond" w:cs="Garamond"/>
          <w:i/>
          <w:sz w:val="16"/>
        </w:rPr>
        <w:t xml:space="preserve">et al. </w:t>
      </w:r>
      <w:r>
        <w:rPr>
          <w:rFonts w:ascii="Garamond" w:eastAsia="Garamond" w:hAnsi="Garamond" w:cs="Garamond"/>
          <w:sz w:val="16"/>
        </w:rPr>
        <w:t>Anti-CD20 antibody (IDEC-C2B8, rituximab) enhance</w:t>
      </w:r>
      <w:r>
        <w:rPr>
          <w:rFonts w:ascii="Garamond" w:eastAsia="Garamond" w:hAnsi="Garamond" w:cs="Garamond"/>
          <w:sz w:val="16"/>
        </w:rPr>
        <w:t xml:space="preserve">s efficacy of cytotoxic drugs on neoplastic lymphocytes </w:t>
      </w:r>
      <w:r>
        <w:rPr>
          <w:rFonts w:ascii="Garamond" w:eastAsia="Garamond" w:hAnsi="Garamond" w:cs="Garamond"/>
          <w:i/>
          <w:sz w:val="16"/>
        </w:rPr>
        <w:t>in vitro</w:t>
      </w:r>
      <w:r>
        <w:rPr>
          <w:rFonts w:ascii="Garamond" w:eastAsia="Garamond" w:hAnsi="Garamond" w:cs="Garamond"/>
          <w:sz w:val="16"/>
        </w:rPr>
        <w:t xml:space="preserve">: role of cytokines, complement, and caspases. </w:t>
      </w:r>
      <w:r>
        <w:rPr>
          <w:rFonts w:ascii="Garamond" w:eastAsia="Garamond" w:hAnsi="Garamond" w:cs="Garamond"/>
          <w:i/>
          <w:sz w:val="16"/>
        </w:rPr>
        <w:t xml:space="preserve">Haematologica </w:t>
      </w:r>
      <w:r>
        <w:rPr>
          <w:rFonts w:ascii="Garamond" w:eastAsia="Garamond" w:hAnsi="Garamond" w:cs="Garamond"/>
          <w:sz w:val="16"/>
        </w:rPr>
        <w:t>87(1), 33–43 (2002).</w:t>
      </w:r>
    </w:p>
    <w:p w:rsidR="0009028B" w:rsidRDefault="002A6AB4">
      <w:pPr>
        <w:numPr>
          <w:ilvl w:val="0"/>
          <w:numId w:val="1"/>
        </w:numPr>
        <w:spacing w:after="77" w:line="289" w:lineRule="auto"/>
        <w:ind w:hanging="339"/>
      </w:pPr>
      <w:r>
        <w:rPr>
          <w:rFonts w:ascii="Garamond" w:eastAsia="Garamond" w:hAnsi="Garamond" w:cs="Garamond"/>
          <w:sz w:val="16"/>
        </w:rPr>
        <w:t xml:space="preserve">Dakhil S, Hermann R, Schreeder MT </w:t>
      </w:r>
      <w:r>
        <w:rPr>
          <w:rFonts w:ascii="Garamond" w:eastAsia="Garamond" w:hAnsi="Garamond" w:cs="Garamond"/>
          <w:i/>
          <w:sz w:val="16"/>
        </w:rPr>
        <w:t xml:space="preserve">et al. </w:t>
      </w:r>
      <w:r>
        <w:rPr>
          <w:rFonts w:ascii="Garamond" w:eastAsia="Garamond" w:hAnsi="Garamond" w:cs="Garamond"/>
          <w:sz w:val="16"/>
        </w:rPr>
        <w:t>Phase III safety study of rituximab administered as a 90-minute infus</w:t>
      </w:r>
      <w:r>
        <w:rPr>
          <w:rFonts w:ascii="Garamond" w:eastAsia="Garamond" w:hAnsi="Garamond" w:cs="Garamond"/>
          <w:sz w:val="16"/>
        </w:rPr>
        <w:t xml:space="preserve">ion in patients with previously untreated diffuse large B-cell and follicular lymphoma. </w:t>
      </w:r>
      <w:r>
        <w:rPr>
          <w:rFonts w:ascii="Garamond" w:eastAsia="Garamond" w:hAnsi="Garamond" w:cs="Garamond"/>
          <w:i/>
          <w:sz w:val="16"/>
        </w:rPr>
        <w:t xml:space="preserve">Leuk. Lymphoma </w:t>
      </w:r>
      <w:r>
        <w:rPr>
          <w:rFonts w:ascii="Garamond" w:eastAsia="Garamond" w:hAnsi="Garamond" w:cs="Garamond"/>
          <w:sz w:val="16"/>
        </w:rPr>
        <w:t>55(10), 2335–2340 (2014).</w:t>
      </w:r>
    </w:p>
    <w:p w:rsidR="0009028B" w:rsidRDefault="002A6AB4">
      <w:pPr>
        <w:numPr>
          <w:ilvl w:val="0"/>
          <w:numId w:val="1"/>
        </w:numPr>
        <w:spacing w:after="77" w:line="289" w:lineRule="auto"/>
        <w:ind w:hanging="339"/>
      </w:pPr>
      <w:r>
        <w:rPr>
          <w:rFonts w:ascii="Garamond" w:eastAsia="Garamond" w:hAnsi="Garamond" w:cs="Garamond"/>
          <w:sz w:val="16"/>
        </w:rPr>
        <w:t>Rule S, Collins GP, Samanta K. Subcutaneous vs intravenous rituximab in patients with non-Hodgkin lymphoma: a time and motion s</w:t>
      </w:r>
      <w:r>
        <w:rPr>
          <w:rFonts w:ascii="Garamond" w:eastAsia="Garamond" w:hAnsi="Garamond" w:cs="Garamond"/>
          <w:sz w:val="16"/>
        </w:rPr>
        <w:t xml:space="preserve">tudy in the United Kingdom. </w:t>
      </w:r>
      <w:r>
        <w:rPr>
          <w:rFonts w:ascii="Garamond" w:eastAsia="Garamond" w:hAnsi="Garamond" w:cs="Garamond"/>
          <w:i/>
          <w:sz w:val="16"/>
        </w:rPr>
        <w:t xml:space="preserve">J. Med. Econ. </w:t>
      </w:r>
      <w:r>
        <w:rPr>
          <w:rFonts w:ascii="Garamond" w:eastAsia="Garamond" w:hAnsi="Garamond" w:cs="Garamond"/>
          <w:sz w:val="16"/>
        </w:rPr>
        <w:t>17(7), 459–468 (2014).</w:t>
      </w:r>
    </w:p>
    <w:p w:rsidR="0009028B" w:rsidRDefault="002A6AB4">
      <w:pPr>
        <w:numPr>
          <w:ilvl w:val="0"/>
          <w:numId w:val="1"/>
        </w:numPr>
        <w:spacing w:after="77" w:line="289" w:lineRule="auto"/>
        <w:ind w:hanging="339"/>
      </w:pPr>
      <w:r>
        <w:rPr>
          <w:rFonts w:ascii="Garamond" w:eastAsia="Garamond" w:hAnsi="Garamond" w:cs="Garamond"/>
          <w:sz w:val="16"/>
        </w:rPr>
        <w:t>Ponzetti C, Canciani M, Farina M, Era S, Walzer S. Potential resource and cost saving analysis of subcutaneous versus intravenous administration for rituximab in non-Hodgkin’s lymphoma and fo</w:t>
      </w:r>
      <w:r>
        <w:rPr>
          <w:rFonts w:ascii="Garamond" w:eastAsia="Garamond" w:hAnsi="Garamond" w:cs="Garamond"/>
          <w:sz w:val="16"/>
        </w:rPr>
        <w:t xml:space="preserve">r trastuzumab in breast cancer in 17 Italian hospitals based on a systematic survey. </w:t>
      </w:r>
      <w:r>
        <w:rPr>
          <w:rFonts w:ascii="Garamond" w:eastAsia="Garamond" w:hAnsi="Garamond" w:cs="Garamond"/>
          <w:i/>
          <w:sz w:val="16"/>
        </w:rPr>
        <w:t xml:space="preserve">Clin. Outcomes Res. </w:t>
      </w:r>
      <w:r>
        <w:rPr>
          <w:rFonts w:ascii="Garamond" w:eastAsia="Garamond" w:hAnsi="Garamond" w:cs="Garamond"/>
          <w:sz w:val="16"/>
        </w:rPr>
        <w:t>8, 227–233 (2016).</w:t>
      </w:r>
    </w:p>
    <w:p w:rsidR="0009028B" w:rsidRDefault="002A6AB4">
      <w:pPr>
        <w:numPr>
          <w:ilvl w:val="0"/>
          <w:numId w:val="1"/>
        </w:numPr>
        <w:spacing w:after="77" w:line="289" w:lineRule="auto"/>
        <w:ind w:hanging="339"/>
      </w:pPr>
      <w:r>
        <w:rPr>
          <w:rFonts w:ascii="Garamond" w:eastAsia="Garamond" w:hAnsi="Garamond" w:cs="Garamond"/>
          <w:sz w:val="16"/>
        </w:rPr>
        <w:t>Wynne C, Harvey V, Schwabe C, Waaka D, McIntyre C, Bittner B. Comparison of subcutaneous and intravenous administration of trastuzum</w:t>
      </w:r>
      <w:r>
        <w:rPr>
          <w:rFonts w:ascii="Garamond" w:eastAsia="Garamond" w:hAnsi="Garamond" w:cs="Garamond"/>
          <w:sz w:val="16"/>
        </w:rPr>
        <w:t>ab: a Phase I</w:t>
      </w:r>
      <w:r>
        <w:rPr>
          <w:sz w:val="16"/>
        </w:rPr>
        <w:t>/</w:t>
      </w:r>
      <w:r>
        <w:rPr>
          <w:rFonts w:ascii="Garamond" w:eastAsia="Garamond" w:hAnsi="Garamond" w:cs="Garamond"/>
          <w:sz w:val="16"/>
        </w:rPr>
        <w:t xml:space="preserve">Ib trial in healthy male volunteers and patients with HER2-positive breast cancer. </w:t>
      </w:r>
      <w:r>
        <w:rPr>
          <w:rFonts w:ascii="Garamond" w:eastAsia="Garamond" w:hAnsi="Garamond" w:cs="Garamond"/>
          <w:i/>
          <w:sz w:val="16"/>
        </w:rPr>
        <w:t xml:space="preserve">J. Clin. Pharmacol. </w:t>
      </w:r>
      <w:r>
        <w:rPr>
          <w:rFonts w:ascii="Garamond" w:eastAsia="Garamond" w:hAnsi="Garamond" w:cs="Garamond"/>
          <w:sz w:val="16"/>
        </w:rPr>
        <w:t>53(2), 192–201 (2013).</w:t>
      </w:r>
    </w:p>
    <w:p w:rsidR="0009028B" w:rsidRDefault="002A6AB4">
      <w:pPr>
        <w:numPr>
          <w:ilvl w:val="0"/>
          <w:numId w:val="1"/>
        </w:numPr>
        <w:spacing w:after="46" w:line="289" w:lineRule="auto"/>
        <w:ind w:hanging="339"/>
      </w:pPr>
      <w:r>
        <w:rPr>
          <w:rFonts w:ascii="Garamond" w:eastAsia="Garamond" w:hAnsi="Garamond" w:cs="Garamond"/>
          <w:sz w:val="16"/>
        </w:rPr>
        <w:t xml:space="preserve">Jackisch C, Kim SB, Semiglazov V </w:t>
      </w:r>
      <w:r>
        <w:rPr>
          <w:rFonts w:ascii="Garamond" w:eastAsia="Garamond" w:hAnsi="Garamond" w:cs="Garamond"/>
          <w:i/>
          <w:sz w:val="16"/>
        </w:rPr>
        <w:t xml:space="preserve">et al. </w:t>
      </w:r>
      <w:r>
        <w:rPr>
          <w:rFonts w:ascii="Garamond" w:eastAsia="Garamond" w:hAnsi="Garamond" w:cs="Garamond"/>
          <w:sz w:val="16"/>
        </w:rPr>
        <w:t>Subcutaneous versus intravenous formulation of trastuzumab for HER2-positive</w:t>
      </w:r>
      <w:r>
        <w:rPr>
          <w:rFonts w:ascii="Garamond" w:eastAsia="Garamond" w:hAnsi="Garamond" w:cs="Garamond"/>
          <w:sz w:val="16"/>
        </w:rPr>
        <w:t xml:space="preserve"> early breast cancer: updated results from the Phase III HannaH study. </w:t>
      </w:r>
      <w:r>
        <w:rPr>
          <w:rFonts w:ascii="Garamond" w:eastAsia="Garamond" w:hAnsi="Garamond" w:cs="Garamond"/>
          <w:i/>
          <w:sz w:val="16"/>
        </w:rPr>
        <w:t xml:space="preserve">Ann. Oncol. </w:t>
      </w:r>
      <w:r>
        <w:rPr>
          <w:rFonts w:ascii="Garamond" w:eastAsia="Garamond" w:hAnsi="Garamond" w:cs="Garamond"/>
          <w:sz w:val="16"/>
        </w:rPr>
        <w:t>26(2), 320–325 (2015).</w:t>
      </w:r>
    </w:p>
    <w:p w:rsidR="0009028B" w:rsidRDefault="002A6AB4">
      <w:pPr>
        <w:spacing w:after="31" w:line="349" w:lineRule="auto"/>
        <w:ind w:left="334" w:hanging="349"/>
      </w:pPr>
      <w:r>
        <w:rPr>
          <w:sz w:val="16"/>
        </w:rPr>
        <w:t>•</w:t>
      </w:r>
      <w:r>
        <w:rPr>
          <w:sz w:val="16"/>
        </w:rPr>
        <w:tab/>
      </w:r>
      <w:r>
        <w:rPr>
          <w:rFonts w:ascii="Garamond" w:eastAsia="Garamond" w:hAnsi="Garamond" w:cs="Garamond"/>
          <w:b/>
          <w:sz w:val="16"/>
        </w:rPr>
        <w:t>Phase III study demonstrating similar safety and efficacy profile of trastuzumab administered subcutaneously (sc.) versus intravenously (iv.), in combination with chemotherapy in the treatment of early HER-2-positive breast cancer, confirming feasibility o</w:t>
      </w:r>
      <w:r>
        <w:rPr>
          <w:rFonts w:ascii="Garamond" w:eastAsia="Garamond" w:hAnsi="Garamond" w:cs="Garamond"/>
          <w:b/>
          <w:sz w:val="16"/>
        </w:rPr>
        <w:t>f subcutaneous antibody delivery.</w:t>
      </w:r>
    </w:p>
    <w:p w:rsidR="0009028B" w:rsidRDefault="002A6AB4">
      <w:pPr>
        <w:numPr>
          <w:ilvl w:val="0"/>
          <w:numId w:val="2"/>
        </w:numPr>
        <w:spacing w:after="77" w:line="289" w:lineRule="auto"/>
        <w:ind w:hanging="339"/>
      </w:pPr>
      <w:r>
        <w:rPr>
          <w:rFonts w:ascii="Garamond" w:eastAsia="Garamond" w:hAnsi="Garamond" w:cs="Garamond"/>
          <w:sz w:val="16"/>
        </w:rPr>
        <w:t xml:space="preserve">Shpilberg O, Jackisch C. Subcutaneous administration of rituximab (MabThera) and trastuzumab (Herceptin) using hyaluronidase. </w:t>
      </w:r>
      <w:r>
        <w:rPr>
          <w:rFonts w:ascii="Garamond" w:eastAsia="Garamond" w:hAnsi="Garamond" w:cs="Garamond"/>
          <w:i/>
          <w:sz w:val="16"/>
        </w:rPr>
        <w:t xml:space="preserve">Br. J. Cancer </w:t>
      </w:r>
      <w:r>
        <w:rPr>
          <w:rFonts w:ascii="Garamond" w:eastAsia="Garamond" w:hAnsi="Garamond" w:cs="Garamond"/>
          <w:sz w:val="16"/>
        </w:rPr>
        <w:t>109(6), 1556–1561 (2013).</w:t>
      </w:r>
    </w:p>
    <w:p w:rsidR="0009028B" w:rsidRDefault="002A6AB4">
      <w:pPr>
        <w:numPr>
          <w:ilvl w:val="0"/>
          <w:numId w:val="2"/>
        </w:numPr>
        <w:spacing w:after="77" w:line="289" w:lineRule="auto"/>
        <w:ind w:hanging="339"/>
      </w:pPr>
      <w:r>
        <w:rPr>
          <w:rFonts w:ascii="Garamond" w:eastAsia="Garamond" w:hAnsi="Garamond" w:cs="Garamond"/>
          <w:sz w:val="16"/>
        </w:rPr>
        <w:t>Pivot X, Gligorov J, Muller V¨</w:t>
      </w:r>
      <w:r>
        <w:rPr>
          <w:rFonts w:ascii="Garamond" w:eastAsia="Garamond" w:hAnsi="Garamond" w:cs="Garamond"/>
          <w:sz w:val="16"/>
        </w:rPr>
        <w:tab/>
      </w:r>
      <w:r>
        <w:rPr>
          <w:rFonts w:ascii="Garamond" w:eastAsia="Garamond" w:hAnsi="Garamond" w:cs="Garamond"/>
          <w:i/>
          <w:sz w:val="16"/>
        </w:rPr>
        <w:t xml:space="preserve">et al. </w:t>
      </w:r>
      <w:r>
        <w:rPr>
          <w:rFonts w:ascii="Garamond" w:eastAsia="Garamond" w:hAnsi="Garamond" w:cs="Garamond"/>
          <w:sz w:val="16"/>
        </w:rPr>
        <w:t>Preference for sub</w:t>
      </w:r>
      <w:r>
        <w:rPr>
          <w:rFonts w:ascii="Garamond" w:eastAsia="Garamond" w:hAnsi="Garamond" w:cs="Garamond"/>
          <w:sz w:val="16"/>
        </w:rPr>
        <w:t xml:space="preserve">cutaneous or intravenous administration of trastuzumab in patients with HER2-positive early breast cancer (PrefHer): an open-label randomised study. </w:t>
      </w:r>
      <w:r>
        <w:rPr>
          <w:rFonts w:ascii="Garamond" w:eastAsia="Garamond" w:hAnsi="Garamond" w:cs="Garamond"/>
          <w:i/>
          <w:sz w:val="16"/>
        </w:rPr>
        <w:t xml:space="preserve">Lancet Oncol. </w:t>
      </w:r>
      <w:r>
        <w:rPr>
          <w:rFonts w:ascii="Garamond" w:eastAsia="Garamond" w:hAnsi="Garamond" w:cs="Garamond"/>
          <w:sz w:val="16"/>
        </w:rPr>
        <w:t>14(10), 962–970 (2013).</w:t>
      </w:r>
    </w:p>
    <w:p w:rsidR="0009028B" w:rsidRDefault="002A6AB4">
      <w:pPr>
        <w:numPr>
          <w:ilvl w:val="0"/>
          <w:numId w:val="2"/>
        </w:numPr>
        <w:spacing w:after="77" w:line="289" w:lineRule="auto"/>
        <w:ind w:hanging="339"/>
      </w:pPr>
      <w:r>
        <w:rPr>
          <w:rFonts w:ascii="Garamond" w:eastAsia="Garamond" w:hAnsi="Garamond" w:cs="Garamond"/>
          <w:sz w:val="16"/>
        </w:rPr>
        <w:t xml:space="preserve">Bookbinder LH, Hofer A, Haller MF </w:t>
      </w:r>
      <w:r>
        <w:rPr>
          <w:rFonts w:ascii="Garamond" w:eastAsia="Garamond" w:hAnsi="Garamond" w:cs="Garamond"/>
          <w:i/>
          <w:sz w:val="16"/>
        </w:rPr>
        <w:t xml:space="preserve">et al. </w:t>
      </w:r>
      <w:r>
        <w:rPr>
          <w:rFonts w:ascii="Garamond" w:eastAsia="Garamond" w:hAnsi="Garamond" w:cs="Garamond"/>
          <w:sz w:val="16"/>
        </w:rPr>
        <w:t>A recombinant human enzyme f</w:t>
      </w:r>
      <w:r>
        <w:rPr>
          <w:rFonts w:ascii="Garamond" w:eastAsia="Garamond" w:hAnsi="Garamond" w:cs="Garamond"/>
          <w:sz w:val="16"/>
        </w:rPr>
        <w:t xml:space="preserve">or enhanced interstitial transport of therapeutics. </w:t>
      </w:r>
      <w:r>
        <w:rPr>
          <w:rFonts w:ascii="Garamond" w:eastAsia="Garamond" w:hAnsi="Garamond" w:cs="Garamond"/>
          <w:i/>
          <w:sz w:val="16"/>
        </w:rPr>
        <w:t xml:space="preserve">J. Control. Release </w:t>
      </w:r>
      <w:r>
        <w:rPr>
          <w:rFonts w:ascii="Garamond" w:eastAsia="Garamond" w:hAnsi="Garamond" w:cs="Garamond"/>
          <w:sz w:val="16"/>
        </w:rPr>
        <w:t>114(2), 230–241 (2006).</w:t>
      </w:r>
    </w:p>
    <w:p w:rsidR="0009028B" w:rsidRDefault="002A6AB4">
      <w:pPr>
        <w:numPr>
          <w:ilvl w:val="0"/>
          <w:numId w:val="2"/>
        </w:numPr>
        <w:spacing w:after="77" w:line="289" w:lineRule="auto"/>
        <w:ind w:hanging="339"/>
      </w:pPr>
      <w:r>
        <w:rPr>
          <w:rFonts w:ascii="Garamond" w:eastAsia="Garamond" w:hAnsi="Garamond" w:cs="Garamond"/>
          <w:sz w:val="16"/>
        </w:rPr>
        <w:t xml:space="preserve">Wasserman RL, Melamed I, Stein MR </w:t>
      </w:r>
      <w:r>
        <w:rPr>
          <w:rFonts w:ascii="Garamond" w:eastAsia="Garamond" w:hAnsi="Garamond" w:cs="Garamond"/>
          <w:i/>
          <w:sz w:val="16"/>
        </w:rPr>
        <w:t xml:space="preserve">et al. </w:t>
      </w:r>
      <w:r>
        <w:rPr>
          <w:rFonts w:ascii="Garamond" w:eastAsia="Garamond" w:hAnsi="Garamond" w:cs="Garamond"/>
          <w:sz w:val="16"/>
        </w:rPr>
        <w:t xml:space="preserve">Recombinant human hyaluronidase-facilitated subcutaneous infusion of human immunoglobulins for primary immunodeficiency. </w:t>
      </w:r>
      <w:r>
        <w:rPr>
          <w:rFonts w:ascii="Garamond" w:eastAsia="Garamond" w:hAnsi="Garamond" w:cs="Garamond"/>
          <w:i/>
          <w:sz w:val="16"/>
        </w:rPr>
        <w:t xml:space="preserve">J. Allergy Clin. Immunol. </w:t>
      </w:r>
      <w:r>
        <w:rPr>
          <w:rFonts w:ascii="Garamond" w:eastAsia="Garamond" w:hAnsi="Garamond" w:cs="Garamond"/>
          <w:sz w:val="16"/>
        </w:rPr>
        <w:t>130(4), 951.e11–957.e11 (2012).</w:t>
      </w:r>
    </w:p>
    <w:p w:rsidR="0009028B" w:rsidRDefault="002A6AB4">
      <w:pPr>
        <w:numPr>
          <w:ilvl w:val="0"/>
          <w:numId w:val="2"/>
        </w:numPr>
        <w:spacing w:after="77" w:line="289" w:lineRule="auto"/>
        <w:ind w:hanging="339"/>
      </w:pPr>
      <w:r>
        <w:rPr>
          <w:rFonts w:ascii="Garamond" w:eastAsia="Garamond" w:hAnsi="Garamond" w:cs="Garamond"/>
          <w:sz w:val="16"/>
        </w:rPr>
        <w:t>Frost GI. Recombinant human hyaluronidase (rHuPH20): an enabling platform for</w:t>
      </w:r>
      <w:r>
        <w:rPr>
          <w:rFonts w:ascii="Garamond" w:eastAsia="Garamond" w:hAnsi="Garamond" w:cs="Garamond"/>
          <w:sz w:val="16"/>
        </w:rPr>
        <w:t xml:space="preserve"> subcutaneous drug and fluid administration. </w:t>
      </w:r>
      <w:r>
        <w:rPr>
          <w:rFonts w:ascii="Garamond" w:eastAsia="Garamond" w:hAnsi="Garamond" w:cs="Garamond"/>
          <w:i/>
          <w:sz w:val="16"/>
        </w:rPr>
        <w:t xml:space="preserve">Expert Opin. Drug Deliv. </w:t>
      </w:r>
      <w:r>
        <w:rPr>
          <w:rFonts w:ascii="Garamond" w:eastAsia="Garamond" w:hAnsi="Garamond" w:cs="Garamond"/>
          <w:sz w:val="16"/>
        </w:rPr>
        <w:t>4(4), 427–440 (2007).</w:t>
      </w:r>
    </w:p>
    <w:p w:rsidR="0009028B" w:rsidRDefault="002A6AB4">
      <w:pPr>
        <w:numPr>
          <w:ilvl w:val="0"/>
          <w:numId w:val="2"/>
        </w:numPr>
        <w:spacing w:after="77" w:line="289" w:lineRule="auto"/>
        <w:ind w:hanging="339"/>
      </w:pPr>
      <w:r>
        <w:rPr>
          <w:rFonts w:ascii="Garamond" w:eastAsia="Garamond" w:hAnsi="Garamond" w:cs="Garamond"/>
          <w:sz w:val="16"/>
        </w:rPr>
        <w:t xml:space="preserve">Wasserman RL, Melamed I, Stein MR </w:t>
      </w:r>
      <w:r>
        <w:rPr>
          <w:rFonts w:ascii="Garamond" w:eastAsia="Garamond" w:hAnsi="Garamond" w:cs="Garamond"/>
          <w:i/>
          <w:sz w:val="16"/>
        </w:rPr>
        <w:t xml:space="preserve">et al. </w:t>
      </w:r>
      <w:r>
        <w:rPr>
          <w:rFonts w:ascii="Garamond" w:eastAsia="Garamond" w:hAnsi="Garamond" w:cs="Garamond"/>
          <w:sz w:val="16"/>
        </w:rPr>
        <w:t xml:space="preserve">Long-term tolerability, safety, and efficacy of recombinant human hyaluronidase-facilitated subcutaneous infusion of human </w:t>
      </w:r>
      <w:r>
        <w:rPr>
          <w:rFonts w:ascii="Garamond" w:eastAsia="Garamond" w:hAnsi="Garamond" w:cs="Garamond"/>
          <w:sz w:val="16"/>
        </w:rPr>
        <w:t xml:space="preserve">immunoglobulin for primary immunodeficiency. </w:t>
      </w:r>
      <w:r>
        <w:rPr>
          <w:rFonts w:ascii="Garamond" w:eastAsia="Garamond" w:hAnsi="Garamond" w:cs="Garamond"/>
          <w:i/>
          <w:sz w:val="16"/>
        </w:rPr>
        <w:t xml:space="preserve">J. Clin. Immunol. </w:t>
      </w:r>
      <w:r>
        <w:rPr>
          <w:rFonts w:ascii="Garamond" w:eastAsia="Garamond" w:hAnsi="Garamond" w:cs="Garamond"/>
          <w:sz w:val="16"/>
        </w:rPr>
        <w:t>36(6), 571–582 (2016).</w:t>
      </w:r>
    </w:p>
    <w:p w:rsidR="0009028B" w:rsidRDefault="002A6AB4">
      <w:pPr>
        <w:numPr>
          <w:ilvl w:val="0"/>
          <w:numId w:val="2"/>
        </w:numPr>
        <w:spacing w:after="77" w:line="289" w:lineRule="auto"/>
        <w:ind w:hanging="339"/>
      </w:pPr>
      <w:r>
        <w:rPr>
          <w:rFonts w:ascii="Garamond" w:eastAsia="Garamond" w:hAnsi="Garamond" w:cs="Garamond"/>
          <w:sz w:val="16"/>
        </w:rPr>
        <w:t>Yocum RC, Kennard D, Heiner LS. Assessment and implication of the allergic sensitivity to a single dose of recombinant human hyaluronidase injection: a double-blind, plac</w:t>
      </w:r>
      <w:r>
        <w:rPr>
          <w:rFonts w:ascii="Garamond" w:eastAsia="Garamond" w:hAnsi="Garamond" w:cs="Garamond"/>
          <w:sz w:val="16"/>
        </w:rPr>
        <w:t xml:space="preserve">ebo-controlled clinical trial. </w:t>
      </w:r>
      <w:r>
        <w:rPr>
          <w:rFonts w:ascii="Garamond" w:eastAsia="Garamond" w:hAnsi="Garamond" w:cs="Garamond"/>
          <w:i/>
          <w:sz w:val="16"/>
        </w:rPr>
        <w:t xml:space="preserve">J. Infus. Nurs. </w:t>
      </w:r>
      <w:r>
        <w:rPr>
          <w:rFonts w:ascii="Garamond" w:eastAsia="Garamond" w:hAnsi="Garamond" w:cs="Garamond"/>
          <w:sz w:val="16"/>
        </w:rPr>
        <w:t>30(5), 293–299 (2007).</w:t>
      </w:r>
    </w:p>
    <w:p w:rsidR="0009028B" w:rsidRDefault="002A6AB4">
      <w:pPr>
        <w:numPr>
          <w:ilvl w:val="0"/>
          <w:numId w:val="2"/>
        </w:numPr>
        <w:spacing w:after="77" w:line="289" w:lineRule="auto"/>
        <w:ind w:hanging="339"/>
      </w:pPr>
      <w:r>
        <w:rPr>
          <w:rFonts w:ascii="Garamond" w:eastAsia="Garamond" w:hAnsi="Garamond" w:cs="Garamond"/>
          <w:sz w:val="16"/>
        </w:rPr>
        <w:t xml:space="preserve">Tobinai K, Igarashi T, Itoh K </w:t>
      </w:r>
      <w:r>
        <w:rPr>
          <w:rFonts w:ascii="Garamond" w:eastAsia="Garamond" w:hAnsi="Garamond" w:cs="Garamond"/>
          <w:i/>
          <w:sz w:val="16"/>
        </w:rPr>
        <w:t xml:space="preserve">et al. </w:t>
      </w:r>
      <w:r>
        <w:rPr>
          <w:rFonts w:ascii="Garamond" w:eastAsia="Garamond" w:hAnsi="Garamond" w:cs="Garamond"/>
          <w:sz w:val="16"/>
        </w:rPr>
        <w:t xml:space="preserve">Japanese multicenter Phase II and pharmacokinetic study of rituximab in relapsed or refractory patients with aggressive B-cell lymphoma. </w:t>
      </w:r>
      <w:r>
        <w:rPr>
          <w:rFonts w:ascii="Garamond" w:eastAsia="Garamond" w:hAnsi="Garamond" w:cs="Garamond"/>
          <w:i/>
          <w:sz w:val="16"/>
        </w:rPr>
        <w:t xml:space="preserve">Ann. Oncol. </w:t>
      </w:r>
      <w:r>
        <w:rPr>
          <w:rFonts w:ascii="Garamond" w:eastAsia="Garamond" w:hAnsi="Garamond" w:cs="Garamond"/>
          <w:sz w:val="16"/>
        </w:rPr>
        <w:t>15(5), 821–830 (2004).</w:t>
      </w:r>
    </w:p>
    <w:p w:rsidR="0009028B" w:rsidRDefault="002A6AB4">
      <w:pPr>
        <w:numPr>
          <w:ilvl w:val="0"/>
          <w:numId w:val="2"/>
        </w:numPr>
        <w:spacing w:after="77" w:line="289" w:lineRule="auto"/>
        <w:ind w:hanging="339"/>
      </w:pPr>
      <w:r>
        <w:rPr>
          <w:rFonts w:ascii="Garamond" w:eastAsia="Garamond" w:hAnsi="Garamond" w:cs="Garamond"/>
          <w:sz w:val="16"/>
        </w:rPr>
        <w:t>Jager U, Fridrik M, Zeitlinger M¨</w:t>
      </w:r>
      <w:r>
        <w:rPr>
          <w:rFonts w:ascii="Garamond" w:eastAsia="Garamond" w:hAnsi="Garamond" w:cs="Garamond"/>
          <w:sz w:val="16"/>
        </w:rPr>
        <w:tab/>
      </w:r>
      <w:r>
        <w:rPr>
          <w:rFonts w:ascii="Garamond" w:eastAsia="Garamond" w:hAnsi="Garamond" w:cs="Garamond"/>
          <w:i/>
          <w:sz w:val="16"/>
        </w:rPr>
        <w:t xml:space="preserve">et al. </w:t>
      </w:r>
      <w:r>
        <w:rPr>
          <w:rFonts w:ascii="Garamond" w:eastAsia="Garamond" w:hAnsi="Garamond" w:cs="Garamond"/>
          <w:sz w:val="16"/>
        </w:rPr>
        <w:t xml:space="preserve">Rituximab serum concentrations during immuno-chemotherapy of follicular lymphoma correlate with patient gender, bone marrow infiltration and clinical response. </w:t>
      </w:r>
      <w:r>
        <w:rPr>
          <w:rFonts w:ascii="Garamond" w:eastAsia="Garamond" w:hAnsi="Garamond" w:cs="Garamond"/>
          <w:i/>
          <w:sz w:val="16"/>
        </w:rPr>
        <w:t xml:space="preserve">Haematologica </w:t>
      </w:r>
      <w:r>
        <w:rPr>
          <w:rFonts w:ascii="Garamond" w:eastAsia="Garamond" w:hAnsi="Garamond" w:cs="Garamond"/>
          <w:sz w:val="16"/>
        </w:rPr>
        <w:t>97(9), 1431–1438 (</w:t>
      </w:r>
      <w:r>
        <w:rPr>
          <w:rFonts w:ascii="Garamond" w:eastAsia="Garamond" w:hAnsi="Garamond" w:cs="Garamond"/>
          <w:sz w:val="16"/>
        </w:rPr>
        <w:t>2012).</w:t>
      </w:r>
    </w:p>
    <w:p w:rsidR="0009028B" w:rsidRDefault="002A6AB4">
      <w:pPr>
        <w:numPr>
          <w:ilvl w:val="0"/>
          <w:numId w:val="2"/>
        </w:numPr>
        <w:spacing w:after="77" w:line="289" w:lineRule="auto"/>
        <w:ind w:hanging="339"/>
      </w:pPr>
      <w:r>
        <w:rPr>
          <w:rFonts w:ascii="Garamond" w:eastAsia="Garamond" w:hAnsi="Garamond" w:cs="Garamond"/>
          <w:sz w:val="16"/>
        </w:rPr>
        <w:t xml:space="preserve">Wang DD, Zhang S, Zhao H, Men AY, Parivar K. Fixed dosing versus body size-based dosing of monoclonal antibodies in adult clinical trials. </w:t>
      </w:r>
      <w:r>
        <w:rPr>
          <w:rFonts w:ascii="Garamond" w:eastAsia="Garamond" w:hAnsi="Garamond" w:cs="Garamond"/>
          <w:i/>
          <w:sz w:val="16"/>
        </w:rPr>
        <w:t xml:space="preserve">J. Clin. Pharmacol. </w:t>
      </w:r>
      <w:r>
        <w:rPr>
          <w:rFonts w:ascii="Garamond" w:eastAsia="Garamond" w:hAnsi="Garamond" w:cs="Garamond"/>
          <w:sz w:val="16"/>
        </w:rPr>
        <w:t>49(9), 1012–1024 (2009).</w:t>
      </w:r>
    </w:p>
    <w:p w:rsidR="0009028B" w:rsidRDefault="002A6AB4">
      <w:pPr>
        <w:numPr>
          <w:ilvl w:val="0"/>
          <w:numId w:val="2"/>
        </w:numPr>
        <w:spacing w:after="77" w:line="289" w:lineRule="auto"/>
        <w:ind w:hanging="339"/>
      </w:pPr>
      <w:r>
        <w:rPr>
          <w:rFonts w:ascii="Garamond" w:eastAsia="Garamond" w:hAnsi="Garamond" w:cs="Garamond"/>
          <w:sz w:val="16"/>
        </w:rPr>
        <w:t xml:space="preserve">Bittner B, Richter WF, Herting F </w:t>
      </w:r>
      <w:r>
        <w:rPr>
          <w:rFonts w:ascii="Garamond" w:eastAsia="Garamond" w:hAnsi="Garamond" w:cs="Garamond"/>
          <w:i/>
          <w:sz w:val="16"/>
        </w:rPr>
        <w:t xml:space="preserve">et al. </w:t>
      </w:r>
      <w:r>
        <w:rPr>
          <w:rFonts w:ascii="Garamond" w:eastAsia="Garamond" w:hAnsi="Garamond" w:cs="Garamond"/>
          <w:sz w:val="16"/>
        </w:rPr>
        <w:t>Non-clinical pharmacokine</w:t>
      </w:r>
      <w:r>
        <w:rPr>
          <w:rFonts w:ascii="Garamond" w:eastAsia="Garamond" w:hAnsi="Garamond" w:cs="Garamond"/>
          <w:sz w:val="16"/>
        </w:rPr>
        <w:t>tic</w:t>
      </w:r>
      <w:r>
        <w:rPr>
          <w:sz w:val="16"/>
        </w:rPr>
        <w:t>/</w:t>
      </w:r>
      <w:r>
        <w:rPr>
          <w:rFonts w:ascii="Garamond" w:eastAsia="Garamond" w:hAnsi="Garamond" w:cs="Garamond"/>
          <w:sz w:val="16"/>
        </w:rPr>
        <w:t xml:space="preserve">pharmacodynamic and early clinical studies supporting development of a novel subcutaneous formulation for the monoclonal antibody rituximab. </w:t>
      </w:r>
      <w:r>
        <w:rPr>
          <w:rFonts w:ascii="Garamond" w:eastAsia="Garamond" w:hAnsi="Garamond" w:cs="Garamond"/>
          <w:i/>
          <w:sz w:val="16"/>
        </w:rPr>
        <w:t xml:space="preserve">Drug Res. (Stuttg) </w:t>
      </w:r>
      <w:r>
        <w:rPr>
          <w:rFonts w:ascii="Garamond" w:eastAsia="Garamond" w:hAnsi="Garamond" w:cs="Garamond"/>
          <w:sz w:val="16"/>
        </w:rPr>
        <w:t>64(11), 569–575 (2014).</w:t>
      </w:r>
    </w:p>
    <w:p w:rsidR="0009028B" w:rsidRDefault="002A6AB4">
      <w:pPr>
        <w:numPr>
          <w:ilvl w:val="0"/>
          <w:numId w:val="2"/>
        </w:numPr>
        <w:spacing w:after="77" w:line="289" w:lineRule="auto"/>
        <w:ind w:hanging="339"/>
      </w:pPr>
      <w:r>
        <w:rPr>
          <w:rFonts w:ascii="Garamond" w:eastAsia="Garamond" w:hAnsi="Garamond" w:cs="Garamond"/>
          <w:sz w:val="16"/>
        </w:rPr>
        <w:t xml:space="preserve">Mao CP, Brovarney MR, Dabbagh K, Birnbock HF, Richter WF, Del Nagro </w:t>
      </w:r>
      <w:r>
        <w:rPr>
          <w:rFonts w:ascii="Garamond" w:eastAsia="Garamond" w:hAnsi="Garamond" w:cs="Garamond"/>
          <w:sz w:val="16"/>
        </w:rPr>
        <w:t xml:space="preserve">CJ. Subcutaneous versus intravenous administration of¨ rituximab: pharmacokinetics, CD20 target coverage and B-cell depletion in cynomolgus monkeys. </w:t>
      </w:r>
      <w:r>
        <w:rPr>
          <w:rFonts w:ascii="Garamond" w:eastAsia="Garamond" w:hAnsi="Garamond" w:cs="Garamond"/>
          <w:i/>
          <w:sz w:val="16"/>
        </w:rPr>
        <w:t xml:space="preserve">PLoS ONE </w:t>
      </w:r>
      <w:r>
        <w:rPr>
          <w:rFonts w:ascii="Garamond" w:eastAsia="Garamond" w:hAnsi="Garamond" w:cs="Garamond"/>
          <w:sz w:val="16"/>
        </w:rPr>
        <w:t>8(11), 1–12 (2013).</w:t>
      </w:r>
    </w:p>
    <w:p w:rsidR="0009028B" w:rsidRDefault="002A6AB4">
      <w:pPr>
        <w:numPr>
          <w:ilvl w:val="0"/>
          <w:numId w:val="2"/>
        </w:numPr>
        <w:spacing w:after="46" w:line="289" w:lineRule="auto"/>
        <w:ind w:hanging="339"/>
      </w:pPr>
      <w:r>
        <w:rPr>
          <w:rFonts w:ascii="Garamond" w:eastAsia="Garamond" w:hAnsi="Garamond" w:cs="Garamond"/>
          <w:sz w:val="16"/>
        </w:rPr>
        <w:t xml:space="preserve">Salar A, Avivi I, Bittner B </w:t>
      </w:r>
      <w:r>
        <w:rPr>
          <w:rFonts w:ascii="Garamond" w:eastAsia="Garamond" w:hAnsi="Garamond" w:cs="Garamond"/>
          <w:i/>
          <w:sz w:val="16"/>
        </w:rPr>
        <w:t xml:space="preserve">et al. </w:t>
      </w:r>
      <w:r>
        <w:rPr>
          <w:rFonts w:ascii="Garamond" w:eastAsia="Garamond" w:hAnsi="Garamond" w:cs="Garamond"/>
          <w:sz w:val="16"/>
        </w:rPr>
        <w:t>Comparison of subcutaneous versus intraveno</w:t>
      </w:r>
      <w:r>
        <w:rPr>
          <w:rFonts w:ascii="Garamond" w:eastAsia="Garamond" w:hAnsi="Garamond" w:cs="Garamond"/>
          <w:sz w:val="16"/>
        </w:rPr>
        <w:t xml:space="preserve">us administration of rituximab as maintenance treatment for follicular lymphoma: results from a two-stage, Phase IB study. </w:t>
      </w:r>
      <w:r>
        <w:rPr>
          <w:rFonts w:ascii="Garamond" w:eastAsia="Garamond" w:hAnsi="Garamond" w:cs="Garamond"/>
          <w:i/>
          <w:sz w:val="16"/>
        </w:rPr>
        <w:t xml:space="preserve">J. Clin. Oncol. </w:t>
      </w:r>
      <w:r>
        <w:rPr>
          <w:rFonts w:ascii="Garamond" w:eastAsia="Garamond" w:hAnsi="Garamond" w:cs="Garamond"/>
          <w:sz w:val="16"/>
        </w:rPr>
        <w:t>32(17), 1782–1791 (2014).</w:t>
      </w:r>
    </w:p>
    <w:p w:rsidR="0009028B" w:rsidRDefault="002A6AB4">
      <w:pPr>
        <w:tabs>
          <w:tab w:val="center" w:pos="4322"/>
        </w:tabs>
        <w:spacing w:after="192"/>
        <w:ind w:left="-15"/>
      </w:pPr>
      <w:r>
        <w:rPr>
          <w:sz w:val="16"/>
        </w:rPr>
        <w:t>•</w:t>
      </w:r>
      <w:r>
        <w:rPr>
          <w:sz w:val="16"/>
        </w:rPr>
        <w:tab/>
      </w:r>
      <w:r>
        <w:rPr>
          <w:rFonts w:ascii="Garamond" w:eastAsia="Garamond" w:hAnsi="Garamond" w:cs="Garamond"/>
          <w:b/>
          <w:sz w:val="16"/>
        </w:rPr>
        <w:t>Dose-finding study for subcutaneous administration of rituximab in patients receiving tre</w:t>
      </w:r>
      <w:r>
        <w:rPr>
          <w:rFonts w:ascii="Garamond" w:eastAsia="Garamond" w:hAnsi="Garamond" w:cs="Garamond"/>
          <w:b/>
          <w:sz w:val="16"/>
        </w:rPr>
        <w:t>atment for follicular lymphoma.</w:t>
      </w:r>
    </w:p>
    <w:p w:rsidR="0009028B" w:rsidRDefault="002A6AB4">
      <w:pPr>
        <w:numPr>
          <w:ilvl w:val="0"/>
          <w:numId w:val="3"/>
        </w:numPr>
        <w:spacing w:after="77" w:line="289" w:lineRule="auto"/>
        <w:ind w:hanging="339"/>
      </w:pPr>
      <w:r>
        <w:rPr>
          <w:rFonts w:ascii="Garamond" w:eastAsia="Garamond" w:hAnsi="Garamond" w:cs="Garamond"/>
          <w:sz w:val="16"/>
        </w:rPr>
        <w:t xml:space="preserve">Davies A, Merli F, Mihaljevic B </w:t>
      </w:r>
      <w:r>
        <w:rPr>
          <w:rFonts w:ascii="Garamond" w:eastAsia="Garamond" w:hAnsi="Garamond" w:cs="Garamond"/>
          <w:i/>
          <w:sz w:val="16"/>
        </w:rPr>
        <w:t xml:space="preserve">et al. </w:t>
      </w:r>
      <w:r>
        <w:rPr>
          <w:rFonts w:ascii="Garamond" w:eastAsia="Garamond" w:hAnsi="Garamond" w:cs="Garamond"/>
          <w:sz w:val="16"/>
        </w:rPr>
        <w:t xml:space="preserve">Pharmacokinetics and safety of subcutaneous rituximab in follicular lymphoma (SABRINA): stage 1 analysis of a randomised Phase III study. </w:t>
      </w:r>
      <w:r>
        <w:rPr>
          <w:rFonts w:ascii="Garamond" w:eastAsia="Garamond" w:hAnsi="Garamond" w:cs="Garamond"/>
          <w:i/>
          <w:sz w:val="16"/>
        </w:rPr>
        <w:t xml:space="preserve">Lancet Oncol. </w:t>
      </w:r>
      <w:r>
        <w:rPr>
          <w:rFonts w:ascii="Garamond" w:eastAsia="Garamond" w:hAnsi="Garamond" w:cs="Garamond"/>
          <w:sz w:val="16"/>
        </w:rPr>
        <w:t>15(14), 343–352 (2014).</w:t>
      </w:r>
    </w:p>
    <w:p w:rsidR="0009028B" w:rsidRDefault="002A6AB4">
      <w:pPr>
        <w:numPr>
          <w:ilvl w:val="0"/>
          <w:numId w:val="3"/>
        </w:numPr>
        <w:spacing w:after="46" w:line="289" w:lineRule="auto"/>
        <w:ind w:hanging="339"/>
      </w:pPr>
      <w:r>
        <w:rPr>
          <w:rFonts w:ascii="Garamond" w:eastAsia="Garamond" w:hAnsi="Garamond" w:cs="Garamond"/>
          <w:sz w:val="16"/>
        </w:rPr>
        <w:t>Davies A,</w:t>
      </w:r>
      <w:r>
        <w:rPr>
          <w:rFonts w:ascii="Garamond" w:eastAsia="Garamond" w:hAnsi="Garamond" w:cs="Garamond"/>
          <w:sz w:val="16"/>
        </w:rPr>
        <w:t xml:space="preserve"> Merli F, Mihaljevic B´</w:t>
      </w:r>
      <w:r>
        <w:rPr>
          <w:rFonts w:ascii="Garamond" w:eastAsia="Garamond" w:hAnsi="Garamond" w:cs="Garamond"/>
          <w:sz w:val="16"/>
        </w:rPr>
        <w:tab/>
      </w:r>
      <w:r>
        <w:rPr>
          <w:rFonts w:ascii="Garamond" w:eastAsia="Garamond" w:hAnsi="Garamond" w:cs="Garamond"/>
          <w:i/>
          <w:sz w:val="16"/>
        </w:rPr>
        <w:t xml:space="preserve">et al. </w:t>
      </w:r>
      <w:r>
        <w:rPr>
          <w:rFonts w:ascii="Garamond" w:eastAsia="Garamond" w:hAnsi="Garamond" w:cs="Garamond"/>
          <w:sz w:val="16"/>
        </w:rPr>
        <w:t xml:space="preserve">Efficacy and safety of subcutaneous rituximab versus intravenous rituximab for first-line treatment of follicular lymphoma (SABRINA): a randomised, open-label, Phase III trial. </w:t>
      </w:r>
      <w:r>
        <w:rPr>
          <w:rFonts w:ascii="Garamond" w:eastAsia="Garamond" w:hAnsi="Garamond" w:cs="Garamond"/>
          <w:i/>
          <w:sz w:val="16"/>
        </w:rPr>
        <w:t xml:space="preserve">Lancet Haematol. </w:t>
      </w:r>
      <w:r>
        <w:rPr>
          <w:rFonts w:ascii="Garamond" w:eastAsia="Garamond" w:hAnsi="Garamond" w:cs="Garamond"/>
          <w:sz w:val="16"/>
        </w:rPr>
        <w:t>4(6), e272–e282 (2017).</w:t>
      </w:r>
    </w:p>
    <w:p w:rsidR="0009028B" w:rsidRDefault="002A6AB4">
      <w:pPr>
        <w:spacing w:after="31" w:line="349" w:lineRule="auto"/>
        <w:ind w:left="339" w:right="15" w:hanging="339"/>
        <w:jc w:val="both"/>
      </w:pPr>
      <w:r>
        <w:rPr>
          <w:sz w:val="16"/>
        </w:rPr>
        <w:t xml:space="preserve">•• </w:t>
      </w:r>
      <w:r>
        <w:rPr>
          <w:rFonts w:ascii="Garamond" w:eastAsia="Garamond" w:hAnsi="Garamond" w:cs="Garamond"/>
          <w:b/>
          <w:sz w:val="16"/>
        </w:rPr>
        <w:t>Phase III study confirming safety and efficacy of sc. rituximab in the first-line treatment of follicular lymphoma, in combination with cyclophosphamide, doxorubicin, vincristine and prednisolone (CHOP) or cyclophosphamide, vincristine and prednisolone che</w:t>
      </w:r>
      <w:r>
        <w:rPr>
          <w:rFonts w:ascii="Garamond" w:eastAsia="Garamond" w:hAnsi="Garamond" w:cs="Garamond"/>
          <w:b/>
          <w:sz w:val="16"/>
        </w:rPr>
        <w:t>motherapy.</w:t>
      </w:r>
    </w:p>
    <w:p w:rsidR="0009028B" w:rsidRDefault="002A6AB4">
      <w:pPr>
        <w:numPr>
          <w:ilvl w:val="0"/>
          <w:numId w:val="3"/>
        </w:numPr>
        <w:spacing w:after="77" w:line="289" w:lineRule="auto"/>
        <w:ind w:hanging="339"/>
      </w:pPr>
      <w:r>
        <w:rPr>
          <w:rFonts w:ascii="Garamond" w:eastAsia="Garamond" w:hAnsi="Garamond" w:cs="Garamond"/>
          <w:sz w:val="16"/>
        </w:rPr>
        <w:t xml:space="preserve">Assouline S, Buccheri V, Delmer A </w:t>
      </w:r>
      <w:r>
        <w:rPr>
          <w:rFonts w:ascii="Garamond" w:eastAsia="Garamond" w:hAnsi="Garamond" w:cs="Garamond"/>
          <w:i/>
          <w:sz w:val="16"/>
        </w:rPr>
        <w:t xml:space="preserve">et al. </w:t>
      </w:r>
      <w:r>
        <w:rPr>
          <w:rFonts w:ascii="Garamond" w:eastAsia="Garamond" w:hAnsi="Garamond" w:cs="Garamond"/>
          <w:sz w:val="16"/>
        </w:rPr>
        <w:t xml:space="preserve">Pharmacokinetics and safety of subcutaneous rituximab plus fludarabine and cyclophosphamide for patients with chronic lymphocytic leukaemia. </w:t>
      </w:r>
      <w:r>
        <w:rPr>
          <w:rFonts w:ascii="Garamond" w:eastAsia="Garamond" w:hAnsi="Garamond" w:cs="Garamond"/>
          <w:i/>
          <w:sz w:val="16"/>
        </w:rPr>
        <w:t xml:space="preserve">Br. J. Clin. Pharmacol. </w:t>
      </w:r>
      <w:r>
        <w:rPr>
          <w:rFonts w:ascii="Garamond" w:eastAsia="Garamond" w:hAnsi="Garamond" w:cs="Garamond"/>
          <w:sz w:val="16"/>
        </w:rPr>
        <w:t>80(5), 1001–1009 (2015).</w:t>
      </w:r>
    </w:p>
    <w:p w:rsidR="0009028B" w:rsidRDefault="002A6AB4">
      <w:pPr>
        <w:numPr>
          <w:ilvl w:val="0"/>
          <w:numId w:val="3"/>
        </w:numPr>
        <w:spacing w:after="47" w:line="289" w:lineRule="auto"/>
        <w:ind w:hanging="339"/>
      </w:pPr>
      <w:r>
        <w:rPr>
          <w:rFonts w:ascii="Garamond" w:eastAsia="Garamond" w:hAnsi="Garamond" w:cs="Garamond"/>
          <w:sz w:val="16"/>
        </w:rPr>
        <w:lastRenderedPageBreak/>
        <w:t>Assouline S, B</w:t>
      </w:r>
      <w:r>
        <w:rPr>
          <w:rFonts w:ascii="Garamond" w:eastAsia="Garamond" w:hAnsi="Garamond" w:cs="Garamond"/>
          <w:sz w:val="16"/>
        </w:rPr>
        <w:t xml:space="preserve">uccheri V, Delmer A </w:t>
      </w:r>
      <w:r>
        <w:rPr>
          <w:rFonts w:ascii="Garamond" w:eastAsia="Garamond" w:hAnsi="Garamond" w:cs="Garamond"/>
          <w:i/>
          <w:sz w:val="16"/>
        </w:rPr>
        <w:t xml:space="preserve">et al. </w:t>
      </w:r>
      <w:r>
        <w:rPr>
          <w:rFonts w:ascii="Garamond" w:eastAsia="Garamond" w:hAnsi="Garamond" w:cs="Garamond"/>
          <w:sz w:val="16"/>
        </w:rPr>
        <w:t xml:space="preserve">Pharmacokinetics, safety, and efficacy of subcutaneous versus intravenous rituximab plus chemotherapy as treatment for chronic lymphocytic leukaemia (SAWYER): a Phase IB, open-label, randomised controlled non-inferiority trial. </w:t>
      </w:r>
      <w:r>
        <w:rPr>
          <w:rFonts w:ascii="Garamond" w:eastAsia="Garamond" w:hAnsi="Garamond" w:cs="Garamond"/>
          <w:i/>
          <w:sz w:val="16"/>
        </w:rPr>
        <w:t xml:space="preserve">Lancet Haematol. </w:t>
      </w:r>
      <w:r>
        <w:rPr>
          <w:rFonts w:ascii="Garamond" w:eastAsia="Garamond" w:hAnsi="Garamond" w:cs="Garamond"/>
          <w:sz w:val="16"/>
        </w:rPr>
        <w:t>3(3), e128–e138 (2016).</w:t>
      </w:r>
    </w:p>
    <w:p w:rsidR="0009028B" w:rsidRDefault="002A6AB4">
      <w:pPr>
        <w:spacing w:after="3" w:line="420" w:lineRule="auto"/>
        <w:ind w:left="334" w:hanging="349"/>
      </w:pPr>
      <w:r>
        <w:rPr>
          <w:sz w:val="16"/>
        </w:rPr>
        <w:t xml:space="preserve">•• </w:t>
      </w:r>
      <w:r>
        <w:rPr>
          <w:rFonts w:ascii="Garamond" w:eastAsia="Garamond" w:hAnsi="Garamond" w:cs="Garamond"/>
          <w:b/>
          <w:sz w:val="16"/>
        </w:rPr>
        <w:t>The dose confirmation, safety and efficacy study for the use of sc. rituximab in the first-line treatment of chronic lymphocytic lymphoma, in combination with fludarabine and cyclophosphamide chemotherapy.</w:t>
      </w:r>
    </w:p>
    <w:p w:rsidR="0009028B" w:rsidRDefault="002A6AB4">
      <w:pPr>
        <w:numPr>
          <w:ilvl w:val="0"/>
          <w:numId w:val="3"/>
        </w:numPr>
        <w:spacing w:after="47" w:line="289" w:lineRule="auto"/>
        <w:ind w:hanging="339"/>
      </w:pPr>
      <w:r>
        <w:rPr>
          <w:rFonts w:ascii="Garamond" w:eastAsia="Garamond" w:hAnsi="Garamond" w:cs="Garamond"/>
          <w:sz w:val="16"/>
        </w:rPr>
        <w:t>Lugten</w:t>
      </w:r>
      <w:r>
        <w:rPr>
          <w:rFonts w:ascii="Garamond" w:eastAsia="Garamond" w:hAnsi="Garamond" w:cs="Garamond"/>
          <w:sz w:val="16"/>
        </w:rPr>
        <w:t xml:space="preserve">burg P, Avivi I, Berenschot H </w:t>
      </w:r>
      <w:r>
        <w:rPr>
          <w:rFonts w:ascii="Garamond" w:eastAsia="Garamond" w:hAnsi="Garamond" w:cs="Garamond"/>
          <w:i/>
          <w:sz w:val="16"/>
        </w:rPr>
        <w:t xml:space="preserve">et al. </w:t>
      </w:r>
      <w:r>
        <w:rPr>
          <w:rFonts w:ascii="Garamond" w:eastAsia="Garamond" w:hAnsi="Garamond" w:cs="Garamond"/>
          <w:sz w:val="16"/>
        </w:rPr>
        <w:t xml:space="preserve">Efficacy and safety of subcutaneous and intravenous rituximab plus cyclophosphamide, doxorubicin, vincristine, and prednisone in first-line diffuse large B-cell lymphoma: the randomized MabEase study. </w:t>
      </w:r>
      <w:r>
        <w:rPr>
          <w:rFonts w:ascii="Garamond" w:eastAsia="Garamond" w:hAnsi="Garamond" w:cs="Garamond"/>
          <w:i/>
          <w:sz w:val="16"/>
        </w:rPr>
        <w:t xml:space="preserve">Haematologica </w:t>
      </w:r>
      <w:r>
        <w:rPr>
          <w:rFonts w:ascii="Garamond" w:eastAsia="Garamond" w:hAnsi="Garamond" w:cs="Garamond"/>
          <w:sz w:val="16"/>
        </w:rPr>
        <w:t>102(</w:t>
      </w:r>
      <w:r>
        <w:rPr>
          <w:rFonts w:ascii="Garamond" w:eastAsia="Garamond" w:hAnsi="Garamond" w:cs="Garamond"/>
          <w:sz w:val="16"/>
        </w:rPr>
        <w:t>11), 1913–1922 (2017).</w:t>
      </w:r>
    </w:p>
    <w:p w:rsidR="0009028B" w:rsidRDefault="002A6AB4">
      <w:pPr>
        <w:spacing w:after="3" w:line="420" w:lineRule="auto"/>
        <w:ind w:left="334" w:hanging="349"/>
      </w:pPr>
      <w:r>
        <w:rPr>
          <w:sz w:val="16"/>
        </w:rPr>
        <w:t xml:space="preserve">•• </w:t>
      </w:r>
      <w:r>
        <w:rPr>
          <w:rFonts w:ascii="Garamond" w:eastAsia="Garamond" w:hAnsi="Garamond" w:cs="Garamond"/>
          <w:b/>
          <w:sz w:val="16"/>
        </w:rPr>
        <w:t>Phase IIIb multicenter randomized study in previously untreated diffuse large B-cell lymphoma demonstrating equivalent efficacy with sc. versus iv. rituximab in combination the CHOP chemotherapy.</w:t>
      </w:r>
    </w:p>
    <w:p w:rsidR="0009028B" w:rsidRDefault="002A6AB4">
      <w:pPr>
        <w:numPr>
          <w:ilvl w:val="0"/>
          <w:numId w:val="3"/>
        </w:numPr>
        <w:spacing w:after="43" w:line="289" w:lineRule="auto"/>
        <w:ind w:hanging="339"/>
      </w:pPr>
      <w:r>
        <w:rPr>
          <w:rFonts w:ascii="Garamond" w:eastAsia="Garamond" w:hAnsi="Garamond" w:cs="Garamond"/>
          <w:sz w:val="16"/>
        </w:rPr>
        <w:t xml:space="preserve">Rummel M, Kim TM, Aversa F </w:t>
      </w:r>
      <w:r>
        <w:rPr>
          <w:rFonts w:ascii="Garamond" w:eastAsia="Garamond" w:hAnsi="Garamond" w:cs="Garamond"/>
          <w:i/>
          <w:sz w:val="16"/>
        </w:rPr>
        <w:t xml:space="preserve">et al. </w:t>
      </w:r>
      <w:r>
        <w:rPr>
          <w:rFonts w:ascii="Garamond" w:eastAsia="Garamond" w:hAnsi="Garamond" w:cs="Garamond"/>
          <w:sz w:val="16"/>
        </w:rPr>
        <w:t>Preference for subcutaneous or intravenous administration of rituximab among patients with untreated CD20</w:t>
      </w:r>
      <w:r>
        <w:rPr>
          <w:sz w:val="12"/>
        </w:rPr>
        <w:t xml:space="preserve">+ </w:t>
      </w:r>
      <w:r>
        <w:rPr>
          <w:rFonts w:ascii="Garamond" w:eastAsia="Garamond" w:hAnsi="Garamond" w:cs="Garamond"/>
          <w:sz w:val="16"/>
        </w:rPr>
        <w:t xml:space="preserve">diffuse large B-cell lymphoma or follicular lymphoma: results from a prospective, randomized, open-label, crossover study (PrefMab). </w:t>
      </w:r>
      <w:r>
        <w:rPr>
          <w:rFonts w:ascii="Garamond" w:eastAsia="Garamond" w:hAnsi="Garamond" w:cs="Garamond"/>
          <w:i/>
          <w:sz w:val="16"/>
        </w:rPr>
        <w:t xml:space="preserve">Ann. Oncol. </w:t>
      </w:r>
      <w:r>
        <w:rPr>
          <w:rFonts w:ascii="Garamond" w:eastAsia="Garamond" w:hAnsi="Garamond" w:cs="Garamond"/>
          <w:sz w:val="16"/>
        </w:rPr>
        <w:t>28(4</w:t>
      </w:r>
      <w:r>
        <w:rPr>
          <w:rFonts w:ascii="Garamond" w:eastAsia="Garamond" w:hAnsi="Garamond" w:cs="Garamond"/>
          <w:sz w:val="16"/>
        </w:rPr>
        <w:t>), 836–842 (2016).</w:t>
      </w:r>
    </w:p>
    <w:p w:rsidR="0009028B" w:rsidRDefault="002A6AB4">
      <w:pPr>
        <w:spacing w:after="31" w:line="349" w:lineRule="auto"/>
        <w:ind w:left="334" w:hanging="349"/>
      </w:pPr>
      <w:r>
        <w:rPr>
          <w:sz w:val="16"/>
        </w:rPr>
        <w:t>•</w:t>
      </w:r>
      <w:r>
        <w:rPr>
          <w:sz w:val="16"/>
        </w:rPr>
        <w:tab/>
      </w:r>
      <w:r>
        <w:rPr>
          <w:rFonts w:ascii="Garamond" w:eastAsia="Garamond" w:hAnsi="Garamond" w:cs="Garamond"/>
          <w:b/>
          <w:sz w:val="16"/>
        </w:rPr>
        <w:t>Phase IIIB randomized crossover study demonstrating patient preference for sc. rather than iv. rituximab when combined with CHOP or cyclophosphamide, vincristine and prednisolone chemotherapy in treatment of previously untreated diffus</w:t>
      </w:r>
      <w:r>
        <w:rPr>
          <w:rFonts w:ascii="Garamond" w:eastAsia="Garamond" w:hAnsi="Garamond" w:cs="Garamond"/>
          <w:b/>
          <w:sz w:val="16"/>
        </w:rPr>
        <w:t>e large B-cell lymphoma.</w:t>
      </w:r>
    </w:p>
    <w:p w:rsidR="0009028B" w:rsidRDefault="002A6AB4">
      <w:pPr>
        <w:numPr>
          <w:ilvl w:val="0"/>
          <w:numId w:val="4"/>
        </w:numPr>
        <w:spacing w:after="77" w:line="289" w:lineRule="auto"/>
        <w:ind w:hanging="339"/>
      </w:pPr>
      <w:r>
        <w:rPr>
          <w:rFonts w:ascii="Garamond" w:eastAsia="Garamond" w:hAnsi="Garamond" w:cs="Garamond"/>
          <w:sz w:val="16"/>
        </w:rPr>
        <w:t>US Food and Drug Administration. FDA approves rituximab plus hyaluronidase combination for treatment of FL, DLBCL and CLL. (2017). www.fda.gov/Drugs/InformationOnDrugs/ApprovedDrugs/ucm564235.htm.</w:t>
      </w:r>
    </w:p>
    <w:p w:rsidR="0009028B" w:rsidRDefault="002A6AB4">
      <w:pPr>
        <w:numPr>
          <w:ilvl w:val="0"/>
          <w:numId w:val="4"/>
        </w:numPr>
        <w:spacing w:after="77" w:line="289" w:lineRule="auto"/>
        <w:ind w:hanging="339"/>
      </w:pPr>
      <w:r>
        <w:rPr>
          <w:rFonts w:ascii="Garamond" w:eastAsia="Garamond" w:hAnsi="Garamond" w:cs="Garamond"/>
          <w:sz w:val="16"/>
        </w:rPr>
        <w:t xml:space="preserve">Rule S, Briones J, Smith R </w:t>
      </w:r>
      <w:r>
        <w:rPr>
          <w:rFonts w:ascii="Garamond" w:eastAsia="Garamond" w:hAnsi="Garamond" w:cs="Garamond"/>
          <w:i/>
          <w:sz w:val="16"/>
        </w:rPr>
        <w:t xml:space="preserve">et al. </w:t>
      </w:r>
      <w:r>
        <w:rPr>
          <w:rFonts w:ascii="Garamond" w:eastAsia="Garamond" w:hAnsi="Garamond" w:cs="Garamond"/>
          <w:sz w:val="16"/>
        </w:rPr>
        <w:t>Preference for rituximab subcutaneous (SC) and intravenous (IV) among patients with CD20</w:t>
      </w:r>
      <w:r>
        <w:rPr>
          <w:sz w:val="12"/>
        </w:rPr>
        <w:t xml:space="preserve">+ </w:t>
      </w:r>
      <w:r>
        <w:rPr>
          <w:rFonts w:ascii="Garamond" w:eastAsia="Garamond" w:hAnsi="Garamond" w:cs="Garamond"/>
          <w:sz w:val="16"/>
        </w:rPr>
        <w:t xml:space="preserve">non-Hodgkin’s lymphoma (NHL) completing the RASQ measure in randomized Phase III studies prefmab and mabcute. </w:t>
      </w:r>
      <w:r>
        <w:rPr>
          <w:rFonts w:ascii="Garamond" w:eastAsia="Garamond" w:hAnsi="Garamond" w:cs="Garamond"/>
          <w:i/>
          <w:sz w:val="16"/>
        </w:rPr>
        <w:t xml:space="preserve">Value Health </w:t>
      </w:r>
      <w:r>
        <w:rPr>
          <w:rFonts w:ascii="Garamond" w:eastAsia="Garamond" w:hAnsi="Garamond" w:cs="Garamond"/>
          <w:sz w:val="16"/>
        </w:rPr>
        <w:t>17(7), A537 (2014).</w:t>
      </w:r>
    </w:p>
    <w:p w:rsidR="0009028B" w:rsidRDefault="002A6AB4">
      <w:pPr>
        <w:numPr>
          <w:ilvl w:val="0"/>
          <w:numId w:val="4"/>
        </w:numPr>
        <w:spacing w:after="46" w:line="289" w:lineRule="auto"/>
        <w:ind w:hanging="339"/>
      </w:pPr>
      <w:r>
        <w:rPr>
          <w:rFonts w:ascii="Garamond" w:eastAsia="Garamond" w:hAnsi="Garamond" w:cs="Garamond"/>
          <w:sz w:val="16"/>
        </w:rPr>
        <w:t xml:space="preserve">De Cock E, Kritikou P, </w:t>
      </w:r>
      <w:r>
        <w:rPr>
          <w:rFonts w:ascii="Garamond" w:eastAsia="Garamond" w:hAnsi="Garamond" w:cs="Garamond"/>
          <w:sz w:val="16"/>
        </w:rPr>
        <w:t xml:space="preserve">Sandoval M </w:t>
      </w:r>
      <w:r>
        <w:rPr>
          <w:rFonts w:ascii="Garamond" w:eastAsia="Garamond" w:hAnsi="Garamond" w:cs="Garamond"/>
          <w:i/>
          <w:sz w:val="16"/>
        </w:rPr>
        <w:t xml:space="preserve">et al. </w:t>
      </w:r>
      <w:r>
        <w:rPr>
          <w:rFonts w:ascii="Garamond" w:eastAsia="Garamond" w:hAnsi="Garamond" w:cs="Garamond"/>
          <w:sz w:val="16"/>
        </w:rPr>
        <w:t xml:space="preserve">Time savings with rituximab subcutaneous injection versus rituximab intravenous infusion: a time and motion study in eight countries. </w:t>
      </w:r>
      <w:r>
        <w:rPr>
          <w:rFonts w:ascii="Garamond" w:eastAsia="Garamond" w:hAnsi="Garamond" w:cs="Garamond"/>
          <w:i/>
          <w:sz w:val="16"/>
        </w:rPr>
        <w:t xml:space="preserve">PLoS ONE </w:t>
      </w:r>
      <w:r>
        <w:rPr>
          <w:rFonts w:ascii="Garamond" w:eastAsia="Garamond" w:hAnsi="Garamond" w:cs="Garamond"/>
          <w:sz w:val="16"/>
        </w:rPr>
        <w:t>11(6), e0157957 (2016).</w:t>
      </w:r>
    </w:p>
    <w:p w:rsidR="0009028B" w:rsidRDefault="002A6AB4">
      <w:pPr>
        <w:spacing w:after="3" w:line="420" w:lineRule="auto"/>
        <w:ind w:left="334" w:hanging="349"/>
      </w:pPr>
      <w:r>
        <w:rPr>
          <w:sz w:val="16"/>
        </w:rPr>
        <w:t>•</w:t>
      </w:r>
      <w:r>
        <w:rPr>
          <w:sz w:val="16"/>
        </w:rPr>
        <w:tab/>
      </w:r>
      <w:r>
        <w:rPr>
          <w:rFonts w:ascii="Garamond" w:eastAsia="Garamond" w:hAnsi="Garamond" w:cs="Garamond"/>
          <w:b/>
          <w:sz w:val="16"/>
        </w:rPr>
        <w:t xml:space="preserve">Study demonstrating reduction in active healthcare professional time </w:t>
      </w:r>
      <w:r>
        <w:rPr>
          <w:rFonts w:ascii="Garamond" w:eastAsia="Garamond" w:hAnsi="Garamond" w:cs="Garamond"/>
          <w:b/>
          <w:sz w:val="16"/>
        </w:rPr>
        <w:t>as well as oncology unit chair time when rituximab is administered subcutaneously rather than intravenously.</w:t>
      </w:r>
    </w:p>
    <w:p w:rsidR="0009028B" w:rsidRDefault="0009028B">
      <w:pPr>
        <w:sectPr w:rsidR="0009028B">
          <w:headerReference w:type="even" r:id="rId12"/>
          <w:headerReference w:type="default" r:id="rId13"/>
          <w:footerReference w:type="even" r:id="rId14"/>
          <w:footerReference w:type="default" r:id="rId15"/>
          <w:headerReference w:type="first" r:id="rId16"/>
          <w:footerReference w:type="first" r:id="rId17"/>
          <w:pgSz w:w="11798" w:h="15872"/>
          <w:pgMar w:top="859" w:right="576" w:bottom="410" w:left="1018" w:header="720" w:footer="720" w:gutter="0"/>
          <w:cols w:space="720"/>
          <w:titlePg/>
        </w:sectPr>
      </w:pPr>
    </w:p>
    <w:p w:rsidR="0009028B" w:rsidRDefault="0009028B">
      <w:pPr>
        <w:spacing w:after="0"/>
      </w:pPr>
    </w:p>
    <w:sectPr w:rsidR="0009028B">
      <w:headerReference w:type="even" r:id="rId18"/>
      <w:headerReference w:type="default" r:id="rId19"/>
      <w:footerReference w:type="even" r:id="rId20"/>
      <w:footerReference w:type="default" r:id="rId21"/>
      <w:headerReference w:type="first" r:id="rId22"/>
      <w:footerReference w:type="first" r:id="rId23"/>
      <w:pgSz w:w="11798" w:h="15872"/>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A6AB4">
      <w:pPr>
        <w:spacing w:after="0" w:line="240" w:lineRule="auto"/>
      </w:pPr>
      <w:r>
        <w:separator/>
      </w:r>
    </w:p>
  </w:endnote>
  <w:endnote w:type="continuationSeparator" w:id="0">
    <w:p w:rsidR="00000000" w:rsidRDefault="002A6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2A6AB4">
    <w:pPr>
      <w:spacing w:after="0"/>
      <w:ind w:left="-1018" w:right="453"/>
    </w:pPr>
    <w:r>
      <w:rPr>
        <w:noProof/>
      </w:rPr>
      <mc:AlternateContent>
        <mc:Choice Requires="wpg">
          <w:drawing>
            <wp:anchor distT="0" distB="0" distL="114300" distR="114300" simplePos="0" relativeHeight="251658240" behindDoc="0" locked="0" layoutInCell="1" allowOverlap="1">
              <wp:simplePos x="0" y="0"/>
              <wp:positionH relativeFrom="page">
                <wp:posOffset>358445</wp:posOffset>
              </wp:positionH>
              <wp:positionV relativeFrom="page">
                <wp:posOffset>9527387</wp:posOffset>
              </wp:positionV>
              <wp:extent cx="6480010" cy="289784"/>
              <wp:effectExtent l="0" t="0" r="0" b="0"/>
              <wp:wrapSquare wrapText="bothSides"/>
              <wp:docPr id="16601" name="Group 16601"/>
              <wp:cNvGraphicFramePr/>
              <a:graphic xmlns:a="http://schemas.openxmlformats.org/drawingml/2006/main">
                <a:graphicData uri="http://schemas.microsoft.com/office/word/2010/wordprocessingGroup">
                  <wpg:wgp>
                    <wpg:cNvGrpSpPr/>
                    <wpg:grpSpPr>
                      <a:xfrm>
                        <a:off x="0" y="0"/>
                        <a:ext cx="6480010" cy="289784"/>
                        <a:chOff x="0" y="0"/>
                        <a:chExt cx="6480010" cy="289784"/>
                      </a:xfrm>
                    </wpg:grpSpPr>
                    <wps:wsp>
                      <wps:cNvPr id="16602" name="Shape 16602"/>
                      <wps:cNvSpPr/>
                      <wps:spPr>
                        <a:xfrm>
                          <a:off x="0" y="0"/>
                          <a:ext cx="6480010" cy="0"/>
                        </a:xfrm>
                        <a:custGeom>
                          <a:avLst/>
                          <a:gdLst/>
                          <a:ahLst/>
                          <a:cxnLst/>
                          <a:rect l="0" t="0" r="0" b="0"/>
                          <a:pathLst>
                            <a:path w="6480010">
                              <a:moveTo>
                                <a:pt x="0" y="0"/>
                              </a:moveTo>
                              <a:lnTo>
                                <a:pt x="6480010" y="0"/>
                              </a:lnTo>
                            </a:path>
                          </a:pathLst>
                        </a:custGeom>
                        <a:ln w="5144" cap="flat">
                          <a:miter lim="127000"/>
                        </a:ln>
                      </wps:spPr>
                      <wps:style>
                        <a:lnRef idx="1">
                          <a:srgbClr val="211F1F"/>
                        </a:lnRef>
                        <a:fillRef idx="0">
                          <a:srgbClr val="000000">
                            <a:alpha val="0"/>
                          </a:srgbClr>
                        </a:fillRef>
                        <a:effectRef idx="0">
                          <a:scrgbClr r="0" g="0" b="0"/>
                        </a:effectRef>
                        <a:fontRef idx="none"/>
                      </wps:style>
                      <wps:bodyPr/>
                    </wps:wsp>
                    <wps:wsp>
                      <wps:cNvPr id="16613" name="Rectangle 16613"/>
                      <wps:cNvSpPr/>
                      <wps:spPr>
                        <a:xfrm>
                          <a:off x="0" y="195143"/>
                          <a:ext cx="417520" cy="125872"/>
                        </a:xfrm>
                        <a:prstGeom prst="rect">
                          <a:avLst/>
                        </a:prstGeom>
                        <a:ln>
                          <a:noFill/>
                        </a:ln>
                      </wps:spPr>
                      <wps:txbx>
                        <w:txbxContent>
                          <w:p w:rsidR="0009028B" w:rsidRDefault="002A6AB4">
                            <w:r>
                              <w:rPr>
                                <w:color w:val="211F1F"/>
                                <w:sz w:val="16"/>
                              </w:rPr>
                              <w:t>10.2217</w:t>
                            </w:r>
                          </w:p>
                        </w:txbxContent>
                      </wps:txbx>
                      <wps:bodyPr horzOverflow="overflow" vert="horz" lIns="0" tIns="0" rIns="0" bIns="0" rtlCol="0">
                        <a:noAutofit/>
                      </wps:bodyPr>
                    </wps:wsp>
                    <wps:wsp>
                      <wps:cNvPr id="16614" name="Rectangle 16614"/>
                      <wps:cNvSpPr/>
                      <wps:spPr>
                        <a:xfrm>
                          <a:off x="313914" y="195143"/>
                          <a:ext cx="226261" cy="125872"/>
                        </a:xfrm>
                        <a:prstGeom prst="rect">
                          <a:avLst/>
                        </a:prstGeom>
                        <a:ln>
                          <a:noFill/>
                        </a:ln>
                      </wps:spPr>
                      <wps:txbx>
                        <w:txbxContent>
                          <w:p w:rsidR="0009028B" w:rsidRDefault="002A6AB4">
                            <w:r>
                              <w:rPr>
                                <w:color w:val="211F1F"/>
                                <w:sz w:val="16"/>
                              </w:rPr>
                              <w:t>/fon</w:t>
                            </w:r>
                          </w:p>
                        </w:txbxContent>
                      </wps:txbx>
                      <wps:bodyPr horzOverflow="overflow" vert="horz" lIns="0" tIns="0" rIns="0" bIns="0" rtlCol="0">
                        <a:noAutofit/>
                      </wps:bodyPr>
                    </wps:wsp>
                    <wps:wsp>
                      <wps:cNvPr id="16615" name="Rectangle 16615"/>
                      <wps:cNvSpPr/>
                      <wps:spPr>
                        <a:xfrm>
                          <a:off x="484025" y="195143"/>
                          <a:ext cx="605682" cy="125872"/>
                        </a:xfrm>
                        <a:prstGeom prst="rect">
                          <a:avLst/>
                        </a:prstGeom>
                        <a:ln>
                          <a:noFill/>
                        </a:ln>
                      </wps:spPr>
                      <wps:txbx>
                        <w:txbxContent>
                          <w:p w:rsidR="0009028B" w:rsidRDefault="002A6AB4">
                            <w:r>
                              <w:rPr>
                                <w:color w:val="211F1F"/>
                                <w:sz w:val="16"/>
                              </w:rPr>
                              <w:t>-2017-0574</w:t>
                            </w:r>
                          </w:p>
                        </w:txbxContent>
                      </wps:txbx>
                      <wps:bodyPr horzOverflow="overflow" vert="horz" lIns="0" tIns="0" rIns="0" bIns="0" rtlCol="0">
                        <a:noAutofit/>
                      </wps:bodyPr>
                    </wps:wsp>
                    <wps:wsp>
                      <wps:cNvPr id="16616" name="Rectangle 16616"/>
                      <wps:cNvSpPr/>
                      <wps:spPr>
                        <a:xfrm>
                          <a:off x="2986767" y="195245"/>
                          <a:ext cx="750631" cy="125737"/>
                        </a:xfrm>
                        <a:prstGeom prst="rect">
                          <a:avLst/>
                        </a:prstGeom>
                        <a:ln>
                          <a:noFill/>
                        </a:ln>
                      </wps:spPr>
                      <wps:txbx>
                        <w:txbxContent>
                          <w:p w:rsidR="0009028B" w:rsidRDefault="002A6AB4">
                            <w:r>
                              <w:rPr>
                                <w:b/>
                                <w:i/>
                                <w:color w:val="211F1F"/>
                                <w:sz w:val="16"/>
                              </w:rPr>
                              <w:t>Future</w:t>
                            </w:r>
                            <w:r>
                              <w:rPr>
                                <w:b/>
                                <w:i/>
                                <w:color w:val="211F1F"/>
                                <w:spacing w:val="-7"/>
                                <w:sz w:val="16"/>
                              </w:rPr>
                              <w:t xml:space="preserve"> </w:t>
                            </w:r>
                            <w:r>
                              <w:rPr>
                                <w:b/>
                                <w:i/>
                                <w:color w:val="211F1F"/>
                                <w:sz w:val="16"/>
                              </w:rPr>
                              <w:t>Oncol.</w:t>
                            </w:r>
                          </w:p>
                        </w:txbxContent>
                      </wps:txbx>
                      <wps:bodyPr horzOverflow="overflow" vert="horz" lIns="0" tIns="0" rIns="0" bIns="0" rtlCol="0">
                        <a:noAutofit/>
                      </wps:bodyPr>
                    </wps:wsp>
                    <wps:wsp>
                      <wps:cNvPr id="16617" name="Rectangle 16617"/>
                      <wps:cNvSpPr/>
                      <wps:spPr>
                        <a:xfrm>
                          <a:off x="3573359" y="195143"/>
                          <a:ext cx="35675" cy="125872"/>
                        </a:xfrm>
                        <a:prstGeom prst="rect">
                          <a:avLst/>
                        </a:prstGeom>
                        <a:ln>
                          <a:noFill/>
                        </a:ln>
                      </wps:spPr>
                      <wps:txbx>
                        <w:txbxContent>
                          <w:p w:rsidR="0009028B" w:rsidRDefault="002A6AB4">
                            <w:r>
                              <w:rPr>
                                <w:color w:val="211F1F"/>
                                <w:sz w:val="16"/>
                              </w:rPr>
                              <w:t>(</w:t>
                            </w:r>
                          </w:p>
                        </w:txbxContent>
                      </wps:txbx>
                      <wps:bodyPr horzOverflow="overflow" vert="horz" lIns="0" tIns="0" rIns="0" bIns="0" rtlCol="0">
                        <a:noAutofit/>
                      </wps:bodyPr>
                    </wps:wsp>
                    <wps:wsp>
                      <wps:cNvPr id="16618" name="Rectangle 16618"/>
                      <wps:cNvSpPr/>
                      <wps:spPr>
                        <a:xfrm>
                          <a:off x="3600172" y="195143"/>
                          <a:ext cx="1066847" cy="125872"/>
                        </a:xfrm>
                        <a:prstGeom prst="rect">
                          <a:avLst/>
                        </a:prstGeom>
                        <a:ln>
                          <a:noFill/>
                        </a:ln>
                      </wps:spPr>
                      <wps:txbx>
                        <w:txbxContent>
                          <w:p w:rsidR="0009028B" w:rsidRDefault="002A6AB4">
                            <w:r>
                              <w:rPr>
                                <w:color w:val="211F1F"/>
                                <w:sz w:val="16"/>
                              </w:rPr>
                              <w:t>Epub</w:t>
                            </w:r>
                            <w:r>
                              <w:rPr>
                                <w:color w:val="211F1F"/>
                                <w:spacing w:val="-1"/>
                                <w:sz w:val="16"/>
                              </w:rPr>
                              <w:t xml:space="preserve"> </w:t>
                            </w:r>
                            <w:r>
                              <w:rPr>
                                <w:color w:val="211F1F"/>
                                <w:sz w:val="16"/>
                              </w:rPr>
                              <w:t>ahead</w:t>
                            </w:r>
                            <w:r>
                              <w:rPr>
                                <w:color w:val="211F1F"/>
                                <w:spacing w:val="-1"/>
                                <w:sz w:val="16"/>
                              </w:rPr>
                              <w:t xml:space="preserve"> </w:t>
                            </w:r>
                            <w:r>
                              <w:rPr>
                                <w:color w:val="211F1F"/>
                                <w:sz w:val="16"/>
                              </w:rPr>
                              <w:t>of</w:t>
                            </w:r>
                            <w:r>
                              <w:rPr>
                                <w:color w:val="211F1F"/>
                                <w:spacing w:val="-1"/>
                                <w:sz w:val="16"/>
                              </w:rPr>
                              <w:t xml:space="preserve"> </w:t>
                            </w:r>
                            <w:r>
                              <w:rPr>
                                <w:color w:val="211F1F"/>
                                <w:sz w:val="16"/>
                              </w:rPr>
                              <w:t>print</w:t>
                            </w:r>
                          </w:p>
                        </w:txbxContent>
                      </wps:txbx>
                      <wps:bodyPr horzOverflow="overflow" vert="horz" lIns="0" tIns="0" rIns="0" bIns="0" rtlCol="0">
                        <a:noAutofit/>
                      </wps:bodyPr>
                    </wps:wsp>
                    <wps:wsp>
                      <wps:cNvPr id="16619" name="Rectangle 16619"/>
                      <wps:cNvSpPr/>
                      <wps:spPr>
                        <a:xfrm>
                          <a:off x="4402303" y="195143"/>
                          <a:ext cx="35675" cy="125872"/>
                        </a:xfrm>
                        <a:prstGeom prst="rect">
                          <a:avLst/>
                        </a:prstGeom>
                        <a:ln>
                          <a:noFill/>
                        </a:ln>
                      </wps:spPr>
                      <wps:txbx>
                        <w:txbxContent>
                          <w:p w:rsidR="0009028B" w:rsidRDefault="002A6AB4">
                            <w:r>
                              <w:rPr>
                                <w:color w:val="211F1F"/>
                                <w:sz w:val="16"/>
                              </w:rPr>
                              <w:t>)</w:t>
                            </w:r>
                          </w:p>
                        </w:txbxContent>
                      </wps:txbx>
                      <wps:bodyPr horzOverflow="overflow" vert="horz" lIns="0" tIns="0" rIns="0" bIns="0" rtlCol="0">
                        <a:noAutofit/>
                      </wps:bodyPr>
                    </wps:wsp>
                    <wps:wsp>
                      <wps:cNvPr id="16620" name="Rectangle 16620"/>
                      <wps:cNvSpPr/>
                      <wps:spPr>
                        <a:xfrm>
                          <a:off x="5441288" y="195143"/>
                          <a:ext cx="1115365" cy="125872"/>
                        </a:xfrm>
                        <a:prstGeom prst="rect">
                          <a:avLst/>
                        </a:prstGeom>
                        <a:ln>
                          <a:noFill/>
                        </a:ln>
                      </wps:spPr>
                      <wps:txbx>
                        <w:txbxContent>
                          <w:p w:rsidR="0009028B" w:rsidRDefault="002A6AB4">
                            <w:r>
                              <w:rPr>
                                <w:color w:val="211F1F"/>
                                <w:sz w:val="16"/>
                              </w:rPr>
                              <w:t>future</w:t>
                            </w:r>
                            <w:r>
                              <w:rPr>
                                <w:color w:val="211F1F"/>
                                <w:spacing w:val="-1"/>
                                <w:sz w:val="16"/>
                              </w:rPr>
                              <w:t xml:space="preserve"> </w:t>
                            </w:r>
                            <w:r>
                              <w:rPr>
                                <w:color w:val="211F1F"/>
                                <w:sz w:val="16"/>
                              </w:rPr>
                              <w:t>science</w:t>
                            </w:r>
                            <w:r>
                              <w:rPr>
                                <w:color w:val="211F1F"/>
                                <w:spacing w:val="-1"/>
                                <w:sz w:val="16"/>
                              </w:rPr>
                              <w:t xml:space="preserve"> </w:t>
                            </w:r>
                            <w:r>
                              <w:rPr>
                                <w:color w:val="211F1F"/>
                                <w:sz w:val="16"/>
                              </w:rPr>
                              <w:t>group</w:t>
                            </w:r>
                          </w:p>
                        </w:txbxContent>
                      </wps:txbx>
                      <wps:bodyPr horzOverflow="overflow" vert="horz" lIns="0" tIns="0" rIns="0" bIns="0" rtlCol="0">
                        <a:noAutofit/>
                      </wps:bodyPr>
                    </wps:wsp>
                    <wps:wsp>
                      <wps:cNvPr id="16603" name="Shape 16603"/>
                      <wps:cNvSpPr/>
                      <wps:spPr>
                        <a:xfrm>
                          <a:off x="6337326" y="154332"/>
                          <a:ext cx="1353" cy="10006"/>
                        </a:xfrm>
                        <a:custGeom>
                          <a:avLst/>
                          <a:gdLst/>
                          <a:ahLst/>
                          <a:cxnLst/>
                          <a:rect l="0" t="0" r="0" b="0"/>
                          <a:pathLst>
                            <a:path w="1353" h="10006">
                              <a:moveTo>
                                <a:pt x="1353" y="0"/>
                              </a:moveTo>
                              <a:lnTo>
                                <a:pt x="1353" y="10006"/>
                              </a:lnTo>
                              <a:lnTo>
                                <a:pt x="0" y="10006"/>
                              </a:lnTo>
                              <a:lnTo>
                                <a:pt x="0" y="5866"/>
                              </a:lnTo>
                              <a:lnTo>
                                <a:pt x="1353"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4" name="Shape 16604"/>
                      <wps:cNvSpPr/>
                      <wps:spPr>
                        <a:xfrm>
                          <a:off x="6309246" y="117060"/>
                          <a:ext cx="29432" cy="146579"/>
                        </a:xfrm>
                        <a:custGeom>
                          <a:avLst/>
                          <a:gdLst/>
                          <a:ahLst/>
                          <a:cxnLst/>
                          <a:rect l="0" t="0" r="0" b="0"/>
                          <a:pathLst>
                            <a:path w="29432" h="146579">
                              <a:moveTo>
                                <a:pt x="29432" y="0"/>
                              </a:moveTo>
                              <a:lnTo>
                                <a:pt x="29432" y="21197"/>
                              </a:lnTo>
                              <a:lnTo>
                                <a:pt x="25908" y="23250"/>
                              </a:lnTo>
                              <a:cubicBezTo>
                                <a:pt x="21475" y="27467"/>
                                <a:pt x="19126" y="34477"/>
                                <a:pt x="19126" y="43519"/>
                              </a:cubicBezTo>
                              <a:lnTo>
                                <a:pt x="19126" y="47279"/>
                              </a:lnTo>
                              <a:lnTo>
                                <a:pt x="10833" y="47279"/>
                              </a:lnTo>
                              <a:lnTo>
                                <a:pt x="10833" y="53742"/>
                              </a:lnTo>
                              <a:lnTo>
                                <a:pt x="19126" y="53742"/>
                              </a:lnTo>
                              <a:lnTo>
                                <a:pt x="19126" y="105380"/>
                              </a:lnTo>
                              <a:lnTo>
                                <a:pt x="28194" y="105380"/>
                              </a:lnTo>
                              <a:lnTo>
                                <a:pt x="28194" y="53742"/>
                              </a:lnTo>
                              <a:lnTo>
                                <a:pt x="29432" y="53742"/>
                              </a:lnTo>
                              <a:lnTo>
                                <a:pt x="29432" y="146579"/>
                              </a:lnTo>
                              <a:lnTo>
                                <a:pt x="11272" y="146579"/>
                              </a:lnTo>
                              <a:cubicBezTo>
                                <a:pt x="4702" y="146579"/>
                                <a:pt x="622" y="146579"/>
                                <a:pt x="622" y="146579"/>
                              </a:cubicBezTo>
                              <a:cubicBezTo>
                                <a:pt x="622" y="146579"/>
                                <a:pt x="546" y="130273"/>
                                <a:pt x="444" y="110347"/>
                              </a:cubicBezTo>
                              <a:lnTo>
                                <a:pt x="76" y="34883"/>
                              </a:lnTo>
                              <a:cubicBezTo>
                                <a:pt x="0" y="19929"/>
                                <a:pt x="9110" y="7017"/>
                                <a:pt x="22077" y="1497"/>
                              </a:cubicBezTo>
                              <a:lnTo>
                                <a:pt x="29432"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5" name="Shape 16605"/>
                      <wps:cNvSpPr/>
                      <wps:spPr>
                        <a:xfrm>
                          <a:off x="6364478" y="167174"/>
                          <a:ext cx="12014" cy="20224"/>
                        </a:xfrm>
                        <a:custGeom>
                          <a:avLst/>
                          <a:gdLst/>
                          <a:ahLst/>
                          <a:cxnLst/>
                          <a:rect l="0" t="0" r="0" b="0"/>
                          <a:pathLst>
                            <a:path w="12014" h="20224">
                              <a:moveTo>
                                <a:pt x="12014" y="0"/>
                              </a:moveTo>
                              <a:lnTo>
                                <a:pt x="12014" y="20224"/>
                              </a:lnTo>
                              <a:lnTo>
                                <a:pt x="5128" y="18016"/>
                              </a:lnTo>
                              <a:cubicBezTo>
                                <a:pt x="2051" y="16426"/>
                                <a:pt x="0" y="14144"/>
                                <a:pt x="0" y="10245"/>
                              </a:cubicBezTo>
                              <a:cubicBezTo>
                                <a:pt x="0" y="6715"/>
                                <a:pt x="1486" y="4083"/>
                                <a:pt x="3854" y="2333"/>
                              </a:cubicBezTo>
                              <a:lnTo>
                                <a:pt x="12014"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6" name="Shape 16606"/>
                      <wps:cNvSpPr/>
                      <wps:spPr>
                        <a:xfrm>
                          <a:off x="6338678" y="115697"/>
                          <a:ext cx="37814" cy="147942"/>
                        </a:xfrm>
                        <a:custGeom>
                          <a:avLst/>
                          <a:gdLst/>
                          <a:ahLst/>
                          <a:cxnLst/>
                          <a:rect l="0" t="0" r="0" b="0"/>
                          <a:pathLst>
                            <a:path w="37814" h="147942">
                              <a:moveTo>
                                <a:pt x="6699" y="0"/>
                              </a:moveTo>
                              <a:lnTo>
                                <a:pt x="37814" y="0"/>
                              </a:lnTo>
                              <a:lnTo>
                                <a:pt x="37814" y="44472"/>
                              </a:lnTo>
                              <a:lnTo>
                                <a:pt x="24908" y="48782"/>
                              </a:lnTo>
                              <a:cubicBezTo>
                                <a:pt x="21101" y="51876"/>
                                <a:pt x="18624" y="56394"/>
                                <a:pt x="18624" y="62090"/>
                              </a:cubicBezTo>
                              <a:cubicBezTo>
                                <a:pt x="18624" y="72986"/>
                                <a:pt x="26829" y="76174"/>
                                <a:pt x="35033" y="78589"/>
                              </a:cubicBezTo>
                              <a:lnTo>
                                <a:pt x="37814" y="79553"/>
                              </a:lnTo>
                              <a:lnTo>
                                <a:pt x="37814" y="101845"/>
                              </a:lnTo>
                              <a:lnTo>
                                <a:pt x="22460" y="95148"/>
                              </a:lnTo>
                              <a:lnTo>
                                <a:pt x="17011" y="99733"/>
                              </a:lnTo>
                              <a:cubicBezTo>
                                <a:pt x="21837" y="105422"/>
                                <a:pt x="28772" y="109144"/>
                                <a:pt x="36455" y="109144"/>
                              </a:cubicBezTo>
                              <a:lnTo>
                                <a:pt x="37814" y="108738"/>
                              </a:lnTo>
                              <a:lnTo>
                                <a:pt x="37814" y="147942"/>
                              </a:lnTo>
                              <a:lnTo>
                                <a:pt x="7435" y="147942"/>
                              </a:lnTo>
                              <a:lnTo>
                                <a:pt x="0" y="147942"/>
                              </a:lnTo>
                              <a:lnTo>
                                <a:pt x="0" y="55105"/>
                              </a:lnTo>
                              <a:lnTo>
                                <a:pt x="13125" y="55105"/>
                              </a:lnTo>
                              <a:lnTo>
                                <a:pt x="13125" y="48641"/>
                              </a:lnTo>
                              <a:lnTo>
                                <a:pt x="0" y="48641"/>
                              </a:lnTo>
                              <a:lnTo>
                                <a:pt x="0" y="38635"/>
                              </a:lnTo>
                              <a:lnTo>
                                <a:pt x="1797" y="30843"/>
                              </a:lnTo>
                              <a:cubicBezTo>
                                <a:pt x="3892" y="27797"/>
                                <a:pt x="7029" y="26264"/>
                                <a:pt x="11195" y="26264"/>
                              </a:cubicBezTo>
                              <a:cubicBezTo>
                                <a:pt x="14052" y="26264"/>
                                <a:pt x="16046" y="26746"/>
                                <a:pt x="17532" y="27280"/>
                              </a:cubicBezTo>
                              <a:cubicBezTo>
                                <a:pt x="17773" y="25768"/>
                                <a:pt x="18421" y="21768"/>
                                <a:pt x="18599" y="20713"/>
                              </a:cubicBezTo>
                              <a:cubicBezTo>
                                <a:pt x="16922" y="20091"/>
                                <a:pt x="14091" y="19291"/>
                                <a:pt x="10331" y="19291"/>
                              </a:cubicBezTo>
                              <a:cubicBezTo>
                                <a:pt x="8768" y="19291"/>
                                <a:pt x="6499" y="19465"/>
                                <a:pt x="4022" y="20218"/>
                              </a:cubicBezTo>
                              <a:lnTo>
                                <a:pt x="0" y="22560"/>
                              </a:lnTo>
                              <a:lnTo>
                                <a:pt x="0" y="1363"/>
                              </a:lnTo>
                              <a:lnTo>
                                <a:pt x="6699"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7" name="Shape 16607"/>
                      <wps:cNvSpPr/>
                      <wps:spPr>
                        <a:xfrm>
                          <a:off x="6376492" y="195249"/>
                          <a:ext cx="13627" cy="22403"/>
                        </a:xfrm>
                        <a:custGeom>
                          <a:avLst/>
                          <a:gdLst/>
                          <a:ahLst/>
                          <a:cxnLst/>
                          <a:rect l="0" t="0" r="0" b="0"/>
                          <a:pathLst>
                            <a:path w="13627" h="22403">
                              <a:moveTo>
                                <a:pt x="0" y="0"/>
                              </a:moveTo>
                              <a:lnTo>
                                <a:pt x="8499" y="2946"/>
                              </a:lnTo>
                              <a:cubicBezTo>
                                <a:pt x="11576" y="4634"/>
                                <a:pt x="13627" y="6995"/>
                                <a:pt x="13627" y="10897"/>
                              </a:cubicBezTo>
                              <a:cubicBezTo>
                                <a:pt x="13627" y="18568"/>
                                <a:pt x="7556" y="22403"/>
                                <a:pt x="254" y="22403"/>
                              </a:cubicBezTo>
                              <a:lnTo>
                                <a:pt x="0" y="22292"/>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8" name="Shape 16608"/>
                      <wps:cNvSpPr/>
                      <wps:spPr>
                        <a:xfrm>
                          <a:off x="6412281" y="166395"/>
                          <a:ext cx="18885" cy="32321"/>
                        </a:xfrm>
                        <a:custGeom>
                          <a:avLst/>
                          <a:gdLst/>
                          <a:ahLst/>
                          <a:cxnLst/>
                          <a:rect l="0" t="0" r="0" b="0"/>
                          <a:pathLst>
                            <a:path w="18885" h="32321">
                              <a:moveTo>
                                <a:pt x="18821" y="0"/>
                              </a:moveTo>
                              <a:lnTo>
                                <a:pt x="18885" y="21"/>
                              </a:lnTo>
                              <a:lnTo>
                                <a:pt x="18885" y="32261"/>
                              </a:lnTo>
                              <a:lnTo>
                                <a:pt x="18694" y="32321"/>
                              </a:lnTo>
                              <a:cubicBezTo>
                                <a:pt x="9284" y="32321"/>
                                <a:pt x="0" y="26619"/>
                                <a:pt x="0" y="16472"/>
                              </a:cubicBezTo>
                              <a:cubicBezTo>
                                <a:pt x="0" y="6070"/>
                                <a:pt x="9525" y="0"/>
                                <a:pt x="18821"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09" name="Shape 16609"/>
                      <wps:cNvSpPr/>
                      <wps:spPr>
                        <a:xfrm>
                          <a:off x="6376492" y="115697"/>
                          <a:ext cx="54673" cy="147942"/>
                        </a:xfrm>
                        <a:custGeom>
                          <a:avLst/>
                          <a:gdLst/>
                          <a:ahLst/>
                          <a:cxnLst/>
                          <a:rect l="0" t="0" r="0" b="0"/>
                          <a:pathLst>
                            <a:path w="54673" h="147942">
                              <a:moveTo>
                                <a:pt x="0" y="0"/>
                              </a:moveTo>
                              <a:lnTo>
                                <a:pt x="54673" y="0"/>
                              </a:lnTo>
                              <a:lnTo>
                                <a:pt x="54673" y="44024"/>
                              </a:lnTo>
                              <a:lnTo>
                                <a:pt x="54483" y="44018"/>
                              </a:lnTo>
                              <a:cubicBezTo>
                                <a:pt x="40487" y="44018"/>
                                <a:pt x="28601" y="52680"/>
                                <a:pt x="28601" y="67539"/>
                              </a:cubicBezTo>
                              <a:cubicBezTo>
                                <a:pt x="28601" y="74714"/>
                                <a:pt x="34175" y="82270"/>
                                <a:pt x="40615" y="85115"/>
                              </a:cubicBezTo>
                              <a:lnTo>
                                <a:pt x="38011" y="93294"/>
                              </a:lnTo>
                              <a:cubicBezTo>
                                <a:pt x="43586" y="91186"/>
                                <a:pt x="48298" y="89700"/>
                                <a:pt x="54242" y="89700"/>
                              </a:cubicBezTo>
                              <a:lnTo>
                                <a:pt x="54673" y="89857"/>
                              </a:lnTo>
                              <a:lnTo>
                                <a:pt x="54673" y="122931"/>
                              </a:lnTo>
                              <a:lnTo>
                                <a:pt x="53619" y="123254"/>
                              </a:lnTo>
                              <a:cubicBezTo>
                                <a:pt x="43714" y="123254"/>
                                <a:pt x="36779" y="117932"/>
                                <a:pt x="30962" y="111252"/>
                              </a:cubicBezTo>
                              <a:lnTo>
                                <a:pt x="25514" y="115329"/>
                              </a:lnTo>
                              <a:cubicBezTo>
                                <a:pt x="31699" y="123634"/>
                                <a:pt x="41478" y="130442"/>
                                <a:pt x="52997" y="130442"/>
                              </a:cubicBezTo>
                              <a:lnTo>
                                <a:pt x="54673" y="129908"/>
                              </a:lnTo>
                              <a:lnTo>
                                <a:pt x="54673" y="147942"/>
                              </a:lnTo>
                              <a:lnTo>
                                <a:pt x="0" y="147942"/>
                              </a:lnTo>
                              <a:lnTo>
                                <a:pt x="0" y="108738"/>
                              </a:lnTo>
                              <a:lnTo>
                                <a:pt x="14270" y="104483"/>
                              </a:lnTo>
                              <a:cubicBezTo>
                                <a:pt x="18294" y="101340"/>
                                <a:pt x="20803" y="96571"/>
                                <a:pt x="20803" y="90068"/>
                              </a:cubicBezTo>
                              <a:cubicBezTo>
                                <a:pt x="20803" y="78556"/>
                                <a:pt x="12598" y="75368"/>
                                <a:pt x="4394" y="73109"/>
                              </a:cubicBezTo>
                              <a:lnTo>
                                <a:pt x="0" y="71700"/>
                              </a:lnTo>
                              <a:lnTo>
                                <a:pt x="0" y="51477"/>
                              </a:lnTo>
                              <a:lnTo>
                                <a:pt x="991" y="51194"/>
                              </a:lnTo>
                              <a:cubicBezTo>
                                <a:pt x="6693" y="51194"/>
                                <a:pt x="11519" y="53797"/>
                                <a:pt x="15849" y="57010"/>
                              </a:cubicBezTo>
                              <a:lnTo>
                                <a:pt x="19939" y="51321"/>
                              </a:lnTo>
                              <a:cubicBezTo>
                                <a:pt x="13995" y="47104"/>
                                <a:pt x="8915" y="44018"/>
                                <a:pt x="1359" y="44018"/>
                              </a:cubicBezTo>
                              <a:lnTo>
                                <a:pt x="0" y="44472"/>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10" name="Shape 16610"/>
                      <wps:cNvSpPr/>
                      <wps:spPr>
                        <a:xfrm>
                          <a:off x="6431166" y="205553"/>
                          <a:ext cx="19621" cy="33075"/>
                        </a:xfrm>
                        <a:custGeom>
                          <a:avLst/>
                          <a:gdLst/>
                          <a:ahLst/>
                          <a:cxnLst/>
                          <a:rect l="0" t="0" r="0" b="0"/>
                          <a:pathLst>
                            <a:path w="19621" h="33075">
                              <a:moveTo>
                                <a:pt x="0" y="0"/>
                              </a:moveTo>
                              <a:lnTo>
                                <a:pt x="13309" y="4827"/>
                              </a:lnTo>
                              <a:cubicBezTo>
                                <a:pt x="17084" y="7984"/>
                                <a:pt x="19621" y="12474"/>
                                <a:pt x="19621" y="17801"/>
                              </a:cubicBezTo>
                              <a:cubicBezTo>
                                <a:pt x="19621" y="22444"/>
                                <a:pt x="16961" y="26343"/>
                                <a:pt x="13046" y="29080"/>
                              </a:cubicBezTo>
                              <a:lnTo>
                                <a:pt x="0" y="33075"/>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11" name="Shape 16611"/>
                      <wps:cNvSpPr/>
                      <wps:spPr>
                        <a:xfrm>
                          <a:off x="6431166" y="166416"/>
                          <a:ext cx="18885" cy="32240"/>
                        </a:xfrm>
                        <a:custGeom>
                          <a:avLst/>
                          <a:gdLst/>
                          <a:ahLst/>
                          <a:cxnLst/>
                          <a:rect l="0" t="0" r="0" b="0"/>
                          <a:pathLst>
                            <a:path w="18885" h="32240">
                              <a:moveTo>
                                <a:pt x="0" y="0"/>
                              </a:moveTo>
                              <a:lnTo>
                                <a:pt x="12892" y="4314"/>
                              </a:lnTo>
                              <a:cubicBezTo>
                                <a:pt x="16469" y="7132"/>
                                <a:pt x="18885" y="11250"/>
                                <a:pt x="18885" y="16451"/>
                              </a:cubicBezTo>
                              <a:cubicBezTo>
                                <a:pt x="18885" y="21524"/>
                                <a:pt x="16408" y="25487"/>
                                <a:pt x="12786" y="28181"/>
                              </a:cubicBezTo>
                              <a:lnTo>
                                <a:pt x="0" y="32240"/>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612" name="Shape 16612"/>
                      <wps:cNvSpPr/>
                      <wps:spPr>
                        <a:xfrm>
                          <a:off x="6431166" y="115697"/>
                          <a:ext cx="43650" cy="147942"/>
                        </a:xfrm>
                        <a:custGeom>
                          <a:avLst/>
                          <a:gdLst/>
                          <a:ahLst/>
                          <a:cxnLst/>
                          <a:rect l="0" t="0" r="0" b="0"/>
                          <a:pathLst>
                            <a:path w="43650" h="147942">
                              <a:moveTo>
                                <a:pt x="0" y="0"/>
                              </a:moveTo>
                              <a:lnTo>
                                <a:pt x="7417" y="0"/>
                              </a:lnTo>
                              <a:cubicBezTo>
                                <a:pt x="27343" y="0"/>
                                <a:pt x="43650" y="0"/>
                                <a:pt x="43650" y="0"/>
                              </a:cubicBezTo>
                              <a:cubicBezTo>
                                <a:pt x="43650" y="0"/>
                                <a:pt x="43650" y="16307"/>
                                <a:pt x="43650" y="36246"/>
                              </a:cubicBezTo>
                              <a:lnTo>
                                <a:pt x="43650" y="111709"/>
                              </a:lnTo>
                              <a:cubicBezTo>
                                <a:pt x="43650" y="131635"/>
                                <a:pt x="27343" y="147942"/>
                                <a:pt x="7417" y="147942"/>
                              </a:cubicBezTo>
                              <a:lnTo>
                                <a:pt x="0" y="147942"/>
                              </a:lnTo>
                              <a:lnTo>
                                <a:pt x="0" y="129908"/>
                              </a:lnTo>
                              <a:lnTo>
                                <a:pt x="18000" y="124174"/>
                              </a:lnTo>
                              <a:cubicBezTo>
                                <a:pt x="23311" y="120104"/>
                                <a:pt x="26810" y="114160"/>
                                <a:pt x="26810" y="106667"/>
                              </a:cubicBezTo>
                              <a:cubicBezTo>
                                <a:pt x="26810" y="96888"/>
                                <a:pt x="21107" y="90068"/>
                                <a:pt x="12560" y="86106"/>
                              </a:cubicBezTo>
                              <a:cubicBezTo>
                                <a:pt x="20371" y="83020"/>
                                <a:pt x="26060" y="75590"/>
                                <a:pt x="26060" y="67043"/>
                              </a:cubicBezTo>
                              <a:cubicBezTo>
                                <a:pt x="26060" y="59741"/>
                                <a:pt x="21971" y="54292"/>
                                <a:pt x="16649" y="49962"/>
                              </a:cubicBezTo>
                              <a:lnTo>
                                <a:pt x="16904" y="49708"/>
                              </a:lnTo>
                              <a:cubicBezTo>
                                <a:pt x="18009" y="49962"/>
                                <a:pt x="19126" y="50076"/>
                                <a:pt x="20244" y="50076"/>
                              </a:cubicBezTo>
                              <a:cubicBezTo>
                                <a:pt x="22339" y="50076"/>
                                <a:pt x="23711" y="49835"/>
                                <a:pt x="25692" y="49213"/>
                              </a:cubicBezTo>
                              <a:lnTo>
                                <a:pt x="27801" y="41910"/>
                              </a:lnTo>
                              <a:cubicBezTo>
                                <a:pt x="21107" y="43269"/>
                                <a:pt x="14300" y="44259"/>
                                <a:pt x="7366" y="44259"/>
                              </a:cubicBezTo>
                              <a:lnTo>
                                <a:pt x="0" y="44024"/>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g:wgp>
                </a:graphicData>
              </a:graphic>
            </wp:anchor>
          </w:drawing>
        </mc:Choice>
        <mc:Fallback xmlns:a="http://schemas.openxmlformats.org/drawingml/2006/main">
          <w:pict>
            <v:group id="Group 16601" style="width:510.237pt;height:22.8176pt;position:absolute;mso-position-horizontal-relative:page;mso-position-horizontal:absolute;margin-left:28.224pt;mso-position-vertical-relative:page;margin-top:750.188pt;" coordsize="64800,2897">
              <v:shape id="Shape 16602" style="position:absolute;width:64800;height:0;left:0;top:0;" coordsize="6480010,0" path="m0,0l6480010,0">
                <v:stroke weight="0.405pt" endcap="flat" joinstyle="miter" miterlimit="10" on="true" color="#211f1f"/>
                <v:fill on="false" color="#000000" opacity="0"/>
              </v:shape>
              <v:rect id="Rectangle 16613" style="position:absolute;width:4175;height:1258;left:0;top:1951;" filled="f" stroked="f">
                <v:textbox inset="0,0,0,0">
                  <w:txbxContent>
                    <w:p>
                      <w:pPr>
                        <w:spacing w:before="0" w:after="160" w:line="259" w:lineRule="auto"/>
                      </w:pPr>
                      <w:r>
                        <w:rPr>
                          <w:rFonts w:cs="Calibri" w:hAnsi="Calibri" w:eastAsia="Calibri" w:ascii="Calibri"/>
                          <w:color w:val="211f1f"/>
                          <w:sz w:val="16"/>
                        </w:rPr>
                        <w:t xml:space="preserve">10.2217</w:t>
                      </w:r>
                    </w:p>
                  </w:txbxContent>
                </v:textbox>
              </v:rect>
              <v:rect id="Rectangle 16614" style="position:absolute;width:2262;height:1258;left:3139;top:1951;" filled="f" stroked="f">
                <v:textbox inset="0,0,0,0">
                  <w:txbxContent>
                    <w:p>
                      <w:pPr>
                        <w:spacing w:before="0" w:after="160" w:line="259" w:lineRule="auto"/>
                      </w:pPr>
                      <w:r>
                        <w:rPr>
                          <w:rFonts w:cs="Calibri" w:hAnsi="Calibri" w:eastAsia="Calibri" w:ascii="Calibri"/>
                          <w:color w:val="211f1f"/>
                          <w:sz w:val="16"/>
                        </w:rPr>
                        <w:t xml:space="preserve">/fon</w:t>
                      </w:r>
                    </w:p>
                  </w:txbxContent>
                </v:textbox>
              </v:rect>
              <v:rect id="Rectangle 16615" style="position:absolute;width:6056;height:1258;left:4840;top:1951;" filled="f" stroked="f">
                <v:textbox inset="0,0,0,0">
                  <w:txbxContent>
                    <w:p>
                      <w:pPr>
                        <w:spacing w:before="0" w:after="160" w:line="259" w:lineRule="auto"/>
                      </w:pPr>
                      <w:r>
                        <w:rPr>
                          <w:rFonts w:cs="Calibri" w:hAnsi="Calibri" w:eastAsia="Calibri" w:ascii="Calibri"/>
                          <w:color w:val="211f1f"/>
                          <w:sz w:val="16"/>
                        </w:rPr>
                        <w:t xml:space="preserve">-2017-0574</w:t>
                      </w:r>
                    </w:p>
                  </w:txbxContent>
                </v:textbox>
              </v:rect>
              <v:rect id="Rectangle 16616" style="position:absolute;width:7506;height:1257;left:29867;top:1952;" filled="f" stroked="f">
                <v:textbox inset="0,0,0,0">
                  <w:txbxContent>
                    <w:p>
                      <w:pPr>
                        <w:spacing w:before="0" w:after="160" w:line="259" w:lineRule="auto"/>
                      </w:pPr>
                      <w:r>
                        <w:rPr>
                          <w:rFonts w:cs="Calibri" w:hAnsi="Calibri" w:eastAsia="Calibri" w:ascii="Calibri"/>
                          <w:b w:val="1"/>
                          <w:i w:val="1"/>
                          <w:color w:val="211f1f"/>
                          <w:sz w:val="16"/>
                        </w:rPr>
                        <w:t xml:space="preserve">Future</w:t>
                      </w:r>
                      <w:r>
                        <w:rPr>
                          <w:rFonts w:cs="Calibri" w:hAnsi="Calibri" w:eastAsia="Calibri" w:ascii="Calibri"/>
                          <w:b w:val="1"/>
                          <w:i w:val="1"/>
                          <w:color w:val="211f1f"/>
                          <w:spacing w:val="-7"/>
                          <w:sz w:val="16"/>
                        </w:rPr>
                        <w:t xml:space="preserve"> </w:t>
                      </w:r>
                      <w:r>
                        <w:rPr>
                          <w:rFonts w:cs="Calibri" w:hAnsi="Calibri" w:eastAsia="Calibri" w:ascii="Calibri"/>
                          <w:b w:val="1"/>
                          <w:i w:val="1"/>
                          <w:color w:val="211f1f"/>
                          <w:sz w:val="16"/>
                        </w:rPr>
                        <w:t xml:space="preserve">Oncol.</w:t>
                      </w:r>
                    </w:p>
                  </w:txbxContent>
                </v:textbox>
              </v:rect>
              <v:rect id="Rectangle 16617" style="position:absolute;width:356;height:1258;left:35733;top:1951;" filled="f" stroked="f">
                <v:textbox inset="0,0,0,0">
                  <w:txbxContent>
                    <w:p>
                      <w:pPr>
                        <w:spacing w:before="0" w:after="160" w:line="259" w:lineRule="auto"/>
                      </w:pPr>
                      <w:r>
                        <w:rPr>
                          <w:rFonts w:cs="Calibri" w:hAnsi="Calibri" w:eastAsia="Calibri" w:ascii="Calibri"/>
                          <w:color w:val="211f1f"/>
                          <w:sz w:val="16"/>
                        </w:rPr>
                        <w:t xml:space="preserve">(</w:t>
                      </w:r>
                    </w:p>
                  </w:txbxContent>
                </v:textbox>
              </v:rect>
              <v:rect id="Rectangle 16618" style="position:absolute;width:10668;height:1258;left:36001;top:1951;" filled="f" stroked="f">
                <v:textbox inset="0,0,0,0">
                  <w:txbxContent>
                    <w:p>
                      <w:pPr>
                        <w:spacing w:before="0" w:after="160" w:line="259" w:lineRule="auto"/>
                      </w:pPr>
                      <w:r>
                        <w:rPr>
                          <w:rFonts w:cs="Calibri" w:hAnsi="Calibri" w:eastAsia="Calibri" w:ascii="Calibri"/>
                          <w:color w:val="211f1f"/>
                          <w:sz w:val="16"/>
                        </w:rPr>
                        <w:t xml:space="preserve">Epub</w:t>
                      </w:r>
                      <w:r>
                        <w:rPr>
                          <w:rFonts w:cs="Calibri" w:hAnsi="Calibri" w:eastAsia="Calibri" w:ascii="Calibri"/>
                          <w:color w:val="211f1f"/>
                          <w:spacing w:val="-1"/>
                          <w:sz w:val="16"/>
                        </w:rPr>
                        <w:t xml:space="preserve"> </w:t>
                      </w:r>
                      <w:r>
                        <w:rPr>
                          <w:rFonts w:cs="Calibri" w:hAnsi="Calibri" w:eastAsia="Calibri" w:ascii="Calibri"/>
                          <w:color w:val="211f1f"/>
                          <w:sz w:val="16"/>
                        </w:rPr>
                        <w:t xml:space="preserve">ahead</w:t>
                      </w:r>
                      <w:r>
                        <w:rPr>
                          <w:rFonts w:cs="Calibri" w:hAnsi="Calibri" w:eastAsia="Calibri" w:ascii="Calibri"/>
                          <w:color w:val="211f1f"/>
                          <w:spacing w:val="-1"/>
                          <w:sz w:val="16"/>
                        </w:rPr>
                        <w:t xml:space="preserve"> </w:t>
                      </w:r>
                      <w:r>
                        <w:rPr>
                          <w:rFonts w:cs="Calibri" w:hAnsi="Calibri" w:eastAsia="Calibri" w:ascii="Calibri"/>
                          <w:color w:val="211f1f"/>
                          <w:sz w:val="16"/>
                        </w:rPr>
                        <w:t xml:space="preserve">of</w:t>
                      </w:r>
                      <w:r>
                        <w:rPr>
                          <w:rFonts w:cs="Calibri" w:hAnsi="Calibri" w:eastAsia="Calibri" w:ascii="Calibri"/>
                          <w:color w:val="211f1f"/>
                          <w:spacing w:val="-1"/>
                          <w:sz w:val="16"/>
                        </w:rPr>
                        <w:t xml:space="preserve"> </w:t>
                      </w:r>
                      <w:r>
                        <w:rPr>
                          <w:rFonts w:cs="Calibri" w:hAnsi="Calibri" w:eastAsia="Calibri" w:ascii="Calibri"/>
                          <w:color w:val="211f1f"/>
                          <w:sz w:val="16"/>
                        </w:rPr>
                        <w:t xml:space="preserve">print</w:t>
                      </w:r>
                    </w:p>
                  </w:txbxContent>
                </v:textbox>
              </v:rect>
              <v:rect id="Rectangle 16619" style="position:absolute;width:356;height:1258;left:44023;top:1951;" filled="f" stroked="f">
                <v:textbox inset="0,0,0,0">
                  <w:txbxContent>
                    <w:p>
                      <w:pPr>
                        <w:spacing w:before="0" w:after="160" w:line="259" w:lineRule="auto"/>
                      </w:pPr>
                      <w:r>
                        <w:rPr>
                          <w:rFonts w:cs="Calibri" w:hAnsi="Calibri" w:eastAsia="Calibri" w:ascii="Calibri"/>
                          <w:color w:val="211f1f"/>
                          <w:sz w:val="16"/>
                        </w:rPr>
                        <w:t xml:space="preserve">)</w:t>
                      </w:r>
                    </w:p>
                  </w:txbxContent>
                </v:textbox>
              </v:rect>
              <v:rect id="Rectangle 16620" style="position:absolute;width:11153;height:1258;left:54412;top:1951;" filled="f" stroked="f">
                <v:textbox inset="0,0,0,0">
                  <w:txbxContent>
                    <w:p>
                      <w:pPr>
                        <w:spacing w:before="0" w:after="160" w:line="259" w:lineRule="auto"/>
                      </w:pPr>
                      <w:r>
                        <w:rPr>
                          <w:rFonts w:cs="Calibri" w:hAnsi="Calibri" w:eastAsia="Calibri" w:ascii="Calibri"/>
                          <w:color w:val="211f1f"/>
                          <w:sz w:val="16"/>
                        </w:rPr>
                        <w:t xml:space="preserve">future</w:t>
                      </w:r>
                      <w:r>
                        <w:rPr>
                          <w:rFonts w:cs="Calibri" w:hAnsi="Calibri" w:eastAsia="Calibri" w:ascii="Calibri"/>
                          <w:color w:val="211f1f"/>
                          <w:spacing w:val="-1"/>
                          <w:sz w:val="16"/>
                        </w:rPr>
                        <w:t xml:space="preserve"> </w:t>
                      </w:r>
                      <w:r>
                        <w:rPr>
                          <w:rFonts w:cs="Calibri" w:hAnsi="Calibri" w:eastAsia="Calibri" w:ascii="Calibri"/>
                          <w:color w:val="211f1f"/>
                          <w:sz w:val="16"/>
                        </w:rPr>
                        <w:t xml:space="preserve">science</w:t>
                      </w:r>
                      <w:r>
                        <w:rPr>
                          <w:rFonts w:cs="Calibri" w:hAnsi="Calibri" w:eastAsia="Calibri" w:ascii="Calibri"/>
                          <w:color w:val="211f1f"/>
                          <w:spacing w:val="-1"/>
                          <w:sz w:val="16"/>
                        </w:rPr>
                        <w:t xml:space="preserve"> </w:t>
                      </w:r>
                      <w:r>
                        <w:rPr>
                          <w:rFonts w:cs="Calibri" w:hAnsi="Calibri" w:eastAsia="Calibri" w:ascii="Calibri"/>
                          <w:color w:val="211f1f"/>
                          <w:sz w:val="16"/>
                        </w:rPr>
                        <w:t xml:space="preserve">group</w:t>
                      </w:r>
                    </w:p>
                  </w:txbxContent>
                </v:textbox>
              </v:rect>
              <v:shape id="Shape 16603" style="position:absolute;width:13;height:100;left:63373;top:1543;" coordsize="1353,10006" path="m1353,0l1353,10006l0,10006l0,5866l1353,0x">
                <v:stroke weight="0pt" endcap="flat" joinstyle="miter" miterlimit="10" on="false" color="#000000" opacity="0"/>
                <v:fill on="true" color="#211f1f"/>
              </v:shape>
              <v:shape id="Shape 16604" style="position:absolute;width:294;height:1465;left:63092;top:1170;" coordsize="29432,146579" path="m29432,0l29432,21197l25908,23250c21475,27467,19126,34477,19126,43519l19126,47279l10833,47279l10833,53742l19126,53742l19126,105380l28194,105380l28194,53742l29432,53742l29432,146579l11272,146579c4702,146579,622,146579,622,146579c622,146579,546,130273,444,110347l76,34883c0,19929,9110,7017,22077,1497l29432,0x">
                <v:stroke weight="0pt" endcap="flat" joinstyle="miter" miterlimit="10" on="false" color="#000000" opacity="0"/>
                <v:fill on="true" color="#211f1f"/>
              </v:shape>
              <v:shape id="Shape 16605" style="position:absolute;width:120;height:202;left:63644;top:1671;" coordsize="12014,20224" path="m12014,0l12014,20224l5128,18016c2051,16426,0,14144,0,10245c0,6715,1486,4083,3854,2333l12014,0x">
                <v:stroke weight="0pt" endcap="flat" joinstyle="miter" miterlimit="10" on="false" color="#000000" opacity="0"/>
                <v:fill on="true" color="#211f1f"/>
              </v:shape>
              <v:shape id="Shape 16606" style="position:absolute;width:378;height:1479;left:63386;top:1156;" coordsize="37814,147942" path="m6699,0l37814,0l37814,44472l24908,48782c21101,51876,18624,56394,18624,62090c18624,72986,26829,76174,35033,78589l37814,79553l37814,101845l22460,95148l17011,99733c21837,105422,28772,109144,36455,109144l37814,108738l37814,147942l7435,147942l0,147942l0,55105l13125,55105l13125,48641l0,48641l0,38635l1797,30843c3892,27797,7029,26264,11195,26264c14052,26264,16046,26746,17532,27280c17773,25768,18421,21768,18599,20713c16922,20091,14091,19291,10331,19291c8768,19291,6499,19465,4022,20218l0,22560l0,1363l6699,0x">
                <v:stroke weight="0pt" endcap="flat" joinstyle="miter" miterlimit="10" on="false" color="#000000" opacity="0"/>
                <v:fill on="true" color="#211f1f"/>
              </v:shape>
              <v:shape id="Shape 16607" style="position:absolute;width:136;height:224;left:63764;top:1952;" coordsize="13627,22403" path="m0,0l8499,2946c11576,4634,13627,6995,13627,10897c13627,18568,7556,22403,254,22403l0,22292l0,0x">
                <v:stroke weight="0pt" endcap="flat" joinstyle="miter" miterlimit="10" on="false" color="#000000" opacity="0"/>
                <v:fill on="true" color="#211f1f"/>
              </v:shape>
              <v:shape id="Shape 16608" style="position:absolute;width:188;height:323;left:64122;top:1663;" coordsize="18885,32321" path="m18821,0l18885,21l18885,32261l18694,32321c9284,32321,0,26619,0,16472c0,6070,9525,0,18821,0x">
                <v:stroke weight="0pt" endcap="flat" joinstyle="miter" miterlimit="10" on="false" color="#000000" opacity="0"/>
                <v:fill on="true" color="#211f1f"/>
              </v:shape>
              <v:shape id="Shape 16609" style="position:absolute;width:546;height:1479;left:63764;top:1156;" coordsize="54673,147942" path="m0,0l54673,0l54673,44024l54483,44018c40487,44018,28601,52680,28601,67539c28601,74714,34175,82270,40615,85115l38011,93294c43586,91186,48298,89700,54242,89700l54673,89857l54673,122931l53619,123254c43714,123254,36779,117932,30962,111252l25514,115329c31699,123634,41478,130442,52997,130442l54673,129908l54673,147942l0,147942l0,108738l14270,104483c18294,101340,20803,96571,20803,90068c20803,78556,12598,75368,4394,73109l0,71700l0,51477l991,51194c6693,51194,11519,53797,15849,57010l19939,51321c13995,47104,8915,44018,1359,44018l0,44472l0,0x">
                <v:stroke weight="0pt" endcap="flat" joinstyle="miter" miterlimit="10" on="false" color="#000000" opacity="0"/>
                <v:fill on="true" color="#211f1f"/>
              </v:shape>
              <v:shape id="Shape 16610" style="position:absolute;width:196;height:330;left:64311;top:2055;" coordsize="19621,33075" path="m0,0l13309,4827c17084,7984,19621,12474,19621,17801c19621,22444,16961,26343,13046,29080l0,33075l0,0x">
                <v:stroke weight="0pt" endcap="flat" joinstyle="miter" miterlimit="10" on="false" color="#000000" opacity="0"/>
                <v:fill on="true" color="#211f1f"/>
              </v:shape>
              <v:shape id="Shape 16611" style="position:absolute;width:188;height:322;left:64311;top:1664;" coordsize="18885,32240" path="m0,0l12892,4314c16469,7132,18885,11250,18885,16451c18885,21524,16408,25487,12786,28181l0,32240l0,0x">
                <v:stroke weight="0pt" endcap="flat" joinstyle="miter" miterlimit="10" on="false" color="#000000" opacity="0"/>
                <v:fill on="true" color="#211f1f"/>
              </v:shape>
              <v:shape id="Shape 16612" style="position:absolute;width:436;height:1479;left:64311;top:1156;" coordsize="43650,147942" path="m0,0l7417,0c27343,0,43650,0,43650,0c43650,0,43650,16307,43650,36246l43650,111709c43650,131635,27343,147942,7417,147942l0,147942l0,129908l18000,124174c23311,120104,26810,114160,26810,106667c26810,96888,21107,90068,12560,86106c20371,83020,26060,75590,26060,67043c26060,59741,21971,54292,16649,49962l16904,49708c18009,49962,19126,50076,20244,50076c22339,50076,23711,49835,25692,49213l27801,41910c21107,43269,14300,44259,7366,44259l0,44024l0,0x">
                <v:stroke weight="0pt" endcap="flat" joinstyle="miter" miterlimit="10" on="false" color="#000000" opacity="0"/>
                <v:fill on="true" color="#211f1f"/>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2A6AB4">
    <w:pPr>
      <w:spacing w:after="0"/>
      <w:ind w:left="-1018" w:right="11223"/>
    </w:pPr>
    <w:r>
      <w:rPr>
        <w:noProof/>
      </w:rPr>
      <mc:AlternateContent>
        <mc:Choice Requires="wpg">
          <w:drawing>
            <wp:anchor distT="0" distB="0" distL="114300" distR="114300" simplePos="0" relativeHeight="251659264" behindDoc="0" locked="0" layoutInCell="1" allowOverlap="1">
              <wp:simplePos x="0" y="0"/>
              <wp:positionH relativeFrom="page">
                <wp:posOffset>646481</wp:posOffset>
              </wp:positionH>
              <wp:positionV relativeFrom="page">
                <wp:posOffset>9527387</wp:posOffset>
              </wp:positionV>
              <wp:extent cx="6483425" cy="289784"/>
              <wp:effectExtent l="0" t="0" r="0" b="0"/>
              <wp:wrapSquare wrapText="bothSides"/>
              <wp:docPr id="16573" name="Group 16573"/>
              <wp:cNvGraphicFramePr/>
              <a:graphic xmlns:a="http://schemas.openxmlformats.org/drawingml/2006/main">
                <a:graphicData uri="http://schemas.microsoft.com/office/word/2010/wordprocessingGroup">
                  <wpg:wgp>
                    <wpg:cNvGrpSpPr/>
                    <wpg:grpSpPr>
                      <a:xfrm>
                        <a:off x="0" y="0"/>
                        <a:ext cx="6483425" cy="289784"/>
                        <a:chOff x="0" y="0"/>
                        <a:chExt cx="6483425" cy="289784"/>
                      </a:xfrm>
                    </wpg:grpSpPr>
                    <wps:wsp>
                      <wps:cNvPr id="16574" name="Shape 16574"/>
                      <wps:cNvSpPr/>
                      <wps:spPr>
                        <a:xfrm>
                          <a:off x="0" y="0"/>
                          <a:ext cx="6480010" cy="0"/>
                        </a:xfrm>
                        <a:custGeom>
                          <a:avLst/>
                          <a:gdLst/>
                          <a:ahLst/>
                          <a:cxnLst/>
                          <a:rect l="0" t="0" r="0" b="0"/>
                          <a:pathLst>
                            <a:path w="6480010">
                              <a:moveTo>
                                <a:pt x="0" y="0"/>
                              </a:moveTo>
                              <a:lnTo>
                                <a:pt x="6480010" y="0"/>
                              </a:lnTo>
                            </a:path>
                          </a:pathLst>
                        </a:custGeom>
                        <a:ln w="5144" cap="flat">
                          <a:miter lim="127000"/>
                        </a:ln>
                      </wps:spPr>
                      <wps:style>
                        <a:lnRef idx="1">
                          <a:srgbClr val="211F1F"/>
                        </a:lnRef>
                        <a:fillRef idx="0">
                          <a:srgbClr val="000000">
                            <a:alpha val="0"/>
                          </a:srgbClr>
                        </a:fillRef>
                        <a:effectRef idx="0">
                          <a:scrgbClr r="0" g="0" b="0"/>
                        </a:effectRef>
                        <a:fontRef idx="none"/>
                      </wps:style>
                      <wps:bodyPr/>
                    </wps:wsp>
                    <wps:wsp>
                      <wps:cNvPr id="16575" name="Shape 16575"/>
                      <wps:cNvSpPr/>
                      <wps:spPr>
                        <a:xfrm>
                          <a:off x="35052" y="154332"/>
                          <a:ext cx="1353" cy="10006"/>
                        </a:xfrm>
                        <a:custGeom>
                          <a:avLst/>
                          <a:gdLst/>
                          <a:ahLst/>
                          <a:cxnLst/>
                          <a:rect l="0" t="0" r="0" b="0"/>
                          <a:pathLst>
                            <a:path w="1353" h="10006">
                              <a:moveTo>
                                <a:pt x="1353" y="0"/>
                              </a:moveTo>
                              <a:lnTo>
                                <a:pt x="1353" y="10006"/>
                              </a:lnTo>
                              <a:lnTo>
                                <a:pt x="0" y="10006"/>
                              </a:lnTo>
                              <a:lnTo>
                                <a:pt x="0" y="5865"/>
                              </a:lnTo>
                              <a:lnTo>
                                <a:pt x="1353"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76" name="Shape 16576"/>
                      <wps:cNvSpPr/>
                      <wps:spPr>
                        <a:xfrm>
                          <a:off x="6972" y="117060"/>
                          <a:ext cx="29432" cy="146579"/>
                        </a:xfrm>
                        <a:custGeom>
                          <a:avLst/>
                          <a:gdLst/>
                          <a:ahLst/>
                          <a:cxnLst/>
                          <a:rect l="0" t="0" r="0" b="0"/>
                          <a:pathLst>
                            <a:path w="29432" h="146579">
                              <a:moveTo>
                                <a:pt x="29432" y="0"/>
                              </a:moveTo>
                              <a:lnTo>
                                <a:pt x="29432" y="21198"/>
                              </a:lnTo>
                              <a:lnTo>
                                <a:pt x="25908" y="23250"/>
                              </a:lnTo>
                              <a:cubicBezTo>
                                <a:pt x="21476" y="27467"/>
                                <a:pt x="19126" y="34477"/>
                                <a:pt x="19126" y="43519"/>
                              </a:cubicBezTo>
                              <a:lnTo>
                                <a:pt x="19126" y="47279"/>
                              </a:lnTo>
                              <a:lnTo>
                                <a:pt x="10833" y="47279"/>
                              </a:lnTo>
                              <a:lnTo>
                                <a:pt x="10833" y="53742"/>
                              </a:lnTo>
                              <a:lnTo>
                                <a:pt x="19126" y="53742"/>
                              </a:lnTo>
                              <a:lnTo>
                                <a:pt x="19126" y="105380"/>
                              </a:lnTo>
                              <a:lnTo>
                                <a:pt x="28194" y="105380"/>
                              </a:lnTo>
                              <a:lnTo>
                                <a:pt x="28194" y="53742"/>
                              </a:lnTo>
                              <a:lnTo>
                                <a:pt x="29432" y="53742"/>
                              </a:lnTo>
                              <a:lnTo>
                                <a:pt x="29432" y="146579"/>
                              </a:lnTo>
                              <a:lnTo>
                                <a:pt x="11273" y="146579"/>
                              </a:lnTo>
                              <a:cubicBezTo>
                                <a:pt x="4702" y="146579"/>
                                <a:pt x="622" y="146579"/>
                                <a:pt x="622" y="146579"/>
                              </a:cubicBezTo>
                              <a:cubicBezTo>
                                <a:pt x="622" y="146579"/>
                                <a:pt x="546" y="130273"/>
                                <a:pt x="444" y="110347"/>
                              </a:cubicBezTo>
                              <a:lnTo>
                                <a:pt x="76" y="34883"/>
                              </a:lnTo>
                              <a:cubicBezTo>
                                <a:pt x="0" y="19929"/>
                                <a:pt x="9111" y="7017"/>
                                <a:pt x="22077" y="1497"/>
                              </a:cubicBezTo>
                              <a:lnTo>
                                <a:pt x="29432"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77" name="Shape 16577"/>
                      <wps:cNvSpPr/>
                      <wps:spPr>
                        <a:xfrm>
                          <a:off x="62205" y="167174"/>
                          <a:ext cx="12014" cy="20224"/>
                        </a:xfrm>
                        <a:custGeom>
                          <a:avLst/>
                          <a:gdLst/>
                          <a:ahLst/>
                          <a:cxnLst/>
                          <a:rect l="0" t="0" r="0" b="0"/>
                          <a:pathLst>
                            <a:path w="12014" h="20224">
                              <a:moveTo>
                                <a:pt x="12014" y="0"/>
                              </a:moveTo>
                              <a:lnTo>
                                <a:pt x="12014" y="20224"/>
                              </a:lnTo>
                              <a:lnTo>
                                <a:pt x="5128" y="18016"/>
                              </a:lnTo>
                              <a:cubicBezTo>
                                <a:pt x="2051" y="16426"/>
                                <a:pt x="0" y="14144"/>
                                <a:pt x="0" y="10245"/>
                              </a:cubicBezTo>
                              <a:cubicBezTo>
                                <a:pt x="0" y="6715"/>
                                <a:pt x="1486" y="4083"/>
                                <a:pt x="3854" y="2333"/>
                              </a:cubicBezTo>
                              <a:lnTo>
                                <a:pt x="12014"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78" name="Shape 16578"/>
                      <wps:cNvSpPr/>
                      <wps:spPr>
                        <a:xfrm>
                          <a:off x="36405" y="115697"/>
                          <a:ext cx="37814" cy="147942"/>
                        </a:xfrm>
                        <a:custGeom>
                          <a:avLst/>
                          <a:gdLst/>
                          <a:ahLst/>
                          <a:cxnLst/>
                          <a:rect l="0" t="0" r="0" b="0"/>
                          <a:pathLst>
                            <a:path w="37814" h="147942">
                              <a:moveTo>
                                <a:pt x="6699" y="0"/>
                              </a:moveTo>
                              <a:lnTo>
                                <a:pt x="37814" y="0"/>
                              </a:lnTo>
                              <a:lnTo>
                                <a:pt x="37814" y="44472"/>
                              </a:lnTo>
                              <a:lnTo>
                                <a:pt x="24908" y="48782"/>
                              </a:lnTo>
                              <a:cubicBezTo>
                                <a:pt x="21101" y="51876"/>
                                <a:pt x="18625" y="56394"/>
                                <a:pt x="18625" y="62090"/>
                              </a:cubicBezTo>
                              <a:cubicBezTo>
                                <a:pt x="18625" y="72986"/>
                                <a:pt x="26829" y="76174"/>
                                <a:pt x="35033" y="78589"/>
                              </a:cubicBezTo>
                              <a:lnTo>
                                <a:pt x="37814" y="79553"/>
                              </a:lnTo>
                              <a:lnTo>
                                <a:pt x="37814" y="101845"/>
                              </a:lnTo>
                              <a:lnTo>
                                <a:pt x="22460" y="95148"/>
                              </a:lnTo>
                              <a:lnTo>
                                <a:pt x="17012" y="99733"/>
                              </a:lnTo>
                              <a:cubicBezTo>
                                <a:pt x="21838" y="105422"/>
                                <a:pt x="28772" y="109144"/>
                                <a:pt x="36455" y="109144"/>
                              </a:cubicBezTo>
                              <a:lnTo>
                                <a:pt x="37814" y="108738"/>
                              </a:lnTo>
                              <a:lnTo>
                                <a:pt x="37814" y="147942"/>
                              </a:lnTo>
                              <a:lnTo>
                                <a:pt x="7436" y="147942"/>
                              </a:lnTo>
                              <a:lnTo>
                                <a:pt x="0" y="147942"/>
                              </a:lnTo>
                              <a:lnTo>
                                <a:pt x="0" y="55105"/>
                              </a:lnTo>
                              <a:lnTo>
                                <a:pt x="13125" y="55105"/>
                              </a:lnTo>
                              <a:lnTo>
                                <a:pt x="13125" y="48641"/>
                              </a:lnTo>
                              <a:lnTo>
                                <a:pt x="0" y="48641"/>
                              </a:lnTo>
                              <a:lnTo>
                                <a:pt x="0" y="38636"/>
                              </a:lnTo>
                              <a:lnTo>
                                <a:pt x="1797" y="30843"/>
                              </a:lnTo>
                              <a:cubicBezTo>
                                <a:pt x="3893" y="27797"/>
                                <a:pt x="7029" y="26264"/>
                                <a:pt x="11195" y="26264"/>
                              </a:cubicBezTo>
                              <a:cubicBezTo>
                                <a:pt x="14053" y="26264"/>
                                <a:pt x="16046" y="26746"/>
                                <a:pt x="17532" y="27280"/>
                              </a:cubicBezTo>
                              <a:cubicBezTo>
                                <a:pt x="17774" y="25768"/>
                                <a:pt x="18421" y="21768"/>
                                <a:pt x="18599" y="20713"/>
                              </a:cubicBezTo>
                              <a:cubicBezTo>
                                <a:pt x="16923" y="20091"/>
                                <a:pt x="14091" y="19291"/>
                                <a:pt x="10331" y="19291"/>
                              </a:cubicBezTo>
                              <a:cubicBezTo>
                                <a:pt x="8769" y="19291"/>
                                <a:pt x="6499" y="19465"/>
                                <a:pt x="4023" y="20218"/>
                              </a:cubicBezTo>
                              <a:lnTo>
                                <a:pt x="0" y="22561"/>
                              </a:lnTo>
                              <a:lnTo>
                                <a:pt x="0" y="1363"/>
                              </a:lnTo>
                              <a:lnTo>
                                <a:pt x="6699"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79" name="Shape 16579"/>
                      <wps:cNvSpPr/>
                      <wps:spPr>
                        <a:xfrm>
                          <a:off x="74219" y="195250"/>
                          <a:ext cx="13627" cy="22403"/>
                        </a:xfrm>
                        <a:custGeom>
                          <a:avLst/>
                          <a:gdLst/>
                          <a:ahLst/>
                          <a:cxnLst/>
                          <a:rect l="0" t="0" r="0" b="0"/>
                          <a:pathLst>
                            <a:path w="13627" h="22403">
                              <a:moveTo>
                                <a:pt x="0" y="0"/>
                              </a:moveTo>
                              <a:lnTo>
                                <a:pt x="8499" y="2945"/>
                              </a:lnTo>
                              <a:cubicBezTo>
                                <a:pt x="11576" y="4633"/>
                                <a:pt x="13627" y="6994"/>
                                <a:pt x="13627" y="10896"/>
                              </a:cubicBezTo>
                              <a:cubicBezTo>
                                <a:pt x="13627" y="18567"/>
                                <a:pt x="7556" y="22403"/>
                                <a:pt x="254" y="22403"/>
                              </a:cubicBezTo>
                              <a:lnTo>
                                <a:pt x="0" y="22292"/>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0" name="Shape 16580"/>
                      <wps:cNvSpPr/>
                      <wps:spPr>
                        <a:xfrm>
                          <a:off x="110007" y="166395"/>
                          <a:ext cx="18885" cy="32321"/>
                        </a:xfrm>
                        <a:custGeom>
                          <a:avLst/>
                          <a:gdLst/>
                          <a:ahLst/>
                          <a:cxnLst/>
                          <a:rect l="0" t="0" r="0" b="0"/>
                          <a:pathLst>
                            <a:path w="18885" h="32321">
                              <a:moveTo>
                                <a:pt x="18821" y="0"/>
                              </a:moveTo>
                              <a:lnTo>
                                <a:pt x="18885" y="21"/>
                              </a:lnTo>
                              <a:lnTo>
                                <a:pt x="18885" y="32261"/>
                              </a:lnTo>
                              <a:lnTo>
                                <a:pt x="18694" y="32321"/>
                              </a:lnTo>
                              <a:cubicBezTo>
                                <a:pt x="9284" y="32321"/>
                                <a:pt x="0" y="26619"/>
                                <a:pt x="0" y="16472"/>
                              </a:cubicBezTo>
                              <a:cubicBezTo>
                                <a:pt x="0" y="6070"/>
                                <a:pt x="9525" y="0"/>
                                <a:pt x="18821" y="0"/>
                              </a:cubicBez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1" name="Shape 16581"/>
                      <wps:cNvSpPr/>
                      <wps:spPr>
                        <a:xfrm>
                          <a:off x="74219" y="115697"/>
                          <a:ext cx="54674" cy="147942"/>
                        </a:xfrm>
                        <a:custGeom>
                          <a:avLst/>
                          <a:gdLst/>
                          <a:ahLst/>
                          <a:cxnLst/>
                          <a:rect l="0" t="0" r="0" b="0"/>
                          <a:pathLst>
                            <a:path w="54674" h="147942">
                              <a:moveTo>
                                <a:pt x="0" y="0"/>
                              </a:moveTo>
                              <a:lnTo>
                                <a:pt x="54674" y="0"/>
                              </a:lnTo>
                              <a:lnTo>
                                <a:pt x="54674" y="44024"/>
                              </a:lnTo>
                              <a:lnTo>
                                <a:pt x="54483" y="44018"/>
                              </a:lnTo>
                              <a:cubicBezTo>
                                <a:pt x="40488" y="44018"/>
                                <a:pt x="28600" y="52680"/>
                                <a:pt x="28600" y="67539"/>
                              </a:cubicBezTo>
                              <a:cubicBezTo>
                                <a:pt x="28600" y="74714"/>
                                <a:pt x="34176" y="82270"/>
                                <a:pt x="40615" y="85115"/>
                              </a:cubicBezTo>
                              <a:lnTo>
                                <a:pt x="38011" y="93294"/>
                              </a:lnTo>
                              <a:cubicBezTo>
                                <a:pt x="43586" y="91186"/>
                                <a:pt x="48298" y="89700"/>
                                <a:pt x="54242" y="89700"/>
                              </a:cubicBezTo>
                              <a:lnTo>
                                <a:pt x="54674" y="89857"/>
                              </a:lnTo>
                              <a:lnTo>
                                <a:pt x="54674" y="122931"/>
                              </a:lnTo>
                              <a:lnTo>
                                <a:pt x="53619" y="123254"/>
                              </a:lnTo>
                              <a:cubicBezTo>
                                <a:pt x="43713" y="123254"/>
                                <a:pt x="36779" y="117932"/>
                                <a:pt x="30963" y="111252"/>
                              </a:cubicBezTo>
                              <a:lnTo>
                                <a:pt x="25514" y="115329"/>
                              </a:lnTo>
                              <a:cubicBezTo>
                                <a:pt x="31699" y="123634"/>
                                <a:pt x="41478" y="130442"/>
                                <a:pt x="52997" y="130442"/>
                              </a:cubicBezTo>
                              <a:lnTo>
                                <a:pt x="54674" y="129908"/>
                              </a:lnTo>
                              <a:lnTo>
                                <a:pt x="54674" y="147942"/>
                              </a:lnTo>
                              <a:lnTo>
                                <a:pt x="0" y="147942"/>
                              </a:lnTo>
                              <a:lnTo>
                                <a:pt x="0" y="108738"/>
                              </a:lnTo>
                              <a:lnTo>
                                <a:pt x="14270" y="104483"/>
                              </a:lnTo>
                              <a:cubicBezTo>
                                <a:pt x="18294" y="101340"/>
                                <a:pt x="20803" y="96571"/>
                                <a:pt x="20803" y="90068"/>
                              </a:cubicBezTo>
                              <a:cubicBezTo>
                                <a:pt x="20803" y="78556"/>
                                <a:pt x="12598" y="75368"/>
                                <a:pt x="4394" y="73109"/>
                              </a:cubicBezTo>
                              <a:lnTo>
                                <a:pt x="0" y="71700"/>
                              </a:lnTo>
                              <a:lnTo>
                                <a:pt x="0" y="51477"/>
                              </a:lnTo>
                              <a:lnTo>
                                <a:pt x="991" y="51194"/>
                              </a:lnTo>
                              <a:cubicBezTo>
                                <a:pt x="6693" y="51194"/>
                                <a:pt x="11519" y="53797"/>
                                <a:pt x="15850" y="57010"/>
                              </a:cubicBezTo>
                              <a:lnTo>
                                <a:pt x="19939" y="51321"/>
                              </a:lnTo>
                              <a:cubicBezTo>
                                <a:pt x="13995" y="47104"/>
                                <a:pt x="8915" y="44018"/>
                                <a:pt x="1359" y="44018"/>
                              </a:cubicBezTo>
                              <a:lnTo>
                                <a:pt x="0" y="44472"/>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2" name="Shape 16582"/>
                      <wps:cNvSpPr/>
                      <wps:spPr>
                        <a:xfrm>
                          <a:off x="128892" y="205553"/>
                          <a:ext cx="19621" cy="33075"/>
                        </a:xfrm>
                        <a:custGeom>
                          <a:avLst/>
                          <a:gdLst/>
                          <a:ahLst/>
                          <a:cxnLst/>
                          <a:rect l="0" t="0" r="0" b="0"/>
                          <a:pathLst>
                            <a:path w="19621" h="33075">
                              <a:moveTo>
                                <a:pt x="0" y="0"/>
                              </a:moveTo>
                              <a:lnTo>
                                <a:pt x="13310" y="4827"/>
                              </a:lnTo>
                              <a:cubicBezTo>
                                <a:pt x="17085" y="7984"/>
                                <a:pt x="19621" y="12474"/>
                                <a:pt x="19621" y="17801"/>
                              </a:cubicBezTo>
                              <a:cubicBezTo>
                                <a:pt x="19621" y="22444"/>
                                <a:pt x="16961" y="26343"/>
                                <a:pt x="13046" y="29080"/>
                              </a:cubicBezTo>
                              <a:lnTo>
                                <a:pt x="0" y="33075"/>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3" name="Shape 16583"/>
                      <wps:cNvSpPr/>
                      <wps:spPr>
                        <a:xfrm>
                          <a:off x="128892" y="166416"/>
                          <a:ext cx="18885" cy="32240"/>
                        </a:xfrm>
                        <a:custGeom>
                          <a:avLst/>
                          <a:gdLst/>
                          <a:ahLst/>
                          <a:cxnLst/>
                          <a:rect l="0" t="0" r="0" b="0"/>
                          <a:pathLst>
                            <a:path w="18885" h="32240">
                              <a:moveTo>
                                <a:pt x="0" y="0"/>
                              </a:moveTo>
                              <a:lnTo>
                                <a:pt x="12892" y="4314"/>
                              </a:lnTo>
                              <a:cubicBezTo>
                                <a:pt x="16469" y="7132"/>
                                <a:pt x="18885" y="11250"/>
                                <a:pt x="18885" y="16451"/>
                              </a:cubicBezTo>
                              <a:cubicBezTo>
                                <a:pt x="18885" y="21524"/>
                                <a:pt x="16408" y="25487"/>
                                <a:pt x="12786" y="28181"/>
                              </a:cubicBezTo>
                              <a:lnTo>
                                <a:pt x="0" y="32240"/>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4" name="Shape 16584"/>
                      <wps:cNvSpPr/>
                      <wps:spPr>
                        <a:xfrm>
                          <a:off x="128892" y="115697"/>
                          <a:ext cx="43650" cy="147942"/>
                        </a:xfrm>
                        <a:custGeom>
                          <a:avLst/>
                          <a:gdLst/>
                          <a:ahLst/>
                          <a:cxnLst/>
                          <a:rect l="0" t="0" r="0" b="0"/>
                          <a:pathLst>
                            <a:path w="43650" h="147942">
                              <a:moveTo>
                                <a:pt x="0" y="0"/>
                              </a:moveTo>
                              <a:lnTo>
                                <a:pt x="7417" y="0"/>
                              </a:lnTo>
                              <a:cubicBezTo>
                                <a:pt x="27343" y="0"/>
                                <a:pt x="43650" y="0"/>
                                <a:pt x="43650" y="0"/>
                              </a:cubicBezTo>
                              <a:cubicBezTo>
                                <a:pt x="43650" y="0"/>
                                <a:pt x="43650" y="16307"/>
                                <a:pt x="43650" y="36246"/>
                              </a:cubicBezTo>
                              <a:lnTo>
                                <a:pt x="43650" y="111709"/>
                              </a:lnTo>
                              <a:cubicBezTo>
                                <a:pt x="43650" y="131635"/>
                                <a:pt x="27343" y="147942"/>
                                <a:pt x="7417" y="147942"/>
                              </a:cubicBezTo>
                              <a:lnTo>
                                <a:pt x="0" y="147942"/>
                              </a:lnTo>
                              <a:lnTo>
                                <a:pt x="0" y="129908"/>
                              </a:lnTo>
                              <a:lnTo>
                                <a:pt x="18001" y="124174"/>
                              </a:lnTo>
                              <a:cubicBezTo>
                                <a:pt x="23311" y="120104"/>
                                <a:pt x="26810" y="114160"/>
                                <a:pt x="26810" y="106667"/>
                              </a:cubicBezTo>
                              <a:cubicBezTo>
                                <a:pt x="26810" y="96888"/>
                                <a:pt x="21107" y="90068"/>
                                <a:pt x="12560" y="86106"/>
                              </a:cubicBezTo>
                              <a:cubicBezTo>
                                <a:pt x="20371" y="83020"/>
                                <a:pt x="26060" y="75590"/>
                                <a:pt x="26060" y="67043"/>
                              </a:cubicBezTo>
                              <a:cubicBezTo>
                                <a:pt x="26060" y="59741"/>
                                <a:pt x="21971" y="54292"/>
                                <a:pt x="16650" y="49962"/>
                              </a:cubicBezTo>
                              <a:lnTo>
                                <a:pt x="16904" y="49708"/>
                              </a:lnTo>
                              <a:cubicBezTo>
                                <a:pt x="18009" y="49962"/>
                                <a:pt x="19126" y="50076"/>
                                <a:pt x="20244" y="50076"/>
                              </a:cubicBezTo>
                              <a:cubicBezTo>
                                <a:pt x="22339" y="50076"/>
                                <a:pt x="23711" y="49835"/>
                                <a:pt x="25692" y="49213"/>
                              </a:cubicBezTo>
                              <a:lnTo>
                                <a:pt x="27800" y="41910"/>
                              </a:lnTo>
                              <a:cubicBezTo>
                                <a:pt x="21107" y="43269"/>
                                <a:pt x="14300" y="44259"/>
                                <a:pt x="7366" y="44259"/>
                              </a:cubicBezTo>
                              <a:lnTo>
                                <a:pt x="0" y="44024"/>
                              </a:lnTo>
                              <a:lnTo>
                                <a:pt x="0" y="0"/>
                              </a:lnTo>
                              <a:close/>
                            </a:path>
                          </a:pathLst>
                        </a:custGeom>
                        <a:ln w="0" cap="flat">
                          <a:miter lim="127000"/>
                        </a:ln>
                      </wps:spPr>
                      <wps:style>
                        <a:lnRef idx="0">
                          <a:srgbClr val="000000">
                            <a:alpha val="0"/>
                          </a:srgbClr>
                        </a:lnRef>
                        <a:fillRef idx="1">
                          <a:srgbClr val="211F1F"/>
                        </a:fillRef>
                        <a:effectRef idx="0">
                          <a:scrgbClr r="0" g="0" b="0"/>
                        </a:effectRef>
                        <a:fontRef idx="none"/>
                      </wps:style>
                      <wps:bodyPr/>
                    </wps:wsp>
                    <wps:wsp>
                      <wps:cNvPr id="16585" name="Rectangle 16585"/>
                      <wps:cNvSpPr/>
                      <wps:spPr>
                        <a:xfrm>
                          <a:off x="200025" y="195143"/>
                          <a:ext cx="1115028" cy="125872"/>
                        </a:xfrm>
                        <a:prstGeom prst="rect">
                          <a:avLst/>
                        </a:prstGeom>
                        <a:ln>
                          <a:noFill/>
                        </a:ln>
                      </wps:spPr>
                      <wps:txbx>
                        <w:txbxContent>
                          <w:p w:rsidR="0009028B" w:rsidRDefault="002A6AB4">
                            <w:r>
                              <w:rPr>
                                <w:color w:val="211F1F"/>
                                <w:sz w:val="16"/>
                              </w:rPr>
                              <w:t>future</w:t>
                            </w:r>
                            <w:r>
                              <w:rPr>
                                <w:color w:val="211F1F"/>
                                <w:spacing w:val="-1"/>
                                <w:sz w:val="16"/>
                              </w:rPr>
                              <w:t xml:space="preserve"> </w:t>
                            </w:r>
                            <w:r>
                              <w:rPr>
                                <w:color w:val="211F1F"/>
                                <w:sz w:val="16"/>
                              </w:rPr>
                              <w:t>science</w:t>
                            </w:r>
                            <w:r>
                              <w:rPr>
                                <w:color w:val="211F1F"/>
                                <w:spacing w:val="-1"/>
                                <w:sz w:val="16"/>
                              </w:rPr>
                              <w:t xml:space="preserve"> </w:t>
                            </w:r>
                            <w:r>
                              <w:rPr>
                                <w:color w:val="211F1F"/>
                                <w:sz w:val="16"/>
                              </w:rPr>
                              <w:t>group</w:t>
                            </w:r>
                          </w:p>
                        </w:txbxContent>
                      </wps:txbx>
                      <wps:bodyPr horzOverflow="overflow" vert="horz" lIns="0" tIns="0" rIns="0" bIns="0" rtlCol="0">
                        <a:noAutofit/>
                      </wps:bodyPr>
                    </wps:wsp>
                    <wps:wsp>
                      <wps:cNvPr id="16586" name="Rectangle 16586"/>
                      <wps:cNvSpPr/>
                      <wps:spPr>
                        <a:xfrm>
                          <a:off x="5544000" y="195143"/>
                          <a:ext cx="417520" cy="125872"/>
                        </a:xfrm>
                        <a:prstGeom prst="rect">
                          <a:avLst/>
                        </a:prstGeom>
                        <a:ln>
                          <a:noFill/>
                        </a:ln>
                      </wps:spPr>
                      <wps:txbx>
                        <w:txbxContent>
                          <w:p w:rsidR="0009028B" w:rsidRDefault="002A6AB4">
                            <w:r>
                              <w:rPr>
                                <w:color w:val="211F1F"/>
                                <w:sz w:val="16"/>
                              </w:rPr>
                              <w:t>10.2217</w:t>
                            </w:r>
                          </w:p>
                        </w:txbxContent>
                      </wps:txbx>
                      <wps:bodyPr horzOverflow="overflow" vert="horz" lIns="0" tIns="0" rIns="0" bIns="0" rtlCol="0">
                        <a:noAutofit/>
                      </wps:bodyPr>
                    </wps:wsp>
                    <wps:wsp>
                      <wps:cNvPr id="16587" name="Rectangle 16587"/>
                      <wps:cNvSpPr/>
                      <wps:spPr>
                        <a:xfrm>
                          <a:off x="5857915" y="195143"/>
                          <a:ext cx="226260" cy="125872"/>
                        </a:xfrm>
                        <a:prstGeom prst="rect">
                          <a:avLst/>
                        </a:prstGeom>
                        <a:ln>
                          <a:noFill/>
                        </a:ln>
                      </wps:spPr>
                      <wps:txbx>
                        <w:txbxContent>
                          <w:p w:rsidR="0009028B" w:rsidRDefault="002A6AB4">
                            <w:r>
                              <w:rPr>
                                <w:color w:val="211F1F"/>
                                <w:sz w:val="16"/>
                              </w:rPr>
                              <w:t>/fon</w:t>
                            </w:r>
                          </w:p>
                        </w:txbxContent>
                      </wps:txbx>
                      <wps:bodyPr horzOverflow="overflow" vert="horz" lIns="0" tIns="0" rIns="0" bIns="0" rtlCol="0">
                        <a:noAutofit/>
                      </wps:bodyPr>
                    </wps:wsp>
                    <wps:wsp>
                      <wps:cNvPr id="16588" name="Rectangle 16588"/>
                      <wps:cNvSpPr/>
                      <wps:spPr>
                        <a:xfrm>
                          <a:off x="6028025" y="195143"/>
                          <a:ext cx="605682" cy="125872"/>
                        </a:xfrm>
                        <a:prstGeom prst="rect">
                          <a:avLst/>
                        </a:prstGeom>
                        <a:ln>
                          <a:noFill/>
                        </a:ln>
                      </wps:spPr>
                      <wps:txbx>
                        <w:txbxContent>
                          <w:p w:rsidR="0009028B" w:rsidRDefault="002A6AB4">
                            <w:r>
                              <w:rPr>
                                <w:color w:val="211F1F"/>
                                <w:sz w:val="16"/>
                              </w:rPr>
                              <w:t>-2017-0574</w:t>
                            </w:r>
                          </w:p>
                        </w:txbxContent>
                      </wps:txbx>
                      <wps:bodyPr horzOverflow="overflow" vert="horz" lIns="0" tIns="0" rIns="0" bIns="0" rtlCol="0">
                        <a:noAutofit/>
                      </wps:bodyPr>
                    </wps:wsp>
                  </wpg:wgp>
                </a:graphicData>
              </a:graphic>
            </wp:anchor>
          </w:drawing>
        </mc:Choice>
        <mc:Fallback xmlns:a="http://schemas.openxmlformats.org/drawingml/2006/main">
          <w:pict>
            <v:group id="Group 16573" style="width:510.506pt;height:22.8176pt;position:absolute;mso-position-horizontal-relative:page;mso-position-horizontal:absolute;margin-left:50.904pt;mso-position-vertical-relative:page;margin-top:750.188pt;" coordsize="64834,2897">
              <v:shape id="Shape 16574" style="position:absolute;width:64800;height:0;left:0;top:0;" coordsize="6480010,0" path="m0,0l6480010,0">
                <v:stroke weight="0.405pt" endcap="flat" joinstyle="miter" miterlimit="10" on="true" color="#211f1f"/>
                <v:fill on="false" color="#000000" opacity="0"/>
              </v:shape>
              <v:shape id="Shape 16575" style="position:absolute;width:13;height:100;left:350;top:1543;" coordsize="1353,10006" path="m1353,0l1353,10006l0,10006l0,5865l1353,0x">
                <v:stroke weight="0pt" endcap="flat" joinstyle="miter" miterlimit="10" on="false" color="#000000" opacity="0"/>
                <v:fill on="true" color="#211f1f"/>
              </v:shape>
              <v:shape id="Shape 16576" style="position:absolute;width:294;height:1465;left:69;top:1170;" coordsize="29432,146579" path="m29432,0l29432,21198l25908,23250c21476,27467,19126,34477,19126,43519l19126,47279l10833,47279l10833,53742l19126,53742l19126,105380l28194,105380l28194,53742l29432,53742l29432,146579l11273,146579c4702,146579,622,146579,622,146579c622,146579,546,130273,444,110347l76,34883c0,19929,9111,7017,22077,1497l29432,0x">
                <v:stroke weight="0pt" endcap="flat" joinstyle="miter" miterlimit="10" on="false" color="#000000" opacity="0"/>
                <v:fill on="true" color="#211f1f"/>
              </v:shape>
              <v:shape id="Shape 16577" style="position:absolute;width:120;height:202;left:622;top:1671;" coordsize="12014,20224" path="m12014,0l12014,20224l5128,18016c2051,16426,0,14144,0,10245c0,6715,1486,4083,3854,2333l12014,0x">
                <v:stroke weight="0pt" endcap="flat" joinstyle="miter" miterlimit="10" on="false" color="#000000" opacity="0"/>
                <v:fill on="true" color="#211f1f"/>
              </v:shape>
              <v:shape id="Shape 16578" style="position:absolute;width:378;height:1479;left:364;top:1156;" coordsize="37814,147942" path="m6699,0l37814,0l37814,44472l24908,48782c21101,51876,18625,56394,18625,62090c18625,72986,26829,76174,35033,78589l37814,79553l37814,101845l22460,95148l17012,99733c21838,105422,28772,109144,36455,109144l37814,108738l37814,147942l7436,147942l0,147942l0,55105l13125,55105l13125,48641l0,48641l0,38636l1797,30843c3893,27797,7029,26264,11195,26264c14053,26264,16046,26746,17532,27280c17774,25768,18421,21768,18599,20713c16923,20091,14091,19291,10331,19291c8769,19291,6499,19465,4023,20218l0,22561l0,1363l6699,0x">
                <v:stroke weight="0pt" endcap="flat" joinstyle="miter" miterlimit="10" on="false" color="#000000" opacity="0"/>
                <v:fill on="true" color="#211f1f"/>
              </v:shape>
              <v:shape id="Shape 16579" style="position:absolute;width:136;height:224;left:742;top:1952;" coordsize="13627,22403" path="m0,0l8499,2945c11576,4633,13627,6994,13627,10896c13627,18567,7556,22403,254,22403l0,22292l0,0x">
                <v:stroke weight="0pt" endcap="flat" joinstyle="miter" miterlimit="10" on="false" color="#000000" opacity="0"/>
                <v:fill on="true" color="#211f1f"/>
              </v:shape>
              <v:shape id="Shape 16580" style="position:absolute;width:188;height:323;left:1100;top:1663;" coordsize="18885,32321" path="m18821,0l18885,21l18885,32261l18694,32321c9284,32321,0,26619,0,16472c0,6070,9525,0,18821,0x">
                <v:stroke weight="0pt" endcap="flat" joinstyle="miter" miterlimit="10" on="false" color="#000000" opacity="0"/>
                <v:fill on="true" color="#211f1f"/>
              </v:shape>
              <v:shape id="Shape 16581" style="position:absolute;width:546;height:1479;left:742;top:1156;" coordsize="54674,147942" path="m0,0l54674,0l54674,44024l54483,44018c40488,44018,28600,52680,28600,67539c28600,74714,34176,82270,40615,85115l38011,93294c43586,91186,48298,89700,54242,89700l54674,89857l54674,122931l53619,123254c43713,123254,36779,117932,30963,111252l25514,115329c31699,123634,41478,130442,52997,130442l54674,129908l54674,147942l0,147942l0,108738l14270,104483c18294,101340,20803,96571,20803,90068c20803,78556,12598,75368,4394,73109l0,71700l0,51477l991,51194c6693,51194,11519,53797,15850,57010l19939,51321c13995,47104,8915,44018,1359,44018l0,44472l0,0x">
                <v:stroke weight="0pt" endcap="flat" joinstyle="miter" miterlimit="10" on="false" color="#000000" opacity="0"/>
                <v:fill on="true" color="#211f1f"/>
              </v:shape>
              <v:shape id="Shape 16582" style="position:absolute;width:196;height:330;left:1288;top:2055;" coordsize="19621,33075" path="m0,0l13310,4827c17085,7984,19621,12474,19621,17801c19621,22444,16961,26343,13046,29080l0,33075l0,0x">
                <v:stroke weight="0pt" endcap="flat" joinstyle="miter" miterlimit="10" on="false" color="#000000" opacity="0"/>
                <v:fill on="true" color="#211f1f"/>
              </v:shape>
              <v:shape id="Shape 16583" style="position:absolute;width:188;height:322;left:1288;top:1664;" coordsize="18885,32240" path="m0,0l12892,4314c16469,7132,18885,11250,18885,16451c18885,21524,16408,25487,12786,28181l0,32240l0,0x">
                <v:stroke weight="0pt" endcap="flat" joinstyle="miter" miterlimit="10" on="false" color="#000000" opacity="0"/>
                <v:fill on="true" color="#211f1f"/>
              </v:shape>
              <v:shape id="Shape 16584" style="position:absolute;width:436;height:1479;left:1288;top:1156;" coordsize="43650,147942" path="m0,0l7417,0c27343,0,43650,0,43650,0c43650,0,43650,16307,43650,36246l43650,111709c43650,131635,27343,147942,7417,147942l0,147942l0,129908l18001,124174c23311,120104,26810,114160,26810,106667c26810,96888,21107,90068,12560,86106c20371,83020,26060,75590,26060,67043c26060,59741,21971,54292,16650,49962l16904,49708c18009,49962,19126,50076,20244,50076c22339,50076,23711,49835,25692,49213l27800,41910c21107,43269,14300,44259,7366,44259l0,44024l0,0x">
                <v:stroke weight="0pt" endcap="flat" joinstyle="miter" miterlimit="10" on="false" color="#000000" opacity="0"/>
                <v:fill on="true" color="#211f1f"/>
              </v:shape>
              <v:rect id="Rectangle 16585" style="position:absolute;width:11150;height:1258;left:2000;top:1951;" filled="f" stroked="f">
                <v:textbox inset="0,0,0,0">
                  <w:txbxContent>
                    <w:p>
                      <w:pPr>
                        <w:spacing w:before="0" w:after="160" w:line="259" w:lineRule="auto"/>
                      </w:pPr>
                      <w:r>
                        <w:rPr>
                          <w:rFonts w:cs="Calibri" w:hAnsi="Calibri" w:eastAsia="Calibri" w:ascii="Calibri"/>
                          <w:color w:val="211f1f"/>
                          <w:sz w:val="16"/>
                        </w:rPr>
                        <w:t xml:space="preserve">future</w:t>
                      </w:r>
                      <w:r>
                        <w:rPr>
                          <w:rFonts w:cs="Calibri" w:hAnsi="Calibri" w:eastAsia="Calibri" w:ascii="Calibri"/>
                          <w:color w:val="211f1f"/>
                          <w:spacing w:val="-1"/>
                          <w:sz w:val="16"/>
                        </w:rPr>
                        <w:t xml:space="preserve"> </w:t>
                      </w:r>
                      <w:r>
                        <w:rPr>
                          <w:rFonts w:cs="Calibri" w:hAnsi="Calibri" w:eastAsia="Calibri" w:ascii="Calibri"/>
                          <w:color w:val="211f1f"/>
                          <w:sz w:val="16"/>
                        </w:rPr>
                        <w:t xml:space="preserve">science</w:t>
                      </w:r>
                      <w:r>
                        <w:rPr>
                          <w:rFonts w:cs="Calibri" w:hAnsi="Calibri" w:eastAsia="Calibri" w:ascii="Calibri"/>
                          <w:color w:val="211f1f"/>
                          <w:spacing w:val="-1"/>
                          <w:sz w:val="16"/>
                        </w:rPr>
                        <w:t xml:space="preserve"> </w:t>
                      </w:r>
                      <w:r>
                        <w:rPr>
                          <w:rFonts w:cs="Calibri" w:hAnsi="Calibri" w:eastAsia="Calibri" w:ascii="Calibri"/>
                          <w:color w:val="211f1f"/>
                          <w:sz w:val="16"/>
                        </w:rPr>
                        <w:t xml:space="preserve">group</w:t>
                      </w:r>
                    </w:p>
                  </w:txbxContent>
                </v:textbox>
              </v:rect>
              <v:rect id="Rectangle 16586" style="position:absolute;width:4175;height:1258;left:55440;top:1951;" filled="f" stroked="f">
                <v:textbox inset="0,0,0,0">
                  <w:txbxContent>
                    <w:p>
                      <w:pPr>
                        <w:spacing w:before="0" w:after="160" w:line="259" w:lineRule="auto"/>
                      </w:pPr>
                      <w:r>
                        <w:rPr>
                          <w:rFonts w:cs="Calibri" w:hAnsi="Calibri" w:eastAsia="Calibri" w:ascii="Calibri"/>
                          <w:color w:val="211f1f"/>
                          <w:sz w:val="16"/>
                        </w:rPr>
                        <w:t xml:space="preserve">10.2217</w:t>
                      </w:r>
                    </w:p>
                  </w:txbxContent>
                </v:textbox>
              </v:rect>
              <v:rect id="Rectangle 16587" style="position:absolute;width:2262;height:1258;left:58579;top:1951;" filled="f" stroked="f">
                <v:textbox inset="0,0,0,0">
                  <w:txbxContent>
                    <w:p>
                      <w:pPr>
                        <w:spacing w:before="0" w:after="160" w:line="259" w:lineRule="auto"/>
                      </w:pPr>
                      <w:r>
                        <w:rPr>
                          <w:rFonts w:cs="Calibri" w:hAnsi="Calibri" w:eastAsia="Calibri" w:ascii="Calibri"/>
                          <w:color w:val="211f1f"/>
                          <w:sz w:val="16"/>
                        </w:rPr>
                        <w:t xml:space="preserve">/fon</w:t>
                      </w:r>
                    </w:p>
                  </w:txbxContent>
                </v:textbox>
              </v:rect>
              <v:rect id="Rectangle 16588" style="position:absolute;width:6056;height:1258;left:60280;top:1951;" filled="f" stroked="f">
                <v:textbox inset="0,0,0,0">
                  <w:txbxContent>
                    <w:p>
                      <w:pPr>
                        <w:spacing w:before="0" w:after="160" w:line="259" w:lineRule="auto"/>
                      </w:pPr>
                      <w:r>
                        <w:rPr>
                          <w:rFonts w:cs="Calibri" w:hAnsi="Calibri" w:eastAsia="Calibri" w:ascii="Calibri"/>
                          <w:color w:val="211f1f"/>
                          <w:sz w:val="16"/>
                        </w:rPr>
                        <w:t xml:space="preserve">-2017-0574</w:t>
                      </w:r>
                    </w:p>
                  </w:txbxContent>
                </v:textbox>
              </v:rect>
              <w10:wrap type="squar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A6AB4">
      <w:pPr>
        <w:spacing w:after="0" w:line="240" w:lineRule="auto"/>
      </w:pPr>
      <w:r>
        <w:separator/>
      </w:r>
    </w:p>
  </w:footnote>
  <w:footnote w:type="continuationSeparator" w:id="0">
    <w:p w:rsidR="00000000" w:rsidRDefault="002A6A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2A6AB4">
    <w:pPr>
      <w:tabs>
        <w:tab w:val="center" w:pos="1606"/>
      </w:tabs>
      <w:spacing w:after="0"/>
      <w:ind w:left="-454"/>
    </w:pPr>
    <w:r>
      <w:rPr>
        <w:color w:val="243188"/>
        <w:sz w:val="18"/>
      </w:rPr>
      <w:t>Drug Evaluation</w:t>
    </w:r>
    <w:r>
      <w:rPr>
        <w:color w:val="243188"/>
        <w:sz w:val="18"/>
      </w:rPr>
      <w:tab/>
    </w:r>
    <w:r>
      <w:rPr>
        <w:color w:val="243188"/>
        <w:sz w:val="16"/>
      </w:rPr>
      <w:t>Hill &amp; Davies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2A6AB4">
    <w:pPr>
      <w:tabs>
        <w:tab w:val="center" w:pos="5940"/>
        <w:tab w:val="right" w:pos="10205"/>
      </w:tabs>
      <w:spacing w:after="0"/>
    </w:pPr>
    <w:r>
      <w:tab/>
    </w:r>
    <w:r>
      <w:rPr>
        <w:color w:val="243188"/>
        <w:sz w:val="16"/>
      </w:rPr>
      <w:t>Subcutaneous rituximab with rHuPH20 in the treatment of NHL and CLL</w:t>
    </w:r>
    <w:r>
      <w:rPr>
        <w:color w:val="243188"/>
        <w:sz w:val="16"/>
      </w:rPr>
      <w:tab/>
    </w:r>
    <w:r>
      <w:rPr>
        <w:color w:val="243188"/>
        <w:sz w:val="18"/>
      </w:rPr>
      <w:t>Drug Evaluation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28B" w:rsidRDefault="0009028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A53CFB"/>
    <w:multiLevelType w:val="hybridMultilevel"/>
    <w:tmpl w:val="7700AA3E"/>
    <w:lvl w:ilvl="0" w:tplc="B186FC88">
      <w:start w:val="16"/>
      <w:numFmt w:val="decimal"/>
      <w:lvlText w:val="%1."/>
      <w:lvlJc w:val="left"/>
      <w:pPr>
        <w:ind w:left="339"/>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1" w:tplc="7758FA88">
      <w:start w:val="1"/>
      <w:numFmt w:val="lowerLetter"/>
      <w:lvlText w:val="%2"/>
      <w:lvlJc w:val="left"/>
      <w:pPr>
        <w:ind w:left="10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2" w:tplc="FEB4DFAE">
      <w:start w:val="1"/>
      <w:numFmt w:val="lowerRoman"/>
      <w:lvlText w:val="%3"/>
      <w:lvlJc w:val="left"/>
      <w:pPr>
        <w:ind w:left="18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3" w:tplc="9A566200">
      <w:start w:val="1"/>
      <w:numFmt w:val="decimal"/>
      <w:lvlText w:val="%4"/>
      <w:lvlJc w:val="left"/>
      <w:pPr>
        <w:ind w:left="25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4" w:tplc="01DA781C">
      <w:start w:val="1"/>
      <w:numFmt w:val="lowerLetter"/>
      <w:lvlText w:val="%5"/>
      <w:lvlJc w:val="left"/>
      <w:pPr>
        <w:ind w:left="324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5" w:tplc="3D94BC4E">
      <w:start w:val="1"/>
      <w:numFmt w:val="lowerRoman"/>
      <w:lvlText w:val="%6"/>
      <w:lvlJc w:val="left"/>
      <w:pPr>
        <w:ind w:left="396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6" w:tplc="854E7AF4">
      <w:start w:val="1"/>
      <w:numFmt w:val="decimal"/>
      <w:lvlText w:val="%7"/>
      <w:lvlJc w:val="left"/>
      <w:pPr>
        <w:ind w:left="46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7" w:tplc="6284E6D0">
      <w:start w:val="1"/>
      <w:numFmt w:val="lowerLetter"/>
      <w:lvlText w:val="%8"/>
      <w:lvlJc w:val="left"/>
      <w:pPr>
        <w:ind w:left="54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8" w:tplc="6410451C">
      <w:start w:val="1"/>
      <w:numFmt w:val="lowerRoman"/>
      <w:lvlText w:val="%9"/>
      <w:lvlJc w:val="left"/>
      <w:pPr>
        <w:ind w:left="61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abstractNum>
  <w:abstractNum w:abstractNumId="1" w15:restartNumberingAfterBreak="0">
    <w:nsid w:val="496F7E4B"/>
    <w:multiLevelType w:val="hybridMultilevel"/>
    <w:tmpl w:val="B39860DC"/>
    <w:lvl w:ilvl="0" w:tplc="7172A24A">
      <w:start w:val="35"/>
      <w:numFmt w:val="decimal"/>
      <w:lvlText w:val="%1."/>
      <w:lvlJc w:val="left"/>
      <w:pPr>
        <w:ind w:left="339"/>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1" w:tplc="9ECC821E">
      <w:start w:val="1"/>
      <w:numFmt w:val="lowerLetter"/>
      <w:lvlText w:val="%2"/>
      <w:lvlJc w:val="left"/>
      <w:pPr>
        <w:ind w:left="10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2" w:tplc="4DD430B8">
      <w:start w:val="1"/>
      <w:numFmt w:val="lowerRoman"/>
      <w:lvlText w:val="%3"/>
      <w:lvlJc w:val="left"/>
      <w:pPr>
        <w:ind w:left="18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3" w:tplc="4B9E6752">
      <w:start w:val="1"/>
      <w:numFmt w:val="decimal"/>
      <w:lvlText w:val="%4"/>
      <w:lvlJc w:val="left"/>
      <w:pPr>
        <w:ind w:left="25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4" w:tplc="2918FA74">
      <w:start w:val="1"/>
      <w:numFmt w:val="lowerLetter"/>
      <w:lvlText w:val="%5"/>
      <w:lvlJc w:val="left"/>
      <w:pPr>
        <w:ind w:left="324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5" w:tplc="CBFC2726">
      <w:start w:val="1"/>
      <w:numFmt w:val="lowerRoman"/>
      <w:lvlText w:val="%6"/>
      <w:lvlJc w:val="left"/>
      <w:pPr>
        <w:ind w:left="396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6" w:tplc="3EFEFDB8">
      <w:start w:val="1"/>
      <w:numFmt w:val="decimal"/>
      <w:lvlText w:val="%7"/>
      <w:lvlJc w:val="left"/>
      <w:pPr>
        <w:ind w:left="46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7" w:tplc="3ED0FF40">
      <w:start w:val="1"/>
      <w:numFmt w:val="lowerLetter"/>
      <w:lvlText w:val="%8"/>
      <w:lvlJc w:val="left"/>
      <w:pPr>
        <w:ind w:left="54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8" w:tplc="E6281D60">
      <w:start w:val="1"/>
      <w:numFmt w:val="lowerRoman"/>
      <w:lvlText w:val="%9"/>
      <w:lvlJc w:val="left"/>
      <w:pPr>
        <w:ind w:left="61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abstractNum>
  <w:abstractNum w:abstractNumId="2" w15:restartNumberingAfterBreak="0">
    <w:nsid w:val="57EF3AB8"/>
    <w:multiLevelType w:val="hybridMultilevel"/>
    <w:tmpl w:val="A8288334"/>
    <w:lvl w:ilvl="0" w:tplc="C2C217BE">
      <w:start w:val="1"/>
      <w:numFmt w:val="decimal"/>
      <w:lvlText w:val="%1."/>
      <w:lvlJc w:val="left"/>
      <w:pPr>
        <w:ind w:left="339"/>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1" w:tplc="11B2358E">
      <w:start w:val="1"/>
      <w:numFmt w:val="lowerLetter"/>
      <w:lvlText w:val="%2"/>
      <w:lvlJc w:val="left"/>
      <w:pPr>
        <w:ind w:left="10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2" w:tplc="E6D4D1A4">
      <w:start w:val="1"/>
      <w:numFmt w:val="lowerRoman"/>
      <w:lvlText w:val="%3"/>
      <w:lvlJc w:val="left"/>
      <w:pPr>
        <w:ind w:left="18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3" w:tplc="421A4A4A">
      <w:start w:val="1"/>
      <w:numFmt w:val="decimal"/>
      <w:lvlText w:val="%4"/>
      <w:lvlJc w:val="left"/>
      <w:pPr>
        <w:ind w:left="25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4" w:tplc="6D6C55B4">
      <w:start w:val="1"/>
      <w:numFmt w:val="lowerLetter"/>
      <w:lvlText w:val="%5"/>
      <w:lvlJc w:val="left"/>
      <w:pPr>
        <w:ind w:left="324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5" w:tplc="497C6ED8">
      <w:start w:val="1"/>
      <w:numFmt w:val="lowerRoman"/>
      <w:lvlText w:val="%6"/>
      <w:lvlJc w:val="left"/>
      <w:pPr>
        <w:ind w:left="396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6" w:tplc="C6E60A84">
      <w:start w:val="1"/>
      <w:numFmt w:val="decimal"/>
      <w:lvlText w:val="%7"/>
      <w:lvlJc w:val="left"/>
      <w:pPr>
        <w:ind w:left="46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7" w:tplc="D84C52D8">
      <w:start w:val="1"/>
      <w:numFmt w:val="lowerLetter"/>
      <w:lvlText w:val="%8"/>
      <w:lvlJc w:val="left"/>
      <w:pPr>
        <w:ind w:left="54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8" w:tplc="BB30A5B4">
      <w:start w:val="1"/>
      <w:numFmt w:val="lowerRoman"/>
      <w:lvlText w:val="%9"/>
      <w:lvlJc w:val="left"/>
      <w:pPr>
        <w:ind w:left="61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abstractNum>
  <w:abstractNum w:abstractNumId="3" w15:restartNumberingAfterBreak="0">
    <w:nsid w:val="668960B8"/>
    <w:multiLevelType w:val="hybridMultilevel"/>
    <w:tmpl w:val="933CE93E"/>
    <w:lvl w:ilvl="0" w:tplc="710AF378">
      <w:start w:val="29"/>
      <w:numFmt w:val="decimal"/>
      <w:lvlText w:val="%1."/>
      <w:lvlJc w:val="left"/>
      <w:pPr>
        <w:ind w:left="339"/>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1" w:tplc="CDCA62F0">
      <w:start w:val="1"/>
      <w:numFmt w:val="lowerLetter"/>
      <w:lvlText w:val="%2"/>
      <w:lvlJc w:val="left"/>
      <w:pPr>
        <w:ind w:left="10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2" w:tplc="FDF65D38">
      <w:start w:val="1"/>
      <w:numFmt w:val="lowerRoman"/>
      <w:lvlText w:val="%3"/>
      <w:lvlJc w:val="left"/>
      <w:pPr>
        <w:ind w:left="18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3" w:tplc="8D58D45A">
      <w:start w:val="1"/>
      <w:numFmt w:val="decimal"/>
      <w:lvlText w:val="%4"/>
      <w:lvlJc w:val="left"/>
      <w:pPr>
        <w:ind w:left="25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4" w:tplc="0F20850C">
      <w:start w:val="1"/>
      <w:numFmt w:val="lowerLetter"/>
      <w:lvlText w:val="%5"/>
      <w:lvlJc w:val="left"/>
      <w:pPr>
        <w:ind w:left="324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5" w:tplc="AB1C06C4">
      <w:start w:val="1"/>
      <w:numFmt w:val="lowerRoman"/>
      <w:lvlText w:val="%6"/>
      <w:lvlJc w:val="left"/>
      <w:pPr>
        <w:ind w:left="396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6" w:tplc="EDC0891A">
      <w:start w:val="1"/>
      <w:numFmt w:val="decimal"/>
      <w:lvlText w:val="%7"/>
      <w:lvlJc w:val="left"/>
      <w:pPr>
        <w:ind w:left="468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7" w:tplc="39EEDBF0">
      <w:start w:val="1"/>
      <w:numFmt w:val="lowerLetter"/>
      <w:lvlText w:val="%8"/>
      <w:lvlJc w:val="left"/>
      <w:pPr>
        <w:ind w:left="540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lvl w:ilvl="8" w:tplc="02A86156">
      <w:start w:val="1"/>
      <w:numFmt w:val="lowerRoman"/>
      <w:lvlText w:val="%9"/>
      <w:lvlJc w:val="left"/>
      <w:pPr>
        <w:ind w:left="6120"/>
      </w:pPr>
      <w:rPr>
        <w:rFonts w:ascii="Garamond" w:eastAsia="Garamond" w:hAnsi="Garamond" w:cs="Garamond"/>
        <w:b w:val="0"/>
        <w:i w:val="0"/>
        <w:strike w:val="0"/>
        <w:dstrike w:val="0"/>
        <w:color w:val="211F1F"/>
        <w:sz w:val="16"/>
        <w:szCs w:val="16"/>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28B"/>
    <w:rsid w:val="0009028B"/>
    <w:rsid w:val="002A6AB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62E5DF-22ED-4F00-A1D8-AAF46480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243188"/>
      <w:sz w:val="20"/>
    </w:rPr>
  </w:style>
  <w:style w:type="paragraph" w:styleId="Heading2">
    <w:name w:val="heading 2"/>
    <w:next w:val="Normal"/>
    <w:link w:val="Heading2Char"/>
    <w:uiPriority w:val="9"/>
    <w:unhideWhenUsed/>
    <w:qFormat/>
    <w:pPr>
      <w:keepNext/>
      <w:keepLines/>
      <w:spacing w:after="5"/>
      <w:ind w:left="10" w:hanging="10"/>
      <w:outlineLvl w:val="1"/>
    </w:pPr>
    <w:rPr>
      <w:rFonts w:ascii="Garamond" w:eastAsia="Garamond" w:hAnsi="Garamond" w:cs="Garamond"/>
      <w:i/>
      <w:color w:val="24318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43188"/>
      <w:sz w:val="20"/>
    </w:rPr>
  </w:style>
  <w:style w:type="character" w:customStyle="1" w:styleId="Heading2Char">
    <w:name w:val="Heading 2 Char"/>
    <w:link w:val="Heading2"/>
    <w:rPr>
      <w:rFonts w:ascii="Garamond" w:eastAsia="Garamond" w:hAnsi="Garamond" w:cs="Garamond"/>
      <w:i/>
      <w:color w:val="243188"/>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4.png"/><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6234</Words>
  <Characters>35535</Characters>
  <Application>Microsoft Office Word</Application>
  <DocSecurity>0</DocSecurity>
  <Lines>296</Lines>
  <Paragraphs>83</Paragraphs>
  <ScaleCrop>false</ScaleCrop>
  <Company>University Of Southampton</Company>
  <LinksUpToDate>false</LinksUpToDate>
  <CharactersWithSpaces>41686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A.D.</dc:creator>
  <cp:keywords/>
  <cp:lastModifiedBy>Marks A.D.</cp:lastModifiedBy>
  <cp:revision>2</cp:revision>
  <dcterms:created xsi:type="dcterms:W3CDTF">2018-02-08T11:18:00Z</dcterms:created>
  <dcterms:modified xsi:type="dcterms:W3CDTF">2018-02-08T11:18:00Z</dcterms:modified>
</cp:coreProperties>
</file>