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179" w:rsidRDefault="00CE7D0C" w:rsidP="00BF6179">
      <w:pPr>
        <w:spacing w:line="480" w:lineRule="auto"/>
        <w:rPr>
          <w:rFonts w:ascii="Times New Roman" w:hAnsi="Times New Roman"/>
          <w:b/>
        </w:rPr>
      </w:pPr>
      <w:r>
        <w:rPr>
          <w:rFonts w:ascii="Times New Roman" w:hAnsi="Times New Roman"/>
          <w:b/>
        </w:rPr>
        <w:t>Meta-analyses in Child and Adolescent Psychiatry: Getting Closer to Clinical P</w:t>
      </w:r>
      <w:r w:rsidR="00BF6179" w:rsidRPr="00BF6179">
        <w:rPr>
          <w:rFonts w:ascii="Times New Roman" w:hAnsi="Times New Roman"/>
          <w:b/>
        </w:rPr>
        <w:t>ractice</w:t>
      </w:r>
    </w:p>
    <w:p w:rsidR="00BF6179" w:rsidRDefault="00BF6179" w:rsidP="00BF6179">
      <w:pPr>
        <w:spacing w:line="480" w:lineRule="auto"/>
        <w:jc w:val="center"/>
        <w:rPr>
          <w:rFonts w:ascii="Times New Roman" w:hAnsi="Times New Roman"/>
          <w:b/>
        </w:rPr>
      </w:pPr>
    </w:p>
    <w:p w:rsidR="00BF6179" w:rsidRDefault="00BF6179" w:rsidP="008D6359">
      <w:pPr>
        <w:jc w:val="center"/>
        <w:rPr>
          <w:rFonts w:ascii="Times New Roman" w:hAnsi="Times New Roman"/>
          <w:color w:val="000000"/>
        </w:rPr>
      </w:pPr>
      <w:r w:rsidRPr="002E1B21">
        <w:rPr>
          <w:rFonts w:ascii="Times New Roman" w:hAnsi="Times New Roman"/>
          <w:color w:val="000000"/>
        </w:rPr>
        <w:t>Samuele Cortese, MD., Ph.D.</w:t>
      </w:r>
    </w:p>
    <w:p w:rsidR="00BF6179" w:rsidRPr="00BF6179" w:rsidRDefault="00BF6179" w:rsidP="00BF6179">
      <w:pPr>
        <w:spacing w:line="480" w:lineRule="auto"/>
        <w:jc w:val="center"/>
        <w:rPr>
          <w:rFonts w:ascii="Times New Roman" w:hAnsi="Times New Roman"/>
          <w:b/>
        </w:rPr>
      </w:pPr>
    </w:p>
    <w:p w:rsidR="00BF6179" w:rsidRDefault="00BF6179" w:rsidP="00BF6179">
      <w:pPr>
        <w:spacing w:line="480" w:lineRule="auto"/>
        <w:rPr>
          <w:rFonts w:ascii="Times New Roman" w:hAnsi="Times New Roman"/>
        </w:rPr>
      </w:pPr>
    </w:p>
    <w:p w:rsidR="00BF6179" w:rsidRDefault="00BF6179" w:rsidP="00BF6179">
      <w:pPr>
        <w:spacing w:line="480" w:lineRule="auto"/>
        <w:rPr>
          <w:rFonts w:ascii="Times New Roman" w:hAnsi="Times New Roman" w:cs="Times New Roman"/>
          <w:shd w:val="clear" w:color="auto" w:fill="FFFFFF"/>
        </w:rPr>
      </w:pPr>
      <w:r w:rsidRPr="00A27C46">
        <w:rPr>
          <w:rFonts w:ascii="Times New Roman" w:hAnsi="Times New Roman" w:cs="Times New Roman"/>
        </w:rPr>
        <w:t xml:space="preserve">Samuele Cortese is with the Center for Innovation in Mental Health, Academic Unit of Psychology and </w:t>
      </w:r>
      <w:r w:rsidRPr="00A27C46">
        <w:rPr>
          <w:rFonts w:ascii="Times New Roman" w:hAnsi="Times New Roman" w:cs="Times New Roman"/>
          <w:shd w:val="clear" w:color="auto" w:fill="FFFFFF"/>
        </w:rPr>
        <w:t xml:space="preserve">Clinical and Experimental Sciences (CNS and Psychiatry), Faculty of Medicine, </w:t>
      </w:r>
      <w:r w:rsidR="00E505B1">
        <w:rPr>
          <w:rFonts w:ascii="Times New Roman" w:hAnsi="Times New Roman" w:cs="Times New Roman"/>
        </w:rPr>
        <w:t>University of Southampton, UK;</w:t>
      </w:r>
      <w:r w:rsidRPr="00A27C46">
        <w:rPr>
          <w:rFonts w:ascii="Times New Roman" w:hAnsi="Times New Roman" w:cs="Times New Roman"/>
        </w:rPr>
        <w:t xml:space="preserve"> the</w:t>
      </w:r>
      <w:r w:rsidRPr="00A27C46">
        <w:rPr>
          <w:rFonts w:ascii="Times New Roman" w:hAnsi="Times New Roman" w:cs="Times New Roman"/>
          <w:vertAlign w:val="superscript"/>
        </w:rPr>
        <w:t xml:space="preserve"> </w:t>
      </w:r>
      <w:r w:rsidRPr="00A27C46">
        <w:rPr>
          <w:rFonts w:ascii="Times New Roman" w:eastAsia="MS Minchofalt" w:hAnsi="Times New Roman" w:cs="Times New Roman"/>
        </w:rPr>
        <w:t xml:space="preserve">Solent NHS Trust, </w:t>
      </w:r>
      <w:r w:rsidR="00E505B1">
        <w:rPr>
          <w:rFonts w:ascii="Times New Roman" w:hAnsi="Times New Roman" w:cs="Times New Roman"/>
        </w:rPr>
        <w:t>Southampton, UK;</w:t>
      </w:r>
      <w:r w:rsidRPr="00A27C46">
        <w:rPr>
          <w:rFonts w:ascii="Times New Roman" w:hAnsi="Times New Roman" w:cs="Times New Roman"/>
        </w:rPr>
        <w:t xml:space="preserve"> the New York University Child Study Center, </w:t>
      </w:r>
      <w:r w:rsidRPr="00A27C46">
        <w:rPr>
          <w:rFonts w:ascii="Times New Roman" w:hAnsi="Times New Roman" w:cs="Times New Roman"/>
          <w:shd w:val="clear" w:color="auto" w:fill="FFFFFF"/>
        </w:rPr>
        <w:t xml:space="preserve">New York, </w:t>
      </w:r>
      <w:r w:rsidR="00E505B1">
        <w:rPr>
          <w:rFonts w:ascii="Times New Roman" w:hAnsi="Times New Roman" w:cs="Times New Roman"/>
        </w:rPr>
        <w:t xml:space="preserve">NY, USA; </w:t>
      </w:r>
      <w:r w:rsidRPr="00A27C46">
        <w:rPr>
          <w:rFonts w:ascii="Times New Roman" w:hAnsi="Times New Roman" w:cs="Times New Roman"/>
        </w:rPr>
        <w:t xml:space="preserve">and the </w:t>
      </w:r>
      <w:r w:rsidRPr="00A27C46">
        <w:rPr>
          <w:rFonts w:ascii="Times New Roman" w:hAnsi="Times New Roman" w:cs="Times New Roman"/>
          <w:shd w:val="clear" w:color="auto" w:fill="FFFFFF"/>
        </w:rPr>
        <w:t>Division of Psychiatry and Applied Psychology, School of Medicine, University of Nottingham, Nottingham, UK</w:t>
      </w:r>
    </w:p>
    <w:p w:rsidR="008D6359" w:rsidRDefault="008D6359" w:rsidP="00BF6179">
      <w:pPr>
        <w:spacing w:line="480" w:lineRule="auto"/>
        <w:rPr>
          <w:rFonts w:ascii="Times New Roman" w:hAnsi="Times New Roman" w:cs="Times New Roman"/>
          <w:shd w:val="clear" w:color="auto" w:fill="FFFFFF"/>
        </w:rPr>
      </w:pPr>
    </w:p>
    <w:p w:rsidR="008D6359" w:rsidRDefault="008D6359" w:rsidP="00BF6179">
      <w:pPr>
        <w:spacing w:line="480" w:lineRule="auto"/>
        <w:rPr>
          <w:rFonts w:ascii="Times New Roman" w:hAnsi="Times New Roman" w:cs="Times New Roman"/>
          <w:shd w:val="clear" w:color="auto" w:fill="FFFFFF"/>
        </w:rPr>
      </w:pPr>
    </w:p>
    <w:p w:rsidR="008D6359" w:rsidRDefault="008D6359" w:rsidP="00BF6179">
      <w:pPr>
        <w:spacing w:line="480" w:lineRule="auto"/>
        <w:rPr>
          <w:rFonts w:ascii="Times New Roman" w:hAnsi="Times New Roman" w:cs="Times New Roman"/>
          <w:shd w:val="clear" w:color="auto" w:fill="FFFFFF"/>
        </w:rPr>
      </w:pPr>
    </w:p>
    <w:p w:rsidR="008D6359" w:rsidRDefault="008D6359" w:rsidP="00BF6179">
      <w:pPr>
        <w:spacing w:line="480" w:lineRule="auto"/>
        <w:rPr>
          <w:rFonts w:ascii="Times New Roman" w:hAnsi="Times New Roman" w:cs="Times New Roman"/>
          <w:shd w:val="clear" w:color="auto" w:fill="FFFFFF"/>
        </w:rPr>
      </w:pPr>
    </w:p>
    <w:p w:rsidR="00A27C46" w:rsidRPr="00A27C46" w:rsidRDefault="00A27C46" w:rsidP="00A27C46">
      <w:pPr>
        <w:spacing w:line="480" w:lineRule="auto"/>
        <w:outlineLvl w:val="0"/>
        <w:rPr>
          <w:rFonts w:ascii="Times New Roman" w:hAnsi="Times New Roman" w:cs="Times New Roman"/>
          <w:b/>
          <w:lang w:val="en-US"/>
        </w:rPr>
      </w:pPr>
      <w:r w:rsidRPr="00A27C46">
        <w:rPr>
          <w:rFonts w:ascii="Times New Roman" w:hAnsi="Times New Roman" w:cs="Times New Roman"/>
          <w:b/>
          <w:lang w:val="en-US"/>
        </w:rPr>
        <w:t xml:space="preserve">Address correspondence to: </w:t>
      </w:r>
    </w:p>
    <w:p w:rsidR="00A27C46" w:rsidRPr="00A27C46" w:rsidRDefault="00A27C46" w:rsidP="00A27C46">
      <w:pPr>
        <w:spacing w:line="480" w:lineRule="auto"/>
        <w:outlineLvl w:val="0"/>
        <w:rPr>
          <w:rFonts w:ascii="Times New Roman" w:hAnsi="Times New Roman" w:cs="Times New Roman"/>
        </w:rPr>
      </w:pPr>
      <w:r w:rsidRPr="00A27C46">
        <w:rPr>
          <w:rFonts w:ascii="Times New Roman" w:hAnsi="Times New Roman" w:cs="Times New Roman"/>
        </w:rPr>
        <w:t>Dr. Samuele Cortese</w:t>
      </w:r>
    </w:p>
    <w:p w:rsidR="00A27C46" w:rsidRPr="00A27C46" w:rsidRDefault="00A27C46" w:rsidP="00A27C46">
      <w:pPr>
        <w:spacing w:line="480" w:lineRule="auto"/>
        <w:rPr>
          <w:rFonts w:ascii="Times New Roman" w:hAnsi="Times New Roman" w:cs="Times New Roman"/>
        </w:rPr>
      </w:pPr>
      <w:r w:rsidRPr="00A27C46">
        <w:rPr>
          <w:rFonts w:ascii="Times New Roman" w:hAnsi="Times New Roman" w:cs="Times New Roman"/>
        </w:rPr>
        <w:t xml:space="preserve">Academic Unit of Psychology and </w:t>
      </w:r>
      <w:r w:rsidRPr="00A27C46">
        <w:rPr>
          <w:rFonts w:ascii="Times New Roman" w:hAnsi="Times New Roman" w:cs="Times New Roman"/>
          <w:shd w:val="clear" w:color="auto" w:fill="FFFFFF"/>
        </w:rPr>
        <w:t>Clinical and Experimental Sciences (CNS and Psychiatry) University of Southampton,</w:t>
      </w:r>
      <w:r w:rsidRPr="00A27C46">
        <w:rPr>
          <w:rFonts w:ascii="Times New Roman" w:eastAsia="MS Minchofalt" w:hAnsi="Times New Roman" w:cs="Times New Roman"/>
        </w:rPr>
        <w:t xml:space="preserve"> Highfield Campus, Building 44, </w:t>
      </w:r>
      <w:r w:rsidRPr="00A27C46">
        <w:rPr>
          <w:rFonts w:ascii="Times New Roman" w:hAnsi="Times New Roman" w:cs="Times New Roman"/>
        </w:rPr>
        <w:t xml:space="preserve">Southampton, </w:t>
      </w:r>
      <w:r w:rsidRPr="00A27C46">
        <w:rPr>
          <w:rFonts w:ascii="Times New Roman" w:eastAsia="MS Minchofalt" w:hAnsi="Times New Roman" w:cs="Times New Roman"/>
        </w:rPr>
        <w:t>SO17 1BJ,</w:t>
      </w:r>
      <w:r w:rsidRPr="00A27C46">
        <w:rPr>
          <w:rFonts w:ascii="Times New Roman" w:hAnsi="Times New Roman" w:cs="Times New Roman"/>
        </w:rPr>
        <w:t xml:space="preserve"> UK </w:t>
      </w:r>
    </w:p>
    <w:p w:rsidR="00A27C46" w:rsidRPr="00A27C46" w:rsidRDefault="00A27C46" w:rsidP="00A27C46">
      <w:pPr>
        <w:spacing w:line="480" w:lineRule="auto"/>
        <w:rPr>
          <w:rFonts w:ascii="Times New Roman" w:hAnsi="Times New Roman" w:cs="Times New Roman"/>
          <w:lang w:val="fr-FR"/>
        </w:rPr>
      </w:pPr>
      <w:r w:rsidRPr="00A27C46">
        <w:rPr>
          <w:rFonts w:ascii="Times New Roman" w:hAnsi="Times New Roman" w:cs="Times New Roman"/>
          <w:lang w:val="fr-FR"/>
        </w:rPr>
        <w:t>Phone: +44 (0) 2380599645</w:t>
      </w:r>
    </w:p>
    <w:p w:rsidR="00A27C46" w:rsidRPr="00A27C46" w:rsidRDefault="00A27C46" w:rsidP="00A27C46">
      <w:pPr>
        <w:spacing w:line="480" w:lineRule="auto"/>
        <w:rPr>
          <w:rFonts w:ascii="Times New Roman" w:hAnsi="Times New Roman" w:cs="Times New Roman"/>
          <w:lang w:val="fr-FR"/>
        </w:rPr>
      </w:pPr>
      <w:r w:rsidRPr="00A27C46">
        <w:rPr>
          <w:rFonts w:ascii="Times New Roman" w:hAnsi="Times New Roman" w:cs="Times New Roman"/>
          <w:lang w:val="fr-FR"/>
        </w:rPr>
        <w:t xml:space="preserve">E-mail: </w:t>
      </w:r>
      <w:hyperlink r:id="rId7" w:history="1">
        <w:r w:rsidRPr="00A27C46">
          <w:rPr>
            <w:rStyle w:val="Hyperlink"/>
            <w:rFonts w:ascii="Times New Roman" w:hAnsi="Times New Roman"/>
            <w:lang w:val="fr-FR"/>
          </w:rPr>
          <w:t>samuele.cortese@soton.ac.uk</w:t>
        </w:r>
      </w:hyperlink>
    </w:p>
    <w:p w:rsidR="00C004F7" w:rsidRDefault="00C004F7" w:rsidP="00C004F7">
      <w:pPr>
        <w:spacing w:line="480" w:lineRule="auto"/>
        <w:rPr>
          <w:rFonts w:ascii="Times New Roman" w:hAnsi="Times New Roman" w:cs="Times New Roman"/>
          <w:b/>
          <w:bCs/>
          <w:lang w:val="pt-PT"/>
        </w:rPr>
      </w:pPr>
    </w:p>
    <w:p w:rsidR="00C004F7" w:rsidRDefault="00C004F7" w:rsidP="00C004F7">
      <w:pPr>
        <w:spacing w:line="480" w:lineRule="auto"/>
        <w:rPr>
          <w:rFonts w:ascii="Times New Roman" w:hAnsi="Times New Roman" w:cs="Times New Roman"/>
          <w:b/>
          <w:bCs/>
          <w:lang w:val="pt-PT"/>
        </w:rPr>
      </w:pPr>
    </w:p>
    <w:p w:rsidR="00C004F7" w:rsidRPr="008E02A0" w:rsidRDefault="00C004F7" w:rsidP="00C004F7">
      <w:pPr>
        <w:spacing w:line="480" w:lineRule="auto"/>
        <w:rPr>
          <w:rFonts w:ascii="Times New Roman" w:hAnsi="Times New Roman" w:cs="Times New Roman"/>
          <w:i/>
          <w:iCs/>
          <w:lang w:val="pt-PT"/>
        </w:rPr>
      </w:pPr>
      <w:proofErr w:type="spellStart"/>
      <w:r>
        <w:rPr>
          <w:rFonts w:ascii="Times New Roman" w:hAnsi="Times New Roman" w:cs="Times New Roman"/>
          <w:b/>
          <w:bCs/>
          <w:lang w:val="pt-PT"/>
        </w:rPr>
        <w:t>Acknowledge</w:t>
      </w:r>
      <w:r w:rsidRPr="008E02A0">
        <w:rPr>
          <w:rFonts w:ascii="Times New Roman" w:hAnsi="Times New Roman" w:cs="Times New Roman"/>
          <w:b/>
          <w:bCs/>
          <w:lang w:val="pt-PT"/>
        </w:rPr>
        <w:t>ments</w:t>
      </w:r>
      <w:proofErr w:type="spellEnd"/>
      <w:r w:rsidRPr="008E02A0">
        <w:rPr>
          <w:rFonts w:ascii="Times New Roman" w:hAnsi="Times New Roman" w:cs="Times New Roman"/>
          <w:lang w:val="pt-PT"/>
        </w:rPr>
        <w:t>:</w:t>
      </w:r>
      <w:r w:rsidRPr="008E02A0">
        <w:rPr>
          <w:rFonts w:ascii="Times New Roman" w:hAnsi="Times New Roman" w:cs="Times New Roman"/>
          <w:i/>
          <w:iCs/>
          <w:lang w:val="pt-PT"/>
        </w:rPr>
        <w:t xml:space="preserve"> </w:t>
      </w:r>
      <w:r w:rsidRPr="00B7557C">
        <w:rPr>
          <w:rFonts w:ascii="Times New Roman" w:hAnsi="Times New Roman" w:cs="Times New Roman"/>
          <w:iCs/>
          <w:lang w:val="pt-PT"/>
        </w:rPr>
        <w:t>N/A</w:t>
      </w:r>
    </w:p>
    <w:p w:rsidR="00A27C46" w:rsidRDefault="00A27C46" w:rsidP="00BF6179">
      <w:pPr>
        <w:spacing w:line="480" w:lineRule="auto"/>
        <w:ind w:firstLine="720"/>
        <w:rPr>
          <w:rFonts w:ascii="Times New Roman" w:hAnsi="Times New Roman" w:cs="Times New Roman"/>
        </w:rPr>
      </w:pPr>
    </w:p>
    <w:p w:rsidR="00BF6179" w:rsidRDefault="00BF6179" w:rsidP="00BF6179">
      <w:pPr>
        <w:spacing w:line="480" w:lineRule="auto"/>
        <w:ind w:firstLine="720"/>
        <w:rPr>
          <w:rFonts w:ascii="Times New Roman" w:hAnsi="Times New Roman" w:cs="Times New Roman"/>
        </w:rPr>
      </w:pPr>
    </w:p>
    <w:p w:rsidR="000B1A8C" w:rsidRDefault="00FB42ED" w:rsidP="00BF6179">
      <w:pPr>
        <w:spacing w:line="480" w:lineRule="auto"/>
        <w:ind w:firstLine="720"/>
        <w:rPr>
          <w:rFonts w:ascii="Times New Roman" w:hAnsi="Times New Roman" w:cs="Times New Roman"/>
        </w:rPr>
      </w:pPr>
      <w:r>
        <w:rPr>
          <w:rFonts w:ascii="Times New Roman" w:hAnsi="Times New Roman" w:cs="Times New Roman"/>
        </w:rPr>
        <w:lastRenderedPageBreak/>
        <w:t>Rigorously conducted m</w:t>
      </w:r>
      <w:r w:rsidR="004670BD" w:rsidRPr="00FB42ED">
        <w:rPr>
          <w:rFonts w:ascii="Times New Roman" w:hAnsi="Times New Roman" w:cs="Times New Roman"/>
        </w:rPr>
        <w:t xml:space="preserve">eta-analyses provide evidence synthesis which </w:t>
      </w:r>
      <w:r w:rsidR="00BF6179">
        <w:rPr>
          <w:rFonts w:ascii="Times New Roman" w:hAnsi="Times New Roman" w:cs="Times New Roman"/>
        </w:rPr>
        <w:t>has the potential to</w:t>
      </w:r>
      <w:r w:rsidR="004670BD" w:rsidRPr="00FB42ED">
        <w:rPr>
          <w:rFonts w:ascii="Times New Roman" w:hAnsi="Times New Roman" w:cs="Times New Roman"/>
        </w:rPr>
        <w:t xml:space="preserve"> inform daily clinical decision making and development of clinical guidelines. </w:t>
      </w:r>
      <w:r w:rsidR="0041092A">
        <w:rPr>
          <w:rFonts w:ascii="Times New Roman" w:hAnsi="Times New Roman" w:cs="Times New Roman"/>
        </w:rPr>
        <w:t>In the past decade, there has been an</w:t>
      </w:r>
      <w:r w:rsidR="00BF6179">
        <w:rPr>
          <w:rFonts w:ascii="Times New Roman" w:hAnsi="Times New Roman" w:cs="Times New Roman"/>
        </w:rPr>
        <w:t xml:space="preserve"> increasing amount of studies on pharmacological and n</w:t>
      </w:r>
      <w:r w:rsidR="00D87AEA">
        <w:rPr>
          <w:rFonts w:ascii="Times New Roman" w:hAnsi="Times New Roman" w:cs="Times New Roman"/>
        </w:rPr>
        <w:t>on-pharmacological treatments for</w:t>
      </w:r>
      <w:r w:rsidR="00BF6179">
        <w:rPr>
          <w:rFonts w:ascii="Times New Roman" w:hAnsi="Times New Roman" w:cs="Times New Roman"/>
        </w:rPr>
        <w:t xml:space="preserve"> childhood and a</w:t>
      </w:r>
      <w:r w:rsidR="0041092A">
        <w:rPr>
          <w:rFonts w:ascii="Times New Roman" w:hAnsi="Times New Roman" w:cs="Times New Roman"/>
        </w:rPr>
        <w:t xml:space="preserve">dolescent psychiatric </w:t>
      </w:r>
      <w:r w:rsidR="00D87AEA">
        <w:rPr>
          <w:rFonts w:ascii="Times New Roman" w:hAnsi="Times New Roman" w:cs="Times New Roman"/>
        </w:rPr>
        <w:t>disorders. Given this large body of research</w:t>
      </w:r>
      <w:r w:rsidR="0041092A">
        <w:rPr>
          <w:rFonts w:ascii="Times New Roman" w:hAnsi="Times New Roman" w:cs="Times New Roman"/>
        </w:rPr>
        <w:t>,</w:t>
      </w:r>
      <w:r w:rsidR="00BF6179">
        <w:rPr>
          <w:rFonts w:ascii="Times New Roman" w:hAnsi="Times New Roman" w:cs="Times New Roman"/>
        </w:rPr>
        <w:t xml:space="preserve"> busy clinicians may tend to rely on meta-analyses, rather than individual trials, to keep abreast of the evidenc</w:t>
      </w:r>
      <w:r w:rsidR="00084433">
        <w:rPr>
          <w:rFonts w:ascii="Times New Roman" w:hAnsi="Times New Roman" w:cs="Times New Roman"/>
        </w:rPr>
        <w:t xml:space="preserve">e base supporting intervention strategies </w:t>
      </w:r>
      <w:r w:rsidR="00BF6179">
        <w:rPr>
          <w:rFonts w:ascii="Times New Roman" w:hAnsi="Times New Roman" w:cs="Times New Roman"/>
        </w:rPr>
        <w:t>in child and adolescent psychiatry.</w:t>
      </w:r>
      <w:r w:rsidR="00A8578E">
        <w:rPr>
          <w:rFonts w:ascii="Times New Roman" w:hAnsi="Times New Roman" w:cs="Times New Roman"/>
        </w:rPr>
        <w:t xml:space="preserve"> A number of meta-analyses focused on treatments for child and ad</w:t>
      </w:r>
      <w:r w:rsidR="00D87AEA">
        <w:rPr>
          <w:rFonts w:ascii="Times New Roman" w:hAnsi="Times New Roman" w:cs="Times New Roman"/>
        </w:rPr>
        <w:t>olescent mental health problems</w:t>
      </w:r>
      <w:r w:rsidR="00A8578E">
        <w:rPr>
          <w:rFonts w:ascii="Times New Roman" w:hAnsi="Times New Roman" w:cs="Times New Roman"/>
        </w:rPr>
        <w:t xml:space="preserve"> have</w:t>
      </w:r>
      <w:r w:rsidR="00336AA1">
        <w:rPr>
          <w:rFonts w:ascii="Times New Roman" w:hAnsi="Times New Roman" w:cs="Times New Roman"/>
        </w:rPr>
        <w:t xml:space="preserve"> primarily</w:t>
      </w:r>
      <w:r w:rsidR="00A8578E">
        <w:rPr>
          <w:rFonts w:ascii="Times New Roman" w:hAnsi="Times New Roman" w:cs="Times New Roman"/>
        </w:rPr>
        <w:t xml:space="preserve"> addressed the question: “Is treatment X more efficacious/effective (or safer) than the control condition?”. This is clearly an important starting point for clinicians when discussing the benefits and risks and of treatment X</w:t>
      </w:r>
      <w:r w:rsidR="00A8578E" w:rsidRPr="00A8578E">
        <w:rPr>
          <w:rFonts w:ascii="Times New Roman" w:hAnsi="Times New Roman" w:cs="Times New Roman"/>
        </w:rPr>
        <w:t xml:space="preserve"> </w:t>
      </w:r>
      <w:r w:rsidR="00A8578E">
        <w:rPr>
          <w:rFonts w:ascii="Times New Roman" w:hAnsi="Times New Roman" w:cs="Times New Roman"/>
        </w:rPr>
        <w:t xml:space="preserve">with their patients/families. But clinicians need to know more. </w:t>
      </w:r>
      <w:r w:rsidR="003E76A3">
        <w:rPr>
          <w:rFonts w:ascii="Times New Roman" w:hAnsi="Times New Roman" w:cs="Times New Roman"/>
        </w:rPr>
        <w:t>For instance</w:t>
      </w:r>
      <w:r w:rsidR="00A8578E">
        <w:rPr>
          <w:rFonts w:ascii="Times New Roman" w:hAnsi="Times New Roman" w:cs="Times New Roman"/>
        </w:rPr>
        <w:t xml:space="preserve">, they may look for the evidence base </w:t>
      </w:r>
      <w:r w:rsidR="00575E28">
        <w:rPr>
          <w:rFonts w:ascii="Times New Roman" w:hAnsi="Times New Roman" w:cs="Times New Roman"/>
        </w:rPr>
        <w:t>to answer</w:t>
      </w:r>
      <w:r w:rsidR="00A8578E">
        <w:rPr>
          <w:rFonts w:ascii="Times New Roman" w:hAnsi="Times New Roman" w:cs="Times New Roman"/>
        </w:rPr>
        <w:t xml:space="preserve"> the following questions: “</w:t>
      </w:r>
      <w:r w:rsidR="0027164E">
        <w:rPr>
          <w:rFonts w:ascii="Times New Roman" w:hAnsi="Times New Roman" w:cs="Times New Roman"/>
        </w:rPr>
        <w:t>Is treatment X the most efficacious/effective (or safest) option for my patient?”; “When will treatment X likely start working?”; “</w:t>
      </w:r>
      <w:r w:rsidR="003E76A3">
        <w:rPr>
          <w:rFonts w:ascii="Times New Roman" w:hAnsi="Times New Roman" w:cs="Times New Roman"/>
        </w:rPr>
        <w:t xml:space="preserve">If the dose/intensity of the treatment </w:t>
      </w:r>
      <w:r w:rsidR="00866391">
        <w:rPr>
          <w:rFonts w:ascii="Times New Roman" w:hAnsi="Times New Roman" w:cs="Times New Roman"/>
        </w:rPr>
        <w:t xml:space="preserve">does not seem to be </w:t>
      </w:r>
      <w:r w:rsidR="003E76A3">
        <w:rPr>
          <w:rFonts w:ascii="Times New Roman" w:hAnsi="Times New Roman" w:cs="Times New Roman"/>
        </w:rPr>
        <w:t xml:space="preserve">effective, </w:t>
      </w:r>
      <w:r w:rsidR="00991503">
        <w:rPr>
          <w:rFonts w:ascii="Times New Roman" w:hAnsi="Times New Roman" w:cs="Times New Roman"/>
        </w:rPr>
        <w:t>i</w:t>
      </w:r>
      <w:r w:rsidR="0027164E">
        <w:rPr>
          <w:rFonts w:ascii="Times New Roman" w:hAnsi="Times New Roman" w:cs="Times New Roman"/>
        </w:rPr>
        <w:t>s it worthy to increase it? And if so, how?”</w:t>
      </w:r>
    </w:p>
    <w:p w:rsidR="00E96E8D" w:rsidRDefault="00991503" w:rsidP="00FA1458">
      <w:pPr>
        <w:spacing w:line="480" w:lineRule="auto"/>
        <w:ind w:firstLine="720"/>
        <w:rPr>
          <w:rFonts w:ascii="Times New Roman" w:eastAsia="Times New Roman" w:hAnsi="Times New Roman" w:cs="Times New Roman"/>
          <w:lang w:eastAsia="en-GB"/>
        </w:rPr>
      </w:pPr>
      <w:r>
        <w:rPr>
          <w:rFonts w:ascii="Times New Roman" w:hAnsi="Times New Roman" w:cs="Times New Roman"/>
        </w:rPr>
        <w:t>The meta-analysis by Strawn and colleagues</w:t>
      </w:r>
      <w:r w:rsidR="00C162A9">
        <w:rPr>
          <w:rFonts w:ascii="Times New Roman" w:hAnsi="Times New Roman" w:cs="Times New Roman"/>
        </w:rPr>
        <w:fldChar w:fldCharType="begin"/>
      </w:r>
      <w:r w:rsidR="00C162A9">
        <w:rPr>
          <w:rFonts w:ascii="Times New Roman" w:hAnsi="Times New Roman" w:cs="Times New Roman"/>
        </w:rPr>
        <w:instrText xml:space="preserve"> ADDIN REFMGR.CITE &lt;Refman&gt;&lt;Cite&gt;&lt;Year&gt;2018&lt;/Year&gt;&lt;RecNum&gt;1&lt;/RecNum&gt;&lt;IDText&gt;Strawn&lt;/IDText&gt;&lt;MDL Ref_Type="Electronic Citation"&gt;&lt;Ref_Type&gt;Electronic Citation&lt;/Ref_Type&gt;&lt;Ref_ID&gt;1&lt;/Ref_ID&gt;&lt;Title_Primary&gt;Strawn&lt;/Title_Primary&gt;&lt;Date_Primary&gt;2018&lt;/Date_Primary&gt;&lt;Reprint&gt;Not in File&lt;/Reprint&gt;&lt;Periodical&gt;JAACAP&lt;/Periodical&gt;&lt;ZZ_JournalFull&gt;&lt;f name="System"&gt;JAACAP&lt;/f&gt;&lt;/ZZ_JournalFull&gt;&lt;ZZ_WorkformID&gt;34&lt;/ZZ_WorkformID&gt;&lt;/MDL&gt;&lt;/Cite&gt;&lt;/Refman&gt;</w:instrText>
      </w:r>
      <w:r w:rsidR="00C162A9">
        <w:rPr>
          <w:rFonts w:ascii="Times New Roman" w:hAnsi="Times New Roman" w:cs="Times New Roman"/>
        </w:rPr>
        <w:fldChar w:fldCharType="separate"/>
      </w:r>
      <w:r w:rsidR="00C162A9" w:rsidRPr="00C162A9">
        <w:rPr>
          <w:rFonts w:ascii="Times New Roman" w:hAnsi="Times New Roman" w:cs="Times New Roman"/>
          <w:noProof/>
          <w:vertAlign w:val="superscript"/>
        </w:rPr>
        <w:t>1</w:t>
      </w:r>
      <w:r w:rsidR="00C162A9">
        <w:rPr>
          <w:rFonts w:ascii="Times New Roman" w:hAnsi="Times New Roman" w:cs="Times New Roman"/>
        </w:rPr>
        <w:fldChar w:fldCharType="end"/>
      </w:r>
      <w:r>
        <w:rPr>
          <w:rFonts w:ascii="Times New Roman" w:hAnsi="Times New Roman" w:cs="Times New Roman"/>
        </w:rPr>
        <w:t xml:space="preserve"> </w:t>
      </w:r>
      <w:r w:rsidR="00B8280D">
        <w:rPr>
          <w:rFonts w:ascii="Times New Roman" w:hAnsi="Times New Roman" w:cs="Times New Roman"/>
        </w:rPr>
        <w:t xml:space="preserve">in this issue of the </w:t>
      </w:r>
      <w:r w:rsidR="00B8280D" w:rsidRPr="00B8280D">
        <w:rPr>
          <w:rFonts w:ascii="Times New Roman" w:hAnsi="Times New Roman" w:cs="Times New Roman"/>
          <w:i/>
        </w:rPr>
        <w:t>Journal</w:t>
      </w:r>
      <w:r w:rsidR="00B8280D">
        <w:rPr>
          <w:rFonts w:ascii="Times New Roman" w:hAnsi="Times New Roman" w:cs="Times New Roman"/>
        </w:rPr>
        <w:t xml:space="preserve"> </w:t>
      </w:r>
      <w:r>
        <w:rPr>
          <w:rFonts w:ascii="Times New Roman" w:hAnsi="Times New Roman" w:cs="Times New Roman"/>
        </w:rPr>
        <w:t>is a nice example</w:t>
      </w:r>
      <w:r w:rsidR="00C004F7">
        <w:rPr>
          <w:rFonts w:ascii="Times New Roman" w:hAnsi="Times New Roman" w:cs="Times New Roman"/>
        </w:rPr>
        <w:t xml:space="preserve"> of how meta-analytic methods</w:t>
      </w:r>
      <w:r>
        <w:rPr>
          <w:rFonts w:ascii="Times New Roman" w:hAnsi="Times New Roman" w:cs="Times New Roman"/>
        </w:rPr>
        <w:t xml:space="preserve"> may be used to generate evidence base </w:t>
      </w:r>
      <w:r w:rsidR="00866391">
        <w:rPr>
          <w:rFonts w:ascii="Times New Roman" w:hAnsi="Times New Roman" w:cs="Times New Roman"/>
        </w:rPr>
        <w:t xml:space="preserve">to </w:t>
      </w:r>
      <w:r w:rsidR="00FA1458">
        <w:rPr>
          <w:rFonts w:ascii="Times New Roman" w:hAnsi="Times New Roman" w:cs="Times New Roman"/>
        </w:rPr>
        <w:t>address</w:t>
      </w:r>
      <w:r>
        <w:rPr>
          <w:rFonts w:ascii="Times New Roman" w:hAnsi="Times New Roman" w:cs="Times New Roman"/>
        </w:rPr>
        <w:t xml:space="preserve"> clinical relevant questions beyond</w:t>
      </w:r>
      <w:r w:rsidR="00D87AEA">
        <w:rPr>
          <w:rFonts w:ascii="Times New Roman" w:hAnsi="Times New Roman" w:cs="Times New Roman"/>
        </w:rPr>
        <w:t xml:space="preserve"> whether a particular treatment is more efficacious/effective than placebo</w:t>
      </w:r>
      <w:r w:rsidR="00C004F7">
        <w:rPr>
          <w:rFonts w:ascii="Times New Roman" w:hAnsi="Times New Roman" w:cs="Times New Roman"/>
        </w:rPr>
        <w:t xml:space="preserve">. </w:t>
      </w:r>
      <w:r w:rsidR="00167A10">
        <w:rPr>
          <w:rFonts w:ascii="Times New Roman" w:hAnsi="Times New Roman" w:cs="Times New Roman"/>
        </w:rPr>
        <w:t>T</w:t>
      </w:r>
      <w:r>
        <w:rPr>
          <w:rFonts w:ascii="Times New Roman" w:hAnsi="Times New Roman" w:cs="Times New Roman"/>
        </w:rPr>
        <w:t xml:space="preserve">he authors extracted weekly severity data from nine </w:t>
      </w:r>
      <w:r w:rsidR="00A27C46">
        <w:rPr>
          <w:rFonts w:ascii="Times New Roman" w:hAnsi="Times New Roman" w:cs="Times New Roman"/>
        </w:rPr>
        <w:t xml:space="preserve">randomized placebo-controlled </w:t>
      </w:r>
      <w:r>
        <w:rPr>
          <w:rFonts w:ascii="Times New Roman" w:hAnsi="Times New Roman" w:cs="Times New Roman"/>
        </w:rPr>
        <w:t>trials</w:t>
      </w:r>
      <w:r w:rsidR="00167A10">
        <w:rPr>
          <w:rFonts w:ascii="Times New Roman" w:hAnsi="Times New Roman" w:cs="Times New Roman"/>
        </w:rPr>
        <w:t xml:space="preserve"> (RCTs) of SSRIs (</w:t>
      </w:r>
      <w:r w:rsidR="00E505B1">
        <w:rPr>
          <w:rFonts w:ascii="Times New Roman" w:hAnsi="Times New Roman" w:cs="Times New Roman"/>
        </w:rPr>
        <w:t>five</w:t>
      </w:r>
      <w:r w:rsidR="00A27C46">
        <w:rPr>
          <w:rFonts w:ascii="Times New Roman" w:hAnsi="Times New Roman" w:cs="Times New Roman"/>
        </w:rPr>
        <w:t xml:space="preserve"> </w:t>
      </w:r>
      <w:r w:rsidR="00167A10">
        <w:rPr>
          <w:rFonts w:ascii="Times New Roman" w:hAnsi="Times New Roman" w:cs="Times New Roman"/>
        </w:rPr>
        <w:t>RCTs) and SSNRIs (four RCTS</w:t>
      </w:r>
      <w:r w:rsidR="00A27C46">
        <w:rPr>
          <w:rFonts w:ascii="Times New Roman" w:hAnsi="Times New Roman" w:cs="Times New Roman"/>
        </w:rPr>
        <w:t>)</w:t>
      </w:r>
      <w:r w:rsidR="00167A10">
        <w:rPr>
          <w:rFonts w:ascii="Times New Roman" w:hAnsi="Times New Roman" w:cs="Times New Roman"/>
        </w:rPr>
        <w:t>, including a total of 1673 participants (&lt; 18 years)</w:t>
      </w:r>
      <w:r w:rsidR="000A1ACA">
        <w:rPr>
          <w:rFonts w:ascii="Times New Roman" w:hAnsi="Times New Roman" w:cs="Times New Roman"/>
        </w:rPr>
        <w:t xml:space="preserve"> with anxiety disorders</w:t>
      </w:r>
      <w:r w:rsidR="00167A10">
        <w:rPr>
          <w:rFonts w:ascii="Times New Roman" w:hAnsi="Times New Roman" w:cs="Times New Roman"/>
        </w:rPr>
        <w:t>. Using an advanced statistical method (Bayesian inferential approach), they aimed to answer the following questions: “What is the temporal course of SSRIs and SSNRIs treatment response?; “</w:t>
      </w:r>
      <w:r w:rsidR="000A1ACA">
        <w:rPr>
          <w:rFonts w:ascii="Times New Roman" w:hAnsi="Times New Roman" w:cs="Times New Roman"/>
        </w:rPr>
        <w:t>Do the traject</w:t>
      </w:r>
      <w:r w:rsidR="008D6359">
        <w:rPr>
          <w:rFonts w:ascii="Times New Roman" w:hAnsi="Times New Roman" w:cs="Times New Roman"/>
        </w:rPr>
        <w:t xml:space="preserve">ory and magnitude of SSRIs and </w:t>
      </w:r>
      <w:r w:rsidR="000A1ACA">
        <w:rPr>
          <w:rFonts w:ascii="Times New Roman" w:hAnsi="Times New Roman" w:cs="Times New Roman"/>
        </w:rPr>
        <w:t>SS</w:t>
      </w:r>
      <w:r w:rsidR="008D6359">
        <w:rPr>
          <w:rFonts w:ascii="Times New Roman" w:hAnsi="Times New Roman" w:cs="Times New Roman"/>
        </w:rPr>
        <w:t>N</w:t>
      </w:r>
      <w:r w:rsidR="000A1ACA">
        <w:rPr>
          <w:rFonts w:ascii="Times New Roman" w:hAnsi="Times New Roman" w:cs="Times New Roman"/>
        </w:rPr>
        <w:t xml:space="preserve">RIs treatment response differ?”; and “Are high doses of SSRIs more effective than low doses for the treatment of anxiety?”. Strawn and colleagues found that </w:t>
      </w:r>
      <w:r w:rsidR="000A1ACA">
        <w:rPr>
          <w:rFonts w:ascii="Times New Roman" w:hAnsi="Times New Roman" w:cs="Times New Roman"/>
        </w:rPr>
        <w:lastRenderedPageBreak/>
        <w:t xml:space="preserve">statistically significant improvement in terms of reduction of anxiety severity ratings occurred early </w:t>
      </w:r>
      <w:r w:rsidR="008D6359">
        <w:rPr>
          <w:rFonts w:ascii="Times New Roman" w:hAnsi="Times New Roman" w:cs="Times New Roman"/>
        </w:rPr>
        <w:t xml:space="preserve">(at week 2) for both SSRIs and </w:t>
      </w:r>
      <w:r w:rsidR="000A1ACA">
        <w:rPr>
          <w:rFonts w:ascii="Times New Roman" w:hAnsi="Times New Roman" w:cs="Times New Roman"/>
        </w:rPr>
        <w:t>SSR</w:t>
      </w:r>
      <w:r w:rsidR="008D6359">
        <w:rPr>
          <w:rFonts w:ascii="Times New Roman" w:hAnsi="Times New Roman" w:cs="Times New Roman"/>
        </w:rPr>
        <w:t>N</w:t>
      </w:r>
      <w:r w:rsidR="000A1ACA">
        <w:rPr>
          <w:rFonts w:ascii="Times New Roman" w:hAnsi="Times New Roman" w:cs="Times New Roman"/>
        </w:rPr>
        <w:t>Is</w:t>
      </w:r>
      <w:r w:rsidR="00C004F7">
        <w:rPr>
          <w:rFonts w:ascii="Times New Roman" w:hAnsi="Times New Roman" w:cs="Times New Roman"/>
        </w:rPr>
        <w:t>,</w:t>
      </w:r>
      <w:r w:rsidR="008D4EE4" w:rsidRPr="008D4EE4">
        <w:rPr>
          <w:rFonts w:ascii="Times New Roman" w:hAnsi="Times New Roman" w:cs="Times New Roman"/>
        </w:rPr>
        <w:t xml:space="preserve"> </w:t>
      </w:r>
      <w:r w:rsidR="008D4EE4">
        <w:rPr>
          <w:rFonts w:ascii="Times New Roman" w:hAnsi="Times New Roman" w:cs="Times New Roman"/>
        </w:rPr>
        <w:t>and became clinically significant (Cohen’s d &gt; 0.4)</w:t>
      </w:r>
      <w:r w:rsidR="00D11B99">
        <w:rPr>
          <w:rFonts w:ascii="Times New Roman" w:hAnsi="Times New Roman" w:cs="Times New Roman"/>
        </w:rPr>
        <w:t xml:space="preserve"> at week 6.</w:t>
      </w:r>
      <w:r w:rsidR="00C004F7">
        <w:rPr>
          <w:rFonts w:ascii="Times New Roman" w:hAnsi="Times New Roman" w:cs="Times New Roman"/>
        </w:rPr>
        <w:t xml:space="preserve"> </w:t>
      </w:r>
      <w:r w:rsidR="000A1ACA">
        <w:rPr>
          <w:rFonts w:ascii="Times New Roman" w:hAnsi="Times New Roman" w:cs="Times New Roman"/>
        </w:rPr>
        <w:t>SSRIs emerged as stati</w:t>
      </w:r>
      <w:r w:rsidR="008D6359">
        <w:rPr>
          <w:rFonts w:ascii="Times New Roman" w:hAnsi="Times New Roman" w:cs="Times New Roman"/>
        </w:rPr>
        <w:t xml:space="preserve">stically more efficacious than </w:t>
      </w:r>
      <w:r w:rsidR="000A1ACA">
        <w:rPr>
          <w:rFonts w:ascii="Times New Roman" w:hAnsi="Times New Roman" w:cs="Times New Roman"/>
        </w:rPr>
        <w:t>SS</w:t>
      </w:r>
      <w:r w:rsidR="008D6359">
        <w:rPr>
          <w:rFonts w:ascii="Times New Roman" w:hAnsi="Times New Roman" w:cs="Times New Roman"/>
        </w:rPr>
        <w:t>N</w:t>
      </w:r>
      <w:r w:rsidR="000A1ACA">
        <w:rPr>
          <w:rFonts w:ascii="Times New Roman" w:hAnsi="Times New Roman" w:cs="Times New Roman"/>
        </w:rPr>
        <w:t>RIs s</w:t>
      </w:r>
      <w:r w:rsidR="00B8280D">
        <w:rPr>
          <w:rFonts w:ascii="Times New Roman" w:hAnsi="Times New Roman" w:cs="Times New Roman"/>
        </w:rPr>
        <w:t>tarting f</w:t>
      </w:r>
      <w:r w:rsidR="00977D1B">
        <w:rPr>
          <w:rFonts w:ascii="Times New Roman" w:hAnsi="Times New Roman" w:cs="Times New Roman"/>
        </w:rPr>
        <w:t>r</w:t>
      </w:r>
      <w:r w:rsidR="00B8280D">
        <w:rPr>
          <w:rFonts w:ascii="Times New Roman" w:hAnsi="Times New Roman" w:cs="Times New Roman"/>
        </w:rPr>
        <w:t>o</w:t>
      </w:r>
      <w:r w:rsidR="00977D1B">
        <w:rPr>
          <w:rFonts w:ascii="Times New Roman" w:hAnsi="Times New Roman" w:cs="Times New Roman"/>
        </w:rPr>
        <w:t xml:space="preserve">m week 2, </w:t>
      </w:r>
      <w:r w:rsidR="000A1ACA">
        <w:rPr>
          <w:rFonts w:ascii="Times New Roman" w:hAnsi="Times New Roman" w:cs="Times New Roman"/>
        </w:rPr>
        <w:t>and their superiority w</w:t>
      </w:r>
      <w:r w:rsidR="00977D1B">
        <w:rPr>
          <w:rFonts w:ascii="Times New Roman" w:hAnsi="Times New Roman" w:cs="Times New Roman"/>
        </w:rPr>
        <w:t xml:space="preserve">as </w:t>
      </w:r>
      <w:r w:rsidR="000A1ACA">
        <w:rPr>
          <w:rFonts w:ascii="Times New Roman" w:hAnsi="Times New Roman" w:cs="Times New Roman"/>
        </w:rPr>
        <w:t xml:space="preserve">maintained </w:t>
      </w:r>
      <w:r w:rsidR="00977D1B">
        <w:rPr>
          <w:rFonts w:ascii="Times New Roman" w:hAnsi="Times New Roman" w:cs="Times New Roman"/>
        </w:rPr>
        <w:t xml:space="preserve">over the </w:t>
      </w:r>
      <w:r w:rsidR="00FA1458">
        <w:rPr>
          <w:rFonts w:ascii="Times New Roman" w:hAnsi="Times New Roman" w:cs="Times New Roman"/>
        </w:rPr>
        <w:t>remaining</w:t>
      </w:r>
      <w:r w:rsidR="00977D1B">
        <w:rPr>
          <w:rFonts w:ascii="Times New Roman" w:hAnsi="Times New Roman" w:cs="Times New Roman"/>
        </w:rPr>
        <w:t xml:space="preserve"> weeks of treatment. A</w:t>
      </w:r>
      <w:r w:rsidR="00977D1B" w:rsidRPr="00977D1B">
        <w:rPr>
          <w:rFonts w:ascii="Times New Roman" w:hAnsi="Times New Roman" w:cs="Times New Roman"/>
        </w:rPr>
        <w:t xml:space="preserve">ntidepressant-related improvement was greatest </w:t>
      </w:r>
      <w:r w:rsidR="00B8280D">
        <w:rPr>
          <w:rFonts w:ascii="Times New Roman" w:hAnsi="Times New Roman" w:cs="Times New Roman"/>
        </w:rPr>
        <w:t>during the first weeks of treatment (</w:t>
      </w:r>
      <w:r w:rsidR="00B8280D" w:rsidRPr="00B8280D">
        <w:rPr>
          <w:rFonts w:ascii="Times New Roman" w:eastAsia="Times New Roman" w:hAnsi="Times New Roman" w:cs="Times New Roman"/>
          <w:lang w:eastAsia="en-GB"/>
        </w:rPr>
        <w:t>approximately 50% of the treatment-related improvement</w:t>
      </w:r>
      <w:r w:rsidR="00B8280D">
        <w:rPr>
          <w:rFonts w:ascii="Times New Roman" w:eastAsia="Times New Roman" w:hAnsi="Times New Roman" w:cs="Times New Roman"/>
          <w:lang w:eastAsia="en-GB"/>
        </w:rPr>
        <w:t xml:space="preserve"> occurred by the fourth week) </w:t>
      </w:r>
      <w:r w:rsidR="00977D1B">
        <w:rPr>
          <w:rFonts w:ascii="Times New Roman" w:hAnsi="Times New Roman" w:cs="Times New Roman"/>
        </w:rPr>
        <w:t>and then decreased</w:t>
      </w:r>
      <w:r w:rsidR="00977D1B" w:rsidRPr="00977D1B">
        <w:rPr>
          <w:rFonts w:ascii="Times New Roman" w:hAnsi="Times New Roman" w:cs="Times New Roman"/>
        </w:rPr>
        <w:t xml:space="preserve"> over </w:t>
      </w:r>
      <w:r w:rsidR="00977D1B">
        <w:rPr>
          <w:rFonts w:ascii="Times New Roman" w:hAnsi="Times New Roman" w:cs="Times New Roman"/>
        </w:rPr>
        <w:t>the following</w:t>
      </w:r>
      <w:r w:rsidR="00977D1B" w:rsidRPr="00977D1B">
        <w:rPr>
          <w:rFonts w:ascii="Times New Roman" w:hAnsi="Times New Roman" w:cs="Times New Roman"/>
        </w:rPr>
        <w:t xml:space="preserve"> weeks.</w:t>
      </w:r>
      <w:r w:rsidR="00383454">
        <w:rPr>
          <w:rFonts w:ascii="Times New Roman" w:hAnsi="Times New Roman" w:cs="Times New Roman"/>
        </w:rPr>
        <w:t xml:space="preserve"> Of note, study sponsorship (industry </w:t>
      </w:r>
      <w:r w:rsidR="00383454" w:rsidRPr="00383454">
        <w:rPr>
          <w:rFonts w:ascii="Times New Roman" w:hAnsi="Times New Roman" w:cs="Times New Roman"/>
          <w:i/>
        </w:rPr>
        <w:t>vs.</w:t>
      </w:r>
      <w:r w:rsidR="00383454">
        <w:rPr>
          <w:rFonts w:ascii="Times New Roman" w:hAnsi="Times New Roman" w:cs="Times New Roman"/>
        </w:rPr>
        <w:t xml:space="preserve"> non industry funded) did not significantly affect these results. Finally, although SSRIs dose did not impact the magnitude of the response, i</w:t>
      </w:r>
      <w:r w:rsidR="00383454" w:rsidRPr="00383454">
        <w:rPr>
          <w:rFonts w:ascii="Times New Roman" w:hAnsi="Times New Roman" w:cs="Times New Roman"/>
        </w:rPr>
        <w:t>mprovement occurred earlier with high dose</w:t>
      </w:r>
      <w:r w:rsidR="00383454">
        <w:rPr>
          <w:rFonts w:ascii="Times New Roman" w:hAnsi="Times New Roman" w:cs="Times New Roman"/>
        </w:rPr>
        <w:t>s</w:t>
      </w:r>
      <w:r w:rsidR="00383454" w:rsidRPr="00383454">
        <w:rPr>
          <w:rFonts w:ascii="Times New Roman" w:hAnsi="Times New Roman" w:cs="Times New Roman"/>
        </w:rPr>
        <w:t xml:space="preserve"> </w:t>
      </w:r>
      <w:r w:rsidR="00383454">
        <w:rPr>
          <w:rFonts w:ascii="Times New Roman" w:hAnsi="Times New Roman" w:cs="Times New Roman"/>
        </w:rPr>
        <w:t xml:space="preserve">of </w:t>
      </w:r>
      <w:r w:rsidR="00383454" w:rsidRPr="00383454">
        <w:rPr>
          <w:rFonts w:ascii="Times New Roman" w:hAnsi="Times New Roman" w:cs="Times New Roman"/>
        </w:rPr>
        <w:t>SSRI</w:t>
      </w:r>
      <w:r w:rsidR="00383454">
        <w:rPr>
          <w:rFonts w:ascii="Times New Roman" w:hAnsi="Times New Roman" w:cs="Times New Roman"/>
        </w:rPr>
        <w:t>s</w:t>
      </w:r>
      <w:r w:rsidR="00383454" w:rsidRPr="00383454">
        <w:rPr>
          <w:rFonts w:ascii="Times New Roman" w:hAnsi="Times New Roman" w:cs="Times New Roman"/>
        </w:rPr>
        <w:t xml:space="preserve"> </w:t>
      </w:r>
      <w:r w:rsidR="00383454">
        <w:rPr>
          <w:rFonts w:ascii="Times New Roman" w:hAnsi="Times New Roman" w:cs="Times New Roman"/>
        </w:rPr>
        <w:t xml:space="preserve"> (</w:t>
      </w:r>
      <w:r w:rsidR="00383454" w:rsidRPr="00383454">
        <w:rPr>
          <w:rFonts w:ascii="Times New Roman" w:hAnsi="Times New Roman" w:cs="Times New Roman"/>
        </w:rPr>
        <w:t>sertraline</w:t>
      </w:r>
      <w:r w:rsidR="00383454">
        <w:rPr>
          <w:rFonts w:ascii="Times New Roman" w:hAnsi="Times New Roman" w:cs="Times New Roman"/>
        </w:rPr>
        <w:t>: &gt;</w:t>
      </w:r>
      <w:r w:rsidR="00383454" w:rsidRPr="00383454">
        <w:rPr>
          <w:rFonts w:ascii="Times New Roman" w:hAnsi="Times New Roman" w:cs="Times New Roman"/>
        </w:rPr>
        <w:t xml:space="preserve"> 120 mg/day; fluvoxamine</w:t>
      </w:r>
      <w:r w:rsidR="00383454">
        <w:rPr>
          <w:rFonts w:ascii="Times New Roman" w:hAnsi="Times New Roman" w:cs="Times New Roman"/>
        </w:rPr>
        <w:t>: &gt;</w:t>
      </w:r>
      <w:r w:rsidR="00383454" w:rsidRPr="00383454">
        <w:rPr>
          <w:rFonts w:ascii="Times New Roman" w:hAnsi="Times New Roman" w:cs="Times New Roman"/>
        </w:rPr>
        <w:t xml:space="preserve"> 100 mg; paroxetine: </w:t>
      </w:r>
      <w:r w:rsidR="00383454">
        <w:rPr>
          <w:rFonts w:ascii="Times New Roman" w:hAnsi="Times New Roman" w:cs="Times New Roman"/>
        </w:rPr>
        <w:t>&gt;</w:t>
      </w:r>
      <w:r w:rsidR="00C004F7">
        <w:rPr>
          <w:rFonts w:ascii="Times New Roman" w:hAnsi="Times New Roman" w:cs="Times New Roman"/>
        </w:rPr>
        <w:t xml:space="preserve"> </w:t>
      </w:r>
      <w:r w:rsidR="00383454" w:rsidRPr="00383454">
        <w:rPr>
          <w:rFonts w:ascii="Times New Roman" w:hAnsi="Times New Roman" w:cs="Times New Roman"/>
        </w:rPr>
        <w:t>20 mg; fluoxetine</w:t>
      </w:r>
      <w:r w:rsidR="00624EF1">
        <w:rPr>
          <w:rFonts w:ascii="Times New Roman" w:hAnsi="Times New Roman" w:cs="Times New Roman"/>
        </w:rPr>
        <w:t xml:space="preserve"> </w:t>
      </w:r>
      <w:r w:rsidR="00383454">
        <w:rPr>
          <w:rFonts w:ascii="Times New Roman" w:hAnsi="Times New Roman" w:cs="Times New Roman"/>
        </w:rPr>
        <w:t>&gt;</w:t>
      </w:r>
      <w:r w:rsidR="00383454" w:rsidRPr="00383454">
        <w:rPr>
          <w:rFonts w:ascii="Times New Roman" w:hAnsi="Times New Roman" w:cs="Times New Roman"/>
        </w:rPr>
        <w:t xml:space="preserve"> 33 mg)</w:t>
      </w:r>
      <w:r w:rsidR="00383454">
        <w:rPr>
          <w:rFonts w:ascii="Times New Roman" w:hAnsi="Times New Roman" w:cs="Times New Roman"/>
        </w:rPr>
        <w:t>.</w:t>
      </w:r>
      <w:r w:rsidR="00624EF1">
        <w:rPr>
          <w:rFonts w:ascii="Times New Roman" w:hAnsi="Times New Roman" w:cs="Times New Roman"/>
        </w:rPr>
        <w:t xml:space="preserve"> These results are particularly intriguing in the light of current recommendations to increase the dose when clinical improvement is not achieved by the fourth week of treatment, which is not supported by </w:t>
      </w:r>
      <w:r w:rsidR="00F52270">
        <w:rPr>
          <w:rFonts w:ascii="Times New Roman" w:hAnsi="Times New Roman" w:cs="Times New Roman"/>
        </w:rPr>
        <w:t>the results of</w:t>
      </w:r>
      <w:r w:rsidR="00624EF1">
        <w:rPr>
          <w:rFonts w:ascii="Times New Roman" w:hAnsi="Times New Roman" w:cs="Times New Roman"/>
        </w:rPr>
        <w:t xml:space="preserve"> this meta-analysis. Additionally, the superiority of SSRIs </w:t>
      </w:r>
      <w:r w:rsidR="00624EF1" w:rsidRPr="00624EF1">
        <w:rPr>
          <w:rFonts w:ascii="Times New Roman" w:hAnsi="Times New Roman" w:cs="Times New Roman"/>
          <w:i/>
        </w:rPr>
        <w:t>vs.</w:t>
      </w:r>
      <w:r w:rsidR="00624EF1">
        <w:rPr>
          <w:rFonts w:ascii="Times New Roman" w:hAnsi="Times New Roman" w:cs="Times New Roman"/>
        </w:rPr>
        <w:t xml:space="preserve"> SSNRIs is puzzling</w:t>
      </w:r>
      <w:r w:rsidR="00E974E7">
        <w:rPr>
          <w:rFonts w:ascii="Times New Roman" w:hAnsi="Times New Roman" w:cs="Times New Roman"/>
        </w:rPr>
        <w:t>,</w:t>
      </w:r>
      <w:r w:rsidR="00624EF1">
        <w:rPr>
          <w:rFonts w:ascii="Times New Roman" w:hAnsi="Times New Roman" w:cs="Times New Roman"/>
        </w:rPr>
        <w:t xml:space="preserve"> considering that </w:t>
      </w:r>
      <w:r w:rsidR="00E96E8D">
        <w:rPr>
          <w:rFonts w:ascii="Times New Roman" w:hAnsi="Times New Roman" w:cs="Times New Roman"/>
        </w:rPr>
        <w:t xml:space="preserve">the only </w:t>
      </w:r>
      <w:r w:rsidR="00E96E8D" w:rsidRPr="00E96E8D">
        <w:rPr>
          <w:rFonts w:ascii="Times New Roman" w:eastAsia="Times New Roman" w:hAnsi="Times New Roman" w:cs="Times New Roman"/>
          <w:lang w:eastAsia="en-GB"/>
        </w:rPr>
        <w:t>FDA-approved antidepressant for children and adolescents with anxiety (generalized anxiety disorder, ages 7-17) is the SSNRI duloxetine</w:t>
      </w:r>
      <w:r w:rsidR="00E96E8D">
        <w:rPr>
          <w:rFonts w:ascii="Times New Roman" w:eastAsia="Times New Roman" w:hAnsi="Times New Roman" w:cs="Times New Roman"/>
          <w:lang w:eastAsia="en-GB"/>
        </w:rPr>
        <w:t>.</w:t>
      </w:r>
    </w:p>
    <w:p w:rsidR="009F283F" w:rsidRPr="009F283F" w:rsidRDefault="001226A1" w:rsidP="009F283F">
      <w:pPr>
        <w:spacing w:line="480" w:lineRule="auto"/>
        <w:ind w:firstLine="720"/>
        <w:rPr>
          <w:rFonts w:ascii="Times New Roman" w:eastAsia="Times New Roman" w:hAnsi="Times New Roman" w:cs="Times New Roman"/>
          <w:lang w:eastAsia="en-GB"/>
        </w:rPr>
      </w:pPr>
      <w:r w:rsidRPr="009F283F">
        <w:rPr>
          <w:rFonts w:ascii="Times New Roman" w:eastAsia="Times New Roman" w:hAnsi="Times New Roman" w:cs="Times New Roman"/>
          <w:lang w:eastAsia="en-GB"/>
        </w:rPr>
        <w:t xml:space="preserve">Should the results of the </w:t>
      </w:r>
      <w:r w:rsidRPr="009F283F">
        <w:rPr>
          <w:rFonts w:ascii="Times New Roman" w:hAnsi="Times New Roman" w:cs="Times New Roman"/>
        </w:rPr>
        <w:t>Strawn et al. meta-analysis be considered as a definitive evidence-based answer to clinically relevant questions for the pharmacologica</w:t>
      </w:r>
      <w:r w:rsidR="00F52270">
        <w:rPr>
          <w:rFonts w:ascii="Times New Roman" w:hAnsi="Times New Roman" w:cs="Times New Roman"/>
        </w:rPr>
        <w:t>l treatment of anxiety disorder</w:t>
      </w:r>
      <w:r w:rsidRPr="009F283F">
        <w:rPr>
          <w:rFonts w:ascii="Times New Roman" w:hAnsi="Times New Roman" w:cs="Times New Roman"/>
        </w:rPr>
        <w:t>s</w:t>
      </w:r>
      <w:r w:rsidR="00F52270">
        <w:rPr>
          <w:rFonts w:ascii="Times New Roman" w:hAnsi="Times New Roman" w:cs="Times New Roman"/>
        </w:rPr>
        <w:t xml:space="preserve"> </w:t>
      </w:r>
      <w:r w:rsidRPr="009F283F">
        <w:rPr>
          <w:rFonts w:ascii="Times New Roman" w:hAnsi="Times New Roman" w:cs="Times New Roman"/>
        </w:rPr>
        <w:t>in children and adolescents?</w:t>
      </w:r>
      <w:r w:rsidR="005B236D" w:rsidRPr="009F283F">
        <w:rPr>
          <w:rFonts w:ascii="Times New Roman" w:hAnsi="Times New Roman" w:cs="Times New Roman"/>
        </w:rPr>
        <w:t xml:space="preserve"> </w:t>
      </w:r>
      <w:r w:rsidR="00460BD7" w:rsidRPr="009F283F">
        <w:rPr>
          <w:rFonts w:ascii="Times New Roman" w:hAnsi="Times New Roman" w:cs="Times New Roman"/>
        </w:rPr>
        <w:t xml:space="preserve">Should clinicians change their </w:t>
      </w:r>
      <w:r w:rsidR="000F58DE" w:rsidRPr="009F283F">
        <w:rPr>
          <w:rFonts w:ascii="Times New Roman" w:hAnsi="Times New Roman" w:cs="Times New Roman"/>
        </w:rPr>
        <w:t xml:space="preserve">prescribing </w:t>
      </w:r>
      <w:r w:rsidR="00460BD7" w:rsidRPr="009F283F">
        <w:rPr>
          <w:rFonts w:ascii="Times New Roman" w:hAnsi="Times New Roman" w:cs="Times New Roman"/>
        </w:rPr>
        <w:t xml:space="preserve">practice based on this meta-analysis? </w:t>
      </w:r>
      <w:r w:rsidR="005B236D" w:rsidRPr="009F283F">
        <w:rPr>
          <w:rFonts w:ascii="Times New Roman" w:hAnsi="Times New Roman" w:cs="Times New Roman"/>
        </w:rPr>
        <w:t xml:space="preserve">Our enthusiasm should be balanced against the limitations of this meta-analysis. As acknowledged by the authors themselves, </w:t>
      </w:r>
      <w:r w:rsidR="00BD4F5F" w:rsidRPr="009F283F">
        <w:rPr>
          <w:rFonts w:ascii="Times New Roman" w:hAnsi="Times New Roman" w:cs="Times New Roman"/>
        </w:rPr>
        <w:t xml:space="preserve">given </w:t>
      </w:r>
      <w:r w:rsidR="005B236D" w:rsidRPr="009F283F">
        <w:rPr>
          <w:rFonts w:ascii="Times New Roman" w:hAnsi="Times New Roman" w:cs="Times New Roman"/>
        </w:rPr>
        <w:t>the s</w:t>
      </w:r>
      <w:r w:rsidR="00BD4F5F" w:rsidRPr="009F283F">
        <w:rPr>
          <w:rFonts w:ascii="Times New Roman" w:hAnsi="Times New Roman" w:cs="Times New Roman"/>
        </w:rPr>
        <w:t xml:space="preserve">mall number of included studies, </w:t>
      </w:r>
      <w:r w:rsidR="005B236D" w:rsidRPr="009F283F">
        <w:rPr>
          <w:rFonts w:ascii="Times New Roman" w:hAnsi="Times New Roman" w:cs="Times New Roman"/>
        </w:rPr>
        <w:t xml:space="preserve">the conclusions of the meta-analysis should be considered with caution. </w:t>
      </w:r>
      <w:r w:rsidR="000F58DE" w:rsidRPr="009F283F">
        <w:rPr>
          <w:rFonts w:ascii="Times New Roman" w:hAnsi="Times New Roman" w:cs="Times New Roman"/>
        </w:rPr>
        <w:t xml:space="preserve">Additionally, </w:t>
      </w:r>
      <w:r w:rsidR="00E974E7">
        <w:rPr>
          <w:rFonts w:ascii="Times New Roman" w:hAnsi="Times New Roman" w:cs="Times New Roman"/>
        </w:rPr>
        <w:t xml:space="preserve">although </w:t>
      </w:r>
      <w:r w:rsidR="000F58DE" w:rsidRPr="009F283F">
        <w:rPr>
          <w:rFonts w:ascii="Times New Roman" w:hAnsi="Times New Roman" w:cs="Times New Roman"/>
        </w:rPr>
        <w:t xml:space="preserve">the authors performed a comprehensive search in a </w:t>
      </w:r>
      <w:r w:rsidR="00716FDB">
        <w:rPr>
          <w:rFonts w:ascii="Times New Roman" w:hAnsi="Times New Roman" w:cs="Times New Roman"/>
        </w:rPr>
        <w:t xml:space="preserve">number of electronic databases </w:t>
      </w:r>
      <w:r w:rsidR="000F58DE" w:rsidRPr="009F283F">
        <w:rPr>
          <w:rFonts w:ascii="Times New Roman" w:hAnsi="Times New Roman" w:cs="Times New Roman"/>
        </w:rPr>
        <w:t>and clinical trial registries to retrieve published studies</w:t>
      </w:r>
      <w:r w:rsidR="00E974E7">
        <w:rPr>
          <w:rFonts w:ascii="Times New Roman" w:hAnsi="Times New Roman" w:cs="Times New Roman"/>
        </w:rPr>
        <w:t>,</w:t>
      </w:r>
      <w:r w:rsidR="000F58DE" w:rsidRPr="009F283F">
        <w:rPr>
          <w:rFonts w:ascii="Times New Roman" w:hAnsi="Times New Roman" w:cs="Times New Roman"/>
        </w:rPr>
        <w:t xml:space="preserve"> they </w:t>
      </w:r>
      <w:r w:rsidR="00D87AEA">
        <w:rPr>
          <w:rFonts w:ascii="Times New Roman" w:hAnsi="Times New Roman" w:cs="Times New Roman"/>
        </w:rPr>
        <w:t>were unable to</w:t>
      </w:r>
      <w:r w:rsidR="000F58DE" w:rsidRPr="009F283F">
        <w:rPr>
          <w:rFonts w:ascii="Times New Roman" w:hAnsi="Times New Roman" w:cs="Times New Roman"/>
        </w:rPr>
        <w:t xml:space="preserve"> include unpublished data from drug manufactures</w:t>
      </w:r>
      <w:r w:rsidR="00716FDB">
        <w:rPr>
          <w:rFonts w:ascii="Times New Roman" w:hAnsi="Times New Roman" w:cs="Times New Roman"/>
        </w:rPr>
        <w:t>. I</w:t>
      </w:r>
      <w:r w:rsidR="000F58DE" w:rsidRPr="009F283F">
        <w:rPr>
          <w:rFonts w:ascii="Times New Roman" w:hAnsi="Times New Roman" w:cs="Times New Roman"/>
          <w:color w:val="000000"/>
        </w:rPr>
        <w:t xml:space="preserve">t is possible that the </w:t>
      </w:r>
      <w:r w:rsidR="000F58DE" w:rsidRPr="009F283F">
        <w:rPr>
          <w:rFonts w:ascii="Times New Roman" w:hAnsi="Times New Roman" w:cs="Times New Roman"/>
          <w:color w:val="000000"/>
        </w:rPr>
        <w:lastRenderedPageBreak/>
        <w:t xml:space="preserve">inclusion of unpublished data might have changed the estimates. Furthermore, different types of anxiety disorders were lumped together in the analysis, so that results are not necessarily informative for the management </w:t>
      </w:r>
      <w:r w:rsidR="006D4C36">
        <w:rPr>
          <w:rFonts w:ascii="Times New Roman" w:hAnsi="Times New Roman" w:cs="Times New Roman"/>
          <w:color w:val="000000"/>
        </w:rPr>
        <w:t>of individual anxiety disorders. However</w:t>
      </w:r>
      <w:r w:rsidR="000F58DE" w:rsidRPr="009F283F">
        <w:rPr>
          <w:rFonts w:ascii="Times New Roman" w:hAnsi="Times New Roman" w:cs="Times New Roman"/>
          <w:color w:val="000000"/>
        </w:rPr>
        <w:t>, as highl</w:t>
      </w:r>
      <w:r w:rsidR="00E974E7">
        <w:rPr>
          <w:rFonts w:ascii="Times New Roman" w:hAnsi="Times New Roman" w:cs="Times New Roman"/>
          <w:color w:val="000000"/>
        </w:rPr>
        <w:t>ighted by the authors</w:t>
      </w:r>
      <w:r w:rsidR="000F58DE" w:rsidRPr="009F283F">
        <w:rPr>
          <w:rFonts w:ascii="Times New Roman" w:hAnsi="Times New Roman" w:cs="Times New Roman"/>
          <w:color w:val="000000"/>
        </w:rPr>
        <w:t xml:space="preserve">, different anxiety disorders tend to share the same degree of response to </w:t>
      </w:r>
      <w:r w:rsidR="009F283F" w:rsidRPr="009F283F">
        <w:rPr>
          <w:rFonts w:ascii="Times New Roman" w:hAnsi="Times New Roman" w:cs="Times New Roman"/>
          <w:color w:val="000000"/>
        </w:rPr>
        <w:t>pharmacological</w:t>
      </w:r>
      <w:r w:rsidR="000F58DE" w:rsidRPr="009F283F">
        <w:rPr>
          <w:rFonts w:ascii="Times New Roman" w:hAnsi="Times New Roman" w:cs="Times New Roman"/>
          <w:color w:val="000000"/>
        </w:rPr>
        <w:t xml:space="preserve"> treatments. </w:t>
      </w:r>
      <w:r w:rsidR="009F283F" w:rsidRPr="009F283F">
        <w:rPr>
          <w:rFonts w:ascii="Times New Roman" w:hAnsi="Times New Roman" w:cs="Times New Roman"/>
          <w:color w:val="000000"/>
        </w:rPr>
        <w:t>Moreover, the</w:t>
      </w:r>
      <w:r w:rsidR="00716FDB">
        <w:rPr>
          <w:rFonts w:ascii="Times New Roman" w:hAnsi="Times New Roman" w:cs="Times New Roman"/>
          <w:color w:val="000000"/>
        </w:rPr>
        <w:t xml:space="preserve"> meta-analysis shows that SSRIs</w:t>
      </w:r>
      <w:r w:rsidR="009F283F" w:rsidRPr="009F283F">
        <w:rPr>
          <w:rFonts w:ascii="Times New Roman" w:hAnsi="Times New Roman" w:cs="Times New Roman"/>
          <w:color w:val="000000"/>
        </w:rPr>
        <w:t xml:space="preserve">, as a class, were superior to SSNRIs, in terms of efficacy, but is not informative on which drug, among SSRIs, should be preferred. </w:t>
      </w:r>
      <w:r w:rsidR="000F58DE" w:rsidRPr="009F283F">
        <w:rPr>
          <w:rFonts w:ascii="Times New Roman" w:hAnsi="Times New Roman" w:cs="Times New Roman"/>
          <w:color w:val="000000"/>
        </w:rPr>
        <w:t xml:space="preserve">Finally, </w:t>
      </w:r>
      <w:r w:rsidR="009F283F" w:rsidRPr="009F283F">
        <w:rPr>
          <w:rFonts w:ascii="Times New Roman" w:hAnsi="Times New Roman" w:cs="Times New Roman"/>
          <w:color w:val="000000"/>
        </w:rPr>
        <w:t xml:space="preserve">daily decision making in the choice of a pharmacological agent is based not only on its efficacy/effectiveness but also on its tolerability profile. Whereas the </w:t>
      </w:r>
      <w:r w:rsidR="009F283F" w:rsidRPr="009F283F">
        <w:rPr>
          <w:rFonts w:ascii="Times New Roman" w:hAnsi="Times New Roman" w:cs="Times New Roman"/>
        </w:rPr>
        <w:t xml:space="preserve">Strawn et al. meta-analysis concludes that SSRIs are superior to SSRNIs in terms of efficacy, one should consider that some </w:t>
      </w:r>
      <w:r w:rsidR="009F283F" w:rsidRPr="009F283F">
        <w:rPr>
          <w:rFonts w:ascii="Times New Roman" w:eastAsia="Times New Roman" w:hAnsi="Times New Roman" w:cs="Times New Roman"/>
          <w:lang w:eastAsia="en-GB"/>
        </w:rPr>
        <w:t>side effects, such as activation, may be more common with SSRIs compared to SSNRIs.</w:t>
      </w:r>
      <w:r w:rsidR="00716FDB">
        <w:rPr>
          <w:rFonts w:ascii="Times New Roman" w:eastAsia="Times New Roman" w:hAnsi="Times New Roman" w:cs="Times New Roman"/>
          <w:lang w:eastAsia="en-GB"/>
        </w:rPr>
        <w:t xml:space="preserve"> As such, efficacy results should be balanced against tolerability data.</w:t>
      </w:r>
    </w:p>
    <w:p w:rsidR="00C60F1D" w:rsidRDefault="009F283F" w:rsidP="00716FDB">
      <w:pPr>
        <w:spacing w:line="480" w:lineRule="auto"/>
        <w:ind w:firstLine="720"/>
        <w:rPr>
          <w:rFonts w:ascii="Times New Roman" w:eastAsia="Times New Roman" w:hAnsi="Times New Roman" w:cs="Times New Roman"/>
          <w:lang w:eastAsia="en-GB"/>
        </w:rPr>
      </w:pPr>
      <w:r w:rsidRPr="009F283F">
        <w:rPr>
          <w:rFonts w:ascii="Times New Roman" w:eastAsia="Times New Roman" w:hAnsi="Times New Roman" w:cs="Times New Roman"/>
          <w:lang w:eastAsia="en-GB"/>
        </w:rPr>
        <w:t>In addition to address</w:t>
      </w:r>
      <w:r w:rsidR="00716FDB">
        <w:rPr>
          <w:rFonts w:ascii="Times New Roman" w:eastAsia="Times New Roman" w:hAnsi="Times New Roman" w:cs="Times New Roman"/>
          <w:lang w:eastAsia="en-GB"/>
        </w:rPr>
        <w:t>ing</w:t>
      </w:r>
      <w:r w:rsidRPr="009F283F">
        <w:rPr>
          <w:rFonts w:ascii="Times New Roman" w:eastAsia="Times New Roman" w:hAnsi="Times New Roman" w:cs="Times New Roman"/>
          <w:lang w:eastAsia="en-GB"/>
        </w:rPr>
        <w:t xml:space="preserve"> these specific limitations, how can future </w:t>
      </w:r>
      <w:r>
        <w:rPr>
          <w:rFonts w:ascii="Times New Roman" w:eastAsia="Times New Roman" w:hAnsi="Times New Roman" w:cs="Times New Roman"/>
          <w:lang w:eastAsia="en-GB"/>
        </w:rPr>
        <w:t xml:space="preserve">meta-analyses in child and adolescent psychiatry provide more clinically </w:t>
      </w:r>
      <w:r w:rsidRPr="009F283F">
        <w:rPr>
          <w:rFonts w:ascii="Times New Roman" w:eastAsia="Times New Roman" w:hAnsi="Times New Roman" w:cs="Times New Roman"/>
          <w:lang w:eastAsia="en-GB"/>
        </w:rPr>
        <w:t xml:space="preserve">friendly </w:t>
      </w:r>
      <w:r>
        <w:rPr>
          <w:rFonts w:ascii="Times New Roman" w:eastAsia="Times New Roman" w:hAnsi="Times New Roman" w:cs="Times New Roman"/>
          <w:lang w:eastAsia="en-GB"/>
        </w:rPr>
        <w:t>evidence-base</w:t>
      </w:r>
      <w:r w:rsidRPr="009F283F">
        <w:rPr>
          <w:rFonts w:ascii="Times New Roman" w:eastAsia="Times New Roman" w:hAnsi="Times New Roman" w:cs="Times New Roman"/>
          <w:lang w:eastAsia="en-GB"/>
        </w:rPr>
        <w:t>?</w:t>
      </w:r>
    </w:p>
    <w:p w:rsidR="008D4EE4" w:rsidRDefault="00716FDB" w:rsidP="00716FDB">
      <w:pPr>
        <w:spacing w:line="480" w:lineRule="auto"/>
        <w:rPr>
          <w:rFonts w:ascii="Times New Roman" w:hAnsi="Times New Roman" w:cs="Times New Roman"/>
        </w:rPr>
      </w:pPr>
      <w:r>
        <w:rPr>
          <w:rFonts w:ascii="Times New Roman" w:eastAsia="Times New Roman" w:hAnsi="Times New Roman" w:cs="Times New Roman"/>
          <w:lang w:eastAsia="en-GB"/>
        </w:rPr>
        <w:t>An important issue is around the difference between statistically and clinically significant findings. Often times, meta-</w:t>
      </w:r>
      <w:r w:rsidRPr="00C82FAD">
        <w:rPr>
          <w:rFonts w:ascii="Times New Roman" w:eastAsia="Times New Roman" w:hAnsi="Times New Roman" w:cs="Times New Roman"/>
          <w:lang w:eastAsia="en-GB"/>
        </w:rPr>
        <w:t>analyses result</w:t>
      </w:r>
      <w:r w:rsidR="005C391A" w:rsidRPr="00C82FAD">
        <w:rPr>
          <w:rFonts w:ascii="Times New Roman" w:eastAsia="Times New Roman" w:hAnsi="Times New Roman" w:cs="Times New Roman"/>
          <w:lang w:eastAsia="en-GB"/>
        </w:rPr>
        <w:t>s</w:t>
      </w:r>
      <w:r w:rsidR="006D4C36">
        <w:rPr>
          <w:rFonts w:ascii="Times New Roman" w:eastAsia="Times New Roman" w:hAnsi="Times New Roman" w:cs="Times New Roman"/>
          <w:lang w:eastAsia="en-GB"/>
        </w:rPr>
        <w:t xml:space="preserve"> are reported</w:t>
      </w:r>
      <w:r w:rsidRPr="00C82FAD">
        <w:rPr>
          <w:rFonts w:ascii="Times New Roman" w:eastAsia="Times New Roman" w:hAnsi="Times New Roman" w:cs="Times New Roman"/>
          <w:lang w:eastAsia="en-GB"/>
        </w:rPr>
        <w:t xml:space="preserve"> in terms </w:t>
      </w:r>
      <w:r w:rsidR="008D4EE4" w:rsidRPr="00C82FAD">
        <w:rPr>
          <w:rFonts w:ascii="Times New Roman" w:eastAsia="Times New Roman" w:hAnsi="Times New Roman" w:cs="Times New Roman"/>
          <w:lang w:eastAsia="en-GB"/>
        </w:rPr>
        <w:t>of statistical significance only, whi</w:t>
      </w:r>
      <w:r w:rsidRPr="00C82FAD">
        <w:rPr>
          <w:rFonts w:ascii="Times New Roman" w:eastAsia="Times New Roman" w:hAnsi="Times New Roman" w:cs="Times New Roman"/>
          <w:lang w:eastAsia="en-GB"/>
        </w:rPr>
        <w:t>ch may</w:t>
      </w:r>
      <w:r w:rsidR="008D4EE4" w:rsidRPr="00C82FAD">
        <w:rPr>
          <w:rFonts w:ascii="Times New Roman" w:eastAsia="Times New Roman" w:hAnsi="Times New Roman" w:cs="Times New Roman"/>
          <w:lang w:eastAsia="en-GB"/>
        </w:rPr>
        <w:t xml:space="preserve"> not</w:t>
      </w:r>
      <w:r w:rsidRPr="00C82FAD">
        <w:rPr>
          <w:rFonts w:ascii="Times New Roman" w:eastAsia="Times New Roman" w:hAnsi="Times New Roman" w:cs="Times New Roman"/>
          <w:lang w:eastAsia="en-GB"/>
        </w:rPr>
        <w:t xml:space="preserve"> be </w:t>
      </w:r>
      <w:r w:rsidR="00C82FAD">
        <w:rPr>
          <w:rFonts w:ascii="Times New Roman" w:eastAsia="Times New Roman" w:hAnsi="Times New Roman" w:cs="Times New Roman"/>
          <w:lang w:eastAsia="en-GB"/>
        </w:rPr>
        <w:t>satisfactory</w:t>
      </w:r>
      <w:r w:rsidRPr="00C82FAD">
        <w:rPr>
          <w:rFonts w:ascii="Times New Roman" w:eastAsia="Times New Roman" w:hAnsi="Times New Roman" w:cs="Times New Roman"/>
          <w:lang w:eastAsia="en-GB"/>
        </w:rPr>
        <w:t xml:space="preserve"> for clinical decision making.</w:t>
      </w:r>
      <w:r w:rsidR="005C391A" w:rsidRPr="00C82FAD">
        <w:rPr>
          <w:rFonts w:ascii="Times New Roman" w:eastAsia="Times New Roman" w:hAnsi="Times New Roman" w:cs="Times New Roman"/>
          <w:lang w:eastAsia="en-GB"/>
        </w:rPr>
        <w:t xml:space="preserve"> Strawn and colleagues highlighted when clinically, as opposed to statistically</w:t>
      </w:r>
      <w:r w:rsidR="00C82FAD">
        <w:rPr>
          <w:rFonts w:ascii="Times New Roman" w:eastAsia="Times New Roman" w:hAnsi="Times New Roman" w:cs="Times New Roman"/>
          <w:lang w:eastAsia="en-GB"/>
        </w:rPr>
        <w:t xml:space="preserve"> only</w:t>
      </w:r>
      <w:r w:rsidR="005C391A" w:rsidRPr="00C82FAD">
        <w:rPr>
          <w:rFonts w:ascii="Times New Roman" w:eastAsia="Times New Roman" w:hAnsi="Times New Roman" w:cs="Times New Roman"/>
          <w:lang w:eastAsia="en-GB"/>
        </w:rPr>
        <w:t xml:space="preserve">, significant effects emerged relying on </w:t>
      </w:r>
      <w:proofErr w:type="spellStart"/>
      <w:r w:rsidR="005C391A" w:rsidRPr="00C82FAD">
        <w:rPr>
          <w:rFonts w:ascii="Times New Roman" w:eastAsia="Times New Roman" w:hAnsi="Times New Roman" w:cs="Times New Roman"/>
          <w:lang w:eastAsia="en-GB"/>
        </w:rPr>
        <w:t>Cohen’d</w:t>
      </w:r>
      <w:proofErr w:type="spellEnd"/>
      <w:r w:rsidR="005C391A" w:rsidRPr="00C82FAD">
        <w:rPr>
          <w:rFonts w:ascii="Times New Roman" w:eastAsia="Times New Roman" w:hAnsi="Times New Roman" w:cs="Times New Roman"/>
          <w:lang w:eastAsia="en-GB"/>
        </w:rPr>
        <w:t xml:space="preserve"> values. Perhaps a more intuitive </w:t>
      </w:r>
      <w:r w:rsidR="00C82FAD">
        <w:rPr>
          <w:rFonts w:ascii="Times New Roman" w:eastAsia="Times New Roman" w:hAnsi="Times New Roman" w:cs="Times New Roman"/>
          <w:lang w:eastAsia="en-GB"/>
        </w:rPr>
        <w:t xml:space="preserve">and clinically informative </w:t>
      </w:r>
      <w:r w:rsidR="005C391A" w:rsidRPr="00C82FAD">
        <w:rPr>
          <w:rFonts w:ascii="Times New Roman" w:eastAsia="Times New Roman" w:hAnsi="Times New Roman" w:cs="Times New Roman"/>
          <w:lang w:eastAsia="en-GB"/>
        </w:rPr>
        <w:t>approach would be to relate the findings to “</w:t>
      </w:r>
      <w:r w:rsidR="005C391A" w:rsidRPr="00C82FAD">
        <w:rPr>
          <w:rFonts w:ascii="Times New Roman" w:hAnsi="Times New Roman" w:cs="Times New Roman"/>
        </w:rPr>
        <w:t>minimal relevant difference”</w:t>
      </w:r>
      <w:r w:rsidR="00E974E7">
        <w:rPr>
          <w:rFonts w:ascii="Times New Roman" w:hAnsi="Times New Roman" w:cs="Times New Roman"/>
        </w:rPr>
        <w:t>, i.e., assess</w:t>
      </w:r>
      <w:r w:rsidR="00C82FAD" w:rsidRPr="00C82FAD">
        <w:rPr>
          <w:rFonts w:ascii="Times New Roman" w:hAnsi="Times New Roman" w:cs="Times New Roman"/>
        </w:rPr>
        <w:t xml:space="preserve"> how the changes in the scores measuring </w:t>
      </w:r>
      <w:r w:rsidR="006D4C36">
        <w:rPr>
          <w:rFonts w:ascii="Times New Roman" w:hAnsi="Times New Roman" w:cs="Times New Roman"/>
        </w:rPr>
        <w:t>symptoms</w:t>
      </w:r>
      <w:r w:rsidR="00C82FAD" w:rsidRPr="00C82FAD">
        <w:rPr>
          <w:rFonts w:ascii="Times New Roman" w:hAnsi="Times New Roman" w:cs="Times New Roman"/>
        </w:rPr>
        <w:t xml:space="preserve"> severity compare to the smallest change that </w:t>
      </w:r>
      <w:r w:rsidR="00C82FAD" w:rsidRPr="00C82FAD">
        <w:rPr>
          <w:rFonts w:ascii="Times New Roman" w:hAnsi="Times New Roman" w:cs="Times New Roman"/>
          <w:lang w:val="en"/>
        </w:rPr>
        <w:t>patients/clinicians would identify as important</w:t>
      </w:r>
      <w:r w:rsidR="00E974E7">
        <w:rPr>
          <w:rFonts w:ascii="Times New Roman" w:hAnsi="Times New Roman" w:cs="Times New Roman"/>
        </w:rPr>
        <w:t xml:space="preserve">. </w:t>
      </w:r>
      <w:r w:rsidR="00E974E7">
        <w:rPr>
          <w:rFonts w:ascii="Times New Roman" w:eastAsia="Times New Roman" w:hAnsi="Times New Roman" w:cs="Times New Roman"/>
          <w:lang w:eastAsia="en-GB"/>
        </w:rPr>
        <w:t>M</w:t>
      </w:r>
      <w:r w:rsidR="00E974E7">
        <w:rPr>
          <w:rFonts w:ascii="Times New Roman" w:hAnsi="Times New Roman" w:cs="Times New Roman"/>
        </w:rPr>
        <w:t>inimal relevant differences have been</w:t>
      </w:r>
      <w:r w:rsidR="00E974E7">
        <w:rPr>
          <w:rFonts w:ascii="Times New Roman" w:hAnsi="Times New Roman" w:cs="Times New Roman"/>
        </w:rPr>
        <w:t xml:space="preserve"> </w:t>
      </w:r>
      <w:r w:rsidR="00E974E7">
        <w:rPr>
          <w:rFonts w:ascii="Times New Roman" w:hAnsi="Times New Roman" w:cs="Times New Roman"/>
        </w:rPr>
        <w:t>used</w:t>
      </w:r>
      <w:r w:rsidR="00C82FAD">
        <w:rPr>
          <w:rFonts w:ascii="Times New Roman" w:hAnsi="Times New Roman" w:cs="Times New Roman"/>
        </w:rPr>
        <w:t xml:space="preserve"> in recent meta-analyses in child and adolescent psychopathology</w:t>
      </w:r>
      <w:r w:rsidR="007E1E92">
        <w:rPr>
          <w:rFonts w:ascii="Times New Roman" w:hAnsi="Times New Roman" w:cs="Times New Roman"/>
        </w:rPr>
        <w:t xml:space="preserve"> (e.g.,</w:t>
      </w:r>
      <w:r w:rsidR="007E1E92">
        <w:rPr>
          <w:rFonts w:ascii="Times New Roman" w:hAnsi="Times New Roman" w:cs="Times New Roman"/>
        </w:rPr>
        <w:fldChar w:fldCharType="begin">
          <w:fldData xml:space="preserve">PFJlZm1hbj48Q2l0ZT48QXV0aG9yPlN0b3JlYm88L0F1dGhvcj48WWVhcj4yMDE1PC9ZZWFyPjxS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</w:fldData>
        </w:fldChar>
      </w:r>
      <w:r w:rsidR="00C162A9">
        <w:rPr>
          <w:rFonts w:ascii="Times New Roman" w:hAnsi="Times New Roman" w:cs="Times New Roman"/>
        </w:rPr>
        <w:instrText xml:space="preserve"> ADDIN REFMGR.CITE </w:instrText>
      </w:r>
      <w:r w:rsidR="00C162A9">
        <w:rPr>
          <w:rFonts w:ascii="Times New Roman" w:hAnsi="Times New Roman" w:cs="Times New Roman"/>
        </w:rPr>
        <w:fldChar w:fldCharType="begin">
          <w:fldData xml:space="preserve">PFJlZm1hbj48Q2l0ZT48QXV0aG9yPlN0b3JlYm88L0F1dGhvcj48WWVhcj4yMDE1PC9ZZWFyPjxS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</w:fldData>
        </w:fldChar>
      </w:r>
      <w:r w:rsidR="00C162A9">
        <w:rPr>
          <w:rFonts w:ascii="Times New Roman" w:hAnsi="Times New Roman" w:cs="Times New Roman"/>
        </w:rPr>
        <w:instrText xml:space="preserve"> ADDIN EN.CITE.DATA </w:instrText>
      </w:r>
      <w:r w:rsidR="00C162A9">
        <w:rPr>
          <w:rFonts w:ascii="Times New Roman" w:hAnsi="Times New Roman" w:cs="Times New Roman"/>
        </w:rPr>
      </w:r>
      <w:r w:rsidR="00C162A9">
        <w:rPr>
          <w:rFonts w:ascii="Times New Roman" w:hAnsi="Times New Roman" w:cs="Times New Roman"/>
        </w:rPr>
        <w:fldChar w:fldCharType="end"/>
      </w:r>
      <w:r w:rsidR="007E1E92">
        <w:rPr>
          <w:rFonts w:ascii="Times New Roman" w:hAnsi="Times New Roman" w:cs="Times New Roman"/>
        </w:rPr>
      </w:r>
      <w:r w:rsidR="007E1E92">
        <w:rPr>
          <w:rFonts w:ascii="Times New Roman" w:hAnsi="Times New Roman" w:cs="Times New Roman"/>
        </w:rPr>
        <w:fldChar w:fldCharType="separate"/>
      </w:r>
      <w:r w:rsidR="00C162A9" w:rsidRPr="00C162A9">
        <w:rPr>
          <w:rFonts w:ascii="Times New Roman" w:hAnsi="Times New Roman" w:cs="Times New Roman"/>
          <w:noProof/>
          <w:vertAlign w:val="superscript"/>
        </w:rPr>
        <w:t>2</w:t>
      </w:r>
      <w:r w:rsidR="007E1E92">
        <w:rPr>
          <w:rFonts w:ascii="Times New Roman" w:hAnsi="Times New Roman" w:cs="Times New Roman"/>
        </w:rPr>
        <w:fldChar w:fldCharType="end"/>
      </w:r>
      <w:r w:rsidR="00C82FAD">
        <w:rPr>
          <w:rFonts w:ascii="Times New Roman" w:hAnsi="Times New Roman" w:cs="Times New Roman"/>
        </w:rPr>
        <w:t>).</w:t>
      </w:r>
    </w:p>
    <w:p w:rsidR="00C82FAD" w:rsidRDefault="00C82FAD" w:rsidP="00C82FAD">
      <w:pPr>
        <w:spacing w:line="480" w:lineRule="auto"/>
        <w:ind w:firstLine="720"/>
        <w:rPr>
          <w:rFonts w:ascii="Times New Roman" w:hAnsi="Times New Roman" w:cs="Times New Roman"/>
        </w:rPr>
      </w:pPr>
      <w:r w:rsidRPr="00A82F3C">
        <w:rPr>
          <w:rFonts w:ascii="Times New Roman" w:hAnsi="Times New Roman" w:cs="Times New Roman"/>
        </w:rPr>
        <w:t xml:space="preserve">Another relevant aspect concerns the comparative efficacy and/or tolerability of available interventions. </w:t>
      </w:r>
      <w:r w:rsidR="00A82F3C">
        <w:rPr>
          <w:rFonts w:ascii="Times New Roman" w:hAnsi="Times New Roman" w:cs="Times New Roman"/>
        </w:rPr>
        <w:t xml:space="preserve">When several treatment strategies are available, clinicians </w:t>
      </w:r>
      <w:r w:rsidR="00E974E7">
        <w:rPr>
          <w:rFonts w:ascii="Times New Roman" w:hAnsi="Times New Roman" w:cs="Times New Roman"/>
        </w:rPr>
        <w:t xml:space="preserve">would </w:t>
      </w:r>
      <w:r w:rsidR="00A82F3C">
        <w:rPr>
          <w:rFonts w:ascii="Times New Roman" w:hAnsi="Times New Roman" w:cs="Times New Roman"/>
        </w:rPr>
        <w:lastRenderedPageBreak/>
        <w:t xml:space="preserve">need to know </w:t>
      </w:r>
      <w:r w:rsidR="00E974E7">
        <w:rPr>
          <w:rFonts w:ascii="Times New Roman" w:hAnsi="Times New Roman" w:cs="Times New Roman"/>
        </w:rPr>
        <w:t>which is is the best and how each of the</w:t>
      </w:r>
      <w:r w:rsidR="00A82F3C">
        <w:rPr>
          <w:rFonts w:ascii="Times New Roman" w:hAnsi="Times New Roman" w:cs="Times New Roman"/>
        </w:rPr>
        <w:t xml:space="preserve"> available options rank</w:t>
      </w:r>
      <w:r w:rsidR="00E974E7">
        <w:rPr>
          <w:rFonts w:ascii="Times New Roman" w:hAnsi="Times New Roman" w:cs="Times New Roman"/>
        </w:rPr>
        <w:t>s</w:t>
      </w:r>
      <w:r w:rsidR="00A82F3C">
        <w:rPr>
          <w:rFonts w:ascii="Times New Roman" w:hAnsi="Times New Roman" w:cs="Times New Roman"/>
        </w:rPr>
        <w:t xml:space="preserve"> in terms of efficacy and safety. </w:t>
      </w:r>
      <w:r w:rsidR="0055395F">
        <w:rPr>
          <w:rFonts w:ascii="Times New Roman" w:hAnsi="Times New Roman" w:cs="Times New Roman"/>
        </w:rPr>
        <w:t>Unlike</w:t>
      </w:r>
      <w:r w:rsidR="00A82F3C">
        <w:rPr>
          <w:rFonts w:ascii="Times New Roman" w:hAnsi="Times New Roman" w:cs="Times New Roman"/>
        </w:rPr>
        <w:t xml:space="preserve"> s</w:t>
      </w:r>
      <w:r w:rsidRPr="00A82F3C">
        <w:rPr>
          <w:rFonts w:ascii="Times New Roman" w:hAnsi="Times New Roman" w:cs="Times New Roman"/>
        </w:rPr>
        <w:t>tandard, pairwise meta-</w:t>
      </w:r>
      <w:r w:rsidRPr="0055395F">
        <w:rPr>
          <w:rFonts w:ascii="Times New Roman" w:hAnsi="Times New Roman" w:cs="Times New Roman"/>
        </w:rPr>
        <w:t>analyses (i.e., relying on head-to head comparisons from individual studies)</w:t>
      </w:r>
      <w:r w:rsidR="00A82F3C" w:rsidRPr="0055395F">
        <w:rPr>
          <w:rFonts w:ascii="Times New Roman" w:hAnsi="Times New Roman" w:cs="Times New Roman"/>
        </w:rPr>
        <w:t xml:space="preserve">, network meta-analyses (NMAs) </w:t>
      </w:r>
      <w:r w:rsidR="0055395F" w:rsidRPr="0055395F">
        <w:rPr>
          <w:rFonts w:ascii="Times New Roman" w:hAnsi="Times New Roman" w:cs="Times New Roman"/>
        </w:rPr>
        <w:t>allow the estimation of the comparative efficacy and tolerability of two or more interventions even when they have not directly been investigated head-to-head in RCTs.</w:t>
      </w:r>
      <w:r w:rsidR="007A1FBF">
        <w:rPr>
          <w:rFonts w:ascii="Times New Roman" w:hAnsi="Times New Roman" w:cs="Times New Roman"/>
        </w:rPr>
        <w:fldChar w:fldCharType="begin"/>
      </w:r>
      <w:r w:rsidR="00C162A9">
        <w:rPr>
          <w:rFonts w:ascii="Times New Roman" w:hAnsi="Times New Roman" w:cs="Times New Roman"/>
        </w:rPr>
        <w:instrText xml:space="preserve"> ADDIN REFMGR.CITE &lt;Refman&gt;&lt;Cite&gt;&lt;Author&gt;Mavridis&lt;/Author&gt;&lt;Year&gt;2015&lt;/Year&gt;&lt;RecNum&gt;1&lt;/RecNum&gt;&lt;IDText&gt;A primer on network meta-analysis with emphasis on mental health&lt;/IDText&gt;&lt;MDL Ref_Type="Journal"&gt;&lt;Ref_Type&gt;Journal&lt;/Ref_Type&gt;&lt;Ref_ID&gt;1&lt;/Ref_ID&gt;&lt;Title_Primary&gt;A primer on network meta-analysis with emphasis on mental health&lt;/Title_Primary&gt;&lt;Authors_Primary&gt;Mavridis,D.&lt;/Authors_Primary&gt;&lt;Authors_Primary&gt;Giannatsi,M.&lt;/Authors_Primary&gt;&lt;Authors_Primary&gt;Cipriani,A.&lt;/Authors_Primary&gt;&lt;Authors_Primary&gt;Salanti,G.&lt;/Authors_Primary&gt;&lt;Date_Primary&gt;2015/5&lt;/Date_Primary&gt;&lt;Keywords&gt;Data Interpretation,Statistical&lt;/Keywords&gt;&lt;Keywords&gt;Evidence-Based Medicine&lt;/Keywords&gt;&lt;Keywords&gt;Humans&lt;/Keywords&gt;&lt;Keywords&gt;Mental Health&lt;/Keywords&gt;&lt;Keywords&gt;statistics &amp;amp; numerical data&lt;/Keywords&gt;&lt;Keywords&gt;Meta-Analysis as Topic&lt;/Keywords&gt;&lt;Reprint&gt;Not in File&lt;/Reprint&gt;&lt;Start_Page&gt;40&lt;/Start_Page&gt;&lt;End_Page&gt;46&lt;/End_Page&gt;&lt;Periodical&gt;Evid.Based.Ment.Health&lt;/Periodical&gt;&lt;Volume&gt;18&lt;/Volume&gt;&lt;Issue&gt;2&lt;/Issue&gt;&lt;Misc_3&gt;eb-2015-102088 [pii];10.1136/eb-2015-102088 [doi]&lt;/Misc_3&gt;&lt;Address&gt;Department of Hygiene and Epidemiology, University of Ioannina School of Medicine, Ioannina, Greece; Department of Primary Education, University of Ioannina, Ioannina, Greece;&amp;#xA;Department of Hygiene and Epidemiology, University of Ioannina School of Medicine, Ioannina, Greece;&amp;#xA;Department of Psychiatry, University of Oxford, Oxford, UK&amp;#xA;Department of Hygiene and Epidemiology, University of Ioannina School of Medicine, Ioannina, Greece;&lt;/Address&gt;&lt;Web_URL&gt;PM:25908686&lt;/Web_URL&gt;&lt;ZZ_JournalStdAbbrev&gt;&lt;f name="System"&gt;Evid.Based.Ment.Health&lt;/f&gt;&lt;/ZZ_JournalStdAbbrev&gt;&lt;ZZ_WorkformID&gt;1&lt;/ZZ_WorkformID&gt;&lt;/MDL&gt;&lt;/Cite&gt;&lt;/Refman&gt;</w:instrText>
      </w:r>
      <w:r w:rsidR="007A1FBF">
        <w:rPr>
          <w:rFonts w:ascii="Times New Roman" w:hAnsi="Times New Roman" w:cs="Times New Roman"/>
        </w:rPr>
        <w:fldChar w:fldCharType="separate"/>
      </w:r>
      <w:r w:rsidR="00C162A9" w:rsidRPr="00C162A9">
        <w:rPr>
          <w:rFonts w:ascii="Times New Roman" w:hAnsi="Times New Roman" w:cs="Times New Roman"/>
          <w:noProof/>
          <w:vertAlign w:val="superscript"/>
        </w:rPr>
        <w:t>3</w:t>
      </w:r>
      <w:r w:rsidR="007A1FBF">
        <w:rPr>
          <w:rFonts w:ascii="Times New Roman" w:hAnsi="Times New Roman" w:cs="Times New Roman"/>
        </w:rPr>
        <w:fldChar w:fldCharType="end"/>
      </w:r>
      <w:r w:rsidR="0055395F" w:rsidRPr="0055395F">
        <w:rPr>
          <w:rFonts w:ascii="Times New Roman" w:hAnsi="Times New Roman" w:cs="Times New Roman"/>
        </w:rPr>
        <w:t xml:space="preserve"> NMAs </w:t>
      </w:r>
      <w:r w:rsidR="00A82F3C" w:rsidRPr="0055395F">
        <w:rPr>
          <w:rFonts w:ascii="Times New Roman" w:hAnsi="Times New Roman" w:cs="Times New Roman"/>
        </w:rPr>
        <w:t xml:space="preserve">have </w:t>
      </w:r>
      <w:r w:rsidR="0055395F" w:rsidRPr="0055395F">
        <w:rPr>
          <w:rFonts w:ascii="Times New Roman" w:hAnsi="Times New Roman" w:cs="Times New Roman"/>
        </w:rPr>
        <w:t>beco</w:t>
      </w:r>
      <w:r w:rsidR="00A82F3C" w:rsidRPr="0055395F">
        <w:rPr>
          <w:rFonts w:ascii="Times New Roman" w:hAnsi="Times New Roman" w:cs="Times New Roman"/>
        </w:rPr>
        <w:t>me the gold standard to rank treatments based on their efficacy and or tolerability/acceptability.</w:t>
      </w:r>
      <w:r w:rsidR="0055395F">
        <w:rPr>
          <w:rFonts w:ascii="Times New Roman" w:hAnsi="Times New Roman" w:cs="Times New Roman"/>
        </w:rPr>
        <w:t xml:space="preserve"> Whereas</w:t>
      </w:r>
      <w:r w:rsidR="0055395F" w:rsidRPr="0055395F">
        <w:rPr>
          <w:rFonts w:ascii="Times New Roman" w:hAnsi="Times New Roman" w:cs="Times New Roman"/>
        </w:rPr>
        <w:t xml:space="preserve"> NMAs are nowadays </w:t>
      </w:r>
      <w:r w:rsidR="0055395F">
        <w:rPr>
          <w:rFonts w:ascii="Times New Roman" w:hAnsi="Times New Roman" w:cs="Times New Roman"/>
        </w:rPr>
        <w:t xml:space="preserve">quite </w:t>
      </w:r>
      <w:r w:rsidR="0055395F" w:rsidRPr="0055395F">
        <w:rPr>
          <w:rFonts w:ascii="Times New Roman" w:hAnsi="Times New Roman" w:cs="Times New Roman"/>
        </w:rPr>
        <w:t xml:space="preserve">popular </w:t>
      </w:r>
      <w:r w:rsidR="00E974E7">
        <w:rPr>
          <w:rFonts w:ascii="Times New Roman" w:hAnsi="Times New Roman" w:cs="Times New Roman"/>
        </w:rPr>
        <w:t>in the adult psychiatry literature</w:t>
      </w:r>
      <w:r w:rsidR="0055395F">
        <w:rPr>
          <w:rFonts w:ascii="Times New Roman" w:hAnsi="Times New Roman" w:cs="Times New Roman"/>
        </w:rPr>
        <w:t xml:space="preserve"> </w:t>
      </w:r>
      <w:r w:rsidR="0055395F" w:rsidRPr="0055395F">
        <w:rPr>
          <w:rFonts w:ascii="Times New Roman" w:hAnsi="Times New Roman" w:cs="Times New Roman"/>
        </w:rPr>
        <w:t xml:space="preserve">(as in the rest of medicine), they use in child </w:t>
      </w:r>
      <w:r w:rsidR="0055395F">
        <w:rPr>
          <w:rFonts w:ascii="Times New Roman" w:hAnsi="Times New Roman" w:cs="Times New Roman"/>
        </w:rPr>
        <w:t xml:space="preserve">and adolescent </w:t>
      </w:r>
      <w:r w:rsidR="0055395F" w:rsidRPr="0055395F">
        <w:rPr>
          <w:rFonts w:ascii="Times New Roman" w:hAnsi="Times New Roman" w:cs="Times New Roman"/>
        </w:rPr>
        <w:t>psychiatry</w:t>
      </w:r>
      <w:r w:rsidR="0055395F">
        <w:rPr>
          <w:rFonts w:ascii="Times New Roman" w:hAnsi="Times New Roman" w:cs="Times New Roman"/>
        </w:rPr>
        <w:t xml:space="preserve"> research</w:t>
      </w:r>
      <w:r w:rsidR="0055395F" w:rsidRPr="0055395F">
        <w:rPr>
          <w:rFonts w:ascii="Times New Roman" w:hAnsi="Times New Roman" w:cs="Times New Roman"/>
        </w:rPr>
        <w:t xml:space="preserve"> has been more limited, although </w:t>
      </w:r>
      <w:r w:rsidR="0055395F">
        <w:rPr>
          <w:rFonts w:ascii="Times New Roman" w:hAnsi="Times New Roman" w:cs="Times New Roman"/>
        </w:rPr>
        <w:t>the number of published NMAs is rapidl</w:t>
      </w:r>
      <w:r w:rsidR="006D4C36">
        <w:rPr>
          <w:rFonts w:ascii="Times New Roman" w:hAnsi="Times New Roman" w:cs="Times New Roman"/>
        </w:rPr>
        <w:t>y increasing. This trend is welcome and w</w:t>
      </w:r>
      <w:r w:rsidR="0055395F">
        <w:rPr>
          <w:rFonts w:ascii="Times New Roman" w:hAnsi="Times New Roman" w:cs="Times New Roman"/>
        </w:rPr>
        <w:t>e look forw</w:t>
      </w:r>
      <w:r w:rsidR="006D4C36">
        <w:rPr>
          <w:rFonts w:ascii="Times New Roman" w:hAnsi="Times New Roman" w:cs="Times New Roman"/>
        </w:rPr>
        <w:t xml:space="preserve">ard to further methodologically </w:t>
      </w:r>
      <w:r w:rsidR="0055395F">
        <w:rPr>
          <w:rFonts w:ascii="Times New Roman" w:hAnsi="Times New Roman" w:cs="Times New Roman"/>
        </w:rPr>
        <w:t>sound NMAs in the field.</w:t>
      </w:r>
    </w:p>
    <w:p w:rsidR="0008426A" w:rsidRDefault="0055395F" w:rsidP="0008426A">
      <w:pPr>
        <w:spacing w:line="480" w:lineRule="auto"/>
        <w:ind w:firstLine="720"/>
        <w:rPr>
          <w:rFonts w:ascii="Times New Roman" w:hAnsi="Times New Roman" w:cs="Times New Roman"/>
        </w:rPr>
      </w:pPr>
      <w:r>
        <w:rPr>
          <w:rFonts w:ascii="Times New Roman" w:hAnsi="Times New Roman" w:cs="Times New Roman"/>
        </w:rPr>
        <w:t xml:space="preserve">Finally, perhaps the most clinically relevant information from meta-analyses is the one which concerns specific types of patients, rather than the whole group of patients with a particular disorder. </w:t>
      </w:r>
      <w:r w:rsidR="004708E1">
        <w:rPr>
          <w:rFonts w:ascii="Times New Roman" w:hAnsi="Times New Roman" w:cs="Times New Roman"/>
        </w:rPr>
        <w:t>For instance, a</w:t>
      </w:r>
      <w:r>
        <w:rPr>
          <w:rFonts w:ascii="Times New Roman" w:hAnsi="Times New Roman" w:cs="Times New Roman"/>
        </w:rPr>
        <w:t xml:space="preserve"> practitioner treating Johnny, 8-year old with ADHD, tic</w:t>
      </w:r>
      <w:r w:rsidR="004708E1">
        <w:rPr>
          <w:rFonts w:ascii="Times New Roman" w:hAnsi="Times New Roman" w:cs="Times New Roman"/>
        </w:rPr>
        <w:t>s</w:t>
      </w:r>
      <w:r>
        <w:rPr>
          <w:rFonts w:ascii="Times New Roman" w:hAnsi="Times New Roman" w:cs="Times New Roman"/>
        </w:rPr>
        <w:t>, and IQ</w:t>
      </w:r>
      <w:r w:rsidR="002B2581">
        <w:rPr>
          <w:rFonts w:ascii="Times New Roman" w:hAnsi="Times New Roman" w:cs="Times New Roman"/>
        </w:rPr>
        <w:t xml:space="preserve"> </w:t>
      </w:r>
      <w:r>
        <w:rPr>
          <w:rFonts w:ascii="Times New Roman" w:hAnsi="Times New Roman" w:cs="Times New Roman"/>
        </w:rPr>
        <w:t>= 70, need</w:t>
      </w:r>
      <w:r w:rsidR="004708E1">
        <w:rPr>
          <w:rFonts w:ascii="Times New Roman" w:hAnsi="Times New Roman" w:cs="Times New Roman"/>
        </w:rPr>
        <w:t>s</w:t>
      </w:r>
      <w:r>
        <w:rPr>
          <w:rFonts w:ascii="Times New Roman" w:hAnsi="Times New Roman" w:cs="Times New Roman"/>
        </w:rPr>
        <w:t xml:space="preserve"> to know what is the best treatment for Johnny</w:t>
      </w:r>
      <w:r w:rsidR="004708E1">
        <w:rPr>
          <w:rFonts w:ascii="Times New Roman" w:hAnsi="Times New Roman" w:cs="Times New Roman"/>
        </w:rPr>
        <w:t>’</w:t>
      </w:r>
      <w:r w:rsidR="00D87AEA">
        <w:rPr>
          <w:rFonts w:ascii="Times New Roman" w:hAnsi="Times New Roman" w:cs="Times New Roman"/>
        </w:rPr>
        <w:t xml:space="preserve">s </w:t>
      </w:r>
      <w:r w:rsidR="004708E1">
        <w:rPr>
          <w:rFonts w:ascii="Times New Roman" w:hAnsi="Times New Roman" w:cs="Times New Roman"/>
        </w:rPr>
        <w:t>ADHD</w:t>
      </w:r>
      <w:r>
        <w:rPr>
          <w:rFonts w:ascii="Times New Roman" w:hAnsi="Times New Roman" w:cs="Times New Roman"/>
        </w:rPr>
        <w:t>, rather than for ADHD in general.</w:t>
      </w:r>
      <w:r w:rsidR="004708E1">
        <w:rPr>
          <w:rFonts w:ascii="Times New Roman" w:hAnsi="Times New Roman" w:cs="Times New Roman"/>
        </w:rPr>
        <w:t xml:space="preserve"> Subgroup and meta-regression analyses would allow addressing this need, but </w:t>
      </w:r>
      <w:r w:rsidR="00E974E7">
        <w:rPr>
          <w:rFonts w:ascii="Times New Roman" w:hAnsi="Times New Roman" w:cs="Times New Roman"/>
        </w:rPr>
        <w:t>it is</w:t>
      </w:r>
      <w:r w:rsidR="004708E1">
        <w:rPr>
          <w:rFonts w:ascii="Times New Roman" w:hAnsi="Times New Roman" w:cs="Times New Roman"/>
        </w:rPr>
        <w:t xml:space="preserve"> often challenging or impossible to </w:t>
      </w:r>
      <w:r w:rsidR="00E974E7">
        <w:rPr>
          <w:rFonts w:ascii="Times New Roman" w:hAnsi="Times New Roman" w:cs="Times New Roman"/>
        </w:rPr>
        <w:t xml:space="preserve">conduct them </w:t>
      </w:r>
      <w:r w:rsidR="004708E1">
        <w:rPr>
          <w:rFonts w:ascii="Times New Roman" w:hAnsi="Times New Roman" w:cs="Times New Roman"/>
        </w:rPr>
        <w:t>in standard meta-analyses that rely on summary statistics from individual studies (e.g., pooling effect sizes representing the ov</w:t>
      </w:r>
      <w:r w:rsidR="006D4C36">
        <w:rPr>
          <w:rFonts w:ascii="Times New Roman" w:hAnsi="Times New Roman" w:cs="Times New Roman"/>
        </w:rPr>
        <w:t>erall effect at the group level</w:t>
      </w:r>
      <w:r w:rsidR="004708E1">
        <w:rPr>
          <w:rFonts w:ascii="Times New Roman" w:hAnsi="Times New Roman" w:cs="Times New Roman"/>
        </w:rPr>
        <w:t>), due to lack of data. By contrast, meta-analyses</w:t>
      </w:r>
      <w:r w:rsidR="00E974E7">
        <w:rPr>
          <w:rFonts w:ascii="Times New Roman" w:hAnsi="Times New Roman" w:cs="Times New Roman"/>
        </w:rPr>
        <w:t xml:space="preserve"> based on </w:t>
      </w:r>
      <w:r w:rsidR="00E974E7">
        <w:rPr>
          <w:rFonts w:ascii="Times New Roman" w:hAnsi="Times New Roman" w:cs="Times New Roman"/>
        </w:rPr>
        <w:t xml:space="preserve">individual patient data (IPD) </w:t>
      </w:r>
      <w:r w:rsidR="004708E1">
        <w:rPr>
          <w:rFonts w:ascii="Times New Roman" w:hAnsi="Times New Roman" w:cs="Times New Roman"/>
        </w:rPr>
        <w:t>allow exploring the effect</w:t>
      </w:r>
      <w:r w:rsidR="00E974E7">
        <w:rPr>
          <w:rFonts w:ascii="Times New Roman" w:hAnsi="Times New Roman" w:cs="Times New Roman"/>
        </w:rPr>
        <w:t>s</w:t>
      </w:r>
      <w:r w:rsidR="004708E1">
        <w:rPr>
          <w:rFonts w:ascii="Times New Roman" w:hAnsi="Times New Roman" w:cs="Times New Roman"/>
        </w:rPr>
        <w:t xml:space="preserve"> of patient-related variables. However, it is often challenging to gather data related to individual study participants from study authors or drug manufacturer</w:t>
      </w:r>
      <w:r w:rsidR="006D4C36">
        <w:rPr>
          <w:rFonts w:ascii="Times New Roman" w:hAnsi="Times New Roman" w:cs="Times New Roman"/>
        </w:rPr>
        <w:t>s</w:t>
      </w:r>
      <w:r w:rsidR="004708E1">
        <w:rPr>
          <w:rFonts w:ascii="Times New Roman" w:hAnsi="Times New Roman" w:cs="Times New Roman"/>
        </w:rPr>
        <w:t xml:space="preserve">. </w:t>
      </w:r>
      <w:r w:rsidR="006D4C36">
        <w:rPr>
          <w:rFonts w:ascii="Times New Roman" w:hAnsi="Times New Roman" w:cs="Times New Roman"/>
        </w:rPr>
        <w:t>Indeed, a</w:t>
      </w:r>
      <w:r w:rsidR="004708E1">
        <w:rPr>
          <w:rFonts w:ascii="Times New Roman" w:hAnsi="Times New Roman" w:cs="Times New Roman"/>
        </w:rPr>
        <w:t xml:space="preserve"> recent study highlighted </w:t>
      </w:r>
      <w:r w:rsidR="0008426A">
        <w:rPr>
          <w:rFonts w:ascii="Times New Roman" w:hAnsi="Times New Roman" w:cs="Times New Roman"/>
        </w:rPr>
        <w:t xml:space="preserve">high degrees of variability in </w:t>
      </w:r>
      <w:r w:rsidR="004708E1">
        <w:rPr>
          <w:rFonts w:ascii="Times New Roman" w:hAnsi="Times New Roman" w:cs="Times New Roman"/>
        </w:rPr>
        <w:t xml:space="preserve">the commitment </w:t>
      </w:r>
      <w:r w:rsidR="0008426A">
        <w:rPr>
          <w:rFonts w:ascii="Times New Roman" w:hAnsi="Times New Roman" w:cs="Times New Roman"/>
        </w:rPr>
        <w:t>and procedure</w:t>
      </w:r>
      <w:r w:rsidR="00E974E7">
        <w:rPr>
          <w:rFonts w:ascii="Times New Roman" w:hAnsi="Times New Roman" w:cs="Times New Roman"/>
        </w:rPr>
        <w:t>s</w:t>
      </w:r>
      <w:r w:rsidR="0008426A">
        <w:rPr>
          <w:rFonts w:ascii="Times New Roman" w:hAnsi="Times New Roman" w:cs="Times New Roman"/>
        </w:rPr>
        <w:t xml:space="preserve"> </w:t>
      </w:r>
      <w:r w:rsidR="004708E1">
        <w:rPr>
          <w:rFonts w:ascii="Times New Roman" w:hAnsi="Times New Roman" w:cs="Times New Roman"/>
        </w:rPr>
        <w:t xml:space="preserve">to </w:t>
      </w:r>
      <w:r w:rsidR="0008426A">
        <w:rPr>
          <w:rFonts w:ascii="Times New Roman" w:hAnsi="Times New Roman" w:cs="Times New Roman"/>
        </w:rPr>
        <w:t>share individual patient data across several drug companies.</w:t>
      </w:r>
      <w:r w:rsidR="00C162A9">
        <w:rPr>
          <w:rFonts w:ascii="Times New Roman" w:hAnsi="Times New Roman" w:cs="Times New Roman"/>
        </w:rPr>
        <w:fldChar w:fldCharType="begin"/>
      </w:r>
      <w:r w:rsidR="00C162A9">
        <w:rPr>
          <w:rFonts w:ascii="Times New Roman" w:hAnsi="Times New Roman" w:cs="Times New Roman"/>
        </w:rPr>
        <w:instrText xml:space="preserve"> ADDIN REFMGR.CITE &lt;Refman&gt;&lt;Cite&gt;&lt;Author&gt;Goldacre&lt;/Author&gt;&lt;Year&gt;2017&lt;/Year&gt;&lt;RecNum&gt;1&lt;/RecNum&gt;&lt;IDText&gt;Pharmaceutical companies&amp;apos; policies on access to trial data, results, and methods: audit study&lt;/IDText&gt;&lt;MDL Ref_Type="Journal"&gt;&lt;Ref_Type&gt;Journal&lt;/Ref_Type&gt;&lt;Ref_ID&gt;1&lt;/Ref_ID&gt;&lt;Title_Primary&gt;Pharmaceutical companies&amp;apos; policies on access to trial data, results, and methods: audit study&lt;/Title_Primary&gt;&lt;Authors_Primary&gt;Goldacre,B.&lt;/Authors_Primary&gt;&lt;Authors_Primary&gt;Lane,S.&lt;/Authors_Primary&gt;&lt;Authors_Primary&gt;Mahtani,K.R.&lt;/Authors_Primary&gt;&lt;Authors_Primary&gt;Heneghan,C.&lt;/Authors_Primary&gt;&lt;Authors_Primary&gt;Onakpoya,I.&lt;/Authors_Primary&gt;&lt;Authors_Primary&gt;Bushfield,I.&lt;/Authors_Primary&gt;&lt;Authors_Primary&gt;Smeeth,L.&lt;/Authors_Primary&gt;&lt;Date_Primary&gt;2017/7/26&lt;/Date_Primary&gt;&lt;Keywords&gt;Clinical Audit&lt;/Keywords&gt;&lt;Keywords&gt;Clinical Trials as Topic&lt;/Keywords&gt;&lt;Keywords&gt;legislation &amp;amp; jurisprudence&lt;/Keywords&gt;&lt;Keywords&gt;Disclosure&lt;/Keywords&gt;&lt;Keywords&gt;Drug Industry&lt;/Keywords&gt;&lt;Keywords&gt;Drug and Narcotic Control&lt;/Keywords&gt;&lt;Keywords&gt;Humans&lt;/Keywords&gt;&lt;Reprint&gt;Not in File&lt;/Reprint&gt;&lt;Start_Page&gt;j3334&lt;/Start_Page&gt;&lt;Periodical&gt;BMJ&lt;/Periodical&gt;&lt;Volume&gt;358&lt;/Volume&gt;&lt;Address&gt;Centre for Evidence Based Medicine, Nuffield Department of Primary Care Health Sciences, University of Oxford, Oxford OX2 6GG, UK ben.goldacre@phc.ox.ac.uk&amp;#xA;Sense about Science, London, UK&amp;#xA;Centre for Evidence Based Medicine, Nuffield Department of Primary Care Health Sciences, University of Oxford, Oxford OX2 6GG, UK&amp;#xA;Centre for Evidence Based Medicine, Nuffield Department of Primary Care Health Sciences, University of Oxford, Oxford OX2 6GG, UK&amp;#xA;Centre for Evidence Based Medicine, Nuffield Department of Primary Care Health Sciences, University of Oxford, Oxford OX2 6GG, UK&amp;#xA;Sense about Science, London, UK&amp;#xA;London School of Hygiene and Tropical Medicine, London, UK&lt;/Address&gt;&lt;Web_URL&gt;PM:28747301&lt;/Web_URL&gt;&lt;ZZ_JournalStdAbbrev&gt;&lt;f name="System"&gt;BMJ&lt;/f&gt;&lt;/ZZ_JournalStdAbbrev&gt;&lt;ZZ_WorkformID&gt;1&lt;/ZZ_WorkformID&gt;&lt;/MDL&gt;&lt;/Cite&gt;&lt;/Refman&gt;</w:instrText>
      </w:r>
      <w:r w:rsidR="00C162A9">
        <w:rPr>
          <w:rFonts w:ascii="Times New Roman" w:hAnsi="Times New Roman" w:cs="Times New Roman"/>
        </w:rPr>
        <w:fldChar w:fldCharType="separate"/>
      </w:r>
      <w:r w:rsidR="00C162A9" w:rsidRPr="00C162A9">
        <w:rPr>
          <w:rFonts w:ascii="Times New Roman" w:hAnsi="Times New Roman" w:cs="Times New Roman"/>
          <w:noProof/>
          <w:vertAlign w:val="superscript"/>
        </w:rPr>
        <w:t>4</w:t>
      </w:r>
      <w:r w:rsidR="00C162A9">
        <w:rPr>
          <w:rFonts w:ascii="Times New Roman" w:hAnsi="Times New Roman" w:cs="Times New Roman"/>
        </w:rPr>
        <w:fldChar w:fldCharType="end"/>
      </w:r>
      <w:r w:rsidR="00E974E7">
        <w:rPr>
          <w:rFonts w:ascii="Times New Roman" w:hAnsi="Times New Roman" w:cs="Times New Roman"/>
        </w:rPr>
        <w:t xml:space="preserve"> </w:t>
      </w:r>
      <w:r w:rsidR="0008426A">
        <w:rPr>
          <w:rFonts w:ascii="Times New Roman" w:hAnsi="Times New Roman" w:cs="Times New Roman"/>
        </w:rPr>
        <w:t xml:space="preserve">A change </w:t>
      </w:r>
      <w:r w:rsidR="00E974E7">
        <w:rPr>
          <w:rFonts w:ascii="Times New Roman" w:hAnsi="Times New Roman" w:cs="Times New Roman"/>
        </w:rPr>
        <w:t xml:space="preserve">both </w:t>
      </w:r>
      <w:r w:rsidR="0008426A">
        <w:rPr>
          <w:rFonts w:ascii="Times New Roman" w:hAnsi="Times New Roman" w:cs="Times New Roman"/>
        </w:rPr>
        <w:t xml:space="preserve">in </w:t>
      </w:r>
      <w:r w:rsidR="00E974E7">
        <w:rPr>
          <w:rFonts w:ascii="Times New Roman" w:hAnsi="Times New Roman" w:cs="Times New Roman"/>
        </w:rPr>
        <w:t>mind-set</w:t>
      </w:r>
      <w:r w:rsidR="0008426A">
        <w:rPr>
          <w:rFonts w:ascii="Times New Roman" w:hAnsi="Times New Roman" w:cs="Times New Roman"/>
        </w:rPr>
        <w:t xml:space="preserve"> and policies seems needed to implement a culture of data sharing in the field. I</w:t>
      </w:r>
      <w:r w:rsidR="006D4C36">
        <w:rPr>
          <w:rFonts w:ascii="Times New Roman" w:hAnsi="Times New Roman" w:cs="Times New Roman"/>
        </w:rPr>
        <w:t>n this respect, i</w:t>
      </w:r>
      <w:r w:rsidR="0008426A">
        <w:rPr>
          <w:rFonts w:ascii="Times New Roman" w:hAnsi="Times New Roman" w:cs="Times New Roman"/>
        </w:rPr>
        <w:t>nitiatives from regulatory bodies</w:t>
      </w:r>
      <w:r w:rsidR="00E505B1">
        <w:rPr>
          <w:rFonts w:ascii="Times New Roman" w:hAnsi="Times New Roman" w:cs="Times New Roman"/>
        </w:rPr>
        <w:t xml:space="preserve"> may play a pivotal role</w:t>
      </w:r>
      <w:r w:rsidR="0008426A">
        <w:rPr>
          <w:rFonts w:ascii="Times New Roman" w:hAnsi="Times New Roman" w:cs="Times New Roman"/>
        </w:rPr>
        <w:t xml:space="preserve">. For example, the European Medicine Agency </w:t>
      </w:r>
      <w:r w:rsidR="00E505B1">
        <w:rPr>
          <w:rFonts w:ascii="Times New Roman" w:hAnsi="Times New Roman" w:cs="Times New Roman"/>
        </w:rPr>
        <w:t xml:space="preserve">has </w:t>
      </w:r>
      <w:r w:rsidR="0008426A">
        <w:rPr>
          <w:rFonts w:ascii="Times New Roman" w:hAnsi="Times New Roman" w:cs="Times New Roman"/>
        </w:rPr>
        <w:t xml:space="preserve">committed to publish the </w:t>
      </w:r>
      <w:r w:rsidR="0008426A">
        <w:rPr>
          <w:rFonts w:ascii="Times New Roman" w:hAnsi="Times New Roman" w:cs="Times New Roman"/>
        </w:rPr>
        <w:lastRenderedPageBreak/>
        <w:t xml:space="preserve">clinical study reports submitted to the Agency (starting from </w:t>
      </w:r>
      <w:r w:rsidR="007A1FBF">
        <w:rPr>
          <w:rFonts w:ascii="Times New Roman" w:hAnsi="Times New Roman" w:cs="Times New Roman"/>
        </w:rPr>
        <w:t>2</w:t>
      </w:r>
      <w:r w:rsidR="0008426A">
        <w:rPr>
          <w:rFonts w:ascii="Times New Roman" w:hAnsi="Times New Roman" w:cs="Times New Roman"/>
        </w:rPr>
        <w:t xml:space="preserve">015) and aims to implement a policy supporting the publication of individual patient data. Although this will not address the issue of gathering individual patient data from old studies, it will contribute to </w:t>
      </w:r>
      <w:r w:rsidR="00E505B1">
        <w:rPr>
          <w:rFonts w:ascii="Times New Roman" w:hAnsi="Times New Roman" w:cs="Times New Roman"/>
        </w:rPr>
        <w:t xml:space="preserve">a </w:t>
      </w:r>
      <w:r w:rsidR="0008426A">
        <w:rPr>
          <w:rFonts w:ascii="Times New Roman" w:hAnsi="Times New Roman" w:cs="Times New Roman"/>
        </w:rPr>
        <w:t xml:space="preserve">paradigm shift towards data sharing in the field. </w:t>
      </w:r>
    </w:p>
    <w:p w:rsidR="0008426A" w:rsidRPr="0055395F" w:rsidRDefault="0008426A" w:rsidP="002B2581">
      <w:pPr>
        <w:spacing w:line="480" w:lineRule="auto"/>
        <w:ind w:firstLine="720"/>
        <w:rPr>
          <w:rFonts w:ascii="Times New Roman" w:eastAsia="Times New Roman" w:hAnsi="Times New Roman" w:cs="Times New Roman"/>
          <w:lang w:eastAsia="en-GB"/>
        </w:rPr>
      </w:pPr>
      <w:r>
        <w:rPr>
          <w:rFonts w:ascii="Times New Roman" w:hAnsi="Times New Roman" w:cs="Times New Roman"/>
        </w:rPr>
        <w:t>In conc</w:t>
      </w:r>
      <w:bookmarkStart w:id="0" w:name="_GoBack"/>
      <w:bookmarkEnd w:id="0"/>
      <w:r>
        <w:rPr>
          <w:rFonts w:ascii="Times New Roman" w:hAnsi="Times New Roman" w:cs="Times New Roman"/>
        </w:rPr>
        <w:t xml:space="preserve">lusion, the meta-analysis by Strawn et al. is a welcome example of </w:t>
      </w:r>
      <w:r w:rsidR="00E505B1">
        <w:rPr>
          <w:rFonts w:ascii="Times New Roman" w:hAnsi="Times New Roman" w:cs="Times New Roman"/>
        </w:rPr>
        <w:t xml:space="preserve">a </w:t>
      </w:r>
      <w:r w:rsidR="002B2581">
        <w:rPr>
          <w:rFonts w:ascii="Times New Roman" w:hAnsi="Times New Roman" w:cs="Times New Roman"/>
        </w:rPr>
        <w:t xml:space="preserve">clinically </w:t>
      </w:r>
      <w:r w:rsidR="00E505B1">
        <w:rPr>
          <w:rFonts w:ascii="Times New Roman" w:hAnsi="Times New Roman" w:cs="Times New Roman"/>
        </w:rPr>
        <w:t>relevant</w:t>
      </w:r>
      <w:r w:rsidR="002B2581">
        <w:rPr>
          <w:rFonts w:ascii="Times New Roman" w:hAnsi="Times New Roman" w:cs="Times New Roman"/>
        </w:rPr>
        <w:t xml:space="preserve"> meta-analysis. </w:t>
      </w:r>
      <w:r w:rsidR="002B2581" w:rsidRPr="00E505B1">
        <w:rPr>
          <w:rFonts w:ascii="Times New Roman" w:hAnsi="Times New Roman" w:cs="Times New Roman"/>
          <w:i/>
        </w:rPr>
        <w:t>JAACAP</w:t>
      </w:r>
      <w:r w:rsidR="002B2581">
        <w:rPr>
          <w:rFonts w:ascii="Times New Roman" w:hAnsi="Times New Roman" w:cs="Times New Roman"/>
        </w:rPr>
        <w:t xml:space="preserve"> will continue supporting the publication of high level meta-analyses based on advan</w:t>
      </w:r>
      <w:r w:rsidR="00E505B1">
        <w:rPr>
          <w:rFonts w:ascii="Times New Roman" w:hAnsi="Times New Roman" w:cs="Times New Roman"/>
        </w:rPr>
        <w:t xml:space="preserve">ced analytic approaches aimed at providing </w:t>
      </w:r>
      <w:r w:rsidR="002B2581">
        <w:rPr>
          <w:rFonts w:ascii="Times New Roman" w:hAnsi="Times New Roman" w:cs="Times New Roman"/>
        </w:rPr>
        <w:t xml:space="preserve">clinically informative results. On a related vein, the </w:t>
      </w:r>
      <w:r w:rsidR="002B2581" w:rsidRPr="00E505B1">
        <w:rPr>
          <w:rFonts w:ascii="Times New Roman" w:hAnsi="Times New Roman" w:cs="Times New Roman"/>
          <w:i/>
        </w:rPr>
        <w:t>Journal</w:t>
      </w:r>
      <w:r w:rsidR="002B2581">
        <w:rPr>
          <w:rFonts w:ascii="Times New Roman" w:hAnsi="Times New Roman" w:cs="Times New Roman"/>
        </w:rPr>
        <w:t xml:space="preserve"> will encourage </w:t>
      </w:r>
      <w:r w:rsidR="00E505B1">
        <w:rPr>
          <w:rFonts w:ascii="Times New Roman" w:hAnsi="Times New Roman" w:cs="Times New Roman"/>
        </w:rPr>
        <w:t>study authors</w:t>
      </w:r>
      <w:r w:rsidR="002B2581">
        <w:rPr>
          <w:rFonts w:ascii="Times New Roman" w:hAnsi="Times New Roman" w:cs="Times New Roman"/>
        </w:rPr>
        <w:t xml:space="preserve"> </w:t>
      </w:r>
      <w:r w:rsidR="006D4C36">
        <w:rPr>
          <w:rFonts w:ascii="Times New Roman" w:hAnsi="Times New Roman" w:cs="Times New Roman"/>
        </w:rPr>
        <w:t xml:space="preserve">to </w:t>
      </w:r>
      <w:r w:rsidR="002B2581">
        <w:rPr>
          <w:rFonts w:ascii="Times New Roman" w:hAnsi="Times New Roman" w:cs="Times New Roman"/>
        </w:rPr>
        <w:t xml:space="preserve">provide access to individual patient data. More broadly, </w:t>
      </w:r>
      <w:r w:rsidR="002B2581" w:rsidRPr="00E505B1">
        <w:rPr>
          <w:rFonts w:ascii="Times New Roman" w:hAnsi="Times New Roman" w:cs="Times New Roman"/>
          <w:i/>
        </w:rPr>
        <w:t>JAACAP</w:t>
      </w:r>
      <w:r w:rsidR="002B2581">
        <w:rPr>
          <w:rFonts w:ascii="Times New Roman" w:hAnsi="Times New Roman" w:cs="Times New Roman"/>
        </w:rPr>
        <w:t xml:space="preserve"> will encourage and advocate for a research culture grounded on data sharing and transparency, aimed at generating the best available evidence supporting the daily clinical management of youth with mental health conditions. </w:t>
      </w:r>
    </w:p>
    <w:p w:rsidR="00716FDB" w:rsidRPr="009F283F" w:rsidRDefault="00716FDB" w:rsidP="00716FDB">
      <w:pPr>
        <w:spacing w:line="480" w:lineRule="auto"/>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w:t>
      </w:r>
    </w:p>
    <w:p w:rsidR="001226A1" w:rsidRDefault="001226A1" w:rsidP="001226A1">
      <w:pPr>
        <w:spacing w:line="480" w:lineRule="auto"/>
        <w:ind w:firstLine="720"/>
        <w:rPr>
          <w:rFonts w:ascii="Times New Roman" w:eastAsia="Times New Roman" w:hAnsi="Times New Roman" w:cs="Times New Roman"/>
          <w:lang w:eastAsia="en-GB"/>
        </w:rPr>
      </w:pPr>
    </w:p>
    <w:p w:rsidR="00416954" w:rsidRDefault="00416954" w:rsidP="001226A1">
      <w:pPr>
        <w:spacing w:line="480" w:lineRule="auto"/>
        <w:ind w:firstLine="720"/>
        <w:rPr>
          <w:rFonts w:ascii="Times New Roman" w:eastAsia="Times New Roman" w:hAnsi="Times New Roman" w:cs="Times New Roman"/>
          <w:lang w:eastAsia="en-GB"/>
        </w:rPr>
      </w:pPr>
    </w:p>
    <w:p w:rsidR="00416954" w:rsidRDefault="00416954" w:rsidP="001226A1">
      <w:pPr>
        <w:spacing w:line="480" w:lineRule="auto"/>
        <w:ind w:firstLine="720"/>
        <w:rPr>
          <w:rFonts w:ascii="Times New Roman" w:eastAsia="Times New Roman" w:hAnsi="Times New Roman" w:cs="Times New Roman"/>
          <w:lang w:eastAsia="en-GB"/>
        </w:rPr>
      </w:pPr>
    </w:p>
    <w:p w:rsidR="00416954" w:rsidRDefault="00416954" w:rsidP="001226A1">
      <w:pPr>
        <w:spacing w:line="480" w:lineRule="auto"/>
        <w:ind w:firstLine="720"/>
        <w:rPr>
          <w:rFonts w:ascii="Times New Roman" w:eastAsia="Times New Roman" w:hAnsi="Times New Roman" w:cs="Times New Roman"/>
          <w:lang w:eastAsia="en-GB"/>
        </w:rPr>
      </w:pPr>
    </w:p>
    <w:p w:rsidR="00416954" w:rsidRDefault="00416954" w:rsidP="001226A1">
      <w:pPr>
        <w:spacing w:line="480" w:lineRule="auto"/>
        <w:ind w:firstLine="720"/>
        <w:rPr>
          <w:rFonts w:ascii="Times New Roman" w:eastAsia="Times New Roman" w:hAnsi="Times New Roman" w:cs="Times New Roman"/>
          <w:lang w:eastAsia="en-GB"/>
        </w:rPr>
      </w:pPr>
    </w:p>
    <w:p w:rsidR="00416954" w:rsidRDefault="00416954" w:rsidP="001226A1">
      <w:pPr>
        <w:spacing w:line="480" w:lineRule="auto"/>
        <w:ind w:firstLine="720"/>
        <w:rPr>
          <w:rFonts w:ascii="Times New Roman" w:eastAsia="Times New Roman" w:hAnsi="Times New Roman" w:cs="Times New Roman"/>
          <w:lang w:eastAsia="en-GB"/>
        </w:rPr>
      </w:pPr>
    </w:p>
    <w:p w:rsidR="00416954" w:rsidRDefault="00416954" w:rsidP="001226A1">
      <w:pPr>
        <w:spacing w:line="480" w:lineRule="auto"/>
        <w:ind w:firstLine="720"/>
        <w:rPr>
          <w:rFonts w:ascii="Times New Roman" w:eastAsia="Times New Roman" w:hAnsi="Times New Roman" w:cs="Times New Roman"/>
          <w:lang w:eastAsia="en-GB"/>
        </w:rPr>
      </w:pPr>
    </w:p>
    <w:p w:rsidR="00416954" w:rsidRDefault="00416954" w:rsidP="001226A1">
      <w:pPr>
        <w:spacing w:line="480" w:lineRule="auto"/>
        <w:ind w:firstLine="720"/>
        <w:rPr>
          <w:rFonts w:ascii="Times New Roman" w:eastAsia="Times New Roman" w:hAnsi="Times New Roman" w:cs="Times New Roman"/>
          <w:lang w:eastAsia="en-GB"/>
        </w:rPr>
      </w:pPr>
    </w:p>
    <w:p w:rsidR="00EA3CB0" w:rsidRDefault="00EA3CB0" w:rsidP="00866391">
      <w:pPr>
        <w:spacing w:line="480" w:lineRule="auto"/>
        <w:rPr>
          <w:rFonts w:ascii="Times New Roman" w:eastAsia="Times New Roman" w:hAnsi="Times New Roman" w:cs="Times New Roman"/>
          <w:lang w:eastAsia="en-GB"/>
        </w:rPr>
      </w:pPr>
    </w:p>
    <w:p w:rsidR="00EA3CB0" w:rsidRDefault="00EA3CB0" w:rsidP="00866391">
      <w:pPr>
        <w:spacing w:line="480" w:lineRule="auto"/>
        <w:rPr>
          <w:rFonts w:ascii="Times New Roman" w:eastAsia="Times New Roman" w:hAnsi="Times New Roman" w:cs="Times New Roman"/>
          <w:lang w:eastAsia="en-GB"/>
        </w:rPr>
      </w:pPr>
    </w:p>
    <w:p w:rsidR="00116ACB" w:rsidRPr="00383454" w:rsidRDefault="00116ACB" w:rsidP="00383454">
      <w:pPr>
        <w:spacing w:line="480" w:lineRule="auto"/>
        <w:ind w:firstLine="720"/>
        <w:rPr>
          <w:rFonts w:ascii="Times New Roman" w:hAnsi="Times New Roman" w:cs="Times New Roman"/>
        </w:rPr>
      </w:pPr>
    </w:p>
    <w:p w:rsidR="007E1E92" w:rsidRDefault="007E1E92" w:rsidP="00FB42ED">
      <w:pPr>
        <w:spacing w:line="480" w:lineRule="auto"/>
        <w:rPr>
          <w:rFonts w:ascii="Times New Roman" w:hAnsi="Times New Roman" w:cs="Times New Roman"/>
        </w:rPr>
      </w:pPr>
    </w:p>
    <w:p w:rsidR="007E1E92" w:rsidRDefault="007E1E92" w:rsidP="00FB42ED">
      <w:pPr>
        <w:spacing w:line="480" w:lineRule="auto"/>
        <w:rPr>
          <w:rFonts w:ascii="Times New Roman" w:hAnsi="Times New Roman" w:cs="Times New Roman"/>
        </w:rPr>
      </w:pPr>
    </w:p>
    <w:p w:rsidR="00C162A9" w:rsidRPr="00C162A9" w:rsidRDefault="007E1E92" w:rsidP="00C162A9">
      <w:pPr>
        <w:jc w:val="center"/>
        <w:rPr>
          <w:rFonts w:ascii="Calibri" w:hAnsi="Calibri" w:cs="Times New Roman"/>
          <w:noProof/>
        </w:rPr>
      </w:pPr>
      <w:r>
        <w:rPr>
          <w:rFonts w:ascii="Times New Roman" w:hAnsi="Times New Roman" w:cs="Times New Roman"/>
        </w:rPr>
        <w:lastRenderedPageBreak/>
        <w:fldChar w:fldCharType="begin"/>
      </w:r>
      <w:r>
        <w:rPr>
          <w:rFonts w:ascii="Times New Roman" w:hAnsi="Times New Roman" w:cs="Times New Roman"/>
        </w:rPr>
        <w:instrText xml:space="preserve"> ADDIN REFMGR.REFLIST </w:instrText>
      </w:r>
      <w:r>
        <w:rPr>
          <w:rFonts w:ascii="Times New Roman" w:hAnsi="Times New Roman" w:cs="Times New Roman"/>
        </w:rPr>
        <w:fldChar w:fldCharType="separate"/>
      </w:r>
      <w:r w:rsidR="00C162A9" w:rsidRPr="00C162A9">
        <w:rPr>
          <w:rFonts w:ascii="Calibri" w:hAnsi="Calibri" w:cs="Times New Roman"/>
          <w:noProof/>
        </w:rPr>
        <w:t>Reference List</w:t>
      </w:r>
    </w:p>
    <w:p w:rsidR="00C162A9" w:rsidRPr="00C162A9" w:rsidRDefault="00C162A9" w:rsidP="00C162A9">
      <w:pPr>
        <w:jc w:val="center"/>
        <w:rPr>
          <w:rFonts w:ascii="Calibri" w:hAnsi="Calibri" w:cs="Times New Roman"/>
          <w:noProof/>
        </w:rPr>
      </w:pPr>
    </w:p>
    <w:p w:rsidR="00C162A9" w:rsidRDefault="00C162A9" w:rsidP="00C162A9">
      <w:pPr>
        <w:tabs>
          <w:tab w:val="right" w:pos="360"/>
          <w:tab w:val="left" w:pos="540"/>
        </w:tabs>
        <w:spacing w:after="240"/>
        <w:ind w:left="540" w:hanging="540"/>
        <w:rPr>
          <w:rFonts w:ascii="Calibri" w:hAnsi="Calibri" w:cs="Times New Roman"/>
          <w:noProof/>
        </w:rPr>
      </w:pPr>
      <w:r>
        <w:rPr>
          <w:rFonts w:ascii="Calibri" w:hAnsi="Calibri" w:cs="Times New Roman"/>
          <w:noProof/>
        </w:rPr>
        <w:tab/>
        <w:t xml:space="preserve">(1) </w:t>
      </w:r>
      <w:r>
        <w:rPr>
          <w:rFonts w:ascii="Calibri" w:hAnsi="Calibri" w:cs="Times New Roman"/>
          <w:noProof/>
        </w:rPr>
        <w:tab/>
        <w:t xml:space="preserve">Strawn. </w:t>
      </w:r>
      <w:r w:rsidRPr="00C162A9">
        <w:rPr>
          <w:rFonts w:ascii="Calibri" w:hAnsi="Calibri" w:cs="Times New Roman"/>
          <w:i/>
          <w:noProof/>
        </w:rPr>
        <w:t xml:space="preserve">JAACAP </w:t>
      </w:r>
      <w:r>
        <w:rPr>
          <w:rFonts w:ascii="Calibri" w:hAnsi="Calibri" w:cs="Times New Roman"/>
          <w:noProof/>
        </w:rPr>
        <w:t>[serial online] 2018.</w:t>
      </w:r>
    </w:p>
    <w:p w:rsidR="00C162A9" w:rsidRDefault="00C162A9" w:rsidP="00C162A9">
      <w:pPr>
        <w:tabs>
          <w:tab w:val="right" w:pos="360"/>
          <w:tab w:val="left" w:pos="540"/>
        </w:tabs>
        <w:spacing w:after="240"/>
        <w:ind w:left="540" w:hanging="540"/>
        <w:rPr>
          <w:rFonts w:ascii="Calibri" w:hAnsi="Calibri" w:cs="Times New Roman"/>
          <w:noProof/>
        </w:rPr>
      </w:pPr>
      <w:r>
        <w:rPr>
          <w:rFonts w:ascii="Calibri" w:hAnsi="Calibri" w:cs="Times New Roman"/>
          <w:noProof/>
        </w:rPr>
        <w:tab/>
        <w:t xml:space="preserve">(2) </w:t>
      </w:r>
      <w:r>
        <w:rPr>
          <w:rFonts w:ascii="Calibri" w:hAnsi="Calibri" w:cs="Times New Roman"/>
          <w:noProof/>
        </w:rPr>
        <w:tab/>
        <w:t xml:space="preserve">Storebo OJ, Ramstad E, Krogh HB et al. Methylphenidate for children and adolescents with attention deficit hyperactivity disorder (ADHD). </w:t>
      </w:r>
      <w:r w:rsidRPr="00C162A9">
        <w:rPr>
          <w:rFonts w:ascii="Calibri" w:hAnsi="Calibri" w:cs="Times New Roman"/>
          <w:i/>
          <w:noProof/>
        </w:rPr>
        <w:t>Cochrane Database Syst Rev</w:t>
      </w:r>
      <w:r>
        <w:rPr>
          <w:rFonts w:ascii="Calibri" w:hAnsi="Calibri" w:cs="Times New Roman"/>
          <w:noProof/>
        </w:rPr>
        <w:t xml:space="preserve"> 2015;CD009885.</w:t>
      </w:r>
    </w:p>
    <w:p w:rsidR="00C162A9" w:rsidRDefault="00C162A9" w:rsidP="00C162A9">
      <w:pPr>
        <w:tabs>
          <w:tab w:val="right" w:pos="360"/>
          <w:tab w:val="left" w:pos="540"/>
        </w:tabs>
        <w:spacing w:after="240"/>
        <w:ind w:left="540" w:hanging="540"/>
        <w:rPr>
          <w:rFonts w:ascii="Calibri" w:hAnsi="Calibri" w:cs="Times New Roman"/>
          <w:noProof/>
        </w:rPr>
      </w:pPr>
      <w:r>
        <w:rPr>
          <w:rFonts w:ascii="Calibri" w:hAnsi="Calibri" w:cs="Times New Roman"/>
          <w:noProof/>
        </w:rPr>
        <w:tab/>
        <w:t xml:space="preserve">(3) </w:t>
      </w:r>
      <w:r>
        <w:rPr>
          <w:rFonts w:ascii="Calibri" w:hAnsi="Calibri" w:cs="Times New Roman"/>
          <w:noProof/>
        </w:rPr>
        <w:tab/>
        <w:t xml:space="preserve">Mavridis D, Giannatsi M, Cipriani A, Salanti G. A primer on network meta-analysis with emphasis on mental health. </w:t>
      </w:r>
      <w:r w:rsidRPr="00C162A9">
        <w:rPr>
          <w:rFonts w:ascii="Calibri" w:hAnsi="Calibri" w:cs="Times New Roman"/>
          <w:i/>
          <w:noProof/>
        </w:rPr>
        <w:t>Evid Based Ment Health</w:t>
      </w:r>
      <w:r>
        <w:rPr>
          <w:rFonts w:ascii="Calibri" w:hAnsi="Calibri" w:cs="Times New Roman"/>
          <w:noProof/>
        </w:rPr>
        <w:t xml:space="preserve"> 2015;18:40-46.</w:t>
      </w:r>
    </w:p>
    <w:p w:rsidR="00C162A9" w:rsidRDefault="00C162A9" w:rsidP="00C162A9">
      <w:pPr>
        <w:tabs>
          <w:tab w:val="right" w:pos="360"/>
          <w:tab w:val="left" w:pos="540"/>
        </w:tabs>
        <w:ind w:left="540" w:hanging="540"/>
        <w:rPr>
          <w:rFonts w:ascii="Calibri" w:hAnsi="Calibri" w:cs="Times New Roman"/>
          <w:noProof/>
        </w:rPr>
      </w:pPr>
      <w:r>
        <w:rPr>
          <w:rFonts w:ascii="Calibri" w:hAnsi="Calibri" w:cs="Times New Roman"/>
          <w:noProof/>
        </w:rPr>
        <w:tab/>
        <w:t xml:space="preserve">(4) </w:t>
      </w:r>
      <w:r>
        <w:rPr>
          <w:rFonts w:ascii="Calibri" w:hAnsi="Calibri" w:cs="Times New Roman"/>
          <w:noProof/>
        </w:rPr>
        <w:tab/>
        <w:t xml:space="preserve">Goldacre B, Lane S, Mahtani KR et al. Pharmaceutical companies' policies on access to trial data, results, and methods: audit study. </w:t>
      </w:r>
      <w:r w:rsidRPr="00C162A9">
        <w:rPr>
          <w:rFonts w:ascii="Calibri" w:hAnsi="Calibri" w:cs="Times New Roman"/>
          <w:i/>
          <w:noProof/>
        </w:rPr>
        <w:t>BMJ</w:t>
      </w:r>
      <w:r>
        <w:rPr>
          <w:rFonts w:ascii="Calibri" w:hAnsi="Calibri" w:cs="Times New Roman"/>
          <w:noProof/>
        </w:rPr>
        <w:t xml:space="preserve"> 2017;358:j3334.</w:t>
      </w:r>
    </w:p>
    <w:p w:rsidR="00C162A9" w:rsidRDefault="00C162A9" w:rsidP="00C162A9">
      <w:pPr>
        <w:tabs>
          <w:tab w:val="right" w:pos="360"/>
          <w:tab w:val="left" w:pos="540"/>
        </w:tabs>
        <w:ind w:left="540" w:hanging="540"/>
        <w:rPr>
          <w:rFonts w:ascii="Calibri" w:hAnsi="Calibri" w:cs="Times New Roman"/>
          <w:noProof/>
        </w:rPr>
      </w:pPr>
    </w:p>
    <w:p w:rsidR="004670BD" w:rsidRPr="00FB42ED" w:rsidRDefault="007E1E92" w:rsidP="00FB42ED">
      <w:pPr>
        <w:spacing w:line="480" w:lineRule="auto"/>
        <w:rPr>
          <w:rFonts w:ascii="Times New Roman" w:hAnsi="Times New Roman" w:cs="Times New Roman"/>
        </w:rPr>
      </w:pPr>
      <w:r>
        <w:rPr>
          <w:rFonts w:ascii="Times New Roman" w:hAnsi="Times New Roman" w:cs="Times New Roman"/>
        </w:rPr>
        <w:fldChar w:fldCharType="end"/>
      </w:r>
    </w:p>
    <w:sectPr w:rsidR="004670BD" w:rsidRPr="00FB42ED" w:rsidSect="00374B7E">
      <w:headerReference w:type="even" r:id="rId8"/>
      <w:headerReference w:type="default" r:id="rId9"/>
      <w:footerReference w:type="even" r:id="rId10"/>
      <w:footerReference w:type="defaul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33A" w:rsidRDefault="0050633A" w:rsidP="007D0D26">
      <w:r>
        <w:separator/>
      </w:r>
    </w:p>
  </w:endnote>
  <w:endnote w:type="continuationSeparator" w:id="0">
    <w:p w:rsidR="0050633A" w:rsidRDefault="0050633A" w:rsidP="007D0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Minchofalt">
    <w:altName w:val="Arial Unicode MS"/>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99676573"/>
      <w:docPartObj>
        <w:docPartGallery w:val="Page Numbers (Bottom of Page)"/>
        <w:docPartUnique/>
      </w:docPartObj>
    </w:sdtPr>
    <w:sdtEndPr>
      <w:rPr>
        <w:rStyle w:val="PageNumber"/>
      </w:rPr>
    </w:sdtEndPr>
    <w:sdtContent>
      <w:p w:rsidR="007D0D26" w:rsidRDefault="007D0D26" w:rsidP="00DD40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D0D26" w:rsidRDefault="007D0D26" w:rsidP="007D0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D26" w:rsidRDefault="007D0D26" w:rsidP="00DD401A">
    <w:pPr>
      <w:pStyle w:val="Footer"/>
      <w:framePr w:wrap="none" w:vAnchor="text" w:hAnchor="margin" w:xAlign="right" w:y="1"/>
      <w:rPr>
        <w:rStyle w:val="PageNumber"/>
      </w:rPr>
    </w:pPr>
  </w:p>
  <w:p w:rsidR="007D0D26" w:rsidRDefault="007D0D26" w:rsidP="007D0D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33A" w:rsidRDefault="0050633A" w:rsidP="007D0D26">
      <w:r>
        <w:separator/>
      </w:r>
    </w:p>
  </w:footnote>
  <w:footnote w:type="continuationSeparator" w:id="0">
    <w:p w:rsidR="0050633A" w:rsidRDefault="0050633A" w:rsidP="007D0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71487075"/>
      <w:docPartObj>
        <w:docPartGallery w:val="Page Numbers (Top of Page)"/>
        <w:docPartUnique/>
      </w:docPartObj>
    </w:sdtPr>
    <w:sdtEndPr>
      <w:rPr>
        <w:rStyle w:val="PageNumber"/>
      </w:rPr>
    </w:sdtEndPr>
    <w:sdtContent>
      <w:p w:rsidR="007D0D26" w:rsidRDefault="007D0D26" w:rsidP="00374B7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D0D26" w:rsidRDefault="007D0D26" w:rsidP="007D0D2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69202884"/>
      <w:docPartObj>
        <w:docPartGallery w:val="Page Numbers (Top of Page)"/>
        <w:docPartUnique/>
      </w:docPartObj>
    </w:sdtPr>
    <w:sdtEndPr>
      <w:rPr>
        <w:rStyle w:val="PageNumber"/>
        <w:rFonts w:ascii="Times New Roman" w:hAnsi="Times New Roman" w:cs="Times New Roman"/>
      </w:rPr>
    </w:sdtEndPr>
    <w:sdtContent>
      <w:p w:rsidR="00374B7E" w:rsidRPr="00374B7E" w:rsidRDefault="00374B7E" w:rsidP="00280A28">
        <w:pPr>
          <w:pStyle w:val="Header"/>
          <w:framePr w:wrap="none" w:vAnchor="text" w:hAnchor="margin" w:xAlign="right" w:y="1"/>
          <w:rPr>
            <w:rStyle w:val="PageNumber"/>
            <w:rFonts w:ascii="Times New Roman" w:hAnsi="Times New Roman" w:cs="Times New Roman"/>
          </w:rPr>
        </w:pPr>
        <w:r>
          <w:rPr>
            <w:rStyle w:val="PageNumber"/>
          </w:rPr>
          <w:t xml:space="preserve">                                                                                                                                                                    </w:t>
        </w:r>
        <w:r w:rsidRPr="00374B7E">
          <w:rPr>
            <w:rStyle w:val="PageNumber"/>
            <w:rFonts w:ascii="Times New Roman" w:hAnsi="Times New Roman" w:cs="Times New Roman"/>
          </w:rPr>
          <w:fldChar w:fldCharType="begin"/>
        </w:r>
        <w:r w:rsidRPr="00374B7E">
          <w:rPr>
            <w:rStyle w:val="PageNumber"/>
            <w:rFonts w:ascii="Times New Roman" w:hAnsi="Times New Roman" w:cs="Times New Roman"/>
          </w:rPr>
          <w:instrText xml:space="preserve"> PAGE </w:instrText>
        </w:r>
        <w:r w:rsidRPr="00374B7E">
          <w:rPr>
            <w:rStyle w:val="PageNumber"/>
            <w:rFonts w:ascii="Times New Roman" w:hAnsi="Times New Roman" w:cs="Times New Roman"/>
          </w:rPr>
          <w:fldChar w:fldCharType="separate"/>
        </w:r>
        <w:r w:rsidRPr="00374B7E">
          <w:rPr>
            <w:rStyle w:val="PageNumber"/>
            <w:rFonts w:ascii="Times New Roman" w:hAnsi="Times New Roman" w:cs="Times New Roman"/>
            <w:noProof/>
          </w:rPr>
          <w:t>4</w:t>
        </w:r>
        <w:r w:rsidRPr="00374B7E">
          <w:rPr>
            <w:rStyle w:val="PageNumber"/>
            <w:rFonts w:ascii="Times New Roman" w:hAnsi="Times New Roman" w:cs="Times New Roman"/>
          </w:rPr>
          <w:fldChar w:fldCharType="end"/>
        </w:r>
      </w:p>
    </w:sdtContent>
  </w:sdt>
  <w:p w:rsidR="007D0D26" w:rsidRPr="00374B7E" w:rsidRDefault="007D0D26" w:rsidP="00374B7E">
    <w:pPr>
      <w:pStyle w:val="Header"/>
      <w:framePr w:wrap="none" w:vAnchor="text" w:hAnchor="margin" w:xAlign="right" w:y="1"/>
      <w:ind w:right="360"/>
      <w:rPr>
        <w:rStyle w:val="PageNumber"/>
        <w:rFonts w:ascii="Times New Roman" w:hAnsi="Times New Roman" w:cs="Times New Roman"/>
      </w:rPr>
    </w:pPr>
  </w:p>
  <w:p w:rsidR="007D0D26" w:rsidRPr="00374B7E" w:rsidRDefault="00374B7E" w:rsidP="007D0D26">
    <w:pPr>
      <w:pStyle w:val="Header"/>
      <w:ind w:right="360"/>
      <w:rPr>
        <w:rFonts w:ascii="Times New Roman" w:hAnsi="Times New Roman" w:cs="Times New Roman"/>
      </w:rPr>
    </w:pPr>
    <w:r w:rsidRPr="00374B7E">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4F30B1"/>
    <w:multiLevelType w:val="hybridMultilevel"/>
    <w:tmpl w:val="1B806CA2"/>
    <w:lvl w:ilvl="0" w:tplc="22B039FE">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activeWritingStyle w:appName="MSWord" w:lang="fr-FR" w:vendorID="64" w:dllVersion="6" w:nlCheck="1" w:checkStyle="0"/>
  <w:activeWritingStyle w:appName="MSWord" w:lang="en-GB" w:vendorID="64" w:dllVersion="6" w:nlCheck="1" w:checkStyle="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JAMA&lt;/Style&gt;&lt;LeftDelim&gt;{&lt;/LeftDelim&gt;&lt;RightDelim&gt;}&lt;/RightDelim&gt;&lt;FontName&gt;Calibri&lt;/FontName&gt;&lt;FontSize&gt;12&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ALL_from_230118&lt;/item&gt;&lt;/Libraries&gt;&lt;/ENLibraries&gt;"/>
  </w:docVars>
  <w:rsids>
    <w:rsidRoot w:val="004670BD"/>
    <w:rsid w:val="0008426A"/>
    <w:rsid w:val="00084433"/>
    <w:rsid w:val="000A1ACA"/>
    <w:rsid w:val="000F1FCB"/>
    <w:rsid w:val="000F58DE"/>
    <w:rsid w:val="00116ACB"/>
    <w:rsid w:val="001226A1"/>
    <w:rsid w:val="0013430E"/>
    <w:rsid w:val="00151C4E"/>
    <w:rsid w:val="00167A10"/>
    <w:rsid w:val="001D1F6D"/>
    <w:rsid w:val="00256C00"/>
    <w:rsid w:val="0027164E"/>
    <w:rsid w:val="0027200B"/>
    <w:rsid w:val="002964FC"/>
    <w:rsid w:val="002B2581"/>
    <w:rsid w:val="002D4DEA"/>
    <w:rsid w:val="002F2802"/>
    <w:rsid w:val="00336AA1"/>
    <w:rsid w:val="00363E80"/>
    <w:rsid w:val="00374B7E"/>
    <w:rsid w:val="003812E0"/>
    <w:rsid w:val="00383454"/>
    <w:rsid w:val="003D15C4"/>
    <w:rsid w:val="003E76A3"/>
    <w:rsid w:val="003F733A"/>
    <w:rsid w:val="0041092A"/>
    <w:rsid w:val="00416954"/>
    <w:rsid w:val="00460BD7"/>
    <w:rsid w:val="004670BD"/>
    <w:rsid w:val="004708E1"/>
    <w:rsid w:val="004731F9"/>
    <w:rsid w:val="004972B3"/>
    <w:rsid w:val="0050633A"/>
    <w:rsid w:val="0055395F"/>
    <w:rsid w:val="00575E28"/>
    <w:rsid w:val="00594D0C"/>
    <w:rsid w:val="00597A0D"/>
    <w:rsid w:val="005B236D"/>
    <w:rsid w:val="005C391A"/>
    <w:rsid w:val="005F5A55"/>
    <w:rsid w:val="0060037F"/>
    <w:rsid w:val="00624A10"/>
    <w:rsid w:val="00624EF1"/>
    <w:rsid w:val="0064792D"/>
    <w:rsid w:val="00692C27"/>
    <w:rsid w:val="00693409"/>
    <w:rsid w:val="006C7389"/>
    <w:rsid w:val="006D4C36"/>
    <w:rsid w:val="006E0EC4"/>
    <w:rsid w:val="00716FDB"/>
    <w:rsid w:val="00740B20"/>
    <w:rsid w:val="00760A54"/>
    <w:rsid w:val="00775398"/>
    <w:rsid w:val="007A1FBF"/>
    <w:rsid w:val="007D0D26"/>
    <w:rsid w:val="007E1E92"/>
    <w:rsid w:val="007E47B1"/>
    <w:rsid w:val="007F2C45"/>
    <w:rsid w:val="007F2E2F"/>
    <w:rsid w:val="00866391"/>
    <w:rsid w:val="0086797F"/>
    <w:rsid w:val="00873022"/>
    <w:rsid w:val="00881FAD"/>
    <w:rsid w:val="008922E4"/>
    <w:rsid w:val="0089465B"/>
    <w:rsid w:val="008954E0"/>
    <w:rsid w:val="008B1CE8"/>
    <w:rsid w:val="008D4EE4"/>
    <w:rsid w:val="008D6359"/>
    <w:rsid w:val="00915BB3"/>
    <w:rsid w:val="00977D1B"/>
    <w:rsid w:val="009808DE"/>
    <w:rsid w:val="00991503"/>
    <w:rsid w:val="0099766F"/>
    <w:rsid w:val="009F283F"/>
    <w:rsid w:val="009F3D7D"/>
    <w:rsid w:val="009F7CF1"/>
    <w:rsid w:val="00A27C46"/>
    <w:rsid w:val="00A52437"/>
    <w:rsid w:val="00A539D6"/>
    <w:rsid w:val="00A82F3C"/>
    <w:rsid w:val="00A8578E"/>
    <w:rsid w:val="00B8280D"/>
    <w:rsid w:val="00B95088"/>
    <w:rsid w:val="00BD216F"/>
    <w:rsid w:val="00BD4F5F"/>
    <w:rsid w:val="00BF6179"/>
    <w:rsid w:val="00BF7EDA"/>
    <w:rsid w:val="00C004F7"/>
    <w:rsid w:val="00C162A9"/>
    <w:rsid w:val="00C4278D"/>
    <w:rsid w:val="00C60F1D"/>
    <w:rsid w:val="00C65A57"/>
    <w:rsid w:val="00C82FAD"/>
    <w:rsid w:val="00C93430"/>
    <w:rsid w:val="00CE7D0C"/>
    <w:rsid w:val="00D11B99"/>
    <w:rsid w:val="00D249F9"/>
    <w:rsid w:val="00D35228"/>
    <w:rsid w:val="00D65A37"/>
    <w:rsid w:val="00D8668B"/>
    <w:rsid w:val="00D87AEA"/>
    <w:rsid w:val="00DC1D32"/>
    <w:rsid w:val="00E02546"/>
    <w:rsid w:val="00E22B33"/>
    <w:rsid w:val="00E31CA0"/>
    <w:rsid w:val="00E505B1"/>
    <w:rsid w:val="00E74395"/>
    <w:rsid w:val="00E96E8D"/>
    <w:rsid w:val="00E974E7"/>
    <w:rsid w:val="00EA3CB0"/>
    <w:rsid w:val="00ED50AF"/>
    <w:rsid w:val="00EE6E32"/>
    <w:rsid w:val="00F315A4"/>
    <w:rsid w:val="00F37851"/>
    <w:rsid w:val="00F378C4"/>
    <w:rsid w:val="00F4118C"/>
    <w:rsid w:val="00F52270"/>
    <w:rsid w:val="00F55714"/>
    <w:rsid w:val="00F57149"/>
    <w:rsid w:val="00F65C1E"/>
    <w:rsid w:val="00FA1458"/>
    <w:rsid w:val="00FB4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23C4"/>
  <w15:chartTrackingRefBased/>
  <w15:docId w15:val="{4969B949-B4DE-E648-AE88-C6F466B5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8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D26"/>
    <w:pPr>
      <w:tabs>
        <w:tab w:val="center" w:pos="4513"/>
        <w:tab w:val="right" w:pos="9026"/>
      </w:tabs>
    </w:pPr>
  </w:style>
  <w:style w:type="character" w:customStyle="1" w:styleId="HeaderChar">
    <w:name w:val="Header Char"/>
    <w:basedOn w:val="DefaultParagraphFont"/>
    <w:link w:val="Header"/>
    <w:uiPriority w:val="99"/>
    <w:rsid w:val="007D0D26"/>
  </w:style>
  <w:style w:type="character" w:styleId="PageNumber">
    <w:name w:val="page number"/>
    <w:basedOn w:val="DefaultParagraphFont"/>
    <w:uiPriority w:val="99"/>
    <w:semiHidden/>
    <w:unhideWhenUsed/>
    <w:rsid w:val="007D0D26"/>
  </w:style>
  <w:style w:type="paragraph" w:styleId="Footer">
    <w:name w:val="footer"/>
    <w:basedOn w:val="Normal"/>
    <w:link w:val="FooterChar"/>
    <w:uiPriority w:val="99"/>
    <w:unhideWhenUsed/>
    <w:rsid w:val="007D0D26"/>
    <w:pPr>
      <w:tabs>
        <w:tab w:val="center" w:pos="4513"/>
        <w:tab w:val="right" w:pos="9026"/>
      </w:tabs>
    </w:pPr>
  </w:style>
  <w:style w:type="character" w:customStyle="1" w:styleId="FooterChar">
    <w:name w:val="Footer Char"/>
    <w:basedOn w:val="DefaultParagraphFont"/>
    <w:link w:val="Footer"/>
    <w:uiPriority w:val="99"/>
    <w:rsid w:val="007D0D26"/>
  </w:style>
  <w:style w:type="character" w:styleId="Hyperlink">
    <w:name w:val="Hyperlink"/>
    <w:basedOn w:val="DefaultParagraphFont"/>
    <w:uiPriority w:val="99"/>
    <w:rsid w:val="00A27C46"/>
    <w:rPr>
      <w:rFonts w:cs="Times New Roman"/>
      <w:color w:val="0563C1"/>
      <w:u w:val="single"/>
    </w:rPr>
  </w:style>
  <w:style w:type="paragraph" w:styleId="ListParagraph">
    <w:name w:val="List Paragraph"/>
    <w:basedOn w:val="Normal"/>
    <w:uiPriority w:val="34"/>
    <w:qFormat/>
    <w:rsid w:val="00A524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129851">
      <w:bodyDiv w:val="1"/>
      <w:marLeft w:val="0"/>
      <w:marRight w:val="0"/>
      <w:marTop w:val="0"/>
      <w:marBottom w:val="0"/>
      <w:divBdr>
        <w:top w:val="none" w:sz="0" w:space="0" w:color="auto"/>
        <w:left w:val="none" w:sz="0" w:space="0" w:color="auto"/>
        <w:bottom w:val="none" w:sz="0" w:space="0" w:color="auto"/>
        <w:right w:val="none" w:sz="0" w:space="0" w:color="auto"/>
      </w:divBdr>
    </w:div>
    <w:div w:id="1267620683">
      <w:bodyDiv w:val="1"/>
      <w:marLeft w:val="0"/>
      <w:marRight w:val="0"/>
      <w:marTop w:val="0"/>
      <w:marBottom w:val="0"/>
      <w:divBdr>
        <w:top w:val="none" w:sz="0" w:space="0" w:color="auto"/>
        <w:left w:val="none" w:sz="0" w:space="0" w:color="auto"/>
        <w:bottom w:val="none" w:sz="0" w:space="0" w:color="auto"/>
        <w:right w:val="none" w:sz="0" w:space="0" w:color="auto"/>
      </w:divBdr>
    </w:div>
    <w:div w:id="207789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muele.cortese@soton.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2294</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2018-01-26T20:47:00Z</dcterms:created>
  <dcterms:modified xsi:type="dcterms:W3CDTF">2018-01-26T22:03:00Z</dcterms:modified>
</cp:coreProperties>
</file>