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4BE373" w14:textId="77777777" w:rsidR="0062212D" w:rsidRDefault="0062212D">
      <w:pPr>
        <w:spacing w:after="774" w:line="250" w:lineRule="auto"/>
        <w:jc w:val="center"/>
        <w:rPr>
          <w:sz w:val="34"/>
        </w:rPr>
      </w:pPr>
      <w:bookmarkStart w:id="0" w:name="_GoBack"/>
    </w:p>
    <w:p w14:paraId="2B9BBD41" w14:textId="77777777" w:rsidR="00AA775D" w:rsidRPr="00AA775D" w:rsidRDefault="00AA775D" w:rsidP="00AA775D">
      <w:pPr>
        <w:spacing w:after="774" w:line="250" w:lineRule="auto"/>
        <w:jc w:val="center"/>
        <w:rPr>
          <w:sz w:val="28"/>
          <w:szCs w:val="28"/>
        </w:rPr>
      </w:pPr>
      <w:r w:rsidRPr="00AA775D">
        <w:rPr>
          <w:sz w:val="28"/>
          <w:szCs w:val="28"/>
        </w:rPr>
        <w:t>New Entry, Strategic Diversity and Efficiency in Soccer Betting Markets: The Creation and Suppression of Arbitrage Opportunities</w:t>
      </w:r>
    </w:p>
    <w:p w14:paraId="10B83ECF" w14:textId="77777777" w:rsidR="00AA775D" w:rsidRPr="00AA775D" w:rsidRDefault="00AA775D" w:rsidP="00AA775D">
      <w:pPr>
        <w:spacing w:after="774" w:line="250" w:lineRule="auto"/>
        <w:jc w:val="center"/>
        <w:rPr>
          <w:iCs/>
          <w:szCs w:val="24"/>
        </w:rPr>
      </w:pPr>
      <w:r w:rsidRPr="00AA775D">
        <w:rPr>
          <w:szCs w:val="24"/>
        </w:rPr>
        <w:t>Andrew Grant</w:t>
      </w:r>
      <w:r w:rsidRPr="00AA775D">
        <w:rPr>
          <w:i/>
          <w:szCs w:val="24"/>
          <w:vertAlign w:val="superscript"/>
        </w:rPr>
        <w:t>a</w:t>
      </w:r>
      <w:r w:rsidRPr="00AA775D">
        <w:rPr>
          <w:szCs w:val="24"/>
          <w:vertAlign w:val="superscript"/>
        </w:rPr>
        <w:t>,</w:t>
      </w:r>
      <w:r w:rsidRPr="00AA775D">
        <w:rPr>
          <w:szCs w:val="24"/>
        </w:rPr>
        <w:t>, Anastasios Oikonomidis</w:t>
      </w:r>
      <w:r w:rsidRPr="00AA775D">
        <w:rPr>
          <w:i/>
          <w:szCs w:val="24"/>
          <w:vertAlign w:val="superscript"/>
        </w:rPr>
        <w:t>b</w:t>
      </w:r>
      <w:r w:rsidRPr="00AA775D">
        <w:rPr>
          <w:szCs w:val="24"/>
        </w:rPr>
        <w:t>,</w:t>
      </w:r>
      <w:r w:rsidRPr="00AA775D">
        <w:rPr>
          <w:iCs/>
          <w:szCs w:val="24"/>
        </w:rPr>
        <w:t xml:space="preserve"> Alistair C. Bruce</w:t>
      </w:r>
      <w:r w:rsidRPr="00AA775D">
        <w:rPr>
          <w:iCs/>
          <w:szCs w:val="24"/>
          <w:vertAlign w:val="superscript"/>
        </w:rPr>
        <w:t>c</w:t>
      </w:r>
      <w:r w:rsidRPr="00AA775D">
        <w:rPr>
          <w:szCs w:val="24"/>
        </w:rPr>
        <w:t xml:space="preserve"> </w:t>
      </w:r>
      <w:r w:rsidRPr="00AA775D">
        <w:rPr>
          <w:iCs/>
          <w:szCs w:val="24"/>
        </w:rPr>
        <w:t xml:space="preserve">and </w:t>
      </w:r>
      <w:r w:rsidRPr="00AA775D">
        <w:rPr>
          <w:szCs w:val="24"/>
        </w:rPr>
        <w:t>Johnnie E.V. Johnson</w:t>
      </w:r>
      <w:r w:rsidRPr="00AA775D">
        <w:rPr>
          <w:i/>
          <w:szCs w:val="24"/>
          <w:vertAlign w:val="superscript"/>
        </w:rPr>
        <w:t>b*</w:t>
      </w:r>
      <w:r w:rsidRPr="00AA775D">
        <w:rPr>
          <w:szCs w:val="24"/>
        </w:rPr>
        <w:t xml:space="preserve"> </w:t>
      </w:r>
    </w:p>
    <w:p w14:paraId="074E36A9" w14:textId="77777777" w:rsidR="00AA775D" w:rsidRPr="00AA775D" w:rsidRDefault="00AA775D" w:rsidP="00AA775D">
      <w:pPr>
        <w:spacing w:after="100" w:afterAutospacing="1" w:line="240" w:lineRule="auto"/>
        <w:rPr>
          <w:sz w:val="22"/>
        </w:rPr>
      </w:pPr>
      <w:r w:rsidRPr="00AA775D">
        <w:rPr>
          <w:i/>
          <w:sz w:val="22"/>
        </w:rPr>
        <w:t>a</w:t>
      </w:r>
      <w:r w:rsidRPr="00AA775D">
        <w:rPr>
          <w:sz w:val="22"/>
        </w:rPr>
        <w:t>: University of Sydney Business School, Building H69, 1 Codrington St, Darlington NSW 2008.</w:t>
      </w:r>
    </w:p>
    <w:p w14:paraId="5E93B25B" w14:textId="77777777" w:rsidR="00AA775D" w:rsidRPr="00AA775D" w:rsidRDefault="00AA775D" w:rsidP="00AA775D">
      <w:pPr>
        <w:spacing w:after="100" w:afterAutospacing="1" w:line="240" w:lineRule="auto"/>
        <w:rPr>
          <w:sz w:val="22"/>
        </w:rPr>
      </w:pPr>
      <w:r w:rsidRPr="00AA775D">
        <w:rPr>
          <w:sz w:val="22"/>
        </w:rPr>
        <w:t xml:space="preserve"> </w:t>
      </w:r>
      <w:r w:rsidRPr="00AA775D">
        <w:rPr>
          <w:i/>
          <w:sz w:val="22"/>
        </w:rPr>
        <w:t>b</w:t>
      </w:r>
      <w:r w:rsidRPr="00AA775D">
        <w:rPr>
          <w:sz w:val="22"/>
        </w:rPr>
        <w:t>: University of Southampton Business School, Highfield, Southampton, SO17 1BJ</w:t>
      </w:r>
    </w:p>
    <w:p w14:paraId="632E3967" w14:textId="77777777" w:rsidR="00AA775D" w:rsidRPr="00AA775D" w:rsidRDefault="00AA775D" w:rsidP="00AA775D">
      <w:pPr>
        <w:spacing w:after="100" w:afterAutospacing="1" w:line="240" w:lineRule="auto"/>
        <w:rPr>
          <w:sz w:val="22"/>
        </w:rPr>
      </w:pPr>
      <w:r w:rsidRPr="00AA775D">
        <w:rPr>
          <w:i/>
          <w:iCs/>
          <w:sz w:val="22"/>
        </w:rPr>
        <w:t>c</w:t>
      </w:r>
      <w:r w:rsidRPr="00AA775D">
        <w:rPr>
          <w:sz w:val="22"/>
        </w:rPr>
        <w:t>: Nottingham University Business School, Jubilee Campus, Nottingham, NG8 1BB</w:t>
      </w:r>
    </w:p>
    <w:p w14:paraId="7F5D1748" w14:textId="77777777" w:rsidR="00AA775D" w:rsidRPr="00AA775D" w:rsidRDefault="00AA775D" w:rsidP="00AA775D">
      <w:pPr>
        <w:spacing w:after="100" w:afterAutospacing="1" w:line="240" w:lineRule="auto"/>
        <w:rPr>
          <w:sz w:val="22"/>
        </w:rPr>
      </w:pPr>
    </w:p>
    <w:p w14:paraId="31531074" w14:textId="77777777" w:rsidR="00AA775D" w:rsidRPr="00AA775D" w:rsidRDefault="00AA775D" w:rsidP="00AA775D">
      <w:pPr>
        <w:spacing w:after="243"/>
      </w:pPr>
      <w:r w:rsidRPr="00AA775D">
        <w:rPr>
          <w:noProof/>
          <w:sz w:val="22"/>
          <w:lang w:val="en-GB" w:eastAsia="en-GB"/>
        </w:rPr>
        <mc:AlternateContent>
          <mc:Choice Requires="wpg">
            <w:drawing>
              <wp:inline distT="0" distB="0" distL="0" distR="0" wp14:anchorId="19731AEF" wp14:editId="6FDD1026">
                <wp:extent cx="5943600" cy="5080"/>
                <wp:effectExtent l="9525" t="7620" r="9525" b="6350"/>
                <wp:docPr id="40" name="Group 269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5080"/>
                          <a:chOff x="0" y="0"/>
                          <a:chExt cx="59436" cy="50"/>
                        </a:xfrm>
                      </wpg:grpSpPr>
                      <wps:wsp>
                        <wps:cNvPr id="41" name="Shape 8"/>
                        <wps:cNvSpPr>
                          <a:spLocks/>
                        </wps:cNvSpPr>
                        <wps:spPr bwMode="auto">
                          <a:xfrm>
                            <a:off x="0" y="0"/>
                            <a:ext cx="59436" cy="0"/>
                          </a:xfrm>
                          <a:custGeom>
                            <a:avLst/>
                            <a:gdLst>
                              <a:gd name="T0" fmla="*/ 0 w 5943600"/>
                              <a:gd name="T1" fmla="*/ 5943600 w 5943600"/>
                              <a:gd name="T2" fmla="*/ 0 w 5943600"/>
                              <a:gd name="T3" fmla="*/ 5943600 w 5943600"/>
                            </a:gdLst>
                            <a:ahLst/>
                            <a:cxnLst>
                              <a:cxn ang="0">
                                <a:pos x="T0" y="0"/>
                              </a:cxn>
                              <a:cxn ang="0">
                                <a:pos x="T1" y="0"/>
                              </a:cxn>
                            </a:cxnLst>
                            <a:rect l="T2" t="0" r="T3" b="0"/>
                            <a:pathLst>
                              <a:path w="5943600">
                                <a:moveTo>
                                  <a:pt x="0" y="0"/>
                                </a:moveTo>
                                <a:lnTo>
                                  <a:pt x="5943600" y="0"/>
                                </a:lnTo>
                              </a:path>
                            </a:pathLst>
                          </a:custGeom>
                          <a:noFill/>
                          <a:ln w="505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DD994C1" id="Group 26944" o:spid="_x0000_s1026" style="width:468pt;height:.4pt;mso-position-horizontal-relative:char;mso-position-vertical-relative:line" coordsize="5943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">
                <v:shape id="Shape 8" o:spid="_x0000_s1027" style="position:absolute;width:59436;height:0;visibility:visible;mso-wrap-style:square;v-text-anchor:top" coordsize="5943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FA58MA&#10;AADbAAAADwAAAGRycy9kb3ducmV2LnhtbESPT2sCMRTE70K/Q3iF3jSrFKmrUUQRWjzVP7THx+bt&#10;ZnHzsiRxXb+9EQo9DjPzG2ax6m0jOvKhdqxgPMpAEBdO11wpOB13ww8QISJrbByTgjsFWC1fBgvM&#10;tbvxN3WHWIkE4ZCjAhNjm0sZCkMWw8i1xMkrnbcYk/SV1B5vCW4bOcmyqbRYc1ow2NLGUHE5XK2C&#10;XnfmctI/M1n6aVl9mfP+d7tT6u21X89BROrjf/iv/akVvI/h+SX9AL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oFA58MAAADbAAAADwAAAAAAAAAAAAAAAACYAgAAZHJzL2Rv&#10;d25yZXYueG1sUEsFBgAAAAAEAAQA9QAAAIgDAAAAAA==&#10;" path="m,l5943600,e" filled="f" strokeweight=".14042mm">
                  <v:stroke miterlimit="83231f" joinstyle="miter"/>
                  <v:path arrowok="t" o:connecttype="custom" o:connectlocs="0,0;59436,0" o:connectangles="0,0" textboxrect="0,0,5943600,0"/>
                </v:shape>
                <w10:anchorlock/>
              </v:group>
            </w:pict>
          </mc:Fallback>
        </mc:AlternateContent>
      </w:r>
    </w:p>
    <w:p w14:paraId="5AAB102D" w14:textId="77777777" w:rsidR="00AA775D" w:rsidRPr="00AA775D" w:rsidRDefault="00AA775D" w:rsidP="00AA775D">
      <w:pPr>
        <w:keepNext/>
        <w:keepLines/>
        <w:spacing w:after="93"/>
        <w:ind w:left="-5" w:hanging="10"/>
        <w:outlineLvl w:val="0"/>
        <w:rPr>
          <w:b/>
          <w:sz w:val="34"/>
        </w:rPr>
      </w:pPr>
      <w:r w:rsidRPr="00AA775D">
        <w:rPr>
          <w:b/>
        </w:rPr>
        <w:t>Abstract</w:t>
      </w:r>
    </w:p>
    <w:p w14:paraId="6F98669C" w14:textId="77777777" w:rsidR="00AA775D" w:rsidRPr="00AA775D" w:rsidRDefault="00AA775D" w:rsidP="00AA775D">
      <w:pPr>
        <w:spacing w:after="28" w:line="238" w:lineRule="auto"/>
        <w:ind w:left="-15"/>
      </w:pPr>
      <w:r w:rsidRPr="00AA775D">
        <w:t>We find that prices offered by competing bookmakers within the same quote-driven soccer (football) betting market provide arbitrage opportunities. However, the management practices of bookmakers prevent informed bettors exploiting these in practice. We identify two groups of bookmakers, ‘position-takers’ and ‘book-balancers.’ Position-takers alter their odds infrequently, while actively restricting informed traders. Book-balancers actively manage inventory by adjusting odds, and place few restrictions on their customers. We identify 545 arbitrage portfolios, and find that around 50% would require a bet on the favourite at the position-taking bookmaker. The management practices of position-takers generally prevent these opportunities being exploited</w:t>
      </w:r>
      <w:r w:rsidRPr="00AA775D" w:rsidDel="00CA7B5F">
        <w:t xml:space="preserve"> </w:t>
      </w:r>
      <w:r w:rsidRPr="00AA775D">
        <w:t>in practice.</w:t>
      </w:r>
    </w:p>
    <w:p w14:paraId="44A56DD3" w14:textId="77777777" w:rsidR="00AA775D" w:rsidRPr="00AA775D" w:rsidRDefault="00AA775D" w:rsidP="00AA775D">
      <w:pPr>
        <w:tabs>
          <w:tab w:val="center" w:pos="3201"/>
        </w:tabs>
        <w:ind w:left="-15"/>
        <w:rPr>
          <w:lang w:val="fr-FR"/>
        </w:rPr>
      </w:pPr>
      <w:r w:rsidRPr="00AA775D">
        <w:rPr>
          <w:i/>
          <w:lang w:val="fr-FR"/>
        </w:rPr>
        <w:t>JEL classification:</w:t>
      </w:r>
      <w:r w:rsidRPr="00AA775D">
        <w:rPr>
          <w:i/>
          <w:lang w:val="fr-FR"/>
        </w:rPr>
        <w:tab/>
      </w:r>
      <w:r w:rsidRPr="00AA775D">
        <w:rPr>
          <w:lang w:val="fr-FR"/>
        </w:rPr>
        <w:t>(D23), (L22), (L83)</w:t>
      </w:r>
    </w:p>
    <w:p w14:paraId="4DFC9508" w14:textId="3F9694F9" w:rsidR="0073742C" w:rsidRPr="00D05361" w:rsidRDefault="00D05361" w:rsidP="00D05361">
      <w:pPr>
        <w:spacing w:after="774" w:line="250" w:lineRule="auto"/>
        <w:jc w:val="center"/>
        <w:rPr>
          <w:sz w:val="28"/>
          <w:szCs w:val="28"/>
        </w:rPr>
      </w:pPr>
      <w:r w:rsidRPr="00D05361">
        <w:rPr>
          <w:sz w:val="28"/>
          <w:szCs w:val="28"/>
        </w:rPr>
        <w:t>New Entry, Strategic Diversity and Efficiency in Soccer Betting Markets: The Creation and Suppression of Arbitrage Opportunities</w:t>
      </w:r>
    </w:p>
    <w:p w14:paraId="47708887" w14:textId="77777777" w:rsidR="0073490C" w:rsidRPr="005265B9" w:rsidRDefault="0073490C" w:rsidP="005265B9">
      <w:pPr>
        <w:spacing w:after="100" w:afterAutospacing="1" w:line="240" w:lineRule="auto"/>
        <w:rPr>
          <w:sz w:val="22"/>
        </w:rPr>
      </w:pPr>
    </w:p>
    <w:p w14:paraId="015B8D3D" w14:textId="230F4A28" w:rsidR="0073742C" w:rsidRDefault="0073742C">
      <w:pPr>
        <w:spacing w:after="243"/>
      </w:pPr>
    </w:p>
    <w:p w14:paraId="54ABCAC2" w14:textId="7355F819" w:rsidR="00163AE3" w:rsidRPr="00163AE3" w:rsidRDefault="005D5980" w:rsidP="00870B6A">
      <w:pPr>
        <w:pStyle w:val="Heading1"/>
        <w:numPr>
          <w:ilvl w:val="0"/>
          <w:numId w:val="1"/>
        </w:numPr>
      </w:pPr>
      <w:r>
        <w:lastRenderedPageBreak/>
        <w:t>INTRODUCTION</w:t>
      </w:r>
    </w:p>
    <w:p w14:paraId="2A4992E1" w14:textId="31192779" w:rsidR="00163AE3" w:rsidRDefault="00163AE3" w:rsidP="00870B6A">
      <w:pPr>
        <w:spacing w:line="360" w:lineRule="auto"/>
        <w:jc w:val="both"/>
        <w:rPr>
          <w:rFonts w:asciiTheme="minorHAnsi" w:eastAsiaTheme="minorHAnsi" w:hAnsiTheme="minorHAnsi" w:cstheme="minorBidi"/>
          <w:color w:val="auto"/>
          <w:sz w:val="22"/>
        </w:rPr>
      </w:pPr>
      <w:r>
        <w:t>Th</w:t>
      </w:r>
      <w:r w:rsidR="00C00D92">
        <w:t>is</w:t>
      </w:r>
      <w:r>
        <w:t xml:space="preserve"> paper examine</w:t>
      </w:r>
      <w:r w:rsidR="00C00D92">
        <w:t>s</w:t>
      </w:r>
      <w:r w:rsidR="007C22D5">
        <w:t xml:space="preserve"> </w:t>
      </w:r>
      <w:r>
        <w:t>the impact of new</w:t>
      </w:r>
      <w:r w:rsidR="00870B6A">
        <w:t xml:space="preserve"> entrants</w:t>
      </w:r>
      <w:r>
        <w:t xml:space="preserve"> into the European market for soccer betting</w:t>
      </w:r>
      <w:r w:rsidR="00E1423C">
        <w:t>,</w:t>
      </w:r>
      <w:r w:rsidR="00E1423C" w:rsidRPr="00E1423C">
        <w:t xml:space="preserve"> </w:t>
      </w:r>
      <w:r w:rsidR="00E1423C">
        <w:t xml:space="preserve">which </w:t>
      </w:r>
      <w:bookmarkEnd w:id="0"/>
      <w:r w:rsidR="00E1423C">
        <w:t>until recently has been dominated by European (and generally UK) based operators.</w:t>
      </w:r>
      <w:r>
        <w:t xml:space="preserve">  Specifically, we evaluate how the recent entry of several large </w:t>
      </w:r>
      <w:r w:rsidR="00690B06">
        <w:t>and (predominantly</w:t>
      </w:r>
      <w:r w:rsidR="00720CE1">
        <w:t>, though not exclusively</w:t>
      </w:r>
      <w:r w:rsidR="00690B06">
        <w:t xml:space="preserve">) </w:t>
      </w:r>
      <w:r>
        <w:t>Asian bookmaking organisations has affected</w:t>
      </w:r>
      <w:r w:rsidR="00E1423C">
        <w:t xml:space="preserve"> the range of odds available to consumers</w:t>
      </w:r>
      <w:r w:rsidR="000C18BC">
        <w:t>,</w:t>
      </w:r>
      <w:r w:rsidR="00E1423C">
        <w:t xml:space="preserve"> </w:t>
      </w:r>
      <w:r w:rsidR="00E013CC">
        <w:t>with potential consequences for</w:t>
      </w:r>
      <w:r w:rsidR="00E1423C">
        <w:t xml:space="preserve"> the efficiency of the market. </w:t>
      </w:r>
      <w:r>
        <w:t xml:space="preserve">As such, </w:t>
      </w:r>
      <w:r w:rsidR="00870B6A">
        <w:t>this paper</w:t>
      </w:r>
      <w:r>
        <w:t xml:space="preserve"> contributes to a significant empirical interest in</w:t>
      </w:r>
      <w:r w:rsidR="00C00D92">
        <w:t>,</w:t>
      </w:r>
      <w:r>
        <w:t xml:space="preserve"> and literature on</w:t>
      </w:r>
      <w:r w:rsidR="00C00D92">
        <w:t>,</w:t>
      </w:r>
      <w:r>
        <w:t xml:space="preserve"> the operation of betting markets</w:t>
      </w:r>
      <w:r w:rsidR="00A66A0E">
        <w:t>.</w:t>
      </w:r>
      <w:r>
        <w:t xml:space="preserve"> </w:t>
      </w:r>
    </w:p>
    <w:p w14:paraId="63948B2B" w14:textId="71FB8187" w:rsidR="00163AE3" w:rsidRDefault="00E1423C" w:rsidP="00870B6A">
      <w:pPr>
        <w:spacing w:line="360" w:lineRule="auto"/>
        <w:jc w:val="both"/>
      </w:pPr>
      <w:r>
        <w:t xml:space="preserve">A principal </w:t>
      </w:r>
      <w:r w:rsidR="00163AE3">
        <w:t xml:space="preserve">motivation for this study is the </w:t>
      </w:r>
      <w:r w:rsidR="009437A8">
        <w:t>fact</w:t>
      </w:r>
      <w:r w:rsidR="00163AE3">
        <w:t xml:space="preserve"> that there are clear</w:t>
      </w:r>
      <w:r w:rsidR="00C00D92">
        <w:t>,</w:t>
      </w:r>
      <w:r w:rsidR="00163AE3">
        <w:t xml:space="preserve"> material differences between the recent entrants and the more established operators</w:t>
      </w:r>
      <w:r w:rsidR="000C18BC">
        <w:t>, both in product portfolios and aspects of operating behaviour</w:t>
      </w:r>
      <w:r w:rsidR="00163AE3">
        <w:t xml:space="preserve">. These differences raise the possibility of </w:t>
      </w:r>
      <w:r w:rsidR="000C18BC">
        <w:t xml:space="preserve">profitable </w:t>
      </w:r>
      <w:r w:rsidR="00163AE3">
        <w:t>arbitrage opportunities for bettors</w:t>
      </w:r>
      <w:r w:rsidR="000C18BC">
        <w:t>,</w:t>
      </w:r>
      <w:r w:rsidR="00163AE3">
        <w:t xml:space="preserve"> w</w:t>
      </w:r>
      <w:r w:rsidR="000C18BC">
        <w:t>ith attendant</w:t>
      </w:r>
      <w:r w:rsidR="00163AE3">
        <w:t xml:space="preserve"> implications for</w:t>
      </w:r>
      <w:r w:rsidR="0085766C">
        <w:t xml:space="preserve"> </w:t>
      </w:r>
      <w:r w:rsidR="00E013CC">
        <w:t>market</w:t>
      </w:r>
      <w:r w:rsidR="0085766C">
        <w:t xml:space="preserve"> efficiency.</w:t>
      </w:r>
    </w:p>
    <w:p w14:paraId="12B32D98" w14:textId="141768F8" w:rsidR="00C625FA" w:rsidRDefault="009D6E76" w:rsidP="00D05361">
      <w:pPr>
        <w:spacing w:line="360" w:lineRule="auto"/>
        <w:jc w:val="both"/>
      </w:pPr>
      <w:r>
        <w:t>The paper is structured as follows. This</w:t>
      </w:r>
      <w:r w:rsidR="00E1423C">
        <w:t xml:space="preserve"> section</w:t>
      </w:r>
      <w:r>
        <w:t xml:space="preserve"> </w:t>
      </w:r>
      <w:r w:rsidR="00163AE3">
        <w:t>explain</w:t>
      </w:r>
      <w:r>
        <w:t>s</w:t>
      </w:r>
      <w:r w:rsidR="00163AE3">
        <w:t xml:space="preserve"> briefly why betting </w:t>
      </w:r>
      <w:r w:rsidR="0085766C">
        <w:t>mar</w:t>
      </w:r>
      <w:r w:rsidR="00163AE3">
        <w:t>k</w:t>
      </w:r>
      <w:r w:rsidR="0085766C">
        <w:t>e</w:t>
      </w:r>
      <w:r w:rsidR="00163AE3">
        <w:t>ts</w:t>
      </w:r>
      <w:r w:rsidR="0085766C">
        <w:t xml:space="preserve"> </w:t>
      </w:r>
      <w:r w:rsidR="00690B06">
        <w:t xml:space="preserve">in general </w:t>
      </w:r>
      <w:r w:rsidR="0085766C">
        <w:t>constitute a fertile territory for studies of market behaviour and efficiency</w:t>
      </w:r>
      <w:r>
        <w:t>.</w:t>
      </w:r>
      <w:r w:rsidR="0085766C">
        <w:t xml:space="preserve"> This leads into a discussion of </w:t>
      </w:r>
      <w:r>
        <w:t xml:space="preserve">the </w:t>
      </w:r>
      <w:r w:rsidR="0085766C">
        <w:t>recent structural change</w:t>
      </w:r>
      <w:r w:rsidR="007F15E8">
        <w:t>s</w:t>
      </w:r>
      <w:r w:rsidR="0085766C">
        <w:t xml:space="preserve"> in the </w:t>
      </w:r>
      <w:r w:rsidR="00D05361">
        <w:t xml:space="preserve">European </w:t>
      </w:r>
      <w:r w:rsidR="000C18BC">
        <w:t xml:space="preserve">soccer </w:t>
      </w:r>
      <w:r w:rsidR="0085766C">
        <w:t>betting market</w:t>
      </w:r>
      <w:r w:rsidR="009437A8">
        <w:t>.</w:t>
      </w:r>
      <w:r>
        <w:t xml:space="preserve"> Section 2 outlines relevant theoretical </w:t>
      </w:r>
      <w:r w:rsidR="00C00D92">
        <w:t>material</w:t>
      </w:r>
      <w:r>
        <w:t xml:space="preserve"> in relation to arbitrage and bookmaker behaviour. Section 3 develops hypotheses, and the data and methods employed to test these are outlined in Section 4. Section 5 presents results and Section 6 offers a discussion and conclusion.</w:t>
      </w:r>
    </w:p>
    <w:p w14:paraId="7EE8CA06" w14:textId="77777777" w:rsidR="00C625FA" w:rsidRDefault="00C625FA" w:rsidP="00C625FA"/>
    <w:p w14:paraId="008DD96E" w14:textId="24444FB2" w:rsidR="007F15E8" w:rsidRDefault="007F15E8" w:rsidP="00EF0EC0">
      <w:pPr>
        <w:pStyle w:val="Heading2"/>
        <w:numPr>
          <w:ilvl w:val="1"/>
          <w:numId w:val="1"/>
        </w:numPr>
      </w:pPr>
      <w:r>
        <w:t>Betting Markets as an Investigative Medium</w:t>
      </w:r>
    </w:p>
    <w:p w14:paraId="441BBC3C" w14:textId="77777777" w:rsidR="00870B6A" w:rsidRPr="00870B6A" w:rsidRDefault="00870B6A" w:rsidP="00870B6A"/>
    <w:p w14:paraId="5F18982F" w14:textId="611AFA33" w:rsidR="00F33888" w:rsidRDefault="00C00D92" w:rsidP="00870B6A">
      <w:pPr>
        <w:spacing w:line="360" w:lineRule="auto"/>
        <w:ind w:left="-15"/>
        <w:jc w:val="both"/>
      </w:pPr>
      <w:r>
        <w:t>A</w:t>
      </w:r>
      <w:r w:rsidR="00E1423C">
        <w:t xml:space="preserve"> number of characteristics of bookmaker</w:t>
      </w:r>
      <w:r w:rsidR="00870B6A">
        <w:t>-driven</w:t>
      </w:r>
      <w:r w:rsidR="00E1423C">
        <w:t xml:space="preserve"> betting markets make them both</w:t>
      </w:r>
      <w:r w:rsidR="00C625FA">
        <w:t xml:space="preserve"> interesting in their own right, </w:t>
      </w:r>
      <w:r w:rsidR="00E1423C">
        <w:t xml:space="preserve">as well as </w:t>
      </w:r>
      <w:r w:rsidR="00C625FA">
        <w:t>an ideal setting for field experiment</w:t>
      </w:r>
      <w:r w:rsidR="00A016E2">
        <w:t>s</w:t>
      </w:r>
      <w:r w:rsidR="00C625FA">
        <w:t xml:space="preserve"> to explore aspects of </w:t>
      </w:r>
      <w:r w:rsidR="007F15E8">
        <w:t xml:space="preserve">broader </w:t>
      </w:r>
      <w:r w:rsidR="00E1423C">
        <w:t>fi</w:t>
      </w:r>
      <w:r w:rsidR="00A016E2">
        <w:t>nan</w:t>
      </w:r>
      <w:r w:rsidR="00E1423C">
        <w:t xml:space="preserve">cial </w:t>
      </w:r>
      <w:r w:rsidR="00C625FA">
        <w:t xml:space="preserve">market efficiency </w:t>
      </w:r>
      <w:r w:rsidR="00F33888">
        <w:t xml:space="preserve">(see, for example, Sauer, 1998; Vaughan Williams, 1999, 2005; Oikonomidis and Johnson, 2011). </w:t>
      </w:r>
      <w:r w:rsidR="00870B6A">
        <w:t xml:space="preserve">As explained by </w:t>
      </w:r>
      <w:r w:rsidR="00F33888">
        <w:t>Thaler and Ziemba (1988) a key advantage</w:t>
      </w:r>
      <w:r w:rsidR="00870B6A">
        <w:t xml:space="preserve"> of betting markets is</w:t>
      </w:r>
      <w:r w:rsidR="00F33888">
        <w:t xml:space="preserve"> the fact that the objective value</w:t>
      </w:r>
      <w:r w:rsidR="000502A0">
        <w:t>s</w:t>
      </w:r>
      <w:r w:rsidR="00F33888">
        <w:t xml:space="preserve"> of assets </w:t>
      </w:r>
      <w:r w:rsidR="000502A0">
        <w:t>are</w:t>
      </w:r>
      <w:r w:rsidR="00F33888">
        <w:t xml:space="preserve"> </w:t>
      </w:r>
      <w:r w:rsidR="00F47706">
        <w:t>determined</w:t>
      </w:r>
      <w:r w:rsidR="00F33888">
        <w:t xml:space="preserve"> with certainty at the close of the market</w:t>
      </w:r>
      <w:r w:rsidR="000502A0">
        <w:t>,</w:t>
      </w:r>
      <w:r w:rsidR="00870B6A">
        <w:t xml:space="preserve"> </w:t>
      </w:r>
      <w:r w:rsidR="00F33888">
        <w:t xml:space="preserve">as the outcome of the betting event is </w:t>
      </w:r>
      <w:r w:rsidR="004E209F">
        <w:t>reveal</w:t>
      </w:r>
      <w:r w:rsidR="00F33888">
        <w:t xml:space="preserve">ed. Decisions made in betting markets (i.e. bets placed) are clearly and individually recorded and this, together with the </w:t>
      </w:r>
      <w:r w:rsidR="00F33888">
        <w:lastRenderedPageBreak/>
        <w:t>very large number of individual markets, ensures a rich documentary resource for empirical investigation. A</w:t>
      </w:r>
      <w:r w:rsidR="000502A0">
        <w:t>dditionally</w:t>
      </w:r>
      <w:r w:rsidR="00F33888">
        <w:t xml:space="preserve">, betting markets resemble other financial markets in terms of the varying sophistication levels of traders, who risk </w:t>
      </w:r>
      <w:r w:rsidR="000C18BC">
        <w:t>their own assets</w:t>
      </w:r>
      <w:r w:rsidR="00F33888">
        <w:t xml:space="preserve"> on the uncertain outcome of future events. Betting markets may therefore provide more generalizable results than those from laboratory experiments, in which subjects may be inexperienced traders </w:t>
      </w:r>
      <w:r w:rsidR="000502A0">
        <w:t>and</w:t>
      </w:r>
      <w:r w:rsidR="00F33888">
        <w:t xml:space="preserve"> hold limited motivation (Levitt and List, 2007).</w:t>
      </w:r>
    </w:p>
    <w:p w14:paraId="000FA450" w14:textId="37500E51" w:rsidR="00C625FA" w:rsidRDefault="006A3B30" w:rsidP="00870B6A">
      <w:pPr>
        <w:spacing w:line="360" w:lineRule="auto"/>
        <w:jc w:val="both"/>
      </w:pPr>
      <w:r>
        <w:t>Our focus in</w:t>
      </w:r>
      <w:r w:rsidR="00C625FA">
        <w:t xml:space="preserve"> th</w:t>
      </w:r>
      <w:r w:rsidR="007F15E8">
        <w:t>is paper is on</w:t>
      </w:r>
      <w:r w:rsidR="00C625FA">
        <w:t xml:space="preserve"> structural change in the betting markets for European </w:t>
      </w:r>
      <w:r w:rsidR="007F15E8">
        <w:t>soccer associated with</w:t>
      </w:r>
      <w:r w:rsidR="00C625FA">
        <w:t xml:space="preserve"> the </w:t>
      </w:r>
      <w:r w:rsidR="007F15E8">
        <w:t>entry</w:t>
      </w:r>
      <w:r w:rsidR="00C625FA">
        <w:t xml:space="preserve"> of large, </w:t>
      </w:r>
      <w:r w:rsidR="00690B06">
        <w:t>generally</w:t>
      </w:r>
      <w:r w:rsidR="00720CE1">
        <w:t xml:space="preserve"> </w:t>
      </w:r>
      <w:r w:rsidR="00C625FA">
        <w:t>Asian</w:t>
      </w:r>
      <w:r w:rsidR="007F15E8">
        <w:t>-</w:t>
      </w:r>
      <w:r w:rsidR="00C625FA">
        <w:t>based bookmakers,</w:t>
      </w:r>
      <w:r w:rsidR="007F15E8">
        <w:t xml:space="preserve"> such as SBOBet and Pinnacle</w:t>
      </w:r>
      <w:r w:rsidR="000502A0">
        <w:t>,</w:t>
      </w:r>
      <w:r w:rsidR="00C625FA">
        <w:t xml:space="preserve"> alongside traditional European </w:t>
      </w:r>
      <w:r w:rsidR="007F15E8">
        <w:t>b</w:t>
      </w:r>
      <w:r w:rsidR="00C625FA">
        <w:t>ookmakers, such as the</w:t>
      </w:r>
      <w:r w:rsidR="00C625FA" w:rsidRPr="00B86D5F">
        <w:t xml:space="preserve"> </w:t>
      </w:r>
      <w:r w:rsidR="00C625FA">
        <w:t>U.K.</w:t>
      </w:r>
      <w:r w:rsidR="007F15E8">
        <w:t>-</w:t>
      </w:r>
      <w:r w:rsidR="00C625FA">
        <w:t>based</w:t>
      </w:r>
      <w:r w:rsidR="00E013CC">
        <w:t xml:space="preserve"> William Hill and Ladbrokes</w:t>
      </w:r>
      <w:r w:rsidR="00C625FA">
        <w:t xml:space="preserve">. </w:t>
      </w:r>
      <w:r w:rsidR="00E1117D">
        <w:t xml:space="preserve"> </w:t>
      </w:r>
      <w:r w:rsidR="00484E48">
        <w:t>An</w:t>
      </w:r>
      <w:r w:rsidR="00E1117D">
        <w:t xml:space="preserve"> interesting aspect of th</w:t>
      </w:r>
      <w:r w:rsidR="000502A0">
        <w:t>is change</w:t>
      </w:r>
      <w:r w:rsidR="00E1117D">
        <w:t xml:space="preserve"> is that the</w:t>
      </w:r>
      <w:r w:rsidR="00484E48">
        <w:t>re are distinct</w:t>
      </w:r>
      <w:r w:rsidR="00690B06">
        <w:t xml:space="preserve"> and observable</w:t>
      </w:r>
      <w:r w:rsidR="00484E48">
        <w:t xml:space="preserve"> differences </w:t>
      </w:r>
      <w:r w:rsidR="00E23100">
        <w:t xml:space="preserve">in operating practice </w:t>
      </w:r>
      <w:r w:rsidR="00484E48">
        <w:t xml:space="preserve">between </w:t>
      </w:r>
      <w:r w:rsidR="00A016E2">
        <w:t xml:space="preserve">the </w:t>
      </w:r>
      <w:r w:rsidR="00484E48">
        <w:t xml:space="preserve">established </w:t>
      </w:r>
      <w:r w:rsidR="00E23100">
        <w:t>bookmakers</w:t>
      </w:r>
      <w:r w:rsidR="00484E48">
        <w:t xml:space="preserve"> and </w:t>
      </w:r>
      <w:r w:rsidR="00A016E2">
        <w:t xml:space="preserve">the </w:t>
      </w:r>
      <w:r w:rsidR="00E1117D">
        <w:t xml:space="preserve">new entrants, in relation to </w:t>
      </w:r>
      <w:r w:rsidR="000C18BC">
        <w:t xml:space="preserve">trading </w:t>
      </w:r>
      <w:r w:rsidR="00E1117D">
        <w:t>restrictions</w:t>
      </w:r>
      <w:r w:rsidR="000C18BC">
        <w:t xml:space="preserve">, </w:t>
      </w:r>
      <w:r w:rsidR="00E23100">
        <w:t>volatility of the odds menu</w:t>
      </w:r>
      <w:r w:rsidR="00E1117D">
        <w:t xml:space="preserve"> and the </w:t>
      </w:r>
      <w:r w:rsidR="00E23100">
        <w:t xml:space="preserve">range </w:t>
      </w:r>
      <w:r w:rsidR="00E1117D">
        <w:t xml:space="preserve">of </w:t>
      </w:r>
      <w:r w:rsidR="00E23100">
        <w:t xml:space="preserve">event outcomes </w:t>
      </w:r>
      <w:r w:rsidR="00E1117D">
        <w:t xml:space="preserve">offered. </w:t>
      </w:r>
      <w:r w:rsidR="00690B06">
        <w:t>These are now explained.</w:t>
      </w:r>
    </w:p>
    <w:p w14:paraId="7E412B49" w14:textId="2F9673DC" w:rsidR="004F552D" w:rsidRDefault="00E1117D" w:rsidP="00F101B5">
      <w:pPr>
        <w:spacing w:line="360" w:lineRule="auto"/>
        <w:jc w:val="both"/>
      </w:pPr>
      <w:r>
        <w:t xml:space="preserve">With regard to trading policy, the new entrants adopt a </w:t>
      </w:r>
      <w:r w:rsidR="00A168E0">
        <w:t xml:space="preserve">conspicuously </w:t>
      </w:r>
      <w:r>
        <w:t xml:space="preserve">more liberal approach to clients in that they </w:t>
      </w:r>
      <w:r w:rsidR="00A016E2">
        <w:t>make no attempt to</w:t>
      </w:r>
      <w:r>
        <w:t xml:space="preserve"> restrict bets from </w:t>
      </w:r>
      <w:r w:rsidR="000502A0">
        <w:t xml:space="preserve">potentially </w:t>
      </w:r>
      <w:r>
        <w:t xml:space="preserve">`informed’ or more sophisticated bettors. </w:t>
      </w:r>
      <w:r w:rsidR="004F552D">
        <w:t>Pinnacle, for example, explicitly state:</w:t>
      </w:r>
    </w:p>
    <w:p w14:paraId="035E535D" w14:textId="05497D9A" w:rsidR="004F552D" w:rsidRPr="00A52228" w:rsidRDefault="00A168E0" w:rsidP="00236815">
      <w:pPr>
        <w:shd w:val="clear" w:color="auto" w:fill="FFFFFF"/>
        <w:spacing w:before="150" w:after="225" w:line="450" w:lineRule="atLeast"/>
        <w:ind w:left="720" w:right="105"/>
        <w:rPr>
          <w:rFonts w:asciiTheme="minorHAnsi" w:eastAsia="Times New Roman" w:hAnsiTheme="minorHAnsi" w:cs="Helvetica"/>
          <w:color w:val="000000" w:themeColor="text1"/>
          <w:szCs w:val="24"/>
          <w:lang w:val="en-GB" w:eastAsia="en-GB"/>
        </w:rPr>
      </w:pPr>
      <w:r w:rsidRPr="00A52228">
        <w:rPr>
          <w:rFonts w:asciiTheme="minorHAnsi" w:eastAsia="Times New Roman" w:hAnsiTheme="minorHAnsi" w:cs="Helvetica"/>
          <w:color w:val="000000" w:themeColor="text1"/>
          <w:szCs w:val="24"/>
          <w:lang w:val="en-GB" w:eastAsia="en-GB"/>
        </w:rPr>
        <w:t>`</w:t>
      </w:r>
      <w:r w:rsidR="004F552D" w:rsidRPr="00A52228">
        <w:rPr>
          <w:rFonts w:asciiTheme="minorHAnsi" w:eastAsia="Times New Roman" w:hAnsiTheme="minorHAnsi" w:cs="Helvetica"/>
          <w:color w:val="000000" w:themeColor="text1"/>
          <w:szCs w:val="24"/>
          <w:lang w:val="en-GB" w:eastAsia="en-GB"/>
        </w:rPr>
        <w:t>Our Winners Welcome policy is very straight-forward. We do not limit, discriminate or close accounts of successful players, and here is why:</w:t>
      </w:r>
    </w:p>
    <w:p w14:paraId="54B0C457" w14:textId="77777777" w:rsidR="004F552D" w:rsidRPr="00A52228" w:rsidRDefault="004F552D" w:rsidP="004F552D">
      <w:pPr>
        <w:numPr>
          <w:ilvl w:val="0"/>
          <w:numId w:val="3"/>
        </w:numPr>
        <w:shd w:val="clear" w:color="auto" w:fill="FFFFFF"/>
        <w:spacing w:before="300" w:after="75" w:line="450" w:lineRule="atLeast"/>
        <w:ind w:left="1350" w:right="600"/>
        <w:rPr>
          <w:rFonts w:asciiTheme="minorHAnsi" w:eastAsia="Times New Roman" w:hAnsiTheme="minorHAnsi" w:cs="Helvetica"/>
          <w:color w:val="000000" w:themeColor="text1"/>
          <w:szCs w:val="24"/>
          <w:lang w:val="en-GB" w:eastAsia="en-GB"/>
        </w:rPr>
      </w:pPr>
      <w:r w:rsidRPr="00A52228">
        <w:rPr>
          <w:rFonts w:asciiTheme="minorHAnsi" w:eastAsia="Times New Roman" w:hAnsiTheme="minorHAnsi" w:cs="Helvetica"/>
          <w:color w:val="000000" w:themeColor="text1"/>
          <w:szCs w:val="24"/>
          <w:lang w:val="en-GB" w:eastAsia="en-GB"/>
        </w:rPr>
        <w:t>Our business model is focused solely on maximising volume irrespective of whether this is generated from profitable players</w:t>
      </w:r>
    </w:p>
    <w:p w14:paraId="1C69283B" w14:textId="77777777" w:rsidR="004F552D" w:rsidRPr="00A52228" w:rsidRDefault="004F552D" w:rsidP="004F552D">
      <w:pPr>
        <w:numPr>
          <w:ilvl w:val="0"/>
          <w:numId w:val="3"/>
        </w:numPr>
        <w:shd w:val="clear" w:color="auto" w:fill="FFFFFF"/>
        <w:spacing w:before="300" w:after="75" w:line="450" w:lineRule="atLeast"/>
        <w:ind w:left="1350" w:right="600"/>
        <w:rPr>
          <w:rFonts w:asciiTheme="minorHAnsi" w:eastAsia="Times New Roman" w:hAnsiTheme="minorHAnsi" w:cs="Helvetica"/>
          <w:color w:val="000000" w:themeColor="text1"/>
          <w:szCs w:val="24"/>
          <w:lang w:val="en-GB" w:eastAsia="en-GB"/>
        </w:rPr>
      </w:pPr>
      <w:r w:rsidRPr="00A52228">
        <w:rPr>
          <w:rFonts w:asciiTheme="minorHAnsi" w:eastAsia="Times New Roman" w:hAnsiTheme="minorHAnsi" w:cs="Helvetica"/>
          <w:color w:val="000000" w:themeColor="text1"/>
          <w:szCs w:val="24"/>
          <w:lang w:val="en-GB" w:eastAsia="en-GB"/>
        </w:rPr>
        <w:t>We need sharp players to help tighten our odds as we do not take positions</w:t>
      </w:r>
    </w:p>
    <w:p w14:paraId="5030B8CD" w14:textId="77777777" w:rsidR="003637C2" w:rsidRPr="00A52228" w:rsidRDefault="004F552D" w:rsidP="00236815">
      <w:pPr>
        <w:numPr>
          <w:ilvl w:val="0"/>
          <w:numId w:val="3"/>
        </w:numPr>
        <w:shd w:val="clear" w:color="auto" w:fill="FFFFFF"/>
        <w:spacing w:before="300" w:after="75" w:line="450" w:lineRule="atLeast"/>
        <w:ind w:left="1350" w:right="600"/>
        <w:rPr>
          <w:rFonts w:asciiTheme="minorHAnsi" w:eastAsia="Times New Roman" w:hAnsiTheme="minorHAnsi" w:cs="Helvetica"/>
          <w:color w:val="000000" w:themeColor="text1"/>
          <w:szCs w:val="24"/>
          <w:lang w:val="en-GB" w:eastAsia="en-GB"/>
        </w:rPr>
      </w:pPr>
      <w:r w:rsidRPr="00A52228">
        <w:rPr>
          <w:rFonts w:asciiTheme="minorHAnsi" w:eastAsia="Times New Roman" w:hAnsiTheme="minorHAnsi" w:cs="Helvetica"/>
          <w:color w:val="000000" w:themeColor="text1"/>
          <w:szCs w:val="24"/>
          <w:lang w:val="en-GB" w:eastAsia="en-GB"/>
        </w:rPr>
        <w:t>We have the confidence in our traders to focus on managing odds, not players</w:t>
      </w:r>
      <w:r w:rsidR="00A168E0" w:rsidRPr="00A52228">
        <w:rPr>
          <w:rFonts w:asciiTheme="minorHAnsi" w:eastAsia="Times New Roman" w:hAnsiTheme="minorHAnsi" w:cs="Helvetica"/>
          <w:color w:val="000000" w:themeColor="text1"/>
          <w:szCs w:val="24"/>
          <w:lang w:val="en-GB" w:eastAsia="en-GB"/>
        </w:rPr>
        <w:t>’</w:t>
      </w:r>
    </w:p>
    <w:p w14:paraId="2BDBB42E" w14:textId="11323A1F" w:rsidR="00DA7B52" w:rsidRDefault="00690B06" w:rsidP="00236815">
      <w:pPr>
        <w:spacing w:before="100" w:beforeAutospacing="1" w:after="100" w:afterAutospacing="1" w:line="360" w:lineRule="auto"/>
      </w:pPr>
      <w:r>
        <w:t xml:space="preserve"> </w:t>
      </w:r>
      <w:r w:rsidR="00E1117D">
        <w:t xml:space="preserve">By contrast, traditional European operators actively manage their client portfolios to deter trade from these groups. </w:t>
      </w:r>
      <w:r>
        <w:t>Where an individual’s betting activity generates what these bookmakers regard as an unprofitable line of business over a sustained period,</w:t>
      </w:r>
      <w:r w:rsidR="00DA7B52">
        <w:t xml:space="preserve"> this frequently </w:t>
      </w:r>
      <w:r w:rsidR="00DA7B52">
        <w:lastRenderedPageBreak/>
        <w:t xml:space="preserve">results either in staking limits being imposed on that individual, </w:t>
      </w:r>
      <w:r w:rsidR="004F552D">
        <w:t xml:space="preserve">delays in settling debts, </w:t>
      </w:r>
      <w:r w:rsidR="00DA7B52">
        <w:t xml:space="preserve">or at the limit, termination of the ability to trade. </w:t>
      </w:r>
      <w:r w:rsidR="004F552D">
        <w:t>The following actual, but a</w:t>
      </w:r>
      <w:r w:rsidR="00DA7B52">
        <w:t>nonymised</w:t>
      </w:r>
      <w:r w:rsidR="004F552D">
        <w:t>,</w:t>
      </w:r>
      <w:r w:rsidR="00DA7B52">
        <w:t xml:space="preserve"> example of </w:t>
      </w:r>
      <w:r w:rsidR="00D41079">
        <w:t xml:space="preserve">an e-mail communication (one of a number of similar examples held by the authors) </w:t>
      </w:r>
      <w:r w:rsidR="00DA7B52">
        <w:t>illustrate</w:t>
      </w:r>
      <w:r w:rsidR="00D41079">
        <w:t>s</w:t>
      </w:r>
      <w:r w:rsidR="00DA7B52">
        <w:t xml:space="preserve"> this practice.</w:t>
      </w:r>
    </w:p>
    <w:p w14:paraId="18916433" w14:textId="456147B2" w:rsidR="00D41079" w:rsidRDefault="00D41079" w:rsidP="00236815">
      <w:pPr>
        <w:ind w:left="720"/>
      </w:pPr>
      <w:r>
        <w:t>`Following a review of your account by our trading department, moving forward you are no longer going to be able to place bets to the stake size that you have been accustomed to. Although your account will remain open and active, the bets you are likely to be able to place will be significantly less than what you have been able place in the past. ‘</w:t>
      </w:r>
    </w:p>
    <w:p w14:paraId="1CBDB9F1" w14:textId="77777777" w:rsidR="00D41079" w:rsidRDefault="00D41079" w:rsidP="00D41079"/>
    <w:p w14:paraId="38BACAEA" w14:textId="56994DB5" w:rsidR="00DA7B52" w:rsidRDefault="00DA7B52" w:rsidP="00F101B5">
      <w:pPr>
        <w:spacing w:line="360" w:lineRule="auto"/>
        <w:jc w:val="both"/>
      </w:pPr>
      <w:r>
        <w:t xml:space="preserve">In addition, this practice of turning away </w:t>
      </w:r>
      <w:r w:rsidR="00310393">
        <w:t xml:space="preserve">or deterring </w:t>
      </w:r>
      <w:r>
        <w:t>potentially unprofitable business has been widely reported in th</w:t>
      </w:r>
      <w:r w:rsidR="004F552D">
        <w:t>e general and specialist media. The Guardian (</w:t>
      </w:r>
      <w:r w:rsidR="00A168E0">
        <w:t xml:space="preserve">28 June, </w:t>
      </w:r>
      <w:r w:rsidR="004F552D">
        <w:t xml:space="preserve">2016) </w:t>
      </w:r>
      <w:r w:rsidR="00310393">
        <w:t>describes</w:t>
      </w:r>
      <w:r w:rsidR="004F552D">
        <w:t xml:space="preserve"> one such instance:</w:t>
      </w:r>
    </w:p>
    <w:p w14:paraId="79249DEB" w14:textId="5D50122A" w:rsidR="00D373D3" w:rsidRDefault="004F552D" w:rsidP="00D373D3">
      <w:pPr>
        <w:spacing w:after="0" w:line="240" w:lineRule="auto"/>
        <w:ind w:left="720"/>
        <w:rPr>
          <w:rFonts w:asciiTheme="minorHAnsi" w:eastAsia="Times New Roman" w:hAnsiTheme="minorHAnsi" w:cs="Times New Roman"/>
          <w:color w:val="auto"/>
          <w:szCs w:val="24"/>
          <w:lang w:val="en-GB" w:eastAsia="en-GB"/>
        </w:rPr>
      </w:pPr>
      <w:r w:rsidRPr="00236815">
        <w:rPr>
          <w:rFonts w:asciiTheme="minorHAnsi" w:eastAsia="Times New Roman" w:hAnsiTheme="minorHAnsi" w:cs="Times New Roman"/>
          <w:color w:val="auto"/>
          <w:szCs w:val="24"/>
          <w:lang w:val="en-GB" w:eastAsia="en-GB"/>
        </w:rPr>
        <w:t>`</w:t>
      </w:r>
      <w:r w:rsidR="001F4757" w:rsidRPr="00236815">
        <w:rPr>
          <w:rFonts w:asciiTheme="minorHAnsi" w:eastAsia="Times New Roman" w:hAnsiTheme="minorHAnsi" w:cs="Times New Roman"/>
          <w:color w:val="auto"/>
          <w:szCs w:val="24"/>
          <w:lang w:val="en-GB" w:eastAsia="en-GB"/>
        </w:rPr>
        <w:t>Bet365, one of the internet’s biggest bookmakers, is facing legal action from a customer over its failure to transfer a £54,000 balance to her bank account despite repeated requests over a period of months. While refusing to release the backer’s winnings on a series of horse racing bets, Bet365 also told her that she would be restricted to a maximum stake of £1 if she wished to bet with the balance but was welcome to gamble as much as she wished on gaming products, which have a guaranteed margin for the operator.</w:t>
      </w:r>
      <w:r w:rsidR="003637C2">
        <w:rPr>
          <w:rFonts w:asciiTheme="minorHAnsi" w:eastAsia="Times New Roman" w:hAnsiTheme="minorHAnsi" w:cs="Times New Roman"/>
          <w:color w:val="auto"/>
          <w:szCs w:val="24"/>
          <w:lang w:val="en-GB" w:eastAsia="en-GB"/>
        </w:rPr>
        <w:t xml:space="preserve"> </w:t>
      </w:r>
      <w:r w:rsidR="001F4757" w:rsidRPr="00236815">
        <w:rPr>
          <w:rFonts w:asciiTheme="minorHAnsi" w:eastAsia="Times New Roman" w:hAnsiTheme="minorHAnsi" w:cs="Times New Roman"/>
          <w:color w:val="auto"/>
          <w:szCs w:val="24"/>
          <w:lang w:val="en-GB" w:eastAsia="en-GB"/>
        </w:rPr>
        <w:t>The punter, whose identity is known to the Guardian, opened an account with Bet365 on 16 April and deposited £30,000 with the firm the following day, when she placed a series of bets on horse racing and lost £23,000. She received an email from Bet365 the same day, which stated that the size of the maximum bet she was allowed to place had been increased.</w:t>
      </w:r>
      <w:r w:rsidR="003637C2">
        <w:rPr>
          <w:rFonts w:asciiTheme="minorHAnsi" w:eastAsia="Times New Roman" w:hAnsiTheme="minorHAnsi" w:cs="Times New Roman"/>
          <w:color w:val="auto"/>
          <w:szCs w:val="24"/>
          <w:lang w:val="en-GB" w:eastAsia="en-GB"/>
        </w:rPr>
        <w:t xml:space="preserve"> </w:t>
      </w:r>
      <w:r w:rsidR="001F4757" w:rsidRPr="00236815">
        <w:rPr>
          <w:rFonts w:asciiTheme="minorHAnsi" w:eastAsia="Times New Roman" w:hAnsiTheme="minorHAnsi" w:cs="Times New Roman"/>
          <w:color w:val="auto"/>
          <w:szCs w:val="24"/>
          <w:lang w:val="en-GB" w:eastAsia="en-GB"/>
        </w:rPr>
        <w:t>The following day she placed further bets with the remaining £7,000, winning a total of £47,000, which raised her balance to about £54,000. The same day she was informed via email that in future her account would be restricted to a maximum stake of £1 on</w:t>
      </w:r>
      <w:r w:rsidR="00A168E0">
        <w:rPr>
          <w:rFonts w:asciiTheme="minorHAnsi" w:eastAsia="Times New Roman" w:hAnsiTheme="minorHAnsi" w:cs="Times New Roman"/>
          <w:color w:val="auto"/>
          <w:szCs w:val="24"/>
          <w:lang w:val="en-GB" w:eastAsia="en-GB"/>
        </w:rPr>
        <w:t xml:space="preserve"> racing bets as the result of</w:t>
      </w:r>
      <w:r w:rsidR="00D373D3">
        <w:rPr>
          <w:rFonts w:asciiTheme="minorHAnsi" w:eastAsia="Times New Roman" w:hAnsiTheme="minorHAnsi" w:cs="Times New Roman"/>
          <w:color w:val="auto"/>
          <w:szCs w:val="24"/>
          <w:lang w:val="en-GB" w:eastAsia="en-GB"/>
        </w:rPr>
        <w:t xml:space="preserve"> a “trading decision”.’</w:t>
      </w:r>
    </w:p>
    <w:p w14:paraId="0FA5BCF8" w14:textId="51361DF7" w:rsidR="00DA7B52" w:rsidRDefault="00A168E0" w:rsidP="00D373D3">
      <w:pPr>
        <w:spacing w:after="0" w:line="240" w:lineRule="auto"/>
        <w:ind w:left="720"/>
        <w:rPr>
          <w:rFonts w:asciiTheme="minorHAnsi" w:eastAsia="Times New Roman" w:hAnsiTheme="minorHAnsi" w:cs="Times New Roman"/>
          <w:color w:val="auto"/>
          <w:szCs w:val="24"/>
          <w:lang w:val="en-GB" w:eastAsia="en-GB"/>
        </w:rPr>
      </w:pPr>
      <w:r>
        <w:rPr>
          <w:rFonts w:asciiTheme="minorHAnsi" w:eastAsia="Times New Roman" w:hAnsiTheme="minorHAnsi" w:cs="Times New Roman"/>
          <w:color w:val="auto"/>
          <w:szCs w:val="24"/>
          <w:lang w:val="en-GB" w:eastAsia="en-GB"/>
        </w:rPr>
        <w:t xml:space="preserve"> </w:t>
      </w:r>
    </w:p>
    <w:p w14:paraId="033951DA" w14:textId="1E539646" w:rsidR="001635BF" w:rsidRDefault="00A168E0" w:rsidP="00236815">
      <w:pPr>
        <w:spacing w:before="100" w:beforeAutospacing="1" w:after="100" w:afterAutospacing="1" w:line="360" w:lineRule="auto"/>
      </w:pPr>
      <w:r>
        <w:t xml:space="preserve">The UK Horseracing Bettors’ Forum </w:t>
      </w:r>
      <w:r w:rsidR="001635BF">
        <w:t xml:space="preserve">(UKHBF) </w:t>
      </w:r>
      <w:r>
        <w:t xml:space="preserve">conducted a survey in </w:t>
      </w:r>
      <w:r w:rsidR="003637C2">
        <w:t xml:space="preserve">April </w:t>
      </w:r>
      <w:r>
        <w:t xml:space="preserve">2016 of betting account closure, which demonstrated the widespread nature of the practice among UK bookmakers. On the basis of the survey, </w:t>
      </w:r>
      <w:r w:rsidR="003637C2">
        <w:t>it was</w:t>
      </w:r>
      <w:r>
        <w:t xml:space="preserve"> estimated that around 20,000 accounts had been closed in the previous six months (The Guardian, 13 June 2016, UKHBF (2016)).</w:t>
      </w:r>
      <w:r w:rsidR="001635BF">
        <w:t xml:space="preserve"> </w:t>
      </w:r>
    </w:p>
    <w:p w14:paraId="418AA8E9" w14:textId="14B45A8B" w:rsidR="00AD113C" w:rsidRDefault="00E1117D" w:rsidP="00F101B5">
      <w:pPr>
        <w:spacing w:line="360" w:lineRule="auto"/>
        <w:jc w:val="both"/>
      </w:pPr>
      <w:r>
        <w:t xml:space="preserve">These </w:t>
      </w:r>
      <w:r w:rsidR="001635BF">
        <w:t xml:space="preserve">sharply distinct </w:t>
      </w:r>
      <w:r>
        <w:t xml:space="preserve">approaches </w:t>
      </w:r>
      <w:r w:rsidR="00DA7B52">
        <w:t xml:space="preserve">to clients </w:t>
      </w:r>
      <w:r>
        <w:t xml:space="preserve">are </w:t>
      </w:r>
      <w:r w:rsidR="00DA7B52">
        <w:t xml:space="preserve">further </w:t>
      </w:r>
      <w:r>
        <w:t xml:space="preserve">reflected in </w:t>
      </w:r>
      <w:r w:rsidR="00D3388D">
        <w:t xml:space="preserve">differences in the evolution of betting markets </w:t>
      </w:r>
      <w:r w:rsidR="00A016E2">
        <w:t>relating to individual events</w:t>
      </w:r>
      <w:r w:rsidR="001068D2">
        <w:t>. European operators vary</w:t>
      </w:r>
      <w:r w:rsidR="00D3388D">
        <w:t xml:space="preserve"> the initial menu of odds onl</w:t>
      </w:r>
      <w:r w:rsidR="001068D2">
        <w:t xml:space="preserve">y occasionally. In contrast, </w:t>
      </w:r>
      <w:r w:rsidR="00D41079">
        <w:t xml:space="preserve">the new entrant </w:t>
      </w:r>
      <w:r w:rsidR="00D3388D">
        <w:t>operators engag</w:t>
      </w:r>
      <w:r w:rsidR="001068D2">
        <w:t>e</w:t>
      </w:r>
      <w:r w:rsidR="00D3388D">
        <w:t xml:space="preserve"> in much more frequent odds adjustments as information is brought, unfettered, to market by a wider clientele. </w:t>
      </w:r>
    </w:p>
    <w:p w14:paraId="3F073C41" w14:textId="29FCEC15" w:rsidR="00AD113C" w:rsidRPr="00236815" w:rsidRDefault="00AD113C" w:rsidP="00AD113C">
      <w:pPr>
        <w:spacing w:line="360" w:lineRule="auto"/>
        <w:jc w:val="both"/>
        <w:rPr>
          <w:rFonts w:asciiTheme="minorHAnsi" w:eastAsiaTheme="minorEastAsia" w:hAnsiTheme="minorHAnsi" w:cs="Times New Roman"/>
          <w:szCs w:val="24"/>
          <w:lang w:eastAsia="zh-CN"/>
        </w:rPr>
      </w:pPr>
      <w:r w:rsidRPr="00236815">
        <w:rPr>
          <w:rFonts w:asciiTheme="minorHAnsi" w:hAnsiTheme="minorHAnsi" w:cs="Times New Roman"/>
          <w:szCs w:val="24"/>
        </w:rPr>
        <w:t>A comparison between leading representatives of each group of bookmakers (SBOBet and Ladbrokes), employing the main dataset used in this study (see Section 3, below, for details), charts changes in odds collected at nine points in time in the 24 hours leading to the kickoff of 2,132 matches. This reveals that the odds of the book-balancing bookmaker SBOBet are different at point t (compared to its odds at point t-1) on 77% of occasions. However, the odds of the PTB, Ladbrokes, only differ from the preceding time period on 12.4% of occasions.</w:t>
      </w:r>
      <w:r w:rsidRPr="00236815">
        <w:rPr>
          <w:rFonts w:asciiTheme="minorHAnsi" w:eastAsia="PMingLiU" w:hAnsiTheme="minorHAnsi" w:cs="Times New Roman"/>
          <w:szCs w:val="24"/>
          <w:lang w:eastAsia="zh-TW"/>
        </w:rPr>
        <w:t xml:space="preserve"> SBOBet odds changed, on average, on 5.4 occasions per match in the 24 hours prior to kick off whilst the equivalent figure for Ladbrokes is 0.8.</w:t>
      </w:r>
      <w:r w:rsidRPr="00236815">
        <w:rPr>
          <w:rFonts w:asciiTheme="minorHAnsi" w:hAnsiTheme="minorHAnsi" w:cs="Times New Roman"/>
          <w:szCs w:val="24"/>
        </w:rPr>
        <w:t xml:space="preserve"> A t-test confirms that the difference in the frequency of changes is very unlikely to be random (p</w:t>
      </w:r>
      <w:r w:rsidRPr="00236815">
        <w:rPr>
          <w:rFonts w:asciiTheme="minorHAnsi" w:eastAsiaTheme="minorEastAsia" w:hAnsiTheme="minorHAnsi" w:cs="Times New Roman"/>
          <w:szCs w:val="24"/>
          <w:lang w:eastAsia="zh-CN"/>
        </w:rPr>
        <w:t xml:space="preserve">-value= </w:t>
      </w:r>
      <w:r w:rsidRPr="00236815">
        <w:rPr>
          <w:rFonts w:asciiTheme="minorHAnsi" w:hAnsiTheme="minorHAnsi" w:cs="Times New Roman"/>
          <w:szCs w:val="24"/>
        </w:rPr>
        <w:t>0.00</w:t>
      </w:r>
      <w:r w:rsidRPr="00236815">
        <w:rPr>
          <w:rFonts w:asciiTheme="minorHAnsi" w:eastAsiaTheme="minorEastAsia" w:hAnsiTheme="minorHAnsi" w:cs="Times New Roman"/>
          <w:szCs w:val="24"/>
          <w:lang w:eastAsia="zh-CN"/>
        </w:rPr>
        <w:t>0)</w:t>
      </w:r>
      <w:r w:rsidRPr="00236815">
        <w:rPr>
          <w:rFonts w:asciiTheme="minorHAnsi" w:hAnsiTheme="minorHAnsi" w:cs="Times New Roman"/>
          <w:szCs w:val="24"/>
        </w:rPr>
        <w:t>.</w:t>
      </w:r>
      <w:r w:rsidRPr="00236815">
        <w:rPr>
          <w:rFonts w:asciiTheme="minorHAnsi" w:eastAsiaTheme="minorEastAsia" w:hAnsiTheme="minorHAnsi" w:cs="Times New Roman"/>
          <w:szCs w:val="24"/>
          <w:lang w:eastAsia="zh-CN"/>
        </w:rPr>
        <w:t xml:space="preserve"> </w:t>
      </w:r>
    </w:p>
    <w:p w14:paraId="74401776" w14:textId="548E50C8" w:rsidR="005E731F" w:rsidRDefault="005E731F" w:rsidP="005E731F">
      <w:pPr>
        <w:spacing w:line="360" w:lineRule="auto"/>
        <w:jc w:val="both"/>
      </w:pPr>
      <w:r>
        <w:t>The active client management adopted by</w:t>
      </w:r>
      <w:r w:rsidRPr="00F101B5">
        <w:t xml:space="preserve"> </w:t>
      </w:r>
      <w:r w:rsidR="00D41079">
        <w:t xml:space="preserve">established </w:t>
      </w:r>
      <w:r>
        <w:t xml:space="preserve">European-based operators restricts turnover, relative to their </w:t>
      </w:r>
      <w:r w:rsidR="00D41079">
        <w:t>new entrant</w:t>
      </w:r>
      <w:r>
        <w:t xml:space="preserve"> counterparts. However, the former can expect to secure higher margins by avoiding exposure to informed behaviour. These relatively high margins will also be required to offset risks of holding inventory in the form of unbalanced liabilities across match outcomes.</w:t>
      </w:r>
    </w:p>
    <w:p w14:paraId="231D4D43" w14:textId="54F6C3E8" w:rsidR="00484E48" w:rsidRDefault="005E731F" w:rsidP="00870B6A">
      <w:pPr>
        <w:spacing w:line="360" w:lineRule="auto"/>
        <w:jc w:val="both"/>
      </w:pPr>
      <w:r>
        <w:t>We refer to traditional European operators as ‘position-taking bookmakers’ (PTBs), reflecting the inflexibility of their odds.</w:t>
      </w:r>
      <w:r w:rsidR="00106B5C">
        <w:t xml:space="preserve"> </w:t>
      </w:r>
      <w:r w:rsidR="00C625FA">
        <w:t xml:space="preserve">The </w:t>
      </w:r>
      <w:r w:rsidR="00484E48">
        <w:t xml:space="preserve">dynamic </w:t>
      </w:r>
      <w:r w:rsidR="00C625FA">
        <w:t xml:space="preserve">odds of the </w:t>
      </w:r>
      <w:r w:rsidR="00D41079">
        <w:t>new entrant</w:t>
      </w:r>
      <w:r w:rsidR="00C625FA">
        <w:t xml:space="preserve"> bookmakers, </w:t>
      </w:r>
      <w:r w:rsidR="00484E48">
        <w:t>by contrast,</w:t>
      </w:r>
      <w:r w:rsidR="00C625FA">
        <w:t xml:space="preserve"> </w:t>
      </w:r>
      <w:r w:rsidR="00484E48">
        <w:t xml:space="preserve">whilst </w:t>
      </w:r>
      <w:r w:rsidR="00C625FA">
        <w:t>minimis</w:t>
      </w:r>
      <w:r w:rsidR="00484E48">
        <w:t>ing</w:t>
      </w:r>
      <w:r w:rsidR="00C625FA">
        <w:t xml:space="preserve"> the risk </w:t>
      </w:r>
      <w:r w:rsidR="00484E48">
        <w:t>of</w:t>
      </w:r>
      <w:r w:rsidR="00C625FA">
        <w:t xml:space="preserve"> holding </w:t>
      </w:r>
      <w:r w:rsidR="00484E48">
        <w:t xml:space="preserve">outcome-dependant </w:t>
      </w:r>
      <w:r w:rsidR="00C625FA">
        <w:t>inventory,</w:t>
      </w:r>
      <w:r w:rsidR="00484E48">
        <w:t xml:space="preserve"> result in </w:t>
      </w:r>
      <w:r w:rsidR="00C625FA">
        <w:t xml:space="preserve">lower margins </w:t>
      </w:r>
      <w:r w:rsidR="00484E48">
        <w:t>associated with the higher</w:t>
      </w:r>
      <w:r w:rsidR="00C625FA">
        <w:t xml:space="preserve"> proc</w:t>
      </w:r>
      <w:r w:rsidR="00484E48">
        <w:t>essing costs of frequently changing odds</w:t>
      </w:r>
      <w:r w:rsidR="00C625FA">
        <w:t xml:space="preserve">. We refer to these bookmakers as ‘book-balancing bookmakers’ (BBBs). </w:t>
      </w:r>
      <w:r w:rsidR="00BC4ED5">
        <w:t>The theoretical underpinning</w:t>
      </w:r>
      <w:r w:rsidR="00A016E2">
        <w:t>s of</w:t>
      </w:r>
      <w:r w:rsidR="00BC4ED5">
        <w:t xml:space="preserve"> the distinctions between PTBs and BBBs are </w:t>
      </w:r>
      <w:r w:rsidR="009F4389">
        <w:t>explained</w:t>
      </w:r>
      <w:r w:rsidR="00BC4ED5">
        <w:t xml:space="preserve"> </w:t>
      </w:r>
      <w:r w:rsidR="00E013CC">
        <w:t>more fully</w:t>
      </w:r>
      <w:r w:rsidR="00BC4ED5">
        <w:t xml:space="preserve"> in Section 2.2.</w:t>
      </w:r>
    </w:p>
    <w:p w14:paraId="211CDD16" w14:textId="52203DF9" w:rsidR="00C625FA" w:rsidRDefault="004A53D7" w:rsidP="00870B6A">
      <w:pPr>
        <w:spacing w:line="360" w:lineRule="auto"/>
        <w:jc w:val="both"/>
      </w:pPr>
      <w:r>
        <w:t>A further</w:t>
      </w:r>
      <w:r w:rsidR="00C625FA">
        <w:t xml:space="preserve"> </w:t>
      </w:r>
      <w:r>
        <w:t>significant distinction between the groups</w:t>
      </w:r>
      <w:r w:rsidR="00281D75">
        <w:t>, in product terms,</w:t>
      </w:r>
      <w:r>
        <w:t xml:space="preserve"> relates to</w:t>
      </w:r>
      <w:r w:rsidR="00C625FA">
        <w:t xml:space="preserve"> the prominent use of the Asian Handicap </w:t>
      </w:r>
      <w:r w:rsidR="00281D75">
        <w:t xml:space="preserve">(AH) </w:t>
      </w:r>
      <w:r w:rsidR="00C625FA">
        <w:t>product</w:t>
      </w:r>
      <w:r>
        <w:t xml:space="preserve"> by the BBBs. This</w:t>
      </w:r>
      <w:r w:rsidR="00C625FA">
        <w:t xml:space="preserve"> effectively eliminates the need for the bookmaker to set odds against the ‘draw’ outcome</w:t>
      </w:r>
      <w:r>
        <w:t xml:space="preserve"> by</w:t>
      </w:r>
      <w:r w:rsidR="00C625FA">
        <w:t xml:space="preserve"> setting a point spread involving a fraction of a goal, or refunding bets in the case of a draw. Effectively, </w:t>
      </w:r>
      <w:r>
        <w:t xml:space="preserve">this simplifies inventory rebalancing as </w:t>
      </w:r>
      <w:r w:rsidR="00C625FA">
        <w:t xml:space="preserve">the market consists of two, rather than three outcomes, </w:t>
      </w:r>
      <w:r>
        <w:t>compared with the threefold</w:t>
      </w:r>
      <w:r w:rsidR="00C625FA">
        <w:t xml:space="preserve"> ‘Home-Draw-Away’ </w:t>
      </w:r>
      <w:r w:rsidR="00281D75">
        <w:t xml:space="preserve">or 1X2 </w:t>
      </w:r>
      <w:r>
        <w:t>menu</w:t>
      </w:r>
      <w:r w:rsidR="00C625FA">
        <w:t xml:space="preserve"> offered by </w:t>
      </w:r>
      <w:r>
        <w:t>PTBs</w:t>
      </w:r>
      <w:r w:rsidR="00C625FA">
        <w:t>.</w:t>
      </w:r>
    </w:p>
    <w:p w14:paraId="589C41AA" w14:textId="3C3A8193" w:rsidR="00505B39" w:rsidRDefault="00505B39" w:rsidP="00870B6A">
      <w:pPr>
        <w:spacing w:line="360" w:lineRule="auto"/>
        <w:jc w:val="both"/>
      </w:pPr>
      <w:r>
        <w:t>Table 1 offers a summary comparison of differing characteristics of the distinct bookmaker groups.</w:t>
      </w:r>
    </w:p>
    <w:p w14:paraId="16A7E57A" w14:textId="78FCF689" w:rsidR="00505B39" w:rsidRPr="00D126DC" w:rsidRDefault="00505B39" w:rsidP="00505B39">
      <w:pPr>
        <w:rPr>
          <w:rFonts w:asciiTheme="minorHAnsi" w:eastAsiaTheme="minorHAnsi" w:hAnsiTheme="minorHAnsi" w:cstheme="minorBidi"/>
          <w:color w:val="auto"/>
          <w:sz w:val="20"/>
          <w:szCs w:val="20"/>
          <w:lang w:val="en-GB" w:eastAsia="en-US"/>
        </w:rPr>
      </w:pPr>
      <w:r w:rsidRPr="00D126DC">
        <w:rPr>
          <w:rFonts w:asciiTheme="minorHAnsi" w:eastAsiaTheme="minorHAnsi" w:hAnsiTheme="minorHAnsi" w:cstheme="minorBidi"/>
          <w:color w:val="auto"/>
          <w:sz w:val="20"/>
          <w:szCs w:val="20"/>
          <w:lang w:val="en-GB" w:eastAsia="en-US"/>
        </w:rPr>
        <w:t>Table 1: Summary of distinctions between established and new-entrant bookmaker group</w:t>
      </w:r>
      <w:r w:rsidR="003E1E8B">
        <w:rPr>
          <w:rFonts w:asciiTheme="minorHAnsi" w:eastAsiaTheme="minorHAnsi" w:hAnsiTheme="minorHAnsi" w:cstheme="minorBidi"/>
          <w:color w:val="auto"/>
          <w:sz w:val="20"/>
          <w:szCs w:val="20"/>
          <w:lang w:val="en-GB" w:eastAsia="en-US"/>
        </w:rPr>
        <w:t>s</w:t>
      </w:r>
      <w:r w:rsidRPr="00D126DC">
        <w:rPr>
          <w:rFonts w:asciiTheme="minorHAnsi" w:eastAsiaTheme="minorHAnsi" w:hAnsiTheme="minorHAnsi" w:cstheme="minorBidi"/>
          <w:color w:val="auto"/>
          <w:sz w:val="20"/>
          <w:szCs w:val="20"/>
          <w:lang w:val="en-GB" w:eastAsia="en-US"/>
        </w:rPr>
        <w:t xml:space="preserve"> in the European soccer betting market</w:t>
      </w:r>
    </w:p>
    <w:tbl>
      <w:tblPr>
        <w:tblStyle w:val="PlainTable5"/>
        <w:tblW w:w="0" w:type="auto"/>
        <w:tblLook w:val="04A0" w:firstRow="1" w:lastRow="0" w:firstColumn="1" w:lastColumn="0" w:noHBand="0" w:noVBand="1"/>
      </w:tblPr>
      <w:tblGrid>
        <w:gridCol w:w="3005"/>
        <w:gridCol w:w="3005"/>
        <w:gridCol w:w="3006"/>
      </w:tblGrid>
      <w:tr w:rsidR="00505B39" w:rsidRPr="00505B39" w14:paraId="53C0BACF" w14:textId="77777777" w:rsidTr="004B5E1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05" w:type="dxa"/>
          </w:tcPr>
          <w:p w14:paraId="421B3856" w14:textId="4584AFF2" w:rsidR="00505B39" w:rsidRPr="004B5E15" w:rsidRDefault="004B5E15" w:rsidP="00505B39">
            <w:pPr>
              <w:rPr>
                <w:rFonts w:asciiTheme="minorHAnsi" w:eastAsiaTheme="minorHAnsi" w:hAnsiTheme="minorHAnsi" w:cstheme="minorBidi"/>
                <w:b/>
                <w:color w:val="auto"/>
                <w:szCs w:val="24"/>
              </w:rPr>
            </w:pPr>
            <w:r w:rsidRPr="004B5E15">
              <w:rPr>
                <w:rFonts w:asciiTheme="minorHAnsi" w:eastAsiaTheme="minorHAnsi" w:hAnsiTheme="minorHAnsi" w:cstheme="minorBidi"/>
                <w:b/>
                <w:color w:val="auto"/>
                <w:szCs w:val="24"/>
              </w:rPr>
              <w:t>Feature of bookmaker group</w:t>
            </w:r>
          </w:p>
        </w:tc>
        <w:tc>
          <w:tcPr>
            <w:tcW w:w="3005" w:type="dxa"/>
          </w:tcPr>
          <w:p w14:paraId="294D0BDE" w14:textId="77777777" w:rsidR="00505B39" w:rsidRPr="004B5E15" w:rsidRDefault="00505B39" w:rsidP="00505B39">
            <w:pP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Bidi"/>
                <w:b/>
                <w:color w:val="auto"/>
                <w:szCs w:val="24"/>
              </w:rPr>
            </w:pPr>
            <w:r w:rsidRPr="004B5E15">
              <w:rPr>
                <w:rFonts w:asciiTheme="minorHAnsi" w:eastAsiaTheme="minorHAnsi" w:hAnsiTheme="minorHAnsi" w:cstheme="minorBidi"/>
                <w:b/>
                <w:color w:val="auto"/>
                <w:szCs w:val="24"/>
              </w:rPr>
              <w:t>Established Group</w:t>
            </w:r>
          </w:p>
        </w:tc>
        <w:tc>
          <w:tcPr>
            <w:tcW w:w="3006" w:type="dxa"/>
          </w:tcPr>
          <w:p w14:paraId="0BCD0836" w14:textId="77777777" w:rsidR="00505B39" w:rsidRPr="004B5E15" w:rsidRDefault="00505B39" w:rsidP="00505B39">
            <w:pP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Bidi"/>
                <w:b/>
                <w:color w:val="auto"/>
                <w:szCs w:val="24"/>
              </w:rPr>
            </w:pPr>
            <w:r w:rsidRPr="004B5E15">
              <w:rPr>
                <w:rFonts w:asciiTheme="minorHAnsi" w:eastAsiaTheme="minorHAnsi" w:hAnsiTheme="minorHAnsi" w:cstheme="minorBidi"/>
                <w:b/>
                <w:color w:val="auto"/>
                <w:szCs w:val="24"/>
              </w:rPr>
              <w:t>New Entrant Group</w:t>
            </w:r>
          </w:p>
        </w:tc>
      </w:tr>
      <w:tr w:rsidR="00505B39" w:rsidRPr="00505B39" w14:paraId="626BD44C" w14:textId="77777777" w:rsidTr="004B5E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23CB8412" w14:textId="1744EAB8" w:rsidR="00505B39" w:rsidRPr="00505B39" w:rsidRDefault="00505B39" w:rsidP="00505B39">
            <w:pPr>
              <w:rPr>
                <w:rFonts w:asciiTheme="minorHAnsi" w:eastAsiaTheme="minorHAnsi" w:hAnsiTheme="minorHAnsi" w:cstheme="minorBidi"/>
                <w:color w:val="auto"/>
                <w:szCs w:val="24"/>
              </w:rPr>
            </w:pPr>
            <w:r w:rsidRPr="00505B39">
              <w:rPr>
                <w:rFonts w:asciiTheme="minorHAnsi" w:eastAsiaTheme="minorHAnsi" w:hAnsiTheme="minorHAnsi" w:cstheme="minorBidi"/>
                <w:color w:val="auto"/>
                <w:szCs w:val="24"/>
              </w:rPr>
              <w:t xml:space="preserve">Geographic </w:t>
            </w:r>
            <w:r>
              <w:rPr>
                <w:rFonts w:asciiTheme="minorHAnsi" w:eastAsiaTheme="minorHAnsi" w:hAnsiTheme="minorHAnsi" w:cstheme="minorBidi"/>
                <w:color w:val="auto"/>
                <w:szCs w:val="24"/>
              </w:rPr>
              <w:t>o</w:t>
            </w:r>
            <w:r w:rsidRPr="00505B39">
              <w:rPr>
                <w:rFonts w:asciiTheme="minorHAnsi" w:eastAsiaTheme="minorHAnsi" w:hAnsiTheme="minorHAnsi" w:cstheme="minorBidi"/>
                <w:color w:val="auto"/>
                <w:szCs w:val="24"/>
              </w:rPr>
              <w:t>rigin/HQ</w:t>
            </w:r>
          </w:p>
        </w:tc>
        <w:tc>
          <w:tcPr>
            <w:tcW w:w="3005" w:type="dxa"/>
          </w:tcPr>
          <w:p w14:paraId="51967D75" w14:textId="77777777" w:rsidR="00505B39" w:rsidRPr="00505B39" w:rsidRDefault="00505B39" w:rsidP="00505B39">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color w:val="auto"/>
                <w:szCs w:val="24"/>
              </w:rPr>
            </w:pPr>
            <w:r w:rsidRPr="00505B39">
              <w:rPr>
                <w:rFonts w:asciiTheme="minorHAnsi" w:eastAsiaTheme="minorHAnsi" w:hAnsiTheme="minorHAnsi" w:cstheme="minorBidi"/>
                <w:color w:val="auto"/>
                <w:szCs w:val="24"/>
              </w:rPr>
              <w:t>Europe</w:t>
            </w:r>
          </w:p>
        </w:tc>
        <w:tc>
          <w:tcPr>
            <w:tcW w:w="3006" w:type="dxa"/>
          </w:tcPr>
          <w:p w14:paraId="1557BFF5" w14:textId="77777777" w:rsidR="00505B39" w:rsidRPr="00505B39" w:rsidRDefault="00505B39" w:rsidP="00505B39">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color w:val="auto"/>
                <w:szCs w:val="24"/>
              </w:rPr>
            </w:pPr>
            <w:r w:rsidRPr="00505B39">
              <w:rPr>
                <w:rFonts w:asciiTheme="minorHAnsi" w:eastAsiaTheme="minorHAnsi" w:hAnsiTheme="minorHAnsi" w:cstheme="minorBidi"/>
                <w:color w:val="auto"/>
                <w:szCs w:val="24"/>
              </w:rPr>
              <w:t>(generally) Asia</w:t>
            </w:r>
          </w:p>
        </w:tc>
      </w:tr>
      <w:tr w:rsidR="00505B39" w:rsidRPr="00505B39" w14:paraId="2A101BB2" w14:textId="77777777" w:rsidTr="004B5E15">
        <w:tc>
          <w:tcPr>
            <w:cnfStyle w:val="001000000000" w:firstRow="0" w:lastRow="0" w:firstColumn="1" w:lastColumn="0" w:oddVBand="0" w:evenVBand="0" w:oddHBand="0" w:evenHBand="0" w:firstRowFirstColumn="0" w:firstRowLastColumn="0" w:lastRowFirstColumn="0" w:lastRowLastColumn="0"/>
            <w:tcW w:w="3005" w:type="dxa"/>
          </w:tcPr>
          <w:p w14:paraId="5DBC4D96" w14:textId="441D9591" w:rsidR="00505B39" w:rsidRPr="00505B39" w:rsidRDefault="00505B39" w:rsidP="00505B39">
            <w:pPr>
              <w:rPr>
                <w:rFonts w:asciiTheme="minorHAnsi" w:eastAsiaTheme="minorHAnsi" w:hAnsiTheme="minorHAnsi" w:cstheme="minorBidi"/>
                <w:color w:val="auto"/>
                <w:szCs w:val="24"/>
              </w:rPr>
            </w:pPr>
            <w:r w:rsidRPr="00505B39">
              <w:rPr>
                <w:rFonts w:asciiTheme="minorHAnsi" w:eastAsiaTheme="minorHAnsi" w:hAnsiTheme="minorHAnsi" w:cstheme="minorBidi"/>
                <w:color w:val="auto"/>
                <w:szCs w:val="24"/>
              </w:rPr>
              <w:t xml:space="preserve">Trading </w:t>
            </w:r>
            <w:r>
              <w:rPr>
                <w:rFonts w:asciiTheme="minorHAnsi" w:eastAsiaTheme="minorHAnsi" w:hAnsiTheme="minorHAnsi" w:cstheme="minorBidi"/>
                <w:color w:val="auto"/>
                <w:szCs w:val="24"/>
              </w:rPr>
              <w:t>m</w:t>
            </w:r>
            <w:r w:rsidRPr="00505B39">
              <w:rPr>
                <w:rFonts w:asciiTheme="minorHAnsi" w:eastAsiaTheme="minorHAnsi" w:hAnsiTheme="minorHAnsi" w:cstheme="minorBidi"/>
                <w:color w:val="auto"/>
                <w:szCs w:val="24"/>
              </w:rPr>
              <w:t>edium</w:t>
            </w:r>
          </w:p>
        </w:tc>
        <w:tc>
          <w:tcPr>
            <w:tcW w:w="3005" w:type="dxa"/>
          </w:tcPr>
          <w:p w14:paraId="1BF95580" w14:textId="77777777" w:rsidR="00505B39" w:rsidRPr="00505B39" w:rsidRDefault="00505B39" w:rsidP="00505B3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auto"/>
                <w:szCs w:val="24"/>
              </w:rPr>
            </w:pPr>
            <w:r w:rsidRPr="00505B39">
              <w:rPr>
                <w:rFonts w:asciiTheme="minorHAnsi" w:eastAsiaTheme="minorHAnsi" w:hAnsiTheme="minorHAnsi" w:cstheme="minorBidi"/>
                <w:color w:val="auto"/>
                <w:szCs w:val="24"/>
              </w:rPr>
              <w:t>Betting offices + On-line</w:t>
            </w:r>
          </w:p>
        </w:tc>
        <w:tc>
          <w:tcPr>
            <w:tcW w:w="3006" w:type="dxa"/>
          </w:tcPr>
          <w:p w14:paraId="4751D974" w14:textId="77777777" w:rsidR="00505B39" w:rsidRPr="00505B39" w:rsidRDefault="00505B39" w:rsidP="00505B3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auto"/>
                <w:szCs w:val="24"/>
              </w:rPr>
            </w:pPr>
            <w:r w:rsidRPr="00505B39">
              <w:rPr>
                <w:rFonts w:asciiTheme="minorHAnsi" w:eastAsiaTheme="minorHAnsi" w:hAnsiTheme="minorHAnsi" w:cstheme="minorBidi"/>
                <w:color w:val="auto"/>
                <w:szCs w:val="24"/>
              </w:rPr>
              <w:t>On-line</w:t>
            </w:r>
          </w:p>
        </w:tc>
      </w:tr>
      <w:tr w:rsidR="00505B39" w:rsidRPr="00505B39" w14:paraId="46FF7662" w14:textId="77777777" w:rsidTr="004B5E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47034C5D" w14:textId="699DE60E" w:rsidR="00505B39" w:rsidRPr="00505B39" w:rsidRDefault="00505B39" w:rsidP="00505B39">
            <w:pPr>
              <w:rPr>
                <w:rFonts w:asciiTheme="minorHAnsi" w:eastAsiaTheme="minorHAnsi" w:hAnsiTheme="minorHAnsi" w:cstheme="minorBidi"/>
                <w:color w:val="auto"/>
                <w:szCs w:val="24"/>
              </w:rPr>
            </w:pPr>
            <w:r w:rsidRPr="00505B39">
              <w:rPr>
                <w:rFonts w:asciiTheme="minorHAnsi" w:eastAsiaTheme="minorHAnsi" w:hAnsiTheme="minorHAnsi" w:cstheme="minorBidi"/>
                <w:color w:val="auto"/>
                <w:szCs w:val="24"/>
              </w:rPr>
              <w:t xml:space="preserve">Principle of </w:t>
            </w:r>
            <w:r>
              <w:rPr>
                <w:rFonts w:asciiTheme="minorHAnsi" w:eastAsiaTheme="minorHAnsi" w:hAnsiTheme="minorHAnsi" w:cstheme="minorBidi"/>
                <w:color w:val="auto"/>
                <w:szCs w:val="24"/>
              </w:rPr>
              <w:t>o</w:t>
            </w:r>
            <w:r w:rsidRPr="00505B39">
              <w:rPr>
                <w:rFonts w:asciiTheme="minorHAnsi" w:eastAsiaTheme="minorHAnsi" w:hAnsiTheme="minorHAnsi" w:cstheme="minorBidi"/>
                <w:color w:val="auto"/>
                <w:szCs w:val="24"/>
              </w:rPr>
              <w:t>peration</w:t>
            </w:r>
          </w:p>
        </w:tc>
        <w:tc>
          <w:tcPr>
            <w:tcW w:w="3005" w:type="dxa"/>
          </w:tcPr>
          <w:p w14:paraId="64955750" w14:textId="77777777" w:rsidR="00505B39" w:rsidRPr="00505B39" w:rsidRDefault="00505B39" w:rsidP="00505B39">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color w:val="auto"/>
                <w:szCs w:val="24"/>
              </w:rPr>
            </w:pPr>
            <w:r w:rsidRPr="00505B39">
              <w:rPr>
                <w:rFonts w:asciiTheme="minorHAnsi" w:eastAsiaTheme="minorHAnsi" w:hAnsiTheme="minorHAnsi" w:cstheme="minorBidi"/>
                <w:color w:val="auto"/>
                <w:szCs w:val="24"/>
              </w:rPr>
              <w:t>Position-taking</w:t>
            </w:r>
          </w:p>
        </w:tc>
        <w:tc>
          <w:tcPr>
            <w:tcW w:w="3006" w:type="dxa"/>
          </w:tcPr>
          <w:p w14:paraId="5043757F" w14:textId="77777777" w:rsidR="00505B39" w:rsidRPr="00505B39" w:rsidRDefault="00505B39" w:rsidP="00505B39">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color w:val="auto"/>
                <w:szCs w:val="24"/>
              </w:rPr>
            </w:pPr>
            <w:r w:rsidRPr="00505B39">
              <w:rPr>
                <w:rFonts w:asciiTheme="minorHAnsi" w:eastAsiaTheme="minorHAnsi" w:hAnsiTheme="minorHAnsi" w:cstheme="minorBidi"/>
                <w:color w:val="auto"/>
                <w:szCs w:val="24"/>
              </w:rPr>
              <w:t>Book-balancing</w:t>
            </w:r>
          </w:p>
        </w:tc>
      </w:tr>
      <w:tr w:rsidR="00505B39" w:rsidRPr="00505B39" w14:paraId="58A09771" w14:textId="77777777" w:rsidTr="004B5E15">
        <w:tc>
          <w:tcPr>
            <w:cnfStyle w:val="001000000000" w:firstRow="0" w:lastRow="0" w:firstColumn="1" w:lastColumn="0" w:oddVBand="0" w:evenVBand="0" w:oddHBand="0" w:evenHBand="0" w:firstRowFirstColumn="0" w:firstRowLastColumn="0" w:lastRowFirstColumn="0" w:lastRowLastColumn="0"/>
            <w:tcW w:w="3005" w:type="dxa"/>
          </w:tcPr>
          <w:p w14:paraId="516D60FF" w14:textId="77777777" w:rsidR="00505B39" w:rsidRPr="00505B39" w:rsidRDefault="00505B39" w:rsidP="00505B39">
            <w:pPr>
              <w:rPr>
                <w:rFonts w:asciiTheme="minorHAnsi" w:eastAsiaTheme="minorHAnsi" w:hAnsiTheme="minorHAnsi" w:cstheme="minorBidi"/>
                <w:color w:val="auto"/>
                <w:szCs w:val="24"/>
              </w:rPr>
            </w:pPr>
            <w:r w:rsidRPr="00505B39">
              <w:rPr>
                <w:rFonts w:asciiTheme="minorHAnsi" w:eastAsiaTheme="minorHAnsi" w:hAnsiTheme="minorHAnsi" w:cstheme="minorBidi"/>
                <w:color w:val="auto"/>
                <w:szCs w:val="24"/>
              </w:rPr>
              <w:t>Trading volume</w:t>
            </w:r>
          </w:p>
        </w:tc>
        <w:tc>
          <w:tcPr>
            <w:tcW w:w="3005" w:type="dxa"/>
          </w:tcPr>
          <w:p w14:paraId="6C2EF6D8" w14:textId="77777777" w:rsidR="00505B39" w:rsidRPr="00505B39" w:rsidRDefault="00505B39" w:rsidP="00505B3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auto"/>
                <w:szCs w:val="24"/>
              </w:rPr>
            </w:pPr>
            <w:r w:rsidRPr="00505B39">
              <w:rPr>
                <w:rFonts w:asciiTheme="minorHAnsi" w:eastAsiaTheme="minorHAnsi" w:hAnsiTheme="minorHAnsi" w:cstheme="minorBidi"/>
                <w:color w:val="auto"/>
                <w:szCs w:val="24"/>
              </w:rPr>
              <w:t>Relatively low</w:t>
            </w:r>
          </w:p>
        </w:tc>
        <w:tc>
          <w:tcPr>
            <w:tcW w:w="3006" w:type="dxa"/>
          </w:tcPr>
          <w:p w14:paraId="60C09EFF" w14:textId="77777777" w:rsidR="00505B39" w:rsidRPr="00505B39" w:rsidRDefault="00505B39" w:rsidP="00505B3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auto"/>
                <w:szCs w:val="24"/>
              </w:rPr>
            </w:pPr>
            <w:r w:rsidRPr="00505B39">
              <w:rPr>
                <w:rFonts w:asciiTheme="minorHAnsi" w:eastAsiaTheme="minorHAnsi" w:hAnsiTheme="minorHAnsi" w:cstheme="minorBidi"/>
                <w:color w:val="auto"/>
                <w:szCs w:val="24"/>
              </w:rPr>
              <w:t>Relatively high</w:t>
            </w:r>
          </w:p>
        </w:tc>
      </w:tr>
      <w:tr w:rsidR="00505B39" w:rsidRPr="00505B39" w14:paraId="6BB248A8" w14:textId="77777777" w:rsidTr="004B5E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23DEBF17" w14:textId="77777777" w:rsidR="00505B39" w:rsidRPr="00505B39" w:rsidRDefault="00505B39" w:rsidP="00505B39">
            <w:pPr>
              <w:rPr>
                <w:rFonts w:asciiTheme="minorHAnsi" w:eastAsiaTheme="minorHAnsi" w:hAnsiTheme="minorHAnsi" w:cstheme="minorBidi"/>
                <w:color w:val="auto"/>
                <w:szCs w:val="24"/>
              </w:rPr>
            </w:pPr>
            <w:r w:rsidRPr="00505B39">
              <w:rPr>
                <w:rFonts w:asciiTheme="minorHAnsi" w:eastAsiaTheme="minorHAnsi" w:hAnsiTheme="minorHAnsi" w:cstheme="minorBidi"/>
                <w:color w:val="auto"/>
                <w:szCs w:val="24"/>
              </w:rPr>
              <w:t>Margins</w:t>
            </w:r>
          </w:p>
        </w:tc>
        <w:tc>
          <w:tcPr>
            <w:tcW w:w="3005" w:type="dxa"/>
          </w:tcPr>
          <w:p w14:paraId="3355A48E" w14:textId="77777777" w:rsidR="00505B39" w:rsidRPr="00505B39" w:rsidRDefault="00505B39" w:rsidP="00505B39">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color w:val="auto"/>
                <w:szCs w:val="24"/>
              </w:rPr>
            </w:pPr>
            <w:r w:rsidRPr="00505B39">
              <w:rPr>
                <w:rFonts w:asciiTheme="minorHAnsi" w:eastAsiaTheme="minorHAnsi" w:hAnsiTheme="minorHAnsi" w:cstheme="minorBidi"/>
                <w:color w:val="auto"/>
                <w:szCs w:val="24"/>
              </w:rPr>
              <w:t>Relatively high</w:t>
            </w:r>
          </w:p>
        </w:tc>
        <w:tc>
          <w:tcPr>
            <w:tcW w:w="3006" w:type="dxa"/>
          </w:tcPr>
          <w:p w14:paraId="7796B532" w14:textId="77777777" w:rsidR="00505B39" w:rsidRPr="00505B39" w:rsidRDefault="00505B39" w:rsidP="00505B39">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color w:val="auto"/>
                <w:szCs w:val="24"/>
              </w:rPr>
            </w:pPr>
            <w:r w:rsidRPr="00505B39">
              <w:rPr>
                <w:rFonts w:asciiTheme="minorHAnsi" w:eastAsiaTheme="minorHAnsi" w:hAnsiTheme="minorHAnsi" w:cstheme="minorBidi"/>
                <w:color w:val="auto"/>
                <w:szCs w:val="24"/>
              </w:rPr>
              <w:t>Relatively low</w:t>
            </w:r>
          </w:p>
        </w:tc>
      </w:tr>
      <w:tr w:rsidR="00505B39" w:rsidRPr="00505B39" w14:paraId="5693E84A" w14:textId="77777777" w:rsidTr="004B5E15">
        <w:tc>
          <w:tcPr>
            <w:cnfStyle w:val="001000000000" w:firstRow="0" w:lastRow="0" w:firstColumn="1" w:lastColumn="0" w:oddVBand="0" w:evenVBand="0" w:oddHBand="0" w:evenHBand="0" w:firstRowFirstColumn="0" w:firstRowLastColumn="0" w:lastRowFirstColumn="0" w:lastRowLastColumn="0"/>
            <w:tcW w:w="3005" w:type="dxa"/>
          </w:tcPr>
          <w:p w14:paraId="319A3ADC" w14:textId="393E15B3" w:rsidR="00505B39" w:rsidRPr="00505B39" w:rsidRDefault="00505B39" w:rsidP="00505B39">
            <w:pPr>
              <w:rPr>
                <w:rFonts w:asciiTheme="minorHAnsi" w:eastAsiaTheme="minorHAnsi" w:hAnsiTheme="minorHAnsi" w:cstheme="minorBidi"/>
                <w:color w:val="auto"/>
                <w:szCs w:val="24"/>
              </w:rPr>
            </w:pPr>
            <w:r w:rsidRPr="00505B39">
              <w:rPr>
                <w:rFonts w:asciiTheme="minorHAnsi" w:eastAsiaTheme="minorHAnsi" w:hAnsiTheme="minorHAnsi" w:cstheme="minorBidi"/>
                <w:color w:val="auto"/>
                <w:szCs w:val="24"/>
              </w:rPr>
              <w:t xml:space="preserve">Match </w:t>
            </w:r>
            <w:r>
              <w:rPr>
                <w:rFonts w:asciiTheme="minorHAnsi" w:eastAsiaTheme="minorHAnsi" w:hAnsiTheme="minorHAnsi" w:cstheme="minorBidi"/>
                <w:color w:val="auto"/>
                <w:szCs w:val="24"/>
              </w:rPr>
              <w:t>o</w:t>
            </w:r>
            <w:r w:rsidRPr="00505B39">
              <w:rPr>
                <w:rFonts w:asciiTheme="minorHAnsi" w:eastAsiaTheme="minorHAnsi" w:hAnsiTheme="minorHAnsi" w:cstheme="minorBidi"/>
                <w:color w:val="auto"/>
                <w:szCs w:val="24"/>
              </w:rPr>
              <w:t xml:space="preserve">utcome </w:t>
            </w:r>
            <w:r>
              <w:rPr>
                <w:rFonts w:asciiTheme="minorHAnsi" w:eastAsiaTheme="minorHAnsi" w:hAnsiTheme="minorHAnsi" w:cstheme="minorBidi"/>
                <w:color w:val="auto"/>
                <w:szCs w:val="24"/>
              </w:rPr>
              <w:t>p</w:t>
            </w:r>
            <w:r w:rsidRPr="00505B39">
              <w:rPr>
                <w:rFonts w:asciiTheme="minorHAnsi" w:eastAsiaTheme="minorHAnsi" w:hAnsiTheme="minorHAnsi" w:cstheme="minorBidi"/>
                <w:color w:val="auto"/>
                <w:szCs w:val="24"/>
              </w:rPr>
              <w:t>ortfolio</w:t>
            </w:r>
          </w:p>
        </w:tc>
        <w:tc>
          <w:tcPr>
            <w:tcW w:w="3005" w:type="dxa"/>
          </w:tcPr>
          <w:p w14:paraId="04D0DE12" w14:textId="77777777" w:rsidR="00505B39" w:rsidRPr="00505B39" w:rsidRDefault="00505B39" w:rsidP="00505B3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auto"/>
                <w:szCs w:val="24"/>
              </w:rPr>
            </w:pPr>
            <w:r w:rsidRPr="00505B39">
              <w:rPr>
                <w:rFonts w:asciiTheme="minorHAnsi" w:eastAsiaTheme="minorHAnsi" w:hAnsiTheme="minorHAnsi" w:cstheme="minorBidi"/>
                <w:color w:val="auto"/>
                <w:szCs w:val="24"/>
              </w:rPr>
              <w:t>Win/Draw/Lose (1X2)</w:t>
            </w:r>
          </w:p>
        </w:tc>
        <w:tc>
          <w:tcPr>
            <w:tcW w:w="3006" w:type="dxa"/>
          </w:tcPr>
          <w:p w14:paraId="5BE40B57" w14:textId="77777777" w:rsidR="00505B39" w:rsidRPr="00505B39" w:rsidRDefault="00505B39" w:rsidP="00505B3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auto"/>
                <w:szCs w:val="24"/>
              </w:rPr>
            </w:pPr>
            <w:r w:rsidRPr="00505B39">
              <w:rPr>
                <w:rFonts w:asciiTheme="minorHAnsi" w:eastAsiaTheme="minorHAnsi" w:hAnsiTheme="minorHAnsi" w:cstheme="minorBidi"/>
                <w:color w:val="auto"/>
                <w:szCs w:val="24"/>
              </w:rPr>
              <w:t>Asian Handicap</w:t>
            </w:r>
          </w:p>
        </w:tc>
      </w:tr>
      <w:tr w:rsidR="00505B39" w:rsidRPr="00505B39" w14:paraId="0B6DC18E" w14:textId="77777777" w:rsidTr="004B5E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03433701" w14:textId="5607949A" w:rsidR="00505B39" w:rsidRPr="00505B39" w:rsidRDefault="00505B39" w:rsidP="00505B39">
            <w:pPr>
              <w:rPr>
                <w:rFonts w:asciiTheme="minorHAnsi" w:eastAsiaTheme="minorHAnsi" w:hAnsiTheme="minorHAnsi" w:cstheme="minorBidi"/>
                <w:color w:val="auto"/>
                <w:szCs w:val="24"/>
              </w:rPr>
            </w:pPr>
            <w:r w:rsidRPr="00505B39">
              <w:rPr>
                <w:rFonts w:asciiTheme="minorHAnsi" w:eastAsiaTheme="minorHAnsi" w:hAnsiTheme="minorHAnsi" w:cstheme="minorBidi"/>
                <w:color w:val="auto"/>
                <w:szCs w:val="24"/>
              </w:rPr>
              <w:t xml:space="preserve">Frequency of </w:t>
            </w:r>
            <w:r>
              <w:rPr>
                <w:rFonts w:asciiTheme="minorHAnsi" w:eastAsiaTheme="minorHAnsi" w:hAnsiTheme="minorHAnsi" w:cstheme="minorBidi"/>
                <w:color w:val="auto"/>
                <w:szCs w:val="24"/>
              </w:rPr>
              <w:t>o</w:t>
            </w:r>
            <w:r w:rsidRPr="00505B39">
              <w:rPr>
                <w:rFonts w:asciiTheme="minorHAnsi" w:eastAsiaTheme="minorHAnsi" w:hAnsiTheme="minorHAnsi" w:cstheme="minorBidi"/>
                <w:color w:val="auto"/>
                <w:szCs w:val="24"/>
              </w:rPr>
              <w:t xml:space="preserve">dds </w:t>
            </w:r>
            <w:r>
              <w:rPr>
                <w:rFonts w:asciiTheme="minorHAnsi" w:eastAsiaTheme="minorHAnsi" w:hAnsiTheme="minorHAnsi" w:cstheme="minorBidi"/>
                <w:color w:val="auto"/>
                <w:szCs w:val="24"/>
              </w:rPr>
              <w:t>c</w:t>
            </w:r>
            <w:r w:rsidRPr="00505B39">
              <w:rPr>
                <w:rFonts w:asciiTheme="minorHAnsi" w:eastAsiaTheme="minorHAnsi" w:hAnsiTheme="minorHAnsi" w:cstheme="minorBidi"/>
                <w:color w:val="auto"/>
                <w:szCs w:val="24"/>
              </w:rPr>
              <w:t>hanges</w:t>
            </w:r>
          </w:p>
        </w:tc>
        <w:tc>
          <w:tcPr>
            <w:tcW w:w="3005" w:type="dxa"/>
          </w:tcPr>
          <w:p w14:paraId="44A1C5DA" w14:textId="49DA98F0" w:rsidR="00505B39" w:rsidRPr="00505B39" w:rsidRDefault="003E1E8B" w:rsidP="00505B39">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color w:val="auto"/>
                <w:szCs w:val="24"/>
              </w:rPr>
            </w:pPr>
            <w:r>
              <w:rPr>
                <w:rFonts w:asciiTheme="minorHAnsi" w:eastAsiaTheme="minorHAnsi" w:hAnsiTheme="minorHAnsi" w:cstheme="minorBidi"/>
                <w:color w:val="auto"/>
                <w:szCs w:val="24"/>
              </w:rPr>
              <w:t>L</w:t>
            </w:r>
            <w:r w:rsidR="00505B39" w:rsidRPr="00505B39">
              <w:rPr>
                <w:rFonts w:asciiTheme="minorHAnsi" w:eastAsiaTheme="minorHAnsi" w:hAnsiTheme="minorHAnsi" w:cstheme="minorBidi"/>
                <w:color w:val="auto"/>
                <w:szCs w:val="24"/>
              </w:rPr>
              <w:t>ow</w:t>
            </w:r>
          </w:p>
        </w:tc>
        <w:tc>
          <w:tcPr>
            <w:tcW w:w="3006" w:type="dxa"/>
          </w:tcPr>
          <w:p w14:paraId="0D3027A6" w14:textId="77777777" w:rsidR="00505B39" w:rsidRPr="00505B39" w:rsidRDefault="00505B39" w:rsidP="00505B39">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color w:val="auto"/>
                <w:szCs w:val="24"/>
              </w:rPr>
            </w:pPr>
            <w:r w:rsidRPr="00505B39">
              <w:rPr>
                <w:rFonts w:asciiTheme="minorHAnsi" w:eastAsiaTheme="minorHAnsi" w:hAnsiTheme="minorHAnsi" w:cstheme="minorBidi"/>
                <w:color w:val="auto"/>
                <w:szCs w:val="24"/>
              </w:rPr>
              <w:t>High</w:t>
            </w:r>
          </w:p>
        </w:tc>
      </w:tr>
      <w:tr w:rsidR="00505B39" w:rsidRPr="00505B39" w14:paraId="0EEEA8A3" w14:textId="77777777" w:rsidTr="004B5E15">
        <w:tc>
          <w:tcPr>
            <w:cnfStyle w:val="001000000000" w:firstRow="0" w:lastRow="0" w:firstColumn="1" w:lastColumn="0" w:oddVBand="0" w:evenVBand="0" w:oddHBand="0" w:evenHBand="0" w:firstRowFirstColumn="0" w:firstRowLastColumn="0" w:lastRowFirstColumn="0" w:lastRowLastColumn="0"/>
            <w:tcW w:w="3005" w:type="dxa"/>
          </w:tcPr>
          <w:p w14:paraId="0CA72B8C" w14:textId="77777777" w:rsidR="00505B39" w:rsidRPr="00505B39" w:rsidRDefault="00505B39" w:rsidP="00505B39">
            <w:pPr>
              <w:rPr>
                <w:rFonts w:asciiTheme="minorHAnsi" w:eastAsiaTheme="minorHAnsi" w:hAnsiTheme="minorHAnsi" w:cstheme="minorBidi"/>
                <w:color w:val="auto"/>
                <w:szCs w:val="24"/>
              </w:rPr>
            </w:pPr>
            <w:r w:rsidRPr="00505B39">
              <w:rPr>
                <w:rFonts w:asciiTheme="minorHAnsi" w:eastAsiaTheme="minorHAnsi" w:hAnsiTheme="minorHAnsi" w:cstheme="minorBidi"/>
                <w:color w:val="auto"/>
                <w:szCs w:val="24"/>
              </w:rPr>
              <w:t>Exposure to result-specific risk</w:t>
            </w:r>
          </w:p>
        </w:tc>
        <w:tc>
          <w:tcPr>
            <w:tcW w:w="3005" w:type="dxa"/>
          </w:tcPr>
          <w:p w14:paraId="043E4DDD" w14:textId="77777777" w:rsidR="00505B39" w:rsidRPr="00505B39" w:rsidRDefault="00505B39" w:rsidP="00505B3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auto"/>
                <w:szCs w:val="24"/>
              </w:rPr>
            </w:pPr>
            <w:r w:rsidRPr="00505B39">
              <w:rPr>
                <w:rFonts w:asciiTheme="minorHAnsi" w:eastAsiaTheme="minorHAnsi" w:hAnsiTheme="minorHAnsi" w:cstheme="minorBidi"/>
                <w:color w:val="auto"/>
                <w:szCs w:val="24"/>
              </w:rPr>
              <w:t>Relatively high</w:t>
            </w:r>
          </w:p>
        </w:tc>
        <w:tc>
          <w:tcPr>
            <w:tcW w:w="3006" w:type="dxa"/>
          </w:tcPr>
          <w:p w14:paraId="653DCD02" w14:textId="77777777" w:rsidR="00505B39" w:rsidRPr="00505B39" w:rsidRDefault="00505B39" w:rsidP="00505B3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auto"/>
                <w:szCs w:val="24"/>
              </w:rPr>
            </w:pPr>
            <w:r w:rsidRPr="00505B39">
              <w:rPr>
                <w:rFonts w:asciiTheme="minorHAnsi" w:eastAsiaTheme="minorHAnsi" w:hAnsiTheme="minorHAnsi" w:cstheme="minorBidi"/>
                <w:color w:val="auto"/>
                <w:szCs w:val="24"/>
              </w:rPr>
              <w:t>Low</w:t>
            </w:r>
          </w:p>
        </w:tc>
      </w:tr>
      <w:tr w:rsidR="00505B39" w:rsidRPr="00505B39" w14:paraId="48037677" w14:textId="77777777" w:rsidTr="004B5E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74C81FB2" w14:textId="60D04D52" w:rsidR="00505B39" w:rsidRPr="00505B39" w:rsidRDefault="00505B39" w:rsidP="00505B39">
            <w:pPr>
              <w:rPr>
                <w:rFonts w:asciiTheme="minorHAnsi" w:eastAsiaTheme="minorHAnsi" w:hAnsiTheme="minorHAnsi" w:cstheme="minorBidi"/>
                <w:color w:val="auto"/>
                <w:szCs w:val="24"/>
              </w:rPr>
            </w:pPr>
            <w:r w:rsidRPr="00505B39">
              <w:rPr>
                <w:rFonts w:asciiTheme="minorHAnsi" w:eastAsiaTheme="minorHAnsi" w:hAnsiTheme="minorHAnsi" w:cstheme="minorBidi"/>
                <w:color w:val="auto"/>
                <w:szCs w:val="24"/>
              </w:rPr>
              <w:t xml:space="preserve">Client </w:t>
            </w:r>
            <w:r>
              <w:rPr>
                <w:rFonts w:asciiTheme="minorHAnsi" w:eastAsiaTheme="minorHAnsi" w:hAnsiTheme="minorHAnsi" w:cstheme="minorBidi"/>
                <w:color w:val="auto"/>
                <w:szCs w:val="24"/>
              </w:rPr>
              <w:t>m</w:t>
            </w:r>
            <w:r w:rsidRPr="00505B39">
              <w:rPr>
                <w:rFonts w:asciiTheme="minorHAnsi" w:eastAsiaTheme="minorHAnsi" w:hAnsiTheme="minorHAnsi" w:cstheme="minorBidi"/>
                <w:color w:val="auto"/>
                <w:szCs w:val="24"/>
              </w:rPr>
              <w:t>anagement</w:t>
            </w:r>
          </w:p>
        </w:tc>
        <w:tc>
          <w:tcPr>
            <w:tcW w:w="3005" w:type="dxa"/>
          </w:tcPr>
          <w:p w14:paraId="3C74EF7E" w14:textId="77777777" w:rsidR="00505B39" w:rsidRPr="00505B39" w:rsidRDefault="00505B39" w:rsidP="00505B39">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color w:val="auto"/>
                <w:szCs w:val="24"/>
              </w:rPr>
            </w:pPr>
            <w:r w:rsidRPr="00505B39">
              <w:rPr>
                <w:rFonts w:asciiTheme="minorHAnsi" w:eastAsiaTheme="minorHAnsi" w:hAnsiTheme="minorHAnsi" w:cstheme="minorBidi"/>
                <w:color w:val="auto"/>
                <w:szCs w:val="24"/>
              </w:rPr>
              <w:t>High, restrictive</w:t>
            </w:r>
          </w:p>
        </w:tc>
        <w:tc>
          <w:tcPr>
            <w:tcW w:w="3006" w:type="dxa"/>
          </w:tcPr>
          <w:p w14:paraId="6D148A1D" w14:textId="77777777" w:rsidR="00505B39" w:rsidRPr="00505B39" w:rsidRDefault="00505B39" w:rsidP="00505B39">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color w:val="auto"/>
                <w:szCs w:val="24"/>
              </w:rPr>
            </w:pPr>
            <w:r w:rsidRPr="00505B39">
              <w:rPr>
                <w:rFonts w:asciiTheme="minorHAnsi" w:eastAsiaTheme="minorHAnsi" w:hAnsiTheme="minorHAnsi" w:cstheme="minorBidi"/>
                <w:color w:val="auto"/>
                <w:szCs w:val="24"/>
              </w:rPr>
              <w:t>Low, non-restrictive</w:t>
            </w:r>
          </w:p>
        </w:tc>
      </w:tr>
    </w:tbl>
    <w:p w14:paraId="47E49DDA" w14:textId="77777777" w:rsidR="00505B39" w:rsidRPr="00505B39" w:rsidRDefault="00505B39" w:rsidP="00505B39">
      <w:pPr>
        <w:rPr>
          <w:rFonts w:asciiTheme="minorHAnsi" w:eastAsiaTheme="minorHAnsi" w:hAnsiTheme="minorHAnsi" w:cstheme="minorBidi"/>
          <w:color w:val="auto"/>
          <w:szCs w:val="24"/>
          <w:lang w:val="en-GB" w:eastAsia="en-US"/>
        </w:rPr>
      </w:pPr>
    </w:p>
    <w:p w14:paraId="2B89B567" w14:textId="77777777" w:rsidR="00505B39" w:rsidRDefault="00505B39" w:rsidP="00870B6A">
      <w:pPr>
        <w:spacing w:line="360" w:lineRule="auto"/>
        <w:jc w:val="both"/>
      </w:pPr>
    </w:p>
    <w:p w14:paraId="7771D863" w14:textId="4628CD55" w:rsidR="00C625FA" w:rsidRDefault="00C625FA" w:rsidP="00870B6A">
      <w:pPr>
        <w:spacing w:line="360" w:lineRule="auto"/>
        <w:jc w:val="both"/>
      </w:pPr>
      <w:r>
        <w:t>The contrast in operating strategies across the two types of bookmaker</w:t>
      </w:r>
      <w:r w:rsidR="004A53D7">
        <w:t xml:space="preserve"> </w:t>
      </w:r>
      <w:r w:rsidR="00C4115D">
        <w:t xml:space="preserve">operating in parallel </w:t>
      </w:r>
      <w:r w:rsidR="004A53D7">
        <w:t>offers</w:t>
      </w:r>
      <w:r w:rsidR="00505B39">
        <w:t xml:space="preserve"> </w:t>
      </w:r>
      <w:r w:rsidR="004A53D7">
        <w:t xml:space="preserve">a unique opportunity </w:t>
      </w:r>
      <w:r>
        <w:t>to analyse parallel dealer</w:t>
      </w:r>
      <w:r w:rsidR="004A53D7">
        <w:t>-</w:t>
      </w:r>
      <w:r>
        <w:t>driven markets</w:t>
      </w:r>
      <w:r w:rsidR="000502A0">
        <w:t>. A</w:t>
      </w:r>
      <w:r w:rsidR="00291CFB">
        <w:t xml:space="preserve"> clear focus for investigation is the po</w:t>
      </w:r>
      <w:r w:rsidR="00A016E2">
        <w:t>tential for</w:t>
      </w:r>
      <w:r w:rsidR="00291CFB">
        <w:t xml:space="preserve"> exploitation of profitable arbitrage opportunities </w:t>
      </w:r>
      <w:r w:rsidR="000502A0">
        <w:t>associated with</w:t>
      </w:r>
      <w:r>
        <w:t xml:space="preserve"> the heterogeneous </w:t>
      </w:r>
      <w:r w:rsidR="00281D75">
        <w:t>pricing behaviour</w:t>
      </w:r>
      <w:r>
        <w:t xml:space="preserve"> of the two types of bookmaker. </w:t>
      </w:r>
    </w:p>
    <w:p w14:paraId="0B66C72B" w14:textId="77777777" w:rsidR="00291CFB" w:rsidRDefault="00291CFB" w:rsidP="00291CFB"/>
    <w:p w14:paraId="65875429" w14:textId="59C0A7D8" w:rsidR="0073742C" w:rsidRDefault="00F66463" w:rsidP="001068D2">
      <w:pPr>
        <w:pStyle w:val="Heading1"/>
        <w:numPr>
          <w:ilvl w:val="0"/>
          <w:numId w:val="1"/>
        </w:numPr>
        <w:spacing w:after="414" w:line="360" w:lineRule="auto"/>
      </w:pPr>
      <w:r>
        <w:t xml:space="preserve">THEORETICAL </w:t>
      </w:r>
      <w:r w:rsidR="005D5980">
        <w:t>BACKGROUND</w:t>
      </w:r>
    </w:p>
    <w:p w14:paraId="1AF9FE26" w14:textId="625327A5" w:rsidR="00193D52" w:rsidRDefault="009F4389" w:rsidP="001068D2">
      <w:pPr>
        <w:spacing w:line="360" w:lineRule="auto"/>
      </w:pPr>
      <w:r>
        <w:t>T</w:t>
      </w:r>
      <w:r w:rsidR="00FB406B">
        <w:t>his section offer</w:t>
      </w:r>
      <w:r>
        <w:t>s</w:t>
      </w:r>
      <w:r w:rsidR="00FB406B">
        <w:t xml:space="preserve"> some theoretical context for the issues explored in this paper. Two strands of theory are </w:t>
      </w:r>
      <w:r w:rsidR="002045CD">
        <w:t>considered</w:t>
      </w:r>
      <w:r w:rsidR="00FB406B">
        <w:t xml:space="preserve">. The first relates to arbitrage as a mechanism of market adjustment where temporary but consistent opportunities for profitable trading occur. The second relates to different conceptual approaches to </w:t>
      </w:r>
      <w:r w:rsidR="00193D52">
        <w:t xml:space="preserve">our understanding of </w:t>
      </w:r>
      <w:r w:rsidR="00FB406B">
        <w:t>bookmaker behaviour</w:t>
      </w:r>
      <w:r w:rsidR="00193D52">
        <w:t xml:space="preserve">. Together they </w:t>
      </w:r>
      <w:r w:rsidR="00281D75">
        <w:t>underpin</w:t>
      </w:r>
      <w:r w:rsidR="00193D52">
        <w:t xml:space="preserve"> the classification of bookmakers suggested in the previous section and pr</w:t>
      </w:r>
      <w:r w:rsidR="00281D75">
        <w:t>ov</w:t>
      </w:r>
      <w:r w:rsidR="00193D52">
        <w:t xml:space="preserve">ide the basis for interpretation and understanding of </w:t>
      </w:r>
      <w:r w:rsidR="00A016E2">
        <w:t>the results generated by</w:t>
      </w:r>
      <w:r w:rsidR="00193D52">
        <w:t xml:space="preserve"> the empirical analysis.</w:t>
      </w:r>
    </w:p>
    <w:p w14:paraId="5CBABC89" w14:textId="0397AB0F" w:rsidR="00FB406B" w:rsidRPr="00FB406B" w:rsidRDefault="00193D52" w:rsidP="00A7402D">
      <w:r>
        <w:t xml:space="preserve"> </w:t>
      </w:r>
    </w:p>
    <w:p w14:paraId="13B4A5F4" w14:textId="77777777" w:rsidR="0073742C" w:rsidRDefault="005D5980">
      <w:pPr>
        <w:pStyle w:val="Heading2"/>
        <w:ind w:left="-5"/>
      </w:pPr>
      <w:r>
        <w:t>2.1. Arbitrage and Efficiency in Financial and Betting Markets</w:t>
      </w:r>
    </w:p>
    <w:p w14:paraId="3E9E6718" w14:textId="7F0E38D9" w:rsidR="0073742C" w:rsidRDefault="00F25814" w:rsidP="001068D2">
      <w:pPr>
        <w:spacing w:line="360" w:lineRule="auto"/>
        <w:ind w:left="-15"/>
        <w:jc w:val="both"/>
      </w:pPr>
      <w:r>
        <w:t>Central to t</w:t>
      </w:r>
      <w:r w:rsidR="005D5980">
        <w:t xml:space="preserve">he Efficient Market Hypothesis (EMH) (Fama, 1970) </w:t>
      </w:r>
      <w:r>
        <w:t xml:space="preserve">is the idea </w:t>
      </w:r>
      <w:r w:rsidR="005D5980">
        <w:t>that rational arbitrageurs drive temporary deviations in prices towards efficient benchmarks. Prices will therefore reflect fundamental values, providing that arbitrageurs are willing to trade sufficiently to impact market values (Friedman, 1953)</w:t>
      </w:r>
      <w:r w:rsidR="00281D75">
        <w:t xml:space="preserve"> and in the absence of</w:t>
      </w:r>
      <w:r w:rsidR="005D5980">
        <w:t xml:space="preserve"> limitations </w:t>
      </w:r>
      <w:r w:rsidR="00281D75">
        <w:t>to arbitrage</w:t>
      </w:r>
      <w:r w:rsidR="005D5980">
        <w:t xml:space="preserve"> (see Gromb and Vayanos, 2010).</w:t>
      </w:r>
      <w:r w:rsidR="00281D75">
        <w:t xml:space="preserve"> There is evidence to suggest that theoretical arbitrage opportunities may be illusory in the face of institutional frictions</w:t>
      </w:r>
      <w:r w:rsidR="00466A24">
        <w:t xml:space="preserve"> (McLean and Pontiff, 201</w:t>
      </w:r>
      <w:r w:rsidR="00AC3AFE">
        <w:t>6</w:t>
      </w:r>
      <w:r w:rsidR="00466A24">
        <w:t>).</w:t>
      </w:r>
    </w:p>
    <w:p w14:paraId="727C0296" w14:textId="7F5BBD3D" w:rsidR="00447A82" w:rsidRDefault="00447A82" w:rsidP="001813C0">
      <w:pPr>
        <w:spacing w:line="360" w:lineRule="auto"/>
        <w:jc w:val="both"/>
      </w:pPr>
      <w:r>
        <w:t>Theoretical models of dealer market microstructure emphasise the role of institutional factors such as order processing (e.g. Roll, 1984), inventory (e.g. Stoll, 1978; Amihud and Mendelson, 1980)</w:t>
      </w:r>
      <w:r w:rsidRPr="007F15E8">
        <w:t xml:space="preserve"> </w:t>
      </w:r>
      <w:r>
        <w:t xml:space="preserve">and pre-trade transparency on market efficiency (see, for example reviews of market microstructure by Madhavan, 2000 and Biais, Glosten and Spatt, 2005) as well as more general factors such as asymmetric information (e.g. Glosten and Milgrom, 1985; Easley and O’Hara, 1987). </w:t>
      </w:r>
    </w:p>
    <w:p w14:paraId="76715532" w14:textId="39B9A23F" w:rsidR="00C625FA" w:rsidRDefault="005D5980" w:rsidP="001068D2">
      <w:pPr>
        <w:spacing w:line="360" w:lineRule="auto"/>
        <w:ind w:left="-15"/>
        <w:jc w:val="both"/>
      </w:pPr>
      <w:r>
        <w:t xml:space="preserve">Sauer (1998) indicates that a betting market is considered efficient if it is not possible to generate abnormal returns (strong test), or if differential returns are </w:t>
      </w:r>
      <w:r w:rsidR="005064A2">
        <w:t>un</w:t>
      </w:r>
      <w:r>
        <w:t>available to the bettor simply by placing stakes at different odds, such as on favo</w:t>
      </w:r>
      <w:r w:rsidR="00F101B5">
        <w:t>u</w:t>
      </w:r>
      <w:r>
        <w:t xml:space="preserve">rites (weak test). In general, the main determinant of betting market efficiency is the degree to which market odds reflect the true probabilities of event outcomes over a large sample. This is analogous to the degree to which market prices reflect fundamental values in </w:t>
      </w:r>
      <w:r w:rsidR="004346E6">
        <w:t>other</w:t>
      </w:r>
      <w:r>
        <w:t xml:space="preserve"> financial markets. The possibility of ‘zero’ risk arbitrage has been explored in the </w:t>
      </w:r>
      <w:r w:rsidR="00236815">
        <w:t>soccer</w:t>
      </w:r>
      <w:r>
        <w:t xml:space="preserve"> betting market, examining the extent to which differences in </w:t>
      </w:r>
      <w:r w:rsidR="0075741F">
        <w:t>quoted</w:t>
      </w:r>
      <w:r>
        <w:t xml:space="preserve"> odds </w:t>
      </w:r>
      <w:r w:rsidR="0075741F">
        <w:t>across</w:t>
      </w:r>
      <w:r>
        <w:t xml:space="preserve"> bookmakers are </w:t>
      </w:r>
      <w:r w:rsidR="002045CD">
        <w:t>sufficient</w:t>
      </w:r>
      <w:r>
        <w:t xml:space="preserve"> to guarantee profitable, fully hedged positions through the construction of a synthetic Dutch Book. Pope and Peel (1989) show</w:t>
      </w:r>
      <w:r w:rsidR="004346E6">
        <w:t>ed</w:t>
      </w:r>
      <w:r>
        <w:t xml:space="preserve"> that arbitrage opportunities were </w:t>
      </w:r>
      <w:r w:rsidRPr="009F4389">
        <w:rPr>
          <w:i/>
        </w:rPr>
        <w:t>occasionally</w:t>
      </w:r>
      <w:r>
        <w:t xml:space="preserve"> available across U.K. bookmakers. However, later research suggest</w:t>
      </w:r>
      <w:r w:rsidR="004346E6">
        <w:t>ed</w:t>
      </w:r>
      <w:r>
        <w:t xml:space="preserve"> that the degree of coordination between bookmakers has increased (Dixon and Pope, 2004; Deschamps and Gergaud, 2007;</w:t>
      </w:r>
      <w:r w:rsidR="00D515F4">
        <w:t xml:space="preserve"> </w:t>
      </w:r>
      <w:r>
        <w:t>Luckner and Weinhardt, 2008; Deschamps, 2008; Vlastakis, Dotsis and Markellos, 2009; Spann and Skiera, 2009; Franck, Verbeek and Nüesch, 2010). This may have arisen due to the emergence of professional arbitrage</w:t>
      </w:r>
      <w:r w:rsidR="00466A24">
        <w:t>u</w:t>
      </w:r>
      <w:r>
        <w:t xml:space="preserve">rs (Dixon and Pope, 2004). </w:t>
      </w:r>
    </w:p>
    <w:p w14:paraId="74DE64AF" w14:textId="553F13F2" w:rsidR="0073742C" w:rsidRDefault="005D5980" w:rsidP="00F101B5">
      <w:pPr>
        <w:spacing w:line="360" w:lineRule="auto"/>
        <w:ind w:left="-15"/>
        <w:jc w:val="both"/>
      </w:pPr>
      <w:r>
        <w:t xml:space="preserve">Recently, Franck </w:t>
      </w:r>
      <w:r w:rsidRPr="00097B9D">
        <w:rPr>
          <w:i/>
        </w:rPr>
        <w:t>et al.</w:t>
      </w:r>
      <w:r>
        <w:t xml:space="preserve"> (2013) </w:t>
      </w:r>
      <w:r w:rsidR="00F101B5">
        <w:t>analysed</w:t>
      </w:r>
      <w:r>
        <w:t xml:space="preserve"> bookmakers’ odds and parallel betting exchange odds for a sample of 12</w:t>
      </w:r>
      <w:r>
        <w:rPr>
          <w:i/>
        </w:rPr>
        <w:t>,</w:t>
      </w:r>
      <w:r>
        <w:t xml:space="preserve">782 European </w:t>
      </w:r>
      <w:r w:rsidR="00236815">
        <w:t>soccer ma</w:t>
      </w:r>
      <w:r>
        <w:t>tches over a seven-year period, 2004-05 to 2010-11. They found that cross-bookmaker arbitrage opportunities exist</w:t>
      </w:r>
      <w:r w:rsidR="0096696E">
        <w:t>ed</w:t>
      </w:r>
      <w:r>
        <w:t xml:space="preserve"> in 0.8% of matches in their sample, which include</w:t>
      </w:r>
      <w:r w:rsidR="0096696E">
        <w:t>d</w:t>
      </w:r>
      <w:r>
        <w:t xml:space="preserve"> only </w:t>
      </w:r>
      <w:r w:rsidR="0075741F">
        <w:t>PTB</w:t>
      </w:r>
      <w:r>
        <w:t xml:space="preserve">s. However, when considering bookmaker odds in parallel to the betting exchange </w:t>
      </w:r>
      <w:r>
        <w:rPr>
          <w:i/>
        </w:rPr>
        <w:t>Betfair</w:t>
      </w:r>
      <w:r>
        <w:t xml:space="preserve">, the proportion of matches offering arbitrage opportunities increased to 19.2%. </w:t>
      </w:r>
      <w:r w:rsidR="00F101B5">
        <w:t>T</w:t>
      </w:r>
      <w:r w:rsidR="0075741F">
        <w:t>hese opportunities</w:t>
      </w:r>
      <w:r>
        <w:t xml:space="preserve"> involved taking a long position at the bookmaker and</w:t>
      </w:r>
      <w:r w:rsidR="00D515F4">
        <w:t xml:space="preserve"> </w:t>
      </w:r>
      <w:r>
        <w:t>‘laying’ the same position at the betting exchange</w:t>
      </w:r>
      <w:r w:rsidR="00D515F4">
        <w:t>.</w:t>
      </w:r>
      <w:r>
        <w:rPr>
          <w:vertAlign w:val="superscript"/>
        </w:rPr>
        <w:footnoteReference w:id="1"/>
      </w:r>
      <w:r w:rsidR="00D515F4">
        <w:t xml:space="preserve"> P</w:t>
      </w:r>
      <w:r>
        <w:t>rofits from the arbitrage portfolios were almost exclusively against the bookmakers (7% in portfolios against the bookmaker, and close to zero in portfolios against the betting exchange).</w:t>
      </w:r>
    </w:p>
    <w:p w14:paraId="12C981CB" w14:textId="6CFCEAA0" w:rsidR="0073742C" w:rsidRDefault="005D5980" w:rsidP="001068D2">
      <w:pPr>
        <w:spacing w:after="476" w:line="360" w:lineRule="auto"/>
        <w:ind w:left="-15"/>
        <w:jc w:val="both"/>
      </w:pPr>
      <w:r>
        <w:t xml:space="preserve">Conclusions regarding the existence of arbitrage opportunities </w:t>
      </w:r>
      <w:r w:rsidR="001762C4">
        <w:t>vary with</w:t>
      </w:r>
      <w:r>
        <w:t xml:space="preserve"> the market under investigation. Arbitrage opportunities arise more frequently </w:t>
      </w:r>
      <w:r w:rsidRPr="00260FCB">
        <w:rPr>
          <w:i/>
        </w:rPr>
        <w:t>between</w:t>
      </w:r>
      <w:r>
        <w:t xml:space="preserve"> market structures than </w:t>
      </w:r>
      <w:r w:rsidRPr="00260FCB">
        <w:rPr>
          <w:i/>
        </w:rPr>
        <w:t xml:space="preserve">within </w:t>
      </w:r>
      <w:r>
        <w:t xml:space="preserve">market structures (Edelman and O’Brian, 2004; Franck, Verbeek, and Nüesch, 2013). </w:t>
      </w:r>
      <w:r w:rsidR="002045CD">
        <w:t>To date,</w:t>
      </w:r>
      <w:r>
        <w:t xml:space="preserve"> studies </w:t>
      </w:r>
      <w:r w:rsidR="00F101B5">
        <w:t>analysing</w:t>
      </w:r>
      <w:r>
        <w:t xml:space="preserve"> arbitrage in betting markets have considered only bookmakers operating as PTBs. Levitt (2004), for example, notes that PTBs set odds</w:t>
      </w:r>
      <w:r w:rsidR="001762C4">
        <w:t xml:space="preserve"> strategically</w:t>
      </w:r>
      <w:r>
        <w:t xml:space="preserve"> in </w:t>
      </w:r>
      <w:r w:rsidR="00F47706">
        <w:t>order</w:t>
      </w:r>
      <w:r>
        <w:t xml:space="preserve"> to profit from the biases of uninformed bettors. This study seeks to uncover the extent to which this price setting mechanism affects market efficiency when </w:t>
      </w:r>
      <w:r w:rsidR="0075741F">
        <w:t>BBBs</w:t>
      </w:r>
      <w:r>
        <w:t>, who do not seek to exploit trader biases, operate in parallel.</w:t>
      </w:r>
    </w:p>
    <w:p w14:paraId="5784F1BB" w14:textId="0BB83396" w:rsidR="0073742C" w:rsidRDefault="005D5980">
      <w:pPr>
        <w:pStyle w:val="Heading2"/>
        <w:ind w:left="-5"/>
      </w:pPr>
      <w:r>
        <w:t>2.2. The Behavio</w:t>
      </w:r>
      <w:r w:rsidR="00F101B5">
        <w:t>u</w:t>
      </w:r>
      <w:r>
        <w:t>r of Bookmakers</w:t>
      </w:r>
    </w:p>
    <w:p w14:paraId="3879C1F0" w14:textId="26E160F0" w:rsidR="0073742C" w:rsidRDefault="005D5980" w:rsidP="001068D2">
      <w:pPr>
        <w:spacing w:line="360" w:lineRule="auto"/>
        <w:ind w:left="-15"/>
        <w:jc w:val="both"/>
      </w:pPr>
      <w:r>
        <w:t>Levitt (2004) argues that betting markets are</w:t>
      </w:r>
      <w:r w:rsidR="0096696E">
        <w:t>, in one important respect,</w:t>
      </w:r>
      <w:r>
        <w:t xml:space="preserve"> organized differently from </w:t>
      </w:r>
      <w:r w:rsidR="00861CC1">
        <w:t xml:space="preserve">other </w:t>
      </w:r>
      <w:r>
        <w:t xml:space="preserve">financial markets. As the main providers of liquidity, bookmakers </w:t>
      </w:r>
      <w:r w:rsidR="00E85052">
        <w:t xml:space="preserve">essentially </w:t>
      </w:r>
      <w:r>
        <w:t xml:space="preserve">take large positions against their customers </w:t>
      </w:r>
      <w:r w:rsidR="00E85052">
        <w:t xml:space="preserve">(or against particular event outcomes favoured by customers) </w:t>
      </w:r>
      <w:r>
        <w:t xml:space="preserve">rather than necessarily matching sellers with buyers and simply earning the commission from the spread (overround). Franck </w:t>
      </w:r>
      <w:r w:rsidRPr="00236815">
        <w:rPr>
          <w:i/>
        </w:rPr>
        <w:t>et al</w:t>
      </w:r>
      <w:r>
        <w:t>. (2013) suggest that bookmakers also</w:t>
      </w:r>
      <w:r w:rsidR="0096696E">
        <w:t>,</w:t>
      </w:r>
      <w:r>
        <w:t xml:space="preserve"> effectively</w:t>
      </w:r>
      <w:r w:rsidR="0096696E">
        <w:t>,</w:t>
      </w:r>
      <w:r>
        <w:t xml:space="preserve"> choose the bettors against whom they take such positions. They achieve this by monitoring client trades and restricting service to those profiled as potentially skilled. In this context, bookmakers may occasionally publish inefficient match odds that are likely to attract customers</w:t>
      </w:r>
      <w:r w:rsidR="00E85052">
        <w:t xml:space="preserve"> in general</w:t>
      </w:r>
      <w:r>
        <w:t xml:space="preserve">, safe in the knowledge that they can eliminate (by restricting or preventing their bets) those who seek to place the majority of their bets at these inefficient prices. </w:t>
      </w:r>
      <w:r w:rsidR="0096696E">
        <w:t>Any</w:t>
      </w:r>
      <w:r>
        <w:t xml:space="preserve"> </w:t>
      </w:r>
      <w:r w:rsidR="00A05ACE">
        <w:t>cost</w:t>
      </w:r>
      <w:r>
        <w:t xml:space="preserve"> to the bookmaker </w:t>
      </w:r>
      <w:r w:rsidR="00A05ACE">
        <w:t>from</w:t>
      </w:r>
      <w:r>
        <w:t xml:space="preserve"> the setting of theoretically inefficient odds is therefore potentially lower </w:t>
      </w:r>
      <w:r w:rsidR="00D515F4">
        <w:t>than the gain from</w:t>
      </w:r>
      <w:r>
        <w:t xml:space="preserve"> the increase in the size of the customer base. Newall (2015) notes that </w:t>
      </w:r>
      <w:r w:rsidR="00861CC1">
        <w:t xml:space="preserve">in </w:t>
      </w:r>
      <w:r>
        <w:t>the U.K.</w:t>
      </w:r>
      <w:r w:rsidR="00D515F4">
        <w:t>,</w:t>
      </w:r>
      <w:r>
        <w:t xml:space="preserve"> PTBs tended to advertise exotic bets (such as first goalscorer) to further attract uninformed clients.</w:t>
      </w:r>
    </w:p>
    <w:p w14:paraId="3211D454" w14:textId="494E3BCD" w:rsidR="0073742C" w:rsidRDefault="005D5980" w:rsidP="001068D2">
      <w:pPr>
        <w:spacing w:line="360" w:lineRule="auto"/>
        <w:ind w:left="-15"/>
        <w:jc w:val="both"/>
      </w:pPr>
      <w:r>
        <w:t xml:space="preserve">An alternative view is that </w:t>
      </w:r>
      <w:r w:rsidR="00E85052">
        <w:t>the objective of</w:t>
      </w:r>
      <w:r>
        <w:t xml:space="preserve"> bookmakers is to balance their books, and as a result, secure profit independent of the event’s outcome (Magee, 1990; Woodland and Woodland 1991, Hodges, Lin, and Liu, 2013). Such bookmaker</w:t>
      </w:r>
      <w:r w:rsidR="00E85052">
        <w:t>s</w:t>
      </w:r>
      <w:r>
        <w:t xml:space="preserve"> will change their odds frequently in order to account for inventory imbalance. The</w:t>
      </w:r>
      <w:r w:rsidR="006D52AF">
        <w:t>y</w:t>
      </w:r>
      <w:r>
        <w:t xml:space="preserve"> act as uninformed market makers and essentially set up an over-the-counter market. Holding ‘zero-book’</w:t>
      </w:r>
      <w:r w:rsidR="006D52AF">
        <w:t>,</w:t>
      </w:r>
      <w:r>
        <w:t xml:space="preserve"> these market-making bookmakers act as though they are infinitely risk-averse (Fingleton and Waldron, 1999) and could plausibly charge lower transaction commissions, due to the absence of adverse selection costs. </w:t>
      </w:r>
      <w:r w:rsidR="00E85052">
        <w:t>D</w:t>
      </w:r>
      <w:r>
        <w:t>iscriminati</w:t>
      </w:r>
      <w:r w:rsidR="00E85052">
        <w:t>ng</w:t>
      </w:r>
      <w:r>
        <w:t xml:space="preserve"> against skilled bettors </w:t>
      </w:r>
      <w:r w:rsidR="00E85052">
        <w:t>is less of an issue with</w:t>
      </w:r>
      <w:r>
        <w:t xml:space="preserve"> BBBs, since their model is based on the maximization of volume rather on successful positions (see Forrest, 2012 for more details of the BBBs model).</w:t>
      </w:r>
    </w:p>
    <w:p w14:paraId="5C84BADF" w14:textId="6FED1D8D" w:rsidR="0073742C" w:rsidRDefault="005D5980" w:rsidP="001068D2">
      <w:pPr>
        <w:spacing w:line="360" w:lineRule="auto"/>
        <w:ind w:left="-15"/>
        <w:jc w:val="both"/>
      </w:pPr>
      <w:r>
        <w:t xml:space="preserve">In </w:t>
      </w:r>
      <w:r w:rsidR="00236815">
        <w:t>soccer</w:t>
      </w:r>
      <w:r>
        <w:t xml:space="preserve"> betting, despite the </w:t>
      </w:r>
      <w:r w:rsidR="006D52AF">
        <w:t>coexistence of</w:t>
      </w:r>
      <w:r w:rsidR="008B4A02">
        <w:t xml:space="preserve"> PTBs and BBBs</w:t>
      </w:r>
      <w:r>
        <w:t xml:space="preserve">, the literature has focused </w:t>
      </w:r>
      <w:r w:rsidR="008B4A02">
        <w:t xml:space="preserve">almost exclusively </w:t>
      </w:r>
      <w:r>
        <w:t>on analysing odds offered by</w:t>
      </w:r>
      <w:r w:rsidR="006D52AF">
        <w:t xml:space="preserve"> the former. This is surprising, </w:t>
      </w:r>
      <w:r>
        <w:t>as the economic significance of the latter is probably greater, at least in terms of volumes wagered (Forrest, 2012). Given the significant differences in the structure of the bookmakers</w:t>
      </w:r>
      <w:r w:rsidR="00420E49">
        <w:t>’</w:t>
      </w:r>
      <w:r>
        <w:t xml:space="preserve"> models, </w:t>
      </w:r>
      <w:r w:rsidR="006D52AF">
        <w:t xml:space="preserve">potential </w:t>
      </w:r>
      <w:r>
        <w:t>arbitrage between the two types of bookmakers may be regarded as inter-market opportunities</w:t>
      </w:r>
      <w:r w:rsidR="00420E49">
        <w:t>.</w:t>
      </w:r>
    </w:p>
    <w:p w14:paraId="1BA78496" w14:textId="4E1E7B66" w:rsidR="006A407F" w:rsidRDefault="00420E49" w:rsidP="001068D2">
      <w:pPr>
        <w:spacing w:line="360" w:lineRule="auto"/>
        <w:ind w:left="-15"/>
        <w:jc w:val="both"/>
        <w:rPr>
          <w:vertAlign w:val="superscript"/>
        </w:rPr>
      </w:pPr>
      <w:r>
        <w:t xml:space="preserve">Franck </w:t>
      </w:r>
      <w:r w:rsidRPr="00236815">
        <w:rPr>
          <w:i/>
        </w:rPr>
        <w:t xml:space="preserve">et </w:t>
      </w:r>
      <w:r w:rsidR="00A05ACE" w:rsidRPr="00236815">
        <w:rPr>
          <w:i/>
        </w:rPr>
        <w:t>al</w:t>
      </w:r>
      <w:r w:rsidR="00FE2220">
        <w:t>.</w:t>
      </w:r>
      <w:r w:rsidR="00BB05F9" w:rsidRPr="00FE2220">
        <w:t>’s</w:t>
      </w:r>
      <w:r w:rsidR="005D5980">
        <w:t xml:space="preserve"> </w:t>
      </w:r>
      <w:r>
        <w:t xml:space="preserve">(2013) </w:t>
      </w:r>
      <w:r w:rsidR="009A0F8B">
        <w:t>propos</w:t>
      </w:r>
      <w:r w:rsidR="002045CD">
        <w:t>ition</w:t>
      </w:r>
      <w:r w:rsidR="006A407F">
        <w:t xml:space="preserve"> that </w:t>
      </w:r>
      <w:r w:rsidR="009A0F8B">
        <w:t>bookmakers set odds to maximise long-term profit from an increased customer base, rather than to maximise profit per game,</w:t>
      </w:r>
      <w:r w:rsidR="006A407F">
        <w:t xml:space="preserve"> is </w:t>
      </w:r>
      <w:r w:rsidR="002045CD">
        <w:t>novel</w:t>
      </w:r>
      <w:r w:rsidR="006A407F">
        <w:t xml:space="preserve"> in </w:t>
      </w:r>
      <w:r w:rsidR="005D5980">
        <w:t>link</w:t>
      </w:r>
      <w:r w:rsidR="006A407F">
        <w:t>ing</w:t>
      </w:r>
      <w:r w:rsidR="005D5980">
        <w:t xml:space="preserve"> odds-setting with the bookmaker’s option to withhold service from those clients it believes to be informed.</w:t>
      </w:r>
      <w:r w:rsidR="005D5980">
        <w:rPr>
          <w:vertAlign w:val="superscript"/>
        </w:rPr>
        <w:footnoteReference w:id="2"/>
      </w:r>
      <w:r w:rsidR="005D5980">
        <w:rPr>
          <w:vertAlign w:val="superscript"/>
        </w:rPr>
        <w:t xml:space="preserve"> </w:t>
      </w:r>
      <w:r w:rsidR="005D5980">
        <w:t xml:space="preserve">This presents a distinction between betting and </w:t>
      </w:r>
      <w:r w:rsidR="006A407F">
        <w:t xml:space="preserve">other </w:t>
      </w:r>
      <w:r w:rsidR="005D5980">
        <w:t>financial markets, which should be ac</w:t>
      </w:r>
      <w:r w:rsidR="006A407F">
        <w:t>knowledged</w:t>
      </w:r>
      <w:r w:rsidR="005D5980">
        <w:t xml:space="preserve"> when the efficiency of bookmakers</w:t>
      </w:r>
      <w:r w:rsidR="006A407F">
        <w:t>’ odds</w:t>
      </w:r>
      <w:r w:rsidR="005D5980">
        <w:t xml:space="preserve"> is investigated.</w:t>
      </w:r>
      <w:r w:rsidR="005D5980">
        <w:rPr>
          <w:vertAlign w:val="superscript"/>
        </w:rPr>
        <w:footnoteReference w:id="3"/>
      </w:r>
      <w:r w:rsidR="005D5980">
        <w:rPr>
          <w:vertAlign w:val="superscript"/>
        </w:rPr>
        <w:t xml:space="preserve"> </w:t>
      </w:r>
    </w:p>
    <w:p w14:paraId="4E0DA482" w14:textId="48E1B9FB" w:rsidR="0073742C" w:rsidRPr="00351486" w:rsidRDefault="006A407F" w:rsidP="001068D2">
      <w:pPr>
        <w:spacing w:line="360" w:lineRule="auto"/>
        <w:ind w:left="-15"/>
        <w:jc w:val="both"/>
      </w:pPr>
      <w:r>
        <w:t xml:space="preserve">Whilst the current study represents a development </w:t>
      </w:r>
      <w:r w:rsidR="00447A82">
        <w:t xml:space="preserve">of </w:t>
      </w:r>
      <w:r>
        <w:t xml:space="preserve">Franck </w:t>
      </w:r>
      <w:r w:rsidRPr="00236815">
        <w:rPr>
          <w:i/>
        </w:rPr>
        <w:t>et al</w:t>
      </w:r>
      <w:r w:rsidR="00FE2220">
        <w:t>.</w:t>
      </w:r>
      <w:r w:rsidRPr="00FE2220">
        <w:t>’s</w:t>
      </w:r>
      <w:r w:rsidR="00FE2220">
        <w:t xml:space="preserve"> (2013)</w:t>
      </w:r>
      <w:r>
        <w:t xml:space="preserve"> line of enquiry, it differs from the earlier approach in a number of respects </w:t>
      </w:r>
      <w:r w:rsidR="00D373D3">
        <w:t xml:space="preserve">that </w:t>
      </w:r>
      <w:r>
        <w:t xml:space="preserve">are important in terms of the robustness of the results generated. </w:t>
      </w:r>
      <w:r w:rsidR="00BB05F9">
        <w:t>The first difference relates to the fact that arbitrage r</w:t>
      </w:r>
      <w:r w:rsidR="005D5980">
        <w:t xml:space="preserve">equires that different prices must be </w:t>
      </w:r>
      <w:r w:rsidR="00BB05F9" w:rsidRPr="006D52AF">
        <w:rPr>
          <w:i/>
        </w:rPr>
        <w:t xml:space="preserve">simultaneously </w:t>
      </w:r>
      <w:r w:rsidR="005D5980">
        <w:t>available</w:t>
      </w:r>
      <w:r w:rsidR="00BB05F9">
        <w:t>.</w:t>
      </w:r>
      <w:r w:rsidR="005D5980">
        <w:t xml:space="preserve"> </w:t>
      </w:r>
      <w:r w:rsidR="00BB05F9">
        <w:t>T</w:t>
      </w:r>
      <w:r w:rsidR="005D5980">
        <w:t xml:space="preserve">he bookmakers’ odds utilized by Franck </w:t>
      </w:r>
      <w:r w:rsidR="005D5980" w:rsidRPr="00236815">
        <w:rPr>
          <w:i/>
        </w:rPr>
        <w:t>et al.</w:t>
      </w:r>
      <w:r w:rsidR="005D5980">
        <w:t xml:space="preserve"> (2013) bear no time-stamp; rather, they are </w:t>
      </w:r>
      <w:r w:rsidR="005D5980" w:rsidRPr="00A7402D">
        <w:rPr>
          <w:i/>
        </w:rPr>
        <w:t>assumed</w:t>
      </w:r>
      <w:r w:rsidR="005D5980">
        <w:t xml:space="preserve"> to be constant and available for a given time interval</w:t>
      </w:r>
      <w:r w:rsidR="00420E49">
        <w:t>, which</w:t>
      </w:r>
      <w:r w:rsidR="0096696E">
        <w:t xml:space="preserve"> </w:t>
      </w:r>
      <w:r w:rsidR="00420E49">
        <w:t>is often</w:t>
      </w:r>
      <w:r w:rsidR="00D515F4">
        <w:t xml:space="preserve"> not the case</w:t>
      </w:r>
      <w:r w:rsidR="005D5980">
        <w:t xml:space="preserve">, </w:t>
      </w:r>
      <w:r w:rsidR="00420E49">
        <w:t xml:space="preserve">certainly for BBBs and </w:t>
      </w:r>
      <w:r w:rsidR="005D5980">
        <w:t xml:space="preserve">even </w:t>
      </w:r>
      <w:r w:rsidR="00420E49">
        <w:t xml:space="preserve">on occasion </w:t>
      </w:r>
      <w:r w:rsidR="005D5980">
        <w:t>for PTBs</w:t>
      </w:r>
      <w:r w:rsidR="00420E49">
        <w:t>.</w:t>
      </w:r>
      <w:r w:rsidR="00A05ACE">
        <w:t xml:space="preserve"> </w:t>
      </w:r>
      <w:r w:rsidR="005D5980">
        <w:t xml:space="preserve">Second, </w:t>
      </w:r>
      <w:r w:rsidR="00420E49">
        <w:t>Franck</w:t>
      </w:r>
      <w:r w:rsidR="002C3B29">
        <w:t xml:space="preserve"> </w:t>
      </w:r>
      <w:r w:rsidR="002C3B29" w:rsidRPr="00236815">
        <w:rPr>
          <w:i/>
        </w:rPr>
        <w:t>et al</w:t>
      </w:r>
      <w:r w:rsidR="002C3B29">
        <w:rPr>
          <w:i/>
        </w:rPr>
        <w:t>.</w:t>
      </w:r>
      <w:r w:rsidR="00420E49">
        <w:t xml:space="preserve">’s focus on </w:t>
      </w:r>
      <w:r w:rsidR="005D5980">
        <w:t>the matched offers between</w:t>
      </w:r>
      <w:r w:rsidR="00581CC6">
        <w:t xml:space="preserve"> a</w:t>
      </w:r>
      <w:r w:rsidR="005D5980">
        <w:t xml:space="preserve"> </w:t>
      </w:r>
      <w:r w:rsidR="00420E49" w:rsidRPr="00A7402D">
        <w:rPr>
          <w:i/>
        </w:rPr>
        <w:t>betting</w:t>
      </w:r>
      <w:r w:rsidR="005D5980" w:rsidRPr="00A7402D">
        <w:rPr>
          <w:i/>
        </w:rPr>
        <w:t xml:space="preserve"> exchange</w:t>
      </w:r>
      <w:r w:rsidR="005D5980">
        <w:t xml:space="preserve"> and bookmakers were observed up to 2 days prior to kick-off, when the amount of money that can be staked in a betting exchange is very low, suggesting that even if arbitrage opportunities exist, they may not be economically meaningful. Third, Franck </w:t>
      </w:r>
      <w:r w:rsidR="005D5980" w:rsidRPr="00236815">
        <w:rPr>
          <w:i/>
        </w:rPr>
        <w:t>et al.</w:t>
      </w:r>
      <w:r w:rsidR="00582366">
        <w:rPr>
          <w:i/>
        </w:rPr>
        <w:t xml:space="preserve"> </w:t>
      </w:r>
      <w:r w:rsidR="005D5980">
        <w:t xml:space="preserve">(2013) </w:t>
      </w:r>
      <w:r w:rsidR="00DD793C">
        <w:t xml:space="preserve">only </w:t>
      </w:r>
      <w:r w:rsidR="005D5980">
        <w:t xml:space="preserve">examined </w:t>
      </w:r>
      <w:r w:rsidR="00016A57">
        <w:t>one</w:t>
      </w:r>
      <w:r w:rsidR="005D5980">
        <w:t xml:space="preserve"> </w:t>
      </w:r>
      <w:r w:rsidR="00420E49">
        <w:t xml:space="preserve">particular </w:t>
      </w:r>
      <w:r w:rsidR="005D5980">
        <w:t>exchange</w:t>
      </w:r>
      <w:r w:rsidR="00016A57">
        <w:t>,</w:t>
      </w:r>
      <w:r w:rsidR="005D5980">
        <w:t xml:space="preserve"> </w:t>
      </w:r>
      <w:r w:rsidR="005D5980">
        <w:rPr>
          <w:i/>
        </w:rPr>
        <w:t>Betfair</w:t>
      </w:r>
      <w:r w:rsidR="005D5980">
        <w:t>, which levies a commission on winning customers (referred to as ‘premium charges’).</w:t>
      </w:r>
      <w:r w:rsidR="005D5980">
        <w:rPr>
          <w:vertAlign w:val="superscript"/>
        </w:rPr>
        <w:footnoteReference w:id="4"/>
      </w:r>
      <w:r w:rsidR="005D5980">
        <w:rPr>
          <w:vertAlign w:val="superscript"/>
        </w:rPr>
        <w:t xml:space="preserve"> </w:t>
      </w:r>
      <w:r w:rsidR="005D5980">
        <w:t xml:space="preserve">Fourth, even though the volume that one can stake in a betting exchange increases as kick-off approaches, it is shown below that there is significant variation in the size of the stakes that can be placed across games. This </w:t>
      </w:r>
      <w:r w:rsidR="00BB05F9">
        <w:t>compromises</w:t>
      </w:r>
      <w:r w:rsidR="005D5980">
        <w:t xml:space="preserve"> the homogeneity of the sample, as several apparent arbitrage opportunities </w:t>
      </w:r>
      <w:r w:rsidR="00016A57">
        <w:t>are</w:t>
      </w:r>
      <w:r w:rsidR="005D5980">
        <w:t xml:space="preserve"> economic</w:t>
      </w:r>
      <w:r w:rsidR="00016A57">
        <w:t>ally</w:t>
      </w:r>
      <w:r w:rsidR="005D5980">
        <w:t xml:space="preserve"> </w:t>
      </w:r>
      <w:r w:rsidR="00016A57">
        <w:t>in</w:t>
      </w:r>
      <w:r w:rsidR="005D5980">
        <w:t>significan</w:t>
      </w:r>
      <w:r w:rsidR="00016A57">
        <w:t>t</w:t>
      </w:r>
      <w:r w:rsidR="00BB05F9">
        <w:t xml:space="preserve">, </w:t>
      </w:r>
      <w:r w:rsidR="00016A57">
        <w:t>because</w:t>
      </w:r>
      <w:r w:rsidR="005D5980">
        <w:t xml:space="preserve"> only small wagers are possible. Consequently, it is important to test the proposition suggested by Franck </w:t>
      </w:r>
      <w:r w:rsidR="005D5980" w:rsidRPr="00236815">
        <w:rPr>
          <w:i/>
        </w:rPr>
        <w:t>et al</w:t>
      </w:r>
      <w:r w:rsidR="005D5980">
        <w:t>. (2013)</w:t>
      </w:r>
      <w:r w:rsidR="00420E49">
        <w:t xml:space="preserve">, in the particular context of </w:t>
      </w:r>
      <w:r w:rsidR="009A0F8B">
        <w:t xml:space="preserve">arbitrage between </w:t>
      </w:r>
      <w:r w:rsidR="00420E49">
        <w:t>exchange</w:t>
      </w:r>
      <w:r w:rsidR="009A0F8B">
        <w:t xml:space="preserve"> and </w:t>
      </w:r>
      <w:r w:rsidR="00420E49">
        <w:t>bookmaker</w:t>
      </w:r>
      <w:r w:rsidR="009A0F8B">
        <w:t xml:space="preserve"> markets</w:t>
      </w:r>
      <w:r w:rsidR="00447A82">
        <w:t>, employing</w:t>
      </w:r>
      <w:r w:rsidR="005D5980">
        <w:t xml:space="preserve"> a dataset that </w:t>
      </w:r>
      <w:r w:rsidR="00016A57">
        <w:t>avoids</w:t>
      </w:r>
      <w:r w:rsidR="005D5980">
        <w:t xml:space="preserve"> the </w:t>
      </w:r>
      <w:r w:rsidR="009A0F8B">
        <w:t xml:space="preserve">above </w:t>
      </w:r>
      <w:r w:rsidR="005D5980">
        <w:t xml:space="preserve">limitations, in order </w:t>
      </w:r>
      <w:r w:rsidR="009A0F8B">
        <w:t xml:space="preserve">properly </w:t>
      </w:r>
      <w:r w:rsidR="005D5980">
        <w:t xml:space="preserve">to </w:t>
      </w:r>
      <w:r w:rsidR="009A0F8B">
        <w:t>test empirically</w:t>
      </w:r>
      <w:r w:rsidR="005D5980">
        <w:t xml:space="preserve"> the theoretical proposition.</w:t>
      </w:r>
      <w:r w:rsidR="00581CC6">
        <w:t xml:space="preserve"> Certainly, the widening of the set, and the greater diversity, of bookmaker activity under consideration </w:t>
      </w:r>
      <w:r w:rsidR="002C3B29">
        <w:t xml:space="preserve">here </w:t>
      </w:r>
      <w:r w:rsidR="00581CC6">
        <w:t>might reasonably be expected to generate a significant increase in arbitrage opportunities.</w:t>
      </w:r>
      <w:r w:rsidR="00351486">
        <w:t xml:space="preserve"> This observation applies equally when comparing our results with those of Vlastakis </w:t>
      </w:r>
      <w:r w:rsidR="00351486">
        <w:rPr>
          <w:i/>
        </w:rPr>
        <w:t xml:space="preserve">et al. </w:t>
      </w:r>
      <w:r w:rsidR="002C3B29">
        <w:t xml:space="preserve">(2009) </w:t>
      </w:r>
      <w:r w:rsidR="00351486" w:rsidRPr="00236815">
        <w:t>who investigated arbitrage opportunities</w:t>
      </w:r>
      <w:r w:rsidR="00351486">
        <w:t xml:space="preserve"> among a population of five PTBs and one BBB. Their results revealed sixty three arbitrage opportunities across the aggregate group of six, which reduced to just te</w:t>
      </w:r>
      <w:r w:rsidR="002C3B29">
        <w:t>n within the group of five PTBs, though they caution that these results may underestimate actual arbitrage opportunities as their analysis considered only closing odds, which would deny identification of opportunities associated with earlier available price menus.</w:t>
      </w:r>
    </w:p>
    <w:p w14:paraId="782AAEDF" w14:textId="39A7436D" w:rsidR="00C625FA" w:rsidRDefault="005D5980" w:rsidP="001068D2">
      <w:pPr>
        <w:spacing w:line="360" w:lineRule="auto"/>
        <w:ind w:left="-15"/>
        <w:jc w:val="both"/>
      </w:pPr>
      <w:r>
        <w:t xml:space="preserve">In addition, we argue that any investigation of the EMH using odds provided by PTBs may lead to biased conclusions. Specifically, as suggested by Franck </w:t>
      </w:r>
      <w:r w:rsidRPr="00236815">
        <w:rPr>
          <w:i/>
        </w:rPr>
        <w:t>et al</w:t>
      </w:r>
      <w:r>
        <w:t>. (2013), such market operators may intentionally set “inefficient” prices as a marketing strategy to attract customers. Such complications in the assessment of market efficiency should not exist when employing the odds of BBBs, since their prices should not be influenced by client identity.</w:t>
      </w:r>
      <w:r w:rsidR="00BB6783">
        <w:t xml:space="preserve"> </w:t>
      </w:r>
      <w:r>
        <w:t>Consequently, odds in this market constitute more appropriate data for testing the EMH.</w:t>
      </w:r>
    </w:p>
    <w:p w14:paraId="4E6F93C2" w14:textId="77777777" w:rsidR="00447A82" w:rsidRDefault="00447A82" w:rsidP="005265B9">
      <w:pPr>
        <w:ind w:left="-15"/>
      </w:pPr>
    </w:p>
    <w:p w14:paraId="1883A078" w14:textId="77777777" w:rsidR="0073742C" w:rsidRDefault="005D5980">
      <w:pPr>
        <w:pStyle w:val="Heading1"/>
      </w:pPr>
      <w:r>
        <w:t>3. HYPOTHESIS DEVELOPMENT</w:t>
      </w:r>
    </w:p>
    <w:p w14:paraId="4F7F7905" w14:textId="76BD9CC5" w:rsidR="00C625FA" w:rsidRDefault="005D5980" w:rsidP="00FE2220">
      <w:pPr>
        <w:spacing w:line="360" w:lineRule="auto"/>
        <w:ind w:left="-15"/>
        <w:jc w:val="both"/>
      </w:pPr>
      <w:r>
        <w:t>The preceding discussion suggests that arbitrage opportunities between bookmakers from the same group (i.e. PTBs or BBBs) will be rare, but prices of PTBs and BBBs, operating in the same market</w:t>
      </w:r>
      <w:r w:rsidR="00F47706">
        <w:t>,</w:t>
      </w:r>
      <w:r>
        <w:t xml:space="preserve"> </w:t>
      </w:r>
      <w:r w:rsidR="00BC4ED5">
        <w:t>may</w:t>
      </w:r>
      <w:r>
        <w:t xml:space="preserve"> be sufficiently disparate </w:t>
      </w:r>
      <w:r w:rsidR="008C4B4F">
        <w:t>to</w:t>
      </w:r>
      <w:r>
        <w:t xml:space="preserve"> </w:t>
      </w:r>
      <w:r w:rsidR="009211D2">
        <w:t xml:space="preserve">incentivise </w:t>
      </w:r>
      <w:r>
        <w:t xml:space="preserve">arbitrage. However, because PTBs effectively prevent skilled traders from exploiting these opportunities, such arbitrage will be </w:t>
      </w:r>
      <w:r w:rsidR="00BC4ED5">
        <w:t>illusory</w:t>
      </w:r>
      <w:r>
        <w:t>.</w:t>
      </w:r>
      <w:r w:rsidR="00BB6783">
        <w:t xml:space="preserve"> </w:t>
      </w:r>
      <w:r>
        <w:t>In explor</w:t>
      </w:r>
      <w:r w:rsidR="00BB05F9">
        <w:t>ing</w:t>
      </w:r>
      <w:r>
        <w:t xml:space="preserve"> the validity of this proposition, we test the following five related hypotheses:</w:t>
      </w:r>
    </w:p>
    <w:p w14:paraId="6852A189" w14:textId="323662F6" w:rsidR="0073742C" w:rsidRDefault="005D5980" w:rsidP="00FE2220">
      <w:pPr>
        <w:spacing w:line="360" w:lineRule="auto"/>
        <w:ind w:left="-15"/>
        <w:jc w:val="both"/>
      </w:pPr>
      <w:r>
        <w:rPr>
          <w:b/>
        </w:rPr>
        <w:t>H1</w:t>
      </w:r>
      <w:r>
        <w:t xml:space="preserve">: There exist instances where </w:t>
      </w:r>
      <w:r w:rsidR="00BB05F9">
        <w:t>p</w:t>
      </w:r>
      <w:r>
        <w:t xml:space="preserve">rice dispersion in the betting market is adequate to generate </w:t>
      </w:r>
      <w:r w:rsidR="00447A82">
        <w:t>apparently</w:t>
      </w:r>
      <w:r>
        <w:t xml:space="preserve"> risk-free opportunities for bettors to profit by simultaneously betting with different bookmakers on alternative outcomes related to the same event.</w:t>
      </w:r>
    </w:p>
    <w:p w14:paraId="450BF41D" w14:textId="0D669593" w:rsidR="0073742C" w:rsidRDefault="005D5980" w:rsidP="00FE2220">
      <w:pPr>
        <w:spacing w:line="360" w:lineRule="auto"/>
        <w:ind w:left="-15"/>
        <w:jc w:val="both"/>
      </w:pPr>
      <w:r>
        <w:t xml:space="preserve">Levitt (2004) studied trading volume from a major PTB, showing that bettors tend </w:t>
      </w:r>
      <w:r w:rsidR="00C43F9B">
        <w:t>disprop</w:t>
      </w:r>
      <w:r w:rsidR="008C4B4F">
        <w:t>or</w:t>
      </w:r>
      <w:r w:rsidR="00C43F9B">
        <w:t>tionately to</w:t>
      </w:r>
      <w:r>
        <w:t xml:space="preserve"> prefer stak</w:t>
      </w:r>
      <w:r w:rsidR="00C43F9B">
        <w:t>ing</w:t>
      </w:r>
      <w:r>
        <w:t xml:space="preserve"> on favo</w:t>
      </w:r>
      <w:r w:rsidR="0075780B">
        <w:t>u</w:t>
      </w:r>
      <w:r>
        <w:t xml:space="preserve">rites, rather than longshots, </w:t>
      </w:r>
      <w:r w:rsidR="00C43F9B">
        <w:t xml:space="preserve">relative </w:t>
      </w:r>
      <w:r>
        <w:t>to their odds implied probabilities. Profit-maximizing bookmakers hence face net exposure to favo</w:t>
      </w:r>
      <w:r w:rsidR="0075780B">
        <w:t>u</w:t>
      </w:r>
      <w:r>
        <w:t xml:space="preserve">rites. </w:t>
      </w:r>
      <w:r w:rsidR="008C4B4F">
        <w:t>Relatedly</w:t>
      </w:r>
      <w:r>
        <w:t xml:space="preserve">, Forrest and Simmons (2008) and Franck </w:t>
      </w:r>
      <w:r w:rsidRPr="00236815">
        <w:rPr>
          <w:i/>
        </w:rPr>
        <w:t>et al.</w:t>
      </w:r>
      <w:r>
        <w:t xml:space="preserve"> (2011) show that PTBs offer better prices for bets on popular teams, in order to sustain competition and to build/maintain their customer base. Consequently, we expect that in most cases where apparent arbitrage opportunities exist, the PTB will post the best offer for the favo</w:t>
      </w:r>
      <w:r w:rsidR="0075780B">
        <w:t>u</w:t>
      </w:r>
      <w:r>
        <w:t xml:space="preserve">rite and </w:t>
      </w:r>
      <w:r w:rsidR="008C4B4F">
        <w:t>the</w:t>
      </w:r>
      <w:r>
        <w:t xml:space="preserve"> BBB will post the best offer for the longshot</w:t>
      </w:r>
      <w:r w:rsidR="00B31627">
        <w:t xml:space="preserve">, suggesting </w:t>
      </w:r>
      <w:r>
        <w:t>the following hypothesis:</w:t>
      </w:r>
    </w:p>
    <w:p w14:paraId="12D437FB" w14:textId="69609859" w:rsidR="00C625FA" w:rsidRDefault="005D5980" w:rsidP="00FE2220">
      <w:pPr>
        <w:spacing w:line="360" w:lineRule="auto"/>
        <w:ind w:left="-15"/>
        <w:jc w:val="both"/>
      </w:pPr>
      <w:r>
        <w:rPr>
          <w:b/>
        </w:rPr>
        <w:t>H2</w:t>
      </w:r>
      <w:r>
        <w:t xml:space="preserve">: Apparent arbitrage opportunities most commonly arise between BBBs and PTBs, by PTBs offering the </w:t>
      </w:r>
      <w:r w:rsidR="00171920">
        <w:t>longer</w:t>
      </w:r>
      <w:r>
        <w:t xml:space="preserve"> odds for favo</w:t>
      </w:r>
      <w:r w:rsidR="0075780B">
        <w:t>u</w:t>
      </w:r>
      <w:r>
        <w:t xml:space="preserve">rites and BBBs offering the </w:t>
      </w:r>
      <w:r w:rsidR="00171920">
        <w:t>longer</w:t>
      </w:r>
      <w:r>
        <w:t xml:space="preserve"> odds for longshots.</w:t>
      </w:r>
    </w:p>
    <w:p w14:paraId="72745ED7" w14:textId="53F5B888" w:rsidR="0073742C" w:rsidRDefault="005D5980" w:rsidP="00FE2220">
      <w:pPr>
        <w:spacing w:line="360" w:lineRule="auto"/>
        <w:ind w:left="-15"/>
        <w:jc w:val="both"/>
      </w:pPr>
      <w:r>
        <w:t xml:space="preserve">Based on Franck </w:t>
      </w:r>
      <w:r w:rsidRPr="00236815">
        <w:rPr>
          <w:i/>
        </w:rPr>
        <w:t>et al</w:t>
      </w:r>
      <w:r>
        <w:t xml:space="preserve">.’s (2013) finding that arbitrage profits between the betting exchange and PTBs were typically earned at the expense of bookmakers, we expect that </w:t>
      </w:r>
      <w:r w:rsidR="00B31627">
        <w:t>in exploring trade across PTBs and BBBs, appar</w:t>
      </w:r>
      <w:r>
        <w:t xml:space="preserve">ent arbitrage profits are </w:t>
      </w:r>
      <w:r w:rsidR="00B31627">
        <w:t xml:space="preserve">also </w:t>
      </w:r>
      <w:r>
        <w:t>earned at the expense of the PTBs, not the BBBs (</w:t>
      </w:r>
      <w:r w:rsidR="00B31627">
        <w:t>given</w:t>
      </w:r>
      <w:r>
        <w:t xml:space="preserve"> PTBs</w:t>
      </w:r>
      <w:r w:rsidR="00B31627">
        <w:t>’</w:t>
      </w:r>
      <w:r>
        <w:t xml:space="preserve"> fail</w:t>
      </w:r>
      <w:r w:rsidR="00B31627">
        <w:t>ure</w:t>
      </w:r>
      <w:r>
        <w:t xml:space="preserve"> to adjust odds quickly enough to incorporate price-informative trends signalled by informed money traded with BBBs). We, therefore, test the following hypothesis:</w:t>
      </w:r>
    </w:p>
    <w:p w14:paraId="756742F5" w14:textId="0E66AF69" w:rsidR="0073742C" w:rsidRDefault="005D5980" w:rsidP="00FE2220">
      <w:pPr>
        <w:spacing w:line="360" w:lineRule="auto"/>
        <w:ind w:left="-15"/>
        <w:jc w:val="both"/>
      </w:pPr>
      <w:r>
        <w:rPr>
          <w:b/>
        </w:rPr>
        <w:t>H3a</w:t>
      </w:r>
      <w:r>
        <w:t>: When an apparent arbitrage opportunity arises, a greater proportion of the risk</w:t>
      </w:r>
      <w:r w:rsidR="00BB6783">
        <w:t>-</w:t>
      </w:r>
      <w:r>
        <w:t xml:space="preserve">free profit will be earned in trade </w:t>
      </w:r>
      <w:r w:rsidR="00544572">
        <w:t>with</w:t>
      </w:r>
      <w:r>
        <w:t xml:space="preserve"> the PTB, rather than the BBB.</w:t>
      </w:r>
    </w:p>
    <w:p w14:paraId="15809DBA" w14:textId="14641834" w:rsidR="0073742C" w:rsidRDefault="005D5980" w:rsidP="00FE2220">
      <w:pPr>
        <w:spacing w:line="360" w:lineRule="auto"/>
        <w:ind w:left="-15"/>
        <w:jc w:val="both"/>
      </w:pPr>
      <w:r>
        <w:t xml:space="preserve">We also expect that the odds offered by BBBs (cf. PTBs) are better calibrated, i.e. we expect that BBBs’ odds-implied probabilities are more reflective of match outcomes. If PTBs were solely interested in efficient estimation of event probabilities, they could simply adjust their odds to those of the BBBs. If we show that the PTBs do not adjust their odds in this way then this is supportive of Franck </w:t>
      </w:r>
      <w:r w:rsidRPr="00236815">
        <w:rPr>
          <w:i/>
        </w:rPr>
        <w:t>et al</w:t>
      </w:r>
      <w:r>
        <w:t xml:space="preserve">.’s (2013) proposition that </w:t>
      </w:r>
      <w:r w:rsidR="00171920">
        <w:t>promotional</w:t>
      </w:r>
      <w:r>
        <w:t xml:space="preserve"> considerations form part of their odds-setting strategy. We, therefore, test the following hypothesis:</w:t>
      </w:r>
    </w:p>
    <w:p w14:paraId="022FB1A1" w14:textId="77777777" w:rsidR="0073742C" w:rsidRDefault="005D5980" w:rsidP="00FE2220">
      <w:pPr>
        <w:spacing w:line="360" w:lineRule="auto"/>
        <w:ind w:left="-15"/>
        <w:jc w:val="both"/>
      </w:pPr>
      <w:r>
        <w:rPr>
          <w:b/>
        </w:rPr>
        <w:t>H3b</w:t>
      </w:r>
      <w:r>
        <w:t>: BBBs’ odds constitute more accurate predictors (cf. those of PTBs) of event outcomes.</w:t>
      </w:r>
    </w:p>
    <w:p w14:paraId="69209D81" w14:textId="77777777" w:rsidR="00AE3298" w:rsidRDefault="00AE3298" w:rsidP="00FE2220">
      <w:pPr>
        <w:spacing w:line="360" w:lineRule="auto"/>
        <w:ind w:left="-15"/>
        <w:jc w:val="both"/>
      </w:pPr>
    </w:p>
    <w:p w14:paraId="76C2F93B" w14:textId="77777777" w:rsidR="0073742C" w:rsidRDefault="005D5980">
      <w:pPr>
        <w:pStyle w:val="Heading1"/>
        <w:spacing w:after="414"/>
      </w:pPr>
      <w:r>
        <w:t>4. DATA AND METHODOLOGY</w:t>
      </w:r>
    </w:p>
    <w:p w14:paraId="27AF5D8D" w14:textId="2A1E6343" w:rsidR="0073742C" w:rsidRDefault="005D5980" w:rsidP="002812C7">
      <w:pPr>
        <w:pStyle w:val="Heading2"/>
        <w:ind w:left="-5"/>
      </w:pPr>
      <w:r>
        <w:t xml:space="preserve">4.1. Bookmaker </w:t>
      </w:r>
      <w:r w:rsidR="00171920">
        <w:t>Classification</w:t>
      </w:r>
      <w:r>
        <w:t xml:space="preserve"> and Data</w:t>
      </w:r>
    </w:p>
    <w:p w14:paraId="0DA4A9EA" w14:textId="5FC9E604" w:rsidR="0073742C" w:rsidRDefault="005D5980" w:rsidP="00FE2220">
      <w:pPr>
        <w:spacing w:line="360" w:lineRule="auto"/>
        <w:ind w:left="-15"/>
        <w:jc w:val="both"/>
      </w:pPr>
      <w:r>
        <w:t xml:space="preserve">We employ data from major bookmakers representing both BBBs and PTBs. We classify </w:t>
      </w:r>
      <w:r>
        <w:rPr>
          <w:i/>
        </w:rPr>
        <w:t>Ladbrokes</w:t>
      </w:r>
      <w:r>
        <w:t xml:space="preserve">, </w:t>
      </w:r>
      <w:r>
        <w:rPr>
          <w:i/>
        </w:rPr>
        <w:t>William Hill</w:t>
      </w:r>
      <w:r>
        <w:t xml:space="preserve">, </w:t>
      </w:r>
      <w:r>
        <w:rPr>
          <w:i/>
        </w:rPr>
        <w:t>Bet365</w:t>
      </w:r>
      <w:r>
        <w:t xml:space="preserve">, and </w:t>
      </w:r>
      <w:r>
        <w:rPr>
          <w:i/>
        </w:rPr>
        <w:t xml:space="preserve">Stan James </w:t>
      </w:r>
      <w:r>
        <w:t xml:space="preserve">as PTBs, and </w:t>
      </w:r>
      <w:r>
        <w:rPr>
          <w:i/>
        </w:rPr>
        <w:t>IBCBet</w:t>
      </w:r>
      <w:r>
        <w:t xml:space="preserve">, </w:t>
      </w:r>
      <w:r>
        <w:rPr>
          <w:i/>
        </w:rPr>
        <w:t>Pinnacle</w:t>
      </w:r>
      <w:r>
        <w:t xml:space="preserve">, </w:t>
      </w:r>
      <w:r>
        <w:rPr>
          <w:i/>
        </w:rPr>
        <w:t xml:space="preserve">SBOBet </w:t>
      </w:r>
      <w:r>
        <w:t xml:space="preserve">and </w:t>
      </w:r>
      <w:r>
        <w:rPr>
          <w:i/>
        </w:rPr>
        <w:t xml:space="preserve">188Bet </w:t>
      </w:r>
      <w:r>
        <w:t xml:space="preserve">as BBBs, based on </w:t>
      </w:r>
      <w:r w:rsidR="009269D6">
        <w:t xml:space="preserve">extensive </w:t>
      </w:r>
      <w:r>
        <w:t xml:space="preserve">consultation with bettors and </w:t>
      </w:r>
      <w:r w:rsidR="00B31627">
        <w:t>interpretation of the information presented below.</w:t>
      </w:r>
    </w:p>
    <w:p w14:paraId="011738A0" w14:textId="3FC83030" w:rsidR="0073742C" w:rsidRDefault="005D5980" w:rsidP="00FE2220">
      <w:pPr>
        <w:spacing w:after="56" w:line="360" w:lineRule="auto"/>
        <w:ind w:left="-15"/>
        <w:jc w:val="both"/>
      </w:pPr>
      <w:r w:rsidRPr="008B4A02">
        <w:rPr>
          <w:b/>
        </w:rPr>
        <w:t>PTBs</w:t>
      </w:r>
      <w:r>
        <w:t xml:space="preserve">: </w:t>
      </w:r>
      <w:r>
        <w:rPr>
          <w:i/>
        </w:rPr>
        <w:t xml:space="preserve">Ladbrokes </w:t>
      </w:r>
      <w:r>
        <w:t xml:space="preserve">and </w:t>
      </w:r>
      <w:r>
        <w:rPr>
          <w:i/>
        </w:rPr>
        <w:t xml:space="preserve">William Hill </w:t>
      </w:r>
      <w:r>
        <w:t>operate retail businesses with thousands of betting shops, mainly in the U.K. They also operate online, and their combined aggregate gross revenue exceeds £1 Billion.</w:t>
      </w:r>
      <w:r>
        <w:rPr>
          <w:vertAlign w:val="superscript"/>
        </w:rPr>
        <w:footnoteReference w:id="5"/>
      </w:r>
      <w:r>
        <w:rPr>
          <w:vertAlign w:val="superscript"/>
        </w:rPr>
        <w:t xml:space="preserve"> </w:t>
      </w:r>
      <w:r>
        <w:rPr>
          <w:i/>
        </w:rPr>
        <w:t xml:space="preserve">Bet365 </w:t>
      </w:r>
      <w:r>
        <w:t>is a major UK-based betting company founded in 2001, which achieved turnover of £8.5 Billion and gross profit of £422 Million in 2011.</w:t>
      </w:r>
      <w:r>
        <w:rPr>
          <w:vertAlign w:val="superscript"/>
        </w:rPr>
        <w:footnoteReference w:id="6"/>
      </w:r>
      <w:r>
        <w:rPr>
          <w:vertAlign w:val="superscript"/>
        </w:rPr>
        <w:t xml:space="preserve"> </w:t>
      </w:r>
      <w:r>
        <w:rPr>
          <w:i/>
        </w:rPr>
        <w:t xml:space="preserve">Stan James </w:t>
      </w:r>
      <w:r>
        <w:t>is a private company operating mainly online, while owning 65 betting shops in the U.K.</w:t>
      </w:r>
      <w:r>
        <w:rPr>
          <w:vertAlign w:val="superscript"/>
        </w:rPr>
        <w:footnoteReference w:id="7"/>
      </w:r>
      <w:r>
        <w:rPr>
          <w:vertAlign w:val="superscript"/>
        </w:rPr>
        <w:t xml:space="preserve"> </w:t>
      </w:r>
      <w:r>
        <w:t>One of the defining characteristics of PTBs is their physical-world presence, which is important to each of these bookmakers. Annual reports for these bookmakers note that their profitability depends on match results.</w:t>
      </w:r>
      <w:r>
        <w:rPr>
          <w:vertAlign w:val="superscript"/>
        </w:rPr>
        <w:footnoteReference w:id="8"/>
      </w:r>
    </w:p>
    <w:p w14:paraId="72E3F198" w14:textId="36034E3C" w:rsidR="0073742C" w:rsidRDefault="005D5980" w:rsidP="00FE2220">
      <w:pPr>
        <w:spacing w:line="360" w:lineRule="auto"/>
        <w:ind w:left="-15"/>
        <w:jc w:val="both"/>
      </w:pPr>
      <w:r w:rsidRPr="008B4A02">
        <w:rPr>
          <w:b/>
        </w:rPr>
        <w:t>BBBs</w:t>
      </w:r>
      <w:r>
        <w:t xml:space="preserve">: </w:t>
      </w:r>
      <w:r>
        <w:rPr>
          <w:i/>
        </w:rPr>
        <w:t>SBOBet</w:t>
      </w:r>
      <w:r>
        <w:t xml:space="preserve">, </w:t>
      </w:r>
      <w:r>
        <w:rPr>
          <w:i/>
        </w:rPr>
        <w:t>IBCbet</w:t>
      </w:r>
      <w:r>
        <w:t xml:space="preserve">, </w:t>
      </w:r>
      <w:r>
        <w:rPr>
          <w:i/>
        </w:rPr>
        <w:t xml:space="preserve">188Bet </w:t>
      </w:r>
      <w:r>
        <w:t xml:space="preserve">are leading </w:t>
      </w:r>
      <w:r w:rsidR="00331BD8">
        <w:t>BBB</w:t>
      </w:r>
      <w:r>
        <w:t xml:space="preserve"> </w:t>
      </w:r>
      <w:r w:rsidR="00331BD8">
        <w:t>operato</w:t>
      </w:r>
      <w:r>
        <w:t xml:space="preserve">rs, handling </w:t>
      </w:r>
      <w:r w:rsidR="004346E6">
        <w:t xml:space="preserve">trading </w:t>
      </w:r>
      <w:r>
        <w:t>volumes</w:t>
      </w:r>
      <w:r w:rsidR="004346E6">
        <w:t xml:space="preserve"> </w:t>
      </w:r>
      <w:r>
        <w:t xml:space="preserve"> far </w:t>
      </w:r>
      <w:r w:rsidR="008B4A02">
        <w:t>in excess of</w:t>
      </w:r>
      <w:r>
        <w:t xml:space="preserve"> more traditional European bookmakers (Forrest, 2012). </w:t>
      </w:r>
      <w:r>
        <w:rPr>
          <w:i/>
        </w:rPr>
        <w:t xml:space="preserve">Pinnacle </w:t>
      </w:r>
      <w:r>
        <w:t>is a major online operator, trading billions of dollars</w:t>
      </w:r>
      <w:r w:rsidR="004346E6">
        <w:t>, which</w:t>
      </w:r>
      <w:r>
        <w:t xml:space="preserve"> describe</w:t>
      </w:r>
      <w:r w:rsidR="004346E6">
        <w:t>s itself</w:t>
      </w:r>
      <w:r>
        <w:t xml:space="preserve"> explicitly on </w:t>
      </w:r>
      <w:r w:rsidR="004346E6">
        <w:t>its</w:t>
      </w:r>
      <w:r>
        <w:t xml:space="preserve"> website</w:t>
      </w:r>
      <w:r>
        <w:rPr>
          <w:vertAlign w:val="superscript"/>
        </w:rPr>
        <w:footnoteReference w:id="9"/>
      </w:r>
      <w:r>
        <w:rPr>
          <w:vertAlign w:val="superscript"/>
        </w:rPr>
        <w:t xml:space="preserve"> </w:t>
      </w:r>
      <w:r>
        <w:t>as attempting to maximize trading volume while minimizing exposure, using information arising from informed traders as a tool to set efficient odds. In particular,</w:t>
      </w:r>
      <w:r w:rsidR="00585380">
        <w:t xml:space="preserve"> </w:t>
      </w:r>
      <w:r>
        <w:rPr>
          <w:i/>
        </w:rPr>
        <w:t xml:space="preserve">Pinnacle </w:t>
      </w:r>
      <w:r>
        <w:t>emphasize</w:t>
      </w:r>
      <w:r w:rsidR="004346E6">
        <w:t>s</w:t>
      </w:r>
      <w:r>
        <w:t xml:space="preserve"> that </w:t>
      </w:r>
      <w:r w:rsidR="004346E6">
        <w:t>it is</w:t>
      </w:r>
      <w:r>
        <w:t xml:space="preserve"> friendly to arbitrageurs, as the expected value of a trade </w:t>
      </w:r>
      <w:r w:rsidR="004346E6">
        <w:t>to the operator</w:t>
      </w:r>
      <w:r>
        <w:t xml:space="preserve"> should not depend on the motives of the counterparty placing the stake. The model described by </w:t>
      </w:r>
      <w:r>
        <w:rPr>
          <w:i/>
        </w:rPr>
        <w:t xml:space="preserve">Pinnacle </w:t>
      </w:r>
      <w:r>
        <w:t xml:space="preserve">also fits the operations of the three bookmakers listed above and is aligned with the model of BBBs. Importantly, </w:t>
      </w:r>
      <w:r w:rsidR="00B31627">
        <w:t>each of</w:t>
      </w:r>
      <w:r>
        <w:t xml:space="preserve"> these </w:t>
      </w:r>
      <w:r w:rsidR="00B31627">
        <w:t xml:space="preserve">operators </w:t>
      </w:r>
      <w:r>
        <w:t>lack</w:t>
      </w:r>
      <w:r w:rsidR="00B31627">
        <w:t>s</w:t>
      </w:r>
      <w:r>
        <w:t xml:space="preserve"> physical-world presence (betting shops) and ha</w:t>
      </w:r>
      <w:r w:rsidR="00B31627">
        <w:t>s</w:t>
      </w:r>
      <w:r>
        <w:t xml:space="preserve"> a</w:t>
      </w:r>
      <w:r w:rsidR="00B31627">
        <w:t>n empirically demonstrable</w:t>
      </w:r>
      <w:r>
        <w:t xml:space="preserve"> tendency to change odds frequently.</w:t>
      </w:r>
    </w:p>
    <w:p w14:paraId="2DB83926" w14:textId="02DAF8E3" w:rsidR="0073742C" w:rsidRDefault="005D5980" w:rsidP="00FE2220">
      <w:pPr>
        <w:spacing w:line="360" w:lineRule="auto"/>
        <w:ind w:left="-15"/>
        <w:jc w:val="both"/>
      </w:pPr>
      <w:r>
        <w:t xml:space="preserve">In order to ensure </w:t>
      </w:r>
      <w:r w:rsidR="00BB6783">
        <w:t xml:space="preserve">that </w:t>
      </w:r>
      <w:r>
        <w:t xml:space="preserve">potential arbitrage trades could have realistically been executed, we designed a data collection program to </w:t>
      </w:r>
      <w:r w:rsidR="00B31627">
        <w:t xml:space="preserve">obtain </w:t>
      </w:r>
      <w:r>
        <w:t>odds information systematically from bookmakers’ websites. Th</w:t>
      </w:r>
      <w:r w:rsidR="009269D6">
        <w:t>is</w:t>
      </w:r>
      <w:r w:rsidR="00FA23BC">
        <w:t xml:space="preserve"> involved surveying</w:t>
      </w:r>
      <w:r>
        <w:t xml:space="preserve"> different bookmakers’ websites </w:t>
      </w:r>
      <w:r>
        <w:rPr>
          <w:i/>
        </w:rPr>
        <w:t>simultaneously</w:t>
      </w:r>
      <w:r>
        <w:t xml:space="preserve">, so differential odds from our panel of bookmakers reflect </w:t>
      </w:r>
      <w:r w:rsidR="007334E8">
        <w:t xml:space="preserve">genuine, real-time </w:t>
      </w:r>
      <w:r>
        <w:t xml:space="preserve">price dispersion, </w:t>
      </w:r>
      <w:r w:rsidR="007334E8">
        <w:t>rather than</w:t>
      </w:r>
      <w:r>
        <w:t xml:space="preserve"> information-driven </w:t>
      </w:r>
      <w:r w:rsidR="007334E8">
        <w:t>outcomes.</w:t>
      </w:r>
      <w:r>
        <w:t xml:space="preserve"> </w:t>
      </w:r>
      <w:bookmarkStart w:id="1" w:name="_Hlk501588060"/>
      <w:r w:rsidR="00106B5C">
        <w:t>The program included a</w:t>
      </w:r>
      <w:r w:rsidR="006D27D2">
        <w:t xml:space="preserve"> </w:t>
      </w:r>
      <w:r>
        <w:t>time-out</w:t>
      </w:r>
      <w:r w:rsidR="00106B5C">
        <w:t xml:space="preserve"> coefficient</w:t>
      </w:r>
      <w:r>
        <w:t xml:space="preserve"> to ensure a maximum discrepancy in odds collection of 30 seconds</w:t>
      </w:r>
      <w:r w:rsidR="00A46BF7">
        <w:t>. In other words, where odds were/were not forthcoming from the bookmaker within 30 seconds, it was assumed that these odds were/were not available as a basis for arbitrage</w:t>
      </w:r>
      <w:r>
        <w:t>.</w:t>
      </w:r>
      <w:r>
        <w:rPr>
          <w:vertAlign w:val="superscript"/>
        </w:rPr>
        <w:footnoteReference w:id="10"/>
      </w:r>
      <w:r w:rsidR="00505B39">
        <w:t xml:space="preserve"> </w:t>
      </w:r>
      <w:bookmarkEnd w:id="1"/>
      <w:r>
        <w:t xml:space="preserve">All odds were collected in a period within 2 hours </w:t>
      </w:r>
      <w:r w:rsidR="007334E8">
        <w:t xml:space="preserve">of </w:t>
      </w:r>
      <w:r>
        <w:t>kick-off, when the staking l</w:t>
      </w:r>
      <w:r w:rsidR="00FA23BC">
        <w:t>evel</w:t>
      </w:r>
      <w:r>
        <w:t xml:space="preserve">s reach their peak. We focused on the major European </w:t>
      </w:r>
      <w:r w:rsidR="00236815">
        <w:t>soccer</w:t>
      </w:r>
      <w:r>
        <w:t xml:space="preserve"> leagues in order to ensure that the findings of the study carry economic significance, as the volumes traded in leagues of lower status are significantly smaller. We collected data, for the whole of the 2012-13 season for the 6 major leagues; the English Premier League, the German Bundesliga, the Italian Serie A, the Spanish La Liga, the French Ligue 1, and the Dutch Eredivisie. Overall, this resulted in a sample of 2,132 games, which we refer to as the </w:t>
      </w:r>
      <w:r w:rsidR="008C4B4F">
        <w:t>`</w:t>
      </w:r>
      <w:r>
        <w:t>main sample</w:t>
      </w:r>
      <w:r w:rsidR="008C4B4F">
        <w:t>’</w:t>
      </w:r>
      <w:r>
        <w:t>.</w:t>
      </w:r>
    </w:p>
    <w:p w14:paraId="0F753F99" w14:textId="599B86EE" w:rsidR="0073742C" w:rsidRDefault="005D5980" w:rsidP="0075780B">
      <w:pPr>
        <w:spacing w:after="0" w:line="360" w:lineRule="auto"/>
        <w:ind w:left="10" w:right="-14" w:hanging="10"/>
        <w:jc w:val="both"/>
      </w:pPr>
      <w:r>
        <w:t xml:space="preserve">For each match, odds were collected for several bookmaker products: the </w:t>
      </w:r>
      <w:r w:rsidR="004346E6">
        <w:t>AH</w:t>
      </w:r>
      <w:r>
        <w:t>, and home win, draw, and away win (also known as 1</w:t>
      </w:r>
      <w:r w:rsidR="00FA23BC">
        <w:t>X</w:t>
      </w:r>
      <w:r>
        <w:t xml:space="preserve">2) markets. In AH betting, one of the teams (usually the </w:t>
      </w:r>
      <w:r w:rsidR="0075780B">
        <w:t>favourite</w:t>
      </w:r>
      <w:r>
        <w:t>) is</w:t>
      </w:r>
      <w:r w:rsidR="00BB6783">
        <w:t xml:space="preserve"> </w:t>
      </w:r>
      <w:r>
        <w:t xml:space="preserve">given a goal-deficit (handicap) to overcome, the size of which is indicated by a negative number. </w:t>
      </w:r>
      <w:r w:rsidR="004346E6">
        <w:t>A bet is successful</w:t>
      </w:r>
      <w:r>
        <w:t xml:space="preserve"> if the handicapped team wins the match by a greater margin than the handicap. A bet on the opposing team is successful providing </w:t>
      </w:r>
      <w:r w:rsidR="004346E6">
        <w:t xml:space="preserve">it </w:t>
      </w:r>
      <w:r>
        <w:t>do</w:t>
      </w:r>
      <w:r w:rsidR="004346E6">
        <w:t>es</w:t>
      </w:r>
      <w:r>
        <w:t xml:space="preserve"> not lose by a margin greater than the handicap. Fractional AHs include the draw outcome. For example, a team with a handicap of </w:t>
      </w:r>
      <w:r>
        <w:rPr>
          <w:i/>
        </w:rPr>
        <w:t>−</w:t>
      </w:r>
      <w:r>
        <w:t>0</w:t>
      </w:r>
      <w:r>
        <w:rPr>
          <w:i/>
        </w:rPr>
        <w:t>.</w:t>
      </w:r>
      <w:r>
        <w:t>5, starts with a half goal deficit, meaning that the team must win outright (that is, not draw) for the bet to pay off</w:t>
      </w:r>
      <w:r w:rsidR="0062212D">
        <w:rPr>
          <w:rStyle w:val="FootnoteReference"/>
        </w:rPr>
        <w:footnoteReference w:id="11"/>
      </w:r>
      <w:r>
        <w:t>. A team which is handicapped +0</w:t>
      </w:r>
      <w:r>
        <w:rPr>
          <w:i/>
        </w:rPr>
        <w:t>.</w:t>
      </w:r>
      <w:r>
        <w:t>5 starts with a half goal advantage, so a bet on that team wins even if the outcome is a draw. A bet on a team with a 0 handicap is refunded in the event of the draw, whereas a bet on team with a -0.25 (+0.25) handicap is considered as a half-bet on 0 handicap and a half-bet on -0.5 (+0.5).</w:t>
      </w:r>
      <w:r>
        <w:rPr>
          <w:vertAlign w:val="superscript"/>
        </w:rPr>
        <w:footnoteReference w:id="12"/>
      </w:r>
      <w:r>
        <w:rPr>
          <w:vertAlign w:val="superscript"/>
        </w:rPr>
        <w:t xml:space="preserve"> </w:t>
      </w:r>
      <w:r>
        <w:t xml:space="preserve">The AHs that are of interest </w:t>
      </w:r>
      <w:r w:rsidR="00BB6783">
        <w:t>here</w:t>
      </w:r>
      <w:r>
        <w:t xml:space="preserve"> are those in the interval of -0.5 to +0.5, because none of the bets in this range </w:t>
      </w:r>
      <w:r w:rsidR="007334E8">
        <w:t>is</w:t>
      </w:r>
      <w:r>
        <w:t xml:space="preserve"> dependent on the number of goals scored. Hence, an arbitrage portfolio can potentially be formed by betting </w:t>
      </w:r>
      <w:r w:rsidR="00BB6783">
        <w:t xml:space="preserve">in </w:t>
      </w:r>
      <w:r>
        <w:t>the home win, draw, and away win (1</w:t>
      </w:r>
      <w:r w:rsidR="004672B3">
        <w:t>X</w:t>
      </w:r>
      <w:r>
        <w:t>2) markets.</w:t>
      </w:r>
    </w:p>
    <w:p w14:paraId="378BC41C" w14:textId="77777777" w:rsidR="0075780B" w:rsidRDefault="0075780B" w:rsidP="0075780B">
      <w:pPr>
        <w:spacing w:after="0" w:line="360" w:lineRule="auto"/>
        <w:ind w:left="10" w:right="-14" w:hanging="10"/>
        <w:jc w:val="both"/>
      </w:pPr>
    </w:p>
    <w:p w14:paraId="20158D6D" w14:textId="2FA7C569" w:rsidR="00836D89" w:rsidRDefault="005D5980" w:rsidP="0075780B">
      <w:pPr>
        <w:spacing w:after="0" w:line="360" w:lineRule="auto"/>
        <w:ind w:left="-15"/>
        <w:jc w:val="both"/>
      </w:pPr>
      <w:r>
        <w:t>Our supplementary set of data (we refer to this as the ‘extended set’) contains historical odds from six bookmakers (</w:t>
      </w:r>
      <w:r>
        <w:rPr>
          <w:i/>
        </w:rPr>
        <w:t>Ladbrokes</w:t>
      </w:r>
      <w:r>
        <w:t xml:space="preserve">, </w:t>
      </w:r>
      <w:r>
        <w:rPr>
          <w:i/>
        </w:rPr>
        <w:t>William Hill</w:t>
      </w:r>
      <w:r>
        <w:t xml:space="preserve">, </w:t>
      </w:r>
      <w:r>
        <w:rPr>
          <w:i/>
        </w:rPr>
        <w:t>Bet365</w:t>
      </w:r>
      <w:r>
        <w:t xml:space="preserve">, </w:t>
      </w:r>
      <w:r>
        <w:rPr>
          <w:i/>
        </w:rPr>
        <w:t>SBOBet</w:t>
      </w:r>
      <w:r>
        <w:t xml:space="preserve">, </w:t>
      </w:r>
      <w:r>
        <w:rPr>
          <w:i/>
        </w:rPr>
        <w:t>188Bet</w:t>
      </w:r>
      <w:r>
        <w:t xml:space="preserve">, and </w:t>
      </w:r>
      <w:r>
        <w:rPr>
          <w:i/>
        </w:rPr>
        <w:t>Pinnacle</w:t>
      </w:r>
      <w:r>
        <w:t xml:space="preserve">) for each of the six leagues in our sample; a total of 6,396 matches over the three seasons from 2010-11 to 2012-13. </w:t>
      </w:r>
      <w:r w:rsidR="004672B3">
        <w:t>These data</w:t>
      </w:r>
      <w:r w:rsidR="00FA23BC">
        <w:t xml:space="preserve"> </w:t>
      </w:r>
      <w:r w:rsidR="004672B3">
        <w:t>were obtained</w:t>
      </w:r>
      <w:r>
        <w:t xml:space="preserve"> in a similar fashion to our main data, </w:t>
      </w:r>
      <w:r w:rsidR="00FA23BC">
        <w:t>and</w:t>
      </w:r>
      <w:r>
        <w:t xml:space="preserve"> w</w:t>
      </w:r>
      <w:r w:rsidR="004672B3">
        <w:t>ere</w:t>
      </w:r>
      <w:r>
        <w:t xml:space="preserve"> used to explore the relative incidence of </w:t>
      </w:r>
      <w:r w:rsidR="0075780B">
        <w:t>favourite</w:t>
      </w:r>
      <w:r>
        <w:t xml:space="preserve">-longshot bias and the degree of calibration between the odds-implied probabilities of match outcomes and </w:t>
      </w:r>
      <w:r w:rsidR="00FA23BC">
        <w:t xml:space="preserve">actual </w:t>
      </w:r>
      <w:r>
        <w:t>match outcomes. We obtained home win, draw, and away win odds for each match, at a time point within two hours of match kick-off. We could not use this entire sample (excluding 2012-13 data) to test the economic efficiency of arbitrage portfolios, as odds were not collected to ensure simultaneous execution of trades. However, the longer data period allows greater power in statistical tests of efficiency.</w:t>
      </w:r>
    </w:p>
    <w:p w14:paraId="524D1B25" w14:textId="731737A6" w:rsidR="0073742C" w:rsidRPr="00836D89" w:rsidRDefault="00836D89" w:rsidP="00836D89">
      <w:pPr>
        <w:pStyle w:val="Title"/>
      </w:pPr>
      <w:r w:rsidRPr="00836D89">
        <w:tab/>
      </w:r>
    </w:p>
    <w:p w14:paraId="61993389" w14:textId="5E7D5A29" w:rsidR="00DB2663" w:rsidRPr="00836D89" w:rsidRDefault="00836D89" w:rsidP="00836D89">
      <w:pPr>
        <w:pStyle w:val="Title"/>
      </w:pPr>
      <w:r>
        <w:tab/>
      </w:r>
    </w:p>
    <w:p w14:paraId="75DF54F4" w14:textId="77777777" w:rsidR="0073742C" w:rsidRDefault="005D5980">
      <w:pPr>
        <w:pStyle w:val="Heading2"/>
        <w:ind w:left="-5"/>
      </w:pPr>
      <w:r>
        <w:t>4.2. Methodology</w:t>
      </w:r>
    </w:p>
    <w:p w14:paraId="6E64B163" w14:textId="77777777" w:rsidR="0073742C" w:rsidRDefault="005D5980">
      <w:pPr>
        <w:pStyle w:val="Heading3"/>
        <w:spacing w:after="345"/>
        <w:ind w:left="-5"/>
      </w:pPr>
      <w:r>
        <w:t>4.2.1. Estimating the Frequency of Arbitrage Opportunities</w:t>
      </w:r>
    </w:p>
    <w:p w14:paraId="3D0DCE49" w14:textId="258ABD83" w:rsidR="00ED654E" w:rsidRPr="00236815" w:rsidRDefault="00ED654E" w:rsidP="00236815">
      <w:pPr>
        <w:spacing w:line="360" w:lineRule="auto"/>
        <w:rPr>
          <w:rFonts w:asciiTheme="minorHAnsi" w:eastAsiaTheme="minorHAnsi" w:hAnsiTheme="minorHAnsi" w:cstheme="minorBidi"/>
          <w:color w:val="auto"/>
          <w:sz w:val="22"/>
          <w:lang w:val="en-GB" w:eastAsia="en-US"/>
        </w:rPr>
      </w:pPr>
      <w:r w:rsidRPr="00236815">
        <w:t xml:space="preserve">In order to test H1, we formulate a linear optimization problem. This is specifically designed to </w:t>
      </w:r>
      <w:r>
        <w:t>provide a comprehensive identification of</w:t>
      </w:r>
      <w:r w:rsidRPr="00236815">
        <w:t xml:space="preserve"> the existence of arbitrage opportunities between bookmaker types. Particular and advantageous features of this method are that we survey arbitrage opportunities throughout the duration of each market</w:t>
      </w:r>
      <w:r>
        <w:t>,</w:t>
      </w:r>
      <w:r w:rsidRPr="00236815">
        <w:t xml:space="preserve"> we can assure, reliably, the temporal co-existence of cross-operator odds differentials which define the opportunities, </w:t>
      </w:r>
      <w:r>
        <w:t>and we are able to identify</w:t>
      </w:r>
      <w:r w:rsidRPr="00236815">
        <w:t xml:space="preserve"> the optimal distribution of stakes across different products in order to maximize the return. Arbitrage opportunities are deemed to exist where such a return is positive and invariant across all match outcomes. If there is insufficient dispersion in the odds across the market to generate an arbitrage opportunity, there will be no feasible solution. Assuming sufficient dispersion, there will be a range of solutions that offer certain positive returns and the linear program will suggest the combination that offers the highest profit.</w:t>
      </w:r>
    </w:p>
    <w:p w14:paraId="27F610D0" w14:textId="284C8724" w:rsidR="0073742C" w:rsidRDefault="005D5980" w:rsidP="00236815">
      <w:pPr>
        <w:spacing w:after="26" w:line="360" w:lineRule="auto"/>
        <w:ind w:left="-17"/>
        <w:jc w:val="both"/>
      </w:pPr>
      <w:r>
        <w:t>We outline below how this problem is formulated and examined for a single game. This process is repeated for all 2,132 games in the main sample.</w:t>
      </w:r>
    </w:p>
    <w:p w14:paraId="60ABF462" w14:textId="77777777" w:rsidR="00574657" w:rsidRDefault="00574657" w:rsidP="00574657">
      <w:pPr>
        <w:spacing w:after="26" w:line="360" w:lineRule="auto"/>
        <w:ind w:left="-15"/>
        <w:jc w:val="both"/>
      </w:pPr>
    </w:p>
    <w:p w14:paraId="25EFBA21" w14:textId="5793ECDD" w:rsidR="0073742C" w:rsidRDefault="005D5980" w:rsidP="00574657">
      <w:pPr>
        <w:spacing w:after="34" w:line="360" w:lineRule="auto"/>
        <w:ind w:left="-15"/>
        <w:jc w:val="both"/>
      </w:pPr>
      <w:r>
        <w:t xml:space="preserve">Let </w:t>
      </w:r>
      <m:oMath>
        <m:sSub>
          <m:sSubPr>
            <m:ctrlPr>
              <w:rPr>
                <w:rFonts w:ascii="Cambria Math" w:hAnsi="Cambria Math"/>
                <w:i/>
              </w:rPr>
            </m:ctrlPr>
          </m:sSubPr>
          <m:e>
            <m:r>
              <w:rPr>
                <w:rFonts w:ascii="Cambria Math" w:hAnsi="Cambria Math"/>
              </w:rPr>
              <m:t>X</m:t>
            </m:r>
          </m:e>
          <m:sub>
            <m:r>
              <w:rPr>
                <w:rFonts w:ascii="Cambria Math" w:hAnsi="Cambria Math"/>
              </w:rPr>
              <m:t>j,k</m:t>
            </m:r>
          </m:sub>
        </m:sSub>
      </m:oMath>
      <w:r w:rsidR="00574657">
        <w:t xml:space="preserve"> </w:t>
      </w:r>
      <w:r>
        <w:t xml:space="preserve">denote the vector of gross odds offered by bookmaker </w:t>
      </w:r>
      <m:oMath>
        <m:r>
          <w:rPr>
            <w:rFonts w:ascii="Cambria Math" w:hAnsi="Cambria Math"/>
          </w:rPr>
          <m:t>k</m:t>
        </m:r>
      </m:oMath>
      <w:r>
        <w:t xml:space="preserve">, where for each game there are </w:t>
      </w:r>
      <m:oMath>
        <m:r>
          <w:rPr>
            <w:rFonts w:ascii="Cambria Math" w:hAnsi="Cambria Math"/>
          </w:rPr>
          <m:t>1 ≤ j ≤ 13</m:t>
        </m:r>
      </m:oMath>
      <w:r>
        <w:t xml:space="preserve"> products offered by the bookmaker (i.e. ‘home win’, ‘home win with a </w:t>
      </w:r>
      <m:oMath>
        <m:r>
          <w:rPr>
            <w:rFonts w:ascii="Cambria Math" w:hAnsi="Cambria Math"/>
          </w:rPr>
          <m:t>-0.5</m:t>
        </m:r>
      </m:oMath>
      <w:r>
        <w:t xml:space="preserve"> handicap,’ ‘away win with a </w:t>
      </w:r>
      <m:oMath>
        <m:r>
          <w:rPr>
            <w:rFonts w:ascii="Cambria Math" w:hAnsi="Cambria Math"/>
          </w:rPr>
          <m:t xml:space="preserve">+0.5 </m:t>
        </m:r>
      </m:oMath>
      <w:r>
        <w:t xml:space="preserve">handicap,’ etc.). The gross return to each of the 13 bookmakers’ products is presented in Table </w:t>
      </w:r>
      <w:r w:rsidR="00505B39">
        <w:t>2</w:t>
      </w:r>
      <w:r>
        <w:t>, with products 1, 7, and 8 indicating odds from the 1</w:t>
      </w:r>
      <w:r w:rsidR="00DB2663">
        <w:t>X2</w:t>
      </w:r>
      <w:r>
        <w:t xml:space="preserve"> market, and the rest (with suffix AH) obtained from the AH marke</w:t>
      </w:r>
      <w:r w:rsidR="00C00D92">
        <w:t xml:space="preserve">t. The odds shown in the Table </w:t>
      </w:r>
      <w:r w:rsidR="00505B39">
        <w:t>2</w:t>
      </w:r>
      <w:r>
        <w:t xml:space="preserve"> can b</w:t>
      </w:r>
      <w:r w:rsidR="00DB2663">
        <w:t>e</w:t>
      </w:r>
      <w:r>
        <w:t xml:space="preserve"> multiplied by stake size </w:t>
      </w:r>
      <w:r>
        <w:rPr>
          <w:i/>
        </w:rPr>
        <w:t xml:space="preserve">S </w:t>
      </w:r>
      <w:r>
        <w:t>(a scalar) to determine non-unit payouts</w:t>
      </w:r>
      <w:r w:rsidR="00164DF9">
        <w:t>.</w:t>
      </w:r>
    </w:p>
    <w:p w14:paraId="6942AC1F" w14:textId="77777777" w:rsidR="00574657" w:rsidRDefault="00574657" w:rsidP="00574657">
      <w:pPr>
        <w:spacing w:after="34" w:line="360" w:lineRule="auto"/>
        <w:ind w:left="-15"/>
        <w:jc w:val="both"/>
      </w:pPr>
    </w:p>
    <w:p w14:paraId="78C45129" w14:textId="46FD0F25" w:rsidR="0073742C" w:rsidRDefault="005D5980" w:rsidP="00574657">
      <w:pPr>
        <w:spacing w:line="360" w:lineRule="auto"/>
        <w:ind w:left="-15"/>
        <w:jc w:val="both"/>
      </w:pPr>
      <w:r>
        <w:t xml:space="preserve">We define the vector </w:t>
      </w:r>
      <m:oMath>
        <m:sSub>
          <m:sSubPr>
            <m:ctrlPr>
              <w:rPr>
                <w:rFonts w:ascii="Cambria Math" w:hAnsi="Cambria Math"/>
                <w:i/>
              </w:rPr>
            </m:ctrlPr>
          </m:sSubPr>
          <m:e>
            <m:r>
              <w:rPr>
                <w:rFonts w:ascii="Cambria Math" w:hAnsi="Cambria Math"/>
              </w:rPr>
              <m:t>X</m:t>
            </m:r>
          </m:e>
          <m:sub>
            <m:r>
              <w:rPr>
                <w:rFonts w:ascii="Cambria Math" w:hAnsi="Cambria Math"/>
              </w:rPr>
              <m:t>max</m:t>
            </m:r>
          </m:sub>
        </m:sSub>
        <m:r>
          <w:rPr>
            <w:rFonts w:ascii="Cambria Math" w:hAnsi="Cambria Math"/>
          </w:rPr>
          <m:t xml:space="preserve"> </m:t>
        </m:r>
      </m:oMath>
      <w:r>
        <w:t xml:space="preserve">element-wise as </w:t>
      </w:r>
      <m:oMath>
        <m:sSub>
          <m:sSubPr>
            <m:ctrlPr>
              <w:rPr>
                <w:rFonts w:ascii="Cambria Math" w:hAnsi="Cambria Math"/>
                <w:i/>
              </w:rPr>
            </m:ctrlPr>
          </m:sSubPr>
          <m:e>
            <m:r>
              <w:rPr>
                <w:rFonts w:ascii="Cambria Math" w:hAnsi="Cambria Math"/>
              </w:rPr>
              <m:t>X</m:t>
            </m:r>
          </m:e>
          <m:sub>
            <m:r>
              <w:rPr>
                <w:rFonts w:ascii="Cambria Math" w:hAnsi="Cambria Math"/>
              </w:rPr>
              <m:t>j,max</m:t>
            </m:r>
          </m:sub>
        </m:sSub>
        <m:r>
          <w:rPr>
            <w:rFonts w:ascii="Cambria Math" w:hAnsi="Cambria Math"/>
            <w:vertAlign w:val="subscript"/>
          </w:rPr>
          <m:t xml:space="preserve"> </m:t>
        </m:r>
        <m:r>
          <w:rPr>
            <w:rFonts w:ascii="Cambria Math" w:hAnsi="Cambria Math"/>
          </w:rPr>
          <m:t>=</m:t>
        </m:r>
        <m:func>
          <m:funcPr>
            <m:ctrlPr>
              <w:rPr>
                <w:rFonts w:ascii="Cambria Math" w:hAnsi="Cambria Math"/>
                <w:i/>
              </w:rPr>
            </m:ctrlPr>
          </m:funcPr>
          <m:fName>
            <m:limLow>
              <m:limLowPr>
                <m:ctrlPr>
                  <w:rPr>
                    <w:rFonts w:ascii="Cambria Math" w:hAnsi="Cambria Math"/>
                  </w:rPr>
                </m:ctrlPr>
              </m:limLowPr>
              <m:e>
                <m:r>
                  <m:rPr>
                    <m:sty m:val="p"/>
                  </m:rPr>
                  <w:rPr>
                    <w:rFonts w:ascii="Cambria Math" w:hAnsi="Cambria Math"/>
                  </w:rPr>
                  <m:t>max</m:t>
                </m:r>
              </m:e>
              <m:lim>
                <m:r>
                  <w:rPr>
                    <w:rFonts w:ascii="Cambria Math" w:hAnsi="Cambria Math"/>
                  </w:rPr>
                  <m:t>k</m:t>
                </m:r>
              </m:lim>
            </m:limLow>
          </m:fName>
          <m:e>
            <m:sSub>
              <m:sSubPr>
                <m:ctrlPr>
                  <w:rPr>
                    <w:rFonts w:ascii="Cambria Math" w:hAnsi="Cambria Math"/>
                    <w:i/>
                  </w:rPr>
                </m:ctrlPr>
              </m:sSubPr>
              <m:e>
                <m:r>
                  <w:rPr>
                    <w:rFonts w:ascii="Cambria Math" w:hAnsi="Cambria Math"/>
                  </w:rPr>
                  <m:t>X</m:t>
                </m:r>
              </m:e>
              <m:sub>
                <m:r>
                  <w:rPr>
                    <w:rFonts w:ascii="Cambria Math" w:hAnsi="Cambria Math"/>
                  </w:rPr>
                  <m:t>j,k</m:t>
                </m:r>
              </m:sub>
            </m:sSub>
          </m:e>
        </m:func>
      </m:oMath>
      <w:r>
        <w:t xml:space="preserve">. In cases where bookmakers are tied for the highest odds, we retain all possible combinations of maximum prices. For example, if both </w:t>
      </w:r>
      <w:r>
        <w:rPr>
          <w:i/>
        </w:rPr>
        <w:t xml:space="preserve">Ladbrokes </w:t>
      </w:r>
      <w:r>
        <w:t xml:space="preserve">and </w:t>
      </w:r>
      <w:r>
        <w:rPr>
          <w:i/>
        </w:rPr>
        <w:t xml:space="preserve">William Hill </w:t>
      </w:r>
      <w:r>
        <w:t xml:space="preserve">were offering gross odds of </w:t>
      </w:r>
      <m:oMath>
        <m:r>
          <w:rPr>
            <w:rFonts w:ascii="Cambria Math" w:hAnsi="Cambria Math"/>
          </w:rPr>
          <m:t>1.50</m:t>
        </m:r>
      </m:oMath>
      <w:r>
        <w:t xml:space="preserve"> on a home win (</w:t>
      </w:r>
      <m:oMath>
        <m:r>
          <w:rPr>
            <w:rFonts w:ascii="Cambria Math" w:hAnsi="Cambria Math"/>
          </w:rPr>
          <m:t>j = 1</m:t>
        </m:r>
      </m:oMath>
      <w:r>
        <w:t xml:space="preserve">) for a particular match, and this price was higher than all the other bookmakers’ prices for </w:t>
      </w:r>
      <m:oMath>
        <m:r>
          <w:rPr>
            <w:rFonts w:ascii="Cambria Math" w:hAnsi="Cambria Math"/>
          </w:rPr>
          <m:t>j = 1</m:t>
        </m:r>
      </m:oMath>
      <w:r>
        <w:t xml:space="preserve">, we would retain two </w:t>
      </w:r>
      <m:oMath>
        <m:sSub>
          <m:sSubPr>
            <m:ctrlPr>
              <w:rPr>
                <w:rFonts w:ascii="Cambria Math" w:hAnsi="Cambria Math"/>
                <w:i/>
              </w:rPr>
            </m:ctrlPr>
          </m:sSubPr>
          <m:e>
            <m:r>
              <w:rPr>
                <w:rFonts w:ascii="Cambria Math" w:hAnsi="Cambria Math"/>
              </w:rPr>
              <m:t>X</m:t>
            </m:r>
          </m:e>
          <m:sub>
            <m:r>
              <w:rPr>
                <w:rFonts w:ascii="Cambria Math" w:hAnsi="Cambria Math"/>
              </w:rPr>
              <m:t>max</m:t>
            </m:r>
          </m:sub>
        </m:sSub>
      </m:oMath>
      <w:r>
        <w:rPr>
          <w:i/>
          <w:vertAlign w:val="subscript"/>
        </w:rPr>
        <w:t xml:space="preserve"> </w:t>
      </w:r>
      <w:r>
        <w:t xml:space="preserve">vectors, in order to avoid losing information for </w:t>
      </w:r>
      <w:r>
        <w:rPr>
          <w:i/>
        </w:rPr>
        <w:t>H</w:t>
      </w:r>
      <w:r>
        <w:t xml:space="preserve">1 and </w:t>
      </w:r>
      <w:r>
        <w:rPr>
          <w:i/>
        </w:rPr>
        <w:t>H</w:t>
      </w:r>
      <w:r>
        <w:t>2.</w:t>
      </w:r>
    </w:p>
    <w:p w14:paraId="7E7CCD81" w14:textId="77777777" w:rsidR="00574657" w:rsidRDefault="00574657" w:rsidP="00574657">
      <w:pPr>
        <w:spacing w:after="3" w:line="265" w:lineRule="auto"/>
        <w:ind w:left="10" w:right="-14" w:hanging="10"/>
      </w:pPr>
    </w:p>
    <w:p w14:paraId="43E833E3" w14:textId="77777777" w:rsidR="008F5201" w:rsidRDefault="008F5201">
      <w:pPr>
        <w:spacing w:after="3" w:line="252" w:lineRule="auto"/>
        <w:ind w:left="-5" w:right="-14" w:hanging="10"/>
        <w:rPr>
          <w:sz w:val="20"/>
        </w:rPr>
      </w:pPr>
    </w:p>
    <w:p w14:paraId="3E1B6408" w14:textId="77777777" w:rsidR="008F5201" w:rsidRDefault="008F5201">
      <w:pPr>
        <w:spacing w:after="3" w:line="252" w:lineRule="auto"/>
        <w:ind w:left="-5" w:right="-14" w:hanging="10"/>
        <w:rPr>
          <w:sz w:val="20"/>
        </w:rPr>
      </w:pPr>
    </w:p>
    <w:p w14:paraId="3BD95535" w14:textId="77777777" w:rsidR="008F5201" w:rsidRDefault="008F5201">
      <w:pPr>
        <w:spacing w:after="3" w:line="252" w:lineRule="auto"/>
        <w:ind w:left="-5" w:right="-14" w:hanging="10"/>
        <w:rPr>
          <w:sz w:val="20"/>
        </w:rPr>
      </w:pPr>
    </w:p>
    <w:p w14:paraId="1BA6A4FA" w14:textId="77777777" w:rsidR="008F5201" w:rsidRDefault="008F5201">
      <w:pPr>
        <w:spacing w:after="3" w:line="252" w:lineRule="auto"/>
        <w:ind w:left="-5" w:right="-14" w:hanging="10"/>
        <w:rPr>
          <w:sz w:val="20"/>
        </w:rPr>
      </w:pPr>
    </w:p>
    <w:p w14:paraId="6313D2AD" w14:textId="77777777" w:rsidR="008F5201" w:rsidRDefault="008F5201">
      <w:pPr>
        <w:spacing w:after="3" w:line="252" w:lineRule="auto"/>
        <w:ind w:left="-5" w:right="-14" w:hanging="10"/>
        <w:rPr>
          <w:sz w:val="20"/>
        </w:rPr>
      </w:pPr>
    </w:p>
    <w:p w14:paraId="0A86181C" w14:textId="77777777" w:rsidR="008F5201" w:rsidRDefault="008F5201">
      <w:pPr>
        <w:spacing w:after="3" w:line="252" w:lineRule="auto"/>
        <w:ind w:left="-5" w:right="-14" w:hanging="10"/>
        <w:rPr>
          <w:sz w:val="20"/>
        </w:rPr>
      </w:pPr>
    </w:p>
    <w:p w14:paraId="555794CE" w14:textId="77777777" w:rsidR="008F5201" w:rsidRDefault="008F5201">
      <w:pPr>
        <w:spacing w:after="3" w:line="252" w:lineRule="auto"/>
        <w:ind w:left="-5" w:right="-14" w:hanging="10"/>
        <w:rPr>
          <w:sz w:val="20"/>
        </w:rPr>
      </w:pPr>
    </w:p>
    <w:p w14:paraId="1BF48A3D" w14:textId="77777777" w:rsidR="008F5201" w:rsidRDefault="008F5201">
      <w:pPr>
        <w:spacing w:after="3" w:line="252" w:lineRule="auto"/>
        <w:ind w:left="-5" w:right="-14" w:hanging="10"/>
        <w:rPr>
          <w:sz w:val="20"/>
        </w:rPr>
      </w:pPr>
    </w:p>
    <w:p w14:paraId="0F68131D" w14:textId="77777777" w:rsidR="008F5201" w:rsidRDefault="008F5201">
      <w:pPr>
        <w:spacing w:after="3" w:line="252" w:lineRule="auto"/>
        <w:ind w:left="-5" w:right="-14" w:hanging="10"/>
        <w:rPr>
          <w:sz w:val="20"/>
        </w:rPr>
      </w:pPr>
    </w:p>
    <w:p w14:paraId="26B207EB" w14:textId="77777777" w:rsidR="008F5201" w:rsidRDefault="008F5201">
      <w:pPr>
        <w:spacing w:after="3" w:line="252" w:lineRule="auto"/>
        <w:ind w:left="-5" w:right="-14" w:hanging="10"/>
        <w:rPr>
          <w:sz w:val="20"/>
        </w:rPr>
      </w:pPr>
    </w:p>
    <w:p w14:paraId="16E687AF" w14:textId="77777777" w:rsidR="008F5201" w:rsidRDefault="008F5201">
      <w:pPr>
        <w:spacing w:after="3" w:line="252" w:lineRule="auto"/>
        <w:ind w:left="-5" w:right="-14" w:hanging="10"/>
        <w:rPr>
          <w:sz w:val="20"/>
        </w:rPr>
      </w:pPr>
    </w:p>
    <w:p w14:paraId="24EFF8BA" w14:textId="77777777" w:rsidR="008F5201" w:rsidRDefault="008F5201">
      <w:pPr>
        <w:spacing w:after="3" w:line="252" w:lineRule="auto"/>
        <w:ind w:left="-5" w:right="-14" w:hanging="10"/>
        <w:rPr>
          <w:sz w:val="20"/>
        </w:rPr>
      </w:pPr>
    </w:p>
    <w:p w14:paraId="2525BB3C" w14:textId="77777777" w:rsidR="008F5201" w:rsidRDefault="008F5201">
      <w:pPr>
        <w:spacing w:after="3" w:line="252" w:lineRule="auto"/>
        <w:ind w:left="-5" w:right="-14" w:hanging="10"/>
        <w:rPr>
          <w:sz w:val="20"/>
        </w:rPr>
      </w:pPr>
    </w:p>
    <w:p w14:paraId="338CA119" w14:textId="77777777" w:rsidR="008F5201" w:rsidRDefault="008F5201">
      <w:pPr>
        <w:spacing w:after="3" w:line="252" w:lineRule="auto"/>
        <w:ind w:left="-5" w:right="-14" w:hanging="10"/>
        <w:rPr>
          <w:sz w:val="20"/>
        </w:rPr>
      </w:pPr>
    </w:p>
    <w:p w14:paraId="350D0DAE" w14:textId="77777777" w:rsidR="008F5201" w:rsidRDefault="008F5201">
      <w:pPr>
        <w:spacing w:after="3" w:line="252" w:lineRule="auto"/>
        <w:ind w:left="-5" w:right="-14" w:hanging="10"/>
        <w:rPr>
          <w:sz w:val="20"/>
        </w:rPr>
      </w:pPr>
    </w:p>
    <w:p w14:paraId="33AE9E58" w14:textId="5A4B3D6A" w:rsidR="0073742C" w:rsidRDefault="00C00D92">
      <w:pPr>
        <w:spacing w:after="3" w:line="252" w:lineRule="auto"/>
        <w:ind w:left="-5" w:right="-14" w:hanging="10"/>
      </w:pPr>
      <w:r>
        <w:rPr>
          <w:sz w:val="20"/>
        </w:rPr>
        <w:t xml:space="preserve">Table </w:t>
      </w:r>
      <w:r w:rsidR="00505B39">
        <w:rPr>
          <w:sz w:val="20"/>
        </w:rPr>
        <w:t>2</w:t>
      </w:r>
      <w:r w:rsidR="005D5980">
        <w:rPr>
          <w:sz w:val="20"/>
        </w:rPr>
        <w:t xml:space="preserve">: Gross return to a $1 stake for a single bookmaker on each potential match outcome for different types of bet, with odds vector </w:t>
      </w:r>
      <m:oMath>
        <m: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vertAlign w:val="subscript"/>
              </w:rPr>
              <m:t>1</m:t>
            </m:r>
          </m:sub>
        </m:sSub>
        <m: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13</m:t>
            </m:r>
          </m:sub>
        </m:sSub>
        <m:r>
          <w:rPr>
            <w:rFonts w:ascii="Cambria Math" w:hAnsi="Cambria Math"/>
            <w:sz w:val="20"/>
          </w:rPr>
          <m:t>)'</m:t>
        </m:r>
      </m:oMath>
      <w:r w:rsidR="005D5980">
        <w:rPr>
          <w:i/>
          <w:sz w:val="20"/>
          <w:vertAlign w:val="superscript"/>
        </w:rPr>
        <w:t xml:space="preserve"> </w:t>
      </w:r>
      <w:r w:rsidR="005D5980">
        <w:rPr>
          <w:sz w:val="20"/>
        </w:rPr>
        <w:t>indicating the gross payoff for each corresponding market. The suffix AH indicates that the product is from the Asian Handicap market.</w:t>
      </w:r>
    </w:p>
    <w:tbl>
      <w:tblPr>
        <w:tblStyle w:val="TableGrid"/>
        <w:tblW w:w="8916" w:type="dxa"/>
        <w:tblInd w:w="760" w:type="dxa"/>
        <w:tblCellMar>
          <w:top w:w="27" w:type="dxa"/>
          <w:right w:w="120" w:type="dxa"/>
        </w:tblCellMar>
        <w:tblLook w:val="04A0" w:firstRow="1" w:lastRow="0" w:firstColumn="1" w:lastColumn="0" w:noHBand="0" w:noVBand="1"/>
      </w:tblPr>
      <w:tblGrid>
        <w:gridCol w:w="1459"/>
        <w:gridCol w:w="2409"/>
        <w:gridCol w:w="1528"/>
        <w:gridCol w:w="2171"/>
        <w:gridCol w:w="1349"/>
      </w:tblGrid>
      <w:tr w:rsidR="0073742C" w14:paraId="77C7B5D8" w14:textId="77777777" w:rsidTr="00976754">
        <w:trPr>
          <w:trHeight w:val="389"/>
        </w:trPr>
        <w:tc>
          <w:tcPr>
            <w:tcW w:w="1459" w:type="dxa"/>
            <w:tcBorders>
              <w:top w:val="single" w:sz="7" w:space="0" w:color="000000"/>
              <w:left w:val="nil"/>
              <w:bottom w:val="nil"/>
              <w:right w:val="nil"/>
            </w:tcBorders>
          </w:tcPr>
          <w:p w14:paraId="4CFD714E" w14:textId="77777777" w:rsidR="0073742C" w:rsidRDefault="005D5980">
            <w:pPr>
              <w:spacing w:line="259" w:lineRule="auto"/>
              <w:ind w:left="120"/>
            </w:pPr>
            <w:r>
              <w:t>Outcome</w:t>
            </w:r>
          </w:p>
        </w:tc>
        <w:tc>
          <w:tcPr>
            <w:tcW w:w="2409" w:type="dxa"/>
            <w:tcBorders>
              <w:top w:val="single" w:sz="7" w:space="0" w:color="000000"/>
              <w:left w:val="nil"/>
              <w:bottom w:val="nil"/>
              <w:right w:val="nil"/>
            </w:tcBorders>
          </w:tcPr>
          <w:p w14:paraId="31F0A749" w14:textId="77777777" w:rsidR="0073742C" w:rsidRDefault="005D5980">
            <w:pPr>
              <w:spacing w:line="259" w:lineRule="auto"/>
              <w:ind w:left="363"/>
            </w:pPr>
            <w:r>
              <w:t>Bookmaker</w:t>
            </w:r>
          </w:p>
        </w:tc>
        <w:tc>
          <w:tcPr>
            <w:tcW w:w="1528" w:type="dxa"/>
            <w:tcBorders>
              <w:top w:val="single" w:sz="7" w:space="0" w:color="000000"/>
              <w:left w:val="nil"/>
              <w:bottom w:val="nil"/>
              <w:right w:val="nil"/>
            </w:tcBorders>
          </w:tcPr>
          <w:p w14:paraId="784E6F36" w14:textId="77777777" w:rsidR="0073742C" w:rsidRDefault="005D5980" w:rsidP="00976754">
            <w:pPr>
              <w:spacing w:line="259" w:lineRule="auto"/>
              <w:ind w:left="86"/>
              <w:jc w:val="center"/>
            </w:pPr>
            <w:r>
              <w:t>Return if</w:t>
            </w:r>
          </w:p>
        </w:tc>
        <w:tc>
          <w:tcPr>
            <w:tcW w:w="2171" w:type="dxa"/>
            <w:tcBorders>
              <w:top w:val="single" w:sz="7" w:space="0" w:color="000000"/>
              <w:left w:val="nil"/>
              <w:bottom w:val="nil"/>
              <w:right w:val="nil"/>
            </w:tcBorders>
          </w:tcPr>
          <w:p w14:paraId="740D66B2" w14:textId="77777777" w:rsidR="0073742C" w:rsidRDefault="005D5980" w:rsidP="00976754">
            <w:pPr>
              <w:spacing w:line="259" w:lineRule="auto"/>
              <w:ind w:left="368"/>
            </w:pPr>
            <w:r>
              <w:t>Return if</w:t>
            </w:r>
          </w:p>
        </w:tc>
        <w:tc>
          <w:tcPr>
            <w:tcW w:w="1349" w:type="dxa"/>
            <w:tcBorders>
              <w:top w:val="single" w:sz="7" w:space="0" w:color="000000"/>
              <w:left w:val="nil"/>
              <w:bottom w:val="nil"/>
              <w:right w:val="nil"/>
            </w:tcBorders>
          </w:tcPr>
          <w:p w14:paraId="4129B313" w14:textId="77777777" w:rsidR="0073742C" w:rsidRDefault="005D5980">
            <w:pPr>
              <w:spacing w:line="259" w:lineRule="auto"/>
              <w:ind w:left="67"/>
            </w:pPr>
            <w:r>
              <w:t>Return if</w:t>
            </w:r>
          </w:p>
        </w:tc>
      </w:tr>
      <w:tr w:rsidR="0073742C" w14:paraId="19FF3282" w14:textId="77777777" w:rsidTr="00976754">
        <w:trPr>
          <w:trHeight w:val="363"/>
        </w:trPr>
        <w:tc>
          <w:tcPr>
            <w:tcW w:w="1459" w:type="dxa"/>
            <w:tcBorders>
              <w:top w:val="nil"/>
              <w:left w:val="nil"/>
              <w:bottom w:val="single" w:sz="5" w:space="0" w:color="000000"/>
              <w:right w:val="nil"/>
            </w:tcBorders>
          </w:tcPr>
          <w:p w14:paraId="4398066C" w14:textId="2198EA9C" w:rsidR="0073742C" w:rsidRDefault="005D5980">
            <w:pPr>
              <w:spacing w:line="259" w:lineRule="auto"/>
              <w:jc w:val="center"/>
            </w:pPr>
            <w:r>
              <w:t>(</w:t>
            </w:r>
            <m:oMath>
              <m:r>
                <w:rPr>
                  <w:rFonts w:ascii="Cambria Math" w:hAnsi="Cambria Math"/>
                </w:rPr>
                <m:t>j</m:t>
              </m:r>
            </m:oMath>
            <w:r>
              <w:t>)</w:t>
            </w:r>
          </w:p>
        </w:tc>
        <w:tc>
          <w:tcPr>
            <w:tcW w:w="2409" w:type="dxa"/>
            <w:tcBorders>
              <w:top w:val="nil"/>
              <w:left w:val="nil"/>
              <w:bottom w:val="single" w:sz="5" w:space="0" w:color="000000"/>
              <w:right w:val="nil"/>
            </w:tcBorders>
          </w:tcPr>
          <w:p w14:paraId="3A3B26E4" w14:textId="77777777" w:rsidR="0073742C" w:rsidRDefault="005D5980">
            <w:pPr>
              <w:spacing w:line="259" w:lineRule="auto"/>
              <w:ind w:left="525"/>
            </w:pPr>
            <w:r>
              <w:t>Product</w:t>
            </w:r>
          </w:p>
        </w:tc>
        <w:tc>
          <w:tcPr>
            <w:tcW w:w="1528" w:type="dxa"/>
            <w:tcBorders>
              <w:top w:val="nil"/>
              <w:left w:val="nil"/>
              <w:bottom w:val="single" w:sz="5" w:space="0" w:color="000000"/>
              <w:right w:val="nil"/>
            </w:tcBorders>
          </w:tcPr>
          <w:p w14:paraId="0A4FC183" w14:textId="77777777" w:rsidR="0073742C" w:rsidRDefault="005D5980" w:rsidP="00976754">
            <w:pPr>
              <w:spacing w:line="259" w:lineRule="auto"/>
              <w:jc w:val="center"/>
            </w:pPr>
            <w:r>
              <w:t>Home Win</w:t>
            </w:r>
          </w:p>
        </w:tc>
        <w:tc>
          <w:tcPr>
            <w:tcW w:w="2171" w:type="dxa"/>
            <w:tcBorders>
              <w:top w:val="nil"/>
              <w:left w:val="nil"/>
              <w:bottom w:val="single" w:sz="5" w:space="0" w:color="000000"/>
              <w:right w:val="nil"/>
            </w:tcBorders>
          </w:tcPr>
          <w:p w14:paraId="30BF7969" w14:textId="77777777" w:rsidR="0073742C" w:rsidRDefault="005D5980" w:rsidP="00976754">
            <w:pPr>
              <w:spacing w:line="259" w:lineRule="auto"/>
              <w:ind w:left="560"/>
            </w:pPr>
            <w:r>
              <w:t>Draw</w:t>
            </w:r>
          </w:p>
        </w:tc>
        <w:tc>
          <w:tcPr>
            <w:tcW w:w="1349" w:type="dxa"/>
            <w:tcBorders>
              <w:top w:val="nil"/>
              <w:left w:val="nil"/>
              <w:bottom w:val="single" w:sz="5" w:space="0" w:color="000000"/>
              <w:right w:val="nil"/>
            </w:tcBorders>
          </w:tcPr>
          <w:p w14:paraId="3CA17B2D" w14:textId="77777777" w:rsidR="0073742C" w:rsidRDefault="005D5980">
            <w:pPr>
              <w:spacing w:line="259" w:lineRule="auto"/>
            </w:pPr>
            <w:r>
              <w:t>Away Win</w:t>
            </w:r>
          </w:p>
        </w:tc>
      </w:tr>
      <w:tr w:rsidR="0073742C" w14:paraId="2C752182" w14:textId="77777777" w:rsidTr="00976754">
        <w:trPr>
          <w:trHeight w:val="396"/>
        </w:trPr>
        <w:tc>
          <w:tcPr>
            <w:tcW w:w="1459" w:type="dxa"/>
            <w:tcBorders>
              <w:top w:val="single" w:sz="5" w:space="0" w:color="000000"/>
              <w:left w:val="nil"/>
              <w:bottom w:val="nil"/>
              <w:right w:val="nil"/>
            </w:tcBorders>
          </w:tcPr>
          <w:p w14:paraId="6E4171CD" w14:textId="77777777" w:rsidR="0073742C" w:rsidRDefault="005D5980">
            <w:pPr>
              <w:spacing w:line="259" w:lineRule="auto"/>
              <w:jc w:val="center"/>
            </w:pPr>
            <w:r>
              <w:t>1</w:t>
            </w:r>
          </w:p>
        </w:tc>
        <w:tc>
          <w:tcPr>
            <w:tcW w:w="2409" w:type="dxa"/>
            <w:tcBorders>
              <w:top w:val="single" w:sz="5" w:space="0" w:color="000000"/>
              <w:left w:val="nil"/>
              <w:bottom w:val="nil"/>
              <w:right w:val="nil"/>
            </w:tcBorders>
          </w:tcPr>
          <w:p w14:paraId="5FB7B7BD" w14:textId="77777777" w:rsidR="0073742C" w:rsidRDefault="005D5980">
            <w:pPr>
              <w:spacing w:line="259" w:lineRule="auto"/>
              <w:ind w:left="644"/>
            </w:pPr>
            <w:r>
              <w:t>Home</w:t>
            </w:r>
          </w:p>
        </w:tc>
        <w:tc>
          <w:tcPr>
            <w:tcW w:w="1528" w:type="dxa"/>
            <w:tcBorders>
              <w:top w:val="single" w:sz="5" w:space="0" w:color="000000"/>
              <w:left w:val="nil"/>
              <w:bottom w:val="nil"/>
              <w:right w:val="nil"/>
            </w:tcBorders>
          </w:tcPr>
          <w:p w14:paraId="2610A7A7" w14:textId="234F5F1D" w:rsidR="0073742C" w:rsidRDefault="0021564F" w:rsidP="00976754">
            <w:pPr>
              <w:spacing w:line="259" w:lineRule="auto"/>
              <w:ind w:left="408"/>
              <w:jc w:val="center"/>
            </w:pPr>
            <m:oMathPara>
              <m:oMath>
                <m:sSub>
                  <m:sSubPr>
                    <m:ctrlPr>
                      <w:rPr>
                        <w:rFonts w:ascii="Cambria Math" w:hAnsi="Cambria Math"/>
                        <w:i/>
                      </w:rPr>
                    </m:ctrlPr>
                  </m:sSubPr>
                  <m:e>
                    <m:r>
                      <w:rPr>
                        <w:rFonts w:ascii="Cambria Math" w:hAnsi="Cambria Math"/>
                      </w:rPr>
                      <m:t>X</m:t>
                    </m:r>
                  </m:e>
                  <m:sub>
                    <m:r>
                      <w:rPr>
                        <w:rFonts w:ascii="Cambria Math" w:hAnsi="Cambria Math"/>
                        <w:vertAlign w:val="subscript"/>
                      </w:rPr>
                      <m:t>1</m:t>
                    </m:r>
                  </m:sub>
                </m:sSub>
              </m:oMath>
            </m:oMathPara>
          </w:p>
        </w:tc>
        <w:tc>
          <w:tcPr>
            <w:tcW w:w="2171" w:type="dxa"/>
            <w:tcBorders>
              <w:top w:val="single" w:sz="5" w:space="0" w:color="000000"/>
              <w:left w:val="nil"/>
              <w:bottom w:val="nil"/>
              <w:right w:val="nil"/>
            </w:tcBorders>
          </w:tcPr>
          <w:p w14:paraId="67FC6AE9" w14:textId="77777777" w:rsidR="0073742C" w:rsidRDefault="005D5980" w:rsidP="00976754">
            <w:pPr>
              <w:spacing w:line="259" w:lineRule="auto"/>
              <w:ind w:left="776"/>
            </w:pPr>
            <w:r>
              <w:t>0</w:t>
            </w:r>
          </w:p>
        </w:tc>
        <w:tc>
          <w:tcPr>
            <w:tcW w:w="1349" w:type="dxa"/>
            <w:tcBorders>
              <w:top w:val="single" w:sz="5" w:space="0" w:color="000000"/>
              <w:left w:val="nil"/>
              <w:bottom w:val="nil"/>
              <w:right w:val="nil"/>
            </w:tcBorders>
          </w:tcPr>
          <w:p w14:paraId="599E6427" w14:textId="77777777" w:rsidR="0073742C" w:rsidRDefault="005D5980" w:rsidP="00976754">
            <w:pPr>
              <w:spacing w:line="259" w:lineRule="auto"/>
              <w:jc w:val="center"/>
            </w:pPr>
            <w:r>
              <w:t>0</w:t>
            </w:r>
          </w:p>
        </w:tc>
      </w:tr>
      <w:tr w:rsidR="0073742C" w14:paraId="41EBB734" w14:textId="77777777" w:rsidTr="00976754">
        <w:trPr>
          <w:trHeight w:val="310"/>
        </w:trPr>
        <w:tc>
          <w:tcPr>
            <w:tcW w:w="1459" w:type="dxa"/>
            <w:tcBorders>
              <w:top w:val="nil"/>
              <w:left w:val="nil"/>
              <w:bottom w:val="nil"/>
              <w:right w:val="nil"/>
            </w:tcBorders>
          </w:tcPr>
          <w:p w14:paraId="24933CF0" w14:textId="77777777" w:rsidR="0073742C" w:rsidRDefault="005D5980">
            <w:pPr>
              <w:spacing w:line="259" w:lineRule="auto"/>
              <w:jc w:val="center"/>
            </w:pPr>
            <w:r>
              <w:t>2</w:t>
            </w:r>
          </w:p>
        </w:tc>
        <w:tc>
          <w:tcPr>
            <w:tcW w:w="2409" w:type="dxa"/>
            <w:tcBorders>
              <w:top w:val="nil"/>
              <w:left w:val="nil"/>
              <w:bottom w:val="nil"/>
              <w:right w:val="nil"/>
            </w:tcBorders>
          </w:tcPr>
          <w:p w14:paraId="3F958C51" w14:textId="379B8754" w:rsidR="0073742C" w:rsidRDefault="005D5980">
            <w:pPr>
              <w:spacing w:line="259" w:lineRule="auto"/>
              <w:ind w:left="111"/>
            </w:pPr>
            <w:r>
              <w:t>Home (</w:t>
            </w:r>
            <m:oMath>
              <m:r>
                <w:rPr>
                  <w:rFonts w:ascii="Cambria Math" w:hAnsi="Cambria Math"/>
                </w:rPr>
                <m:t>-0.5</m:t>
              </m:r>
            </m:oMath>
            <w:r>
              <w:t>) AH</w:t>
            </w:r>
          </w:p>
        </w:tc>
        <w:tc>
          <w:tcPr>
            <w:tcW w:w="1528" w:type="dxa"/>
            <w:tcBorders>
              <w:top w:val="nil"/>
              <w:left w:val="nil"/>
              <w:bottom w:val="nil"/>
              <w:right w:val="nil"/>
            </w:tcBorders>
          </w:tcPr>
          <w:p w14:paraId="6734E40D" w14:textId="5ABCE841" w:rsidR="0073742C" w:rsidRDefault="0021564F" w:rsidP="00976754">
            <w:pPr>
              <w:spacing w:line="259" w:lineRule="auto"/>
              <w:ind w:left="408"/>
              <w:jc w:val="center"/>
            </w:pPr>
            <m:oMathPara>
              <m:oMath>
                <m:sSub>
                  <m:sSubPr>
                    <m:ctrlPr>
                      <w:rPr>
                        <w:rFonts w:ascii="Cambria Math" w:hAnsi="Cambria Math"/>
                        <w:i/>
                      </w:rPr>
                    </m:ctrlPr>
                  </m:sSubPr>
                  <m:e>
                    <m:r>
                      <w:rPr>
                        <w:rFonts w:ascii="Cambria Math" w:hAnsi="Cambria Math"/>
                      </w:rPr>
                      <m:t>X</m:t>
                    </m:r>
                  </m:e>
                  <m:sub>
                    <m:r>
                      <w:rPr>
                        <w:rFonts w:ascii="Cambria Math" w:hAnsi="Cambria Math"/>
                      </w:rPr>
                      <m:t>2</m:t>
                    </m:r>
                  </m:sub>
                </m:sSub>
              </m:oMath>
            </m:oMathPara>
          </w:p>
        </w:tc>
        <w:tc>
          <w:tcPr>
            <w:tcW w:w="2171" w:type="dxa"/>
            <w:tcBorders>
              <w:top w:val="nil"/>
              <w:left w:val="nil"/>
              <w:bottom w:val="nil"/>
              <w:right w:val="nil"/>
            </w:tcBorders>
          </w:tcPr>
          <w:p w14:paraId="731DC4C0" w14:textId="77777777" w:rsidR="0073742C" w:rsidRDefault="005D5980" w:rsidP="00976754">
            <w:pPr>
              <w:spacing w:line="259" w:lineRule="auto"/>
              <w:ind w:left="776"/>
            </w:pPr>
            <w:r>
              <w:t>0</w:t>
            </w:r>
          </w:p>
        </w:tc>
        <w:tc>
          <w:tcPr>
            <w:tcW w:w="1349" w:type="dxa"/>
            <w:tcBorders>
              <w:top w:val="nil"/>
              <w:left w:val="nil"/>
              <w:bottom w:val="nil"/>
              <w:right w:val="nil"/>
            </w:tcBorders>
          </w:tcPr>
          <w:p w14:paraId="5811E785" w14:textId="77777777" w:rsidR="0073742C" w:rsidRDefault="005D5980" w:rsidP="00976754">
            <w:pPr>
              <w:spacing w:line="259" w:lineRule="auto"/>
              <w:jc w:val="center"/>
            </w:pPr>
            <w:r>
              <w:t>0</w:t>
            </w:r>
          </w:p>
        </w:tc>
      </w:tr>
      <w:tr w:rsidR="0073742C" w14:paraId="07936F5E" w14:textId="77777777" w:rsidTr="00976754">
        <w:trPr>
          <w:trHeight w:val="310"/>
        </w:trPr>
        <w:tc>
          <w:tcPr>
            <w:tcW w:w="1459" w:type="dxa"/>
            <w:tcBorders>
              <w:top w:val="nil"/>
              <w:left w:val="nil"/>
              <w:bottom w:val="nil"/>
              <w:right w:val="nil"/>
            </w:tcBorders>
          </w:tcPr>
          <w:p w14:paraId="0AE01039" w14:textId="77777777" w:rsidR="0073742C" w:rsidRDefault="005D5980">
            <w:pPr>
              <w:spacing w:line="259" w:lineRule="auto"/>
              <w:jc w:val="center"/>
            </w:pPr>
            <w:r>
              <w:t>3</w:t>
            </w:r>
          </w:p>
        </w:tc>
        <w:tc>
          <w:tcPr>
            <w:tcW w:w="2409" w:type="dxa"/>
            <w:tcBorders>
              <w:top w:val="nil"/>
              <w:left w:val="nil"/>
              <w:bottom w:val="nil"/>
              <w:right w:val="nil"/>
            </w:tcBorders>
          </w:tcPr>
          <w:p w14:paraId="50DB1560" w14:textId="22DA27BA" w:rsidR="0073742C" w:rsidRDefault="005D5980">
            <w:pPr>
              <w:spacing w:line="259" w:lineRule="auto"/>
              <w:ind w:left="52"/>
            </w:pPr>
            <w:r>
              <w:t>Home (</w:t>
            </w:r>
            <m:oMath>
              <m:r>
                <w:rPr>
                  <w:rFonts w:ascii="Cambria Math" w:hAnsi="Cambria Math"/>
                </w:rPr>
                <m:t>-0.25</m:t>
              </m:r>
            </m:oMath>
            <w:r>
              <w:t>) AH</w:t>
            </w:r>
          </w:p>
        </w:tc>
        <w:tc>
          <w:tcPr>
            <w:tcW w:w="1528" w:type="dxa"/>
            <w:tcBorders>
              <w:top w:val="nil"/>
              <w:left w:val="nil"/>
              <w:bottom w:val="nil"/>
              <w:right w:val="nil"/>
            </w:tcBorders>
          </w:tcPr>
          <w:p w14:paraId="7FCFE654" w14:textId="32E27DF8" w:rsidR="0073742C" w:rsidRDefault="0021564F" w:rsidP="00976754">
            <w:pPr>
              <w:spacing w:line="259" w:lineRule="auto"/>
              <w:ind w:left="408"/>
              <w:jc w:val="center"/>
            </w:pPr>
            <m:oMathPara>
              <m:oMath>
                <m:sSub>
                  <m:sSubPr>
                    <m:ctrlPr>
                      <w:rPr>
                        <w:rFonts w:ascii="Cambria Math" w:hAnsi="Cambria Math"/>
                        <w:i/>
                      </w:rPr>
                    </m:ctrlPr>
                  </m:sSubPr>
                  <m:e>
                    <m:r>
                      <w:rPr>
                        <w:rFonts w:ascii="Cambria Math" w:hAnsi="Cambria Math"/>
                      </w:rPr>
                      <m:t>X</m:t>
                    </m:r>
                  </m:e>
                  <m:sub>
                    <m:r>
                      <w:rPr>
                        <w:rFonts w:ascii="Cambria Math" w:hAnsi="Cambria Math"/>
                        <w:vertAlign w:val="subscript"/>
                      </w:rPr>
                      <m:t>3</m:t>
                    </m:r>
                  </m:sub>
                </m:sSub>
              </m:oMath>
            </m:oMathPara>
          </w:p>
        </w:tc>
        <w:tc>
          <w:tcPr>
            <w:tcW w:w="2171" w:type="dxa"/>
            <w:tcBorders>
              <w:top w:val="nil"/>
              <w:left w:val="nil"/>
              <w:bottom w:val="nil"/>
              <w:right w:val="nil"/>
            </w:tcBorders>
          </w:tcPr>
          <w:p w14:paraId="65C41847" w14:textId="77777777" w:rsidR="0073742C" w:rsidRDefault="005D5980" w:rsidP="00976754">
            <w:pPr>
              <w:spacing w:line="259" w:lineRule="auto"/>
              <w:ind w:left="685"/>
            </w:pPr>
            <w:r>
              <w:t>0.5</w:t>
            </w:r>
          </w:p>
        </w:tc>
        <w:tc>
          <w:tcPr>
            <w:tcW w:w="1349" w:type="dxa"/>
            <w:tcBorders>
              <w:top w:val="nil"/>
              <w:left w:val="nil"/>
              <w:bottom w:val="nil"/>
              <w:right w:val="nil"/>
            </w:tcBorders>
          </w:tcPr>
          <w:p w14:paraId="2EE44E0F" w14:textId="77777777" w:rsidR="0073742C" w:rsidRDefault="005D5980" w:rsidP="00976754">
            <w:pPr>
              <w:spacing w:line="259" w:lineRule="auto"/>
              <w:jc w:val="center"/>
            </w:pPr>
            <w:r>
              <w:t>0</w:t>
            </w:r>
          </w:p>
        </w:tc>
      </w:tr>
      <w:tr w:rsidR="0073742C" w14:paraId="782BC6A0" w14:textId="77777777" w:rsidTr="00976754">
        <w:trPr>
          <w:trHeight w:val="303"/>
        </w:trPr>
        <w:tc>
          <w:tcPr>
            <w:tcW w:w="1459" w:type="dxa"/>
            <w:tcBorders>
              <w:top w:val="nil"/>
              <w:left w:val="nil"/>
              <w:bottom w:val="nil"/>
              <w:right w:val="nil"/>
            </w:tcBorders>
          </w:tcPr>
          <w:p w14:paraId="3E241B6D" w14:textId="77777777" w:rsidR="0073742C" w:rsidRDefault="005D5980">
            <w:pPr>
              <w:spacing w:line="259" w:lineRule="auto"/>
              <w:jc w:val="center"/>
            </w:pPr>
            <w:r>
              <w:t>4</w:t>
            </w:r>
          </w:p>
        </w:tc>
        <w:tc>
          <w:tcPr>
            <w:tcW w:w="2409" w:type="dxa"/>
            <w:tcBorders>
              <w:top w:val="nil"/>
              <w:left w:val="nil"/>
              <w:bottom w:val="nil"/>
              <w:right w:val="nil"/>
            </w:tcBorders>
          </w:tcPr>
          <w:p w14:paraId="0A3CF9DF" w14:textId="551B5E1B" w:rsidR="0073742C" w:rsidRDefault="005D5980">
            <w:pPr>
              <w:spacing w:line="259" w:lineRule="auto"/>
              <w:ind w:left="241"/>
            </w:pPr>
            <w:r>
              <w:t>Home (</w:t>
            </w:r>
            <m:oMath>
              <m:r>
                <w:rPr>
                  <w:rFonts w:ascii="Cambria Math" w:hAnsi="Cambria Math"/>
                </w:rPr>
                <m:t>0</m:t>
              </m:r>
            </m:oMath>
            <w:r>
              <w:t>) AH</w:t>
            </w:r>
          </w:p>
        </w:tc>
        <w:tc>
          <w:tcPr>
            <w:tcW w:w="1528" w:type="dxa"/>
            <w:tcBorders>
              <w:top w:val="nil"/>
              <w:left w:val="nil"/>
              <w:bottom w:val="nil"/>
              <w:right w:val="nil"/>
            </w:tcBorders>
          </w:tcPr>
          <w:p w14:paraId="604A883F" w14:textId="57367AD4" w:rsidR="0073742C" w:rsidRDefault="0021564F" w:rsidP="00976754">
            <w:pPr>
              <w:spacing w:line="259" w:lineRule="auto"/>
              <w:ind w:left="408"/>
              <w:jc w:val="center"/>
            </w:pPr>
            <m:oMathPara>
              <m:oMath>
                <m:sSub>
                  <m:sSubPr>
                    <m:ctrlPr>
                      <w:rPr>
                        <w:rFonts w:ascii="Cambria Math" w:hAnsi="Cambria Math"/>
                        <w:i/>
                      </w:rPr>
                    </m:ctrlPr>
                  </m:sSubPr>
                  <m:e>
                    <m:r>
                      <w:rPr>
                        <w:rFonts w:ascii="Cambria Math" w:hAnsi="Cambria Math"/>
                      </w:rPr>
                      <m:t>X</m:t>
                    </m:r>
                  </m:e>
                  <m:sub>
                    <m:r>
                      <w:rPr>
                        <w:rFonts w:ascii="Cambria Math" w:hAnsi="Cambria Math"/>
                        <w:vertAlign w:val="subscript"/>
                      </w:rPr>
                      <m:t>4</m:t>
                    </m:r>
                  </m:sub>
                </m:sSub>
              </m:oMath>
            </m:oMathPara>
          </w:p>
        </w:tc>
        <w:tc>
          <w:tcPr>
            <w:tcW w:w="2171" w:type="dxa"/>
            <w:tcBorders>
              <w:top w:val="nil"/>
              <w:left w:val="nil"/>
              <w:bottom w:val="nil"/>
              <w:right w:val="nil"/>
            </w:tcBorders>
          </w:tcPr>
          <w:p w14:paraId="2659C77C" w14:textId="77777777" w:rsidR="0073742C" w:rsidRDefault="005D5980" w:rsidP="00976754">
            <w:pPr>
              <w:spacing w:line="259" w:lineRule="auto"/>
              <w:ind w:left="776"/>
            </w:pPr>
            <w:r>
              <w:t>1</w:t>
            </w:r>
          </w:p>
        </w:tc>
        <w:tc>
          <w:tcPr>
            <w:tcW w:w="1349" w:type="dxa"/>
            <w:tcBorders>
              <w:top w:val="nil"/>
              <w:left w:val="nil"/>
              <w:bottom w:val="nil"/>
              <w:right w:val="nil"/>
            </w:tcBorders>
          </w:tcPr>
          <w:p w14:paraId="5D46976B" w14:textId="77777777" w:rsidR="0073742C" w:rsidRDefault="005D5980" w:rsidP="00976754">
            <w:pPr>
              <w:spacing w:line="259" w:lineRule="auto"/>
              <w:jc w:val="center"/>
            </w:pPr>
            <w:r>
              <w:t>0</w:t>
            </w:r>
          </w:p>
        </w:tc>
      </w:tr>
      <w:tr w:rsidR="0073742C" w14:paraId="471098EB" w14:textId="77777777" w:rsidTr="00976754">
        <w:trPr>
          <w:trHeight w:val="317"/>
        </w:trPr>
        <w:tc>
          <w:tcPr>
            <w:tcW w:w="1459" w:type="dxa"/>
            <w:tcBorders>
              <w:top w:val="nil"/>
              <w:left w:val="nil"/>
              <w:bottom w:val="nil"/>
              <w:right w:val="nil"/>
            </w:tcBorders>
          </w:tcPr>
          <w:p w14:paraId="426FD166" w14:textId="77777777" w:rsidR="0073742C" w:rsidRDefault="005D5980">
            <w:pPr>
              <w:spacing w:line="259" w:lineRule="auto"/>
              <w:jc w:val="center"/>
            </w:pPr>
            <w:r>
              <w:t>5</w:t>
            </w:r>
          </w:p>
        </w:tc>
        <w:tc>
          <w:tcPr>
            <w:tcW w:w="2409" w:type="dxa"/>
            <w:tcBorders>
              <w:top w:val="nil"/>
              <w:left w:val="nil"/>
              <w:bottom w:val="nil"/>
              <w:right w:val="nil"/>
            </w:tcBorders>
          </w:tcPr>
          <w:p w14:paraId="56C117D6" w14:textId="34A3596F" w:rsidR="0073742C" w:rsidRDefault="005D5980">
            <w:pPr>
              <w:spacing w:line="259" w:lineRule="auto"/>
            </w:pPr>
            <w:r>
              <w:t>Home (</w:t>
            </w:r>
            <m:oMath>
              <m:r>
                <w:rPr>
                  <w:rFonts w:ascii="Cambria Math" w:hAnsi="Cambria Math"/>
                </w:rPr>
                <m:t>+0.25</m:t>
              </m:r>
            </m:oMath>
            <w:r>
              <w:t>) AH</w:t>
            </w:r>
          </w:p>
        </w:tc>
        <w:tc>
          <w:tcPr>
            <w:tcW w:w="1528" w:type="dxa"/>
            <w:tcBorders>
              <w:top w:val="nil"/>
              <w:left w:val="nil"/>
              <w:bottom w:val="nil"/>
              <w:right w:val="nil"/>
            </w:tcBorders>
          </w:tcPr>
          <w:p w14:paraId="48BC4828" w14:textId="23D9089C" w:rsidR="0073742C" w:rsidRDefault="0021564F" w:rsidP="00976754">
            <w:pPr>
              <w:spacing w:line="259" w:lineRule="auto"/>
              <w:ind w:left="408"/>
              <w:jc w:val="center"/>
            </w:pPr>
            <m:oMathPara>
              <m:oMath>
                <m:sSub>
                  <m:sSubPr>
                    <m:ctrlPr>
                      <w:rPr>
                        <w:rFonts w:ascii="Cambria Math" w:hAnsi="Cambria Math"/>
                        <w:i/>
                      </w:rPr>
                    </m:ctrlPr>
                  </m:sSubPr>
                  <m:e>
                    <m:r>
                      <w:rPr>
                        <w:rFonts w:ascii="Cambria Math" w:hAnsi="Cambria Math"/>
                      </w:rPr>
                      <m:t>X</m:t>
                    </m:r>
                  </m:e>
                  <m:sub>
                    <m:r>
                      <w:rPr>
                        <w:rFonts w:ascii="Cambria Math" w:hAnsi="Cambria Math"/>
                        <w:vertAlign w:val="subscript"/>
                      </w:rPr>
                      <m:t>5</m:t>
                    </m:r>
                  </m:sub>
                </m:sSub>
              </m:oMath>
            </m:oMathPara>
          </w:p>
        </w:tc>
        <w:tc>
          <w:tcPr>
            <w:tcW w:w="2171" w:type="dxa"/>
            <w:tcBorders>
              <w:top w:val="nil"/>
              <w:left w:val="nil"/>
              <w:bottom w:val="nil"/>
              <w:right w:val="nil"/>
            </w:tcBorders>
          </w:tcPr>
          <w:p w14:paraId="7A28F115" w14:textId="049727B0" w:rsidR="0073742C" w:rsidRDefault="00976754" w:rsidP="00976754">
            <w:pPr>
              <w:spacing w:line="259" w:lineRule="auto"/>
              <w:ind w:left="42"/>
            </w:pPr>
            <m:oMathPara>
              <m:oMath>
                <m:r>
                  <w:rPr>
                    <w:rFonts w:ascii="Cambria Math" w:hAnsi="Cambria Math"/>
                  </w:rPr>
                  <m:t>1 + 0.5(</m:t>
                </m:r>
                <m:sSub>
                  <m:sSubPr>
                    <m:ctrlPr>
                      <w:rPr>
                        <w:rFonts w:ascii="Cambria Math" w:hAnsi="Cambria Math"/>
                        <w:i/>
                      </w:rPr>
                    </m:ctrlPr>
                  </m:sSubPr>
                  <m:e>
                    <m:r>
                      <w:rPr>
                        <w:rFonts w:ascii="Cambria Math" w:hAnsi="Cambria Math"/>
                      </w:rPr>
                      <m:t>X</m:t>
                    </m:r>
                  </m:e>
                  <m:sub>
                    <m:r>
                      <w:rPr>
                        <w:rFonts w:ascii="Cambria Math" w:hAnsi="Cambria Math"/>
                        <w:vertAlign w:val="subscript"/>
                      </w:rPr>
                      <m:t>5</m:t>
                    </m:r>
                  </m:sub>
                </m:sSub>
                <m:r>
                  <w:rPr>
                    <w:rFonts w:ascii="Cambria Math" w:hAnsi="Cambria Math"/>
                    <w:vertAlign w:val="subscript"/>
                  </w:rPr>
                  <m:t xml:space="preserve"> </m:t>
                </m:r>
                <m:r>
                  <w:rPr>
                    <w:rFonts w:ascii="Cambria Math" w:hAnsi="Cambria Math"/>
                  </w:rPr>
                  <m:t>- 1)</m:t>
                </m:r>
              </m:oMath>
            </m:oMathPara>
          </w:p>
        </w:tc>
        <w:tc>
          <w:tcPr>
            <w:tcW w:w="1349" w:type="dxa"/>
            <w:tcBorders>
              <w:top w:val="nil"/>
              <w:left w:val="nil"/>
              <w:bottom w:val="nil"/>
              <w:right w:val="nil"/>
            </w:tcBorders>
          </w:tcPr>
          <w:p w14:paraId="0FB5A892" w14:textId="77777777" w:rsidR="0073742C" w:rsidRDefault="005D5980" w:rsidP="00976754">
            <w:pPr>
              <w:spacing w:line="259" w:lineRule="auto"/>
              <w:jc w:val="center"/>
            </w:pPr>
            <w:r>
              <w:t>0</w:t>
            </w:r>
          </w:p>
        </w:tc>
      </w:tr>
      <w:tr w:rsidR="0073742C" w14:paraId="084D89BA" w14:textId="77777777" w:rsidTr="00976754">
        <w:trPr>
          <w:trHeight w:val="310"/>
        </w:trPr>
        <w:tc>
          <w:tcPr>
            <w:tcW w:w="1459" w:type="dxa"/>
            <w:tcBorders>
              <w:top w:val="nil"/>
              <w:left w:val="nil"/>
              <w:bottom w:val="nil"/>
              <w:right w:val="nil"/>
            </w:tcBorders>
          </w:tcPr>
          <w:p w14:paraId="62C74BD5" w14:textId="77777777" w:rsidR="0073742C" w:rsidRDefault="005D5980">
            <w:pPr>
              <w:spacing w:line="259" w:lineRule="auto"/>
              <w:jc w:val="center"/>
            </w:pPr>
            <w:r>
              <w:t>6</w:t>
            </w:r>
          </w:p>
        </w:tc>
        <w:tc>
          <w:tcPr>
            <w:tcW w:w="2409" w:type="dxa"/>
            <w:tcBorders>
              <w:top w:val="nil"/>
              <w:left w:val="nil"/>
              <w:bottom w:val="nil"/>
              <w:right w:val="nil"/>
            </w:tcBorders>
          </w:tcPr>
          <w:p w14:paraId="12B509C4" w14:textId="120929A1" w:rsidR="0073742C" w:rsidRDefault="005D5980">
            <w:pPr>
              <w:spacing w:line="259" w:lineRule="auto"/>
              <w:ind w:left="59"/>
            </w:pPr>
            <w:r>
              <w:t>Home (</w:t>
            </w:r>
            <m:oMath>
              <m:r>
                <w:rPr>
                  <w:rFonts w:ascii="Cambria Math" w:hAnsi="Cambria Math"/>
                </w:rPr>
                <m:t>+0.5</m:t>
              </m:r>
            </m:oMath>
            <w:r>
              <w:t>) AH</w:t>
            </w:r>
          </w:p>
        </w:tc>
        <w:tc>
          <w:tcPr>
            <w:tcW w:w="1528" w:type="dxa"/>
            <w:tcBorders>
              <w:top w:val="nil"/>
              <w:left w:val="nil"/>
              <w:bottom w:val="nil"/>
              <w:right w:val="nil"/>
            </w:tcBorders>
          </w:tcPr>
          <w:p w14:paraId="46446072" w14:textId="629A1B68" w:rsidR="0073742C" w:rsidRDefault="0021564F" w:rsidP="00976754">
            <w:pPr>
              <w:spacing w:line="259" w:lineRule="auto"/>
              <w:ind w:left="408"/>
              <w:jc w:val="center"/>
            </w:pPr>
            <m:oMathPara>
              <m:oMath>
                <m:sSub>
                  <m:sSubPr>
                    <m:ctrlPr>
                      <w:rPr>
                        <w:rFonts w:ascii="Cambria Math" w:hAnsi="Cambria Math"/>
                        <w:i/>
                      </w:rPr>
                    </m:ctrlPr>
                  </m:sSubPr>
                  <m:e>
                    <m:r>
                      <w:rPr>
                        <w:rFonts w:ascii="Cambria Math" w:hAnsi="Cambria Math"/>
                      </w:rPr>
                      <m:t>X</m:t>
                    </m:r>
                  </m:e>
                  <m:sub>
                    <m:r>
                      <w:rPr>
                        <w:rFonts w:ascii="Cambria Math" w:hAnsi="Cambria Math"/>
                      </w:rPr>
                      <m:t>6</m:t>
                    </m:r>
                  </m:sub>
                </m:sSub>
              </m:oMath>
            </m:oMathPara>
          </w:p>
        </w:tc>
        <w:tc>
          <w:tcPr>
            <w:tcW w:w="2171" w:type="dxa"/>
            <w:tcBorders>
              <w:top w:val="nil"/>
              <w:left w:val="nil"/>
              <w:bottom w:val="nil"/>
              <w:right w:val="nil"/>
            </w:tcBorders>
          </w:tcPr>
          <w:p w14:paraId="4834D0C0" w14:textId="1B52D2A8" w:rsidR="0073742C" w:rsidRDefault="0021564F" w:rsidP="00976754">
            <w:pPr>
              <w:spacing w:line="259" w:lineRule="auto"/>
            </w:pPr>
            <m:oMathPara>
              <m:oMath>
                <m:sSub>
                  <m:sSubPr>
                    <m:ctrlPr>
                      <w:rPr>
                        <w:rFonts w:ascii="Cambria Math" w:hAnsi="Cambria Math"/>
                        <w:i/>
                      </w:rPr>
                    </m:ctrlPr>
                  </m:sSubPr>
                  <m:e>
                    <m:r>
                      <w:rPr>
                        <w:rFonts w:ascii="Cambria Math" w:hAnsi="Cambria Math"/>
                      </w:rPr>
                      <m:t>X</m:t>
                    </m:r>
                  </m:e>
                  <m:sub>
                    <m:r>
                      <w:rPr>
                        <w:rFonts w:ascii="Cambria Math" w:hAnsi="Cambria Math"/>
                        <w:vertAlign w:val="subscript"/>
                      </w:rPr>
                      <m:t>6</m:t>
                    </m:r>
                  </m:sub>
                </m:sSub>
              </m:oMath>
            </m:oMathPara>
          </w:p>
        </w:tc>
        <w:tc>
          <w:tcPr>
            <w:tcW w:w="1349" w:type="dxa"/>
            <w:tcBorders>
              <w:top w:val="nil"/>
              <w:left w:val="nil"/>
              <w:bottom w:val="nil"/>
              <w:right w:val="nil"/>
            </w:tcBorders>
          </w:tcPr>
          <w:p w14:paraId="2D393FB3" w14:textId="77777777" w:rsidR="0073742C" w:rsidRDefault="005D5980" w:rsidP="00976754">
            <w:pPr>
              <w:spacing w:line="259" w:lineRule="auto"/>
              <w:jc w:val="center"/>
            </w:pPr>
            <w:r>
              <w:t>0</w:t>
            </w:r>
          </w:p>
        </w:tc>
      </w:tr>
      <w:tr w:rsidR="0073742C" w14:paraId="1687BC0B" w14:textId="77777777" w:rsidTr="00976754">
        <w:trPr>
          <w:trHeight w:val="310"/>
        </w:trPr>
        <w:tc>
          <w:tcPr>
            <w:tcW w:w="1459" w:type="dxa"/>
            <w:tcBorders>
              <w:top w:val="nil"/>
              <w:left w:val="nil"/>
              <w:bottom w:val="nil"/>
              <w:right w:val="nil"/>
            </w:tcBorders>
          </w:tcPr>
          <w:p w14:paraId="21A953ED" w14:textId="77777777" w:rsidR="0073742C" w:rsidRDefault="005D5980">
            <w:pPr>
              <w:spacing w:line="259" w:lineRule="auto"/>
              <w:jc w:val="center"/>
            </w:pPr>
            <w:r>
              <w:t>7</w:t>
            </w:r>
          </w:p>
        </w:tc>
        <w:tc>
          <w:tcPr>
            <w:tcW w:w="2409" w:type="dxa"/>
            <w:tcBorders>
              <w:top w:val="nil"/>
              <w:left w:val="nil"/>
              <w:bottom w:val="nil"/>
              <w:right w:val="nil"/>
            </w:tcBorders>
          </w:tcPr>
          <w:p w14:paraId="78057D24" w14:textId="77777777" w:rsidR="0073742C" w:rsidRDefault="005D5980">
            <w:pPr>
              <w:spacing w:line="259" w:lineRule="auto"/>
              <w:ind w:left="665"/>
            </w:pPr>
            <w:r>
              <w:t>Draw</w:t>
            </w:r>
          </w:p>
        </w:tc>
        <w:tc>
          <w:tcPr>
            <w:tcW w:w="1528" w:type="dxa"/>
            <w:tcBorders>
              <w:top w:val="nil"/>
              <w:left w:val="nil"/>
              <w:bottom w:val="nil"/>
              <w:right w:val="nil"/>
            </w:tcBorders>
          </w:tcPr>
          <w:p w14:paraId="059ECA50" w14:textId="77777777" w:rsidR="0073742C" w:rsidRDefault="005D5980" w:rsidP="00976754">
            <w:pPr>
              <w:spacing w:line="259" w:lineRule="auto"/>
              <w:ind w:left="494"/>
              <w:jc w:val="center"/>
            </w:pPr>
            <w:r>
              <w:t>0</w:t>
            </w:r>
          </w:p>
        </w:tc>
        <w:tc>
          <w:tcPr>
            <w:tcW w:w="2171" w:type="dxa"/>
            <w:tcBorders>
              <w:top w:val="nil"/>
              <w:left w:val="nil"/>
              <w:bottom w:val="nil"/>
              <w:right w:val="nil"/>
            </w:tcBorders>
          </w:tcPr>
          <w:p w14:paraId="37C418D5" w14:textId="2B6B1940" w:rsidR="0073742C" w:rsidRDefault="0021564F" w:rsidP="00976754">
            <w:pPr>
              <w:spacing w:line="259" w:lineRule="auto"/>
            </w:pPr>
            <m:oMathPara>
              <m:oMath>
                <m:sSub>
                  <m:sSubPr>
                    <m:ctrlPr>
                      <w:rPr>
                        <w:rFonts w:ascii="Cambria Math" w:hAnsi="Cambria Math"/>
                        <w:i/>
                      </w:rPr>
                    </m:ctrlPr>
                  </m:sSubPr>
                  <m:e>
                    <m:r>
                      <w:rPr>
                        <w:rFonts w:ascii="Cambria Math" w:hAnsi="Cambria Math"/>
                      </w:rPr>
                      <m:t>X</m:t>
                    </m:r>
                  </m:e>
                  <m:sub>
                    <m:r>
                      <w:rPr>
                        <w:rFonts w:ascii="Cambria Math" w:hAnsi="Cambria Math"/>
                        <w:vertAlign w:val="subscript"/>
                      </w:rPr>
                      <m:t>7</m:t>
                    </m:r>
                  </m:sub>
                </m:sSub>
              </m:oMath>
            </m:oMathPara>
          </w:p>
        </w:tc>
        <w:tc>
          <w:tcPr>
            <w:tcW w:w="1349" w:type="dxa"/>
            <w:tcBorders>
              <w:top w:val="nil"/>
              <w:left w:val="nil"/>
              <w:bottom w:val="nil"/>
              <w:right w:val="nil"/>
            </w:tcBorders>
          </w:tcPr>
          <w:p w14:paraId="78F97EF0" w14:textId="77777777" w:rsidR="0073742C" w:rsidRDefault="005D5980" w:rsidP="00976754">
            <w:pPr>
              <w:spacing w:line="259" w:lineRule="auto"/>
              <w:jc w:val="center"/>
            </w:pPr>
            <w:r>
              <w:t>0</w:t>
            </w:r>
          </w:p>
        </w:tc>
      </w:tr>
      <w:tr w:rsidR="0073742C" w14:paraId="5EDA8736" w14:textId="77777777" w:rsidTr="00976754">
        <w:trPr>
          <w:trHeight w:val="310"/>
        </w:trPr>
        <w:tc>
          <w:tcPr>
            <w:tcW w:w="1459" w:type="dxa"/>
            <w:tcBorders>
              <w:top w:val="nil"/>
              <w:left w:val="nil"/>
              <w:bottom w:val="nil"/>
              <w:right w:val="nil"/>
            </w:tcBorders>
          </w:tcPr>
          <w:p w14:paraId="7045B966" w14:textId="77777777" w:rsidR="0073742C" w:rsidRDefault="005D5980">
            <w:pPr>
              <w:spacing w:line="259" w:lineRule="auto"/>
              <w:jc w:val="center"/>
            </w:pPr>
            <w:r>
              <w:t>8</w:t>
            </w:r>
          </w:p>
        </w:tc>
        <w:tc>
          <w:tcPr>
            <w:tcW w:w="2409" w:type="dxa"/>
            <w:tcBorders>
              <w:top w:val="nil"/>
              <w:left w:val="nil"/>
              <w:bottom w:val="nil"/>
              <w:right w:val="nil"/>
            </w:tcBorders>
          </w:tcPr>
          <w:p w14:paraId="3DE6823B" w14:textId="77777777" w:rsidR="0073742C" w:rsidRDefault="005D5980">
            <w:pPr>
              <w:spacing w:line="259" w:lineRule="auto"/>
              <w:ind w:left="663"/>
            </w:pPr>
            <w:r>
              <w:t>Away</w:t>
            </w:r>
          </w:p>
        </w:tc>
        <w:tc>
          <w:tcPr>
            <w:tcW w:w="1528" w:type="dxa"/>
            <w:tcBorders>
              <w:top w:val="nil"/>
              <w:left w:val="nil"/>
              <w:bottom w:val="nil"/>
              <w:right w:val="nil"/>
            </w:tcBorders>
          </w:tcPr>
          <w:p w14:paraId="4F1ED4CB" w14:textId="77777777" w:rsidR="0073742C" w:rsidRDefault="005D5980" w:rsidP="00976754">
            <w:pPr>
              <w:spacing w:line="259" w:lineRule="auto"/>
              <w:ind w:left="494"/>
              <w:jc w:val="center"/>
            </w:pPr>
            <w:r>
              <w:t>0</w:t>
            </w:r>
          </w:p>
        </w:tc>
        <w:tc>
          <w:tcPr>
            <w:tcW w:w="2171" w:type="dxa"/>
            <w:tcBorders>
              <w:top w:val="nil"/>
              <w:left w:val="nil"/>
              <w:bottom w:val="nil"/>
              <w:right w:val="nil"/>
            </w:tcBorders>
          </w:tcPr>
          <w:p w14:paraId="6CD654E6" w14:textId="77777777" w:rsidR="0073742C" w:rsidRDefault="005D5980" w:rsidP="00976754">
            <w:pPr>
              <w:spacing w:line="259" w:lineRule="auto"/>
              <w:ind w:left="776"/>
            </w:pPr>
            <w:r>
              <w:t>0</w:t>
            </w:r>
          </w:p>
        </w:tc>
        <w:tc>
          <w:tcPr>
            <w:tcW w:w="1349" w:type="dxa"/>
            <w:tcBorders>
              <w:top w:val="nil"/>
              <w:left w:val="nil"/>
              <w:bottom w:val="nil"/>
              <w:right w:val="nil"/>
            </w:tcBorders>
          </w:tcPr>
          <w:p w14:paraId="7583DDA2" w14:textId="1EBC6DC3" w:rsidR="0073742C" w:rsidRDefault="0021564F" w:rsidP="00976754">
            <w:pPr>
              <w:spacing w:line="259" w:lineRule="auto"/>
              <w:ind w:left="389"/>
              <w:jc w:val="center"/>
            </w:pPr>
            <m:oMathPara>
              <m:oMath>
                <m:sSub>
                  <m:sSubPr>
                    <m:ctrlPr>
                      <w:rPr>
                        <w:rFonts w:ascii="Cambria Math" w:hAnsi="Cambria Math"/>
                        <w:i/>
                      </w:rPr>
                    </m:ctrlPr>
                  </m:sSubPr>
                  <m:e>
                    <m:r>
                      <w:rPr>
                        <w:rFonts w:ascii="Cambria Math" w:hAnsi="Cambria Math"/>
                      </w:rPr>
                      <m:t>X</m:t>
                    </m:r>
                  </m:e>
                  <m:sub>
                    <m:r>
                      <w:rPr>
                        <w:rFonts w:ascii="Cambria Math" w:hAnsi="Cambria Math"/>
                        <w:vertAlign w:val="subscript"/>
                      </w:rPr>
                      <m:t>8</m:t>
                    </m:r>
                  </m:sub>
                </m:sSub>
              </m:oMath>
            </m:oMathPara>
          </w:p>
        </w:tc>
      </w:tr>
      <w:tr w:rsidR="0073742C" w14:paraId="2F893893" w14:textId="77777777" w:rsidTr="00976754">
        <w:trPr>
          <w:trHeight w:val="310"/>
        </w:trPr>
        <w:tc>
          <w:tcPr>
            <w:tcW w:w="1459" w:type="dxa"/>
            <w:tcBorders>
              <w:top w:val="nil"/>
              <w:left w:val="nil"/>
              <w:bottom w:val="nil"/>
              <w:right w:val="nil"/>
            </w:tcBorders>
          </w:tcPr>
          <w:p w14:paraId="00820A19" w14:textId="77777777" w:rsidR="0073742C" w:rsidRDefault="005D5980">
            <w:pPr>
              <w:spacing w:line="259" w:lineRule="auto"/>
              <w:jc w:val="center"/>
            </w:pPr>
            <w:r>
              <w:t>9</w:t>
            </w:r>
          </w:p>
        </w:tc>
        <w:tc>
          <w:tcPr>
            <w:tcW w:w="2409" w:type="dxa"/>
            <w:tcBorders>
              <w:top w:val="nil"/>
              <w:left w:val="nil"/>
              <w:bottom w:val="nil"/>
              <w:right w:val="nil"/>
            </w:tcBorders>
          </w:tcPr>
          <w:p w14:paraId="17CA0EA4" w14:textId="6E745E9E" w:rsidR="0073742C" w:rsidRDefault="005D5980">
            <w:pPr>
              <w:spacing w:line="259" w:lineRule="auto"/>
              <w:ind w:left="130"/>
            </w:pPr>
            <w:r>
              <w:t xml:space="preserve">Away </w:t>
            </w:r>
            <w:r w:rsidR="00976754" w:rsidRPr="00976754">
              <w:t>(</w:t>
            </w:r>
            <m:oMath>
              <m:r>
                <w:rPr>
                  <w:rFonts w:ascii="Cambria Math" w:hAnsi="Cambria Math"/>
                </w:rPr>
                <m:t>-0.5</m:t>
              </m:r>
            </m:oMath>
            <w:r>
              <w:t>) AH</w:t>
            </w:r>
          </w:p>
        </w:tc>
        <w:tc>
          <w:tcPr>
            <w:tcW w:w="1528" w:type="dxa"/>
            <w:tcBorders>
              <w:top w:val="nil"/>
              <w:left w:val="nil"/>
              <w:bottom w:val="nil"/>
              <w:right w:val="nil"/>
            </w:tcBorders>
          </w:tcPr>
          <w:p w14:paraId="3DA06DD7" w14:textId="77777777" w:rsidR="0073742C" w:rsidRDefault="005D5980" w:rsidP="00976754">
            <w:pPr>
              <w:spacing w:line="259" w:lineRule="auto"/>
              <w:ind w:left="494"/>
              <w:jc w:val="center"/>
            </w:pPr>
            <w:r>
              <w:t>0</w:t>
            </w:r>
          </w:p>
        </w:tc>
        <w:tc>
          <w:tcPr>
            <w:tcW w:w="2171" w:type="dxa"/>
            <w:tcBorders>
              <w:top w:val="nil"/>
              <w:left w:val="nil"/>
              <w:bottom w:val="nil"/>
              <w:right w:val="nil"/>
            </w:tcBorders>
          </w:tcPr>
          <w:p w14:paraId="4EA2A24A" w14:textId="77777777" w:rsidR="0073742C" w:rsidRDefault="005D5980" w:rsidP="00976754">
            <w:pPr>
              <w:spacing w:line="259" w:lineRule="auto"/>
              <w:ind w:left="776"/>
            </w:pPr>
            <w:r>
              <w:t>0</w:t>
            </w:r>
          </w:p>
        </w:tc>
        <w:tc>
          <w:tcPr>
            <w:tcW w:w="1349" w:type="dxa"/>
            <w:tcBorders>
              <w:top w:val="nil"/>
              <w:left w:val="nil"/>
              <w:bottom w:val="nil"/>
              <w:right w:val="nil"/>
            </w:tcBorders>
          </w:tcPr>
          <w:p w14:paraId="5038D67C" w14:textId="54462A97" w:rsidR="0073742C" w:rsidRDefault="0021564F" w:rsidP="00976754">
            <w:pPr>
              <w:spacing w:line="259" w:lineRule="auto"/>
              <w:ind w:left="389"/>
              <w:jc w:val="center"/>
            </w:pPr>
            <m:oMathPara>
              <m:oMath>
                <m:sSub>
                  <m:sSubPr>
                    <m:ctrlPr>
                      <w:rPr>
                        <w:rFonts w:ascii="Cambria Math" w:hAnsi="Cambria Math"/>
                        <w:i/>
                      </w:rPr>
                    </m:ctrlPr>
                  </m:sSubPr>
                  <m:e>
                    <m:r>
                      <w:rPr>
                        <w:rFonts w:ascii="Cambria Math" w:hAnsi="Cambria Math"/>
                      </w:rPr>
                      <m:t>X</m:t>
                    </m:r>
                  </m:e>
                  <m:sub>
                    <m:r>
                      <w:rPr>
                        <w:rFonts w:ascii="Cambria Math" w:hAnsi="Cambria Math"/>
                        <w:vertAlign w:val="subscript"/>
                      </w:rPr>
                      <m:t>9</m:t>
                    </m:r>
                  </m:sub>
                </m:sSub>
              </m:oMath>
            </m:oMathPara>
          </w:p>
        </w:tc>
      </w:tr>
      <w:tr w:rsidR="0073742C" w14:paraId="7B44F282" w14:textId="77777777" w:rsidTr="00976754">
        <w:trPr>
          <w:trHeight w:val="310"/>
        </w:trPr>
        <w:tc>
          <w:tcPr>
            <w:tcW w:w="1459" w:type="dxa"/>
            <w:tcBorders>
              <w:top w:val="nil"/>
              <w:left w:val="nil"/>
              <w:bottom w:val="nil"/>
              <w:right w:val="nil"/>
            </w:tcBorders>
          </w:tcPr>
          <w:p w14:paraId="3E4C3DF6" w14:textId="77777777" w:rsidR="0073742C" w:rsidRDefault="005D5980">
            <w:pPr>
              <w:spacing w:line="259" w:lineRule="auto"/>
              <w:jc w:val="center"/>
            </w:pPr>
            <w:r>
              <w:t>10</w:t>
            </w:r>
          </w:p>
        </w:tc>
        <w:tc>
          <w:tcPr>
            <w:tcW w:w="2409" w:type="dxa"/>
            <w:tcBorders>
              <w:top w:val="nil"/>
              <w:left w:val="nil"/>
              <w:bottom w:val="nil"/>
              <w:right w:val="nil"/>
            </w:tcBorders>
          </w:tcPr>
          <w:p w14:paraId="0DF1E90D" w14:textId="505C5AED" w:rsidR="0073742C" w:rsidRDefault="005D5980">
            <w:pPr>
              <w:spacing w:line="259" w:lineRule="auto"/>
              <w:ind w:left="72"/>
            </w:pPr>
            <w:r>
              <w:t>Away (</w:t>
            </w:r>
            <m:oMath>
              <m:r>
                <w:rPr>
                  <w:rFonts w:ascii="Cambria Math" w:hAnsi="Cambria Math"/>
                </w:rPr>
                <m:t>-0.25</m:t>
              </m:r>
            </m:oMath>
            <w:r>
              <w:t>) AH</w:t>
            </w:r>
          </w:p>
        </w:tc>
        <w:tc>
          <w:tcPr>
            <w:tcW w:w="1528" w:type="dxa"/>
            <w:tcBorders>
              <w:top w:val="nil"/>
              <w:left w:val="nil"/>
              <w:bottom w:val="nil"/>
              <w:right w:val="nil"/>
            </w:tcBorders>
          </w:tcPr>
          <w:p w14:paraId="148653AB" w14:textId="77777777" w:rsidR="0073742C" w:rsidRDefault="005D5980" w:rsidP="00976754">
            <w:pPr>
              <w:spacing w:line="259" w:lineRule="auto"/>
              <w:ind w:left="494"/>
              <w:jc w:val="center"/>
            </w:pPr>
            <w:r>
              <w:t>0</w:t>
            </w:r>
          </w:p>
        </w:tc>
        <w:tc>
          <w:tcPr>
            <w:tcW w:w="2171" w:type="dxa"/>
            <w:tcBorders>
              <w:top w:val="nil"/>
              <w:left w:val="nil"/>
              <w:bottom w:val="nil"/>
              <w:right w:val="nil"/>
            </w:tcBorders>
          </w:tcPr>
          <w:p w14:paraId="00448697" w14:textId="77777777" w:rsidR="0073742C" w:rsidRDefault="005D5980" w:rsidP="00976754">
            <w:pPr>
              <w:spacing w:line="259" w:lineRule="auto"/>
              <w:ind w:left="685"/>
            </w:pPr>
            <w:r>
              <w:t>0.5</w:t>
            </w:r>
          </w:p>
        </w:tc>
        <w:tc>
          <w:tcPr>
            <w:tcW w:w="1349" w:type="dxa"/>
            <w:tcBorders>
              <w:top w:val="nil"/>
              <w:left w:val="nil"/>
              <w:bottom w:val="nil"/>
              <w:right w:val="nil"/>
            </w:tcBorders>
          </w:tcPr>
          <w:p w14:paraId="5FEBFC8F" w14:textId="09F5B1F9" w:rsidR="0073742C" w:rsidRDefault="0021564F" w:rsidP="00976754">
            <w:pPr>
              <w:spacing w:line="259" w:lineRule="auto"/>
              <w:ind w:left="346"/>
              <w:jc w:val="center"/>
            </w:pPr>
            <m:oMathPara>
              <m:oMath>
                <m:sSub>
                  <m:sSubPr>
                    <m:ctrlPr>
                      <w:rPr>
                        <w:rFonts w:ascii="Cambria Math" w:hAnsi="Cambria Math"/>
                        <w:i/>
                      </w:rPr>
                    </m:ctrlPr>
                  </m:sSubPr>
                  <m:e>
                    <m:r>
                      <w:rPr>
                        <w:rFonts w:ascii="Cambria Math" w:hAnsi="Cambria Math"/>
                      </w:rPr>
                      <m:t>X</m:t>
                    </m:r>
                  </m:e>
                  <m:sub>
                    <m:r>
                      <w:rPr>
                        <w:rFonts w:ascii="Cambria Math" w:hAnsi="Cambria Math"/>
                        <w:vertAlign w:val="subscript"/>
                      </w:rPr>
                      <m:t>10</m:t>
                    </m:r>
                  </m:sub>
                </m:sSub>
              </m:oMath>
            </m:oMathPara>
          </w:p>
        </w:tc>
      </w:tr>
      <w:tr w:rsidR="0073742C" w14:paraId="0D7FC457" w14:textId="77777777" w:rsidTr="00976754">
        <w:trPr>
          <w:trHeight w:val="303"/>
        </w:trPr>
        <w:tc>
          <w:tcPr>
            <w:tcW w:w="1459" w:type="dxa"/>
            <w:tcBorders>
              <w:top w:val="nil"/>
              <w:left w:val="nil"/>
              <w:bottom w:val="nil"/>
              <w:right w:val="nil"/>
            </w:tcBorders>
          </w:tcPr>
          <w:p w14:paraId="1F18576B" w14:textId="77777777" w:rsidR="0073742C" w:rsidRDefault="005D5980">
            <w:pPr>
              <w:spacing w:line="259" w:lineRule="auto"/>
              <w:jc w:val="center"/>
            </w:pPr>
            <w:r>
              <w:t>11</w:t>
            </w:r>
          </w:p>
        </w:tc>
        <w:tc>
          <w:tcPr>
            <w:tcW w:w="2409" w:type="dxa"/>
            <w:tcBorders>
              <w:top w:val="nil"/>
              <w:left w:val="nil"/>
              <w:bottom w:val="nil"/>
              <w:right w:val="nil"/>
            </w:tcBorders>
          </w:tcPr>
          <w:p w14:paraId="03DE76D2" w14:textId="77777777" w:rsidR="0073742C" w:rsidRDefault="005D5980">
            <w:pPr>
              <w:spacing w:line="259" w:lineRule="auto"/>
              <w:ind w:left="260"/>
            </w:pPr>
            <w:r>
              <w:t>Away (0) AH</w:t>
            </w:r>
          </w:p>
        </w:tc>
        <w:tc>
          <w:tcPr>
            <w:tcW w:w="1528" w:type="dxa"/>
            <w:tcBorders>
              <w:top w:val="nil"/>
              <w:left w:val="nil"/>
              <w:bottom w:val="nil"/>
              <w:right w:val="nil"/>
            </w:tcBorders>
          </w:tcPr>
          <w:p w14:paraId="08810CB1" w14:textId="77777777" w:rsidR="0073742C" w:rsidRDefault="005D5980" w:rsidP="00976754">
            <w:pPr>
              <w:spacing w:line="259" w:lineRule="auto"/>
              <w:ind w:left="494"/>
              <w:jc w:val="center"/>
            </w:pPr>
            <w:r>
              <w:t>0</w:t>
            </w:r>
          </w:p>
        </w:tc>
        <w:tc>
          <w:tcPr>
            <w:tcW w:w="2171" w:type="dxa"/>
            <w:tcBorders>
              <w:top w:val="nil"/>
              <w:left w:val="nil"/>
              <w:bottom w:val="nil"/>
              <w:right w:val="nil"/>
            </w:tcBorders>
          </w:tcPr>
          <w:p w14:paraId="59D090D4" w14:textId="77777777" w:rsidR="0073742C" w:rsidRDefault="005D5980" w:rsidP="00976754">
            <w:pPr>
              <w:spacing w:line="259" w:lineRule="auto"/>
              <w:ind w:left="776"/>
            </w:pPr>
            <w:r>
              <w:t>1</w:t>
            </w:r>
          </w:p>
        </w:tc>
        <w:tc>
          <w:tcPr>
            <w:tcW w:w="1349" w:type="dxa"/>
            <w:tcBorders>
              <w:top w:val="nil"/>
              <w:left w:val="nil"/>
              <w:bottom w:val="nil"/>
              <w:right w:val="nil"/>
            </w:tcBorders>
          </w:tcPr>
          <w:p w14:paraId="31510D80" w14:textId="5484C283" w:rsidR="0073742C" w:rsidRDefault="0021564F" w:rsidP="00976754">
            <w:pPr>
              <w:spacing w:line="259" w:lineRule="auto"/>
              <w:ind w:left="346"/>
              <w:jc w:val="center"/>
            </w:pPr>
            <m:oMathPara>
              <m:oMath>
                <m:sSub>
                  <m:sSubPr>
                    <m:ctrlPr>
                      <w:rPr>
                        <w:rFonts w:ascii="Cambria Math" w:hAnsi="Cambria Math"/>
                        <w:i/>
                      </w:rPr>
                    </m:ctrlPr>
                  </m:sSubPr>
                  <m:e>
                    <m:r>
                      <w:rPr>
                        <w:rFonts w:ascii="Cambria Math" w:hAnsi="Cambria Math"/>
                      </w:rPr>
                      <m:t>X</m:t>
                    </m:r>
                  </m:e>
                  <m:sub>
                    <m:r>
                      <w:rPr>
                        <w:rFonts w:ascii="Cambria Math" w:hAnsi="Cambria Math"/>
                        <w:vertAlign w:val="subscript"/>
                      </w:rPr>
                      <m:t>11</m:t>
                    </m:r>
                  </m:sub>
                </m:sSub>
              </m:oMath>
            </m:oMathPara>
          </w:p>
        </w:tc>
      </w:tr>
      <w:tr w:rsidR="0073742C" w14:paraId="3D675A04" w14:textId="77777777" w:rsidTr="00976754">
        <w:trPr>
          <w:trHeight w:val="317"/>
        </w:trPr>
        <w:tc>
          <w:tcPr>
            <w:tcW w:w="1459" w:type="dxa"/>
            <w:tcBorders>
              <w:top w:val="nil"/>
              <w:left w:val="nil"/>
              <w:bottom w:val="nil"/>
              <w:right w:val="nil"/>
            </w:tcBorders>
          </w:tcPr>
          <w:p w14:paraId="799BF31A" w14:textId="77777777" w:rsidR="0073742C" w:rsidRDefault="005D5980">
            <w:pPr>
              <w:spacing w:line="259" w:lineRule="auto"/>
              <w:jc w:val="center"/>
            </w:pPr>
            <w:r>
              <w:t>12</w:t>
            </w:r>
          </w:p>
        </w:tc>
        <w:tc>
          <w:tcPr>
            <w:tcW w:w="2409" w:type="dxa"/>
            <w:tcBorders>
              <w:top w:val="nil"/>
              <w:left w:val="nil"/>
              <w:bottom w:val="nil"/>
              <w:right w:val="nil"/>
            </w:tcBorders>
          </w:tcPr>
          <w:p w14:paraId="6ECA20CE" w14:textId="33B41872" w:rsidR="0073742C" w:rsidRDefault="005D5980">
            <w:pPr>
              <w:spacing w:line="259" w:lineRule="auto"/>
              <w:ind w:left="20"/>
            </w:pPr>
            <w:r>
              <w:t>Away (</w:t>
            </w:r>
            <m:oMath>
              <m:r>
                <w:rPr>
                  <w:rFonts w:ascii="Cambria Math" w:hAnsi="Cambria Math"/>
                </w:rPr>
                <m:t>+0.25</m:t>
              </m:r>
            </m:oMath>
            <w:r>
              <w:t>) AH</w:t>
            </w:r>
          </w:p>
        </w:tc>
        <w:tc>
          <w:tcPr>
            <w:tcW w:w="1528" w:type="dxa"/>
            <w:tcBorders>
              <w:top w:val="nil"/>
              <w:left w:val="nil"/>
              <w:bottom w:val="nil"/>
              <w:right w:val="nil"/>
            </w:tcBorders>
          </w:tcPr>
          <w:p w14:paraId="5B59827C" w14:textId="77777777" w:rsidR="0073742C" w:rsidRDefault="005D5980" w:rsidP="00976754">
            <w:pPr>
              <w:spacing w:line="259" w:lineRule="auto"/>
              <w:ind w:left="494"/>
              <w:jc w:val="center"/>
            </w:pPr>
            <w:r>
              <w:t>0</w:t>
            </w:r>
          </w:p>
        </w:tc>
        <w:tc>
          <w:tcPr>
            <w:tcW w:w="2171" w:type="dxa"/>
            <w:tcBorders>
              <w:top w:val="nil"/>
              <w:left w:val="nil"/>
              <w:bottom w:val="nil"/>
              <w:right w:val="nil"/>
            </w:tcBorders>
          </w:tcPr>
          <w:p w14:paraId="13EFAE6F" w14:textId="76634B78" w:rsidR="0073742C" w:rsidRDefault="00976754" w:rsidP="00976754">
            <w:pPr>
              <w:spacing w:line="259" w:lineRule="auto"/>
            </w:pPr>
            <m:oMathPara>
              <m:oMath>
                <m:r>
                  <w:rPr>
                    <w:rFonts w:ascii="Cambria Math" w:hAnsi="Cambria Math"/>
                  </w:rPr>
                  <m:t>1 + 0.5(</m:t>
                </m:r>
                <m:sSub>
                  <m:sSubPr>
                    <m:ctrlPr>
                      <w:rPr>
                        <w:rFonts w:ascii="Cambria Math" w:hAnsi="Cambria Math"/>
                        <w:i/>
                      </w:rPr>
                    </m:ctrlPr>
                  </m:sSubPr>
                  <m:e>
                    <m:r>
                      <w:rPr>
                        <w:rFonts w:ascii="Cambria Math" w:hAnsi="Cambria Math"/>
                      </w:rPr>
                      <m:t>X</m:t>
                    </m:r>
                  </m:e>
                  <m:sub>
                    <m:r>
                      <w:rPr>
                        <w:rFonts w:ascii="Cambria Math" w:hAnsi="Cambria Math"/>
                        <w:vertAlign w:val="subscript"/>
                      </w:rPr>
                      <m:t>12</m:t>
                    </m:r>
                  </m:sub>
                </m:sSub>
                <m:r>
                  <w:rPr>
                    <w:rFonts w:ascii="Cambria Math" w:hAnsi="Cambria Math"/>
                    <w:vertAlign w:val="subscript"/>
                  </w:rPr>
                  <m:t xml:space="preserve"> </m:t>
                </m:r>
                <m:r>
                  <w:rPr>
                    <w:rFonts w:ascii="Cambria Math" w:hAnsi="Cambria Math"/>
                  </w:rPr>
                  <m:t>- 1)</m:t>
                </m:r>
              </m:oMath>
            </m:oMathPara>
          </w:p>
        </w:tc>
        <w:tc>
          <w:tcPr>
            <w:tcW w:w="1349" w:type="dxa"/>
            <w:tcBorders>
              <w:top w:val="nil"/>
              <w:left w:val="nil"/>
              <w:bottom w:val="nil"/>
              <w:right w:val="nil"/>
            </w:tcBorders>
          </w:tcPr>
          <w:p w14:paraId="6D039490" w14:textId="224E0718" w:rsidR="0073742C" w:rsidRDefault="0021564F" w:rsidP="00976754">
            <w:pPr>
              <w:spacing w:line="259" w:lineRule="auto"/>
              <w:ind w:left="346"/>
              <w:jc w:val="center"/>
            </w:pPr>
            <m:oMathPara>
              <m:oMath>
                <m:sSub>
                  <m:sSubPr>
                    <m:ctrlPr>
                      <w:rPr>
                        <w:rFonts w:ascii="Cambria Math" w:hAnsi="Cambria Math"/>
                        <w:i/>
                      </w:rPr>
                    </m:ctrlPr>
                  </m:sSubPr>
                  <m:e>
                    <m:r>
                      <w:rPr>
                        <w:rFonts w:ascii="Cambria Math" w:hAnsi="Cambria Math"/>
                      </w:rPr>
                      <m:t>X</m:t>
                    </m:r>
                  </m:e>
                  <m:sub>
                    <m:r>
                      <w:rPr>
                        <w:rFonts w:ascii="Cambria Math" w:hAnsi="Cambria Math"/>
                        <w:vertAlign w:val="subscript"/>
                      </w:rPr>
                      <m:t>12</m:t>
                    </m:r>
                  </m:sub>
                </m:sSub>
              </m:oMath>
            </m:oMathPara>
          </w:p>
        </w:tc>
      </w:tr>
      <w:tr w:rsidR="0073742C" w14:paraId="356F3322" w14:textId="77777777" w:rsidTr="00976754">
        <w:trPr>
          <w:trHeight w:val="356"/>
        </w:trPr>
        <w:tc>
          <w:tcPr>
            <w:tcW w:w="1459" w:type="dxa"/>
            <w:tcBorders>
              <w:top w:val="nil"/>
              <w:left w:val="nil"/>
              <w:bottom w:val="single" w:sz="7" w:space="0" w:color="000000"/>
              <w:right w:val="nil"/>
            </w:tcBorders>
          </w:tcPr>
          <w:p w14:paraId="40F50F1D" w14:textId="77777777" w:rsidR="0073742C" w:rsidRDefault="005D5980">
            <w:pPr>
              <w:spacing w:line="259" w:lineRule="auto"/>
              <w:jc w:val="center"/>
            </w:pPr>
            <w:r>
              <w:t>13</w:t>
            </w:r>
          </w:p>
        </w:tc>
        <w:tc>
          <w:tcPr>
            <w:tcW w:w="2409" w:type="dxa"/>
            <w:tcBorders>
              <w:top w:val="nil"/>
              <w:left w:val="nil"/>
              <w:bottom w:val="single" w:sz="7" w:space="0" w:color="000000"/>
              <w:right w:val="nil"/>
            </w:tcBorders>
          </w:tcPr>
          <w:p w14:paraId="1451A634" w14:textId="26A856A5" w:rsidR="0073742C" w:rsidRDefault="005D5980">
            <w:pPr>
              <w:spacing w:line="259" w:lineRule="auto"/>
              <w:ind w:left="78"/>
            </w:pPr>
            <w:r>
              <w:t>Away (</w:t>
            </w:r>
            <m:oMath>
              <m:r>
                <w:rPr>
                  <w:rFonts w:ascii="Cambria Math" w:hAnsi="Cambria Math"/>
                </w:rPr>
                <m:t>+0.5</m:t>
              </m:r>
            </m:oMath>
            <w:r>
              <w:t>) AH</w:t>
            </w:r>
          </w:p>
        </w:tc>
        <w:tc>
          <w:tcPr>
            <w:tcW w:w="1528" w:type="dxa"/>
            <w:tcBorders>
              <w:top w:val="nil"/>
              <w:left w:val="nil"/>
              <w:bottom w:val="single" w:sz="7" w:space="0" w:color="000000"/>
              <w:right w:val="nil"/>
            </w:tcBorders>
          </w:tcPr>
          <w:p w14:paraId="1B61C420" w14:textId="77777777" w:rsidR="0073742C" w:rsidRDefault="005D5980" w:rsidP="00976754">
            <w:pPr>
              <w:spacing w:line="259" w:lineRule="auto"/>
              <w:ind w:left="494"/>
              <w:jc w:val="center"/>
            </w:pPr>
            <w:r>
              <w:t>0</w:t>
            </w:r>
          </w:p>
        </w:tc>
        <w:tc>
          <w:tcPr>
            <w:tcW w:w="2171" w:type="dxa"/>
            <w:tcBorders>
              <w:top w:val="nil"/>
              <w:left w:val="nil"/>
              <w:bottom w:val="single" w:sz="7" w:space="0" w:color="000000"/>
              <w:right w:val="nil"/>
            </w:tcBorders>
          </w:tcPr>
          <w:p w14:paraId="10ADD20D" w14:textId="2BB139AB" w:rsidR="0073742C" w:rsidRDefault="0021564F" w:rsidP="00976754">
            <w:pPr>
              <w:spacing w:line="259" w:lineRule="auto"/>
            </w:pPr>
            <m:oMathPara>
              <m:oMath>
                <m:sSub>
                  <m:sSubPr>
                    <m:ctrlPr>
                      <w:rPr>
                        <w:rFonts w:ascii="Cambria Math" w:hAnsi="Cambria Math"/>
                        <w:i/>
                      </w:rPr>
                    </m:ctrlPr>
                  </m:sSubPr>
                  <m:e>
                    <m:r>
                      <w:rPr>
                        <w:rFonts w:ascii="Cambria Math" w:hAnsi="Cambria Math"/>
                      </w:rPr>
                      <m:t>X</m:t>
                    </m:r>
                  </m:e>
                  <m:sub>
                    <m:r>
                      <w:rPr>
                        <w:rFonts w:ascii="Cambria Math" w:hAnsi="Cambria Math"/>
                        <w:vertAlign w:val="subscript"/>
                      </w:rPr>
                      <m:t>13</m:t>
                    </m:r>
                  </m:sub>
                </m:sSub>
              </m:oMath>
            </m:oMathPara>
          </w:p>
        </w:tc>
        <w:tc>
          <w:tcPr>
            <w:tcW w:w="1349" w:type="dxa"/>
            <w:tcBorders>
              <w:top w:val="nil"/>
              <w:left w:val="nil"/>
              <w:bottom w:val="single" w:sz="7" w:space="0" w:color="000000"/>
              <w:right w:val="nil"/>
            </w:tcBorders>
          </w:tcPr>
          <w:p w14:paraId="775FE8B4" w14:textId="0793457F" w:rsidR="0073742C" w:rsidRDefault="0021564F" w:rsidP="00976754">
            <w:pPr>
              <w:spacing w:line="259" w:lineRule="auto"/>
              <w:ind w:left="346"/>
              <w:jc w:val="center"/>
            </w:pPr>
            <m:oMathPara>
              <m:oMath>
                <m:sSub>
                  <m:sSubPr>
                    <m:ctrlPr>
                      <w:rPr>
                        <w:rFonts w:ascii="Cambria Math" w:hAnsi="Cambria Math"/>
                        <w:i/>
                      </w:rPr>
                    </m:ctrlPr>
                  </m:sSubPr>
                  <m:e>
                    <m:r>
                      <w:rPr>
                        <w:rFonts w:ascii="Cambria Math" w:hAnsi="Cambria Math"/>
                      </w:rPr>
                      <m:t>X</m:t>
                    </m:r>
                  </m:e>
                  <m:sub>
                    <m:r>
                      <w:rPr>
                        <w:rFonts w:ascii="Cambria Math" w:hAnsi="Cambria Math"/>
                        <w:vertAlign w:val="subscript"/>
                      </w:rPr>
                      <m:t>13</m:t>
                    </m:r>
                  </m:sub>
                </m:sSub>
              </m:oMath>
            </m:oMathPara>
          </w:p>
        </w:tc>
      </w:tr>
    </w:tbl>
    <w:p w14:paraId="06096F01" w14:textId="77777777" w:rsidR="00052370" w:rsidRDefault="00052370" w:rsidP="0048211B">
      <w:pPr>
        <w:spacing w:after="616" w:line="360" w:lineRule="auto"/>
        <w:ind w:left="-15"/>
      </w:pPr>
    </w:p>
    <w:p w14:paraId="32F43010" w14:textId="49B62AB3" w:rsidR="0073742C" w:rsidRDefault="00976754" w:rsidP="0048211B">
      <w:pPr>
        <w:spacing w:after="3" w:line="360" w:lineRule="auto"/>
        <w:ind w:right="-14"/>
        <w:jc w:val="both"/>
      </w:pPr>
      <w:r>
        <w:t xml:space="preserve">Second, we aim to find the set of bets that a bettor would place to best exploit potential </w:t>
      </w:r>
      <w:r w:rsidR="005D5980">
        <w:t xml:space="preserve">arbitrage opportunities. Let </w:t>
      </w:r>
      <m:oMath>
        <m:sSub>
          <m:sSubPr>
            <m:ctrlPr>
              <w:rPr>
                <w:rFonts w:ascii="Cambria Math" w:hAnsi="Cambria Math"/>
                <w:i/>
              </w:rPr>
            </m:ctrlPr>
          </m:sSubPr>
          <m:e>
            <m:r>
              <w:rPr>
                <w:rFonts w:ascii="Cambria Math" w:hAnsi="Cambria Math"/>
              </w:rPr>
              <m:t>S</m:t>
            </m:r>
          </m:e>
          <m:sub>
            <m:r>
              <w:rPr>
                <w:rFonts w:ascii="Cambria Math" w:hAnsi="Cambria Math"/>
                <w:vertAlign w:val="subscript"/>
              </w:rPr>
              <m:t>j</m:t>
            </m:r>
          </m:sub>
        </m:sSub>
      </m:oMath>
      <w:r w:rsidR="005D5980">
        <w:rPr>
          <w:i/>
          <w:vertAlign w:val="subscript"/>
        </w:rPr>
        <w:t xml:space="preserve"> </w:t>
      </w:r>
      <w:r w:rsidR="005D5980">
        <w:t xml:space="preserve">be the bettor’s allocated stake for each bet type </w:t>
      </w:r>
      <m:oMath>
        <m:r>
          <w:rPr>
            <w:rFonts w:ascii="Cambria Math" w:hAnsi="Cambria Math"/>
          </w:rPr>
          <m:t>j</m:t>
        </m:r>
      </m:oMath>
      <w:r w:rsidR="005D5980">
        <w:t xml:space="preserve">. The profit function </w:t>
      </w:r>
      <m:oMath>
        <m:r>
          <w:rPr>
            <w:rFonts w:ascii="Cambria Math" w:hAnsi="Cambria Math"/>
          </w:rPr>
          <m:t>Z = {</m:t>
        </m:r>
        <m:sSub>
          <m:sSubPr>
            <m:ctrlPr>
              <w:rPr>
                <w:rFonts w:ascii="Cambria Math" w:hAnsi="Cambria Math"/>
                <w:i/>
              </w:rPr>
            </m:ctrlPr>
          </m:sSubPr>
          <m:e>
            <m:r>
              <w:rPr>
                <w:rFonts w:ascii="Cambria Math" w:hAnsi="Cambria Math"/>
              </w:rPr>
              <m:t>Z</m:t>
            </m:r>
          </m:e>
          <m:sub>
            <m:r>
              <w:rPr>
                <w:rFonts w:ascii="Cambria Math" w:hAnsi="Cambria Math"/>
                <w:vertAlign w:val="subscript"/>
              </w:rPr>
              <m:t>homewin</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vertAlign w:val="subscript"/>
              </w:rPr>
              <m:t>draw</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vertAlign w:val="subscript"/>
              </w:rPr>
              <m:t>awaywin</m:t>
            </m:r>
          </m:sub>
        </m:sSub>
        <m:r>
          <w:rPr>
            <w:rFonts w:ascii="Cambria Math" w:hAnsi="Cambria Math"/>
          </w:rPr>
          <m:t>}</m:t>
        </m:r>
      </m:oMath>
      <w:r w:rsidR="005D5980">
        <w:rPr>
          <w:i/>
        </w:rPr>
        <w:t xml:space="preserve"> </w:t>
      </w:r>
      <w:r w:rsidR="005D5980">
        <w:t>for each possible match outcome can be defined from the following set of equations:</w:t>
      </w:r>
    </w:p>
    <w:p w14:paraId="0CDE26B5" w14:textId="77777777" w:rsidR="0048211B" w:rsidRDefault="0048211B" w:rsidP="0048211B">
      <w:pPr>
        <w:spacing w:after="3" w:line="265" w:lineRule="auto"/>
        <w:ind w:left="10" w:right="-14" w:hanging="10"/>
        <w:jc w:val="both"/>
      </w:pPr>
    </w:p>
    <w:tbl>
      <w:tblPr>
        <w:tblStyle w:val="TableGrid0"/>
        <w:tblW w:w="5336" w:type="pct"/>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6"/>
        <w:gridCol w:w="6997"/>
        <w:gridCol w:w="1497"/>
      </w:tblGrid>
      <w:tr w:rsidR="0048211B" w14:paraId="51575DFB" w14:textId="77777777" w:rsidTr="0048211B">
        <w:trPr>
          <w:trHeight w:val="718"/>
        </w:trPr>
        <w:tc>
          <w:tcPr>
            <w:tcW w:w="749" w:type="pct"/>
          </w:tcPr>
          <w:p w14:paraId="3A9C8AB3" w14:textId="77777777" w:rsidR="0048211B" w:rsidRDefault="0048211B" w:rsidP="0048211B">
            <w:pPr>
              <w:spacing w:after="3" w:line="265" w:lineRule="auto"/>
              <w:ind w:right="-14"/>
              <w:jc w:val="both"/>
            </w:pPr>
          </w:p>
        </w:tc>
        <w:tc>
          <w:tcPr>
            <w:tcW w:w="3502" w:type="pct"/>
          </w:tcPr>
          <w:p w14:paraId="2281D949" w14:textId="4AF127F8" w:rsidR="0048211B" w:rsidRDefault="0021564F" w:rsidP="0048211B">
            <w:pPr>
              <w:spacing w:after="3" w:line="265" w:lineRule="auto"/>
              <w:ind w:right="-14"/>
              <w:jc w:val="both"/>
            </w:pPr>
            <m:oMathPara>
              <m:oMath>
                <m:sSub>
                  <m:sSubPr>
                    <m:ctrlPr>
                      <w:rPr>
                        <w:rFonts w:ascii="Cambria Math" w:hAnsi="Cambria Math"/>
                        <w:i/>
                      </w:rPr>
                    </m:ctrlPr>
                  </m:sSubPr>
                  <m:e>
                    <m:r>
                      <w:rPr>
                        <w:rFonts w:ascii="Cambria Math" w:hAnsi="Cambria Math"/>
                      </w:rPr>
                      <m:t>Z</m:t>
                    </m:r>
                  </m:e>
                  <m:sub>
                    <m:r>
                      <w:rPr>
                        <w:rFonts w:ascii="Cambria Math" w:hAnsi="Cambria Math"/>
                      </w:rPr>
                      <m:t>homewin</m:t>
                    </m:r>
                  </m:sub>
                </m:sSub>
                <m:r>
                  <w:rPr>
                    <w:rFonts w:ascii="Cambria Math" w:hAnsi="Cambria Math"/>
                  </w:rPr>
                  <m:t>=</m:t>
                </m:r>
                <m:nary>
                  <m:naryPr>
                    <m:chr m:val="∑"/>
                    <m:limLoc m:val="undOvr"/>
                    <m:ctrlPr>
                      <w:rPr>
                        <w:rFonts w:ascii="Cambria Math" w:hAnsi="Cambria Math"/>
                        <w:i/>
                      </w:rPr>
                    </m:ctrlPr>
                  </m:naryPr>
                  <m:sub>
                    <m:r>
                      <w:rPr>
                        <w:rFonts w:ascii="Cambria Math" w:hAnsi="Cambria Math"/>
                      </w:rPr>
                      <m:t>j=1</m:t>
                    </m:r>
                  </m:sub>
                  <m:sup>
                    <m:r>
                      <w:rPr>
                        <w:rFonts w:ascii="Cambria Math" w:hAnsi="Cambria Math"/>
                      </w:rPr>
                      <m:t>6</m:t>
                    </m:r>
                  </m:sup>
                  <m:e>
                    <m:sSub>
                      <m:sSubPr>
                        <m:ctrlPr>
                          <w:rPr>
                            <w:rFonts w:ascii="Cambria Math" w:hAnsi="Cambria Math"/>
                            <w:i/>
                          </w:rPr>
                        </m:ctrlPr>
                      </m:sSubPr>
                      <m:e>
                        <m:r>
                          <w:rPr>
                            <w:rFonts w:ascii="Cambria Math" w:hAnsi="Cambria Math"/>
                          </w:rPr>
                          <m:t>S</m:t>
                        </m:r>
                      </m:e>
                      <m:sub>
                        <m:r>
                          <w:rPr>
                            <w:rFonts w:ascii="Cambria Math" w:hAnsi="Cambria Math"/>
                          </w:rPr>
                          <m:t>j</m:t>
                        </m:r>
                      </m:sub>
                    </m:sSub>
                    <m:sSub>
                      <m:sSubPr>
                        <m:ctrlPr>
                          <w:rPr>
                            <w:rFonts w:ascii="Cambria Math" w:hAnsi="Cambria Math"/>
                            <w:i/>
                          </w:rPr>
                        </m:ctrlPr>
                      </m:sSubPr>
                      <m:e>
                        <m:r>
                          <w:rPr>
                            <w:rFonts w:ascii="Cambria Math" w:hAnsi="Cambria Math"/>
                          </w:rPr>
                          <m:t>X</m:t>
                        </m:r>
                      </m:e>
                      <m:sub>
                        <m:r>
                          <w:rPr>
                            <w:rFonts w:ascii="Cambria Math" w:hAnsi="Cambria Math"/>
                          </w:rPr>
                          <m:t>j,max</m:t>
                        </m:r>
                      </m:sub>
                    </m:sSub>
                    <m:r>
                      <w:rPr>
                        <w:rFonts w:ascii="Cambria Math" w:hAnsi="Cambria Math"/>
                      </w:rPr>
                      <m:t>-</m:t>
                    </m:r>
                    <m:nary>
                      <m:naryPr>
                        <m:chr m:val="∑"/>
                        <m:limLoc m:val="undOvr"/>
                        <m:ctrlPr>
                          <w:rPr>
                            <w:rFonts w:ascii="Cambria Math" w:hAnsi="Cambria Math"/>
                            <w:i/>
                          </w:rPr>
                        </m:ctrlPr>
                      </m:naryPr>
                      <m:sub>
                        <m:r>
                          <w:rPr>
                            <w:rFonts w:ascii="Cambria Math" w:hAnsi="Cambria Math"/>
                          </w:rPr>
                          <m:t>j=1</m:t>
                        </m:r>
                      </m:sub>
                      <m:sup>
                        <m:r>
                          <w:rPr>
                            <w:rFonts w:ascii="Cambria Math" w:hAnsi="Cambria Math"/>
                          </w:rPr>
                          <m:t>13</m:t>
                        </m:r>
                      </m:sup>
                      <m:e>
                        <m:sSub>
                          <m:sSubPr>
                            <m:ctrlPr>
                              <w:rPr>
                                <w:rFonts w:ascii="Cambria Math" w:hAnsi="Cambria Math"/>
                                <w:i/>
                              </w:rPr>
                            </m:ctrlPr>
                          </m:sSubPr>
                          <m:e>
                            <m:r>
                              <w:rPr>
                                <w:rFonts w:ascii="Cambria Math" w:hAnsi="Cambria Math"/>
                              </w:rPr>
                              <m:t>S</m:t>
                            </m:r>
                          </m:e>
                          <m:sub>
                            <m:r>
                              <w:rPr>
                                <w:rFonts w:ascii="Cambria Math" w:hAnsi="Cambria Math"/>
                              </w:rPr>
                              <m:t>j</m:t>
                            </m:r>
                          </m:sub>
                        </m:sSub>
                      </m:e>
                    </m:nary>
                  </m:e>
                </m:nary>
              </m:oMath>
            </m:oMathPara>
          </w:p>
        </w:tc>
        <w:tc>
          <w:tcPr>
            <w:tcW w:w="750" w:type="pct"/>
            <w:vAlign w:val="center"/>
          </w:tcPr>
          <w:p w14:paraId="6A797A57" w14:textId="45699A9C" w:rsidR="0048211B" w:rsidRDefault="0048211B" w:rsidP="0048211B">
            <w:pPr>
              <w:spacing w:after="3" w:line="265" w:lineRule="auto"/>
              <w:ind w:right="-14"/>
              <w:jc w:val="center"/>
            </w:pPr>
            <w:r>
              <w:t>(1)</w:t>
            </w:r>
          </w:p>
        </w:tc>
      </w:tr>
      <w:tr w:rsidR="0048211B" w14:paraId="69DCB95D" w14:textId="77777777" w:rsidTr="0048211B">
        <w:trPr>
          <w:trHeight w:val="718"/>
        </w:trPr>
        <w:tc>
          <w:tcPr>
            <w:tcW w:w="749" w:type="pct"/>
          </w:tcPr>
          <w:p w14:paraId="2315BB98" w14:textId="77777777" w:rsidR="0048211B" w:rsidRDefault="0048211B" w:rsidP="0048211B">
            <w:pPr>
              <w:spacing w:after="3" w:line="265" w:lineRule="auto"/>
              <w:ind w:right="-14"/>
              <w:jc w:val="both"/>
            </w:pPr>
          </w:p>
        </w:tc>
        <w:tc>
          <w:tcPr>
            <w:tcW w:w="3502" w:type="pct"/>
          </w:tcPr>
          <w:p w14:paraId="13CA83EC" w14:textId="1562C0B8" w:rsidR="0048211B" w:rsidRDefault="0021564F" w:rsidP="0048211B">
            <w:pPr>
              <w:spacing w:after="3" w:line="265" w:lineRule="auto"/>
              <w:ind w:right="-14"/>
              <w:jc w:val="both"/>
            </w:pPr>
            <m:oMathPara>
              <m:oMath>
                <m:sSub>
                  <m:sSubPr>
                    <m:ctrlPr>
                      <w:rPr>
                        <w:rFonts w:ascii="Cambria Math" w:hAnsi="Cambria Math"/>
                        <w:i/>
                      </w:rPr>
                    </m:ctrlPr>
                  </m:sSubPr>
                  <m:e>
                    <m:r>
                      <w:rPr>
                        <w:rFonts w:ascii="Cambria Math" w:hAnsi="Cambria Math"/>
                      </w:rPr>
                      <m:t>Z</m:t>
                    </m:r>
                  </m:e>
                  <m:sub>
                    <m:r>
                      <w:rPr>
                        <w:rFonts w:ascii="Cambria Math" w:hAnsi="Cambria Math"/>
                      </w:rPr>
                      <m:t>draw</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7</m:t>
                    </m:r>
                  </m:sub>
                </m:sSub>
                <m:sSub>
                  <m:sSubPr>
                    <m:ctrlPr>
                      <w:rPr>
                        <w:rFonts w:ascii="Cambria Math" w:hAnsi="Cambria Math"/>
                        <w:i/>
                      </w:rPr>
                    </m:ctrlPr>
                  </m:sSubPr>
                  <m:e>
                    <m:r>
                      <w:rPr>
                        <w:rFonts w:ascii="Cambria Math" w:hAnsi="Cambria Math"/>
                      </w:rPr>
                      <m:t>X</m:t>
                    </m:r>
                  </m:e>
                  <m:sub>
                    <m:r>
                      <w:rPr>
                        <w:rFonts w:ascii="Cambria Math" w:hAnsi="Cambria Math"/>
                      </w:rPr>
                      <m:t>7,max</m:t>
                    </m:r>
                  </m:sub>
                </m:sSub>
                <m:r>
                  <w:rPr>
                    <w:rFonts w:ascii="Cambria Math" w:hAnsi="Cambria Math"/>
                  </w:rPr>
                  <m:t>+0.5</m:t>
                </m:r>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10</m:t>
                        </m:r>
                      </m:sub>
                    </m:sSub>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11</m:t>
                        </m:r>
                      </m:sub>
                    </m:sSub>
                  </m:e>
                </m:d>
                <m:r>
                  <w:rPr>
                    <w:rFonts w:ascii="Cambria Math" w:hAnsi="Cambria Math"/>
                  </w:rPr>
                  <m:t>+0.5</m:t>
                </m:r>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5</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12</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5</m:t>
                        </m:r>
                      </m:sub>
                    </m:sSub>
                    <m:sSub>
                      <m:sSubPr>
                        <m:ctrlPr>
                          <w:rPr>
                            <w:rFonts w:ascii="Cambria Math" w:hAnsi="Cambria Math"/>
                            <w:i/>
                          </w:rPr>
                        </m:ctrlPr>
                      </m:sSubPr>
                      <m:e>
                        <m:r>
                          <w:rPr>
                            <w:rFonts w:ascii="Cambria Math" w:hAnsi="Cambria Math"/>
                          </w:rPr>
                          <m:t>X</m:t>
                        </m:r>
                      </m:e>
                      <m:sub>
                        <m:r>
                          <w:rPr>
                            <w:rFonts w:ascii="Cambria Math" w:hAnsi="Cambria Math"/>
                          </w:rPr>
                          <m:t>5,max</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12</m:t>
                        </m:r>
                      </m:sub>
                    </m:sSub>
                    <m:sSub>
                      <m:sSubPr>
                        <m:ctrlPr>
                          <w:rPr>
                            <w:rFonts w:ascii="Cambria Math" w:hAnsi="Cambria Math"/>
                            <w:i/>
                          </w:rPr>
                        </m:ctrlPr>
                      </m:sSubPr>
                      <m:e>
                        <m:r>
                          <w:rPr>
                            <w:rFonts w:ascii="Cambria Math" w:hAnsi="Cambria Math"/>
                          </w:rPr>
                          <m:t>X</m:t>
                        </m:r>
                      </m:e>
                      <m:sub>
                        <m:r>
                          <w:rPr>
                            <w:rFonts w:ascii="Cambria Math" w:hAnsi="Cambria Math"/>
                          </w:rPr>
                          <m:t>12,max</m:t>
                        </m:r>
                      </m:sub>
                    </m:sSub>
                    <m:r>
                      <w:rPr>
                        <w:rFonts w:ascii="Cambria Math" w:hAnsi="Cambria Math"/>
                      </w:rPr>
                      <m:t xml:space="preserve"> </m:t>
                    </m:r>
                  </m:e>
                </m:d>
                <m:r>
                  <w:rPr>
                    <w:rFonts w:ascii="Cambria Math" w:hAnsi="Cambria Math"/>
                  </w:rPr>
                  <m:t>-</m:t>
                </m:r>
                <m:nary>
                  <m:naryPr>
                    <m:chr m:val="∑"/>
                    <m:limLoc m:val="undOvr"/>
                    <m:ctrlPr>
                      <w:rPr>
                        <w:rFonts w:ascii="Cambria Math" w:hAnsi="Cambria Math"/>
                        <w:i/>
                      </w:rPr>
                    </m:ctrlPr>
                  </m:naryPr>
                  <m:sub>
                    <m:r>
                      <w:rPr>
                        <w:rFonts w:ascii="Cambria Math" w:hAnsi="Cambria Math"/>
                      </w:rPr>
                      <m:t>j=1</m:t>
                    </m:r>
                  </m:sub>
                  <m:sup>
                    <m:r>
                      <w:rPr>
                        <w:rFonts w:ascii="Cambria Math" w:hAnsi="Cambria Math"/>
                      </w:rPr>
                      <m:t>13</m:t>
                    </m:r>
                  </m:sup>
                  <m:e>
                    <m:sSub>
                      <m:sSubPr>
                        <m:ctrlPr>
                          <w:rPr>
                            <w:rFonts w:ascii="Cambria Math" w:hAnsi="Cambria Math"/>
                            <w:i/>
                          </w:rPr>
                        </m:ctrlPr>
                      </m:sSubPr>
                      <m:e>
                        <m:r>
                          <w:rPr>
                            <w:rFonts w:ascii="Cambria Math" w:hAnsi="Cambria Math"/>
                          </w:rPr>
                          <m:t>S</m:t>
                        </m:r>
                      </m:e>
                      <m:sub>
                        <m:r>
                          <w:rPr>
                            <w:rFonts w:ascii="Cambria Math" w:hAnsi="Cambria Math"/>
                          </w:rPr>
                          <m:t>j</m:t>
                        </m:r>
                      </m:sub>
                    </m:sSub>
                  </m:e>
                </m:nary>
              </m:oMath>
            </m:oMathPara>
          </w:p>
        </w:tc>
        <w:tc>
          <w:tcPr>
            <w:tcW w:w="750" w:type="pct"/>
            <w:vAlign w:val="center"/>
          </w:tcPr>
          <w:p w14:paraId="5B33B612" w14:textId="7F5D2EFB" w:rsidR="0048211B" w:rsidRDefault="0048211B" w:rsidP="0048211B">
            <w:pPr>
              <w:spacing w:after="3" w:line="265" w:lineRule="auto"/>
              <w:ind w:right="-14"/>
              <w:jc w:val="center"/>
            </w:pPr>
            <w:r>
              <w:t>(2)</w:t>
            </w:r>
          </w:p>
        </w:tc>
      </w:tr>
      <w:tr w:rsidR="0048211B" w14:paraId="6E39800F" w14:textId="77777777" w:rsidTr="0048211B">
        <w:trPr>
          <w:trHeight w:val="718"/>
        </w:trPr>
        <w:tc>
          <w:tcPr>
            <w:tcW w:w="749" w:type="pct"/>
          </w:tcPr>
          <w:p w14:paraId="0B593C83" w14:textId="77777777" w:rsidR="0048211B" w:rsidRDefault="0048211B" w:rsidP="0048211B">
            <w:pPr>
              <w:spacing w:after="3" w:line="265" w:lineRule="auto"/>
              <w:ind w:right="-14"/>
              <w:jc w:val="both"/>
            </w:pPr>
          </w:p>
        </w:tc>
        <w:tc>
          <w:tcPr>
            <w:tcW w:w="3502" w:type="pct"/>
          </w:tcPr>
          <w:p w14:paraId="797326C2" w14:textId="732C80FF" w:rsidR="0048211B" w:rsidRDefault="0021564F" w:rsidP="0048211B">
            <w:pPr>
              <w:spacing w:after="3" w:line="265" w:lineRule="auto"/>
              <w:ind w:right="-14"/>
              <w:jc w:val="both"/>
            </w:pPr>
            <m:oMathPara>
              <m:oMath>
                <m:sSub>
                  <m:sSubPr>
                    <m:ctrlPr>
                      <w:rPr>
                        <w:rFonts w:ascii="Cambria Math" w:hAnsi="Cambria Math"/>
                        <w:i/>
                      </w:rPr>
                    </m:ctrlPr>
                  </m:sSubPr>
                  <m:e>
                    <m:r>
                      <w:rPr>
                        <w:rFonts w:ascii="Cambria Math" w:hAnsi="Cambria Math"/>
                      </w:rPr>
                      <m:t>Z</m:t>
                    </m:r>
                  </m:e>
                  <m:sub>
                    <m:r>
                      <w:rPr>
                        <w:rFonts w:ascii="Cambria Math" w:hAnsi="Cambria Math"/>
                      </w:rPr>
                      <m:t>awaywin</m:t>
                    </m:r>
                  </m:sub>
                </m:sSub>
                <m:r>
                  <w:rPr>
                    <w:rFonts w:ascii="Cambria Math" w:hAnsi="Cambria Math"/>
                  </w:rPr>
                  <m:t>=</m:t>
                </m:r>
                <m:nary>
                  <m:naryPr>
                    <m:chr m:val="∑"/>
                    <m:limLoc m:val="undOvr"/>
                    <m:ctrlPr>
                      <w:rPr>
                        <w:rFonts w:ascii="Cambria Math" w:hAnsi="Cambria Math"/>
                        <w:i/>
                      </w:rPr>
                    </m:ctrlPr>
                  </m:naryPr>
                  <m:sub>
                    <m:r>
                      <w:rPr>
                        <w:rFonts w:ascii="Cambria Math" w:hAnsi="Cambria Math"/>
                      </w:rPr>
                      <m:t>j=8</m:t>
                    </m:r>
                  </m:sub>
                  <m:sup>
                    <m:r>
                      <w:rPr>
                        <w:rFonts w:ascii="Cambria Math" w:hAnsi="Cambria Math"/>
                      </w:rPr>
                      <m:t>13</m:t>
                    </m:r>
                  </m:sup>
                  <m:e>
                    <m:sSub>
                      <m:sSubPr>
                        <m:ctrlPr>
                          <w:rPr>
                            <w:rFonts w:ascii="Cambria Math" w:hAnsi="Cambria Math"/>
                            <w:i/>
                          </w:rPr>
                        </m:ctrlPr>
                      </m:sSubPr>
                      <m:e>
                        <m:r>
                          <w:rPr>
                            <w:rFonts w:ascii="Cambria Math" w:hAnsi="Cambria Math"/>
                          </w:rPr>
                          <m:t>S</m:t>
                        </m:r>
                      </m:e>
                      <m:sub>
                        <m:r>
                          <w:rPr>
                            <w:rFonts w:ascii="Cambria Math" w:hAnsi="Cambria Math"/>
                          </w:rPr>
                          <m:t>j</m:t>
                        </m:r>
                      </m:sub>
                    </m:sSub>
                    <m:sSub>
                      <m:sSubPr>
                        <m:ctrlPr>
                          <w:rPr>
                            <w:rFonts w:ascii="Cambria Math" w:hAnsi="Cambria Math"/>
                            <w:i/>
                          </w:rPr>
                        </m:ctrlPr>
                      </m:sSubPr>
                      <m:e>
                        <m:r>
                          <w:rPr>
                            <w:rFonts w:ascii="Cambria Math" w:hAnsi="Cambria Math"/>
                          </w:rPr>
                          <m:t>X</m:t>
                        </m:r>
                      </m:e>
                      <m:sub>
                        <m:r>
                          <w:rPr>
                            <w:rFonts w:ascii="Cambria Math" w:hAnsi="Cambria Math"/>
                          </w:rPr>
                          <m:t>j,max</m:t>
                        </m:r>
                      </m:sub>
                    </m:sSub>
                    <m:r>
                      <w:rPr>
                        <w:rFonts w:ascii="Cambria Math" w:hAnsi="Cambria Math"/>
                      </w:rPr>
                      <m:t>-</m:t>
                    </m:r>
                    <m:nary>
                      <m:naryPr>
                        <m:chr m:val="∑"/>
                        <m:limLoc m:val="undOvr"/>
                        <m:ctrlPr>
                          <w:rPr>
                            <w:rFonts w:ascii="Cambria Math" w:hAnsi="Cambria Math"/>
                            <w:i/>
                          </w:rPr>
                        </m:ctrlPr>
                      </m:naryPr>
                      <m:sub>
                        <m:r>
                          <w:rPr>
                            <w:rFonts w:ascii="Cambria Math" w:hAnsi="Cambria Math"/>
                          </w:rPr>
                          <m:t>j=1</m:t>
                        </m:r>
                      </m:sub>
                      <m:sup>
                        <m:r>
                          <w:rPr>
                            <w:rFonts w:ascii="Cambria Math" w:hAnsi="Cambria Math"/>
                          </w:rPr>
                          <m:t>13</m:t>
                        </m:r>
                      </m:sup>
                      <m:e>
                        <m:sSub>
                          <m:sSubPr>
                            <m:ctrlPr>
                              <w:rPr>
                                <w:rFonts w:ascii="Cambria Math" w:hAnsi="Cambria Math"/>
                                <w:i/>
                              </w:rPr>
                            </m:ctrlPr>
                          </m:sSubPr>
                          <m:e>
                            <m:r>
                              <w:rPr>
                                <w:rFonts w:ascii="Cambria Math" w:hAnsi="Cambria Math"/>
                              </w:rPr>
                              <m:t>S</m:t>
                            </m:r>
                          </m:e>
                          <m:sub>
                            <m:r>
                              <w:rPr>
                                <w:rFonts w:ascii="Cambria Math" w:hAnsi="Cambria Math"/>
                              </w:rPr>
                              <m:t>j</m:t>
                            </m:r>
                          </m:sub>
                        </m:sSub>
                      </m:e>
                    </m:nary>
                  </m:e>
                </m:nary>
              </m:oMath>
            </m:oMathPara>
          </w:p>
        </w:tc>
        <w:tc>
          <w:tcPr>
            <w:tcW w:w="750" w:type="pct"/>
            <w:vAlign w:val="center"/>
          </w:tcPr>
          <w:p w14:paraId="51A2D105" w14:textId="2C6428EE" w:rsidR="0048211B" w:rsidRDefault="0048211B" w:rsidP="0048211B">
            <w:pPr>
              <w:spacing w:after="3" w:line="265" w:lineRule="auto"/>
              <w:ind w:right="-14"/>
              <w:jc w:val="center"/>
            </w:pPr>
            <w:r>
              <w:t>(3)</w:t>
            </w:r>
          </w:p>
        </w:tc>
      </w:tr>
    </w:tbl>
    <w:p w14:paraId="417F9DA2" w14:textId="77777777" w:rsidR="0048211B" w:rsidRDefault="0048211B" w:rsidP="0048211B">
      <w:pPr>
        <w:spacing w:after="3" w:line="265" w:lineRule="auto"/>
        <w:ind w:left="10" w:right="-14" w:hanging="10"/>
        <w:jc w:val="both"/>
      </w:pPr>
    </w:p>
    <w:p w14:paraId="49E345FB" w14:textId="27FB5D99" w:rsidR="0073742C" w:rsidRDefault="0048211B" w:rsidP="0048211B">
      <w:pPr>
        <w:spacing w:after="310" w:line="360" w:lineRule="auto"/>
        <w:ind w:left="-15"/>
        <w:jc w:val="both"/>
      </w:pPr>
      <w:r>
        <w:t>I</w:t>
      </w:r>
      <w:r w:rsidR="005D5980">
        <w:t>dentify</w:t>
      </w:r>
      <w:r w:rsidR="004672B3">
        <w:t>ing</w:t>
      </w:r>
      <w:r w:rsidR="005D5980">
        <w:t xml:space="preserve"> the best possible arbitrage opportunity </w:t>
      </w:r>
      <w:r w:rsidR="004672B3">
        <w:t>requires identifying</w:t>
      </w:r>
      <w:r w:rsidR="005D5980">
        <w:t xml:space="preserve"> the distribution of stakes </w:t>
      </w:r>
      <m:oMath>
        <m:r>
          <w:rPr>
            <w:rFonts w:ascii="Cambria Math" w:hAnsi="Cambria Math"/>
          </w:rPr>
          <m:t>S</m:t>
        </m:r>
      </m:oMath>
      <w:r w:rsidR="005D5980">
        <w:rPr>
          <w:i/>
        </w:rPr>
        <w:t xml:space="preserve"> </w:t>
      </w:r>
      <w:r w:rsidR="005D5980">
        <w:t xml:space="preserve">that maximizes the payoff for any of the three match outcomes, subject to a set of constraints. Hence, the optimization identifies the distribution of stakes </w:t>
      </w:r>
      <m:oMath>
        <m:r>
          <w:rPr>
            <w:rFonts w:ascii="Cambria Math" w:hAnsi="Cambria Math"/>
          </w:rPr>
          <m:t>S</m:t>
        </m:r>
      </m:oMath>
      <w:r w:rsidR="005D5980">
        <w:rPr>
          <w:i/>
        </w:rPr>
        <w:t xml:space="preserve"> </w:t>
      </w:r>
      <w:r w:rsidR="005D5980">
        <w:t>that maximizes the payoff for any of the three match outcomes. The optimization routine can be written as</w:t>
      </w:r>
    </w:p>
    <w:tbl>
      <w:tblPr>
        <w:tblStyle w:val="TableGrid0"/>
        <w:tblW w:w="5336" w:type="pct"/>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6"/>
        <w:gridCol w:w="6997"/>
        <w:gridCol w:w="1497"/>
      </w:tblGrid>
      <w:tr w:rsidR="0048211B" w14:paraId="6047B703" w14:textId="77777777" w:rsidTr="0048211B">
        <w:trPr>
          <w:trHeight w:val="718"/>
        </w:trPr>
        <w:tc>
          <w:tcPr>
            <w:tcW w:w="749" w:type="pct"/>
          </w:tcPr>
          <w:p w14:paraId="0DA7EBD4" w14:textId="77777777" w:rsidR="0048211B" w:rsidRDefault="0048211B" w:rsidP="001B1682">
            <w:pPr>
              <w:spacing w:after="3" w:line="265" w:lineRule="auto"/>
              <w:ind w:right="-14"/>
              <w:jc w:val="both"/>
            </w:pPr>
          </w:p>
        </w:tc>
        <w:tc>
          <w:tcPr>
            <w:tcW w:w="3502" w:type="pct"/>
            <w:vAlign w:val="center"/>
          </w:tcPr>
          <w:p w14:paraId="7E0ED098" w14:textId="0908F879" w:rsidR="0048211B" w:rsidRPr="0048211B" w:rsidRDefault="0048211B" w:rsidP="0048211B">
            <w:pPr>
              <w:spacing w:after="3" w:line="265" w:lineRule="auto"/>
              <w:ind w:right="-14"/>
              <w:jc w:val="both"/>
              <w:rPr>
                <w:vertAlign w:val="subscript"/>
              </w:rPr>
            </w:pPr>
            <w:r>
              <w:t xml:space="preserve">Find optimal strategy </w:t>
            </w:r>
            <m:oMath>
              <m:sSup>
                <m:sSupPr>
                  <m:ctrlPr>
                    <w:rPr>
                      <w:rFonts w:ascii="Cambria Math" w:hAnsi="Cambria Math"/>
                      <w:i/>
                    </w:rPr>
                  </m:ctrlPr>
                </m:sSupPr>
                <m:e>
                  <m:r>
                    <w:rPr>
                      <w:rFonts w:ascii="Cambria Math" w:hAnsi="Cambria Math"/>
                    </w:rPr>
                    <m:t>S</m:t>
                  </m:r>
                </m:e>
                <m:sup>
                  <m:r>
                    <w:rPr>
                      <w:rFonts w:ascii="Cambria Math" w:hAnsi="Cambria Math"/>
                      <w:vertAlign w:val="superscript"/>
                    </w:rPr>
                    <m:t>*</m:t>
                  </m:r>
                </m:sup>
              </m:sSup>
            </m:oMath>
            <w:r>
              <w:t xml:space="preserve"> by varying </w:t>
            </w:r>
            <m:oMath>
              <m:r>
                <w:rPr>
                  <w:rFonts w:ascii="Cambria Math" w:hAnsi="Cambria Math"/>
                </w:rPr>
                <m:t>S</m:t>
              </m:r>
            </m:oMath>
            <w:r>
              <w:t xml:space="preserve"> such that </w:t>
            </w:r>
            <m:oMath>
              <m:sSub>
                <m:sSubPr>
                  <m:ctrlPr>
                    <w:rPr>
                      <w:rFonts w:ascii="Cambria Math" w:hAnsi="Cambria Math"/>
                      <w:i/>
                    </w:rPr>
                  </m:ctrlPr>
                </m:sSubPr>
                <m:e>
                  <m:r>
                    <w:rPr>
                      <w:rFonts w:ascii="Cambria Math" w:hAnsi="Cambria Math"/>
                    </w:rPr>
                    <m:t>Z</m:t>
                  </m:r>
                </m:e>
                <m:sub>
                  <m:r>
                    <w:rPr>
                      <w:rFonts w:ascii="Cambria Math" w:hAnsi="Cambria Math"/>
                    </w:rPr>
                    <m:t>homewin</m:t>
                  </m:r>
                </m:sub>
              </m:sSub>
            </m:oMath>
            <w:r>
              <w:t xml:space="preserve"> is maximized</w:t>
            </w:r>
          </w:p>
        </w:tc>
        <w:tc>
          <w:tcPr>
            <w:tcW w:w="750" w:type="pct"/>
            <w:vAlign w:val="center"/>
          </w:tcPr>
          <w:p w14:paraId="19655A59" w14:textId="77DC4917" w:rsidR="0048211B" w:rsidRDefault="0048211B" w:rsidP="0048211B">
            <w:pPr>
              <w:spacing w:after="3" w:line="265" w:lineRule="auto"/>
              <w:ind w:right="-14"/>
              <w:jc w:val="center"/>
            </w:pPr>
            <w:r>
              <w:t>(4)</w:t>
            </w:r>
          </w:p>
        </w:tc>
      </w:tr>
      <w:tr w:rsidR="0048211B" w14:paraId="389F1414" w14:textId="77777777" w:rsidTr="0048211B">
        <w:trPr>
          <w:trHeight w:val="718"/>
        </w:trPr>
        <w:tc>
          <w:tcPr>
            <w:tcW w:w="749" w:type="pct"/>
          </w:tcPr>
          <w:p w14:paraId="3A44CE26" w14:textId="77777777" w:rsidR="0048211B" w:rsidRDefault="0048211B" w:rsidP="001B1682">
            <w:pPr>
              <w:spacing w:after="3" w:line="265" w:lineRule="auto"/>
              <w:ind w:right="-14"/>
              <w:jc w:val="both"/>
            </w:pPr>
          </w:p>
        </w:tc>
        <w:tc>
          <w:tcPr>
            <w:tcW w:w="3502" w:type="pct"/>
            <w:vAlign w:val="center"/>
          </w:tcPr>
          <w:p w14:paraId="7CA55C65" w14:textId="0E068305" w:rsidR="0048211B" w:rsidRDefault="0048211B" w:rsidP="0048211B">
            <w:pPr>
              <w:spacing w:after="3" w:line="265" w:lineRule="auto"/>
              <w:ind w:right="-14"/>
            </w:pPr>
            <w:r>
              <w:t>Subject to constraints</w:t>
            </w:r>
          </w:p>
        </w:tc>
        <w:tc>
          <w:tcPr>
            <w:tcW w:w="750" w:type="pct"/>
            <w:vAlign w:val="center"/>
          </w:tcPr>
          <w:p w14:paraId="6ED691AA" w14:textId="58ECEB0B" w:rsidR="0048211B" w:rsidRDefault="0048211B" w:rsidP="001B1682">
            <w:pPr>
              <w:spacing w:after="3" w:line="265" w:lineRule="auto"/>
              <w:ind w:right="-14"/>
              <w:jc w:val="center"/>
            </w:pPr>
          </w:p>
        </w:tc>
      </w:tr>
      <w:tr w:rsidR="0048211B" w14:paraId="49A866C0" w14:textId="77777777" w:rsidTr="0048211B">
        <w:trPr>
          <w:trHeight w:val="718"/>
        </w:trPr>
        <w:tc>
          <w:tcPr>
            <w:tcW w:w="749" w:type="pct"/>
          </w:tcPr>
          <w:p w14:paraId="49D21DB4" w14:textId="77777777" w:rsidR="0048211B" w:rsidRDefault="0048211B" w:rsidP="001B1682">
            <w:pPr>
              <w:spacing w:after="3" w:line="265" w:lineRule="auto"/>
              <w:ind w:right="-14"/>
              <w:jc w:val="both"/>
            </w:pPr>
          </w:p>
        </w:tc>
        <w:tc>
          <w:tcPr>
            <w:tcW w:w="3502" w:type="pct"/>
            <w:vAlign w:val="center"/>
          </w:tcPr>
          <w:p w14:paraId="1CCA6573" w14:textId="3D78A5A1" w:rsidR="0048211B" w:rsidRDefault="0021564F" w:rsidP="001B1682">
            <w:pPr>
              <w:spacing w:after="3" w:line="265" w:lineRule="auto"/>
              <w:ind w:right="-14"/>
              <w:jc w:val="center"/>
            </w:pPr>
            <m:oMathPara>
              <m:oMath>
                <m:sSub>
                  <m:sSubPr>
                    <m:ctrlPr>
                      <w:rPr>
                        <w:rFonts w:ascii="Cambria Math" w:hAnsi="Cambria Math"/>
                        <w:i/>
                      </w:rPr>
                    </m:ctrlPr>
                  </m:sSubPr>
                  <m:e>
                    <m:r>
                      <w:rPr>
                        <w:rFonts w:ascii="Cambria Math" w:hAnsi="Cambria Math"/>
                      </w:rPr>
                      <m:t>Z</m:t>
                    </m:r>
                  </m:e>
                  <m:sub>
                    <m:r>
                      <w:rPr>
                        <w:rFonts w:ascii="Cambria Math" w:hAnsi="Cambria Math"/>
                      </w:rPr>
                      <m:t>homewin</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draw</m:t>
                    </m:r>
                  </m:sub>
                </m:sSub>
              </m:oMath>
            </m:oMathPara>
          </w:p>
        </w:tc>
        <w:tc>
          <w:tcPr>
            <w:tcW w:w="750" w:type="pct"/>
            <w:vAlign w:val="center"/>
          </w:tcPr>
          <w:p w14:paraId="1BA2A533" w14:textId="7DF54EDA" w:rsidR="0048211B" w:rsidRDefault="0048211B" w:rsidP="001B1682">
            <w:pPr>
              <w:spacing w:after="3" w:line="265" w:lineRule="auto"/>
              <w:ind w:right="-14"/>
              <w:jc w:val="center"/>
            </w:pPr>
            <w:r>
              <w:t>(</w:t>
            </w:r>
            <w:r w:rsidR="001B1682">
              <w:t>5)</w:t>
            </w:r>
          </w:p>
        </w:tc>
      </w:tr>
      <w:tr w:rsidR="001B1682" w14:paraId="716B851D" w14:textId="77777777" w:rsidTr="0048211B">
        <w:trPr>
          <w:trHeight w:val="718"/>
        </w:trPr>
        <w:tc>
          <w:tcPr>
            <w:tcW w:w="749" w:type="pct"/>
          </w:tcPr>
          <w:p w14:paraId="601A9046" w14:textId="77777777" w:rsidR="001B1682" w:rsidRDefault="001B1682" w:rsidP="001B1682">
            <w:pPr>
              <w:spacing w:after="3" w:line="265" w:lineRule="auto"/>
              <w:ind w:right="-14"/>
              <w:jc w:val="both"/>
            </w:pPr>
          </w:p>
        </w:tc>
        <w:tc>
          <w:tcPr>
            <w:tcW w:w="3502" w:type="pct"/>
            <w:vAlign w:val="center"/>
          </w:tcPr>
          <w:p w14:paraId="761DB4FA" w14:textId="72544E40" w:rsidR="001B1682" w:rsidRDefault="0021564F" w:rsidP="001B1682">
            <w:pPr>
              <w:spacing w:after="3" w:line="265" w:lineRule="auto"/>
              <w:ind w:right="-14"/>
              <w:jc w:val="center"/>
            </w:pPr>
            <m:oMathPara>
              <m:oMath>
                <m:sSub>
                  <m:sSubPr>
                    <m:ctrlPr>
                      <w:rPr>
                        <w:rFonts w:ascii="Cambria Math" w:hAnsi="Cambria Math"/>
                        <w:i/>
                      </w:rPr>
                    </m:ctrlPr>
                  </m:sSubPr>
                  <m:e>
                    <m:r>
                      <w:rPr>
                        <w:rFonts w:ascii="Cambria Math" w:hAnsi="Cambria Math"/>
                      </w:rPr>
                      <m:t>Z</m:t>
                    </m:r>
                  </m:e>
                  <m:sub>
                    <m:r>
                      <w:rPr>
                        <w:rFonts w:ascii="Cambria Math" w:hAnsi="Cambria Math"/>
                      </w:rPr>
                      <m:t>homewin</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awaywin</m:t>
                    </m:r>
                  </m:sub>
                </m:sSub>
              </m:oMath>
            </m:oMathPara>
          </w:p>
        </w:tc>
        <w:tc>
          <w:tcPr>
            <w:tcW w:w="750" w:type="pct"/>
            <w:vAlign w:val="center"/>
          </w:tcPr>
          <w:p w14:paraId="6CB4DC12" w14:textId="274AD45A" w:rsidR="001B1682" w:rsidRDefault="001B1682" w:rsidP="001B1682">
            <w:pPr>
              <w:spacing w:after="3" w:line="265" w:lineRule="auto"/>
              <w:ind w:right="-14"/>
              <w:jc w:val="center"/>
            </w:pPr>
            <w:r>
              <w:t>(6)</w:t>
            </w:r>
          </w:p>
        </w:tc>
      </w:tr>
      <w:tr w:rsidR="001B1682" w14:paraId="30AA8D13" w14:textId="77777777" w:rsidTr="0048211B">
        <w:trPr>
          <w:trHeight w:val="718"/>
        </w:trPr>
        <w:tc>
          <w:tcPr>
            <w:tcW w:w="749" w:type="pct"/>
          </w:tcPr>
          <w:p w14:paraId="7615C187" w14:textId="77777777" w:rsidR="001B1682" w:rsidRDefault="001B1682" w:rsidP="001B1682">
            <w:pPr>
              <w:spacing w:after="3" w:line="265" w:lineRule="auto"/>
              <w:ind w:right="-14"/>
              <w:jc w:val="both"/>
            </w:pPr>
          </w:p>
        </w:tc>
        <w:tc>
          <w:tcPr>
            <w:tcW w:w="3502" w:type="pct"/>
            <w:vAlign w:val="center"/>
          </w:tcPr>
          <w:p w14:paraId="3BAE3FAB" w14:textId="589F09C3" w:rsidR="001B1682" w:rsidRDefault="0021564F" w:rsidP="001B1682">
            <w:pPr>
              <w:spacing w:after="3" w:line="265" w:lineRule="auto"/>
              <w:ind w:right="-14"/>
              <w:jc w:val="center"/>
            </w:pPr>
            <m:oMathPara>
              <m:oMath>
                <m:sSub>
                  <m:sSubPr>
                    <m:ctrlPr>
                      <w:rPr>
                        <w:rFonts w:ascii="Cambria Math" w:hAnsi="Cambria Math"/>
                        <w:i/>
                      </w:rPr>
                    </m:ctrlPr>
                  </m:sSubPr>
                  <m:e>
                    <m:r>
                      <w:rPr>
                        <w:rFonts w:ascii="Cambria Math" w:hAnsi="Cambria Math"/>
                      </w:rPr>
                      <m:t>Z</m:t>
                    </m:r>
                  </m:e>
                  <m:sub>
                    <m:r>
                      <w:rPr>
                        <w:rFonts w:ascii="Cambria Math" w:hAnsi="Cambria Math"/>
                      </w:rPr>
                      <m:t>homewin</m:t>
                    </m:r>
                  </m:sub>
                </m:sSub>
                <m:r>
                  <w:rPr>
                    <w:rFonts w:ascii="Cambria Math" w:hAnsi="Cambria Math"/>
                  </w:rPr>
                  <m:t>&gt;0</m:t>
                </m:r>
              </m:oMath>
            </m:oMathPara>
          </w:p>
        </w:tc>
        <w:tc>
          <w:tcPr>
            <w:tcW w:w="750" w:type="pct"/>
            <w:vAlign w:val="center"/>
          </w:tcPr>
          <w:p w14:paraId="26CD650E" w14:textId="684651AF" w:rsidR="001B1682" w:rsidRDefault="001B1682" w:rsidP="001B1682">
            <w:pPr>
              <w:spacing w:after="3" w:line="265" w:lineRule="auto"/>
              <w:ind w:right="-14"/>
              <w:jc w:val="center"/>
            </w:pPr>
            <w:r>
              <w:t>(7)</w:t>
            </w:r>
          </w:p>
        </w:tc>
      </w:tr>
      <w:tr w:rsidR="001B1682" w14:paraId="66CB2E67" w14:textId="77777777" w:rsidTr="0048211B">
        <w:trPr>
          <w:trHeight w:val="718"/>
        </w:trPr>
        <w:tc>
          <w:tcPr>
            <w:tcW w:w="749" w:type="pct"/>
          </w:tcPr>
          <w:p w14:paraId="1988782E" w14:textId="77777777" w:rsidR="001B1682" w:rsidRDefault="001B1682" w:rsidP="001B1682">
            <w:pPr>
              <w:spacing w:after="3" w:line="265" w:lineRule="auto"/>
              <w:ind w:right="-14"/>
              <w:jc w:val="both"/>
            </w:pPr>
          </w:p>
        </w:tc>
        <w:tc>
          <w:tcPr>
            <w:tcW w:w="3502" w:type="pct"/>
            <w:vAlign w:val="center"/>
          </w:tcPr>
          <w:p w14:paraId="23774A57" w14:textId="26F4AF82" w:rsidR="001B1682" w:rsidRDefault="0021564F" w:rsidP="001B1682">
            <w:pPr>
              <w:spacing w:after="3" w:line="265" w:lineRule="auto"/>
              <w:ind w:right="-14"/>
              <w:jc w:val="center"/>
            </w:pPr>
            <m:oMathPara>
              <m:oMath>
                <m:nary>
                  <m:naryPr>
                    <m:chr m:val="∑"/>
                    <m:limLoc m:val="undOvr"/>
                    <m:ctrlPr>
                      <w:rPr>
                        <w:rFonts w:ascii="Cambria Math" w:hAnsi="Cambria Math"/>
                        <w:i/>
                      </w:rPr>
                    </m:ctrlPr>
                  </m:naryPr>
                  <m:sub>
                    <m:r>
                      <w:rPr>
                        <w:rFonts w:ascii="Cambria Math" w:hAnsi="Cambria Math"/>
                      </w:rPr>
                      <m:t>j=1</m:t>
                    </m:r>
                  </m:sub>
                  <m:sup>
                    <m:r>
                      <w:rPr>
                        <w:rFonts w:ascii="Cambria Math" w:hAnsi="Cambria Math"/>
                      </w:rPr>
                      <m:t>13</m:t>
                    </m:r>
                  </m:sup>
                  <m:e>
                    <m:sSub>
                      <m:sSubPr>
                        <m:ctrlPr>
                          <w:rPr>
                            <w:rFonts w:ascii="Cambria Math" w:hAnsi="Cambria Math"/>
                            <w:i/>
                          </w:rPr>
                        </m:ctrlPr>
                      </m:sSubPr>
                      <m:e>
                        <m:r>
                          <w:rPr>
                            <w:rFonts w:ascii="Cambria Math" w:hAnsi="Cambria Math"/>
                          </w:rPr>
                          <m:t>S</m:t>
                        </m:r>
                      </m:e>
                      <m:sub>
                        <m:r>
                          <w:rPr>
                            <w:rFonts w:ascii="Cambria Math" w:hAnsi="Cambria Math"/>
                          </w:rPr>
                          <m:t>j</m:t>
                        </m:r>
                      </m:sub>
                    </m:sSub>
                  </m:e>
                </m:nary>
                <m:r>
                  <w:rPr>
                    <w:rFonts w:ascii="Cambria Math" w:hAnsi="Cambria Math"/>
                  </w:rPr>
                  <m:t>=1</m:t>
                </m:r>
              </m:oMath>
            </m:oMathPara>
          </w:p>
        </w:tc>
        <w:tc>
          <w:tcPr>
            <w:tcW w:w="750" w:type="pct"/>
            <w:vAlign w:val="center"/>
          </w:tcPr>
          <w:p w14:paraId="326BA5FA" w14:textId="13FDDA0F" w:rsidR="001B1682" w:rsidRDefault="001B1682" w:rsidP="001B1682">
            <w:pPr>
              <w:spacing w:after="3" w:line="265" w:lineRule="auto"/>
              <w:ind w:right="-14"/>
              <w:jc w:val="center"/>
            </w:pPr>
            <w:r>
              <w:t>(8)</w:t>
            </w:r>
          </w:p>
        </w:tc>
      </w:tr>
      <w:tr w:rsidR="001B1682" w14:paraId="456E2554" w14:textId="77777777" w:rsidTr="0048211B">
        <w:trPr>
          <w:trHeight w:val="718"/>
        </w:trPr>
        <w:tc>
          <w:tcPr>
            <w:tcW w:w="749" w:type="pct"/>
          </w:tcPr>
          <w:p w14:paraId="66204993" w14:textId="77777777" w:rsidR="001B1682" w:rsidRDefault="001B1682" w:rsidP="001B1682">
            <w:pPr>
              <w:spacing w:after="3" w:line="265" w:lineRule="auto"/>
              <w:ind w:right="-14"/>
              <w:jc w:val="both"/>
            </w:pPr>
          </w:p>
        </w:tc>
        <w:tc>
          <w:tcPr>
            <w:tcW w:w="3502" w:type="pct"/>
            <w:vAlign w:val="center"/>
          </w:tcPr>
          <w:p w14:paraId="7FB3693C" w14:textId="191CE4DB" w:rsidR="001B1682" w:rsidRPr="001D6B93" w:rsidRDefault="0021564F" w:rsidP="001B1682">
            <w:pPr>
              <w:spacing w:after="3" w:line="265" w:lineRule="auto"/>
              <w:ind w:right="-14"/>
              <w:jc w:val="center"/>
            </w:pPr>
            <m:oMathPara>
              <m:oMath>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≥0   ∀j</m:t>
                </m:r>
              </m:oMath>
            </m:oMathPara>
          </w:p>
        </w:tc>
        <w:tc>
          <w:tcPr>
            <w:tcW w:w="750" w:type="pct"/>
            <w:vAlign w:val="center"/>
          </w:tcPr>
          <w:p w14:paraId="20D92506" w14:textId="2E715224" w:rsidR="001B1682" w:rsidRDefault="001B1682" w:rsidP="001B1682">
            <w:pPr>
              <w:spacing w:after="3" w:line="265" w:lineRule="auto"/>
              <w:ind w:right="-14"/>
              <w:jc w:val="center"/>
            </w:pPr>
            <w:r>
              <w:t>(9)</w:t>
            </w:r>
          </w:p>
        </w:tc>
      </w:tr>
    </w:tbl>
    <w:p w14:paraId="71BC313E" w14:textId="77777777" w:rsidR="001B1682" w:rsidRDefault="001B1682">
      <w:pPr>
        <w:ind w:left="-15"/>
      </w:pPr>
    </w:p>
    <w:p w14:paraId="431B9818" w14:textId="45855390" w:rsidR="0073742C" w:rsidRDefault="005D5980" w:rsidP="001B1682">
      <w:pPr>
        <w:spacing w:line="360" w:lineRule="auto"/>
        <w:ind w:left="-15"/>
        <w:jc w:val="both"/>
      </w:pPr>
      <w:r>
        <w:t xml:space="preserve">Due to the linear nature of the problem, the simplex algorithm can be used to maximize the objective function (Dantzig, 1951). Constraints (5) and (6) ensure that the selected combination of stakes leads to the same return independently of the outcome. Constraint (7) implies that for the solution to be acceptable, the net return should be positive. Constraint (8) requires that the sum of stakes should equal 1, so that each </w:t>
      </w:r>
      <m:oMath>
        <m:sSub>
          <m:sSubPr>
            <m:ctrlPr>
              <w:rPr>
                <w:rFonts w:ascii="Cambria Math" w:hAnsi="Cambria Math"/>
                <w:i/>
              </w:rPr>
            </m:ctrlPr>
          </m:sSubPr>
          <m:e>
            <m:r>
              <w:rPr>
                <w:rFonts w:ascii="Cambria Math" w:hAnsi="Cambria Math"/>
              </w:rPr>
              <m:t>S</m:t>
            </m:r>
          </m:e>
          <m:sub>
            <m:r>
              <w:rPr>
                <w:rFonts w:ascii="Cambria Math" w:hAnsi="Cambria Math"/>
                <w:vertAlign w:val="subscript"/>
              </w:rPr>
              <m:t>j</m:t>
            </m:r>
          </m:sub>
        </m:sSub>
      </m:oMath>
      <w:r>
        <w:rPr>
          <w:i/>
          <w:vertAlign w:val="subscript"/>
        </w:rPr>
        <w:t xml:space="preserve"> </w:t>
      </w:r>
      <w:r>
        <w:t>will represent the fraction of the available capital that should be staked on each bet type. Finally, constraint (9) requires that all stakes are positive.</w:t>
      </w:r>
    </w:p>
    <w:p w14:paraId="14A69907" w14:textId="77777777" w:rsidR="0073742C" w:rsidRDefault="005D5980" w:rsidP="001B1682">
      <w:pPr>
        <w:spacing w:line="360" w:lineRule="auto"/>
        <w:ind w:left="-15"/>
        <w:jc w:val="both"/>
      </w:pPr>
      <w:r>
        <w:t>The optimization will fail to find a feasible solution in the event that arbitrage is not possible for the given set of bet types on a given game. If there is more than one feasible solution per game, we would select the bet with the highest return per outcome. In order to test H1 we run this maximization for each match in the sample.</w:t>
      </w:r>
    </w:p>
    <w:p w14:paraId="56495FE2" w14:textId="715CB78D" w:rsidR="0073742C" w:rsidRDefault="005D5980" w:rsidP="005D5980">
      <w:pPr>
        <w:spacing w:after="163"/>
        <w:ind w:left="-5" w:hanging="10"/>
      </w:pPr>
      <w:r>
        <w:rPr>
          <w:b/>
        </w:rPr>
        <w:t xml:space="preserve">4.2.2. Identifying </w:t>
      </w:r>
      <w:r w:rsidR="0075780B">
        <w:rPr>
          <w:b/>
        </w:rPr>
        <w:t>Favourite</w:t>
      </w:r>
      <w:r>
        <w:rPr>
          <w:b/>
        </w:rPr>
        <w:t>s and Longshots by Bookmaker in the Arbitrage Por</w:t>
      </w:r>
      <w:r w:rsidRPr="00052370">
        <w:rPr>
          <w:b/>
        </w:rPr>
        <w:t>t</w:t>
      </w:r>
      <w:r w:rsidR="009C7AD6" w:rsidRPr="005265B9">
        <w:rPr>
          <w:b/>
        </w:rPr>
        <w:t>folio</w:t>
      </w:r>
    </w:p>
    <w:p w14:paraId="57F03FBC" w14:textId="35B12EE3" w:rsidR="0073742C" w:rsidRDefault="005D5980" w:rsidP="001B1682">
      <w:pPr>
        <w:spacing w:line="360" w:lineRule="auto"/>
        <w:ind w:left="-15"/>
        <w:jc w:val="both"/>
      </w:pPr>
      <w:r>
        <w:t>We now explore the methodology employed to test H2, that is, whether arbitrage opportunities are more likely</w:t>
      </w:r>
      <w:r w:rsidR="00DB2663">
        <w:t xml:space="preserve"> to occur </w:t>
      </w:r>
      <w:r w:rsidR="00DB2663" w:rsidRPr="00097736">
        <w:rPr>
          <w:i/>
        </w:rPr>
        <w:t>between</w:t>
      </w:r>
      <w:r w:rsidR="00DB2663">
        <w:t xml:space="preserve"> PTBs and BBBs (</w:t>
      </w:r>
      <w:r>
        <w:t xml:space="preserve">rather than </w:t>
      </w:r>
      <w:r w:rsidR="00097736">
        <w:t>between</w:t>
      </w:r>
      <w:r>
        <w:t xml:space="preserve"> PTBs</w:t>
      </w:r>
      <w:r w:rsidR="00DB2663">
        <w:t>,</w:t>
      </w:r>
      <w:r>
        <w:t xml:space="preserve"> or </w:t>
      </w:r>
      <w:r w:rsidR="00097736">
        <w:t xml:space="preserve">between </w:t>
      </w:r>
      <w:r>
        <w:t>BBBs</w:t>
      </w:r>
      <w:r w:rsidR="00DB2663">
        <w:t>)</w:t>
      </w:r>
      <w:r>
        <w:t xml:space="preserve"> and whether the arbitrage portfolio is more likely to involve bets on the </w:t>
      </w:r>
      <w:r w:rsidR="0075780B">
        <w:t>favourite</w:t>
      </w:r>
      <w:r>
        <w:t xml:space="preserve"> against the PTB.</w:t>
      </w:r>
    </w:p>
    <w:p w14:paraId="36C9F8F2" w14:textId="5B49B3CF" w:rsidR="0073742C" w:rsidRDefault="005D5980" w:rsidP="001B1682">
      <w:pPr>
        <w:spacing w:line="360" w:lineRule="auto"/>
        <w:ind w:left="-15"/>
        <w:jc w:val="both"/>
      </w:pPr>
      <w:r>
        <w:t xml:space="preserve">Matches </w:t>
      </w:r>
      <w:r w:rsidR="00097736">
        <w:t>where</w:t>
      </w:r>
      <w:r>
        <w:t xml:space="preserve"> an arbitrage opportunity was identified were isolated. We then compared the frequency of instances in which the PTB offers the highest odds for the ‘</w:t>
      </w:r>
      <w:r w:rsidR="0075780B">
        <w:t>favourite</w:t>
      </w:r>
      <w:r>
        <w:t xml:space="preserve">’. We then define indicator variables </w:t>
      </w:r>
      <m:oMath>
        <m:sSub>
          <m:sSubPr>
            <m:ctrlPr>
              <w:rPr>
                <w:rFonts w:ascii="Cambria Math" w:hAnsi="Cambria Math"/>
                <w:i/>
              </w:rPr>
            </m:ctrlPr>
          </m:sSubPr>
          <m:e>
            <m:r>
              <w:rPr>
                <w:rFonts w:ascii="Cambria Math" w:hAnsi="Cambria Math"/>
              </w:rPr>
              <m:t>D</m:t>
            </m:r>
          </m:e>
          <m:sub>
            <m:r>
              <w:rPr>
                <w:rFonts w:ascii="Cambria Math" w:hAnsi="Cambria Math"/>
                <w:vertAlign w:val="subscript"/>
              </w:rPr>
              <m:t>f</m:t>
            </m:r>
          </m:sub>
        </m:sSub>
      </m:oMath>
      <w:r>
        <w:rPr>
          <w:i/>
          <w:vertAlign w:val="subscript"/>
        </w:rPr>
        <w:t xml:space="preserve"> </w:t>
      </w:r>
      <w:r>
        <w:t xml:space="preserve">and </w:t>
      </w:r>
      <m:oMath>
        <m:sSub>
          <m:sSubPr>
            <m:ctrlPr>
              <w:rPr>
                <w:rFonts w:ascii="Cambria Math" w:hAnsi="Cambria Math"/>
                <w:i/>
              </w:rPr>
            </m:ctrlPr>
          </m:sSubPr>
          <m:e>
            <m:r>
              <w:rPr>
                <w:rFonts w:ascii="Cambria Math" w:hAnsi="Cambria Math"/>
              </w:rPr>
              <m:t>D</m:t>
            </m:r>
          </m:e>
          <m:sub>
            <m:r>
              <w:rPr>
                <w:rFonts w:ascii="Cambria Math" w:hAnsi="Cambria Math"/>
                <w:vertAlign w:val="subscript"/>
              </w:rPr>
              <m:t>l</m:t>
            </m:r>
          </m:sub>
        </m:sSub>
      </m:oMath>
      <w:r>
        <w:rPr>
          <w:i/>
          <w:vertAlign w:val="subscript"/>
        </w:rPr>
        <w:t xml:space="preserve"> </w:t>
      </w:r>
      <w:r>
        <w:t xml:space="preserve">for each match </w:t>
      </w:r>
      <m:oMath>
        <m:r>
          <w:rPr>
            <w:rFonts w:ascii="Cambria Math" w:hAnsi="Cambria Math"/>
          </w:rPr>
          <m:t>i</m:t>
        </m:r>
      </m:oMath>
      <w:r>
        <w:rPr>
          <w:i/>
        </w:rPr>
        <w:t xml:space="preserve"> </w:t>
      </w:r>
      <w:r>
        <w:t xml:space="preserve">as </w:t>
      </w:r>
      <m:oMath>
        <m:sSub>
          <m:sSubPr>
            <m:ctrlPr>
              <w:rPr>
                <w:rFonts w:ascii="Cambria Math" w:hAnsi="Cambria Math"/>
                <w:i/>
              </w:rPr>
            </m:ctrlPr>
          </m:sSubPr>
          <m:e>
            <m:r>
              <w:rPr>
                <w:rFonts w:ascii="Cambria Math" w:hAnsi="Cambria Math"/>
              </w:rPr>
              <m:t>D</m:t>
            </m:r>
          </m:e>
          <m:sub>
            <m:r>
              <w:rPr>
                <w:rFonts w:ascii="Cambria Math" w:hAnsi="Cambria Math"/>
                <w:vertAlign w:val="subscript"/>
              </w:rPr>
              <m:t>fi</m:t>
            </m:r>
          </m:sub>
        </m:sSub>
        <m:r>
          <w:rPr>
            <w:rFonts w:ascii="Cambria Math" w:hAnsi="Cambria Math"/>
            <w:vertAlign w:val="subscript"/>
          </w:rPr>
          <m:t xml:space="preserve"> </m:t>
        </m:r>
        <m:r>
          <w:rPr>
            <w:rFonts w:ascii="Cambria Math" w:hAnsi="Cambria Math"/>
          </w:rPr>
          <m:t>= 1</m:t>
        </m:r>
      </m:oMath>
      <w:r>
        <w:t xml:space="preserve"> if the PTB offers the highest odds for the </w:t>
      </w:r>
      <w:r w:rsidR="0075780B">
        <w:t>favourite</w:t>
      </w:r>
      <w:r>
        <w:t xml:space="preserve"> on match </w:t>
      </w:r>
      <m:oMath>
        <m:r>
          <w:rPr>
            <w:rFonts w:ascii="Cambria Math" w:hAnsi="Cambria Math"/>
          </w:rPr>
          <m:t>i</m:t>
        </m:r>
      </m:oMath>
      <w:r>
        <w:t xml:space="preserve">, and 0 otherwise, and </w:t>
      </w:r>
      <m:oMath>
        <m:sSub>
          <m:sSubPr>
            <m:ctrlPr>
              <w:rPr>
                <w:rFonts w:ascii="Cambria Math" w:hAnsi="Cambria Math"/>
                <w:i/>
              </w:rPr>
            </m:ctrlPr>
          </m:sSubPr>
          <m:e>
            <m:r>
              <w:rPr>
                <w:rFonts w:ascii="Cambria Math" w:hAnsi="Cambria Math"/>
              </w:rPr>
              <m:t>D</m:t>
            </m:r>
          </m:e>
          <m:sub>
            <m:r>
              <w:rPr>
                <w:rFonts w:ascii="Cambria Math" w:hAnsi="Cambria Math"/>
                <w:vertAlign w:val="subscript"/>
              </w:rPr>
              <m:t>li</m:t>
            </m:r>
          </m:sub>
        </m:sSub>
        <m:r>
          <w:rPr>
            <w:rFonts w:ascii="Cambria Math" w:hAnsi="Cambria Math"/>
            <w:vertAlign w:val="subscript"/>
          </w:rPr>
          <m:t xml:space="preserve"> </m:t>
        </m:r>
        <m:r>
          <w:rPr>
            <w:rFonts w:ascii="Cambria Math" w:hAnsi="Cambria Math"/>
          </w:rPr>
          <m:t>= 1</m:t>
        </m:r>
      </m:oMath>
      <w:r>
        <w:t xml:space="preserve"> if the PTB offers the highest odds on the longshot for match </w:t>
      </w:r>
      <m:oMath>
        <m:r>
          <w:rPr>
            <w:rFonts w:ascii="Cambria Math" w:hAnsi="Cambria Math"/>
          </w:rPr>
          <m:t>i</m:t>
        </m:r>
      </m:oMath>
      <w:r>
        <w:t xml:space="preserve">, and 0 otherwise. Over the sample of </w:t>
      </w:r>
      <m:oMath>
        <m:r>
          <w:rPr>
            <w:rFonts w:ascii="Cambria Math" w:hAnsi="Cambria Math"/>
          </w:rPr>
          <m:t>n</m:t>
        </m:r>
      </m:oMath>
      <w:r>
        <w:rPr>
          <w:i/>
        </w:rPr>
        <w:t xml:space="preserve"> </w:t>
      </w:r>
      <w:r>
        <w:t xml:space="preserve">games in which an arbitrage opportunity arises, we calculate the proportion of cases where the best offer for the </w:t>
      </w:r>
      <w:r w:rsidR="0075780B">
        <w:t>favourite</w:t>
      </w:r>
      <w:r>
        <w:t xml:space="preserve"> was provided by PTB.</w:t>
      </w:r>
    </w:p>
    <w:p w14:paraId="7D603A18" w14:textId="63F128A5" w:rsidR="0073742C" w:rsidRDefault="00DB2663" w:rsidP="001B1682">
      <w:pPr>
        <w:spacing w:after="352" w:line="360" w:lineRule="auto"/>
        <w:ind w:left="-15"/>
        <w:jc w:val="both"/>
      </w:pPr>
      <w:r>
        <w:t>For</w:t>
      </w:r>
      <w:r w:rsidR="005D5980">
        <w:t xml:space="preserve"> H2 to be accepted, this proportion </w:t>
      </w:r>
      <w:r>
        <w:t>should be</w:t>
      </w:r>
      <w:r w:rsidR="005D5980">
        <w:t xml:space="preserve"> significantly higher than </w:t>
      </w:r>
      <m:oMath>
        <m:r>
          <w:rPr>
            <w:rFonts w:ascii="Cambria Math" w:hAnsi="Cambria Math"/>
          </w:rPr>
          <m:t>1/2</m:t>
        </m:r>
      </m:oMath>
      <w:r w:rsidR="005D5980">
        <w:t>.</w:t>
      </w:r>
    </w:p>
    <w:p w14:paraId="6FA1B748" w14:textId="77777777" w:rsidR="0073742C" w:rsidRDefault="005D5980">
      <w:pPr>
        <w:pStyle w:val="Heading3"/>
        <w:ind w:left="-5"/>
      </w:pPr>
      <w:r>
        <w:t>4.2.3. The Source of Returns by Bookmaker in the Arbitrage Portfolios</w:t>
      </w:r>
    </w:p>
    <w:p w14:paraId="2A013C12" w14:textId="249D8B72" w:rsidR="0073742C" w:rsidRDefault="005D5980" w:rsidP="001B1682">
      <w:pPr>
        <w:spacing w:line="360" w:lineRule="auto"/>
        <w:ind w:left="-15"/>
        <w:jc w:val="both"/>
      </w:pPr>
      <w:r>
        <w:t xml:space="preserve">Testing H3a involves exploring whether the bet responsible for the positive returns to the arbitrage portfolio will be placed with the PTB on the </w:t>
      </w:r>
      <w:r w:rsidR="0075780B">
        <w:t>favourite</w:t>
      </w:r>
      <w:r>
        <w:t xml:space="preserve">, with the longshot being bet with negative or zero expectation at the BBB. We conduct a betting simulation, where a unit stake ($1) is placed on each bet that is selected from the linear program across the total sample of matches. For each type of bookmaker, we calculate for each match </w:t>
      </w:r>
      <m:oMath>
        <m:r>
          <w:rPr>
            <w:rFonts w:ascii="Cambria Math" w:hAnsi="Cambria Math"/>
          </w:rPr>
          <m:t>i</m:t>
        </m:r>
      </m:oMath>
      <w:r>
        <w:rPr>
          <w:i/>
        </w:rPr>
        <w:t xml:space="preserve"> </w:t>
      </w:r>
      <w:r>
        <w:t xml:space="preserve">and potential stake at offer </w:t>
      </w:r>
      <m:oMath>
        <m:r>
          <w:rPr>
            <w:rFonts w:ascii="Cambria Math" w:hAnsi="Cambria Math"/>
          </w:rPr>
          <m:t>j</m:t>
        </m:r>
      </m:oMath>
      <w:r>
        <w:rPr>
          <w:i/>
        </w:rPr>
        <w:t xml:space="preserve"> </w:t>
      </w:r>
      <w:r>
        <w:t xml:space="preserve">the bettor’s profit </w:t>
      </w:r>
      <m:oMath>
        <m:sSub>
          <m:sSubPr>
            <m:ctrlPr>
              <w:rPr>
                <w:rFonts w:ascii="Cambria Math" w:hAnsi="Cambria Math"/>
                <w:i/>
              </w:rPr>
            </m:ctrlPr>
          </m:sSubPr>
          <m:e>
            <m:r>
              <w:rPr>
                <w:rFonts w:ascii="Cambria Math" w:hAnsi="Cambria Math"/>
              </w:rPr>
              <m:t>Z</m:t>
            </m:r>
          </m:e>
          <m:sub>
            <m:r>
              <w:rPr>
                <w:rFonts w:ascii="Cambria Math" w:hAnsi="Cambria Math"/>
                <w:vertAlign w:val="subscript"/>
              </w:rPr>
              <m:t>ij</m:t>
            </m:r>
          </m:sub>
        </m:sSub>
      </m:oMath>
      <w:r>
        <w:t>, as</w:t>
      </w:r>
    </w:p>
    <w:tbl>
      <w:tblPr>
        <w:tblStyle w:val="TableGrid0"/>
        <w:tblW w:w="5336" w:type="pct"/>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6"/>
        <w:gridCol w:w="6997"/>
        <w:gridCol w:w="1497"/>
      </w:tblGrid>
      <w:tr w:rsidR="001B1682" w14:paraId="6AB4DCE1" w14:textId="77777777" w:rsidTr="001B1682">
        <w:trPr>
          <w:trHeight w:val="718"/>
        </w:trPr>
        <w:tc>
          <w:tcPr>
            <w:tcW w:w="749" w:type="pct"/>
          </w:tcPr>
          <w:p w14:paraId="163F6CEC" w14:textId="77777777" w:rsidR="001B1682" w:rsidRDefault="001B1682" w:rsidP="001B1682">
            <w:pPr>
              <w:spacing w:after="3" w:line="265" w:lineRule="auto"/>
              <w:ind w:right="-14"/>
              <w:jc w:val="both"/>
            </w:pPr>
          </w:p>
        </w:tc>
        <w:tc>
          <w:tcPr>
            <w:tcW w:w="3502" w:type="pct"/>
          </w:tcPr>
          <w:p w14:paraId="1A424F89" w14:textId="7F4C524E" w:rsidR="001B1682" w:rsidRDefault="0021564F" w:rsidP="001B1682">
            <w:pPr>
              <w:spacing w:after="3" w:line="265" w:lineRule="auto"/>
              <w:ind w:right="-14"/>
              <w:jc w:val="both"/>
            </w:pPr>
            <m:oMathPara>
              <m:oMath>
                <m:sSub>
                  <m:sSubPr>
                    <m:ctrlPr>
                      <w:rPr>
                        <w:rFonts w:ascii="Cambria Math" w:hAnsi="Cambria Math"/>
                        <w:i/>
                      </w:rPr>
                    </m:ctrlPr>
                  </m:sSubPr>
                  <m:e>
                    <m:r>
                      <w:rPr>
                        <w:rFonts w:ascii="Cambria Math" w:hAnsi="Cambria Math"/>
                      </w:rPr>
                      <m:t>Z</m:t>
                    </m:r>
                  </m:e>
                  <m:sub>
                    <m:r>
                      <w:rPr>
                        <w:rFonts w:ascii="Cambria Math" w:hAnsi="Cambria Math"/>
                      </w:rPr>
                      <m:t>ij</m:t>
                    </m:r>
                  </m:sub>
                </m:sSub>
                <m:r>
                  <w:rPr>
                    <w:rFonts w:ascii="Cambria Math" w:hAnsi="Cambria Math"/>
                  </w:rPr>
                  <m:t>=</m:t>
                </m:r>
                <m:nary>
                  <m:naryPr>
                    <m:chr m:val="∑"/>
                    <m:limLoc m:val="undOvr"/>
                    <m:ctrlPr>
                      <w:rPr>
                        <w:rFonts w:ascii="Cambria Math" w:hAnsi="Cambria Math"/>
                        <w:i/>
                      </w:rPr>
                    </m:ctrlPr>
                  </m:naryPr>
                  <m:sub>
                    <m:r>
                      <w:rPr>
                        <w:rFonts w:ascii="Cambria Math" w:hAnsi="Cambria Math"/>
                      </w:rPr>
                      <m:t>j=1</m:t>
                    </m:r>
                  </m:sub>
                  <m:sup>
                    <m:r>
                      <w:rPr>
                        <w:rFonts w:ascii="Cambria Math" w:hAnsi="Cambria Math"/>
                      </w:rPr>
                      <m:t>6</m:t>
                    </m:r>
                  </m:sup>
                  <m:e>
                    <m:sSub>
                      <m:sSubPr>
                        <m:ctrlPr>
                          <w:rPr>
                            <w:rFonts w:ascii="Cambria Math" w:hAnsi="Cambria Math"/>
                            <w:i/>
                          </w:rPr>
                        </m:ctrlPr>
                      </m:sSubPr>
                      <m:e>
                        <m:r>
                          <w:rPr>
                            <w:rFonts w:ascii="Cambria Math" w:hAnsi="Cambria Math"/>
                          </w:rPr>
                          <m:t>S</m:t>
                        </m:r>
                      </m:e>
                      <m:sub>
                        <m:r>
                          <w:rPr>
                            <w:rFonts w:ascii="Cambria Math" w:hAnsi="Cambria Math"/>
                          </w:rPr>
                          <m:t>ij</m:t>
                        </m:r>
                      </m:sub>
                    </m:sSub>
                    <m:sSub>
                      <m:sSubPr>
                        <m:ctrlPr>
                          <w:rPr>
                            <w:rFonts w:ascii="Cambria Math" w:hAnsi="Cambria Math"/>
                            <w:i/>
                          </w:rPr>
                        </m:ctrlPr>
                      </m:sSubPr>
                      <m:e>
                        <m:r>
                          <w:rPr>
                            <w:rFonts w:ascii="Cambria Math" w:hAnsi="Cambria Math"/>
                          </w:rPr>
                          <m:t>X</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i7</m:t>
                        </m:r>
                      </m:sub>
                    </m:sSub>
                    <m:sSub>
                      <m:sSubPr>
                        <m:ctrlPr>
                          <w:rPr>
                            <w:rFonts w:ascii="Cambria Math" w:hAnsi="Cambria Math"/>
                            <w:i/>
                          </w:rPr>
                        </m:ctrlPr>
                      </m:sSubPr>
                      <m:e>
                        <m:r>
                          <w:rPr>
                            <w:rFonts w:ascii="Cambria Math" w:hAnsi="Cambria Math"/>
                          </w:rPr>
                          <m:t>X</m:t>
                        </m:r>
                      </m:e>
                      <m:sub>
                        <m:r>
                          <w:rPr>
                            <w:rFonts w:ascii="Cambria Math" w:hAnsi="Cambria Math"/>
                          </w:rPr>
                          <m:t>i7</m:t>
                        </m:r>
                      </m:sub>
                    </m:sSub>
                    <m:r>
                      <w:rPr>
                        <w:rFonts w:ascii="Cambria Math" w:hAnsi="Cambria Math"/>
                      </w:rPr>
                      <m:t>+0.5</m:t>
                    </m:r>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i3</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i10</m:t>
                            </m:r>
                          </m:sub>
                        </m:sSub>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i4</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i11</m:t>
                            </m:r>
                          </m:sub>
                        </m:sSub>
                      </m:e>
                    </m:d>
                    <m:r>
                      <w:rPr>
                        <w:rFonts w:ascii="Cambria Math" w:hAnsi="Cambria Math"/>
                      </w:rPr>
                      <m:t>+0.5</m:t>
                    </m:r>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i5</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i12</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i5</m:t>
                            </m:r>
                          </m:sub>
                        </m:sSub>
                        <m:sSub>
                          <m:sSubPr>
                            <m:ctrlPr>
                              <w:rPr>
                                <w:rFonts w:ascii="Cambria Math" w:hAnsi="Cambria Math"/>
                                <w:i/>
                              </w:rPr>
                            </m:ctrlPr>
                          </m:sSubPr>
                          <m:e>
                            <m:r>
                              <w:rPr>
                                <w:rFonts w:ascii="Cambria Math" w:hAnsi="Cambria Math"/>
                              </w:rPr>
                              <m:t>X</m:t>
                            </m:r>
                          </m:e>
                          <m:sub>
                            <m:r>
                              <w:rPr>
                                <w:rFonts w:ascii="Cambria Math" w:hAnsi="Cambria Math"/>
                              </w:rPr>
                              <m:t>i5</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i12</m:t>
                            </m:r>
                          </m:sub>
                        </m:sSub>
                        <m:sSub>
                          <m:sSubPr>
                            <m:ctrlPr>
                              <w:rPr>
                                <w:rFonts w:ascii="Cambria Math" w:hAnsi="Cambria Math"/>
                                <w:i/>
                              </w:rPr>
                            </m:ctrlPr>
                          </m:sSubPr>
                          <m:e>
                            <m:r>
                              <w:rPr>
                                <w:rFonts w:ascii="Cambria Math" w:hAnsi="Cambria Math"/>
                              </w:rPr>
                              <m:t>X</m:t>
                            </m:r>
                          </m:e>
                          <m:sub>
                            <m:r>
                              <w:rPr>
                                <w:rFonts w:ascii="Cambria Math" w:hAnsi="Cambria Math"/>
                              </w:rPr>
                              <m:t>i12</m:t>
                            </m:r>
                          </m:sub>
                        </m:sSub>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i6</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i13</m:t>
                            </m:r>
                          </m:sub>
                        </m:sSub>
                        <m:sSub>
                          <m:sSubPr>
                            <m:ctrlPr>
                              <w:rPr>
                                <w:rFonts w:ascii="Cambria Math" w:hAnsi="Cambria Math"/>
                                <w:i/>
                              </w:rPr>
                            </m:ctrlPr>
                          </m:sSubPr>
                          <m:e>
                            <m:r>
                              <w:rPr>
                                <w:rFonts w:ascii="Cambria Math" w:hAnsi="Cambria Math"/>
                              </w:rPr>
                              <m:t>X</m:t>
                            </m:r>
                          </m:e>
                          <m:sub>
                            <m:r>
                              <w:rPr>
                                <w:rFonts w:ascii="Cambria Math" w:hAnsi="Cambria Math"/>
                              </w:rPr>
                              <m:t>i13</m:t>
                            </m:r>
                          </m:sub>
                        </m:sSub>
                      </m:e>
                    </m:d>
                    <m:r>
                      <w:rPr>
                        <w:rFonts w:ascii="Cambria Math" w:hAnsi="Cambria Math"/>
                      </w:rPr>
                      <m:t>+</m:t>
                    </m:r>
                    <m:nary>
                      <m:naryPr>
                        <m:chr m:val="∑"/>
                        <m:limLoc m:val="undOvr"/>
                        <m:ctrlPr>
                          <w:rPr>
                            <w:rFonts w:ascii="Cambria Math" w:hAnsi="Cambria Math"/>
                            <w:i/>
                          </w:rPr>
                        </m:ctrlPr>
                      </m:naryPr>
                      <m:sub>
                        <m:r>
                          <w:rPr>
                            <w:rFonts w:ascii="Cambria Math" w:hAnsi="Cambria Math"/>
                          </w:rPr>
                          <m:t>j=8</m:t>
                        </m:r>
                      </m:sub>
                      <m:sup>
                        <m:r>
                          <w:rPr>
                            <w:rFonts w:ascii="Cambria Math" w:hAnsi="Cambria Math"/>
                          </w:rPr>
                          <m:t>13</m:t>
                        </m:r>
                      </m:sup>
                      <m:e>
                        <m:sSub>
                          <m:sSubPr>
                            <m:ctrlPr>
                              <w:rPr>
                                <w:rFonts w:ascii="Cambria Math" w:hAnsi="Cambria Math"/>
                                <w:i/>
                              </w:rPr>
                            </m:ctrlPr>
                          </m:sSubPr>
                          <m:e>
                            <m:r>
                              <w:rPr>
                                <w:rFonts w:ascii="Cambria Math" w:hAnsi="Cambria Math"/>
                              </w:rPr>
                              <m:t>S</m:t>
                            </m:r>
                          </m:e>
                          <m:sub>
                            <m:r>
                              <w:rPr>
                                <w:rFonts w:ascii="Cambria Math" w:hAnsi="Cambria Math"/>
                              </w:rPr>
                              <m:t>ij</m:t>
                            </m:r>
                          </m:sub>
                        </m:sSub>
                        <m:sSub>
                          <m:sSubPr>
                            <m:ctrlPr>
                              <w:rPr>
                                <w:rFonts w:ascii="Cambria Math" w:hAnsi="Cambria Math"/>
                                <w:i/>
                              </w:rPr>
                            </m:ctrlPr>
                          </m:sSubPr>
                          <m:e>
                            <m:r>
                              <w:rPr>
                                <w:rFonts w:ascii="Cambria Math" w:hAnsi="Cambria Math"/>
                              </w:rPr>
                              <m:t>X</m:t>
                            </m:r>
                          </m:e>
                          <m:sub>
                            <m:r>
                              <w:rPr>
                                <w:rFonts w:ascii="Cambria Math" w:hAnsi="Cambria Math"/>
                              </w:rPr>
                              <m:t>ij</m:t>
                            </m:r>
                          </m:sub>
                        </m:sSub>
                      </m:e>
                    </m:nary>
                    <m:r>
                      <w:rPr>
                        <w:rFonts w:ascii="Cambria Math" w:hAnsi="Cambria Math"/>
                      </w:rPr>
                      <m:t>-</m:t>
                    </m:r>
                    <m:nary>
                      <m:naryPr>
                        <m:chr m:val="∑"/>
                        <m:limLoc m:val="undOvr"/>
                        <m:ctrlPr>
                          <w:rPr>
                            <w:rFonts w:ascii="Cambria Math" w:hAnsi="Cambria Math"/>
                            <w:i/>
                          </w:rPr>
                        </m:ctrlPr>
                      </m:naryPr>
                      <m:sub>
                        <m:r>
                          <w:rPr>
                            <w:rFonts w:ascii="Cambria Math" w:hAnsi="Cambria Math"/>
                          </w:rPr>
                          <m:t>j=1</m:t>
                        </m:r>
                      </m:sub>
                      <m:sup>
                        <m:r>
                          <w:rPr>
                            <w:rFonts w:ascii="Cambria Math" w:hAnsi="Cambria Math"/>
                          </w:rPr>
                          <m:t>13</m:t>
                        </m:r>
                      </m:sup>
                      <m:e>
                        <m:sSub>
                          <m:sSubPr>
                            <m:ctrlPr>
                              <w:rPr>
                                <w:rFonts w:ascii="Cambria Math" w:hAnsi="Cambria Math"/>
                                <w:i/>
                              </w:rPr>
                            </m:ctrlPr>
                          </m:sSubPr>
                          <m:e>
                            <m:r>
                              <w:rPr>
                                <w:rFonts w:ascii="Cambria Math" w:hAnsi="Cambria Math"/>
                              </w:rPr>
                              <m:t>S</m:t>
                            </m:r>
                          </m:e>
                          <m:sub>
                            <m:r>
                              <w:rPr>
                                <w:rFonts w:ascii="Cambria Math" w:hAnsi="Cambria Math"/>
                              </w:rPr>
                              <m:t>j</m:t>
                            </m:r>
                          </m:sub>
                        </m:sSub>
                      </m:e>
                    </m:nary>
                  </m:e>
                </m:nary>
              </m:oMath>
            </m:oMathPara>
          </w:p>
        </w:tc>
        <w:tc>
          <w:tcPr>
            <w:tcW w:w="749" w:type="pct"/>
            <w:vAlign w:val="center"/>
          </w:tcPr>
          <w:p w14:paraId="7CF1FE47" w14:textId="045836FF" w:rsidR="001B1682" w:rsidRDefault="001B1682" w:rsidP="001B1682">
            <w:pPr>
              <w:spacing w:after="3" w:line="265" w:lineRule="auto"/>
              <w:ind w:right="-14"/>
              <w:jc w:val="center"/>
            </w:pPr>
            <w:r>
              <w:t>(10)</w:t>
            </w:r>
          </w:p>
        </w:tc>
      </w:tr>
    </w:tbl>
    <w:p w14:paraId="0BE2C8D6" w14:textId="77777777" w:rsidR="001B1682" w:rsidRDefault="001B1682" w:rsidP="001B1682">
      <w:pPr>
        <w:spacing w:line="360" w:lineRule="auto"/>
        <w:ind w:left="-15"/>
        <w:jc w:val="both"/>
      </w:pPr>
    </w:p>
    <w:p w14:paraId="62948389" w14:textId="6927027C" w:rsidR="0073742C" w:rsidRDefault="005D5980" w:rsidP="001B1682">
      <w:pPr>
        <w:spacing w:after="190" w:line="360" w:lineRule="auto"/>
        <w:ind w:left="-15"/>
        <w:jc w:val="both"/>
      </w:pPr>
      <w:r>
        <w:t xml:space="preserve">where </w:t>
      </w:r>
      <m:oMath>
        <m:sSub>
          <m:sSubPr>
            <m:ctrlPr>
              <w:rPr>
                <w:rFonts w:ascii="Cambria Math" w:hAnsi="Cambria Math"/>
                <w:i/>
              </w:rPr>
            </m:ctrlPr>
          </m:sSubPr>
          <m:e>
            <m:r>
              <w:rPr>
                <w:rFonts w:ascii="Cambria Math" w:hAnsi="Cambria Math"/>
              </w:rPr>
              <m:t>S</m:t>
            </m:r>
          </m:e>
          <m:sub>
            <m:r>
              <w:rPr>
                <w:rFonts w:ascii="Cambria Math" w:hAnsi="Cambria Math"/>
                <w:vertAlign w:val="subscript"/>
              </w:rPr>
              <m:t>ij</m:t>
            </m:r>
          </m:sub>
        </m:sSub>
        <m:r>
          <w:rPr>
            <w:rFonts w:ascii="Cambria Math" w:hAnsi="Cambria Math"/>
            <w:vertAlign w:val="subscript"/>
          </w:rPr>
          <m:t xml:space="preserve"> </m:t>
        </m:r>
      </m:oMath>
      <w:r>
        <w:t xml:space="preserve">is the amount staked on product </w:t>
      </w:r>
      <m:oMath>
        <m:r>
          <w:rPr>
            <w:rFonts w:ascii="Cambria Math" w:hAnsi="Cambria Math"/>
          </w:rPr>
          <m:t>j</m:t>
        </m:r>
      </m:oMath>
      <w:r>
        <w:rPr>
          <w:i/>
        </w:rPr>
        <w:t xml:space="preserve"> </w:t>
      </w:r>
      <w:r>
        <w:t xml:space="preserve">in match </w:t>
      </w:r>
      <m:oMath>
        <m:r>
          <w:rPr>
            <w:rFonts w:ascii="Cambria Math" w:hAnsi="Cambria Math"/>
          </w:rPr>
          <m:t>i</m:t>
        </m:r>
      </m:oMath>
      <w:r>
        <w:t xml:space="preserve">. In the unit-stake simulation, </w:t>
      </w:r>
      <m:oMath>
        <m:sSub>
          <m:sSubPr>
            <m:ctrlPr>
              <w:rPr>
                <w:rFonts w:ascii="Cambria Math" w:hAnsi="Cambria Math"/>
                <w:i/>
              </w:rPr>
            </m:ctrlPr>
          </m:sSubPr>
          <m:e>
            <m:r>
              <w:rPr>
                <w:rFonts w:ascii="Cambria Math" w:hAnsi="Cambria Math"/>
              </w:rPr>
              <m:t>S</m:t>
            </m:r>
          </m:e>
          <m:sub>
            <m:r>
              <w:rPr>
                <w:rFonts w:ascii="Cambria Math" w:hAnsi="Cambria Math"/>
                <w:vertAlign w:val="subscript"/>
              </w:rPr>
              <m:t>ij</m:t>
            </m:r>
          </m:sub>
        </m:sSub>
        <m:r>
          <w:rPr>
            <w:rFonts w:ascii="Cambria Math" w:hAnsi="Cambria Math"/>
            <w:vertAlign w:val="subscript"/>
          </w:rPr>
          <m:t xml:space="preserve"> </m:t>
        </m:r>
        <m:r>
          <w:rPr>
            <w:rFonts w:ascii="Cambria Math" w:hAnsi="Cambria Math"/>
          </w:rPr>
          <m:t>= 1</m:t>
        </m:r>
      </m:oMath>
      <w:r>
        <w:t xml:space="preserve"> if there is a bet on product </w:t>
      </w:r>
      <m:oMath>
        <m:r>
          <w:rPr>
            <w:rFonts w:ascii="Cambria Math" w:hAnsi="Cambria Math"/>
          </w:rPr>
          <m:t>j</m:t>
        </m:r>
      </m:oMath>
      <w:r>
        <w:rPr>
          <w:i/>
        </w:rPr>
        <w:t xml:space="preserve"> </w:t>
      </w:r>
      <w:r>
        <w:t xml:space="preserve">in match </w:t>
      </w:r>
      <m:oMath>
        <m:r>
          <w:rPr>
            <w:rFonts w:ascii="Cambria Math" w:hAnsi="Cambria Math"/>
          </w:rPr>
          <m:t>i</m:t>
        </m:r>
      </m:oMath>
      <w:r>
        <w:t xml:space="preserve">, and zero otherwise. As a result, the average profit that the bettor achieves against each type of bookmaker, across the sample of </w:t>
      </w:r>
      <m:oMath>
        <m:r>
          <w:rPr>
            <w:rFonts w:ascii="Cambria Math" w:hAnsi="Cambria Math"/>
          </w:rPr>
          <m:t>n</m:t>
        </m:r>
      </m:oMath>
      <w:r>
        <w:rPr>
          <w:i/>
        </w:rPr>
        <w:t xml:space="preserve"> </w:t>
      </w:r>
      <w:r>
        <w:t>bets can be calculated as:</w:t>
      </w:r>
    </w:p>
    <w:tbl>
      <w:tblPr>
        <w:tblStyle w:val="TableGrid0"/>
        <w:tblW w:w="5336" w:type="pct"/>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6"/>
        <w:gridCol w:w="6997"/>
        <w:gridCol w:w="1497"/>
      </w:tblGrid>
      <w:tr w:rsidR="001B1682" w14:paraId="3A616E2A" w14:textId="77777777" w:rsidTr="001B1682">
        <w:trPr>
          <w:trHeight w:val="718"/>
        </w:trPr>
        <w:tc>
          <w:tcPr>
            <w:tcW w:w="749" w:type="pct"/>
          </w:tcPr>
          <w:p w14:paraId="7593CF43" w14:textId="77777777" w:rsidR="001B1682" w:rsidRDefault="001B1682" w:rsidP="001B1682">
            <w:pPr>
              <w:spacing w:after="3" w:line="265" w:lineRule="auto"/>
              <w:ind w:right="-14"/>
              <w:jc w:val="both"/>
            </w:pPr>
          </w:p>
        </w:tc>
        <w:tc>
          <w:tcPr>
            <w:tcW w:w="3502" w:type="pct"/>
          </w:tcPr>
          <w:p w14:paraId="42834017" w14:textId="0ADCBCB8" w:rsidR="001B1682" w:rsidRDefault="001B1682" w:rsidP="001B1682">
            <w:pPr>
              <w:spacing w:after="3" w:line="265" w:lineRule="auto"/>
              <w:ind w:right="-14"/>
              <w:jc w:val="both"/>
            </w:pPr>
            <m:oMathPara>
              <m:oMath>
                <m:r>
                  <w:rPr>
                    <w:rFonts w:ascii="Cambria Math" w:hAnsi="Cambria Math"/>
                  </w:rPr>
                  <m:t>μ=</m:t>
                </m:r>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nary>
                      <m:naryPr>
                        <m:chr m:val="∑"/>
                        <m:limLoc m:val="undOvr"/>
                        <m:ctrlPr>
                          <w:rPr>
                            <w:rFonts w:ascii="Cambria Math" w:hAnsi="Cambria Math"/>
                            <w:i/>
                          </w:rPr>
                        </m:ctrlPr>
                      </m:naryPr>
                      <m:sub>
                        <m:r>
                          <w:rPr>
                            <w:rFonts w:ascii="Cambria Math" w:hAnsi="Cambria Math"/>
                          </w:rPr>
                          <m:t>j=1</m:t>
                        </m:r>
                      </m:sub>
                      <m:sup>
                        <m:r>
                          <w:rPr>
                            <w:rFonts w:ascii="Cambria Math" w:hAnsi="Cambria Math"/>
                          </w:rPr>
                          <m:t>13</m:t>
                        </m:r>
                      </m:sup>
                      <m:e>
                        <m:sSub>
                          <m:sSubPr>
                            <m:ctrlPr>
                              <w:rPr>
                                <w:rFonts w:ascii="Cambria Math" w:hAnsi="Cambria Math"/>
                                <w:i/>
                              </w:rPr>
                            </m:ctrlPr>
                          </m:sSubPr>
                          <m:e>
                            <m:r>
                              <w:rPr>
                                <w:rFonts w:ascii="Cambria Math" w:hAnsi="Cambria Math"/>
                              </w:rPr>
                              <m:t>Z</m:t>
                            </m:r>
                          </m:e>
                          <m:sub>
                            <m:r>
                              <w:rPr>
                                <w:rFonts w:ascii="Cambria Math" w:hAnsi="Cambria Math"/>
                              </w:rPr>
                              <m:t>ij</m:t>
                            </m:r>
                          </m:sub>
                        </m:sSub>
                      </m:e>
                    </m:nary>
                  </m:e>
                </m:nary>
              </m:oMath>
            </m:oMathPara>
          </w:p>
        </w:tc>
        <w:tc>
          <w:tcPr>
            <w:tcW w:w="749" w:type="pct"/>
            <w:vAlign w:val="center"/>
          </w:tcPr>
          <w:p w14:paraId="403E8AD9" w14:textId="37E9268E" w:rsidR="001B1682" w:rsidRDefault="001B1682" w:rsidP="00350448">
            <w:pPr>
              <w:spacing w:after="3" w:line="265" w:lineRule="auto"/>
              <w:ind w:right="-14"/>
              <w:jc w:val="center"/>
            </w:pPr>
            <w:r>
              <w:t>(1</w:t>
            </w:r>
            <w:r w:rsidR="00350448">
              <w:t>1</w:t>
            </w:r>
            <w:r>
              <w:t>)</w:t>
            </w:r>
          </w:p>
        </w:tc>
      </w:tr>
    </w:tbl>
    <w:p w14:paraId="5172BDFC" w14:textId="1F861FA6" w:rsidR="0073742C" w:rsidRDefault="005D5980" w:rsidP="00350448">
      <w:pPr>
        <w:spacing w:after="169" w:line="360" w:lineRule="auto"/>
        <w:ind w:left="10" w:right="-14"/>
        <w:jc w:val="both"/>
      </w:pPr>
      <w:r>
        <w:t xml:space="preserve">H3a will not be rejected if </w:t>
      </w:r>
      <m:oMath>
        <m:r>
          <w:rPr>
            <w:rFonts w:ascii="Cambria Math" w:hAnsi="Cambria Math"/>
          </w:rPr>
          <m:t>μ</m:t>
        </m:r>
      </m:oMath>
      <w:r w:rsidR="00350448">
        <w:t xml:space="preserve"> </w:t>
      </w:r>
      <w:r>
        <w:t>is higher for the group of PTBs than for the group of BBBs.</w:t>
      </w:r>
      <w:r w:rsidR="007B57B3">
        <w:t xml:space="preserve"> </w:t>
      </w:r>
      <w:r>
        <w:t xml:space="preserve">It could be argued that </w:t>
      </w:r>
      <w:r w:rsidR="00833425">
        <w:t>a consequence</w:t>
      </w:r>
      <w:r>
        <w:t xml:space="preserve"> of placing a unit stake across each bet is high variance, since average profit is highly influenced by the outcome of bets on longshots. </w:t>
      </w:r>
      <w:r w:rsidR="00052370">
        <w:t>We</w:t>
      </w:r>
      <w:r>
        <w:t xml:space="preserve"> ensure that </w:t>
      </w:r>
      <w:r w:rsidR="004672B3">
        <w:t xml:space="preserve">these </w:t>
      </w:r>
      <w:r>
        <w:t xml:space="preserve">latter bets </w:t>
      </w:r>
      <w:r w:rsidR="004672B3">
        <w:t>do</w:t>
      </w:r>
      <w:r>
        <w:t xml:space="preserve"> not lead to biased conclusions regarding the expected profit against each bookmaker</w:t>
      </w:r>
      <w:r w:rsidR="00833425">
        <w:t xml:space="preserve"> by </w:t>
      </w:r>
      <w:r>
        <w:t>replicat</w:t>
      </w:r>
      <w:r w:rsidR="00833425">
        <w:t>ing</w:t>
      </w:r>
      <w:r>
        <w:t xml:space="preserve"> the simulation, where each stake </w:t>
      </w:r>
      <m:oMath>
        <m:sSub>
          <m:sSubPr>
            <m:ctrlPr>
              <w:rPr>
                <w:rFonts w:ascii="Cambria Math" w:hAnsi="Cambria Math"/>
                <w:i/>
              </w:rPr>
            </m:ctrlPr>
          </m:sSubPr>
          <m:e>
            <m:r>
              <w:rPr>
                <w:rFonts w:ascii="Cambria Math" w:hAnsi="Cambria Math"/>
              </w:rPr>
              <m:t>S</m:t>
            </m:r>
          </m:e>
          <m:sub>
            <m:r>
              <w:rPr>
                <w:rFonts w:ascii="Cambria Math" w:hAnsi="Cambria Math"/>
                <w:vertAlign w:val="subscript"/>
              </w:rPr>
              <m:t>ij</m:t>
            </m:r>
          </m:sub>
        </m:sSub>
      </m:oMath>
      <w:r>
        <w:rPr>
          <w:i/>
          <w:vertAlign w:val="subscript"/>
        </w:rPr>
        <w:t xml:space="preserve"> </w:t>
      </w:r>
      <w:r>
        <w:t>is determined by a staking strategy, the Kelly Criterion (Kelly, 1956)</w:t>
      </w:r>
      <w:r w:rsidR="00955FF1">
        <w:t>, which involves assigning stakes which are inversely proportional to odds, thereby assuring that</w:t>
      </w:r>
      <w:r>
        <w:t xml:space="preserve"> for each type of bookmaker, all bets </w:t>
      </w:r>
      <w:r w:rsidR="00833425">
        <w:t>generate</w:t>
      </w:r>
      <w:r>
        <w:t xml:space="preserve"> equal expected profit.</w:t>
      </w:r>
    </w:p>
    <w:tbl>
      <w:tblPr>
        <w:tblStyle w:val="TableGrid0"/>
        <w:tblW w:w="5336" w:type="pct"/>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6"/>
        <w:gridCol w:w="6997"/>
        <w:gridCol w:w="1497"/>
      </w:tblGrid>
      <w:tr w:rsidR="00350448" w14:paraId="69B93F79" w14:textId="77777777" w:rsidTr="00CA6EF1">
        <w:trPr>
          <w:trHeight w:val="718"/>
        </w:trPr>
        <w:tc>
          <w:tcPr>
            <w:tcW w:w="749" w:type="pct"/>
          </w:tcPr>
          <w:p w14:paraId="2545CB1B" w14:textId="77777777" w:rsidR="00350448" w:rsidRDefault="00350448" w:rsidP="00CA6EF1">
            <w:pPr>
              <w:spacing w:after="3" w:line="265" w:lineRule="auto"/>
              <w:ind w:right="-14"/>
              <w:jc w:val="both"/>
            </w:pPr>
          </w:p>
        </w:tc>
        <w:tc>
          <w:tcPr>
            <w:tcW w:w="3502" w:type="pct"/>
          </w:tcPr>
          <w:p w14:paraId="018DA1BB" w14:textId="79192D5F" w:rsidR="00350448" w:rsidRDefault="0021564F" w:rsidP="00350448">
            <w:pPr>
              <w:spacing w:after="3" w:line="265" w:lineRule="auto"/>
              <w:ind w:right="-14"/>
              <w:jc w:val="both"/>
            </w:pPr>
            <m:oMathPara>
              <m:oMath>
                <m:sSub>
                  <m:sSubPr>
                    <m:ctrlPr>
                      <w:rPr>
                        <w:rFonts w:ascii="Cambria Math" w:hAnsi="Cambria Math"/>
                        <w:i/>
                      </w:rPr>
                    </m:ctrlPr>
                  </m:sSubPr>
                  <m:e>
                    <m:r>
                      <w:rPr>
                        <w:rFonts w:ascii="Cambria Math" w:hAnsi="Cambria Math"/>
                      </w:rPr>
                      <m:t>S</m:t>
                    </m:r>
                  </m:e>
                  <m:sub>
                    <m:r>
                      <w:rPr>
                        <w:rFonts w:ascii="Cambria Math" w:hAnsi="Cambria Math"/>
                      </w:rPr>
                      <m:t>ij</m:t>
                    </m:r>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X</m:t>
                        </m:r>
                      </m:e>
                      <m:sub>
                        <m:r>
                          <w:rPr>
                            <w:rFonts w:ascii="Cambria Math" w:hAnsi="Cambria Math"/>
                          </w:rPr>
                          <m:t>ij</m:t>
                        </m:r>
                      </m:sub>
                    </m:sSub>
                    <m:r>
                      <w:rPr>
                        <w:rFonts w:ascii="Cambria Math" w:hAnsi="Cambria Math"/>
                      </w:rPr>
                      <m:t xml:space="preserve">-1  </m:t>
                    </m:r>
                  </m:den>
                </m:f>
              </m:oMath>
            </m:oMathPara>
          </w:p>
        </w:tc>
        <w:tc>
          <w:tcPr>
            <w:tcW w:w="749" w:type="pct"/>
            <w:vAlign w:val="center"/>
          </w:tcPr>
          <w:p w14:paraId="31822B05" w14:textId="7E7C785A" w:rsidR="00350448" w:rsidRDefault="00350448" w:rsidP="00350448">
            <w:pPr>
              <w:spacing w:after="3" w:line="265" w:lineRule="auto"/>
              <w:ind w:right="-14"/>
              <w:jc w:val="center"/>
            </w:pPr>
            <w:r>
              <w:t>(12)</w:t>
            </w:r>
          </w:p>
        </w:tc>
      </w:tr>
    </w:tbl>
    <w:p w14:paraId="2A696147" w14:textId="4E74A20E" w:rsidR="0073742C" w:rsidRDefault="005D5980">
      <w:pPr>
        <w:spacing w:after="399"/>
        <w:ind w:left="-15"/>
      </w:pPr>
      <w:r>
        <w:t>As a result</w:t>
      </w:r>
      <w:r w:rsidR="00052370">
        <w:t>,</w:t>
      </w:r>
      <w:r>
        <w:t xml:space="preserve"> the average realized profit against each bookmaker across the sample of </w:t>
      </w:r>
      <m:oMath>
        <m:r>
          <w:rPr>
            <w:rFonts w:ascii="Cambria Math" w:hAnsi="Cambria Math"/>
          </w:rPr>
          <m:t>n</m:t>
        </m:r>
      </m:oMath>
      <w:r>
        <w:rPr>
          <w:i/>
        </w:rPr>
        <w:t xml:space="preserve"> </w:t>
      </w:r>
      <w:r>
        <w:t>bets is</w:t>
      </w:r>
    </w:p>
    <w:tbl>
      <w:tblPr>
        <w:tblStyle w:val="TableGrid0"/>
        <w:tblW w:w="5336" w:type="pct"/>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6"/>
        <w:gridCol w:w="6997"/>
        <w:gridCol w:w="1497"/>
      </w:tblGrid>
      <w:tr w:rsidR="00350448" w14:paraId="088B4563" w14:textId="77777777" w:rsidTr="00CA6EF1">
        <w:trPr>
          <w:trHeight w:val="718"/>
        </w:trPr>
        <w:tc>
          <w:tcPr>
            <w:tcW w:w="749" w:type="pct"/>
          </w:tcPr>
          <w:p w14:paraId="2003FC3C" w14:textId="77777777" w:rsidR="00350448" w:rsidRDefault="00350448" w:rsidP="00CA6EF1">
            <w:pPr>
              <w:spacing w:after="3" w:line="265" w:lineRule="auto"/>
              <w:ind w:right="-14"/>
              <w:jc w:val="both"/>
            </w:pPr>
          </w:p>
        </w:tc>
        <w:tc>
          <w:tcPr>
            <w:tcW w:w="3502" w:type="pct"/>
          </w:tcPr>
          <w:p w14:paraId="53F03CE6" w14:textId="6028A9D0" w:rsidR="00350448" w:rsidRDefault="00350448" w:rsidP="00350448">
            <w:pPr>
              <w:spacing w:after="3" w:line="265" w:lineRule="auto"/>
              <w:ind w:right="-14"/>
              <w:jc w:val="both"/>
            </w:pPr>
            <m:oMathPara>
              <m:oMath>
                <m:r>
                  <w:rPr>
                    <w:rFonts w:ascii="Cambria Math" w:hAnsi="Cambria Math"/>
                  </w:rPr>
                  <m:t>μ=</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nary>
                          <m:naryPr>
                            <m:chr m:val="∑"/>
                            <m:limLoc m:val="undOvr"/>
                            <m:ctrlPr>
                              <w:rPr>
                                <w:rFonts w:ascii="Cambria Math" w:hAnsi="Cambria Math"/>
                                <w:i/>
                              </w:rPr>
                            </m:ctrlPr>
                          </m:naryPr>
                          <m:sub>
                            <m:r>
                              <w:rPr>
                                <w:rFonts w:ascii="Cambria Math" w:hAnsi="Cambria Math"/>
                              </w:rPr>
                              <m:t>j=1</m:t>
                            </m:r>
                          </m:sub>
                          <m:sup>
                            <m:r>
                              <w:rPr>
                                <w:rFonts w:ascii="Cambria Math" w:hAnsi="Cambria Math"/>
                              </w:rPr>
                              <m:t>13</m:t>
                            </m:r>
                          </m:sup>
                          <m:e>
                            <m:sSub>
                              <m:sSubPr>
                                <m:ctrlPr>
                                  <w:rPr>
                                    <w:rFonts w:ascii="Cambria Math" w:hAnsi="Cambria Math"/>
                                    <w:i/>
                                  </w:rPr>
                                </m:ctrlPr>
                              </m:sSubPr>
                              <m:e>
                                <m:r>
                                  <w:rPr>
                                    <w:rFonts w:ascii="Cambria Math" w:hAnsi="Cambria Math"/>
                                  </w:rPr>
                                  <m:t>Z</m:t>
                                </m:r>
                              </m:e>
                              <m:sub>
                                <m:r>
                                  <w:rPr>
                                    <w:rFonts w:ascii="Cambria Math" w:hAnsi="Cambria Math"/>
                                  </w:rPr>
                                  <m:t>ij</m:t>
                                </m:r>
                              </m:sub>
                            </m:sSub>
                            <m:sSub>
                              <m:sSubPr>
                                <m:ctrlPr>
                                  <w:rPr>
                                    <w:rFonts w:ascii="Cambria Math" w:hAnsi="Cambria Math"/>
                                    <w:i/>
                                  </w:rPr>
                                </m:ctrlPr>
                              </m:sSubPr>
                              <m:e>
                                <m:r>
                                  <w:rPr>
                                    <w:rFonts w:ascii="Cambria Math" w:hAnsi="Cambria Math"/>
                                  </w:rPr>
                                  <m:t>S</m:t>
                                </m:r>
                              </m:e>
                              <m:sub>
                                <m:r>
                                  <w:rPr>
                                    <w:rFonts w:ascii="Cambria Math" w:hAnsi="Cambria Math"/>
                                  </w:rPr>
                                  <m:t>ij</m:t>
                                </m:r>
                              </m:sub>
                            </m:sSub>
                          </m:e>
                        </m:nary>
                      </m:e>
                    </m:nary>
                  </m:num>
                  <m:den>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nary>
                          <m:naryPr>
                            <m:chr m:val="∑"/>
                            <m:limLoc m:val="undOvr"/>
                            <m:ctrlPr>
                              <w:rPr>
                                <w:rFonts w:ascii="Cambria Math" w:hAnsi="Cambria Math"/>
                                <w:i/>
                              </w:rPr>
                            </m:ctrlPr>
                          </m:naryPr>
                          <m:sub>
                            <m:r>
                              <w:rPr>
                                <w:rFonts w:ascii="Cambria Math" w:hAnsi="Cambria Math"/>
                              </w:rPr>
                              <m:t>j=1</m:t>
                            </m:r>
                          </m:sub>
                          <m:sup>
                            <m:r>
                              <w:rPr>
                                <w:rFonts w:ascii="Cambria Math" w:hAnsi="Cambria Math"/>
                              </w:rPr>
                              <m:t>13</m:t>
                            </m:r>
                          </m:sup>
                          <m:e>
                            <m:sSub>
                              <m:sSubPr>
                                <m:ctrlPr>
                                  <w:rPr>
                                    <w:rFonts w:ascii="Cambria Math" w:hAnsi="Cambria Math"/>
                                    <w:i/>
                                  </w:rPr>
                                </m:ctrlPr>
                              </m:sSubPr>
                              <m:e>
                                <m:r>
                                  <w:rPr>
                                    <w:rFonts w:ascii="Cambria Math" w:hAnsi="Cambria Math"/>
                                  </w:rPr>
                                  <m:t>S</m:t>
                                </m:r>
                              </m:e>
                              <m:sub>
                                <m:r>
                                  <w:rPr>
                                    <w:rFonts w:ascii="Cambria Math" w:hAnsi="Cambria Math"/>
                                  </w:rPr>
                                  <m:t>ij</m:t>
                                </m:r>
                              </m:sub>
                            </m:sSub>
                          </m:e>
                        </m:nary>
                      </m:e>
                    </m:nary>
                  </m:den>
                </m:f>
              </m:oMath>
            </m:oMathPara>
          </w:p>
        </w:tc>
        <w:tc>
          <w:tcPr>
            <w:tcW w:w="749" w:type="pct"/>
            <w:vAlign w:val="center"/>
          </w:tcPr>
          <w:p w14:paraId="425D18C0" w14:textId="1F5E7986" w:rsidR="00350448" w:rsidRDefault="00350448" w:rsidP="00350448">
            <w:pPr>
              <w:spacing w:after="3" w:line="265" w:lineRule="auto"/>
              <w:ind w:right="-14"/>
              <w:jc w:val="center"/>
            </w:pPr>
            <w:r>
              <w:t>(13)</w:t>
            </w:r>
          </w:p>
        </w:tc>
      </w:tr>
    </w:tbl>
    <w:p w14:paraId="659BC148" w14:textId="1F4BF8EF" w:rsidR="0073742C" w:rsidRDefault="005D5980" w:rsidP="00350448">
      <w:pPr>
        <w:spacing w:after="323" w:line="360" w:lineRule="auto"/>
        <w:ind w:left="-15"/>
        <w:jc w:val="both"/>
      </w:pPr>
      <w:r>
        <w:t>We recalculate the mean</w:t>
      </w:r>
      <w:r w:rsidR="007B57B3">
        <w:t>s</w:t>
      </w:r>
      <w:r>
        <w:t xml:space="preserve"> for each of the two types of bookmaker and compare them, in order to confirm that the conclusions drawn from the unit-stake simulations are not biased </w:t>
      </w:r>
      <w:r w:rsidR="00880B9F">
        <w:t>by</w:t>
      </w:r>
      <w:r>
        <w:t xml:space="preserve"> abnormally positive or negative results on high-odds bets.</w:t>
      </w:r>
    </w:p>
    <w:p w14:paraId="2352E351" w14:textId="49184681" w:rsidR="0073742C" w:rsidRDefault="005D5980">
      <w:pPr>
        <w:pStyle w:val="Heading3"/>
        <w:ind w:left="-5"/>
      </w:pPr>
      <w:r>
        <w:t xml:space="preserve">4.2.4. The </w:t>
      </w:r>
      <w:r w:rsidR="00880B9F">
        <w:t>Predictive Power of</w:t>
      </w:r>
      <w:r w:rsidR="009A476D">
        <w:t xml:space="preserve"> </w:t>
      </w:r>
      <w:r w:rsidR="00880B9F">
        <w:t>BBB vs PTB</w:t>
      </w:r>
      <w:r>
        <w:t xml:space="preserve"> Odds-Implied Probabilities</w:t>
      </w:r>
    </w:p>
    <w:p w14:paraId="3DE74D14" w14:textId="2A402B1B" w:rsidR="0073742C" w:rsidRDefault="005D5980" w:rsidP="00350448">
      <w:pPr>
        <w:spacing w:after="199" w:line="360" w:lineRule="auto"/>
        <w:ind w:left="-15"/>
        <w:jc w:val="both"/>
      </w:pPr>
      <w:r>
        <w:t xml:space="preserve">In order to test whether predictions based on BBBs’ odds are more efficient (H3b) and unbiased (H3c) predictors of event outcomes than predictions based on PTBs’ odds, we compare the forecasting accuracy and the </w:t>
      </w:r>
      <w:r w:rsidR="0075780B">
        <w:t>favourite</w:t>
      </w:r>
      <w:r>
        <w:t xml:space="preserve"> longshot bias (FLB) observed in predictions based on the odds of the two different types of bookmakers. </w:t>
      </w:r>
      <w:r w:rsidR="00880B9F">
        <w:t xml:space="preserve">For each group, </w:t>
      </w:r>
      <w:r>
        <w:t xml:space="preserve">we employ a conditional logistic regression (with the probability of outcome </w:t>
      </w:r>
      <m:oMath>
        <m:r>
          <w:rPr>
            <w:rFonts w:ascii="Cambria Math" w:hAnsi="Cambria Math"/>
          </w:rPr>
          <m:t>o</m:t>
        </m:r>
      </m:oMath>
      <w:r>
        <w:rPr>
          <w:i/>
        </w:rPr>
        <w:t xml:space="preserve"> </w:t>
      </w:r>
      <w:r>
        <w:t xml:space="preserve">derived from the odds as the sole independent variable), where the outcome of each match is the dependent variable (i.e. home win, draw, or away win). The outcome takes value 1 for the event that occurred and 0 for the events that did not occur. Hence, the probability that outcome </w:t>
      </w:r>
      <m:oMath>
        <m:r>
          <w:rPr>
            <w:rFonts w:ascii="Cambria Math" w:hAnsi="Cambria Math"/>
          </w:rPr>
          <m:t>o</m:t>
        </m:r>
      </m:oMath>
      <w:r>
        <w:rPr>
          <w:i/>
        </w:rPr>
        <w:t xml:space="preserve"> </w:t>
      </w:r>
      <w:r>
        <w:t xml:space="preserve">in match </w:t>
      </w:r>
      <m:oMath>
        <m:r>
          <w:rPr>
            <w:rFonts w:ascii="Cambria Math" w:hAnsi="Cambria Math"/>
          </w:rPr>
          <m:t>i</m:t>
        </m:r>
      </m:oMath>
      <w:r>
        <w:rPr>
          <w:i/>
        </w:rPr>
        <w:t xml:space="preserve"> </w:t>
      </w:r>
      <w:r>
        <w:t>occurs, is given by:</w:t>
      </w:r>
    </w:p>
    <w:tbl>
      <w:tblPr>
        <w:tblStyle w:val="TableGrid0"/>
        <w:tblW w:w="5336" w:type="pct"/>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6"/>
        <w:gridCol w:w="6997"/>
        <w:gridCol w:w="1497"/>
      </w:tblGrid>
      <w:tr w:rsidR="00350448" w14:paraId="614A8CF7" w14:textId="77777777" w:rsidTr="00CA6EF1">
        <w:trPr>
          <w:trHeight w:val="718"/>
        </w:trPr>
        <w:tc>
          <w:tcPr>
            <w:tcW w:w="749" w:type="pct"/>
          </w:tcPr>
          <w:p w14:paraId="445452C7" w14:textId="77777777" w:rsidR="00350448" w:rsidRDefault="00350448" w:rsidP="00CA6EF1">
            <w:pPr>
              <w:spacing w:after="3" w:line="265" w:lineRule="auto"/>
              <w:ind w:right="-14"/>
              <w:jc w:val="both"/>
            </w:pPr>
          </w:p>
        </w:tc>
        <w:tc>
          <w:tcPr>
            <w:tcW w:w="3502" w:type="pct"/>
          </w:tcPr>
          <w:p w14:paraId="71F87288" w14:textId="20C122B8" w:rsidR="00350448" w:rsidRDefault="00350448" w:rsidP="00350448">
            <w:pPr>
              <w:spacing w:after="3" w:line="265" w:lineRule="auto"/>
              <w:ind w:right="-14"/>
              <w:jc w:val="both"/>
            </w:pPr>
            <m:oMathPara>
              <m:oMath>
                <m:r>
                  <w:rPr>
                    <w:rFonts w:ascii="Cambria Math" w:hAnsi="Cambria Math"/>
                  </w:rPr>
                  <m:t>P(</m:t>
                </m:r>
                <m:sSub>
                  <m:sSubPr>
                    <m:ctrlPr>
                      <w:rPr>
                        <w:rFonts w:ascii="Cambria Math" w:hAnsi="Cambria Math"/>
                        <w:i/>
                      </w:rPr>
                    </m:ctrlPr>
                  </m:sSubPr>
                  <m:e>
                    <m:r>
                      <w:rPr>
                        <w:rFonts w:ascii="Cambria Math" w:hAnsi="Cambria Math"/>
                      </w:rPr>
                      <m:t>Y</m:t>
                    </m:r>
                  </m:e>
                  <m:sub>
                    <m:r>
                      <w:rPr>
                        <w:rFonts w:ascii="Cambria Math" w:hAnsi="Cambria Math"/>
                      </w:rPr>
                      <m:t>io</m:t>
                    </m:r>
                  </m:sub>
                </m:sSub>
                <m:r>
                  <w:rPr>
                    <w:rFonts w:ascii="Cambria Math" w:hAnsi="Cambria Math"/>
                  </w:rPr>
                  <m:t>=1) =</m:t>
                </m:r>
                <m:f>
                  <m:fPr>
                    <m:ctrlPr>
                      <w:rPr>
                        <w:rFonts w:ascii="Cambria Math" w:hAnsi="Cambria Math"/>
                        <w:i/>
                      </w:rPr>
                    </m:ctrlPr>
                  </m:fPr>
                  <m:num>
                    <m:sSup>
                      <m:sSupPr>
                        <m:ctrlPr>
                          <w:rPr>
                            <w:rFonts w:ascii="Cambria Math" w:hAnsi="Cambria Math"/>
                            <w:i/>
                          </w:rPr>
                        </m:ctrlPr>
                      </m:sSupPr>
                      <m:e>
                        <m:r>
                          <w:rPr>
                            <w:rFonts w:ascii="Cambria Math" w:hAnsi="Cambria Math"/>
                          </w:rPr>
                          <m:t>e</m:t>
                        </m:r>
                      </m:e>
                      <m:sup>
                        <m:sSub>
                          <m:sSubPr>
                            <m:ctrlPr>
                              <w:rPr>
                                <w:rFonts w:ascii="Cambria Math" w:hAnsi="Cambria Math"/>
                                <w:i/>
                              </w:rPr>
                            </m:ctrlPr>
                          </m:sSubPr>
                          <m:e>
                            <m:r>
                              <w:rPr>
                                <w:rFonts w:ascii="Cambria Math" w:hAnsi="Cambria Math"/>
                              </w:rPr>
                              <m:t>Z</m:t>
                            </m:r>
                          </m:e>
                          <m:sub>
                            <m:r>
                              <w:rPr>
                                <w:rFonts w:ascii="Cambria Math" w:hAnsi="Cambria Math"/>
                              </w:rPr>
                              <m:t>io</m:t>
                            </m:r>
                          </m:sub>
                        </m:sSub>
                      </m:sup>
                    </m:sSup>
                  </m:num>
                  <m:den>
                    <m:nary>
                      <m:naryPr>
                        <m:chr m:val="∑"/>
                        <m:limLoc m:val="undOvr"/>
                        <m:ctrlPr>
                          <w:rPr>
                            <w:rFonts w:ascii="Cambria Math" w:hAnsi="Cambria Math"/>
                            <w:i/>
                          </w:rPr>
                        </m:ctrlPr>
                      </m:naryPr>
                      <m:sub>
                        <m:r>
                          <w:rPr>
                            <w:rFonts w:ascii="Cambria Math" w:hAnsi="Cambria Math"/>
                          </w:rPr>
                          <m:t>o=1</m:t>
                        </m:r>
                      </m:sub>
                      <m:sup>
                        <m:r>
                          <w:rPr>
                            <w:rFonts w:ascii="Cambria Math" w:hAnsi="Cambria Math"/>
                          </w:rPr>
                          <m:t>3</m:t>
                        </m:r>
                      </m:sup>
                      <m:e>
                        <m:sSup>
                          <m:sSupPr>
                            <m:ctrlPr>
                              <w:rPr>
                                <w:rFonts w:ascii="Cambria Math" w:hAnsi="Cambria Math"/>
                                <w:i/>
                              </w:rPr>
                            </m:ctrlPr>
                          </m:sSupPr>
                          <m:e>
                            <m:r>
                              <w:rPr>
                                <w:rFonts w:ascii="Cambria Math" w:hAnsi="Cambria Math"/>
                              </w:rPr>
                              <m:t>e</m:t>
                            </m:r>
                          </m:e>
                          <m:sup>
                            <m:sSub>
                              <m:sSubPr>
                                <m:ctrlPr>
                                  <w:rPr>
                                    <w:rFonts w:ascii="Cambria Math" w:hAnsi="Cambria Math"/>
                                    <w:i/>
                                  </w:rPr>
                                </m:ctrlPr>
                              </m:sSubPr>
                              <m:e>
                                <m:r>
                                  <w:rPr>
                                    <w:rFonts w:ascii="Cambria Math" w:hAnsi="Cambria Math"/>
                                  </w:rPr>
                                  <m:t>Z</m:t>
                                </m:r>
                              </m:e>
                              <m:sub>
                                <m:r>
                                  <w:rPr>
                                    <w:rFonts w:ascii="Cambria Math" w:hAnsi="Cambria Math"/>
                                  </w:rPr>
                                  <m:t>io</m:t>
                                </m:r>
                              </m:sub>
                            </m:sSub>
                          </m:sup>
                        </m:sSup>
                      </m:e>
                    </m:nary>
                  </m:den>
                </m:f>
              </m:oMath>
            </m:oMathPara>
          </w:p>
        </w:tc>
        <w:tc>
          <w:tcPr>
            <w:tcW w:w="749" w:type="pct"/>
            <w:vAlign w:val="center"/>
          </w:tcPr>
          <w:p w14:paraId="634ECE3B" w14:textId="53543A1F" w:rsidR="00350448" w:rsidRDefault="00350448" w:rsidP="00350448">
            <w:pPr>
              <w:spacing w:after="3" w:line="265" w:lineRule="auto"/>
              <w:ind w:right="-14"/>
              <w:jc w:val="center"/>
            </w:pPr>
            <w:r>
              <w:t>(14)</w:t>
            </w:r>
          </w:p>
        </w:tc>
      </w:tr>
    </w:tbl>
    <w:p w14:paraId="53205413" w14:textId="78593EF8" w:rsidR="00350448" w:rsidRDefault="00350448" w:rsidP="00350448">
      <w:pPr>
        <w:spacing w:after="199" w:line="360" w:lineRule="auto"/>
        <w:ind w:left="-15"/>
        <w:jc w:val="both"/>
      </w:pPr>
      <w:r>
        <w:t xml:space="preserve">where </w:t>
      </w:r>
      <m:oMath>
        <m:sSub>
          <m:sSubPr>
            <m:ctrlPr>
              <w:rPr>
                <w:rFonts w:ascii="Cambria Math" w:hAnsi="Cambria Math"/>
                <w:i/>
              </w:rPr>
            </m:ctrlPr>
          </m:sSubPr>
          <m:e>
            <m:r>
              <w:rPr>
                <w:rFonts w:ascii="Cambria Math" w:hAnsi="Cambria Math"/>
              </w:rPr>
              <m:t>Z</m:t>
            </m:r>
          </m:e>
          <m:sub>
            <m:r>
              <w:rPr>
                <w:rFonts w:ascii="Cambria Math" w:hAnsi="Cambria Math"/>
              </w:rPr>
              <m:t>io</m:t>
            </m:r>
          </m:sub>
        </m:sSub>
      </m:oMath>
      <w:r>
        <w:t xml:space="preserve"> is a function of the probability </w:t>
      </w:r>
      <m:oMath>
        <m:sSubSup>
          <m:sSubSupPr>
            <m:ctrlPr>
              <w:rPr>
                <w:rFonts w:ascii="Cambria Math" w:hAnsi="Cambria Math"/>
                <w:i/>
              </w:rPr>
            </m:ctrlPr>
          </m:sSubSupPr>
          <m:e>
            <m:r>
              <w:rPr>
                <w:rFonts w:ascii="Cambria Math" w:hAnsi="Cambria Math"/>
              </w:rPr>
              <m:t>p</m:t>
            </m:r>
          </m:e>
          <m:sub>
            <m:r>
              <w:rPr>
                <w:rFonts w:ascii="Cambria Math" w:hAnsi="Cambria Math"/>
              </w:rPr>
              <m:t>io</m:t>
            </m:r>
          </m:sub>
          <m:sup>
            <m:r>
              <w:rPr>
                <w:rFonts w:ascii="Cambria Math" w:hAnsi="Cambria Math"/>
              </w:rPr>
              <m:t>s</m:t>
            </m:r>
          </m:sup>
        </m:sSubSup>
      </m:oMath>
      <w:r>
        <w:t xml:space="preserve"> (as </w:t>
      </w:r>
      <m:oMath>
        <m:sSubSup>
          <m:sSubSupPr>
            <m:ctrlPr>
              <w:rPr>
                <w:rFonts w:ascii="Cambria Math" w:hAnsi="Cambria Math"/>
                <w:i/>
              </w:rPr>
            </m:ctrlPr>
          </m:sSubSupPr>
          <m:e>
            <m:r>
              <w:rPr>
                <w:rFonts w:ascii="Cambria Math" w:hAnsi="Cambria Math"/>
              </w:rPr>
              <m:t>p</m:t>
            </m:r>
          </m:e>
          <m:sub>
            <m:r>
              <w:rPr>
                <w:rFonts w:ascii="Cambria Math" w:hAnsi="Cambria Math"/>
              </w:rPr>
              <m:t>io</m:t>
            </m:r>
          </m:sub>
          <m:sup>
            <m:r>
              <w:rPr>
                <w:rFonts w:ascii="Cambria Math" w:hAnsi="Cambria Math"/>
              </w:rPr>
              <m:t>s</m:t>
            </m:r>
          </m:sup>
        </m:sSubSup>
      </m:oMath>
      <w:r>
        <w:t xml:space="preserve">is the probability of the event outcome implied by the odds for each outcome </w:t>
      </w:r>
      <m:oMath>
        <m:r>
          <w:rPr>
            <w:rFonts w:ascii="Cambria Math" w:hAnsi="Cambria Math"/>
          </w:rPr>
          <m:t>o</m:t>
        </m:r>
      </m:oMath>
      <w:r>
        <w:t xml:space="preserve"> of match </w:t>
      </w:r>
      <m:oMath>
        <m:r>
          <w:rPr>
            <w:rFonts w:ascii="Cambria Math" w:hAnsi="Cambria Math"/>
          </w:rPr>
          <m:t>i</m:t>
        </m:r>
      </m:oMath>
      <w:r>
        <w:t xml:space="preserve">, where the superscript </w:t>
      </w:r>
      <m:oMath>
        <m:r>
          <w:rPr>
            <w:rFonts w:ascii="Cambria Math" w:hAnsi="Cambria Math"/>
          </w:rPr>
          <m:t>s</m:t>
        </m:r>
      </m:oMath>
      <w:r>
        <w:t xml:space="preserve"> implies the subjective probability based on the bookmaker’s and bettor’s combined assessment of the chance of this outcome), such that </w:t>
      </w:r>
    </w:p>
    <w:tbl>
      <w:tblPr>
        <w:tblStyle w:val="TableGrid0"/>
        <w:tblW w:w="5336" w:type="pct"/>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6"/>
        <w:gridCol w:w="6997"/>
        <w:gridCol w:w="1497"/>
      </w:tblGrid>
      <w:tr w:rsidR="00350448" w14:paraId="5402F5E1" w14:textId="77777777" w:rsidTr="00CA6EF1">
        <w:trPr>
          <w:trHeight w:val="718"/>
        </w:trPr>
        <w:tc>
          <w:tcPr>
            <w:tcW w:w="749" w:type="pct"/>
          </w:tcPr>
          <w:p w14:paraId="3CAD1B09" w14:textId="77777777" w:rsidR="00350448" w:rsidRDefault="00350448" w:rsidP="00CA6EF1">
            <w:pPr>
              <w:spacing w:after="3" w:line="265" w:lineRule="auto"/>
              <w:ind w:right="-14"/>
              <w:jc w:val="both"/>
            </w:pPr>
          </w:p>
        </w:tc>
        <w:tc>
          <w:tcPr>
            <w:tcW w:w="3502" w:type="pct"/>
          </w:tcPr>
          <w:p w14:paraId="57F2EB7B" w14:textId="0C57DD8C" w:rsidR="00350448" w:rsidRDefault="0021564F" w:rsidP="00350448">
            <w:pPr>
              <w:spacing w:after="3" w:line="265" w:lineRule="auto"/>
              <w:ind w:right="-14"/>
              <w:jc w:val="both"/>
            </w:pPr>
            <m:oMathPara>
              <m:oMath>
                <m:sSub>
                  <m:sSubPr>
                    <m:ctrlPr>
                      <w:rPr>
                        <w:rFonts w:ascii="Cambria Math" w:hAnsi="Cambria Math"/>
                        <w:i/>
                      </w:rPr>
                    </m:ctrlPr>
                  </m:sSubPr>
                  <m:e>
                    <m:r>
                      <w:rPr>
                        <w:rFonts w:ascii="Cambria Math" w:hAnsi="Cambria Math"/>
                      </w:rPr>
                      <m:t>Z</m:t>
                    </m:r>
                  </m:e>
                  <m:sub>
                    <m:r>
                      <w:rPr>
                        <w:rFonts w:ascii="Cambria Math" w:hAnsi="Cambria Math"/>
                      </w:rPr>
                      <m:t>io</m:t>
                    </m:r>
                  </m:sub>
                </m:sSub>
                <m:r>
                  <w:rPr>
                    <w:rFonts w:ascii="Cambria Math" w:hAnsi="Cambria Math"/>
                  </w:rPr>
                  <m:t xml:space="preserve"> =b×</m:t>
                </m:r>
                <m:func>
                  <m:funcPr>
                    <m:ctrlPr>
                      <w:rPr>
                        <w:rFonts w:ascii="Cambria Math" w:hAnsi="Cambria Math"/>
                        <w:i/>
                      </w:rPr>
                    </m:ctrlPr>
                  </m:funcPr>
                  <m:fName>
                    <m:r>
                      <m:rPr>
                        <m:sty m:val="p"/>
                      </m:rPr>
                      <w:rPr>
                        <w:rFonts w:ascii="Cambria Math" w:hAnsi="Cambria Math"/>
                      </w:rPr>
                      <m:t>ln</m:t>
                    </m:r>
                  </m:fName>
                  <m:e>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io</m:t>
                        </m:r>
                      </m:sub>
                      <m:sup>
                        <m:r>
                          <w:rPr>
                            <w:rFonts w:ascii="Cambria Math" w:hAnsi="Cambria Math"/>
                          </w:rPr>
                          <m:t>s</m:t>
                        </m:r>
                      </m:sup>
                    </m:sSubSup>
                    <m:r>
                      <w:rPr>
                        <w:rFonts w:ascii="Cambria Math" w:hAnsi="Cambria Math"/>
                      </w:rPr>
                      <m:t>)</m:t>
                    </m:r>
                  </m:e>
                </m:func>
              </m:oMath>
            </m:oMathPara>
          </w:p>
        </w:tc>
        <w:tc>
          <w:tcPr>
            <w:tcW w:w="749" w:type="pct"/>
            <w:vAlign w:val="center"/>
          </w:tcPr>
          <w:p w14:paraId="1D40A4E7" w14:textId="6A564E55" w:rsidR="00350448" w:rsidRDefault="00350448" w:rsidP="00350448">
            <w:pPr>
              <w:spacing w:after="3" w:line="265" w:lineRule="auto"/>
              <w:ind w:right="-14"/>
              <w:jc w:val="center"/>
            </w:pPr>
            <w:r>
              <w:t>(15)</w:t>
            </w:r>
          </w:p>
        </w:tc>
      </w:tr>
    </w:tbl>
    <w:p w14:paraId="06F9EAB0" w14:textId="7E8EA389" w:rsidR="00350448" w:rsidRDefault="0083668C" w:rsidP="001E39AF">
      <w:pPr>
        <w:spacing w:after="199" w:line="360" w:lineRule="auto"/>
        <w:jc w:val="both"/>
      </w:pPr>
      <w:r>
        <w:t xml:space="preserve">where </w:t>
      </w:r>
      <w:r w:rsidRPr="00C711F2">
        <w:rPr>
          <w:i/>
        </w:rPr>
        <w:t>b</w:t>
      </w:r>
      <w:r w:rsidRPr="00C711F2">
        <w:t xml:space="preserve"> is a coefficient derived from a conditional logit regression estimated on the basis of past results</w:t>
      </w:r>
      <w:r w:rsidR="003630BB" w:rsidRPr="00C711F2">
        <w:t>,</w:t>
      </w:r>
      <w:r w:rsidR="003630BB">
        <w:t xml:space="preserve"> and </w:t>
      </w:r>
      <w:r w:rsidR="00350448">
        <w:t xml:space="preserve"> </w:t>
      </w:r>
      <m:oMath>
        <m:sSubSup>
          <m:sSubSupPr>
            <m:ctrlPr>
              <w:rPr>
                <w:rFonts w:ascii="Cambria Math" w:hAnsi="Cambria Math"/>
                <w:i/>
              </w:rPr>
            </m:ctrlPr>
          </m:sSubSupPr>
          <m:e>
            <m:r>
              <w:rPr>
                <w:rFonts w:ascii="Cambria Math" w:hAnsi="Cambria Math"/>
              </w:rPr>
              <m:t>p</m:t>
            </m:r>
          </m:e>
          <m:sub>
            <m:r>
              <w:rPr>
                <w:rFonts w:ascii="Cambria Math" w:hAnsi="Cambria Math"/>
              </w:rPr>
              <m:t>io</m:t>
            </m:r>
          </m:sub>
          <m:sup>
            <m:r>
              <w:rPr>
                <w:rFonts w:ascii="Cambria Math" w:hAnsi="Cambria Math"/>
              </w:rPr>
              <m:t>s</m:t>
            </m:r>
          </m:sup>
        </m:sSubSup>
      </m:oMath>
      <w:r w:rsidR="00350448">
        <w:t xml:space="preserve"> can be calculated from the odds </w:t>
      </w:r>
      <m:oMath>
        <m:sSub>
          <m:sSubPr>
            <m:ctrlPr>
              <w:rPr>
                <w:rFonts w:ascii="Cambria Math" w:hAnsi="Cambria Math"/>
                <w:i/>
              </w:rPr>
            </m:ctrlPr>
          </m:sSubPr>
          <m:e>
            <m:r>
              <w:rPr>
                <w:rFonts w:ascii="Cambria Math" w:hAnsi="Cambria Math"/>
              </w:rPr>
              <m:t>X</m:t>
            </m:r>
          </m:e>
          <m:sub>
            <m:r>
              <w:rPr>
                <w:rFonts w:ascii="Cambria Math" w:hAnsi="Cambria Math"/>
              </w:rPr>
              <m:t>io</m:t>
            </m:r>
          </m:sub>
        </m:sSub>
      </m:oMath>
      <w:r w:rsidR="00350448">
        <w:t xml:space="preserve"> of outcome </w:t>
      </w:r>
      <m:oMath>
        <m:r>
          <w:rPr>
            <w:rFonts w:ascii="Cambria Math" w:hAnsi="Cambria Math"/>
          </w:rPr>
          <m:t>o</m:t>
        </m:r>
      </m:oMath>
      <w:r w:rsidR="00350448">
        <w:t xml:space="preserve"> in match </w:t>
      </w:r>
      <m:oMath>
        <m:r>
          <w:rPr>
            <w:rFonts w:ascii="Cambria Math" w:hAnsi="Cambria Math"/>
          </w:rPr>
          <m:t>i</m:t>
        </m:r>
      </m:oMath>
      <w:r w:rsidR="00350448">
        <w:t xml:space="preserve"> as</w:t>
      </w:r>
    </w:p>
    <w:tbl>
      <w:tblPr>
        <w:tblStyle w:val="TableGrid0"/>
        <w:tblW w:w="5336" w:type="pct"/>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6"/>
        <w:gridCol w:w="6997"/>
        <w:gridCol w:w="1497"/>
      </w:tblGrid>
      <w:tr w:rsidR="00350448" w14:paraId="4F193F93" w14:textId="77777777" w:rsidTr="00CA6EF1">
        <w:trPr>
          <w:trHeight w:val="718"/>
        </w:trPr>
        <w:tc>
          <w:tcPr>
            <w:tcW w:w="749" w:type="pct"/>
          </w:tcPr>
          <w:p w14:paraId="75D3619A" w14:textId="77777777" w:rsidR="00350448" w:rsidRDefault="00350448" w:rsidP="00CA6EF1">
            <w:pPr>
              <w:spacing w:after="3" w:line="265" w:lineRule="auto"/>
              <w:ind w:right="-14"/>
              <w:jc w:val="both"/>
            </w:pPr>
          </w:p>
        </w:tc>
        <w:tc>
          <w:tcPr>
            <w:tcW w:w="3502" w:type="pct"/>
          </w:tcPr>
          <w:p w14:paraId="4954478E" w14:textId="542164EA" w:rsidR="00350448" w:rsidRDefault="0021564F" w:rsidP="00350448">
            <w:pPr>
              <w:spacing w:after="3" w:line="265" w:lineRule="auto"/>
              <w:ind w:right="-14"/>
              <w:jc w:val="both"/>
            </w:pPr>
            <m:oMathPara>
              <m:oMath>
                <m:sSubSup>
                  <m:sSubSupPr>
                    <m:ctrlPr>
                      <w:rPr>
                        <w:rFonts w:ascii="Cambria Math" w:hAnsi="Cambria Math"/>
                        <w:i/>
                      </w:rPr>
                    </m:ctrlPr>
                  </m:sSubSupPr>
                  <m:e>
                    <m:r>
                      <w:rPr>
                        <w:rFonts w:ascii="Cambria Math" w:hAnsi="Cambria Math"/>
                      </w:rPr>
                      <m:t>p</m:t>
                    </m:r>
                  </m:e>
                  <m:sub>
                    <m:r>
                      <w:rPr>
                        <w:rFonts w:ascii="Cambria Math" w:hAnsi="Cambria Math"/>
                      </w:rPr>
                      <m:t>io</m:t>
                    </m:r>
                  </m:sub>
                  <m:sup>
                    <m:r>
                      <w:rPr>
                        <w:rFonts w:ascii="Cambria Math" w:hAnsi="Cambria Math"/>
                      </w:rPr>
                      <m:t>s</m:t>
                    </m:r>
                  </m:sup>
                </m:sSubSup>
                <m:r>
                  <w:rPr>
                    <w:rFonts w:ascii="Cambria Math" w:hAnsi="Cambria Math"/>
                  </w:rPr>
                  <m:t xml:space="preserve"> =</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X</m:t>
                        </m:r>
                      </m:e>
                      <m:sub>
                        <m:r>
                          <w:rPr>
                            <w:rFonts w:ascii="Cambria Math" w:hAnsi="Cambria Math"/>
                          </w:rPr>
                          <m:t>io</m:t>
                        </m:r>
                      </m:sub>
                    </m:sSub>
                    <m:r>
                      <w:rPr>
                        <w:rFonts w:ascii="Cambria Math" w:hAnsi="Cambria Math"/>
                      </w:rPr>
                      <m:t>(1+</m:t>
                    </m:r>
                    <m:sSub>
                      <m:sSubPr>
                        <m:ctrlPr>
                          <w:rPr>
                            <w:rFonts w:ascii="Cambria Math" w:hAnsi="Cambria Math"/>
                            <w:i/>
                          </w:rPr>
                        </m:ctrlPr>
                      </m:sSubPr>
                      <m:e>
                        <m:r>
                          <w:rPr>
                            <w:rFonts w:ascii="Cambria Math" w:hAnsi="Cambria Math"/>
                          </w:rPr>
                          <m:t>ρ</m:t>
                        </m:r>
                      </m:e>
                      <m:sub>
                        <m:r>
                          <w:rPr>
                            <w:rFonts w:ascii="Cambria Math" w:hAnsi="Cambria Math"/>
                          </w:rPr>
                          <m:t>i</m:t>
                        </m:r>
                      </m:sub>
                    </m:sSub>
                    <m:r>
                      <w:rPr>
                        <w:rFonts w:ascii="Cambria Math" w:hAnsi="Cambria Math"/>
                      </w:rPr>
                      <m:t>)</m:t>
                    </m:r>
                  </m:den>
                </m:f>
              </m:oMath>
            </m:oMathPara>
          </w:p>
        </w:tc>
        <w:tc>
          <w:tcPr>
            <w:tcW w:w="749" w:type="pct"/>
            <w:vAlign w:val="center"/>
          </w:tcPr>
          <w:p w14:paraId="414A011B" w14:textId="403AFEE1" w:rsidR="00350448" w:rsidRDefault="00350448" w:rsidP="00350448">
            <w:pPr>
              <w:spacing w:after="3" w:line="265" w:lineRule="auto"/>
              <w:ind w:right="-14"/>
              <w:jc w:val="center"/>
            </w:pPr>
            <w:r>
              <w:t>(16)</w:t>
            </w:r>
          </w:p>
        </w:tc>
      </w:tr>
    </w:tbl>
    <w:p w14:paraId="2472EB3A" w14:textId="3295A236" w:rsidR="00350448" w:rsidRDefault="00093858" w:rsidP="00350448">
      <w:pPr>
        <w:spacing w:after="199" w:line="360" w:lineRule="auto"/>
        <w:ind w:left="-15"/>
        <w:jc w:val="both"/>
      </w:pPr>
      <w:r>
        <w:t xml:space="preserve">and </w:t>
      </w:r>
      <m:oMath>
        <m:sSub>
          <m:sSubPr>
            <m:ctrlPr>
              <w:rPr>
                <w:rFonts w:ascii="Cambria Math" w:hAnsi="Cambria Math"/>
                <w:i/>
              </w:rPr>
            </m:ctrlPr>
          </m:sSubPr>
          <m:e>
            <m:r>
              <w:rPr>
                <w:rFonts w:ascii="Cambria Math" w:hAnsi="Cambria Math"/>
              </w:rPr>
              <m:t>ρ</m:t>
            </m:r>
          </m:e>
          <m:sub>
            <m:r>
              <w:rPr>
                <w:rFonts w:ascii="Cambria Math" w:hAnsi="Cambria Math"/>
              </w:rPr>
              <m:t>i</m:t>
            </m:r>
          </m:sub>
        </m:sSub>
      </m:oMath>
      <w:r>
        <w:t xml:space="preserve"> is the bookmaker’s over-round. This can be calculated from the odds offered for all outcomes </w:t>
      </w:r>
      <m:oMath>
        <m:r>
          <w:rPr>
            <w:rFonts w:ascii="Cambria Math" w:hAnsi="Cambria Math"/>
          </w:rPr>
          <m:t>o</m:t>
        </m:r>
      </m:oMath>
      <w:r>
        <w:t xml:space="preserve"> of match </w:t>
      </w:r>
      <m:oMath>
        <m:r>
          <w:rPr>
            <w:rFonts w:ascii="Cambria Math" w:hAnsi="Cambria Math"/>
          </w:rPr>
          <m:t>i</m:t>
        </m:r>
      </m:oMath>
      <w:r>
        <w:t xml:space="preserve"> as</w:t>
      </w:r>
    </w:p>
    <w:tbl>
      <w:tblPr>
        <w:tblStyle w:val="TableGrid0"/>
        <w:tblW w:w="5336" w:type="pct"/>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6"/>
        <w:gridCol w:w="6997"/>
        <w:gridCol w:w="1497"/>
      </w:tblGrid>
      <w:tr w:rsidR="00093858" w14:paraId="7036AD91" w14:textId="77777777" w:rsidTr="00CA6EF1">
        <w:trPr>
          <w:trHeight w:val="718"/>
        </w:trPr>
        <w:tc>
          <w:tcPr>
            <w:tcW w:w="749" w:type="pct"/>
          </w:tcPr>
          <w:p w14:paraId="1C2E9DF7" w14:textId="77777777" w:rsidR="00093858" w:rsidRDefault="00093858" w:rsidP="00CA6EF1">
            <w:pPr>
              <w:spacing w:after="3" w:line="265" w:lineRule="auto"/>
              <w:ind w:right="-14"/>
              <w:jc w:val="both"/>
            </w:pPr>
          </w:p>
        </w:tc>
        <w:tc>
          <w:tcPr>
            <w:tcW w:w="3502" w:type="pct"/>
          </w:tcPr>
          <w:p w14:paraId="436EC860" w14:textId="15298BEF" w:rsidR="00093858" w:rsidRDefault="0021564F" w:rsidP="00093858">
            <w:pPr>
              <w:spacing w:after="3" w:line="265" w:lineRule="auto"/>
              <w:ind w:right="-14"/>
              <w:jc w:val="both"/>
            </w:pPr>
            <m:oMathPara>
              <m:oMath>
                <m:sSub>
                  <m:sSubPr>
                    <m:ctrlPr>
                      <w:rPr>
                        <w:rFonts w:ascii="Cambria Math" w:hAnsi="Cambria Math"/>
                        <w:i/>
                      </w:rPr>
                    </m:ctrlPr>
                  </m:sSubPr>
                  <m:e>
                    <m:r>
                      <w:rPr>
                        <w:rFonts w:ascii="Cambria Math" w:hAnsi="Cambria Math"/>
                      </w:rPr>
                      <m:t>ρ</m:t>
                    </m:r>
                  </m:e>
                  <m:sub>
                    <m:r>
                      <w:rPr>
                        <w:rFonts w:ascii="Cambria Math" w:hAnsi="Cambria Math"/>
                      </w:rPr>
                      <m:t>i</m:t>
                    </m:r>
                  </m:sub>
                </m:sSub>
                <m:r>
                  <w:rPr>
                    <w:rFonts w:ascii="Cambria Math" w:hAnsi="Cambria Math"/>
                  </w:rPr>
                  <m:t xml:space="preserve"> =</m:t>
                </m:r>
                <m:nary>
                  <m:naryPr>
                    <m:chr m:val="∑"/>
                    <m:limLoc m:val="undOvr"/>
                    <m:ctrlPr>
                      <w:rPr>
                        <w:rFonts w:ascii="Cambria Math" w:hAnsi="Cambria Math"/>
                        <w:i/>
                      </w:rPr>
                    </m:ctrlPr>
                  </m:naryPr>
                  <m:sub>
                    <m:r>
                      <w:rPr>
                        <w:rFonts w:ascii="Cambria Math" w:hAnsi="Cambria Math"/>
                      </w:rPr>
                      <m:t>i=1</m:t>
                    </m:r>
                  </m:sub>
                  <m:sup>
                    <m:r>
                      <w:rPr>
                        <w:rFonts w:ascii="Cambria Math" w:hAnsi="Cambria Math"/>
                      </w:rPr>
                      <m:t>3</m:t>
                    </m:r>
                  </m:sup>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X</m:t>
                            </m:r>
                          </m:e>
                          <m:sub>
                            <m:r>
                              <w:rPr>
                                <w:rFonts w:ascii="Cambria Math" w:hAnsi="Cambria Math"/>
                              </w:rPr>
                              <m:t>io</m:t>
                            </m:r>
                          </m:sub>
                        </m:sSub>
                      </m:den>
                    </m:f>
                    <m:r>
                      <w:rPr>
                        <w:rFonts w:ascii="Cambria Math" w:hAnsi="Cambria Math"/>
                      </w:rPr>
                      <m:t>-1</m:t>
                    </m:r>
                  </m:e>
                </m:nary>
              </m:oMath>
            </m:oMathPara>
          </w:p>
        </w:tc>
        <w:tc>
          <w:tcPr>
            <w:tcW w:w="749" w:type="pct"/>
            <w:vAlign w:val="center"/>
          </w:tcPr>
          <w:p w14:paraId="0C09D4D5" w14:textId="2EA4461A" w:rsidR="00093858" w:rsidRDefault="00093858" w:rsidP="00093858">
            <w:pPr>
              <w:spacing w:after="3" w:line="265" w:lineRule="auto"/>
              <w:ind w:right="-14"/>
              <w:jc w:val="center"/>
            </w:pPr>
            <w:r>
              <w:t>(17)</w:t>
            </w:r>
          </w:p>
        </w:tc>
      </w:tr>
    </w:tbl>
    <w:p w14:paraId="410A5A55" w14:textId="1ED4F929" w:rsidR="00093858" w:rsidRDefault="00093858" w:rsidP="00350448">
      <w:pPr>
        <w:spacing w:after="199" w:line="360" w:lineRule="auto"/>
        <w:ind w:left="-15"/>
        <w:jc w:val="both"/>
      </w:pPr>
      <w:r>
        <w:t>Hence, (14) can be written as</w:t>
      </w:r>
    </w:p>
    <w:tbl>
      <w:tblPr>
        <w:tblStyle w:val="TableGrid0"/>
        <w:tblW w:w="5336" w:type="pct"/>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6"/>
        <w:gridCol w:w="6997"/>
        <w:gridCol w:w="1497"/>
      </w:tblGrid>
      <w:tr w:rsidR="00093858" w14:paraId="34A9B4AC" w14:textId="77777777" w:rsidTr="00CA6EF1">
        <w:trPr>
          <w:trHeight w:val="718"/>
        </w:trPr>
        <w:tc>
          <w:tcPr>
            <w:tcW w:w="749" w:type="pct"/>
          </w:tcPr>
          <w:p w14:paraId="1A16D478" w14:textId="77777777" w:rsidR="00093858" w:rsidRDefault="00093858" w:rsidP="00CA6EF1">
            <w:pPr>
              <w:spacing w:after="3" w:line="265" w:lineRule="auto"/>
              <w:ind w:right="-14"/>
              <w:jc w:val="both"/>
            </w:pPr>
          </w:p>
        </w:tc>
        <w:tc>
          <w:tcPr>
            <w:tcW w:w="3502" w:type="pct"/>
          </w:tcPr>
          <w:p w14:paraId="78E1C739" w14:textId="468B96BF" w:rsidR="00093858" w:rsidRDefault="00093858" w:rsidP="00093858">
            <w:pPr>
              <w:spacing w:after="3" w:line="265" w:lineRule="auto"/>
              <w:ind w:right="-14"/>
              <w:jc w:val="both"/>
            </w:pPr>
            <m:oMathPara>
              <m:oMath>
                <m:r>
                  <w:rPr>
                    <w:rFonts w:ascii="Cambria Math" w:hAnsi="Cambria Math"/>
                  </w:rPr>
                  <m:t>P</m:t>
                </m:r>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io</m:t>
                        </m:r>
                      </m:sub>
                    </m:sSub>
                    <m:r>
                      <w:rPr>
                        <w:rFonts w:ascii="Cambria Math" w:hAnsi="Cambria Math"/>
                      </w:rPr>
                      <m:t>=1</m:t>
                    </m:r>
                  </m:e>
                </m:d>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b×</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sSubSup>
                                  <m:sSubSupPr>
                                    <m:ctrlPr>
                                      <w:rPr>
                                        <w:rFonts w:ascii="Cambria Math" w:hAnsi="Cambria Math"/>
                                        <w:i/>
                                      </w:rPr>
                                    </m:ctrlPr>
                                  </m:sSubSupPr>
                                  <m:e>
                                    <m:r>
                                      <w:rPr>
                                        <w:rFonts w:ascii="Cambria Math" w:hAnsi="Cambria Math"/>
                                      </w:rPr>
                                      <m:t>p</m:t>
                                    </m:r>
                                  </m:e>
                                  <m:sub>
                                    <m:r>
                                      <w:rPr>
                                        <w:rFonts w:ascii="Cambria Math" w:hAnsi="Cambria Math"/>
                                      </w:rPr>
                                      <m:t>io</m:t>
                                    </m:r>
                                  </m:sub>
                                  <m:sup>
                                    <m:r>
                                      <w:rPr>
                                        <w:rFonts w:ascii="Cambria Math" w:hAnsi="Cambria Math"/>
                                      </w:rPr>
                                      <m:t>s</m:t>
                                    </m:r>
                                  </m:sup>
                                </m:sSubSup>
                              </m:e>
                            </m:d>
                          </m:e>
                        </m:func>
                      </m:sup>
                    </m:sSup>
                  </m:num>
                  <m:den>
                    <m:nary>
                      <m:naryPr>
                        <m:chr m:val="∑"/>
                        <m:limLoc m:val="undOvr"/>
                        <m:ctrlPr>
                          <w:rPr>
                            <w:rFonts w:ascii="Cambria Math" w:hAnsi="Cambria Math"/>
                            <w:i/>
                          </w:rPr>
                        </m:ctrlPr>
                      </m:naryPr>
                      <m:sub>
                        <m:r>
                          <w:rPr>
                            <w:rFonts w:ascii="Cambria Math" w:hAnsi="Cambria Math"/>
                          </w:rPr>
                          <m:t>o=1</m:t>
                        </m:r>
                      </m:sub>
                      <m:sup>
                        <m:r>
                          <w:rPr>
                            <w:rFonts w:ascii="Cambria Math" w:hAnsi="Cambria Math"/>
                          </w:rPr>
                          <m:t>3</m:t>
                        </m:r>
                      </m:sup>
                      <m:e>
                        <m:sSup>
                          <m:sSupPr>
                            <m:ctrlPr>
                              <w:rPr>
                                <w:rFonts w:ascii="Cambria Math" w:hAnsi="Cambria Math"/>
                                <w:i/>
                              </w:rPr>
                            </m:ctrlPr>
                          </m:sSupPr>
                          <m:e>
                            <m:r>
                              <w:rPr>
                                <w:rFonts w:ascii="Cambria Math" w:hAnsi="Cambria Math"/>
                              </w:rPr>
                              <m:t>e</m:t>
                            </m:r>
                          </m:e>
                          <m:sup>
                            <m:r>
                              <w:rPr>
                                <w:rFonts w:ascii="Cambria Math" w:hAnsi="Cambria Math"/>
                              </w:rPr>
                              <m:t>b×</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sSubSup>
                                      <m:sSubSupPr>
                                        <m:ctrlPr>
                                          <w:rPr>
                                            <w:rFonts w:ascii="Cambria Math" w:hAnsi="Cambria Math"/>
                                            <w:i/>
                                          </w:rPr>
                                        </m:ctrlPr>
                                      </m:sSubSupPr>
                                      <m:e>
                                        <m:r>
                                          <w:rPr>
                                            <w:rFonts w:ascii="Cambria Math" w:hAnsi="Cambria Math"/>
                                          </w:rPr>
                                          <m:t>p</m:t>
                                        </m:r>
                                      </m:e>
                                      <m:sub>
                                        <m:r>
                                          <w:rPr>
                                            <w:rFonts w:ascii="Cambria Math" w:hAnsi="Cambria Math"/>
                                          </w:rPr>
                                          <m:t>io</m:t>
                                        </m:r>
                                      </m:sub>
                                      <m:sup>
                                        <m:r>
                                          <w:rPr>
                                            <w:rFonts w:ascii="Cambria Math" w:hAnsi="Cambria Math"/>
                                          </w:rPr>
                                          <m:t>s</m:t>
                                        </m:r>
                                      </m:sup>
                                    </m:sSubSup>
                                  </m:e>
                                </m:d>
                              </m:e>
                            </m:func>
                          </m:sup>
                        </m:sSup>
                      </m:e>
                    </m:nary>
                  </m:den>
                </m:f>
                <m:r>
                  <w:rPr>
                    <w:rFonts w:ascii="Cambria Math" w:hAnsi="Cambria Math"/>
                  </w:rPr>
                  <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sSubSup>
                              <m:sSubSupPr>
                                <m:ctrlPr>
                                  <w:rPr>
                                    <w:rFonts w:ascii="Cambria Math" w:hAnsi="Cambria Math"/>
                                    <w:i/>
                                  </w:rPr>
                                </m:ctrlPr>
                              </m:sSubSupPr>
                              <m:e>
                                <m:r>
                                  <w:rPr>
                                    <w:rFonts w:ascii="Cambria Math" w:hAnsi="Cambria Math"/>
                                  </w:rPr>
                                  <m:t>p</m:t>
                                </m:r>
                              </m:e>
                              <m:sub>
                                <m:r>
                                  <w:rPr>
                                    <w:rFonts w:ascii="Cambria Math" w:hAnsi="Cambria Math"/>
                                  </w:rPr>
                                  <m:t>io</m:t>
                                </m:r>
                              </m:sub>
                              <m:sup>
                                <m:r>
                                  <w:rPr>
                                    <w:rFonts w:ascii="Cambria Math" w:hAnsi="Cambria Math"/>
                                  </w:rPr>
                                  <m:t>s</m:t>
                                </m:r>
                              </m:sup>
                            </m:sSubSup>
                          </m:e>
                        </m:d>
                      </m:e>
                      <m:sup>
                        <m:r>
                          <w:rPr>
                            <w:rFonts w:ascii="Cambria Math" w:hAnsi="Cambria Math"/>
                          </w:rPr>
                          <m:t>b</m:t>
                        </m:r>
                      </m:sup>
                    </m:sSup>
                  </m:num>
                  <m:den>
                    <m:nary>
                      <m:naryPr>
                        <m:chr m:val="∑"/>
                        <m:limLoc m:val="undOvr"/>
                        <m:ctrlPr>
                          <w:rPr>
                            <w:rFonts w:ascii="Cambria Math" w:hAnsi="Cambria Math"/>
                            <w:i/>
                          </w:rPr>
                        </m:ctrlPr>
                      </m:naryPr>
                      <m:sub>
                        <m:r>
                          <w:rPr>
                            <w:rFonts w:ascii="Cambria Math" w:hAnsi="Cambria Math"/>
                          </w:rPr>
                          <m:t>o=1</m:t>
                        </m:r>
                      </m:sub>
                      <m:sup>
                        <m:r>
                          <w:rPr>
                            <w:rFonts w:ascii="Cambria Math" w:hAnsi="Cambria Math"/>
                          </w:rPr>
                          <m:t>3</m:t>
                        </m:r>
                      </m:sup>
                      <m:e>
                        <m:sSup>
                          <m:sSupPr>
                            <m:ctrlPr>
                              <w:rPr>
                                <w:rFonts w:ascii="Cambria Math" w:hAnsi="Cambria Math"/>
                                <w:i/>
                              </w:rPr>
                            </m:ctrlPr>
                          </m:sSupPr>
                          <m:e>
                            <m:d>
                              <m:dPr>
                                <m:ctrlPr>
                                  <w:rPr>
                                    <w:rFonts w:ascii="Cambria Math" w:hAnsi="Cambria Math"/>
                                    <w:i/>
                                  </w:rPr>
                                </m:ctrlPr>
                              </m:dPr>
                              <m:e>
                                <m:sSubSup>
                                  <m:sSubSupPr>
                                    <m:ctrlPr>
                                      <w:rPr>
                                        <w:rFonts w:ascii="Cambria Math" w:hAnsi="Cambria Math"/>
                                        <w:i/>
                                      </w:rPr>
                                    </m:ctrlPr>
                                  </m:sSubSupPr>
                                  <m:e>
                                    <m:r>
                                      <w:rPr>
                                        <w:rFonts w:ascii="Cambria Math" w:hAnsi="Cambria Math"/>
                                      </w:rPr>
                                      <m:t>p</m:t>
                                    </m:r>
                                  </m:e>
                                  <m:sub>
                                    <m:r>
                                      <w:rPr>
                                        <w:rFonts w:ascii="Cambria Math" w:hAnsi="Cambria Math"/>
                                      </w:rPr>
                                      <m:t>io</m:t>
                                    </m:r>
                                  </m:sub>
                                  <m:sup>
                                    <m:r>
                                      <w:rPr>
                                        <w:rFonts w:ascii="Cambria Math" w:hAnsi="Cambria Math"/>
                                      </w:rPr>
                                      <m:t>s</m:t>
                                    </m:r>
                                  </m:sup>
                                </m:sSubSup>
                              </m:e>
                            </m:d>
                          </m:e>
                          <m:sup>
                            <m:r>
                              <w:rPr>
                                <w:rFonts w:ascii="Cambria Math" w:hAnsi="Cambria Math"/>
                              </w:rPr>
                              <m:t>b</m:t>
                            </m:r>
                          </m:sup>
                        </m:sSup>
                      </m:e>
                    </m:nary>
                  </m:den>
                </m:f>
              </m:oMath>
            </m:oMathPara>
          </w:p>
        </w:tc>
        <w:tc>
          <w:tcPr>
            <w:tcW w:w="749" w:type="pct"/>
            <w:vAlign w:val="center"/>
          </w:tcPr>
          <w:p w14:paraId="08A4C86D" w14:textId="7CBDFA60" w:rsidR="00093858" w:rsidRDefault="00093858" w:rsidP="00093858">
            <w:pPr>
              <w:spacing w:after="3" w:line="265" w:lineRule="auto"/>
              <w:ind w:right="-14"/>
              <w:jc w:val="center"/>
            </w:pPr>
            <w:r>
              <w:t>(18)</w:t>
            </w:r>
          </w:p>
        </w:tc>
      </w:tr>
    </w:tbl>
    <w:p w14:paraId="4476BBFE" w14:textId="054A6745" w:rsidR="00093858" w:rsidRDefault="00093858" w:rsidP="00350448">
      <w:pPr>
        <w:spacing w:after="199" w:line="360" w:lineRule="auto"/>
        <w:ind w:left="-15"/>
        <w:jc w:val="both"/>
      </w:pPr>
      <w:r>
        <w:t xml:space="preserve">Positive FLB indicates that the bookmaker odds underestimate the probability of the most likely event occurring. Therefore, if a bookmaker exhibits this bias, the actual winning probability of </w:t>
      </w:r>
      <w:r w:rsidR="0075780B">
        <w:t>favourite</w:t>
      </w:r>
      <w:r>
        <w:t xml:space="preserve">s, as implied by their observed frequency of success, will be higher than that expected by the odds; whereas for the longshots it will be lower. </w:t>
      </w:r>
      <w:r w:rsidRPr="006D27D2">
        <w:t xml:space="preserve">Thus, denoting as </w:t>
      </w:r>
      <m:oMath>
        <m:sSubSup>
          <m:sSubSupPr>
            <m:ctrlPr>
              <w:rPr>
                <w:rFonts w:ascii="Cambria Math" w:hAnsi="Cambria Math"/>
                <w:i/>
              </w:rPr>
            </m:ctrlPr>
          </m:sSubSupPr>
          <m:e>
            <m:r>
              <w:rPr>
                <w:rFonts w:ascii="Cambria Math" w:hAnsi="Cambria Math"/>
              </w:rPr>
              <m:t>p</m:t>
            </m:r>
          </m:e>
          <m:sub>
            <m:r>
              <w:rPr>
                <w:rFonts w:ascii="Cambria Math" w:hAnsi="Cambria Math"/>
              </w:rPr>
              <m:t>io</m:t>
            </m:r>
          </m:sub>
          <m:sup>
            <m:r>
              <w:rPr>
                <w:rFonts w:ascii="Cambria Math" w:hAnsi="Cambria Math"/>
              </w:rPr>
              <m:t>v</m:t>
            </m:r>
          </m:sup>
        </m:sSubSup>
      </m:oMath>
      <w:r w:rsidRPr="006D27D2">
        <w:t xml:space="preserve">the ‘true’ or </w:t>
      </w:r>
      <w:r w:rsidR="008E6F77" w:rsidRPr="006D27D2">
        <w:t xml:space="preserve">objective </w:t>
      </w:r>
      <w:r w:rsidRPr="006D27D2">
        <w:t>probability (the ‘</w:t>
      </w:r>
      <m:oMath>
        <m:r>
          <w:rPr>
            <w:rFonts w:ascii="Cambria Math" w:hAnsi="Cambria Math"/>
          </w:rPr>
          <m:t>v</m:t>
        </m:r>
      </m:oMath>
      <w:r w:rsidRPr="006D27D2">
        <w:t xml:space="preserve">’ denoting ‘verifiable’ or objective </w:t>
      </w:r>
      <w:r w:rsidR="008E6F77" w:rsidRPr="006D27D2">
        <w:t>probability)</w:t>
      </w:r>
      <w:r w:rsidR="008E6F77">
        <w:t xml:space="preserve"> </w:t>
      </w:r>
      <w:r>
        <w:t xml:space="preserve">of outcome </w:t>
      </w:r>
      <m:oMath>
        <m:r>
          <w:rPr>
            <w:rFonts w:ascii="Cambria Math" w:hAnsi="Cambria Math"/>
          </w:rPr>
          <m:t>o</m:t>
        </m:r>
      </m:oMath>
      <w:r>
        <w:t xml:space="preserve"> in match </w:t>
      </w:r>
      <m:oMath>
        <m:r>
          <w:rPr>
            <w:rFonts w:ascii="Cambria Math" w:hAnsi="Cambria Math"/>
          </w:rPr>
          <m:t>i</m:t>
        </m:r>
      </m:oMath>
      <w:r>
        <w:t>, we can infer the following.</w:t>
      </w:r>
    </w:p>
    <w:tbl>
      <w:tblPr>
        <w:tblStyle w:val="TableGrid0"/>
        <w:tblW w:w="5336" w:type="pct"/>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6"/>
        <w:gridCol w:w="6997"/>
        <w:gridCol w:w="1497"/>
      </w:tblGrid>
      <w:tr w:rsidR="00093858" w14:paraId="6FFD6C02" w14:textId="77777777" w:rsidTr="00CA6EF1">
        <w:trPr>
          <w:trHeight w:val="718"/>
        </w:trPr>
        <w:tc>
          <w:tcPr>
            <w:tcW w:w="749" w:type="pct"/>
          </w:tcPr>
          <w:p w14:paraId="33008EEC" w14:textId="77777777" w:rsidR="00093858" w:rsidRDefault="00093858" w:rsidP="00CA6EF1">
            <w:pPr>
              <w:spacing w:after="3" w:line="265" w:lineRule="auto"/>
              <w:ind w:right="-14"/>
              <w:jc w:val="both"/>
            </w:pPr>
          </w:p>
        </w:tc>
        <w:tc>
          <w:tcPr>
            <w:tcW w:w="3502" w:type="pct"/>
          </w:tcPr>
          <w:p w14:paraId="3777CB07" w14:textId="4533B50E" w:rsidR="00093858" w:rsidRDefault="0021564F" w:rsidP="00093858">
            <w:pPr>
              <w:spacing w:after="3" w:line="265" w:lineRule="auto"/>
              <w:ind w:right="-14"/>
              <w:jc w:val="both"/>
            </w:pPr>
            <m:oMathPara>
              <m:oMath>
                <m:sSubSup>
                  <m:sSubSupPr>
                    <m:ctrlPr>
                      <w:rPr>
                        <w:rFonts w:ascii="Cambria Math" w:hAnsi="Cambria Math"/>
                        <w:i/>
                      </w:rPr>
                    </m:ctrlPr>
                  </m:sSubSupPr>
                  <m:e>
                    <m:r>
                      <w:rPr>
                        <w:rFonts w:ascii="Cambria Math" w:hAnsi="Cambria Math"/>
                      </w:rPr>
                      <m:t>p</m:t>
                    </m:r>
                  </m:e>
                  <m:sub>
                    <m:r>
                      <w:rPr>
                        <w:rFonts w:ascii="Cambria Math" w:hAnsi="Cambria Math"/>
                      </w:rPr>
                      <m:t>if</m:t>
                    </m:r>
                  </m:sub>
                  <m:sup>
                    <m:r>
                      <w:rPr>
                        <w:rFonts w:ascii="Cambria Math" w:hAnsi="Cambria Math"/>
                      </w:rPr>
                      <m:t>s</m:t>
                    </m:r>
                  </m:sup>
                </m:sSubSup>
                <m:r>
                  <w:rPr>
                    <w:rFonts w:ascii="Cambria Math" w:hAnsi="Cambria Math"/>
                  </w:rPr>
                  <m:t>&gt;</m:t>
                </m:r>
                <m:sSubSup>
                  <m:sSubSupPr>
                    <m:ctrlPr>
                      <w:rPr>
                        <w:rFonts w:ascii="Cambria Math" w:hAnsi="Cambria Math"/>
                        <w:i/>
                      </w:rPr>
                    </m:ctrlPr>
                  </m:sSubSupPr>
                  <m:e>
                    <m:r>
                      <w:rPr>
                        <w:rFonts w:ascii="Cambria Math" w:hAnsi="Cambria Math"/>
                      </w:rPr>
                      <m:t>p</m:t>
                    </m:r>
                  </m:e>
                  <m:sub>
                    <m:r>
                      <w:rPr>
                        <w:rFonts w:ascii="Cambria Math" w:hAnsi="Cambria Math"/>
                      </w:rPr>
                      <m:t>il</m:t>
                    </m:r>
                  </m:sub>
                  <m:sup>
                    <m:r>
                      <w:rPr>
                        <w:rFonts w:ascii="Cambria Math" w:hAnsi="Cambria Math"/>
                      </w:rPr>
                      <m:t>s</m:t>
                    </m:r>
                  </m:sup>
                </m:sSubSup>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p</m:t>
                        </m:r>
                      </m:e>
                      <m:sub>
                        <m:r>
                          <w:rPr>
                            <w:rFonts w:ascii="Cambria Math" w:hAnsi="Cambria Math"/>
                          </w:rPr>
                          <m:t>if</m:t>
                        </m:r>
                      </m:sub>
                      <m:sup>
                        <m:r>
                          <w:rPr>
                            <w:rFonts w:ascii="Cambria Math" w:hAnsi="Cambria Math"/>
                          </w:rPr>
                          <m:t>v</m:t>
                        </m:r>
                      </m:sup>
                    </m:sSubSup>
                    <m:r>
                      <w:rPr>
                        <w:rFonts w:ascii="Cambria Math" w:hAnsi="Cambria Math"/>
                      </w:rPr>
                      <m:t xml:space="preserve"> </m:t>
                    </m:r>
                  </m:num>
                  <m:den>
                    <m:sSubSup>
                      <m:sSubSupPr>
                        <m:ctrlPr>
                          <w:rPr>
                            <w:rFonts w:ascii="Cambria Math" w:hAnsi="Cambria Math"/>
                            <w:i/>
                          </w:rPr>
                        </m:ctrlPr>
                      </m:sSubSupPr>
                      <m:e>
                        <m:r>
                          <w:rPr>
                            <w:rFonts w:ascii="Cambria Math" w:hAnsi="Cambria Math"/>
                          </w:rPr>
                          <m:t>p</m:t>
                        </m:r>
                      </m:e>
                      <m:sub>
                        <m:r>
                          <w:rPr>
                            <w:rFonts w:ascii="Cambria Math" w:hAnsi="Cambria Math"/>
                          </w:rPr>
                          <m:t>if</m:t>
                        </m:r>
                      </m:sub>
                      <m:sup>
                        <m:r>
                          <w:rPr>
                            <w:rFonts w:ascii="Cambria Math" w:hAnsi="Cambria Math"/>
                          </w:rPr>
                          <m:t>s</m:t>
                        </m:r>
                      </m:sup>
                    </m:sSubSup>
                  </m:den>
                </m:f>
                <m:r>
                  <w:rPr>
                    <w:rFonts w:ascii="Cambria Math" w:hAnsi="Cambria Math"/>
                  </w:rPr>
                  <m:t>&gt;</m:t>
                </m:r>
                <m:f>
                  <m:fPr>
                    <m:ctrlPr>
                      <w:rPr>
                        <w:rFonts w:ascii="Cambria Math" w:hAnsi="Cambria Math"/>
                        <w:i/>
                      </w:rPr>
                    </m:ctrlPr>
                  </m:fPr>
                  <m:num>
                    <m:sSubSup>
                      <m:sSubSupPr>
                        <m:ctrlPr>
                          <w:rPr>
                            <w:rFonts w:ascii="Cambria Math" w:hAnsi="Cambria Math"/>
                            <w:i/>
                          </w:rPr>
                        </m:ctrlPr>
                      </m:sSubSupPr>
                      <m:e>
                        <m:r>
                          <w:rPr>
                            <w:rFonts w:ascii="Cambria Math" w:hAnsi="Cambria Math"/>
                          </w:rPr>
                          <m:t>p</m:t>
                        </m:r>
                      </m:e>
                      <m:sub>
                        <m:r>
                          <w:rPr>
                            <w:rFonts w:ascii="Cambria Math" w:hAnsi="Cambria Math"/>
                          </w:rPr>
                          <m:t>il</m:t>
                        </m:r>
                      </m:sub>
                      <m:sup>
                        <m:r>
                          <w:rPr>
                            <w:rFonts w:ascii="Cambria Math" w:hAnsi="Cambria Math"/>
                          </w:rPr>
                          <m:t>v</m:t>
                        </m:r>
                      </m:sup>
                    </m:sSubSup>
                    <m:r>
                      <w:rPr>
                        <w:rFonts w:ascii="Cambria Math" w:hAnsi="Cambria Math"/>
                      </w:rPr>
                      <m:t xml:space="preserve"> </m:t>
                    </m:r>
                  </m:num>
                  <m:den>
                    <m:sSubSup>
                      <m:sSubSupPr>
                        <m:ctrlPr>
                          <w:rPr>
                            <w:rFonts w:ascii="Cambria Math" w:hAnsi="Cambria Math"/>
                            <w:i/>
                          </w:rPr>
                        </m:ctrlPr>
                      </m:sSubSupPr>
                      <m:e>
                        <m:r>
                          <w:rPr>
                            <w:rFonts w:ascii="Cambria Math" w:hAnsi="Cambria Math"/>
                          </w:rPr>
                          <m:t>p</m:t>
                        </m:r>
                      </m:e>
                      <m:sub>
                        <m:r>
                          <w:rPr>
                            <w:rFonts w:ascii="Cambria Math" w:hAnsi="Cambria Math"/>
                          </w:rPr>
                          <m:t>il</m:t>
                        </m:r>
                      </m:sub>
                      <m:sup>
                        <m:r>
                          <w:rPr>
                            <w:rFonts w:ascii="Cambria Math" w:hAnsi="Cambria Math"/>
                          </w:rPr>
                          <m:t>s</m:t>
                        </m:r>
                      </m:sup>
                    </m:sSubSup>
                  </m:den>
                </m:f>
              </m:oMath>
            </m:oMathPara>
          </w:p>
        </w:tc>
        <w:tc>
          <w:tcPr>
            <w:tcW w:w="749" w:type="pct"/>
            <w:vAlign w:val="center"/>
          </w:tcPr>
          <w:p w14:paraId="09B4967A" w14:textId="7F5CAE4F" w:rsidR="00093858" w:rsidRDefault="00093858" w:rsidP="00093858">
            <w:pPr>
              <w:spacing w:after="3" w:line="265" w:lineRule="auto"/>
              <w:ind w:right="-14"/>
              <w:jc w:val="center"/>
            </w:pPr>
            <w:r>
              <w:t>(19)</w:t>
            </w:r>
          </w:p>
        </w:tc>
      </w:tr>
    </w:tbl>
    <w:p w14:paraId="7024132D" w14:textId="244FE043" w:rsidR="00093858" w:rsidRDefault="00093858" w:rsidP="00350448">
      <w:pPr>
        <w:spacing w:after="199" w:line="360" w:lineRule="auto"/>
        <w:ind w:left="-15"/>
        <w:jc w:val="both"/>
      </w:pPr>
      <w:r>
        <w:t xml:space="preserve">where </w:t>
      </w:r>
      <m:oMath>
        <m:r>
          <w:rPr>
            <w:rFonts w:ascii="Cambria Math" w:hAnsi="Cambria Math"/>
          </w:rPr>
          <m:t>f</m:t>
        </m:r>
      </m:oMath>
      <w:r>
        <w:t xml:space="preserve"> denotes </w:t>
      </w:r>
      <w:r w:rsidR="0075780B">
        <w:t>favourite</w:t>
      </w:r>
      <w:r>
        <w:t xml:space="preserve"> and </w:t>
      </w:r>
      <m:oMath>
        <m:r>
          <w:rPr>
            <w:rFonts w:ascii="Cambria Math" w:hAnsi="Cambria Math"/>
          </w:rPr>
          <m:t>l</m:t>
        </m:r>
      </m:oMath>
      <w:r>
        <w:t xml:space="preserve"> denotes longshot.</w:t>
      </w:r>
    </w:p>
    <w:p w14:paraId="55F44A59" w14:textId="0F23029C" w:rsidR="00093858" w:rsidRDefault="00093858" w:rsidP="00093858">
      <w:pPr>
        <w:spacing w:after="199" w:line="360" w:lineRule="auto"/>
        <w:ind w:left="-15"/>
        <w:jc w:val="both"/>
      </w:pPr>
      <w:r>
        <w:t>Subject to (18),</w:t>
      </w:r>
    </w:p>
    <w:tbl>
      <w:tblPr>
        <w:tblStyle w:val="TableGrid0"/>
        <w:tblW w:w="5336" w:type="pct"/>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6"/>
        <w:gridCol w:w="6997"/>
        <w:gridCol w:w="1497"/>
      </w:tblGrid>
      <w:tr w:rsidR="00093858" w14:paraId="3C31F7E4" w14:textId="77777777" w:rsidTr="00CA6EF1">
        <w:trPr>
          <w:trHeight w:val="718"/>
        </w:trPr>
        <w:tc>
          <w:tcPr>
            <w:tcW w:w="749" w:type="pct"/>
          </w:tcPr>
          <w:p w14:paraId="26DE51A9" w14:textId="77777777" w:rsidR="00093858" w:rsidRDefault="00093858" w:rsidP="00CA6EF1">
            <w:pPr>
              <w:spacing w:after="3" w:line="265" w:lineRule="auto"/>
              <w:ind w:right="-14"/>
              <w:jc w:val="both"/>
            </w:pPr>
          </w:p>
        </w:tc>
        <w:tc>
          <w:tcPr>
            <w:tcW w:w="3502" w:type="pct"/>
          </w:tcPr>
          <w:p w14:paraId="39EF7EE3" w14:textId="5C13D0CB" w:rsidR="00093858" w:rsidRDefault="0021564F" w:rsidP="00B64BD1">
            <w:pPr>
              <w:spacing w:after="3" w:line="265" w:lineRule="auto"/>
              <w:ind w:right="-14"/>
              <w:jc w:val="both"/>
            </w:pPr>
            <m:oMathPara>
              <m:oMath>
                <m:f>
                  <m:fPr>
                    <m:ctrlPr>
                      <w:rPr>
                        <w:rFonts w:ascii="Cambria Math" w:hAnsi="Cambria Math"/>
                        <w:i/>
                      </w:rPr>
                    </m:ctrlPr>
                  </m:fPr>
                  <m:num>
                    <m:sSubSup>
                      <m:sSubSupPr>
                        <m:ctrlPr>
                          <w:rPr>
                            <w:rFonts w:ascii="Cambria Math" w:hAnsi="Cambria Math"/>
                            <w:i/>
                          </w:rPr>
                        </m:ctrlPr>
                      </m:sSubSupPr>
                      <m:e>
                        <m:r>
                          <w:rPr>
                            <w:rFonts w:ascii="Cambria Math" w:hAnsi="Cambria Math"/>
                          </w:rPr>
                          <m:t>p</m:t>
                        </m:r>
                      </m:e>
                      <m:sub>
                        <m:r>
                          <w:rPr>
                            <w:rFonts w:ascii="Cambria Math" w:hAnsi="Cambria Math"/>
                          </w:rPr>
                          <m:t>if</m:t>
                        </m:r>
                      </m:sub>
                      <m:sup>
                        <m:r>
                          <w:rPr>
                            <w:rFonts w:ascii="Cambria Math" w:hAnsi="Cambria Math"/>
                          </w:rPr>
                          <m:t>v</m:t>
                        </m:r>
                      </m:sup>
                    </m:sSubSup>
                    <m:r>
                      <w:rPr>
                        <w:rFonts w:ascii="Cambria Math" w:hAnsi="Cambria Math"/>
                      </w:rPr>
                      <m:t xml:space="preserve"> </m:t>
                    </m:r>
                  </m:num>
                  <m:den>
                    <m:sSubSup>
                      <m:sSubSupPr>
                        <m:ctrlPr>
                          <w:rPr>
                            <w:rFonts w:ascii="Cambria Math" w:hAnsi="Cambria Math"/>
                            <w:i/>
                          </w:rPr>
                        </m:ctrlPr>
                      </m:sSubSupPr>
                      <m:e>
                        <m:r>
                          <w:rPr>
                            <w:rFonts w:ascii="Cambria Math" w:hAnsi="Cambria Math"/>
                          </w:rPr>
                          <m:t>p</m:t>
                        </m:r>
                      </m:e>
                      <m:sub>
                        <m:r>
                          <w:rPr>
                            <w:rFonts w:ascii="Cambria Math" w:hAnsi="Cambria Math"/>
                          </w:rPr>
                          <m:t>if</m:t>
                        </m:r>
                      </m:sub>
                      <m:sup>
                        <m:r>
                          <w:rPr>
                            <w:rFonts w:ascii="Cambria Math" w:hAnsi="Cambria Math"/>
                          </w:rPr>
                          <m:t>s</m:t>
                        </m:r>
                      </m:sup>
                    </m:sSubSup>
                  </m:den>
                </m:f>
                <m:r>
                  <w:rPr>
                    <w:rFonts w:ascii="Cambria Math" w:hAnsi="Cambria Math"/>
                  </w:rPr>
                  <m:t>&gt;</m:t>
                </m:r>
                <m:f>
                  <m:fPr>
                    <m:ctrlPr>
                      <w:rPr>
                        <w:rFonts w:ascii="Cambria Math" w:hAnsi="Cambria Math"/>
                        <w:i/>
                      </w:rPr>
                    </m:ctrlPr>
                  </m:fPr>
                  <m:num>
                    <m:sSubSup>
                      <m:sSubSupPr>
                        <m:ctrlPr>
                          <w:rPr>
                            <w:rFonts w:ascii="Cambria Math" w:hAnsi="Cambria Math"/>
                            <w:i/>
                          </w:rPr>
                        </m:ctrlPr>
                      </m:sSubSupPr>
                      <m:e>
                        <m:r>
                          <w:rPr>
                            <w:rFonts w:ascii="Cambria Math" w:hAnsi="Cambria Math"/>
                          </w:rPr>
                          <m:t>p</m:t>
                        </m:r>
                      </m:e>
                      <m:sub>
                        <m:r>
                          <w:rPr>
                            <w:rFonts w:ascii="Cambria Math" w:hAnsi="Cambria Math"/>
                          </w:rPr>
                          <m:t>il</m:t>
                        </m:r>
                      </m:sub>
                      <m:sup>
                        <m:r>
                          <w:rPr>
                            <w:rFonts w:ascii="Cambria Math" w:hAnsi="Cambria Math"/>
                          </w:rPr>
                          <m:t>v</m:t>
                        </m:r>
                      </m:sup>
                    </m:sSubSup>
                    <m:r>
                      <w:rPr>
                        <w:rFonts w:ascii="Cambria Math" w:hAnsi="Cambria Math"/>
                      </w:rPr>
                      <m:t xml:space="preserve"> </m:t>
                    </m:r>
                  </m:num>
                  <m:den>
                    <m:sSubSup>
                      <m:sSubSupPr>
                        <m:ctrlPr>
                          <w:rPr>
                            <w:rFonts w:ascii="Cambria Math" w:hAnsi="Cambria Math"/>
                            <w:i/>
                          </w:rPr>
                        </m:ctrlPr>
                      </m:sSubSupPr>
                      <m:e>
                        <m:r>
                          <w:rPr>
                            <w:rFonts w:ascii="Cambria Math" w:hAnsi="Cambria Math"/>
                          </w:rPr>
                          <m:t>p</m:t>
                        </m:r>
                      </m:e>
                      <m:sub>
                        <m:r>
                          <w:rPr>
                            <w:rFonts w:ascii="Cambria Math" w:hAnsi="Cambria Math"/>
                          </w:rPr>
                          <m:t>il</m:t>
                        </m:r>
                      </m:sub>
                      <m:sup>
                        <m:r>
                          <w:rPr>
                            <w:rFonts w:ascii="Cambria Math" w:hAnsi="Cambria Math"/>
                          </w:rPr>
                          <m:t>s</m:t>
                        </m:r>
                      </m:sup>
                    </m:sSubSup>
                  </m:den>
                </m:f>
                <m:r>
                  <w:rPr>
                    <w:rFonts w:ascii="Cambria Math" w:hAnsi="Cambria Math"/>
                  </w:rPr>
                  <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sSubSup>
                              <m:sSubSupPr>
                                <m:ctrlPr>
                                  <w:rPr>
                                    <w:rFonts w:ascii="Cambria Math" w:hAnsi="Cambria Math"/>
                                    <w:i/>
                                  </w:rPr>
                                </m:ctrlPr>
                              </m:sSubSupPr>
                              <m:e>
                                <m:r>
                                  <w:rPr>
                                    <w:rFonts w:ascii="Cambria Math" w:hAnsi="Cambria Math"/>
                                  </w:rPr>
                                  <m:t>p</m:t>
                                </m:r>
                              </m:e>
                              <m:sub>
                                <m:r>
                                  <w:rPr>
                                    <w:rFonts w:ascii="Cambria Math" w:hAnsi="Cambria Math"/>
                                  </w:rPr>
                                  <m:t>if</m:t>
                                </m:r>
                              </m:sub>
                              <m:sup>
                                <m:r>
                                  <w:rPr>
                                    <w:rFonts w:ascii="Cambria Math" w:hAnsi="Cambria Math"/>
                                  </w:rPr>
                                  <m:t>s</m:t>
                                </m:r>
                              </m:sup>
                            </m:sSubSup>
                          </m:e>
                        </m:d>
                      </m:e>
                      <m:sup>
                        <m:r>
                          <w:rPr>
                            <w:rFonts w:ascii="Cambria Math" w:hAnsi="Cambria Math"/>
                          </w:rPr>
                          <m:t>b</m:t>
                        </m:r>
                      </m:sup>
                    </m:sSup>
                  </m:num>
                  <m:den>
                    <m:nary>
                      <m:naryPr>
                        <m:chr m:val="∑"/>
                        <m:limLoc m:val="undOvr"/>
                        <m:ctrlPr>
                          <w:rPr>
                            <w:rFonts w:ascii="Cambria Math" w:hAnsi="Cambria Math"/>
                            <w:i/>
                          </w:rPr>
                        </m:ctrlPr>
                      </m:naryPr>
                      <m:sub>
                        <m:r>
                          <w:rPr>
                            <w:rFonts w:ascii="Cambria Math" w:hAnsi="Cambria Math"/>
                          </w:rPr>
                          <m:t>o=1</m:t>
                        </m:r>
                      </m:sub>
                      <m:sup>
                        <m:r>
                          <w:rPr>
                            <w:rFonts w:ascii="Cambria Math" w:hAnsi="Cambria Math"/>
                          </w:rPr>
                          <m:t>3</m:t>
                        </m:r>
                      </m:sup>
                      <m:e>
                        <m:sSup>
                          <m:sSupPr>
                            <m:ctrlPr>
                              <w:rPr>
                                <w:rFonts w:ascii="Cambria Math" w:hAnsi="Cambria Math"/>
                                <w:i/>
                              </w:rPr>
                            </m:ctrlPr>
                          </m:sSupPr>
                          <m:e>
                            <m:d>
                              <m:dPr>
                                <m:ctrlPr>
                                  <w:rPr>
                                    <w:rFonts w:ascii="Cambria Math" w:hAnsi="Cambria Math"/>
                                    <w:i/>
                                  </w:rPr>
                                </m:ctrlPr>
                              </m:dPr>
                              <m:e>
                                <m:sSubSup>
                                  <m:sSubSupPr>
                                    <m:ctrlPr>
                                      <w:rPr>
                                        <w:rFonts w:ascii="Cambria Math" w:hAnsi="Cambria Math"/>
                                        <w:i/>
                                      </w:rPr>
                                    </m:ctrlPr>
                                  </m:sSubSupPr>
                                  <m:e>
                                    <m:r>
                                      <w:rPr>
                                        <w:rFonts w:ascii="Cambria Math" w:hAnsi="Cambria Math"/>
                                      </w:rPr>
                                      <m:t>p</m:t>
                                    </m:r>
                                  </m:e>
                                  <m:sub>
                                    <m:r>
                                      <w:rPr>
                                        <w:rFonts w:ascii="Cambria Math" w:hAnsi="Cambria Math"/>
                                      </w:rPr>
                                      <m:t>if</m:t>
                                    </m:r>
                                  </m:sub>
                                  <m:sup>
                                    <m:r>
                                      <w:rPr>
                                        <w:rFonts w:ascii="Cambria Math" w:hAnsi="Cambria Math"/>
                                      </w:rPr>
                                      <m:t>s</m:t>
                                    </m:r>
                                  </m:sup>
                                </m:sSubSup>
                              </m:e>
                            </m:d>
                          </m:e>
                          <m:sup>
                            <m:r>
                              <w:rPr>
                                <w:rFonts w:ascii="Cambria Math" w:hAnsi="Cambria Math"/>
                              </w:rPr>
                              <m:t>b</m:t>
                            </m:r>
                          </m:sup>
                        </m:sSup>
                      </m:e>
                    </m:nary>
                  </m:den>
                </m:f>
                <m:r>
                  <w:rPr>
                    <w:rFonts w:ascii="Cambria Math" w:hAnsi="Cambria Math"/>
                  </w:rPr>
                  <m:t>&gt;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sSubSup>
                              <m:sSubSupPr>
                                <m:ctrlPr>
                                  <w:rPr>
                                    <w:rFonts w:ascii="Cambria Math" w:hAnsi="Cambria Math"/>
                                    <w:i/>
                                  </w:rPr>
                                </m:ctrlPr>
                              </m:sSubSupPr>
                              <m:e>
                                <m:r>
                                  <w:rPr>
                                    <w:rFonts w:ascii="Cambria Math" w:hAnsi="Cambria Math"/>
                                  </w:rPr>
                                  <m:t>p</m:t>
                                </m:r>
                              </m:e>
                              <m:sub>
                                <m:r>
                                  <w:rPr>
                                    <w:rFonts w:ascii="Cambria Math" w:hAnsi="Cambria Math"/>
                                  </w:rPr>
                                  <m:t>il</m:t>
                                </m:r>
                              </m:sub>
                              <m:sup>
                                <m:r>
                                  <w:rPr>
                                    <w:rFonts w:ascii="Cambria Math" w:hAnsi="Cambria Math"/>
                                  </w:rPr>
                                  <m:t>s</m:t>
                                </m:r>
                              </m:sup>
                            </m:sSubSup>
                          </m:e>
                        </m:d>
                      </m:e>
                      <m:sup>
                        <m:r>
                          <w:rPr>
                            <w:rFonts w:ascii="Cambria Math" w:hAnsi="Cambria Math"/>
                          </w:rPr>
                          <m:t>b</m:t>
                        </m:r>
                      </m:sup>
                    </m:sSup>
                  </m:num>
                  <m:den>
                    <m:nary>
                      <m:naryPr>
                        <m:chr m:val="∑"/>
                        <m:limLoc m:val="undOvr"/>
                        <m:ctrlPr>
                          <w:rPr>
                            <w:rFonts w:ascii="Cambria Math" w:hAnsi="Cambria Math"/>
                            <w:i/>
                          </w:rPr>
                        </m:ctrlPr>
                      </m:naryPr>
                      <m:sub>
                        <m:r>
                          <w:rPr>
                            <w:rFonts w:ascii="Cambria Math" w:hAnsi="Cambria Math"/>
                          </w:rPr>
                          <m:t>o=1</m:t>
                        </m:r>
                      </m:sub>
                      <m:sup>
                        <m:r>
                          <w:rPr>
                            <w:rFonts w:ascii="Cambria Math" w:hAnsi="Cambria Math"/>
                          </w:rPr>
                          <m:t>3</m:t>
                        </m:r>
                      </m:sup>
                      <m:e>
                        <m:sSup>
                          <m:sSupPr>
                            <m:ctrlPr>
                              <w:rPr>
                                <w:rFonts w:ascii="Cambria Math" w:hAnsi="Cambria Math"/>
                                <w:i/>
                              </w:rPr>
                            </m:ctrlPr>
                          </m:sSupPr>
                          <m:e>
                            <m:d>
                              <m:dPr>
                                <m:ctrlPr>
                                  <w:rPr>
                                    <w:rFonts w:ascii="Cambria Math" w:hAnsi="Cambria Math"/>
                                    <w:i/>
                                  </w:rPr>
                                </m:ctrlPr>
                              </m:dPr>
                              <m:e>
                                <m:sSubSup>
                                  <m:sSubSupPr>
                                    <m:ctrlPr>
                                      <w:rPr>
                                        <w:rFonts w:ascii="Cambria Math" w:hAnsi="Cambria Math"/>
                                        <w:i/>
                                      </w:rPr>
                                    </m:ctrlPr>
                                  </m:sSubSupPr>
                                  <m:e>
                                    <m:r>
                                      <w:rPr>
                                        <w:rFonts w:ascii="Cambria Math" w:hAnsi="Cambria Math"/>
                                      </w:rPr>
                                      <m:t>p</m:t>
                                    </m:r>
                                  </m:e>
                                  <m:sub>
                                    <m:r>
                                      <w:rPr>
                                        <w:rFonts w:ascii="Cambria Math" w:hAnsi="Cambria Math"/>
                                      </w:rPr>
                                      <m:t>il</m:t>
                                    </m:r>
                                  </m:sub>
                                  <m:sup>
                                    <m:r>
                                      <w:rPr>
                                        <w:rFonts w:ascii="Cambria Math" w:hAnsi="Cambria Math"/>
                                      </w:rPr>
                                      <m:t>s</m:t>
                                    </m:r>
                                  </m:sup>
                                </m:sSubSup>
                              </m:e>
                            </m:d>
                          </m:e>
                          <m:sup>
                            <m:r>
                              <w:rPr>
                                <w:rFonts w:ascii="Cambria Math" w:hAnsi="Cambria Math"/>
                              </w:rPr>
                              <m:t>b</m:t>
                            </m:r>
                          </m:sup>
                        </m:sSup>
                      </m:e>
                    </m:nary>
                  </m:den>
                </m:f>
                <m:r>
                  <w:rPr>
                    <w:rFonts w:ascii="Cambria Math" w:hAnsi="Cambria Math"/>
                  </w:rPr>
                  <m:t>⟹</m:t>
                </m:r>
                <m:sSup>
                  <m:sSupPr>
                    <m:ctrlPr>
                      <w:rPr>
                        <w:rFonts w:ascii="Cambria Math" w:hAnsi="Cambria Math"/>
                        <w:i/>
                      </w:rPr>
                    </m:ctrlPr>
                  </m:sSupPr>
                  <m:e>
                    <m:d>
                      <m:dPr>
                        <m:ctrlPr>
                          <w:rPr>
                            <w:rFonts w:ascii="Cambria Math" w:hAnsi="Cambria Math"/>
                            <w:i/>
                          </w:rPr>
                        </m:ctrlPr>
                      </m:dPr>
                      <m:e>
                        <m:sSubSup>
                          <m:sSubSupPr>
                            <m:ctrlPr>
                              <w:rPr>
                                <w:rFonts w:ascii="Cambria Math" w:hAnsi="Cambria Math"/>
                                <w:i/>
                              </w:rPr>
                            </m:ctrlPr>
                          </m:sSubSupPr>
                          <m:e>
                            <m:r>
                              <w:rPr>
                                <w:rFonts w:ascii="Cambria Math" w:hAnsi="Cambria Math"/>
                              </w:rPr>
                              <m:t>p</m:t>
                            </m:r>
                          </m:e>
                          <m:sub>
                            <m:r>
                              <w:rPr>
                                <w:rFonts w:ascii="Cambria Math" w:hAnsi="Cambria Math"/>
                              </w:rPr>
                              <m:t>if</m:t>
                            </m:r>
                          </m:sub>
                          <m:sup>
                            <m:r>
                              <w:rPr>
                                <w:rFonts w:ascii="Cambria Math" w:hAnsi="Cambria Math"/>
                              </w:rPr>
                              <m:t>s</m:t>
                            </m:r>
                          </m:sup>
                        </m:sSubSup>
                      </m:e>
                    </m:d>
                  </m:e>
                  <m:sup>
                    <m:r>
                      <w:rPr>
                        <w:rFonts w:ascii="Cambria Math" w:hAnsi="Cambria Math"/>
                      </w:rPr>
                      <m:t>b-1</m:t>
                    </m:r>
                  </m:sup>
                </m:sSup>
                <m:r>
                  <w:rPr>
                    <w:rFonts w:ascii="Cambria Math" w:hAnsi="Cambria Math"/>
                  </w:rPr>
                  <m:t>&gt;</m:t>
                </m:r>
                <m:sSup>
                  <m:sSupPr>
                    <m:ctrlPr>
                      <w:rPr>
                        <w:rFonts w:ascii="Cambria Math" w:hAnsi="Cambria Math"/>
                        <w:i/>
                      </w:rPr>
                    </m:ctrlPr>
                  </m:sSupPr>
                  <m:e>
                    <m:d>
                      <m:dPr>
                        <m:ctrlPr>
                          <w:rPr>
                            <w:rFonts w:ascii="Cambria Math" w:hAnsi="Cambria Math"/>
                            <w:i/>
                          </w:rPr>
                        </m:ctrlPr>
                      </m:dPr>
                      <m:e>
                        <m:sSubSup>
                          <m:sSubSupPr>
                            <m:ctrlPr>
                              <w:rPr>
                                <w:rFonts w:ascii="Cambria Math" w:hAnsi="Cambria Math"/>
                                <w:i/>
                              </w:rPr>
                            </m:ctrlPr>
                          </m:sSubSupPr>
                          <m:e>
                            <m:r>
                              <w:rPr>
                                <w:rFonts w:ascii="Cambria Math" w:hAnsi="Cambria Math"/>
                              </w:rPr>
                              <m:t>p</m:t>
                            </m:r>
                          </m:e>
                          <m:sub>
                            <m:r>
                              <w:rPr>
                                <w:rFonts w:ascii="Cambria Math" w:hAnsi="Cambria Math"/>
                              </w:rPr>
                              <m:t>il</m:t>
                            </m:r>
                          </m:sub>
                          <m:sup>
                            <m:r>
                              <w:rPr>
                                <w:rFonts w:ascii="Cambria Math" w:hAnsi="Cambria Math"/>
                              </w:rPr>
                              <m:t>s</m:t>
                            </m:r>
                          </m:sup>
                        </m:sSubSup>
                      </m:e>
                    </m:d>
                  </m:e>
                  <m:sup>
                    <m:r>
                      <w:rPr>
                        <w:rFonts w:ascii="Cambria Math" w:hAnsi="Cambria Math"/>
                      </w:rPr>
                      <m:t>b-1</m:t>
                    </m:r>
                  </m:sup>
                </m:sSup>
              </m:oMath>
            </m:oMathPara>
          </w:p>
        </w:tc>
        <w:tc>
          <w:tcPr>
            <w:tcW w:w="749" w:type="pct"/>
            <w:vAlign w:val="center"/>
          </w:tcPr>
          <w:p w14:paraId="33E390AC" w14:textId="618C2E70" w:rsidR="00093858" w:rsidRDefault="00093858" w:rsidP="00B64BD1">
            <w:pPr>
              <w:spacing w:after="3" w:line="265" w:lineRule="auto"/>
              <w:ind w:right="-14"/>
              <w:jc w:val="center"/>
            </w:pPr>
            <w:r>
              <w:t>(</w:t>
            </w:r>
            <w:r w:rsidR="00B64BD1">
              <w:t>20</w:t>
            </w:r>
            <w:r>
              <w:t>)</w:t>
            </w:r>
          </w:p>
        </w:tc>
      </w:tr>
    </w:tbl>
    <w:p w14:paraId="7BAAE4BE" w14:textId="77777777" w:rsidR="001E39AF" w:rsidRDefault="00B64BD1" w:rsidP="001E39AF">
      <w:pPr>
        <w:spacing w:after="0" w:line="360" w:lineRule="auto"/>
        <w:ind w:left="-17"/>
        <w:jc w:val="both"/>
      </w:pPr>
      <w:r>
        <w:t xml:space="preserve">where if </w:t>
      </w:r>
      <m:oMath>
        <m:sSubSup>
          <m:sSubSupPr>
            <m:ctrlPr>
              <w:rPr>
                <w:rFonts w:ascii="Cambria Math" w:hAnsi="Cambria Math"/>
                <w:i/>
              </w:rPr>
            </m:ctrlPr>
          </m:sSubSupPr>
          <m:e>
            <m:r>
              <w:rPr>
                <w:rFonts w:ascii="Cambria Math" w:hAnsi="Cambria Math"/>
              </w:rPr>
              <m:t>p</m:t>
            </m:r>
          </m:e>
          <m:sub>
            <m:r>
              <w:rPr>
                <w:rFonts w:ascii="Cambria Math" w:hAnsi="Cambria Math"/>
              </w:rPr>
              <m:t>if</m:t>
            </m:r>
          </m:sub>
          <m:sup>
            <m:r>
              <w:rPr>
                <w:rFonts w:ascii="Cambria Math" w:hAnsi="Cambria Math"/>
              </w:rPr>
              <m:t>s</m:t>
            </m:r>
          </m:sup>
        </m:sSubSup>
        <m:r>
          <w:rPr>
            <w:rFonts w:ascii="Cambria Math" w:hAnsi="Cambria Math"/>
          </w:rPr>
          <m:t>&gt;</m:t>
        </m:r>
        <m:sSubSup>
          <m:sSubSupPr>
            <m:ctrlPr>
              <w:rPr>
                <w:rFonts w:ascii="Cambria Math" w:hAnsi="Cambria Math"/>
                <w:i/>
              </w:rPr>
            </m:ctrlPr>
          </m:sSubSupPr>
          <m:e>
            <m:r>
              <w:rPr>
                <w:rFonts w:ascii="Cambria Math" w:hAnsi="Cambria Math"/>
              </w:rPr>
              <m:t>p</m:t>
            </m:r>
          </m:e>
          <m:sub>
            <m:r>
              <w:rPr>
                <w:rFonts w:ascii="Cambria Math" w:hAnsi="Cambria Math"/>
              </w:rPr>
              <m:t>il</m:t>
            </m:r>
          </m:sub>
          <m:sup>
            <m:r>
              <w:rPr>
                <w:rFonts w:ascii="Cambria Math" w:hAnsi="Cambria Math"/>
              </w:rPr>
              <m:t>s</m:t>
            </m:r>
          </m:sup>
        </m:sSubSup>
      </m:oMath>
      <w:r>
        <w:t xml:space="preserve">, (14) is only valid where </w:t>
      </w:r>
      <m:oMath>
        <m:r>
          <w:rPr>
            <w:rFonts w:ascii="Cambria Math" w:hAnsi="Cambria Math"/>
          </w:rPr>
          <m:t>b&gt;1</m:t>
        </m:r>
      </m:oMath>
      <w:r>
        <w:t xml:space="preserve">. Consequently, the odds of a given bookmaker underestimate </w:t>
      </w:r>
      <w:r w:rsidR="0075780B">
        <w:t>favourite</w:t>
      </w:r>
      <w:r>
        <w:t xml:space="preserve">s on average, only if </w:t>
      </w:r>
      <m:oMath>
        <m:r>
          <w:rPr>
            <w:rFonts w:ascii="Cambria Math" w:hAnsi="Cambria Math"/>
          </w:rPr>
          <m:t>b</m:t>
        </m:r>
      </m:oMath>
      <w:r>
        <w:rPr>
          <w:i/>
        </w:rPr>
        <w:t xml:space="preserve"> </w:t>
      </w:r>
      <w:r>
        <w:t xml:space="preserve">in (20) is significantly greater than 1 and higher values of </w:t>
      </w:r>
      <w:r>
        <w:rPr>
          <w:i/>
        </w:rPr>
        <w:t xml:space="preserve">b </w:t>
      </w:r>
      <w:r>
        <w:t xml:space="preserve">indicate higher degree of bias. Maximum likelihood is employed to estimate </w:t>
      </w:r>
      <m:oMath>
        <m:r>
          <w:rPr>
            <w:rFonts w:ascii="Cambria Math" w:hAnsi="Cambria Math"/>
          </w:rPr>
          <m:t>b</m:t>
        </m:r>
      </m:oMath>
      <w:r>
        <w:rPr>
          <w:i/>
        </w:rPr>
        <w:t xml:space="preserve"> </w:t>
      </w:r>
      <w:r>
        <w:t>for each bookmaker. To assess the accuracy of each bookmaker’s predictions, we compared the values of McFadden’s (1974) pseudo-</w:t>
      </w:r>
      <w:r>
        <w:rPr>
          <w:i/>
        </w:rPr>
        <w:t>R</w:t>
      </w:r>
      <w:r>
        <w:rPr>
          <w:vertAlign w:val="superscript"/>
        </w:rPr>
        <w:t xml:space="preserve">2 </w:t>
      </w:r>
      <w:r>
        <w:t>statistic that each bookmaker’s odds implied probabilities achieve in the conditional logit model (a higher pseudo-</w:t>
      </w:r>
      <w:r>
        <w:rPr>
          <w:i/>
        </w:rPr>
        <w:t>R</w:t>
      </w:r>
      <w:r>
        <w:rPr>
          <w:vertAlign w:val="superscript"/>
        </w:rPr>
        <w:t xml:space="preserve">2 </w:t>
      </w:r>
      <w:r>
        <w:t>implies a superior model fit and hence a greater degree of efficiency).</w:t>
      </w:r>
    </w:p>
    <w:p w14:paraId="08A8CF31" w14:textId="77777777" w:rsidR="001E39AF" w:rsidRDefault="001E39AF" w:rsidP="001E39AF">
      <w:pPr>
        <w:spacing w:after="0" w:line="360" w:lineRule="auto"/>
        <w:ind w:left="-17"/>
        <w:jc w:val="both"/>
      </w:pPr>
    </w:p>
    <w:p w14:paraId="76907928" w14:textId="77777777" w:rsidR="00C711F2" w:rsidRDefault="00C711F2" w:rsidP="001E39AF">
      <w:pPr>
        <w:spacing w:after="0" w:line="360" w:lineRule="auto"/>
        <w:ind w:left="-17"/>
        <w:jc w:val="both"/>
        <w:rPr>
          <w:b/>
          <w:bCs/>
        </w:rPr>
      </w:pPr>
    </w:p>
    <w:p w14:paraId="1F84FDED" w14:textId="77777777" w:rsidR="00C711F2" w:rsidRDefault="00C711F2" w:rsidP="001E39AF">
      <w:pPr>
        <w:spacing w:after="0" w:line="360" w:lineRule="auto"/>
        <w:ind w:left="-17"/>
        <w:jc w:val="both"/>
        <w:rPr>
          <w:b/>
          <w:bCs/>
        </w:rPr>
      </w:pPr>
    </w:p>
    <w:p w14:paraId="63DEABAB" w14:textId="66163CD0" w:rsidR="0073742C" w:rsidRPr="001E39AF" w:rsidRDefault="005D5980" w:rsidP="005E5150">
      <w:pPr>
        <w:pStyle w:val="Heading1"/>
      </w:pPr>
      <w:r w:rsidRPr="001E39AF">
        <w:t>5. RESULTS</w:t>
      </w:r>
    </w:p>
    <w:p w14:paraId="706CB282" w14:textId="4C335AE0" w:rsidR="0073742C" w:rsidRDefault="005D5980" w:rsidP="001E39AF">
      <w:pPr>
        <w:pStyle w:val="Heading2"/>
        <w:ind w:left="-5"/>
      </w:pPr>
      <w:r>
        <w:t xml:space="preserve">5.1. Arbitrage Opportunities </w:t>
      </w:r>
      <w:r w:rsidR="001E39AF">
        <w:t>a</w:t>
      </w:r>
      <w:r>
        <w:t>cross Bookmakers</w:t>
      </w:r>
    </w:p>
    <w:p w14:paraId="5F381D6B" w14:textId="0ED4111E" w:rsidR="0073742C" w:rsidRDefault="00C00D92" w:rsidP="00CA6EF1">
      <w:pPr>
        <w:spacing w:line="360" w:lineRule="auto"/>
        <w:ind w:left="-15"/>
        <w:jc w:val="both"/>
      </w:pPr>
      <w:r>
        <w:t xml:space="preserve">Table </w:t>
      </w:r>
      <w:r w:rsidR="00505B39">
        <w:t>3</w:t>
      </w:r>
      <w:r w:rsidR="005D5980">
        <w:t xml:space="preserve"> reports the average closing odds correlation in our main </w:t>
      </w:r>
      <w:r w:rsidR="00106B5C">
        <w:t>sample that</w:t>
      </w:r>
      <w:r w:rsidR="000868D1">
        <w:t xml:space="preserve"> demonstrates that,</w:t>
      </w:r>
      <w:r w:rsidR="005D5980">
        <w:t xml:space="preserve"> on average</w:t>
      </w:r>
      <w:r w:rsidR="000868D1">
        <w:t>,</w:t>
      </w:r>
      <w:r w:rsidR="005D5980">
        <w:t xml:space="preserve"> bookmakers’ offers are reasonably well-aligned.</w:t>
      </w:r>
      <w:r w:rsidR="004511EE">
        <w:t xml:space="preserve"> </w:t>
      </w:r>
      <w:r w:rsidR="005D5980">
        <w:t xml:space="preserve">The highest level of correlation is observed amongst </w:t>
      </w:r>
      <w:r w:rsidR="00FD32D0">
        <w:t>BBBs</w:t>
      </w:r>
      <w:r w:rsidR="005D5980">
        <w:t xml:space="preserve">. </w:t>
      </w:r>
      <w:r w:rsidR="002D3848">
        <w:t>Whilst</w:t>
      </w:r>
      <w:r w:rsidR="005D5980">
        <w:t xml:space="preserve"> these bookmakers move their odds more frequently (adjusting for individual high stakes), such adjustments seem to happen in parallel across the set of BBBs. Among PTBs, </w:t>
      </w:r>
      <w:r w:rsidR="005D5980">
        <w:rPr>
          <w:i/>
        </w:rPr>
        <w:t xml:space="preserve">Bet365 </w:t>
      </w:r>
      <w:r w:rsidR="005D5980">
        <w:t xml:space="preserve">seems to be the bookmaker most aligned with the BBBs (possibly </w:t>
      </w:r>
      <w:r w:rsidR="00FD32D0">
        <w:t>because</w:t>
      </w:r>
      <w:r w:rsidR="005D5980">
        <w:t xml:space="preserve"> it is the only bookmaker in the group for which online betting is its main focus), whereas </w:t>
      </w:r>
      <w:r w:rsidR="005D5980">
        <w:rPr>
          <w:i/>
        </w:rPr>
        <w:t xml:space="preserve">Ladbrokes </w:t>
      </w:r>
      <w:r w:rsidR="005D5980">
        <w:t xml:space="preserve">and especially </w:t>
      </w:r>
      <w:r w:rsidR="005D5980">
        <w:rPr>
          <w:i/>
        </w:rPr>
        <w:t xml:space="preserve">Stan James </w:t>
      </w:r>
      <w:r w:rsidR="005D5980">
        <w:t>show the least correlation with the BBBs.</w:t>
      </w:r>
    </w:p>
    <w:p w14:paraId="1CD5DE42" w14:textId="607BC710" w:rsidR="001B037D" w:rsidRDefault="005D5980" w:rsidP="00CA6EF1">
      <w:pPr>
        <w:spacing w:after="169" w:line="360" w:lineRule="auto"/>
        <w:ind w:left="-15"/>
        <w:jc w:val="both"/>
      </w:pPr>
      <w:r>
        <w:t>The optimization process presented in (4) to (9) reveals the existence of 545 arbitrage opportunities across the 2,132 (</w:t>
      </w:r>
      <w:r w:rsidR="002D3848">
        <w:t>that is</w:t>
      </w:r>
      <w:r w:rsidR="008F19C5">
        <w:t>,</w:t>
      </w:r>
      <w:r w:rsidR="002D3848">
        <w:t xml:space="preserve"> in </w:t>
      </w:r>
      <w:r>
        <w:t xml:space="preserve">25.6% of) matches in our sample. </w:t>
      </w:r>
      <w:r w:rsidR="007E6D4E">
        <w:t>Notably</w:t>
      </w:r>
      <w:r w:rsidR="00ED0A9E">
        <w:t>,</w:t>
      </w:r>
      <w:r w:rsidR="007E6D4E">
        <w:t xml:space="preserve"> t</w:t>
      </w:r>
      <w:r w:rsidR="009F0EF6">
        <w:t xml:space="preserve">his figure is significantly higher than the results of earlier studies (Franck </w:t>
      </w:r>
      <w:r w:rsidR="009F0EF6">
        <w:rPr>
          <w:i/>
        </w:rPr>
        <w:t>et al.</w:t>
      </w:r>
      <w:r w:rsidR="001B037D">
        <w:rPr>
          <w:i/>
        </w:rPr>
        <w:t xml:space="preserve"> </w:t>
      </w:r>
      <w:r w:rsidR="001B037D">
        <w:t>(2013)</w:t>
      </w:r>
      <w:r w:rsidR="009F0EF6">
        <w:rPr>
          <w:i/>
        </w:rPr>
        <w:t xml:space="preserve">, </w:t>
      </w:r>
      <w:r w:rsidR="009F0EF6">
        <w:t xml:space="preserve">Vlastakis </w:t>
      </w:r>
      <w:r w:rsidR="009F0EF6">
        <w:rPr>
          <w:i/>
        </w:rPr>
        <w:t>et al</w:t>
      </w:r>
      <w:r w:rsidR="001B037D">
        <w:rPr>
          <w:i/>
        </w:rPr>
        <w:t xml:space="preserve">. </w:t>
      </w:r>
      <w:r w:rsidR="001B037D">
        <w:t>(2009)</w:t>
      </w:r>
      <w:r w:rsidR="009F0EF6">
        <w:t xml:space="preserve">) a fact which </w:t>
      </w:r>
      <w:r w:rsidR="000E1577">
        <w:t xml:space="preserve">may be </w:t>
      </w:r>
      <w:r w:rsidR="009F0EF6">
        <w:t xml:space="preserve">explained by a combination of the methodology employed to identify opportunities in this paper and the range of bookmakers under scrutiny. The method employed here, as described above, offers a </w:t>
      </w:r>
      <w:r w:rsidR="00C77E7D">
        <w:t xml:space="preserve">comprehensive and </w:t>
      </w:r>
      <w:r w:rsidR="009F0EF6">
        <w:t>reliable identification of opportunities</w:t>
      </w:r>
      <w:r w:rsidR="007E6D4E">
        <w:t xml:space="preserve"> </w:t>
      </w:r>
      <w:r w:rsidR="009F0EF6">
        <w:t xml:space="preserve">by embodying time precision regarding the co-availability of odds and by </w:t>
      </w:r>
      <w:r w:rsidR="007E6D4E">
        <w:t xml:space="preserve">ensuring identification of opportunities throughout the duration of the market, rather than, as with </w:t>
      </w:r>
      <w:r w:rsidR="001E311A">
        <w:t xml:space="preserve">both Franck </w:t>
      </w:r>
      <w:r w:rsidR="001E311A">
        <w:rPr>
          <w:i/>
        </w:rPr>
        <w:t xml:space="preserve">et al. </w:t>
      </w:r>
      <w:r w:rsidR="001B037D">
        <w:t xml:space="preserve">(2013) </w:t>
      </w:r>
      <w:r w:rsidR="001E311A">
        <w:t xml:space="preserve">and </w:t>
      </w:r>
      <w:r w:rsidR="007E6D4E">
        <w:t xml:space="preserve">Vlastakis </w:t>
      </w:r>
      <w:r w:rsidR="007E6D4E">
        <w:rPr>
          <w:i/>
        </w:rPr>
        <w:t>et al.</w:t>
      </w:r>
      <w:r w:rsidR="001B037D">
        <w:rPr>
          <w:i/>
        </w:rPr>
        <w:t xml:space="preserve"> </w:t>
      </w:r>
      <w:r w:rsidR="001B037D">
        <w:t>(2009)</w:t>
      </w:r>
      <w:r w:rsidR="007E6D4E">
        <w:t xml:space="preserve">, considering </w:t>
      </w:r>
      <w:r w:rsidR="001E311A">
        <w:t>opportunities only at a single point in time.</w:t>
      </w:r>
      <w:r w:rsidR="009F0EF6">
        <w:t xml:space="preserve"> </w:t>
      </w:r>
      <w:r w:rsidR="007E6D4E">
        <w:t>In terms of the range of bookmakers identified,</w:t>
      </w:r>
      <w:r w:rsidR="001E311A">
        <w:t xml:space="preserve"> this study examines opportunities across six operators, three BBBs and three PTBs. This gives a degree of diversity which is not matched by earlier studies, with Franck </w:t>
      </w:r>
      <w:r w:rsidR="001E311A">
        <w:rPr>
          <w:i/>
        </w:rPr>
        <w:t>et al.</w:t>
      </w:r>
      <w:r w:rsidR="004511EE">
        <w:rPr>
          <w:i/>
        </w:rPr>
        <w:t xml:space="preserve"> </w:t>
      </w:r>
      <w:r w:rsidR="001B037D">
        <w:t>(2013)</w:t>
      </w:r>
      <w:r w:rsidR="001E311A">
        <w:rPr>
          <w:i/>
        </w:rPr>
        <w:t xml:space="preserve"> </w:t>
      </w:r>
      <w:r w:rsidR="001E311A">
        <w:t xml:space="preserve">focusing on activity across a group of PTBs and a single betting exchange, and Vlastakis </w:t>
      </w:r>
      <w:r w:rsidR="001E311A" w:rsidRPr="00236815">
        <w:rPr>
          <w:i/>
        </w:rPr>
        <w:t>e</w:t>
      </w:r>
      <w:r w:rsidR="001E311A">
        <w:rPr>
          <w:i/>
        </w:rPr>
        <w:t xml:space="preserve">t al. </w:t>
      </w:r>
      <w:r w:rsidR="001B037D">
        <w:t xml:space="preserve">(2009) </w:t>
      </w:r>
      <w:r w:rsidR="001E311A">
        <w:t>considering a different group of PTBs and a single BBB.</w:t>
      </w:r>
      <w:r w:rsidR="001E311A">
        <w:rPr>
          <w:i/>
        </w:rPr>
        <w:t xml:space="preserve"> </w:t>
      </w:r>
      <w:r w:rsidR="001E311A">
        <w:t xml:space="preserve"> In this context, for reasons of both methodology and </w:t>
      </w:r>
      <w:r w:rsidR="00ED0A9E">
        <w:t xml:space="preserve">the </w:t>
      </w:r>
      <w:r w:rsidR="001B037D">
        <w:t>nature of samples under scrutiny, the differences are arguably unsurprising.</w:t>
      </w:r>
    </w:p>
    <w:p w14:paraId="786435FE" w14:textId="0790AC86" w:rsidR="008F19C5" w:rsidRDefault="005D5980" w:rsidP="005E5150">
      <w:pPr>
        <w:spacing w:after="169" w:line="360" w:lineRule="auto"/>
        <w:ind w:left="-15"/>
        <w:jc w:val="both"/>
      </w:pPr>
      <w:r>
        <w:t xml:space="preserve">The distribution of </w:t>
      </w:r>
      <w:r w:rsidR="009F0EF6">
        <w:t xml:space="preserve">arbitrage </w:t>
      </w:r>
      <w:r>
        <w:t>opportunities across the diffe</w:t>
      </w:r>
      <w:r w:rsidR="00C00D92">
        <w:t>rent leagues is shown in Table 3</w:t>
      </w:r>
      <w:r>
        <w:t xml:space="preserve"> and the frequency with which each bookmaker</w:t>
      </w:r>
      <w:r w:rsidR="00FD32D0">
        <w:t>’</w:t>
      </w:r>
      <w:r>
        <w:t>s odds feature in the optimized portfolio ar</w:t>
      </w:r>
      <w:r w:rsidR="00C00D92">
        <w:t>e shown in Table 4</w:t>
      </w:r>
      <w:r>
        <w:t xml:space="preserve">. The arbitrage opportunities are well </w:t>
      </w:r>
      <w:r w:rsidR="00E755F3">
        <w:t>dispersed</w:t>
      </w:r>
      <w:r>
        <w:t xml:space="preserve"> across the leagues, although the relatively low frequency</w:t>
      </w:r>
      <w:r w:rsidR="008F19C5" w:rsidRPr="008F19C5">
        <w:t xml:space="preserve"> </w:t>
      </w:r>
      <w:r w:rsidR="008F19C5">
        <w:t>in Holland return</w:t>
      </w:r>
      <w:r w:rsidR="00F47706">
        <w:t>s</w:t>
      </w:r>
      <w:r w:rsidR="008F19C5">
        <w:t xml:space="preserve"> a </w:t>
      </w:r>
      <m:oMath>
        <m:sSup>
          <m:sSupPr>
            <m:ctrlPr>
              <w:rPr>
                <w:rFonts w:ascii="Cambria Math" w:hAnsi="Cambria Math"/>
                <w:i/>
              </w:rPr>
            </m:ctrlPr>
          </m:sSupPr>
          <m:e>
            <m:r>
              <w:rPr>
                <w:rFonts w:ascii="Cambria Math" w:hAnsi="Cambria Math"/>
              </w:rPr>
              <m:t>χ</m:t>
            </m:r>
          </m:e>
          <m:sup>
            <m:r>
              <w:rPr>
                <w:rFonts w:ascii="Cambria Math" w:hAnsi="Cambria Math"/>
                <w:vertAlign w:val="superscript"/>
              </w:rPr>
              <m:t>2</m:t>
            </m:r>
          </m:sup>
        </m:sSup>
        <m:r>
          <w:rPr>
            <w:rFonts w:ascii="Cambria Math" w:hAnsi="Cambria Math"/>
          </w:rPr>
          <m:t>(5)</m:t>
        </m:r>
      </m:oMath>
      <w:r w:rsidR="008F19C5">
        <w:t xml:space="preserve"> test of independence with a </w:t>
      </w:r>
      <w:r w:rsidR="008F19C5">
        <w:rPr>
          <w:i/>
        </w:rPr>
        <w:t>p</w:t>
      </w:r>
      <w:r w:rsidR="008F19C5">
        <w:t>-value of 0.048. This is probably because Holland is the least popular of the six major leagues, and there is less competition among bookmakers to supply competitive odds (and less benefit from promoting inefficient odds). Consequently, transaction costs are higher, reducing the potential for arbitrage opportunities.</w:t>
      </w:r>
    </w:p>
    <w:p w14:paraId="7E9DDC55" w14:textId="77777777" w:rsidR="00582366" w:rsidRDefault="00582366" w:rsidP="00CA6EF1">
      <w:pPr>
        <w:spacing w:after="169" w:line="360" w:lineRule="auto"/>
        <w:ind w:left="-15"/>
        <w:jc w:val="both"/>
      </w:pPr>
    </w:p>
    <w:p w14:paraId="60384C9D" w14:textId="77777777" w:rsidR="008F5201" w:rsidRDefault="008F5201" w:rsidP="00CA6EF1">
      <w:pPr>
        <w:spacing w:after="169" w:line="360" w:lineRule="auto"/>
        <w:ind w:left="-15"/>
        <w:jc w:val="both"/>
      </w:pPr>
    </w:p>
    <w:p w14:paraId="6AE00DF5" w14:textId="77777777" w:rsidR="008F5201" w:rsidRDefault="008F5201" w:rsidP="00CA6EF1">
      <w:pPr>
        <w:spacing w:after="169" w:line="360" w:lineRule="auto"/>
        <w:ind w:left="-15"/>
        <w:jc w:val="both"/>
      </w:pPr>
    </w:p>
    <w:p w14:paraId="30845190" w14:textId="77777777" w:rsidR="008F5201" w:rsidRDefault="008F5201" w:rsidP="00CA6EF1">
      <w:pPr>
        <w:spacing w:after="169" w:line="360" w:lineRule="auto"/>
        <w:ind w:left="-15"/>
        <w:jc w:val="both"/>
      </w:pPr>
    </w:p>
    <w:p w14:paraId="5F39C7F8" w14:textId="77777777" w:rsidR="008F5201" w:rsidRDefault="008F5201" w:rsidP="00CA6EF1">
      <w:pPr>
        <w:spacing w:after="169" w:line="360" w:lineRule="auto"/>
        <w:ind w:left="-15"/>
        <w:jc w:val="both"/>
      </w:pPr>
    </w:p>
    <w:p w14:paraId="46B959F2" w14:textId="77777777" w:rsidR="008F5201" w:rsidRDefault="008F5201" w:rsidP="00CA6EF1">
      <w:pPr>
        <w:spacing w:after="169" w:line="360" w:lineRule="auto"/>
        <w:ind w:left="-15"/>
        <w:jc w:val="both"/>
      </w:pPr>
    </w:p>
    <w:p w14:paraId="4FBC857C" w14:textId="77777777" w:rsidR="008F5201" w:rsidRDefault="008F5201" w:rsidP="00CA6EF1">
      <w:pPr>
        <w:spacing w:after="169" w:line="360" w:lineRule="auto"/>
        <w:ind w:left="-15"/>
        <w:jc w:val="both"/>
      </w:pPr>
    </w:p>
    <w:p w14:paraId="12F1A80D" w14:textId="64100DD2" w:rsidR="0073742C" w:rsidRDefault="00C00D92">
      <w:pPr>
        <w:spacing w:after="3" w:line="252" w:lineRule="auto"/>
        <w:ind w:left="-5" w:right="-14" w:hanging="10"/>
      </w:pPr>
      <w:r>
        <w:rPr>
          <w:sz w:val="20"/>
        </w:rPr>
        <w:t xml:space="preserve">Table </w:t>
      </w:r>
      <w:r w:rsidR="00505B39">
        <w:rPr>
          <w:sz w:val="20"/>
        </w:rPr>
        <w:t>3</w:t>
      </w:r>
      <w:r w:rsidR="005D5980">
        <w:rPr>
          <w:sz w:val="20"/>
        </w:rPr>
        <w:t xml:space="preserve">: Average closing odds correlation between bookmakers in </w:t>
      </w:r>
      <w:r w:rsidR="00D37F7C">
        <w:rPr>
          <w:sz w:val="20"/>
        </w:rPr>
        <w:t xml:space="preserve">main </w:t>
      </w:r>
      <w:r w:rsidR="005D5980">
        <w:rPr>
          <w:sz w:val="20"/>
        </w:rPr>
        <w:t>sample. Panel A reports the correlation matrix of closing odds across all bookmakers, Panel B reports the average correlation between and within groups of book-balancing and position-taking bookmakers.</w:t>
      </w:r>
    </w:p>
    <w:p w14:paraId="5BC8A44E" w14:textId="77777777" w:rsidR="0073742C" w:rsidRDefault="005D5980">
      <w:pPr>
        <w:spacing w:after="0"/>
        <w:ind w:left="115" w:hanging="10"/>
      </w:pPr>
      <w:r>
        <w:rPr>
          <w:b/>
          <w:sz w:val="20"/>
        </w:rPr>
        <w:t>Panel A: Correlation in Odds Between Bookmakers</w:t>
      </w:r>
    </w:p>
    <w:tbl>
      <w:tblPr>
        <w:tblStyle w:val="TableGrid"/>
        <w:tblW w:w="9923" w:type="dxa"/>
        <w:tblInd w:w="0" w:type="dxa"/>
        <w:tblLayout w:type="fixed"/>
        <w:tblCellMar>
          <w:top w:w="34" w:type="dxa"/>
          <w:left w:w="257" w:type="dxa"/>
          <w:right w:w="115" w:type="dxa"/>
        </w:tblCellMar>
        <w:tblLook w:val="04A0" w:firstRow="1" w:lastRow="0" w:firstColumn="1" w:lastColumn="0" w:noHBand="0" w:noVBand="1"/>
      </w:tblPr>
      <w:tblGrid>
        <w:gridCol w:w="1108"/>
        <w:gridCol w:w="1408"/>
        <w:gridCol w:w="1147"/>
        <w:gridCol w:w="998"/>
        <w:gridCol w:w="972"/>
        <w:gridCol w:w="1185"/>
        <w:gridCol w:w="1119"/>
        <w:gridCol w:w="992"/>
        <w:gridCol w:w="994"/>
      </w:tblGrid>
      <w:tr w:rsidR="0073742C" w14:paraId="0A31FEA1" w14:textId="77777777" w:rsidTr="004C7DA1">
        <w:trPr>
          <w:gridBefore w:val="1"/>
          <w:wBefore w:w="558" w:type="pct"/>
          <w:trHeight w:val="280"/>
        </w:trPr>
        <w:tc>
          <w:tcPr>
            <w:tcW w:w="709" w:type="pct"/>
            <w:tcBorders>
              <w:top w:val="single" w:sz="3" w:space="0" w:color="000000"/>
              <w:left w:val="nil"/>
              <w:bottom w:val="single" w:sz="5" w:space="0" w:color="000000"/>
              <w:right w:val="nil"/>
            </w:tcBorders>
          </w:tcPr>
          <w:p w14:paraId="3B543D45" w14:textId="77777777" w:rsidR="0073742C" w:rsidRDefault="0073742C">
            <w:pPr>
              <w:spacing w:after="160" w:line="259" w:lineRule="auto"/>
            </w:pPr>
          </w:p>
        </w:tc>
        <w:tc>
          <w:tcPr>
            <w:tcW w:w="2168" w:type="pct"/>
            <w:gridSpan w:val="4"/>
            <w:tcBorders>
              <w:top w:val="single" w:sz="3" w:space="0" w:color="000000"/>
              <w:left w:val="nil"/>
              <w:bottom w:val="single" w:sz="5" w:space="0" w:color="000000"/>
              <w:right w:val="nil"/>
            </w:tcBorders>
          </w:tcPr>
          <w:p w14:paraId="29BF605A" w14:textId="77777777" w:rsidR="0073742C" w:rsidRDefault="005D5980">
            <w:pPr>
              <w:spacing w:line="259" w:lineRule="auto"/>
              <w:ind w:left="755"/>
            </w:pPr>
            <w:r>
              <w:rPr>
                <w:sz w:val="20"/>
              </w:rPr>
              <w:t>Position Takers</w:t>
            </w:r>
          </w:p>
        </w:tc>
        <w:tc>
          <w:tcPr>
            <w:tcW w:w="1565" w:type="pct"/>
            <w:gridSpan w:val="3"/>
            <w:tcBorders>
              <w:top w:val="single" w:sz="3" w:space="0" w:color="000000"/>
              <w:left w:val="nil"/>
              <w:bottom w:val="single" w:sz="5" w:space="0" w:color="000000"/>
              <w:right w:val="nil"/>
            </w:tcBorders>
          </w:tcPr>
          <w:p w14:paraId="2DE01FD5" w14:textId="77777777" w:rsidR="0073742C" w:rsidRDefault="005D5980" w:rsidP="004C7DA1">
            <w:pPr>
              <w:spacing w:line="259" w:lineRule="auto"/>
              <w:jc w:val="center"/>
            </w:pPr>
            <w:r>
              <w:rPr>
                <w:sz w:val="20"/>
              </w:rPr>
              <w:t>Book Balancers</w:t>
            </w:r>
          </w:p>
        </w:tc>
      </w:tr>
      <w:tr w:rsidR="004C7DA1" w14:paraId="58895105" w14:textId="77777777" w:rsidTr="004C7DA1">
        <w:tblPrEx>
          <w:tblCellMar>
            <w:top w:w="28" w:type="dxa"/>
            <w:left w:w="0" w:type="dxa"/>
            <w:right w:w="120" w:type="dxa"/>
          </w:tblCellMar>
        </w:tblPrEx>
        <w:trPr>
          <w:trHeight w:val="230"/>
        </w:trPr>
        <w:tc>
          <w:tcPr>
            <w:tcW w:w="558" w:type="pct"/>
            <w:tcBorders>
              <w:top w:val="nil"/>
              <w:left w:val="nil"/>
              <w:bottom w:val="nil"/>
              <w:right w:val="single" w:sz="3" w:space="0" w:color="000000"/>
            </w:tcBorders>
            <w:vAlign w:val="bottom"/>
          </w:tcPr>
          <w:p w14:paraId="3B022E92" w14:textId="77777777" w:rsidR="0073742C" w:rsidRDefault="0073742C">
            <w:pPr>
              <w:spacing w:after="160" w:line="259" w:lineRule="auto"/>
            </w:pPr>
          </w:p>
        </w:tc>
        <w:tc>
          <w:tcPr>
            <w:tcW w:w="709" w:type="pct"/>
            <w:tcBorders>
              <w:top w:val="nil"/>
              <w:left w:val="single" w:sz="3" w:space="0" w:color="000000"/>
              <w:bottom w:val="nil"/>
              <w:right w:val="single" w:sz="3" w:space="0" w:color="000000"/>
            </w:tcBorders>
          </w:tcPr>
          <w:p w14:paraId="5DC166D6" w14:textId="77777777" w:rsidR="0073742C" w:rsidRDefault="005D5980">
            <w:pPr>
              <w:spacing w:line="259" w:lineRule="auto"/>
              <w:ind w:left="124"/>
            </w:pPr>
            <w:r>
              <w:rPr>
                <w:b/>
                <w:sz w:val="20"/>
              </w:rPr>
              <w:t>Bookmaker</w:t>
            </w:r>
          </w:p>
        </w:tc>
        <w:tc>
          <w:tcPr>
            <w:tcW w:w="578" w:type="pct"/>
            <w:tcBorders>
              <w:top w:val="nil"/>
              <w:left w:val="single" w:sz="3" w:space="0" w:color="000000"/>
              <w:bottom w:val="nil"/>
              <w:right w:val="nil"/>
            </w:tcBorders>
            <w:vAlign w:val="center"/>
          </w:tcPr>
          <w:p w14:paraId="5F930ABD" w14:textId="77777777" w:rsidR="0073742C" w:rsidRDefault="005D5980" w:rsidP="004C7DA1">
            <w:pPr>
              <w:spacing w:line="259" w:lineRule="auto"/>
              <w:ind w:left="124"/>
              <w:jc w:val="center"/>
            </w:pPr>
            <w:r>
              <w:rPr>
                <w:sz w:val="20"/>
              </w:rPr>
              <w:t>Ladbrokes</w:t>
            </w:r>
          </w:p>
        </w:tc>
        <w:tc>
          <w:tcPr>
            <w:tcW w:w="503" w:type="pct"/>
            <w:tcBorders>
              <w:top w:val="nil"/>
              <w:left w:val="nil"/>
              <w:bottom w:val="nil"/>
              <w:right w:val="nil"/>
            </w:tcBorders>
            <w:vAlign w:val="center"/>
          </w:tcPr>
          <w:p w14:paraId="270FDD30" w14:textId="77777777" w:rsidR="0073742C" w:rsidRDefault="005D5980" w:rsidP="004C7DA1">
            <w:pPr>
              <w:spacing w:line="259" w:lineRule="auto"/>
              <w:jc w:val="center"/>
            </w:pPr>
            <w:r>
              <w:rPr>
                <w:sz w:val="20"/>
              </w:rPr>
              <w:t>William Hill</w:t>
            </w:r>
          </w:p>
        </w:tc>
        <w:tc>
          <w:tcPr>
            <w:tcW w:w="490" w:type="pct"/>
            <w:tcBorders>
              <w:top w:val="nil"/>
              <w:left w:val="nil"/>
              <w:bottom w:val="nil"/>
              <w:right w:val="nil"/>
            </w:tcBorders>
            <w:vAlign w:val="center"/>
          </w:tcPr>
          <w:p w14:paraId="26A53CD3" w14:textId="77777777" w:rsidR="0073742C" w:rsidRDefault="005D5980" w:rsidP="004C7DA1">
            <w:pPr>
              <w:spacing w:line="259" w:lineRule="auto"/>
              <w:jc w:val="center"/>
            </w:pPr>
            <w:r>
              <w:rPr>
                <w:sz w:val="20"/>
              </w:rPr>
              <w:t>Bet 365</w:t>
            </w:r>
          </w:p>
        </w:tc>
        <w:tc>
          <w:tcPr>
            <w:tcW w:w="597" w:type="pct"/>
            <w:tcBorders>
              <w:top w:val="nil"/>
              <w:left w:val="nil"/>
              <w:bottom w:val="nil"/>
              <w:right w:val="single" w:sz="3" w:space="0" w:color="000000"/>
            </w:tcBorders>
            <w:vAlign w:val="center"/>
          </w:tcPr>
          <w:p w14:paraId="2C1B41F2" w14:textId="77777777" w:rsidR="0073742C" w:rsidRDefault="005D5980" w:rsidP="004C7DA1">
            <w:pPr>
              <w:spacing w:line="259" w:lineRule="auto"/>
              <w:jc w:val="center"/>
            </w:pPr>
            <w:r>
              <w:rPr>
                <w:sz w:val="20"/>
              </w:rPr>
              <w:t>Stan James</w:t>
            </w:r>
          </w:p>
        </w:tc>
        <w:tc>
          <w:tcPr>
            <w:tcW w:w="564" w:type="pct"/>
            <w:tcBorders>
              <w:top w:val="nil"/>
              <w:left w:val="single" w:sz="3" w:space="0" w:color="000000"/>
              <w:bottom w:val="nil"/>
              <w:right w:val="nil"/>
            </w:tcBorders>
            <w:vAlign w:val="center"/>
          </w:tcPr>
          <w:p w14:paraId="2CBDABD8" w14:textId="4C4E2501" w:rsidR="0073742C" w:rsidRDefault="005D5980" w:rsidP="004C7DA1">
            <w:pPr>
              <w:spacing w:line="259" w:lineRule="auto"/>
              <w:ind w:left="124"/>
              <w:jc w:val="center"/>
            </w:pPr>
            <w:r>
              <w:rPr>
                <w:sz w:val="20"/>
              </w:rPr>
              <w:t>SBOBet</w:t>
            </w:r>
          </w:p>
        </w:tc>
        <w:tc>
          <w:tcPr>
            <w:tcW w:w="500" w:type="pct"/>
            <w:tcBorders>
              <w:top w:val="nil"/>
              <w:left w:val="nil"/>
              <w:bottom w:val="nil"/>
              <w:right w:val="nil"/>
            </w:tcBorders>
            <w:vAlign w:val="center"/>
          </w:tcPr>
          <w:p w14:paraId="03764986" w14:textId="77777777" w:rsidR="0073742C" w:rsidRDefault="005D5980" w:rsidP="004C7DA1">
            <w:pPr>
              <w:spacing w:line="259" w:lineRule="auto"/>
              <w:jc w:val="center"/>
            </w:pPr>
            <w:r>
              <w:rPr>
                <w:sz w:val="20"/>
              </w:rPr>
              <w:t>188Bet</w:t>
            </w:r>
          </w:p>
        </w:tc>
        <w:tc>
          <w:tcPr>
            <w:tcW w:w="501" w:type="pct"/>
            <w:tcBorders>
              <w:top w:val="nil"/>
              <w:left w:val="nil"/>
              <w:bottom w:val="nil"/>
              <w:right w:val="nil"/>
            </w:tcBorders>
            <w:vAlign w:val="center"/>
          </w:tcPr>
          <w:p w14:paraId="6BEF5B2A" w14:textId="77777777" w:rsidR="0073742C" w:rsidRDefault="005D5980" w:rsidP="004C7DA1">
            <w:pPr>
              <w:spacing w:line="259" w:lineRule="auto"/>
              <w:jc w:val="center"/>
            </w:pPr>
            <w:r>
              <w:rPr>
                <w:sz w:val="20"/>
              </w:rPr>
              <w:t>Pinnacle</w:t>
            </w:r>
          </w:p>
        </w:tc>
      </w:tr>
      <w:tr w:rsidR="004C7DA1" w14:paraId="767D64EF" w14:textId="77777777" w:rsidTr="004C7DA1">
        <w:tblPrEx>
          <w:tblCellMar>
            <w:top w:w="28" w:type="dxa"/>
            <w:left w:w="0" w:type="dxa"/>
            <w:right w:w="120" w:type="dxa"/>
          </w:tblCellMar>
        </w:tblPrEx>
        <w:trPr>
          <w:trHeight w:val="231"/>
        </w:trPr>
        <w:tc>
          <w:tcPr>
            <w:tcW w:w="558" w:type="pct"/>
            <w:vMerge w:val="restart"/>
            <w:tcBorders>
              <w:top w:val="nil"/>
              <w:left w:val="nil"/>
              <w:right w:val="single" w:sz="3" w:space="0" w:color="000000"/>
            </w:tcBorders>
            <w:vAlign w:val="center"/>
          </w:tcPr>
          <w:p w14:paraId="4EC89B20" w14:textId="77777777" w:rsidR="004C7DA1" w:rsidRDefault="004C7DA1" w:rsidP="004C7DA1">
            <w:pPr>
              <w:spacing w:line="259" w:lineRule="auto"/>
              <w:ind w:left="249"/>
              <w:jc w:val="center"/>
            </w:pPr>
            <w:r>
              <w:rPr>
                <w:sz w:val="20"/>
              </w:rPr>
              <w:t>Position</w:t>
            </w:r>
          </w:p>
          <w:p w14:paraId="26F602E9" w14:textId="00F3FFA2" w:rsidR="004C7DA1" w:rsidRDefault="004C7DA1" w:rsidP="004C7DA1">
            <w:pPr>
              <w:spacing w:line="259" w:lineRule="auto"/>
              <w:ind w:left="388"/>
              <w:jc w:val="center"/>
            </w:pPr>
            <w:r>
              <w:rPr>
                <w:sz w:val="20"/>
              </w:rPr>
              <w:t>Takers</w:t>
            </w:r>
          </w:p>
        </w:tc>
        <w:tc>
          <w:tcPr>
            <w:tcW w:w="709" w:type="pct"/>
            <w:tcBorders>
              <w:top w:val="nil"/>
              <w:left w:val="single" w:sz="3" w:space="0" w:color="000000"/>
              <w:bottom w:val="nil"/>
              <w:right w:val="single" w:sz="3" w:space="0" w:color="000000"/>
            </w:tcBorders>
            <w:vAlign w:val="center"/>
          </w:tcPr>
          <w:p w14:paraId="46DA732B" w14:textId="77777777" w:rsidR="004C7DA1" w:rsidRDefault="004C7DA1" w:rsidP="004C7DA1">
            <w:pPr>
              <w:spacing w:line="259" w:lineRule="auto"/>
              <w:jc w:val="center"/>
            </w:pPr>
            <w:r>
              <w:rPr>
                <w:sz w:val="20"/>
              </w:rPr>
              <w:t>Ladbrokes</w:t>
            </w:r>
          </w:p>
        </w:tc>
        <w:tc>
          <w:tcPr>
            <w:tcW w:w="578" w:type="pct"/>
            <w:tcBorders>
              <w:top w:val="nil"/>
              <w:left w:val="single" w:sz="3" w:space="0" w:color="000000"/>
              <w:bottom w:val="nil"/>
              <w:right w:val="nil"/>
            </w:tcBorders>
          </w:tcPr>
          <w:p w14:paraId="4581203F" w14:textId="77777777" w:rsidR="004C7DA1" w:rsidRDefault="004C7DA1">
            <w:pPr>
              <w:spacing w:line="259" w:lineRule="auto"/>
              <w:ind w:left="292"/>
            </w:pPr>
            <w:r>
              <w:rPr>
                <w:sz w:val="20"/>
              </w:rPr>
              <w:t>1.0000</w:t>
            </w:r>
          </w:p>
        </w:tc>
        <w:tc>
          <w:tcPr>
            <w:tcW w:w="503" w:type="pct"/>
            <w:tcBorders>
              <w:top w:val="nil"/>
              <w:left w:val="nil"/>
              <w:bottom w:val="nil"/>
              <w:right w:val="nil"/>
            </w:tcBorders>
          </w:tcPr>
          <w:p w14:paraId="05BEF2BF" w14:textId="77777777" w:rsidR="004C7DA1" w:rsidRDefault="004C7DA1">
            <w:pPr>
              <w:spacing w:after="160" w:line="259" w:lineRule="auto"/>
            </w:pPr>
          </w:p>
        </w:tc>
        <w:tc>
          <w:tcPr>
            <w:tcW w:w="490" w:type="pct"/>
            <w:tcBorders>
              <w:top w:val="nil"/>
              <w:left w:val="nil"/>
              <w:bottom w:val="nil"/>
              <w:right w:val="nil"/>
            </w:tcBorders>
          </w:tcPr>
          <w:p w14:paraId="09734568" w14:textId="77777777" w:rsidR="004C7DA1" w:rsidRDefault="004C7DA1">
            <w:pPr>
              <w:spacing w:after="160" w:line="259" w:lineRule="auto"/>
            </w:pPr>
          </w:p>
        </w:tc>
        <w:tc>
          <w:tcPr>
            <w:tcW w:w="597" w:type="pct"/>
            <w:tcBorders>
              <w:top w:val="nil"/>
              <w:left w:val="nil"/>
              <w:bottom w:val="nil"/>
              <w:right w:val="single" w:sz="3" w:space="0" w:color="000000"/>
            </w:tcBorders>
          </w:tcPr>
          <w:p w14:paraId="263A6D37" w14:textId="77777777" w:rsidR="004C7DA1" w:rsidRDefault="004C7DA1">
            <w:pPr>
              <w:spacing w:after="160" w:line="259" w:lineRule="auto"/>
            </w:pPr>
          </w:p>
        </w:tc>
        <w:tc>
          <w:tcPr>
            <w:tcW w:w="564" w:type="pct"/>
            <w:tcBorders>
              <w:top w:val="nil"/>
              <w:left w:val="single" w:sz="3" w:space="0" w:color="000000"/>
              <w:bottom w:val="nil"/>
              <w:right w:val="nil"/>
            </w:tcBorders>
          </w:tcPr>
          <w:p w14:paraId="2A7CA6EE" w14:textId="77777777" w:rsidR="004C7DA1" w:rsidRDefault="004C7DA1">
            <w:pPr>
              <w:spacing w:after="160" w:line="259" w:lineRule="auto"/>
            </w:pPr>
          </w:p>
        </w:tc>
        <w:tc>
          <w:tcPr>
            <w:tcW w:w="500" w:type="pct"/>
            <w:tcBorders>
              <w:top w:val="nil"/>
              <w:left w:val="nil"/>
              <w:bottom w:val="nil"/>
              <w:right w:val="nil"/>
            </w:tcBorders>
          </w:tcPr>
          <w:p w14:paraId="0B1CCB09" w14:textId="77777777" w:rsidR="004C7DA1" w:rsidRDefault="004C7DA1">
            <w:pPr>
              <w:spacing w:after="160" w:line="259" w:lineRule="auto"/>
            </w:pPr>
          </w:p>
        </w:tc>
        <w:tc>
          <w:tcPr>
            <w:tcW w:w="501" w:type="pct"/>
            <w:tcBorders>
              <w:top w:val="nil"/>
              <w:left w:val="nil"/>
              <w:bottom w:val="nil"/>
              <w:right w:val="nil"/>
            </w:tcBorders>
          </w:tcPr>
          <w:p w14:paraId="6AA5D230" w14:textId="77777777" w:rsidR="004C7DA1" w:rsidRDefault="004C7DA1">
            <w:pPr>
              <w:spacing w:after="160" w:line="259" w:lineRule="auto"/>
            </w:pPr>
          </w:p>
        </w:tc>
      </w:tr>
      <w:tr w:rsidR="004C7DA1" w14:paraId="6097BA59" w14:textId="77777777" w:rsidTr="00CA6EF1">
        <w:tblPrEx>
          <w:tblCellMar>
            <w:top w:w="28" w:type="dxa"/>
            <w:left w:w="0" w:type="dxa"/>
            <w:right w:w="120" w:type="dxa"/>
          </w:tblCellMar>
        </w:tblPrEx>
        <w:trPr>
          <w:trHeight w:val="231"/>
        </w:trPr>
        <w:tc>
          <w:tcPr>
            <w:tcW w:w="558" w:type="pct"/>
            <w:vMerge/>
            <w:tcBorders>
              <w:left w:val="nil"/>
              <w:right w:val="single" w:sz="3" w:space="0" w:color="000000"/>
            </w:tcBorders>
          </w:tcPr>
          <w:p w14:paraId="43961B70" w14:textId="14F9D0B6" w:rsidR="004C7DA1" w:rsidRDefault="004C7DA1" w:rsidP="00CA6EF1">
            <w:pPr>
              <w:spacing w:line="259" w:lineRule="auto"/>
              <w:ind w:left="388"/>
            </w:pPr>
          </w:p>
        </w:tc>
        <w:tc>
          <w:tcPr>
            <w:tcW w:w="709" w:type="pct"/>
            <w:tcBorders>
              <w:top w:val="nil"/>
              <w:left w:val="single" w:sz="3" w:space="0" w:color="000000"/>
              <w:bottom w:val="nil"/>
              <w:right w:val="single" w:sz="3" w:space="0" w:color="000000"/>
            </w:tcBorders>
            <w:vAlign w:val="center"/>
          </w:tcPr>
          <w:p w14:paraId="70A75FD7" w14:textId="77777777" w:rsidR="004C7DA1" w:rsidRDefault="004C7DA1" w:rsidP="004C7DA1">
            <w:pPr>
              <w:spacing w:line="259" w:lineRule="auto"/>
              <w:jc w:val="center"/>
            </w:pPr>
            <w:r>
              <w:rPr>
                <w:sz w:val="20"/>
              </w:rPr>
              <w:t>William Hill</w:t>
            </w:r>
          </w:p>
        </w:tc>
        <w:tc>
          <w:tcPr>
            <w:tcW w:w="578" w:type="pct"/>
            <w:tcBorders>
              <w:top w:val="nil"/>
              <w:left w:val="single" w:sz="3" w:space="0" w:color="000000"/>
              <w:bottom w:val="nil"/>
              <w:right w:val="nil"/>
            </w:tcBorders>
          </w:tcPr>
          <w:p w14:paraId="6014B83C" w14:textId="77777777" w:rsidR="004C7DA1" w:rsidRDefault="004C7DA1">
            <w:pPr>
              <w:spacing w:line="259" w:lineRule="auto"/>
              <w:ind w:left="292"/>
            </w:pPr>
            <w:r>
              <w:rPr>
                <w:sz w:val="20"/>
              </w:rPr>
              <w:t>0.9927</w:t>
            </w:r>
          </w:p>
        </w:tc>
        <w:tc>
          <w:tcPr>
            <w:tcW w:w="503" w:type="pct"/>
            <w:tcBorders>
              <w:top w:val="nil"/>
              <w:left w:val="nil"/>
              <w:bottom w:val="nil"/>
              <w:right w:val="nil"/>
            </w:tcBorders>
          </w:tcPr>
          <w:p w14:paraId="15ECBCD3" w14:textId="77777777" w:rsidR="004C7DA1" w:rsidRDefault="004C7DA1">
            <w:pPr>
              <w:spacing w:line="259" w:lineRule="auto"/>
              <w:ind w:left="260"/>
            </w:pPr>
            <w:r>
              <w:rPr>
                <w:sz w:val="20"/>
              </w:rPr>
              <w:t>1.0000</w:t>
            </w:r>
          </w:p>
        </w:tc>
        <w:tc>
          <w:tcPr>
            <w:tcW w:w="490" w:type="pct"/>
            <w:tcBorders>
              <w:top w:val="nil"/>
              <w:left w:val="nil"/>
              <w:bottom w:val="nil"/>
              <w:right w:val="nil"/>
            </w:tcBorders>
          </w:tcPr>
          <w:p w14:paraId="3614BB20" w14:textId="77777777" w:rsidR="004C7DA1" w:rsidRDefault="004C7DA1">
            <w:pPr>
              <w:spacing w:after="160" w:line="259" w:lineRule="auto"/>
            </w:pPr>
          </w:p>
        </w:tc>
        <w:tc>
          <w:tcPr>
            <w:tcW w:w="597" w:type="pct"/>
            <w:tcBorders>
              <w:top w:val="nil"/>
              <w:left w:val="nil"/>
              <w:bottom w:val="nil"/>
              <w:right w:val="single" w:sz="3" w:space="0" w:color="000000"/>
            </w:tcBorders>
          </w:tcPr>
          <w:p w14:paraId="545B979C" w14:textId="77777777" w:rsidR="004C7DA1" w:rsidRDefault="004C7DA1">
            <w:pPr>
              <w:spacing w:after="160" w:line="259" w:lineRule="auto"/>
            </w:pPr>
          </w:p>
        </w:tc>
        <w:tc>
          <w:tcPr>
            <w:tcW w:w="564" w:type="pct"/>
            <w:tcBorders>
              <w:top w:val="nil"/>
              <w:left w:val="single" w:sz="3" w:space="0" w:color="000000"/>
              <w:bottom w:val="nil"/>
              <w:right w:val="nil"/>
            </w:tcBorders>
          </w:tcPr>
          <w:p w14:paraId="58D42578" w14:textId="77777777" w:rsidR="004C7DA1" w:rsidRDefault="004C7DA1">
            <w:pPr>
              <w:spacing w:after="160" w:line="259" w:lineRule="auto"/>
            </w:pPr>
          </w:p>
        </w:tc>
        <w:tc>
          <w:tcPr>
            <w:tcW w:w="500" w:type="pct"/>
            <w:tcBorders>
              <w:top w:val="nil"/>
              <w:left w:val="nil"/>
              <w:bottom w:val="nil"/>
              <w:right w:val="nil"/>
            </w:tcBorders>
          </w:tcPr>
          <w:p w14:paraId="5DAE58B7" w14:textId="77777777" w:rsidR="004C7DA1" w:rsidRDefault="004C7DA1">
            <w:pPr>
              <w:spacing w:after="160" w:line="259" w:lineRule="auto"/>
            </w:pPr>
          </w:p>
        </w:tc>
        <w:tc>
          <w:tcPr>
            <w:tcW w:w="501" w:type="pct"/>
            <w:tcBorders>
              <w:top w:val="nil"/>
              <w:left w:val="nil"/>
              <w:bottom w:val="nil"/>
              <w:right w:val="nil"/>
            </w:tcBorders>
          </w:tcPr>
          <w:p w14:paraId="048E4272" w14:textId="77777777" w:rsidR="004C7DA1" w:rsidRDefault="004C7DA1">
            <w:pPr>
              <w:spacing w:after="160" w:line="259" w:lineRule="auto"/>
            </w:pPr>
          </w:p>
        </w:tc>
      </w:tr>
      <w:tr w:rsidR="004C7DA1" w14:paraId="3D8C83F6" w14:textId="77777777" w:rsidTr="00CA6EF1">
        <w:tblPrEx>
          <w:tblCellMar>
            <w:top w:w="28" w:type="dxa"/>
            <w:left w:w="0" w:type="dxa"/>
            <w:right w:w="120" w:type="dxa"/>
          </w:tblCellMar>
        </w:tblPrEx>
        <w:trPr>
          <w:trHeight w:val="231"/>
        </w:trPr>
        <w:tc>
          <w:tcPr>
            <w:tcW w:w="558" w:type="pct"/>
            <w:vMerge/>
            <w:tcBorders>
              <w:left w:val="nil"/>
              <w:right w:val="single" w:sz="3" w:space="0" w:color="000000"/>
            </w:tcBorders>
          </w:tcPr>
          <w:p w14:paraId="37D4C53E" w14:textId="6D561494" w:rsidR="004C7DA1" w:rsidRDefault="004C7DA1">
            <w:pPr>
              <w:spacing w:line="259" w:lineRule="auto"/>
              <w:ind w:left="388"/>
            </w:pPr>
          </w:p>
        </w:tc>
        <w:tc>
          <w:tcPr>
            <w:tcW w:w="709" w:type="pct"/>
            <w:tcBorders>
              <w:top w:val="nil"/>
              <w:left w:val="single" w:sz="3" w:space="0" w:color="000000"/>
              <w:bottom w:val="nil"/>
              <w:right w:val="single" w:sz="3" w:space="0" w:color="000000"/>
            </w:tcBorders>
            <w:vAlign w:val="center"/>
          </w:tcPr>
          <w:p w14:paraId="789FBE5A" w14:textId="77777777" w:rsidR="004C7DA1" w:rsidRDefault="004C7DA1" w:rsidP="004C7DA1">
            <w:pPr>
              <w:spacing w:line="259" w:lineRule="auto"/>
              <w:jc w:val="center"/>
            </w:pPr>
            <w:r>
              <w:rPr>
                <w:sz w:val="20"/>
              </w:rPr>
              <w:t>Bet 365</w:t>
            </w:r>
          </w:p>
        </w:tc>
        <w:tc>
          <w:tcPr>
            <w:tcW w:w="578" w:type="pct"/>
            <w:tcBorders>
              <w:top w:val="nil"/>
              <w:left w:val="single" w:sz="3" w:space="0" w:color="000000"/>
              <w:bottom w:val="nil"/>
              <w:right w:val="nil"/>
            </w:tcBorders>
          </w:tcPr>
          <w:p w14:paraId="235672F1" w14:textId="77777777" w:rsidR="004C7DA1" w:rsidRDefault="004C7DA1">
            <w:pPr>
              <w:spacing w:line="259" w:lineRule="auto"/>
              <w:ind w:left="292"/>
            </w:pPr>
            <w:r>
              <w:rPr>
                <w:sz w:val="20"/>
              </w:rPr>
              <w:t>0.9907</w:t>
            </w:r>
          </w:p>
        </w:tc>
        <w:tc>
          <w:tcPr>
            <w:tcW w:w="503" w:type="pct"/>
            <w:tcBorders>
              <w:top w:val="nil"/>
              <w:left w:val="nil"/>
              <w:bottom w:val="nil"/>
              <w:right w:val="nil"/>
            </w:tcBorders>
          </w:tcPr>
          <w:p w14:paraId="46843EEC" w14:textId="77777777" w:rsidR="004C7DA1" w:rsidRDefault="004C7DA1">
            <w:pPr>
              <w:spacing w:line="259" w:lineRule="auto"/>
              <w:ind w:left="260"/>
            </w:pPr>
            <w:r>
              <w:rPr>
                <w:sz w:val="20"/>
              </w:rPr>
              <w:t>0.9950</w:t>
            </w:r>
          </w:p>
        </w:tc>
        <w:tc>
          <w:tcPr>
            <w:tcW w:w="490" w:type="pct"/>
            <w:tcBorders>
              <w:top w:val="nil"/>
              <w:left w:val="nil"/>
              <w:bottom w:val="nil"/>
              <w:right w:val="nil"/>
            </w:tcBorders>
          </w:tcPr>
          <w:p w14:paraId="5A6EC67D" w14:textId="77777777" w:rsidR="004C7DA1" w:rsidRDefault="004C7DA1">
            <w:pPr>
              <w:spacing w:line="259" w:lineRule="auto"/>
              <w:ind w:left="60"/>
            </w:pPr>
            <w:r>
              <w:rPr>
                <w:sz w:val="20"/>
              </w:rPr>
              <w:t>1.0000</w:t>
            </w:r>
          </w:p>
        </w:tc>
        <w:tc>
          <w:tcPr>
            <w:tcW w:w="597" w:type="pct"/>
            <w:tcBorders>
              <w:top w:val="nil"/>
              <w:left w:val="nil"/>
              <w:bottom w:val="nil"/>
              <w:right w:val="single" w:sz="3" w:space="0" w:color="000000"/>
            </w:tcBorders>
          </w:tcPr>
          <w:p w14:paraId="66C192AF" w14:textId="77777777" w:rsidR="004C7DA1" w:rsidRDefault="004C7DA1">
            <w:pPr>
              <w:spacing w:after="160" w:line="259" w:lineRule="auto"/>
            </w:pPr>
          </w:p>
        </w:tc>
        <w:tc>
          <w:tcPr>
            <w:tcW w:w="564" w:type="pct"/>
            <w:tcBorders>
              <w:top w:val="nil"/>
              <w:left w:val="single" w:sz="3" w:space="0" w:color="000000"/>
              <w:bottom w:val="nil"/>
              <w:right w:val="nil"/>
            </w:tcBorders>
          </w:tcPr>
          <w:p w14:paraId="2B252548" w14:textId="77777777" w:rsidR="004C7DA1" w:rsidRDefault="004C7DA1">
            <w:pPr>
              <w:spacing w:after="160" w:line="259" w:lineRule="auto"/>
            </w:pPr>
          </w:p>
        </w:tc>
        <w:tc>
          <w:tcPr>
            <w:tcW w:w="500" w:type="pct"/>
            <w:tcBorders>
              <w:top w:val="nil"/>
              <w:left w:val="nil"/>
              <w:bottom w:val="nil"/>
              <w:right w:val="nil"/>
            </w:tcBorders>
          </w:tcPr>
          <w:p w14:paraId="4B140F9A" w14:textId="77777777" w:rsidR="004C7DA1" w:rsidRDefault="004C7DA1">
            <w:pPr>
              <w:spacing w:after="160" w:line="259" w:lineRule="auto"/>
            </w:pPr>
          </w:p>
        </w:tc>
        <w:tc>
          <w:tcPr>
            <w:tcW w:w="501" w:type="pct"/>
            <w:tcBorders>
              <w:top w:val="nil"/>
              <w:left w:val="nil"/>
              <w:bottom w:val="nil"/>
              <w:right w:val="nil"/>
            </w:tcBorders>
          </w:tcPr>
          <w:p w14:paraId="5BA7559E" w14:textId="77777777" w:rsidR="004C7DA1" w:rsidRDefault="004C7DA1">
            <w:pPr>
              <w:spacing w:after="160" w:line="259" w:lineRule="auto"/>
            </w:pPr>
          </w:p>
        </w:tc>
      </w:tr>
      <w:tr w:rsidR="004C7DA1" w14:paraId="7B2D515E" w14:textId="77777777" w:rsidTr="00CA6EF1">
        <w:tblPrEx>
          <w:tblCellMar>
            <w:top w:w="28" w:type="dxa"/>
            <w:left w:w="0" w:type="dxa"/>
            <w:right w:w="120" w:type="dxa"/>
          </w:tblCellMar>
        </w:tblPrEx>
        <w:trPr>
          <w:trHeight w:val="237"/>
        </w:trPr>
        <w:tc>
          <w:tcPr>
            <w:tcW w:w="558" w:type="pct"/>
            <w:vMerge/>
            <w:tcBorders>
              <w:left w:val="nil"/>
              <w:bottom w:val="single" w:sz="3" w:space="0" w:color="000000"/>
              <w:right w:val="single" w:sz="3" w:space="0" w:color="000000"/>
            </w:tcBorders>
          </w:tcPr>
          <w:p w14:paraId="52AF4DFB" w14:textId="77777777" w:rsidR="004C7DA1" w:rsidRDefault="004C7DA1">
            <w:pPr>
              <w:spacing w:after="160" w:line="259" w:lineRule="auto"/>
            </w:pPr>
          </w:p>
        </w:tc>
        <w:tc>
          <w:tcPr>
            <w:tcW w:w="709" w:type="pct"/>
            <w:tcBorders>
              <w:top w:val="nil"/>
              <w:left w:val="single" w:sz="3" w:space="0" w:color="000000"/>
              <w:bottom w:val="single" w:sz="3" w:space="0" w:color="000000"/>
              <w:right w:val="single" w:sz="3" w:space="0" w:color="000000"/>
            </w:tcBorders>
            <w:vAlign w:val="center"/>
          </w:tcPr>
          <w:p w14:paraId="2A4F7951" w14:textId="77777777" w:rsidR="004C7DA1" w:rsidRDefault="004C7DA1" w:rsidP="004C7DA1">
            <w:pPr>
              <w:spacing w:line="259" w:lineRule="auto"/>
              <w:ind w:left="255"/>
            </w:pPr>
            <w:r>
              <w:rPr>
                <w:sz w:val="20"/>
              </w:rPr>
              <w:t>Stan James</w:t>
            </w:r>
          </w:p>
        </w:tc>
        <w:tc>
          <w:tcPr>
            <w:tcW w:w="578" w:type="pct"/>
            <w:tcBorders>
              <w:top w:val="nil"/>
              <w:left w:val="single" w:sz="3" w:space="0" w:color="000000"/>
              <w:bottom w:val="single" w:sz="3" w:space="0" w:color="000000"/>
              <w:right w:val="nil"/>
            </w:tcBorders>
          </w:tcPr>
          <w:p w14:paraId="45EDD7D1" w14:textId="77777777" w:rsidR="004C7DA1" w:rsidRDefault="004C7DA1">
            <w:pPr>
              <w:spacing w:line="259" w:lineRule="auto"/>
              <w:ind w:left="292"/>
            </w:pPr>
            <w:r>
              <w:rPr>
                <w:sz w:val="20"/>
              </w:rPr>
              <w:t>0.9928</w:t>
            </w:r>
          </w:p>
        </w:tc>
        <w:tc>
          <w:tcPr>
            <w:tcW w:w="503" w:type="pct"/>
            <w:tcBorders>
              <w:top w:val="nil"/>
              <w:left w:val="nil"/>
              <w:bottom w:val="single" w:sz="3" w:space="0" w:color="000000"/>
              <w:right w:val="nil"/>
            </w:tcBorders>
          </w:tcPr>
          <w:p w14:paraId="507D3A07" w14:textId="77777777" w:rsidR="004C7DA1" w:rsidRDefault="004C7DA1">
            <w:pPr>
              <w:spacing w:line="259" w:lineRule="auto"/>
              <w:ind w:left="260"/>
            </w:pPr>
            <w:r>
              <w:rPr>
                <w:sz w:val="20"/>
              </w:rPr>
              <w:t>0.9917</w:t>
            </w:r>
          </w:p>
        </w:tc>
        <w:tc>
          <w:tcPr>
            <w:tcW w:w="490" w:type="pct"/>
            <w:tcBorders>
              <w:top w:val="nil"/>
              <w:left w:val="nil"/>
              <w:bottom w:val="single" w:sz="3" w:space="0" w:color="000000"/>
              <w:right w:val="nil"/>
            </w:tcBorders>
          </w:tcPr>
          <w:p w14:paraId="6F27F4DC" w14:textId="77777777" w:rsidR="004C7DA1" w:rsidRDefault="004C7DA1">
            <w:pPr>
              <w:spacing w:line="259" w:lineRule="auto"/>
              <w:ind w:left="60"/>
            </w:pPr>
            <w:r>
              <w:rPr>
                <w:sz w:val="20"/>
              </w:rPr>
              <w:t>0.9891</w:t>
            </w:r>
          </w:p>
        </w:tc>
        <w:tc>
          <w:tcPr>
            <w:tcW w:w="597" w:type="pct"/>
            <w:tcBorders>
              <w:top w:val="nil"/>
              <w:left w:val="nil"/>
              <w:bottom w:val="single" w:sz="3" w:space="0" w:color="000000"/>
              <w:right w:val="single" w:sz="3" w:space="0" w:color="000000"/>
            </w:tcBorders>
          </w:tcPr>
          <w:p w14:paraId="6AE97F59" w14:textId="77777777" w:rsidR="004C7DA1" w:rsidRDefault="004C7DA1">
            <w:pPr>
              <w:spacing w:line="259" w:lineRule="auto"/>
              <w:ind w:left="223"/>
            </w:pPr>
            <w:r>
              <w:rPr>
                <w:sz w:val="20"/>
              </w:rPr>
              <w:t>1.0000</w:t>
            </w:r>
          </w:p>
        </w:tc>
        <w:tc>
          <w:tcPr>
            <w:tcW w:w="564" w:type="pct"/>
            <w:tcBorders>
              <w:top w:val="nil"/>
              <w:left w:val="single" w:sz="3" w:space="0" w:color="000000"/>
              <w:bottom w:val="single" w:sz="3" w:space="0" w:color="000000"/>
              <w:right w:val="nil"/>
            </w:tcBorders>
          </w:tcPr>
          <w:p w14:paraId="1AC77B09" w14:textId="77777777" w:rsidR="004C7DA1" w:rsidRDefault="004C7DA1">
            <w:pPr>
              <w:spacing w:after="160" w:line="259" w:lineRule="auto"/>
            </w:pPr>
          </w:p>
        </w:tc>
        <w:tc>
          <w:tcPr>
            <w:tcW w:w="500" w:type="pct"/>
            <w:tcBorders>
              <w:top w:val="nil"/>
              <w:left w:val="nil"/>
              <w:bottom w:val="single" w:sz="3" w:space="0" w:color="000000"/>
              <w:right w:val="nil"/>
            </w:tcBorders>
          </w:tcPr>
          <w:p w14:paraId="71C7CBED" w14:textId="77777777" w:rsidR="004C7DA1" w:rsidRDefault="004C7DA1">
            <w:pPr>
              <w:spacing w:after="160" w:line="259" w:lineRule="auto"/>
            </w:pPr>
          </w:p>
        </w:tc>
        <w:tc>
          <w:tcPr>
            <w:tcW w:w="501" w:type="pct"/>
            <w:tcBorders>
              <w:top w:val="nil"/>
              <w:left w:val="nil"/>
              <w:bottom w:val="single" w:sz="3" w:space="0" w:color="000000"/>
              <w:right w:val="nil"/>
            </w:tcBorders>
          </w:tcPr>
          <w:p w14:paraId="18E74420" w14:textId="77777777" w:rsidR="004C7DA1" w:rsidRDefault="004C7DA1">
            <w:pPr>
              <w:spacing w:after="160" w:line="259" w:lineRule="auto"/>
            </w:pPr>
          </w:p>
        </w:tc>
      </w:tr>
      <w:tr w:rsidR="004C7DA1" w14:paraId="216E045C" w14:textId="77777777" w:rsidTr="004C7DA1">
        <w:tblPrEx>
          <w:tblCellMar>
            <w:top w:w="28" w:type="dxa"/>
            <w:left w:w="0" w:type="dxa"/>
            <w:right w:w="120" w:type="dxa"/>
          </w:tblCellMar>
        </w:tblPrEx>
        <w:trPr>
          <w:trHeight w:val="234"/>
        </w:trPr>
        <w:tc>
          <w:tcPr>
            <w:tcW w:w="558" w:type="pct"/>
            <w:vMerge w:val="restart"/>
            <w:tcBorders>
              <w:top w:val="single" w:sz="3" w:space="0" w:color="000000"/>
              <w:left w:val="nil"/>
              <w:right w:val="single" w:sz="3" w:space="0" w:color="000000"/>
            </w:tcBorders>
            <w:vAlign w:val="center"/>
          </w:tcPr>
          <w:p w14:paraId="62D2E942" w14:textId="77777777" w:rsidR="004C7DA1" w:rsidRDefault="004C7DA1" w:rsidP="004C7DA1">
            <w:pPr>
              <w:spacing w:line="259" w:lineRule="auto"/>
              <w:ind w:left="509"/>
              <w:jc w:val="center"/>
            </w:pPr>
            <w:r>
              <w:rPr>
                <w:sz w:val="20"/>
              </w:rPr>
              <w:t>Book</w:t>
            </w:r>
          </w:p>
          <w:p w14:paraId="149789DF" w14:textId="504B7EB0" w:rsidR="004C7DA1" w:rsidRDefault="004C7DA1" w:rsidP="004C7DA1">
            <w:pPr>
              <w:spacing w:line="259" w:lineRule="auto"/>
              <w:ind w:left="120"/>
              <w:jc w:val="center"/>
            </w:pPr>
            <w:r>
              <w:rPr>
                <w:sz w:val="20"/>
              </w:rPr>
              <w:t>Balancers</w:t>
            </w:r>
          </w:p>
        </w:tc>
        <w:tc>
          <w:tcPr>
            <w:tcW w:w="709" w:type="pct"/>
            <w:tcBorders>
              <w:top w:val="single" w:sz="3" w:space="0" w:color="000000"/>
              <w:left w:val="single" w:sz="3" w:space="0" w:color="000000"/>
              <w:bottom w:val="nil"/>
              <w:right w:val="single" w:sz="3" w:space="0" w:color="000000"/>
            </w:tcBorders>
            <w:vAlign w:val="center"/>
          </w:tcPr>
          <w:p w14:paraId="1490FA45" w14:textId="6CEE8847" w:rsidR="004C7DA1" w:rsidRDefault="004C7DA1" w:rsidP="004C7DA1">
            <w:pPr>
              <w:spacing w:line="259" w:lineRule="auto"/>
              <w:jc w:val="center"/>
            </w:pPr>
            <w:r>
              <w:rPr>
                <w:sz w:val="20"/>
              </w:rPr>
              <w:t>SBOBet</w:t>
            </w:r>
          </w:p>
        </w:tc>
        <w:tc>
          <w:tcPr>
            <w:tcW w:w="578" w:type="pct"/>
            <w:tcBorders>
              <w:top w:val="single" w:sz="3" w:space="0" w:color="000000"/>
              <w:left w:val="single" w:sz="3" w:space="0" w:color="000000"/>
              <w:bottom w:val="nil"/>
              <w:right w:val="nil"/>
            </w:tcBorders>
          </w:tcPr>
          <w:p w14:paraId="18DDDCC5" w14:textId="77777777" w:rsidR="004C7DA1" w:rsidRDefault="004C7DA1">
            <w:pPr>
              <w:spacing w:line="259" w:lineRule="auto"/>
              <w:ind w:left="292"/>
            </w:pPr>
            <w:r>
              <w:rPr>
                <w:sz w:val="20"/>
              </w:rPr>
              <w:t>0.9884</w:t>
            </w:r>
          </w:p>
        </w:tc>
        <w:tc>
          <w:tcPr>
            <w:tcW w:w="503" w:type="pct"/>
            <w:tcBorders>
              <w:top w:val="single" w:sz="3" w:space="0" w:color="000000"/>
              <w:left w:val="nil"/>
              <w:bottom w:val="nil"/>
              <w:right w:val="nil"/>
            </w:tcBorders>
          </w:tcPr>
          <w:p w14:paraId="126B31C8" w14:textId="77777777" w:rsidR="004C7DA1" w:rsidRDefault="004C7DA1">
            <w:pPr>
              <w:spacing w:line="259" w:lineRule="auto"/>
              <w:ind w:left="260"/>
            </w:pPr>
            <w:r>
              <w:rPr>
                <w:sz w:val="20"/>
              </w:rPr>
              <w:t>0.9925</w:t>
            </w:r>
          </w:p>
        </w:tc>
        <w:tc>
          <w:tcPr>
            <w:tcW w:w="490" w:type="pct"/>
            <w:tcBorders>
              <w:top w:val="single" w:sz="3" w:space="0" w:color="000000"/>
              <w:left w:val="nil"/>
              <w:bottom w:val="nil"/>
              <w:right w:val="nil"/>
            </w:tcBorders>
          </w:tcPr>
          <w:p w14:paraId="356192AF" w14:textId="77777777" w:rsidR="004C7DA1" w:rsidRDefault="004C7DA1">
            <w:pPr>
              <w:spacing w:line="259" w:lineRule="auto"/>
              <w:ind w:left="60"/>
            </w:pPr>
            <w:r>
              <w:rPr>
                <w:sz w:val="20"/>
              </w:rPr>
              <w:t>0.9947</w:t>
            </w:r>
          </w:p>
        </w:tc>
        <w:tc>
          <w:tcPr>
            <w:tcW w:w="597" w:type="pct"/>
            <w:tcBorders>
              <w:top w:val="single" w:sz="3" w:space="0" w:color="000000"/>
              <w:left w:val="nil"/>
              <w:bottom w:val="nil"/>
              <w:right w:val="single" w:sz="3" w:space="0" w:color="000000"/>
            </w:tcBorders>
          </w:tcPr>
          <w:p w14:paraId="7B4512EC" w14:textId="77777777" w:rsidR="004C7DA1" w:rsidRDefault="004C7DA1">
            <w:pPr>
              <w:spacing w:line="259" w:lineRule="auto"/>
              <w:ind w:left="223"/>
            </w:pPr>
            <w:r>
              <w:rPr>
                <w:sz w:val="20"/>
              </w:rPr>
              <w:t>0.9849</w:t>
            </w:r>
          </w:p>
        </w:tc>
        <w:tc>
          <w:tcPr>
            <w:tcW w:w="564" w:type="pct"/>
            <w:tcBorders>
              <w:top w:val="single" w:sz="3" w:space="0" w:color="000000"/>
              <w:left w:val="single" w:sz="3" w:space="0" w:color="000000"/>
              <w:bottom w:val="nil"/>
              <w:right w:val="nil"/>
            </w:tcBorders>
          </w:tcPr>
          <w:p w14:paraId="23F3CF4A" w14:textId="77777777" w:rsidR="004C7DA1" w:rsidRDefault="004C7DA1">
            <w:pPr>
              <w:spacing w:line="259" w:lineRule="auto"/>
              <w:ind w:left="237"/>
            </w:pPr>
            <w:r>
              <w:rPr>
                <w:sz w:val="20"/>
              </w:rPr>
              <w:t>1.0000</w:t>
            </w:r>
          </w:p>
        </w:tc>
        <w:tc>
          <w:tcPr>
            <w:tcW w:w="500" w:type="pct"/>
            <w:tcBorders>
              <w:top w:val="single" w:sz="3" w:space="0" w:color="000000"/>
              <w:left w:val="nil"/>
              <w:bottom w:val="nil"/>
              <w:right w:val="nil"/>
            </w:tcBorders>
          </w:tcPr>
          <w:p w14:paraId="5B63FE8E" w14:textId="77777777" w:rsidR="004C7DA1" w:rsidRDefault="004C7DA1">
            <w:pPr>
              <w:spacing w:after="160" w:line="259" w:lineRule="auto"/>
            </w:pPr>
          </w:p>
        </w:tc>
        <w:tc>
          <w:tcPr>
            <w:tcW w:w="501" w:type="pct"/>
            <w:tcBorders>
              <w:top w:val="single" w:sz="3" w:space="0" w:color="000000"/>
              <w:left w:val="nil"/>
              <w:bottom w:val="nil"/>
              <w:right w:val="nil"/>
            </w:tcBorders>
          </w:tcPr>
          <w:p w14:paraId="26298207" w14:textId="77777777" w:rsidR="004C7DA1" w:rsidRDefault="004C7DA1">
            <w:pPr>
              <w:spacing w:after="160" w:line="259" w:lineRule="auto"/>
            </w:pPr>
          </w:p>
        </w:tc>
      </w:tr>
      <w:tr w:rsidR="004C7DA1" w14:paraId="6DBEAB02" w14:textId="77777777" w:rsidTr="00CA6EF1">
        <w:tblPrEx>
          <w:tblCellMar>
            <w:top w:w="28" w:type="dxa"/>
            <w:left w:w="0" w:type="dxa"/>
            <w:right w:w="120" w:type="dxa"/>
          </w:tblCellMar>
        </w:tblPrEx>
        <w:trPr>
          <w:trHeight w:val="231"/>
        </w:trPr>
        <w:tc>
          <w:tcPr>
            <w:tcW w:w="558" w:type="pct"/>
            <w:vMerge/>
            <w:tcBorders>
              <w:left w:val="nil"/>
              <w:right w:val="single" w:sz="3" w:space="0" w:color="000000"/>
            </w:tcBorders>
          </w:tcPr>
          <w:p w14:paraId="14AA11A5" w14:textId="7BB4D16B" w:rsidR="004C7DA1" w:rsidRDefault="004C7DA1">
            <w:pPr>
              <w:spacing w:line="259" w:lineRule="auto"/>
              <w:ind w:left="120"/>
            </w:pPr>
          </w:p>
        </w:tc>
        <w:tc>
          <w:tcPr>
            <w:tcW w:w="709" w:type="pct"/>
            <w:tcBorders>
              <w:top w:val="nil"/>
              <w:left w:val="single" w:sz="3" w:space="0" w:color="000000"/>
              <w:bottom w:val="nil"/>
              <w:right w:val="single" w:sz="3" w:space="0" w:color="000000"/>
            </w:tcBorders>
            <w:vAlign w:val="center"/>
          </w:tcPr>
          <w:p w14:paraId="5B73A0B6" w14:textId="77777777" w:rsidR="004C7DA1" w:rsidRDefault="004C7DA1" w:rsidP="004C7DA1">
            <w:pPr>
              <w:spacing w:line="259" w:lineRule="auto"/>
              <w:ind w:right="4"/>
              <w:jc w:val="center"/>
            </w:pPr>
            <w:r>
              <w:rPr>
                <w:sz w:val="20"/>
              </w:rPr>
              <w:t>188Bet</w:t>
            </w:r>
          </w:p>
        </w:tc>
        <w:tc>
          <w:tcPr>
            <w:tcW w:w="578" w:type="pct"/>
            <w:tcBorders>
              <w:top w:val="nil"/>
              <w:left w:val="single" w:sz="3" w:space="0" w:color="000000"/>
              <w:bottom w:val="nil"/>
              <w:right w:val="nil"/>
            </w:tcBorders>
          </w:tcPr>
          <w:p w14:paraId="7DE941AD" w14:textId="77777777" w:rsidR="004C7DA1" w:rsidRDefault="004C7DA1">
            <w:pPr>
              <w:spacing w:line="259" w:lineRule="auto"/>
              <w:ind w:left="292"/>
            </w:pPr>
            <w:r>
              <w:rPr>
                <w:sz w:val="20"/>
              </w:rPr>
              <w:t>0.9890</w:t>
            </w:r>
          </w:p>
        </w:tc>
        <w:tc>
          <w:tcPr>
            <w:tcW w:w="503" w:type="pct"/>
            <w:tcBorders>
              <w:top w:val="nil"/>
              <w:left w:val="nil"/>
              <w:bottom w:val="nil"/>
              <w:right w:val="nil"/>
            </w:tcBorders>
          </w:tcPr>
          <w:p w14:paraId="788988B3" w14:textId="77777777" w:rsidR="004C7DA1" w:rsidRDefault="004C7DA1">
            <w:pPr>
              <w:spacing w:line="259" w:lineRule="auto"/>
              <w:ind w:left="260"/>
            </w:pPr>
            <w:r>
              <w:rPr>
                <w:sz w:val="20"/>
              </w:rPr>
              <w:t>0.9942</w:t>
            </w:r>
          </w:p>
        </w:tc>
        <w:tc>
          <w:tcPr>
            <w:tcW w:w="490" w:type="pct"/>
            <w:tcBorders>
              <w:top w:val="nil"/>
              <w:left w:val="nil"/>
              <w:bottom w:val="nil"/>
              <w:right w:val="nil"/>
            </w:tcBorders>
          </w:tcPr>
          <w:p w14:paraId="4F4E28CC" w14:textId="77777777" w:rsidR="004C7DA1" w:rsidRDefault="004C7DA1">
            <w:pPr>
              <w:spacing w:line="259" w:lineRule="auto"/>
              <w:ind w:left="60"/>
            </w:pPr>
            <w:r>
              <w:rPr>
                <w:sz w:val="20"/>
              </w:rPr>
              <w:t>0.9970</w:t>
            </w:r>
          </w:p>
        </w:tc>
        <w:tc>
          <w:tcPr>
            <w:tcW w:w="597" w:type="pct"/>
            <w:tcBorders>
              <w:top w:val="nil"/>
              <w:left w:val="nil"/>
              <w:bottom w:val="nil"/>
              <w:right w:val="single" w:sz="3" w:space="0" w:color="000000"/>
            </w:tcBorders>
          </w:tcPr>
          <w:p w14:paraId="047FF800" w14:textId="77777777" w:rsidR="004C7DA1" w:rsidRDefault="004C7DA1">
            <w:pPr>
              <w:spacing w:line="259" w:lineRule="auto"/>
              <w:ind w:left="223"/>
            </w:pPr>
            <w:r>
              <w:rPr>
                <w:sz w:val="20"/>
              </w:rPr>
              <w:t>0.9867</w:t>
            </w:r>
          </w:p>
        </w:tc>
        <w:tc>
          <w:tcPr>
            <w:tcW w:w="564" w:type="pct"/>
            <w:tcBorders>
              <w:top w:val="nil"/>
              <w:left w:val="single" w:sz="3" w:space="0" w:color="000000"/>
              <w:bottom w:val="nil"/>
              <w:right w:val="nil"/>
            </w:tcBorders>
          </w:tcPr>
          <w:p w14:paraId="3C59BBF7" w14:textId="77777777" w:rsidR="004C7DA1" w:rsidRDefault="004C7DA1">
            <w:pPr>
              <w:spacing w:line="259" w:lineRule="auto"/>
              <w:ind w:left="237"/>
            </w:pPr>
            <w:r>
              <w:rPr>
                <w:sz w:val="20"/>
              </w:rPr>
              <w:t>0.9971</w:t>
            </w:r>
          </w:p>
        </w:tc>
        <w:tc>
          <w:tcPr>
            <w:tcW w:w="500" w:type="pct"/>
            <w:tcBorders>
              <w:top w:val="nil"/>
              <w:left w:val="nil"/>
              <w:bottom w:val="nil"/>
              <w:right w:val="nil"/>
            </w:tcBorders>
          </w:tcPr>
          <w:p w14:paraId="598CD3C3" w14:textId="77777777" w:rsidR="004C7DA1" w:rsidRDefault="004C7DA1">
            <w:pPr>
              <w:spacing w:line="259" w:lineRule="auto"/>
              <w:ind w:left="26"/>
            </w:pPr>
            <w:r>
              <w:rPr>
                <w:sz w:val="20"/>
              </w:rPr>
              <w:t>1.0000</w:t>
            </w:r>
          </w:p>
        </w:tc>
        <w:tc>
          <w:tcPr>
            <w:tcW w:w="501" w:type="pct"/>
            <w:tcBorders>
              <w:top w:val="nil"/>
              <w:left w:val="nil"/>
              <w:bottom w:val="nil"/>
              <w:right w:val="nil"/>
            </w:tcBorders>
          </w:tcPr>
          <w:p w14:paraId="0AA4C24D" w14:textId="77777777" w:rsidR="004C7DA1" w:rsidRDefault="004C7DA1">
            <w:pPr>
              <w:spacing w:after="160" w:line="259" w:lineRule="auto"/>
            </w:pPr>
          </w:p>
        </w:tc>
      </w:tr>
      <w:tr w:rsidR="004C7DA1" w14:paraId="54A7A7C8" w14:textId="77777777" w:rsidTr="00CA6EF1">
        <w:tblPrEx>
          <w:tblCellMar>
            <w:top w:w="28" w:type="dxa"/>
            <w:left w:w="0" w:type="dxa"/>
            <w:right w:w="120" w:type="dxa"/>
          </w:tblCellMar>
        </w:tblPrEx>
        <w:trPr>
          <w:trHeight w:val="237"/>
        </w:trPr>
        <w:tc>
          <w:tcPr>
            <w:tcW w:w="558" w:type="pct"/>
            <w:vMerge/>
            <w:tcBorders>
              <w:left w:val="nil"/>
              <w:bottom w:val="single" w:sz="3" w:space="0" w:color="000000"/>
              <w:right w:val="single" w:sz="3" w:space="0" w:color="000000"/>
            </w:tcBorders>
          </w:tcPr>
          <w:p w14:paraId="46B35DEB" w14:textId="77777777" w:rsidR="004C7DA1" w:rsidRDefault="004C7DA1">
            <w:pPr>
              <w:spacing w:after="160" w:line="259" w:lineRule="auto"/>
            </w:pPr>
          </w:p>
        </w:tc>
        <w:tc>
          <w:tcPr>
            <w:tcW w:w="709" w:type="pct"/>
            <w:tcBorders>
              <w:top w:val="nil"/>
              <w:left w:val="single" w:sz="3" w:space="0" w:color="000000"/>
              <w:bottom w:val="single" w:sz="3" w:space="0" w:color="000000"/>
              <w:right w:val="single" w:sz="3" w:space="0" w:color="000000"/>
            </w:tcBorders>
            <w:vAlign w:val="center"/>
          </w:tcPr>
          <w:p w14:paraId="6A26D351" w14:textId="77777777" w:rsidR="004C7DA1" w:rsidRDefault="004C7DA1" w:rsidP="004C7DA1">
            <w:pPr>
              <w:spacing w:line="259" w:lineRule="auto"/>
              <w:jc w:val="center"/>
            </w:pPr>
            <w:r>
              <w:rPr>
                <w:sz w:val="20"/>
              </w:rPr>
              <w:t>Pinnacle</w:t>
            </w:r>
          </w:p>
        </w:tc>
        <w:tc>
          <w:tcPr>
            <w:tcW w:w="578" w:type="pct"/>
            <w:tcBorders>
              <w:top w:val="nil"/>
              <w:left w:val="single" w:sz="3" w:space="0" w:color="000000"/>
              <w:bottom w:val="single" w:sz="3" w:space="0" w:color="000000"/>
              <w:right w:val="nil"/>
            </w:tcBorders>
          </w:tcPr>
          <w:p w14:paraId="6E85A72F" w14:textId="77777777" w:rsidR="004C7DA1" w:rsidRDefault="004C7DA1">
            <w:pPr>
              <w:spacing w:line="259" w:lineRule="auto"/>
              <w:ind w:left="292"/>
            </w:pPr>
            <w:r>
              <w:rPr>
                <w:sz w:val="20"/>
              </w:rPr>
              <w:t>0.9890</w:t>
            </w:r>
          </w:p>
        </w:tc>
        <w:tc>
          <w:tcPr>
            <w:tcW w:w="503" w:type="pct"/>
            <w:tcBorders>
              <w:top w:val="nil"/>
              <w:left w:val="nil"/>
              <w:bottom w:val="single" w:sz="3" w:space="0" w:color="000000"/>
              <w:right w:val="nil"/>
            </w:tcBorders>
          </w:tcPr>
          <w:p w14:paraId="186BB156" w14:textId="77777777" w:rsidR="004C7DA1" w:rsidRDefault="004C7DA1">
            <w:pPr>
              <w:spacing w:line="259" w:lineRule="auto"/>
              <w:ind w:left="260"/>
            </w:pPr>
            <w:r>
              <w:rPr>
                <w:sz w:val="20"/>
              </w:rPr>
              <w:t>0.9944</w:t>
            </w:r>
          </w:p>
        </w:tc>
        <w:tc>
          <w:tcPr>
            <w:tcW w:w="490" w:type="pct"/>
            <w:tcBorders>
              <w:top w:val="nil"/>
              <w:left w:val="nil"/>
              <w:bottom w:val="single" w:sz="3" w:space="0" w:color="000000"/>
              <w:right w:val="nil"/>
            </w:tcBorders>
          </w:tcPr>
          <w:p w14:paraId="767EDC12" w14:textId="77777777" w:rsidR="004C7DA1" w:rsidRDefault="004C7DA1">
            <w:pPr>
              <w:spacing w:line="259" w:lineRule="auto"/>
              <w:ind w:left="60"/>
            </w:pPr>
            <w:r>
              <w:rPr>
                <w:sz w:val="20"/>
              </w:rPr>
              <w:t>0.9971</w:t>
            </w:r>
          </w:p>
        </w:tc>
        <w:tc>
          <w:tcPr>
            <w:tcW w:w="597" w:type="pct"/>
            <w:tcBorders>
              <w:top w:val="nil"/>
              <w:left w:val="nil"/>
              <w:bottom w:val="single" w:sz="3" w:space="0" w:color="000000"/>
              <w:right w:val="single" w:sz="3" w:space="0" w:color="000000"/>
            </w:tcBorders>
          </w:tcPr>
          <w:p w14:paraId="7BCDA8B4" w14:textId="77777777" w:rsidR="004C7DA1" w:rsidRDefault="004C7DA1">
            <w:pPr>
              <w:spacing w:line="259" w:lineRule="auto"/>
              <w:ind w:left="223"/>
            </w:pPr>
            <w:r>
              <w:rPr>
                <w:sz w:val="20"/>
              </w:rPr>
              <w:t>0.9868</w:t>
            </w:r>
          </w:p>
        </w:tc>
        <w:tc>
          <w:tcPr>
            <w:tcW w:w="564" w:type="pct"/>
            <w:tcBorders>
              <w:top w:val="nil"/>
              <w:left w:val="single" w:sz="3" w:space="0" w:color="000000"/>
              <w:bottom w:val="single" w:sz="3" w:space="0" w:color="000000"/>
              <w:right w:val="nil"/>
            </w:tcBorders>
          </w:tcPr>
          <w:p w14:paraId="1BCDFF7F" w14:textId="77777777" w:rsidR="004C7DA1" w:rsidRDefault="004C7DA1">
            <w:pPr>
              <w:spacing w:line="259" w:lineRule="auto"/>
              <w:ind w:left="237"/>
            </w:pPr>
            <w:r>
              <w:rPr>
                <w:sz w:val="20"/>
              </w:rPr>
              <w:t>0.9971</w:t>
            </w:r>
          </w:p>
        </w:tc>
        <w:tc>
          <w:tcPr>
            <w:tcW w:w="500" w:type="pct"/>
            <w:tcBorders>
              <w:top w:val="nil"/>
              <w:left w:val="nil"/>
              <w:bottom w:val="single" w:sz="3" w:space="0" w:color="000000"/>
              <w:right w:val="nil"/>
            </w:tcBorders>
          </w:tcPr>
          <w:p w14:paraId="48CF7996" w14:textId="77777777" w:rsidR="004C7DA1" w:rsidRDefault="004C7DA1">
            <w:pPr>
              <w:spacing w:line="259" w:lineRule="auto"/>
              <w:ind w:left="26"/>
            </w:pPr>
            <w:r>
              <w:rPr>
                <w:sz w:val="20"/>
              </w:rPr>
              <w:t>0.9987</w:t>
            </w:r>
          </w:p>
        </w:tc>
        <w:tc>
          <w:tcPr>
            <w:tcW w:w="501" w:type="pct"/>
            <w:tcBorders>
              <w:top w:val="nil"/>
              <w:left w:val="nil"/>
              <w:bottom w:val="single" w:sz="3" w:space="0" w:color="000000"/>
              <w:right w:val="nil"/>
            </w:tcBorders>
          </w:tcPr>
          <w:p w14:paraId="5A785026" w14:textId="77777777" w:rsidR="004C7DA1" w:rsidRDefault="004C7DA1">
            <w:pPr>
              <w:spacing w:line="259" w:lineRule="auto"/>
              <w:ind w:left="95"/>
            </w:pPr>
            <w:r>
              <w:rPr>
                <w:sz w:val="20"/>
              </w:rPr>
              <w:t>1.0000</w:t>
            </w:r>
          </w:p>
        </w:tc>
      </w:tr>
    </w:tbl>
    <w:p w14:paraId="3EDC85AA" w14:textId="77777777" w:rsidR="0073742C" w:rsidRDefault="005D5980">
      <w:pPr>
        <w:spacing w:after="0"/>
        <w:ind w:left="115" w:hanging="10"/>
      </w:pPr>
      <w:r>
        <w:rPr>
          <w:b/>
          <w:sz w:val="20"/>
        </w:rPr>
        <w:t>Panel B: Average Correlation Within and Across Groups</w:t>
      </w:r>
    </w:p>
    <w:tbl>
      <w:tblPr>
        <w:tblStyle w:val="TableGrid"/>
        <w:tblW w:w="9928" w:type="dxa"/>
        <w:tblInd w:w="0" w:type="dxa"/>
        <w:tblCellMar>
          <w:top w:w="32" w:type="dxa"/>
          <w:right w:w="115" w:type="dxa"/>
        </w:tblCellMar>
        <w:tblLook w:val="04A0" w:firstRow="1" w:lastRow="0" w:firstColumn="1" w:lastColumn="0" w:noHBand="0" w:noVBand="1"/>
      </w:tblPr>
      <w:tblGrid>
        <w:gridCol w:w="2444"/>
        <w:gridCol w:w="569"/>
        <w:gridCol w:w="2019"/>
        <w:gridCol w:w="2044"/>
        <w:gridCol w:w="2852"/>
      </w:tblGrid>
      <w:tr w:rsidR="0073742C" w14:paraId="44234A7C" w14:textId="77777777">
        <w:trPr>
          <w:trHeight w:val="247"/>
        </w:trPr>
        <w:tc>
          <w:tcPr>
            <w:tcW w:w="2443" w:type="dxa"/>
            <w:tcBorders>
              <w:top w:val="single" w:sz="3" w:space="0" w:color="000000"/>
              <w:left w:val="nil"/>
              <w:bottom w:val="single" w:sz="3" w:space="0" w:color="000000"/>
              <w:right w:val="nil"/>
            </w:tcBorders>
          </w:tcPr>
          <w:p w14:paraId="2D0094B7" w14:textId="77777777" w:rsidR="0073742C" w:rsidRDefault="005D5980">
            <w:pPr>
              <w:spacing w:line="259" w:lineRule="auto"/>
              <w:ind w:left="142"/>
              <w:jc w:val="center"/>
            </w:pPr>
            <w:r>
              <w:rPr>
                <w:sz w:val="20"/>
              </w:rPr>
              <w:t>Group 1</w:t>
            </w:r>
          </w:p>
        </w:tc>
        <w:tc>
          <w:tcPr>
            <w:tcW w:w="569" w:type="dxa"/>
            <w:tcBorders>
              <w:top w:val="single" w:sz="3" w:space="0" w:color="000000"/>
              <w:left w:val="nil"/>
              <w:bottom w:val="single" w:sz="3" w:space="0" w:color="000000"/>
              <w:right w:val="nil"/>
            </w:tcBorders>
          </w:tcPr>
          <w:p w14:paraId="0A55EEAD" w14:textId="77777777" w:rsidR="0073742C" w:rsidRDefault="0073742C">
            <w:pPr>
              <w:spacing w:after="160" w:line="259" w:lineRule="auto"/>
            </w:pPr>
          </w:p>
        </w:tc>
        <w:tc>
          <w:tcPr>
            <w:tcW w:w="2019" w:type="dxa"/>
            <w:tcBorders>
              <w:top w:val="single" w:sz="3" w:space="0" w:color="000000"/>
              <w:left w:val="nil"/>
              <w:bottom w:val="single" w:sz="3" w:space="0" w:color="000000"/>
              <w:right w:val="nil"/>
            </w:tcBorders>
          </w:tcPr>
          <w:p w14:paraId="1DB20D2F" w14:textId="77777777" w:rsidR="0073742C" w:rsidRDefault="005D5980" w:rsidP="004C7DA1">
            <w:pPr>
              <w:spacing w:line="259" w:lineRule="auto"/>
              <w:ind w:left="318"/>
              <w:jc w:val="center"/>
            </w:pPr>
            <w:r>
              <w:rPr>
                <w:sz w:val="20"/>
              </w:rPr>
              <w:t>Group 2</w:t>
            </w:r>
          </w:p>
        </w:tc>
        <w:tc>
          <w:tcPr>
            <w:tcW w:w="2044" w:type="dxa"/>
            <w:tcBorders>
              <w:top w:val="single" w:sz="3" w:space="0" w:color="000000"/>
              <w:left w:val="nil"/>
              <w:bottom w:val="single" w:sz="3" w:space="0" w:color="000000"/>
              <w:right w:val="single" w:sz="3" w:space="0" w:color="000000"/>
            </w:tcBorders>
          </w:tcPr>
          <w:p w14:paraId="52B08F9A" w14:textId="77777777" w:rsidR="0073742C" w:rsidRDefault="005D5980" w:rsidP="004C7DA1">
            <w:pPr>
              <w:spacing w:line="259" w:lineRule="auto"/>
              <w:jc w:val="center"/>
            </w:pPr>
            <w:r>
              <w:rPr>
                <w:sz w:val="20"/>
              </w:rPr>
              <w:t>Average</w:t>
            </w:r>
          </w:p>
        </w:tc>
        <w:tc>
          <w:tcPr>
            <w:tcW w:w="2852" w:type="dxa"/>
            <w:tcBorders>
              <w:top w:val="single" w:sz="3" w:space="0" w:color="000000"/>
              <w:left w:val="single" w:sz="3" w:space="0" w:color="000000"/>
              <w:bottom w:val="single" w:sz="3" w:space="0" w:color="000000"/>
              <w:right w:val="nil"/>
            </w:tcBorders>
          </w:tcPr>
          <w:p w14:paraId="5A81E461" w14:textId="77777777" w:rsidR="0073742C" w:rsidRDefault="0073742C">
            <w:pPr>
              <w:spacing w:after="160" w:line="259" w:lineRule="auto"/>
            </w:pPr>
          </w:p>
        </w:tc>
      </w:tr>
      <w:tr w:rsidR="0073742C" w14:paraId="03661148" w14:textId="77777777">
        <w:trPr>
          <w:trHeight w:val="242"/>
        </w:trPr>
        <w:tc>
          <w:tcPr>
            <w:tcW w:w="2443" w:type="dxa"/>
            <w:tcBorders>
              <w:top w:val="single" w:sz="3" w:space="0" w:color="000000"/>
              <w:left w:val="nil"/>
              <w:bottom w:val="nil"/>
              <w:right w:val="nil"/>
            </w:tcBorders>
          </w:tcPr>
          <w:p w14:paraId="18ED4A72" w14:textId="77777777" w:rsidR="0073742C" w:rsidRDefault="005D5980" w:rsidP="004C7DA1">
            <w:pPr>
              <w:spacing w:line="259" w:lineRule="auto"/>
              <w:ind w:left="142"/>
              <w:jc w:val="center"/>
            </w:pPr>
            <w:r>
              <w:rPr>
                <w:sz w:val="20"/>
              </w:rPr>
              <w:t>Position Takers</w:t>
            </w:r>
          </w:p>
        </w:tc>
        <w:tc>
          <w:tcPr>
            <w:tcW w:w="569" w:type="dxa"/>
            <w:tcBorders>
              <w:top w:val="single" w:sz="3" w:space="0" w:color="000000"/>
              <w:left w:val="nil"/>
              <w:bottom w:val="nil"/>
              <w:right w:val="nil"/>
            </w:tcBorders>
          </w:tcPr>
          <w:p w14:paraId="624DB142" w14:textId="77777777" w:rsidR="0073742C" w:rsidRDefault="0073742C">
            <w:pPr>
              <w:spacing w:after="160" w:line="259" w:lineRule="auto"/>
            </w:pPr>
          </w:p>
        </w:tc>
        <w:tc>
          <w:tcPr>
            <w:tcW w:w="2019" w:type="dxa"/>
            <w:tcBorders>
              <w:top w:val="single" w:sz="3" w:space="0" w:color="000000"/>
              <w:left w:val="nil"/>
              <w:bottom w:val="nil"/>
              <w:right w:val="nil"/>
            </w:tcBorders>
          </w:tcPr>
          <w:p w14:paraId="59961382" w14:textId="77777777" w:rsidR="0073742C" w:rsidRDefault="005D5980" w:rsidP="004C7DA1">
            <w:pPr>
              <w:spacing w:line="259" w:lineRule="auto"/>
              <w:jc w:val="center"/>
            </w:pPr>
            <w:r>
              <w:rPr>
                <w:sz w:val="20"/>
              </w:rPr>
              <w:t>Book Balancers</w:t>
            </w:r>
          </w:p>
        </w:tc>
        <w:tc>
          <w:tcPr>
            <w:tcW w:w="2044" w:type="dxa"/>
            <w:tcBorders>
              <w:top w:val="single" w:sz="3" w:space="0" w:color="000000"/>
              <w:left w:val="nil"/>
              <w:bottom w:val="nil"/>
              <w:right w:val="single" w:sz="3" w:space="0" w:color="000000"/>
            </w:tcBorders>
          </w:tcPr>
          <w:p w14:paraId="6D773698" w14:textId="77777777" w:rsidR="0073742C" w:rsidRDefault="005D5980" w:rsidP="004C7DA1">
            <w:pPr>
              <w:spacing w:line="259" w:lineRule="auto"/>
              <w:ind w:left="64"/>
              <w:jc w:val="center"/>
            </w:pPr>
            <w:r>
              <w:rPr>
                <w:sz w:val="20"/>
              </w:rPr>
              <w:t>0.9913</w:t>
            </w:r>
          </w:p>
        </w:tc>
        <w:tc>
          <w:tcPr>
            <w:tcW w:w="2852" w:type="dxa"/>
            <w:tcBorders>
              <w:top w:val="single" w:sz="3" w:space="0" w:color="000000"/>
              <w:left w:val="single" w:sz="3" w:space="0" w:color="000000"/>
              <w:bottom w:val="nil"/>
              <w:right w:val="nil"/>
            </w:tcBorders>
          </w:tcPr>
          <w:p w14:paraId="1176534B" w14:textId="77777777" w:rsidR="0073742C" w:rsidRDefault="0073742C">
            <w:pPr>
              <w:spacing w:after="160" w:line="259" w:lineRule="auto"/>
            </w:pPr>
          </w:p>
        </w:tc>
      </w:tr>
      <w:tr w:rsidR="0073742C" w14:paraId="5D826C4E" w14:textId="77777777">
        <w:trPr>
          <w:trHeight w:val="239"/>
        </w:trPr>
        <w:tc>
          <w:tcPr>
            <w:tcW w:w="2443" w:type="dxa"/>
            <w:tcBorders>
              <w:top w:val="nil"/>
              <w:left w:val="nil"/>
              <w:bottom w:val="nil"/>
              <w:right w:val="nil"/>
            </w:tcBorders>
          </w:tcPr>
          <w:p w14:paraId="7DB1B0FF" w14:textId="77777777" w:rsidR="0073742C" w:rsidRDefault="005D5980" w:rsidP="004C7DA1">
            <w:pPr>
              <w:spacing w:line="259" w:lineRule="auto"/>
              <w:ind w:left="142"/>
              <w:jc w:val="center"/>
            </w:pPr>
            <w:r>
              <w:rPr>
                <w:sz w:val="20"/>
              </w:rPr>
              <w:t>Position Takers</w:t>
            </w:r>
          </w:p>
        </w:tc>
        <w:tc>
          <w:tcPr>
            <w:tcW w:w="569" w:type="dxa"/>
            <w:tcBorders>
              <w:top w:val="nil"/>
              <w:left w:val="nil"/>
              <w:bottom w:val="nil"/>
              <w:right w:val="nil"/>
            </w:tcBorders>
          </w:tcPr>
          <w:p w14:paraId="24E02F88" w14:textId="77777777" w:rsidR="0073742C" w:rsidRDefault="0073742C">
            <w:pPr>
              <w:spacing w:after="160" w:line="259" w:lineRule="auto"/>
            </w:pPr>
          </w:p>
        </w:tc>
        <w:tc>
          <w:tcPr>
            <w:tcW w:w="2019" w:type="dxa"/>
            <w:tcBorders>
              <w:top w:val="nil"/>
              <w:left w:val="nil"/>
              <w:bottom w:val="nil"/>
              <w:right w:val="nil"/>
            </w:tcBorders>
          </w:tcPr>
          <w:p w14:paraId="478C48DA" w14:textId="77777777" w:rsidR="0073742C" w:rsidRDefault="005D5980" w:rsidP="004C7DA1">
            <w:pPr>
              <w:spacing w:line="259" w:lineRule="auto"/>
              <w:ind w:left="6"/>
              <w:jc w:val="center"/>
            </w:pPr>
            <w:r>
              <w:rPr>
                <w:sz w:val="20"/>
              </w:rPr>
              <w:t>Position Takers</w:t>
            </w:r>
          </w:p>
        </w:tc>
        <w:tc>
          <w:tcPr>
            <w:tcW w:w="2044" w:type="dxa"/>
            <w:tcBorders>
              <w:top w:val="nil"/>
              <w:left w:val="nil"/>
              <w:bottom w:val="nil"/>
              <w:right w:val="single" w:sz="3" w:space="0" w:color="000000"/>
            </w:tcBorders>
          </w:tcPr>
          <w:p w14:paraId="6BD3A1DE" w14:textId="77777777" w:rsidR="0073742C" w:rsidRDefault="005D5980" w:rsidP="004C7DA1">
            <w:pPr>
              <w:spacing w:line="259" w:lineRule="auto"/>
              <w:ind w:left="64"/>
              <w:jc w:val="center"/>
            </w:pPr>
            <w:r>
              <w:rPr>
                <w:sz w:val="20"/>
              </w:rPr>
              <w:t>0.9920</w:t>
            </w:r>
          </w:p>
        </w:tc>
        <w:tc>
          <w:tcPr>
            <w:tcW w:w="2852" w:type="dxa"/>
            <w:tcBorders>
              <w:top w:val="nil"/>
              <w:left w:val="single" w:sz="3" w:space="0" w:color="000000"/>
              <w:bottom w:val="nil"/>
              <w:right w:val="nil"/>
            </w:tcBorders>
          </w:tcPr>
          <w:p w14:paraId="30F5B736" w14:textId="77777777" w:rsidR="0073742C" w:rsidRDefault="0073742C">
            <w:pPr>
              <w:spacing w:after="160" w:line="259" w:lineRule="auto"/>
            </w:pPr>
          </w:p>
        </w:tc>
      </w:tr>
      <w:tr w:rsidR="0073742C" w14:paraId="679A7F90" w14:textId="77777777" w:rsidTr="004C7DA1">
        <w:trPr>
          <w:trHeight w:val="241"/>
        </w:trPr>
        <w:tc>
          <w:tcPr>
            <w:tcW w:w="2443" w:type="dxa"/>
            <w:tcBorders>
              <w:top w:val="nil"/>
              <w:left w:val="nil"/>
              <w:bottom w:val="single" w:sz="4" w:space="0" w:color="auto"/>
              <w:right w:val="nil"/>
            </w:tcBorders>
          </w:tcPr>
          <w:p w14:paraId="6F81D66F" w14:textId="77777777" w:rsidR="0073742C" w:rsidRDefault="005D5980" w:rsidP="004C7DA1">
            <w:pPr>
              <w:spacing w:line="259" w:lineRule="auto"/>
              <w:ind w:left="142"/>
              <w:jc w:val="center"/>
            </w:pPr>
            <w:r>
              <w:rPr>
                <w:sz w:val="20"/>
              </w:rPr>
              <w:t>Book Balancers</w:t>
            </w:r>
          </w:p>
        </w:tc>
        <w:tc>
          <w:tcPr>
            <w:tcW w:w="569" w:type="dxa"/>
            <w:tcBorders>
              <w:top w:val="nil"/>
              <w:left w:val="nil"/>
              <w:bottom w:val="single" w:sz="4" w:space="0" w:color="auto"/>
              <w:right w:val="nil"/>
            </w:tcBorders>
          </w:tcPr>
          <w:p w14:paraId="630C41F4" w14:textId="77777777" w:rsidR="0073742C" w:rsidRDefault="0073742C">
            <w:pPr>
              <w:spacing w:after="160" w:line="259" w:lineRule="auto"/>
            </w:pPr>
          </w:p>
        </w:tc>
        <w:tc>
          <w:tcPr>
            <w:tcW w:w="2019" w:type="dxa"/>
            <w:tcBorders>
              <w:top w:val="nil"/>
              <w:left w:val="nil"/>
              <w:bottom w:val="single" w:sz="4" w:space="0" w:color="auto"/>
              <w:right w:val="nil"/>
            </w:tcBorders>
          </w:tcPr>
          <w:p w14:paraId="684B218D" w14:textId="77777777" w:rsidR="0073742C" w:rsidRDefault="005D5980" w:rsidP="004C7DA1">
            <w:pPr>
              <w:spacing w:line="259" w:lineRule="auto"/>
              <w:jc w:val="center"/>
            </w:pPr>
            <w:r>
              <w:rPr>
                <w:sz w:val="20"/>
              </w:rPr>
              <w:t>Book Balancers</w:t>
            </w:r>
          </w:p>
        </w:tc>
        <w:tc>
          <w:tcPr>
            <w:tcW w:w="2044" w:type="dxa"/>
            <w:tcBorders>
              <w:top w:val="nil"/>
              <w:left w:val="nil"/>
              <w:bottom w:val="single" w:sz="4" w:space="0" w:color="auto"/>
              <w:right w:val="single" w:sz="3" w:space="0" w:color="000000"/>
            </w:tcBorders>
          </w:tcPr>
          <w:p w14:paraId="25531E5A" w14:textId="77777777" w:rsidR="0073742C" w:rsidRDefault="005D5980" w:rsidP="004C7DA1">
            <w:pPr>
              <w:spacing w:line="259" w:lineRule="auto"/>
              <w:ind w:left="64"/>
              <w:jc w:val="center"/>
            </w:pPr>
            <w:r>
              <w:rPr>
                <w:sz w:val="20"/>
              </w:rPr>
              <w:t>0.9976</w:t>
            </w:r>
          </w:p>
        </w:tc>
        <w:tc>
          <w:tcPr>
            <w:tcW w:w="2852" w:type="dxa"/>
            <w:tcBorders>
              <w:top w:val="nil"/>
              <w:left w:val="single" w:sz="3" w:space="0" w:color="000000"/>
              <w:bottom w:val="single" w:sz="4" w:space="0" w:color="auto"/>
              <w:right w:val="nil"/>
            </w:tcBorders>
          </w:tcPr>
          <w:p w14:paraId="00C02D67" w14:textId="77777777" w:rsidR="0073742C" w:rsidRDefault="0073742C">
            <w:pPr>
              <w:spacing w:after="160" w:line="259" w:lineRule="auto"/>
            </w:pPr>
          </w:p>
        </w:tc>
      </w:tr>
    </w:tbl>
    <w:p w14:paraId="5C531E22" w14:textId="77777777" w:rsidR="00CA6EF1" w:rsidRDefault="00CA6EF1">
      <w:pPr>
        <w:spacing w:after="0"/>
        <w:ind w:right="89"/>
        <w:jc w:val="center"/>
        <w:rPr>
          <w:sz w:val="20"/>
        </w:rPr>
      </w:pPr>
    </w:p>
    <w:p w14:paraId="7BB7E034" w14:textId="77777777" w:rsidR="00CA6EF1" w:rsidRDefault="00CA6EF1">
      <w:pPr>
        <w:spacing w:after="0"/>
        <w:ind w:right="89"/>
        <w:jc w:val="center"/>
        <w:rPr>
          <w:sz w:val="20"/>
        </w:rPr>
      </w:pPr>
    </w:p>
    <w:p w14:paraId="4C0E3374" w14:textId="77777777" w:rsidR="00C711F2" w:rsidRDefault="00C711F2">
      <w:pPr>
        <w:spacing w:after="0"/>
        <w:ind w:right="89"/>
        <w:jc w:val="center"/>
        <w:rPr>
          <w:sz w:val="20"/>
        </w:rPr>
      </w:pPr>
    </w:p>
    <w:p w14:paraId="57D8D87C" w14:textId="77777777" w:rsidR="00C711F2" w:rsidRDefault="00C711F2">
      <w:pPr>
        <w:spacing w:after="0"/>
        <w:ind w:right="89"/>
        <w:jc w:val="center"/>
        <w:rPr>
          <w:sz w:val="20"/>
        </w:rPr>
      </w:pPr>
    </w:p>
    <w:p w14:paraId="34F5E3BD" w14:textId="77777777" w:rsidR="00C711F2" w:rsidRDefault="00C711F2">
      <w:pPr>
        <w:spacing w:after="0"/>
        <w:ind w:right="89"/>
        <w:jc w:val="center"/>
        <w:rPr>
          <w:sz w:val="20"/>
        </w:rPr>
      </w:pPr>
    </w:p>
    <w:p w14:paraId="582EA991" w14:textId="77777777" w:rsidR="00C711F2" w:rsidRDefault="00C711F2">
      <w:pPr>
        <w:spacing w:after="0"/>
        <w:ind w:right="89"/>
        <w:jc w:val="center"/>
        <w:rPr>
          <w:sz w:val="20"/>
        </w:rPr>
      </w:pPr>
    </w:p>
    <w:p w14:paraId="112C0CB3" w14:textId="77777777" w:rsidR="00C711F2" w:rsidRDefault="00C711F2">
      <w:pPr>
        <w:spacing w:after="0"/>
        <w:ind w:right="89"/>
        <w:jc w:val="center"/>
        <w:rPr>
          <w:sz w:val="20"/>
        </w:rPr>
      </w:pPr>
    </w:p>
    <w:p w14:paraId="61EFED84" w14:textId="77777777" w:rsidR="00C711F2" w:rsidRDefault="00C711F2">
      <w:pPr>
        <w:spacing w:after="0"/>
        <w:ind w:right="89"/>
        <w:jc w:val="center"/>
        <w:rPr>
          <w:sz w:val="20"/>
        </w:rPr>
      </w:pPr>
    </w:p>
    <w:p w14:paraId="4C77CD86" w14:textId="77777777" w:rsidR="00C711F2" w:rsidRDefault="00C711F2">
      <w:pPr>
        <w:spacing w:after="0"/>
        <w:ind w:right="89"/>
        <w:jc w:val="center"/>
        <w:rPr>
          <w:sz w:val="20"/>
        </w:rPr>
      </w:pPr>
    </w:p>
    <w:p w14:paraId="2B146F17" w14:textId="77777777" w:rsidR="00C711F2" w:rsidRDefault="00C711F2">
      <w:pPr>
        <w:spacing w:after="0"/>
        <w:ind w:right="89"/>
        <w:jc w:val="center"/>
        <w:rPr>
          <w:sz w:val="20"/>
        </w:rPr>
      </w:pPr>
    </w:p>
    <w:p w14:paraId="49F67DED" w14:textId="77777777" w:rsidR="00C711F2" w:rsidRDefault="00C711F2">
      <w:pPr>
        <w:spacing w:after="0"/>
        <w:ind w:right="89"/>
        <w:jc w:val="center"/>
        <w:rPr>
          <w:sz w:val="20"/>
        </w:rPr>
      </w:pPr>
    </w:p>
    <w:p w14:paraId="0E59C775" w14:textId="77777777" w:rsidR="008F5201" w:rsidRDefault="008F5201">
      <w:pPr>
        <w:spacing w:after="0"/>
        <w:ind w:right="89"/>
        <w:jc w:val="center"/>
        <w:rPr>
          <w:sz w:val="20"/>
        </w:rPr>
      </w:pPr>
    </w:p>
    <w:p w14:paraId="25458C14" w14:textId="77777777" w:rsidR="008F5201" w:rsidRDefault="008F5201">
      <w:pPr>
        <w:spacing w:after="0"/>
        <w:ind w:right="89"/>
        <w:jc w:val="center"/>
        <w:rPr>
          <w:sz w:val="20"/>
        </w:rPr>
      </w:pPr>
    </w:p>
    <w:p w14:paraId="781B940F" w14:textId="77777777" w:rsidR="008F5201" w:rsidRDefault="008F5201">
      <w:pPr>
        <w:spacing w:after="0"/>
        <w:ind w:right="89"/>
        <w:jc w:val="center"/>
        <w:rPr>
          <w:sz w:val="20"/>
        </w:rPr>
      </w:pPr>
    </w:p>
    <w:p w14:paraId="550BF783" w14:textId="77777777" w:rsidR="008F5201" w:rsidRDefault="008F5201">
      <w:pPr>
        <w:spacing w:after="0"/>
        <w:ind w:right="89"/>
        <w:jc w:val="center"/>
        <w:rPr>
          <w:sz w:val="20"/>
        </w:rPr>
      </w:pPr>
    </w:p>
    <w:p w14:paraId="4723445E" w14:textId="77777777" w:rsidR="008F5201" w:rsidRDefault="008F5201">
      <w:pPr>
        <w:spacing w:after="0"/>
        <w:ind w:right="89"/>
        <w:jc w:val="center"/>
        <w:rPr>
          <w:sz w:val="20"/>
        </w:rPr>
      </w:pPr>
    </w:p>
    <w:p w14:paraId="2F029394" w14:textId="77777777" w:rsidR="008F5201" w:rsidRDefault="008F5201">
      <w:pPr>
        <w:spacing w:after="0"/>
        <w:ind w:right="89"/>
        <w:jc w:val="center"/>
        <w:rPr>
          <w:sz w:val="20"/>
        </w:rPr>
      </w:pPr>
    </w:p>
    <w:p w14:paraId="10E46EE8" w14:textId="77777777" w:rsidR="008F5201" w:rsidRDefault="008F5201">
      <w:pPr>
        <w:spacing w:after="0"/>
        <w:ind w:right="89"/>
        <w:jc w:val="center"/>
        <w:rPr>
          <w:sz w:val="20"/>
        </w:rPr>
      </w:pPr>
    </w:p>
    <w:p w14:paraId="267F8177" w14:textId="77777777" w:rsidR="008F5201" w:rsidRDefault="008F5201">
      <w:pPr>
        <w:spacing w:after="0"/>
        <w:ind w:right="89"/>
        <w:jc w:val="center"/>
        <w:rPr>
          <w:sz w:val="20"/>
        </w:rPr>
      </w:pPr>
    </w:p>
    <w:p w14:paraId="04967B24" w14:textId="77777777" w:rsidR="008F5201" w:rsidRDefault="008F5201">
      <w:pPr>
        <w:spacing w:after="0"/>
        <w:ind w:right="89"/>
        <w:jc w:val="center"/>
        <w:rPr>
          <w:sz w:val="20"/>
        </w:rPr>
      </w:pPr>
    </w:p>
    <w:p w14:paraId="1BFEBD71" w14:textId="77777777" w:rsidR="008F5201" w:rsidRDefault="008F5201">
      <w:pPr>
        <w:spacing w:after="0"/>
        <w:ind w:right="89"/>
        <w:jc w:val="center"/>
        <w:rPr>
          <w:sz w:val="20"/>
        </w:rPr>
      </w:pPr>
    </w:p>
    <w:p w14:paraId="7F7C6205" w14:textId="77777777" w:rsidR="004511EE" w:rsidRDefault="004511EE">
      <w:pPr>
        <w:spacing w:after="0"/>
        <w:ind w:right="89"/>
        <w:jc w:val="center"/>
        <w:rPr>
          <w:sz w:val="20"/>
        </w:rPr>
      </w:pPr>
    </w:p>
    <w:p w14:paraId="7539F894" w14:textId="77777777" w:rsidR="004511EE" w:rsidRDefault="004511EE">
      <w:pPr>
        <w:spacing w:after="0"/>
        <w:ind w:right="89"/>
        <w:jc w:val="center"/>
        <w:rPr>
          <w:sz w:val="20"/>
        </w:rPr>
      </w:pPr>
    </w:p>
    <w:p w14:paraId="4B387982" w14:textId="77777777" w:rsidR="004511EE" w:rsidRDefault="004511EE">
      <w:pPr>
        <w:spacing w:after="0"/>
        <w:ind w:right="89"/>
        <w:jc w:val="center"/>
        <w:rPr>
          <w:sz w:val="20"/>
        </w:rPr>
      </w:pPr>
    </w:p>
    <w:p w14:paraId="0A0EB53A" w14:textId="2F4517BA" w:rsidR="0073742C" w:rsidRPr="00C711F2" w:rsidRDefault="00C00D92" w:rsidP="008F5201">
      <w:pPr>
        <w:spacing w:after="0"/>
        <w:ind w:right="89" w:firstLine="720"/>
      </w:pPr>
      <w:bookmarkStart w:id="2" w:name="_Hlk501376109"/>
      <w:r>
        <w:rPr>
          <w:sz w:val="20"/>
        </w:rPr>
        <w:t xml:space="preserve">Table </w:t>
      </w:r>
      <w:r w:rsidR="00505B39">
        <w:rPr>
          <w:sz w:val="20"/>
        </w:rPr>
        <w:t>4</w:t>
      </w:r>
      <w:r w:rsidR="005D5980">
        <w:rPr>
          <w:sz w:val="20"/>
        </w:rPr>
        <w:t xml:space="preserve">: Number of Matches with </w:t>
      </w:r>
      <w:r w:rsidR="005D5980" w:rsidRPr="00C711F2">
        <w:rPr>
          <w:sz w:val="20"/>
        </w:rPr>
        <w:t>Arbitrage Opportunities by League.</w:t>
      </w:r>
    </w:p>
    <w:tbl>
      <w:tblPr>
        <w:tblStyle w:val="TableGrid"/>
        <w:tblW w:w="8827" w:type="dxa"/>
        <w:tblInd w:w="534" w:type="dxa"/>
        <w:tblCellMar>
          <w:top w:w="38" w:type="dxa"/>
          <w:right w:w="120" w:type="dxa"/>
        </w:tblCellMar>
        <w:tblLook w:val="04A0" w:firstRow="1" w:lastRow="0" w:firstColumn="1" w:lastColumn="0" w:noHBand="0" w:noVBand="1"/>
      </w:tblPr>
      <w:tblGrid>
        <w:gridCol w:w="1243"/>
        <w:gridCol w:w="2607"/>
        <w:gridCol w:w="1478"/>
        <w:gridCol w:w="1612"/>
        <w:gridCol w:w="1887"/>
      </w:tblGrid>
      <w:tr w:rsidR="00921866" w14:paraId="73244805" w14:textId="77777777" w:rsidTr="00921866">
        <w:trPr>
          <w:trHeight w:val="701"/>
        </w:trPr>
        <w:tc>
          <w:tcPr>
            <w:tcW w:w="1243" w:type="dxa"/>
            <w:tcBorders>
              <w:top w:val="single" w:sz="7" w:space="0" w:color="000000"/>
              <w:left w:val="nil"/>
              <w:bottom w:val="single" w:sz="5" w:space="0" w:color="000000"/>
              <w:right w:val="nil"/>
            </w:tcBorders>
            <w:vAlign w:val="center"/>
          </w:tcPr>
          <w:p w14:paraId="714B1A01" w14:textId="77777777" w:rsidR="00921866" w:rsidRPr="00C711F2" w:rsidRDefault="00921866" w:rsidP="004C7DA1">
            <w:pPr>
              <w:spacing w:line="259" w:lineRule="auto"/>
              <w:ind w:left="120"/>
              <w:jc w:val="center"/>
            </w:pPr>
            <w:r w:rsidRPr="00C711F2">
              <w:t>League</w:t>
            </w:r>
          </w:p>
        </w:tc>
        <w:tc>
          <w:tcPr>
            <w:tcW w:w="2607" w:type="dxa"/>
            <w:tcBorders>
              <w:top w:val="single" w:sz="7" w:space="0" w:color="000000"/>
              <w:left w:val="nil"/>
              <w:bottom w:val="single" w:sz="5" w:space="0" w:color="000000"/>
              <w:right w:val="nil"/>
            </w:tcBorders>
            <w:vAlign w:val="center"/>
          </w:tcPr>
          <w:p w14:paraId="69319172" w14:textId="77777777" w:rsidR="00921866" w:rsidRPr="00C711F2" w:rsidRDefault="00921866" w:rsidP="004C7DA1">
            <w:pPr>
              <w:spacing w:line="259" w:lineRule="auto"/>
              <w:jc w:val="center"/>
            </w:pPr>
            <w:r w:rsidRPr="00C711F2">
              <w:t>Number of Matches with</w:t>
            </w:r>
          </w:p>
          <w:p w14:paraId="2DA5B0A3" w14:textId="77777777" w:rsidR="00921866" w:rsidRPr="00C711F2" w:rsidRDefault="00921866" w:rsidP="004C7DA1">
            <w:pPr>
              <w:spacing w:line="259" w:lineRule="auto"/>
              <w:ind w:left="128"/>
              <w:jc w:val="center"/>
            </w:pPr>
            <w:r w:rsidRPr="00C711F2">
              <w:t>Arbitrage Opportunity</w:t>
            </w:r>
          </w:p>
        </w:tc>
        <w:tc>
          <w:tcPr>
            <w:tcW w:w="1478" w:type="dxa"/>
            <w:tcBorders>
              <w:top w:val="single" w:sz="7" w:space="0" w:color="000000"/>
              <w:left w:val="nil"/>
              <w:bottom w:val="single" w:sz="5" w:space="0" w:color="000000"/>
              <w:right w:val="nil"/>
            </w:tcBorders>
            <w:vAlign w:val="center"/>
          </w:tcPr>
          <w:p w14:paraId="4876181C" w14:textId="31EA8376" w:rsidR="00921866" w:rsidRPr="00C711F2" w:rsidRDefault="00921866" w:rsidP="00BE4934">
            <w:pPr>
              <w:spacing w:line="259" w:lineRule="auto"/>
              <w:jc w:val="center"/>
            </w:pPr>
            <w:r w:rsidRPr="00C711F2">
              <w:rPr>
                <w:color w:val="000000" w:themeColor="text1"/>
              </w:rPr>
              <w:t>Proportion of Arbitrage Opportunities Across all Leagues</w:t>
            </w:r>
          </w:p>
        </w:tc>
        <w:tc>
          <w:tcPr>
            <w:tcW w:w="1612" w:type="dxa"/>
            <w:tcBorders>
              <w:top w:val="single" w:sz="7" w:space="0" w:color="000000"/>
              <w:left w:val="nil"/>
              <w:bottom w:val="single" w:sz="5" w:space="0" w:color="000000"/>
              <w:right w:val="nil"/>
            </w:tcBorders>
          </w:tcPr>
          <w:p w14:paraId="2F4E63D4" w14:textId="5DE4239E" w:rsidR="00921866" w:rsidRPr="00C711F2" w:rsidRDefault="00921866" w:rsidP="00921866">
            <w:pPr>
              <w:jc w:val="center"/>
            </w:pPr>
            <w:r>
              <w:t>Proportion of Arbitrage Opportunities per Match</w:t>
            </w:r>
          </w:p>
        </w:tc>
        <w:tc>
          <w:tcPr>
            <w:tcW w:w="1887" w:type="dxa"/>
            <w:tcBorders>
              <w:top w:val="single" w:sz="7" w:space="0" w:color="000000"/>
              <w:left w:val="nil"/>
              <w:bottom w:val="single" w:sz="5" w:space="0" w:color="000000"/>
              <w:right w:val="nil"/>
            </w:tcBorders>
            <w:vAlign w:val="center"/>
          </w:tcPr>
          <w:p w14:paraId="7587BB2B" w14:textId="6169B4EA" w:rsidR="00921866" w:rsidRPr="004C7DA1" w:rsidRDefault="00921866" w:rsidP="004C7DA1">
            <w:pPr>
              <w:spacing w:line="259" w:lineRule="auto"/>
              <w:jc w:val="center"/>
            </w:pPr>
            <w:r w:rsidRPr="00C711F2">
              <w:t>Matches in Sample</w:t>
            </w:r>
          </w:p>
        </w:tc>
      </w:tr>
      <w:tr w:rsidR="00921866" w14:paraId="76A25A96" w14:textId="77777777" w:rsidTr="00921866">
        <w:trPr>
          <w:trHeight w:val="359"/>
        </w:trPr>
        <w:tc>
          <w:tcPr>
            <w:tcW w:w="1243" w:type="dxa"/>
            <w:tcBorders>
              <w:top w:val="single" w:sz="5" w:space="0" w:color="000000"/>
              <w:left w:val="nil"/>
              <w:bottom w:val="nil"/>
              <w:right w:val="nil"/>
            </w:tcBorders>
          </w:tcPr>
          <w:p w14:paraId="51EBDB21" w14:textId="77777777" w:rsidR="00921866" w:rsidRDefault="00921866">
            <w:pPr>
              <w:spacing w:line="259" w:lineRule="auto"/>
              <w:ind w:left="120"/>
            </w:pPr>
            <w:r>
              <w:t>England</w:t>
            </w:r>
          </w:p>
        </w:tc>
        <w:tc>
          <w:tcPr>
            <w:tcW w:w="2607" w:type="dxa"/>
            <w:tcBorders>
              <w:top w:val="single" w:sz="5" w:space="0" w:color="000000"/>
              <w:left w:val="nil"/>
              <w:bottom w:val="nil"/>
              <w:right w:val="nil"/>
            </w:tcBorders>
          </w:tcPr>
          <w:p w14:paraId="60426FCE" w14:textId="77777777" w:rsidR="00921866" w:rsidRDefault="00921866">
            <w:pPr>
              <w:spacing w:line="259" w:lineRule="auto"/>
              <w:ind w:right="120"/>
              <w:jc w:val="center"/>
            </w:pPr>
            <w:r>
              <w:t>90</w:t>
            </w:r>
          </w:p>
        </w:tc>
        <w:tc>
          <w:tcPr>
            <w:tcW w:w="1478" w:type="dxa"/>
            <w:tcBorders>
              <w:top w:val="single" w:sz="5" w:space="0" w:color="000000"/>
              <w:left w:val="nil"/>
              <w:bottom w:val="nil"/>
              <w:right w:val="nil"/>
            </w:tcBorders>
          </w:tcPr>
          <w:p w14:paraId="6FC82479" w14:textId="2245AA17" w:rsidR="00921866" w:rsidRPr="00C711F2" w:rsidRDefault="00921866" w:rsidP="00921866">
            <w:pPr>
              <w:spacing w:line="259" w:lineRule="auto"/>
              <w:ind w:left="238"/>
            </w:pPr>
            <w:r w:rsidRPr="00C711F2">
              <w:t>16.5</w:t>
            </w:r>
            <w:r>
              <w:t>1</w:t>
            </w:r>
            <w:r w:rsidRPr="00C711F2">
              <w:t>%</w:t>
            </w:r>
            <w:r w:rsidRPr="00921866">
              <w:rPr>
                <w:vertAlign w:val="superscript"/>
              </w:rPr>
              <w:t>1</w:t>
            </w:r>
          </w:p>
        </w:tc>
        <w:tc>
          <w:tcPr>
            <w:tcW w:w="1612" w:type="dxa"/>
            <w:tcBorders>
              <w:top w:val="single" w:sz="5" w:space="0" w:color="000000"/>
              <w:left w:val="nil"/>
              <w:bottom w:val="nil"/>
              <w:right w:val="nil"/>
            </w:tcBorders>
          </w:tcPr>
          <w:p w14:paraId="78717BA3" w14:textId="3EF9273B" w:rsidR="00921866" w:rsidRDefault="00921866" w:rsidP="00921866">
            <w:pPr>
              <w:jc w:val="center"/>
            </w:pPr>
            <w:r>
              <w:t>23.68%</w:t>
            </w:r>
            <w:r w:rsidRPr="00921866">
              <w:rPr>
                <w:vertAlign w:val="superscript"/>
              </w:rPr>
              <w:t>2</w:t>
            </w:r>
          </w:p>
        </w:tc>
        <w:tc>
          <w:tcPr>
            <w:tcW w:w="1887" w:type="dxa"/>
            <w:tcBorders>
              <w:top w:val="single" w:sz="5" w:space="0" w:color="000000"/>
              <w:left w:val="nil"/>
              <w:bottom w:val="nil"/>
              <w:right w:val="nil"/>
            </w:tcBorders>
          </w:tcPr>
          <w:p w14:paraId="6C2C32B6" w14:textId="6D58884A" w:rsidR="00921866" w:rsidRDefault="00921866">
            <w:pPr>
              <w:spacing w:line="259" w:lineRule="auto"/>
              <w:jc w:val="center"/>
            </w:pPr>
            <w:r>
              <w:t>380</w:t>
            </w:r>
          </w:p>
        </w:tc>
      </w:tr>
      <w:tr w:rsidR="00921866" w14:paraId="2C0B85A0" w14:textId="77777777" w:rsidTr="00921866">
        <w:trPr>
          <w:trHeight w:val="289"/>
        </w:trPr>
        <w:tc>
          <w:tcPr>
            <w:tcW w:w="1243" w:type="dxa"/>
            <w:tcBorders>
              <w:top w:val="nil"/>
              <w:left w:val="nil"/>
              <w:bottom w:val="nil"/>
              <w:right w:val="nil"/>
            </w:tcBorders>
          </w:tcPr>
          <w:p w14:paraId="4D7A310A" w14:textId="77777777" w:rsidR="00921866" w:rsidRDefault="00921866">
            <w:pPr>
              <w:spacing w:line="259" w:lineRule="auto"/>
              <w:ind w:left="120"/>
            </w:pPr>
            <w:r>
              <w:t>Spain</w:t>
            </w:r>
          </w:p>
        </w:tc>
        <w:tc>
          <w:tcPr>
            <w:tcW w:w="2607" w:type="dxa"/>
            <w:tcBorders>
              <w:top w:val="nil"/>
              <w:left w:val="nil"/>
              <w:bottom w:val="nil"/>
              <w:right w:val="nil"/>
            </w:tcBorders>
          </w:tcPr>
          <w:p w14:paraId="63B832E8" w14:textId="77777777" w:rsidR="00921866" w:rsidRDefault="00921866">
            <w:pPr>
              <w:spacing w:line="259" w:lineRule="auto"/>
              <w:ind w:right="120"/>
              <w:jc w:val="center"/>
            </w:pPr>
            <w:r>
              <w:t>109</w:t>
            </w:r>
          </w:p>
        </w:tc>
        <w:tc>
          <w:tcPr>
            <w:tcW w:w="1478" w:type="dxa"/>
            <w:tcBorders>
              <w:top w:val="nil"/>
              <w:left w:val="nil"/>
              <w:bottom w:val="nil"/>
              <w:right w:val="nil"/>
            </w:tcBorders>
          </w:tcPr>
          <w:p w14:paraId="2C85EC2A" w14:textId="77777777" w:rsidR="00921866" w:rsidRPr="00C711F2" w:rsidRDefault="00921866">
            <w:pPr>
              <w:spacing w:line="259" w:lineRule="auto"/>
              <w:ind w:left="238"/>
            </w:pPr>
            <w:r w:rsidRPr="00C711F2">
              <w:t>20.00%</w:t>
            </w:r>
          </w:p>
        </w:tc>
        <w:tc>
          <w:tcPr>
            <w:tcW w:w="1612" w:type="dxa"/>
            <w:tcBorders>
              <w:top w:val="nil"/>
              <w:left w:val="nil"/>
              <w:bottom w:val="nil"/>
              <w:right w:val="nil"/>
            </w:tcBorders>
          </w:tcPr>
          <w:p w14:paraId="208A6C20" w14:textId="61A3E6F8" w:rsidR="00921866" w:rsidRDefault="00921866">
            <w:pPr>
              <w:jc w:val="center"/>
            </w:pPr>
            <w:r>
              <w:t>28.68%</w:t>
            </w:r>
          </w:p>
        </w:tc>
        <w:tc>
          <w:tcPr>
            <w:tcW w:w="1887" w:type="dxa"/>
            <w:tcBorders>
              <w:top w:val="nil"/>
              <w:left w:val="nil"/>
              <w:bottom w:val="nil"/>
              <w:right w:val="nil"/>
            </w:tcBorders>
          </w:tcPr>
          <w:p w14:paraId="28C1C0BB" w14:textId="34A106B0" w:rsidR="00921866" w:rsidRDefault="00921866">
            <w:pPr>
              <w:spacing w:line="259" w:lineRule="auto"/>
              <w:jc w:val="center"/>
            </w:pPr>
            <w:r>
              <w:t>380</w:t>
            </w:r>
          </w:p>
        </w:tc>
      </w:tr>
      <w:tr w:rsidR="00921866" w14:paraId="589F10F6" w14:textId="77777777" w:rsidTr="00921866">
        <w:trPr>
          <w:trHeight w:val="289"/>
        </w:trPr>
        <w:tc>
          <w:tcPr>
            <w:tcW w:w="1243" w:type="dxa"/>
            <w:tcBorders>
              <w:top w:val="nil"/>
              <w:left w:val="nil"/>
              <w:bottom w:val="nil"/>
              <w:right w:val="nil"/>
            </w:tcBorders>
          </w:tcPr>
          <w:p w14:paraId="51120DBC" w14:textId="77777777" w:rsidR="00921866" w:rsidRDefault="00921866">
            <w:pPr>
              <w:spacing w:line="259" w:lineRule="auto"/>
              <w:ind w:left="120"/>
            </w:pPr>
            <w:r>
              <w:t>Italy</w:t>
            </w:r>
          </w:p>
        </w:tc>
        <w:tc>
          <w:tcPr>
            <w:tcW w:w="2607" w:type="dxa"/>
            <w:tcBorders>
              <w:top w:val="nil"/>
              <w:left w:val="nil"/>
              <w:bottom w:val="nil"/>
              <w:right w:val="nil"/>
            </w:tcBorders>
          </w:tcPr>
          <w:p w14:paraId="3CA5D17E" w14:textId="77777777" w:rsidR="00921866" w:rsidRDefault="00921866">
            <w:pPr>
              <w:spacing w:line="259" w:lineRule="auto"/>
              <w:ind w:right="120"/>
              <w:jc w:val="center"/>
            </w:pPr>
            <w:r>
              <w:t>101</w:t>
            </w:r>
          </w:p>
        </w:tc>
        <w:tc>
          <w:tcPr>
            <w:tcW w:w="1478" w:type="dxa"/>
            <w:tcBorders>
              <w:top w:val="nil"/>
              <w:left w:val="nil"/>
              <w:bottom w:val="nil"/>
              <w:right w:val="nil"/>
            </w:tcBorders>
          </w:tcPr>
          <w:p w14:paraId="4062B3B4" w14:textId="062C407B" w:rsidR="00921866" w:rsidRPr="00C711F2" w:rsidRDefault="00921866" w:rsidP="00921866">
            <w:pPr>
              <w:spacing w:line="259" w:lineRule="auto"/>
              <w:ind w:left="238"/>
            </w:pPr>
            <w:r w:rsidRPr="00C711F2">
              <w:t>18.5</w:t>
            </w:r>
            <w:r>
              <w:t>3</w:t>
            </w:r>
            <w:r w:rsidRPr="00C711F2">
              <w:t>%</w:t>
            </w:r>
          </w:p>
        </w:tc>
        <w:tc>
          <w:tcPr>
            <w:tcW w:w="1612" w:type="dxa"/>
            <w:tcBorders>
              <w:top w:val="nil"/>
              <w:left w:val="nil"/>
              <w:bottom w:val="nil"/>
              <w:right w:val="nil"/>
            </w:tcBorders>
          </w:tcPr>
          <w:p w14:paraId="5D8AF0C7" w14:textId="30AF6871" w:rsidR="00921866" w:rsidRDefault="00921866">
            <w:pPr>
              <w:jc w:val="center"/>
            </w:pPr>
            <w:r>
              <w:t>26.58%</w:t>
            </w:r>
          </w:p>
        </w:tc>
        <w:tc>
          <w:tcPr>
            <w:tcW w:w="1887" w:type="dxa"/>
            <w:tcBorders>
              <w:top w:val="nil"/>
              <w:left w:val="nil"/>
              <w:bottom w:val="nil"/>
              <w:right w:val="nil"/>
            </w:tcBorders>
          </w:tcPr>
          <w:p w14:paraId="2594CD92" w14:textId="7962C776" w:rsidR="00921866" w:rsidRDefault="00921866">
            <w:pPr>
              <w:spacing w:line="259" w:lineRule="auto"/>
              <w:jc w:val="center"/>
            </w:pPr>
            <w:r>
              <w:t>380</w:t>
            </w:r>
          </w:p>
        </w:tc>
      </w:tr>
      <w:tr w:rsidR="00921866" w14:paraId="6CA06DE7" w14:textId="77777777" w:rsidTr="00921866">
        <w:trPr>
          <w:trHeight w:val="289"/>
        </w:trPr>
        <w:tc>
          <w:tcPr>
            <w:tcW w:w="1243" w:type="dxa"/>
            <w:tcBorders>
              <w:top w:val="nil"/>
              <w:left w:val="nil"/>
              <w:bottom w:val="nil"/>
              <w:right w:val="nil"/>
            </w:tcBorders>
          </w:tcPr>
          <w:p w14:paraId="695A8CAC" w14:textId="77777777" w:rsidR="00921866" w:rsidRDefault="00921866">
            <w:pPr>
              <w:spacing w:line="259" w:lineRule="auto"/>
              <w:ind w:left="120"/>
            </w:pPr>
            <w:r>
              <w:t>Germany</w:t>
            </w:r>
          </w:p>
        </w:tc>
        <w:tc>
          <w:tcPr>
            <w:tcW w:w="2607" w:type="dxa"/>
            <w:tcBorders>
              <w:top w:val="nil"/>
              <w:left w:val="nil"/>
              <w:bottom w:val="nil"/>
              <w:right w:val="nil"/>
            </w:tcBorders>
          </w:tcPr>
          <w:p w14:paraId="51D3A47C" w14:textId="77777777" w:rsidR="00921866" w:rsidRDefault="00921866">
            <w:pPr>
              <w:spacing w:line="259" w:lineRule="auto"/>
              <w:ind w:right="120"/>
              <w:jc w:val="center"/>
            </w:pPr>
            <w:r>
              <w:t>94</w:t>
            </w:r>
          </w:p>
        </w:tc>
        <w:tc>
          <w:tcPr>
            <w:tcW w:w="1478" w:type="dxa"/>
            <w:tcBorders>
              <w:top w:val="nil"/>
              <w:left w:val="nil"/>
              <w:bottom w:val="nil"/>
              <w:right w:val="nil"/>
            </w:tcBorders>
          </w:tcPr>
          <w:p w14:paraId="3F5A0882" w14:textId="591908CE" w:rsidR="00921866" w:rsidRPr="00C711F2" w:rsidRDefault="00921866" w:rsidP="00921866">
            <w:pPr>
              <w:spacing w:line="259" w:lineRule="auto"/>
              <w:ind w:left="238"/>
            </w:pPr>
            <w:r w:rsidRPr="00C711F2">
              <w:t>17.2</w:t>
            </w:r>
            <w:r>
              <w:t>5</w:t>
            </w:r>
            <w:r w:rsidRPr="00C711F2">
              <w:t>%</w:t>
            </w:r>
          </w:p>
        </w:tc>
        <w:tc>
          <w:tcPr>
            <w:tcW w:w="1612" w:type="dxa"/>
            <w:tcBorders>
              <w:top w:val="nil"/>
              <w:left w:val="nil"/>
              <w:bottom w:val="nil"/>
              <w:right w:val="nil"/>
            </w:tcBorders>
          </w:tcPr>
          <w:p w14:paraId="65E7C46F" w14:textId="54467F81" w:rsidR="00921866" w:rsidRDefault="00921866">
            <w:pPr>
              <w:jc w:val="center"/>
            </w:pPr>
            <w:r>
              <w:t>30.72%</w:t>
            </w:r>
          </w:p>
        </w:tc>
        <w:tc>
          <w:tcPr>
            <w:tcW w:w="1887" w:type="dxa"/>
            <w:tcBorders>
              <w:top w:val="nil"/>
              <w:left w:val="nil"/>
              <w:bottom w:val="nil"/>
              <w:right w:val="nil"/>
            </w:tcBorders>
          </w:tcPr>
          <w:p w14:paraId="7C05266F" w14:textId="3643E653" w:rsidR="00921866" w:rsidRDefault="00921866">
            <w:pPr>
              <w:spacing w:line="259" w:lineRule="auto"/>
              <w:jc w:val="center"/>
            </w:pPr>
            <w:r>
              <w:t>306</w:t>
            </w:r>
          </w:p>
        </w:tc>
      </w:tr>
      <w:tr w:rsidR="00921866" w14:paraId="209A708A" w14:textId="77777777" w:rsidTr="00921866">
        <w:trPr>
          <w:trHeight w:val="289"/>
        </w:trPr>
        <w:tc>
          <w:tcPr>
            <w:tcW w:w="1243" w:type="dxa"/>
            <w:tcBorders>
              <w:top w:val="nil"/>
              <w:left w:val="nil"/>
              <w:bottom w:val="nil"/>
              <w:right w:val="nil"/>
            </w:tcBorders>
          </w:tcPr>
          <w:p w14:paraId="61A5213D" w14:textId="77777777" w:rsidR="00921866" w:rsidRDefault="00921866">
            <w:pPr>
              <w:spacing w:line="259" w:lineRule="auto"/>
              <w:ind w:left="120"/>
            </w:pPr>
            <w:r>
              <w:t>France</w:t>
            </w:r>
          </w:p>
        </w:tc>
        <w:tc>
          <w:tcPr>
            <w:tcW w:w="2607" w:type="dxa"/>
            <w:tcBorders>
              <w:top w:val="nil"/>
              <w:left w:val="nil"/>
              <w:bottom w:val="nil"/>
              <w:right w:val="nil"/>
            </w:tcBorders>
          </w:tcPr>
          <w:p w14:paraId="16F917C6" w14:textId="77777777" w:rsidR="00921866" w:rsidRDefault="00921866">
            <w:pPr>
              <w:spacing w:line="259" w:lineRule="auto"/>
              <w:ind w:right="119"/>
              <w:jc w:val="center"/>
            </w:pPr>
            <w:r>
              <w:t>94</w:t>
            </w:r>
          </w:p>
        </w:tc>
        <w:tc>
          <w:tcPr>
            <w:tcW w:w="1478" w:type="dxa"/>
            <w:tcBorders>
              <w:top w:val="nil"/>
              <w:left w:val="nil"/>
              <w:bottom w:val="nil"/>
              <w:right w:val="nil"/>
            </w:tcBorders>
          </w:tcPr>
          <w:p w14:paraId="6D11CF02" w14:textId="6206FA91" w:rsidR="00921866" w:rsidRPr="00C711F2" w:rsidRDefault="00921866" w:rsidP="00921866">
            <w:pPr>
              <w:spacing w:line="259" w:lineRule="auto"/>
              <w:ind w:left="238"/>
            </w:pPr>
            <w:r w:rsidRPr="00C711F2">
              <w:t>17.2</w:t>
            </w:r>
            <w:r>
              <w:t>5</w:t>
            </w:r>
            <w:r w:rsidRPr="00C711F2">
              <w:t>%</w:t>
            </w:r>
          </w:p>
        </w:tc>
        <w:tc>
          <w:tcPr>
            <w:tcW w:w="1612" w:type="dxa"/>
            <w:tcBorders>
              <w:top w:val="nil"/>
              <w:left w:val="nil"/>
              <w:bottom w:val="nil"/>
              <w:right w:val="nil"/>
            </w:tcBorders>
          </w:tcPr>
          <w:p w14:paraId="320BB3D7" w14:textId="2F966A81" w:rsidR="00921866" w:rsidRDefault="00921866">
            <w:pPr>
              <w:jc w:val="center"/>
            </w:pPr>
            <w:r>
              <w:t>24.74%</w:t>
            </w:r>
          </w:p>
        </w:tc>
        <w:tc>
          <w:tcPr>
            <w:tcW w:w="1887" w:type="dxa"/>
            <w:tcBorders>
              <w:top w:val="nil"/>
              <w:left w:val="nil"/>
              <w:bottom w:val="nil"/>
              <w:right w:val="nil"/>
            </w:tcBorders>
          </w:tcPr>
          <w:p w14:paraId="5F3F75E3" w14:textId="0767BEB4" w:rsidR="00921866" w:rsidRDefault="00921866">
            <w:pPr>
              <w:spacing w:line="259" w:lineRule="auto"/>
              <w:jc w:val="center"/>
            </w:pPr>
            <w:r>
              <w:t>380</w:t>
            </w:r>
          </w:p>
        </w:tc>
      </w:tr>
      <w:tr w:rsidR="00921866" w14:paraId="0B2794B3" w14:textId="77777777" w:rsidTr="00921866">
        <w:trPr>
          <w:trHeight w:val="291"/>
        </w:trPr>
        <w:tc>
          <w:tcPr>
            <w:tcW w:w="1243" w:type="dxa"/>
            <w:tcBorders>
              <w:top w:val="nil"/>
              <w:left w:val="nil"/>
              <w:bottom w:val="nil"/>
              <w:right w:val="nil"/>
            </w:tcBorders>
          </w:tcPr>
          <w:p w14:paraId="5FDC2743" w14:textId="77777777" w:rsidR="00921866" w:rsidRDefault="00921866">
            <w:pPr>
              <w:spacing w:line="259" w:lineRule="auto"/>
              <w:ind w:left="120"/>
            </w:pPr>
            <w:r>
              <w:t>Holland</w:t>
            </w:r>
          </w:p>
        </w:tc>
        <w:tc>
          <w:tcPr>
            <w:tcW w:w="2607" w:type="dxa"/>
            <w:tcBorders>
              <w:top w:val="nil"/>
              <w:left w:val="nil"/>
              <w:bottom w:val="nil"/>
              <w:right w:val="nil"/>
            </w:tcBorders>
          </w:tcPr>
          <w:p w14:paraId="1BDB19F9" w14:textId="77777777" w:rsidR="00921866" w:rsidRDefault="00921866">
            <w:pPr>
              <w:spacing w:line="259" w:lineRule="auto"/>
              <w:ind w:right="120"/>
              <w:jc w:val="center"/>
            </w:pPr>
            <w:r>
              <w:t>57</w:t>
            </w:r>
          </w:p>
        </w:tc>
        <w:tc>
          <w:tcPr>
            <w:tcW w:w="1478" w:type="dxa"/>
            <w:tcBorders>
              <w:top w:val="nil"/>
              <w:left w:val="nil"/>
              <w:bottom w:val="nil"/>
              <w:right w:val="nil"/>
            </w:tcBorders>
          </w:tcPr>
          <w:p w14:paraId="3F8016C3" w14:textId="0B29F785" w:rsidR="00921866" w:rsidRPr="00C711F2" w:rsidRDefault="00921866" w:rsidP="00921866">
            <w:pPr>
              <w:spacing w:line="259" w:lineRule="auto"/>
              <w:ind w:left="238"/>
            </w:pPr>
            <w:r w:rsidRPr="00C711F2">
              <w:t>10.</w:t>
            </w:r>
            <w:r>
              <w:t>46</w:t>
            </w:r>
            <w:r w:rsidRPr="00C711F2">
              <w:t>%</w:t>
            </w:r>
          </w:p>
        </w:tc>
        <w:tc>
          <w:tcPr>
            <w:tcW w:w="1612" w:type="dxa"/>
            <w:tcBorders>
              <w:top w:val="nil"/>
              <w:left w:val="nil"/>
              <w:bottom w:val="nil"/>
              <w:right w:val="nil"/>
            </w:tcBorders>
          </w:tcPr>
          <w:p w14:paraId="274743C2" w14:textId="3880AD42" w:rsidR="00921866" w:rsidRDefault="00921866">
            <w:pPr>
              <w:jc w:val="center"/>
            </w:pPr>
            <w:r>
              <w:t>18.63%</w:t>
            </w:r>
          </w:p>
        </w:tc>
        <w:tc>
          <w:tcPr>
            <w:tcW w:w="1887" w:type="dxa"/>
            <w:tcBorders>
              <w:top w:val="nil"/>
              <w:left w:val="nil"/>
              <w:bottom w:val="nil"/>
              <w:right w:val="nil"/>
            </w:tcBorders>
          </w:tcPr>
          <w:p w14:paraId="2FF5FE3F" w14:textId="05FF1EA5" w:rsidR="00921866" w:rsidRDefault="00921866">
            <w:pPr>
              <w:spacing w:line="259" w:lineRule="auto"/>
              <w:jc w:val="center"/>
            </w:pPr>
            <w:r>
              <w:t>306</w:t>
            </w:r>
          </w:p>
        </w:tc>
      </w:tr>
      <w:tr w:rsidR="00921866" w14:paraId="54DD633E" w14:textId="77777777" w:rsidTr="00921866">
        <w:trPr>
          <w:trHeight w:val="340"/>
        </w:trPr>
        <w:tc>
          <w:tcPr>
            <w:tcW w:w="1243" w:type="dxa"/>
            <w:tcBorders>
              <w:top w:val="nil"/>
              <w:left w:val="nil"/>
              <w:bottom w:val="single" w:sz="7" w:space="0" w:color="000000"/>
              <w:right w:val="nil"/>
            </w:tcBorders>
          </w:tcPr>
          <w:p w14:paraId="08805A64" w14:textId="77777777" w:rsidR="00921866" w:rsidRDefault="00921866">
            <w:pPr>
              <w:spacing w:line="259" w:lineRule="auto"/>
              <w:ind w:left="120"/>
            </w:pPr>
            <w:r>
              <w:rPr>
                <w:b/>
              </w:rPr>
              <w:t>TOTAL</w:t>
            </w:r>
          </w:p>
        </w:tc>
        <w:tc>
          <w:tcPr>
            <w:tcW w:w="2607" w:type="dxa"/>
            <w:tcBorders>
              <w:top w:val="nil"/>
              <w:left w:val="nil"/>
              <w:bottom w:val="single" w:sz="7" w:space="0" w:color="000000"/>
              <w:right w:val="nil"/>
            </w:tcBorders>
          </w:tcPr>
          <w:p w14:paraId="3F186D1E" w14:textId="77777777" w:rsidR="00921866" w:rsidRDefault="00921866">
            <w:pPr>
              <w:spacing w:line="259" w:lineRule="auto"/>
              <w:ind w:right="120"/>
              <w:jc w:val="center"/>
            </w:pPr>
            <w:r>
              <w:rPr>
                <w:b/>
              </w:rPr>
              <w:t>545</w:t>
            </w:r>
          </w:p>
        </w:tc>
        <w:tc>
          <w:tcPr>
            <w:tcW w:w="1478" w:type="dxa"/>
            <w:tcBorders>
              <w:top w:val="nil"/>
              <w:left w:val="nil"/>
              <w:bottom w:val="single" w:sz="7" w:space="0" w:color="000000"/>
              <w:right w:val="nil"/>
            </w:tcBorders>
          </w:tcPr>
          <w:p w14:paraId="271EF9FB" w14:textId="210F1081" w:rsidR="00921866" w:rsidRPr="00C711F2" w:rsidRDefault="00921866" w:rsidP="00921866">
            <w:pPr>
              <w:spacing w:line="259" w:lineRule="auto"/>
              <w:ind w:left="117"/>
            </w:pPr>
            <w:r>
              <w:rPr>
                <w:b/>
              </w:rPr>
              <w:t xml:space="preserve">  100.00%</w:t>
            </w:r>
          </w:p>
        </w:tc>
        <w:tc>
          <w:tcPr>
            <w:tcW w:w="1612" w:type="dxa"/>
            <w:tcBorders>
              <w:top w:val="nil"/>
              <w:left w:val="nil"/>
              <w:bottom w:val="single" w:sz="7" w:space="0" w:color="000000"/>
              <w:right w:val="nil"/>
            </w:tcBorders>
          </w:tcPr>
          <w:p w14:paraId="21C397BD" w14:textId="3B838103" w:rsidR="00921866" w:rsidRDefault="00921866">
            <w:pPr>
              <w:jc w:val="center"/>
              <w:rPr>
                <w:b/>
              </w:rPr>
            </w:pPr>
            <w:r>
              <w:rPr>
                <w:b/>
              </w:rPr>
              <w:t>25.56%</w:t>
            </w:r>
          </w:p>
        </w:tc>
        <w:tc>
          <w:tcPr>
            <w:tcW w:w="1887" w:type="dxa"/>
            <w:tcBorders>
              <w:top w:val="nil"/>
              <w:left w:val="nil"/>
              <w:bottom w:val="single" w:sz="7" w:space="0" w:color="000000"/>
              <w:right w:val="nil"/>
            </w:tcBorders>
          </w:tcPr>
          <w:p w14:paraId="6A68E31B" w14:textId="73FF3C92" w:rsidR="00921866" w:rsidRDefault="00921866">
            <w:pPr>
              <w:spacing w:line="259" w:lineRule="auto"/>
              <w:jc w:val="center"/>
            </w:pPr>
            <w:r>
              <w:rPr>
                <w:b/>
              </w:rPr>
              <w:t>2,132</w:t>
            </w:r>
          </w:p>
        </w:tc>
      </w:tr>
    </w:tbl>
    <w:p w14:paraId="0ED66CBC" w14:textId="7762E5C9" w:rsidR="00E755F3" w:rsidRDefault="00921866">
      <w:pPr>
        <w:spacing w:after="191"/>
        <w:ind w:left="-15"/>
      </w:pPr>
      <w:r w:rsidRPr="00921866">
        <w:rPr>
          <w:vertAlign w:val="superscript"/>
        </w:rPr>
        <w:t>1</w:t>
      </w:r>
      <w:r>
        <w:t xml:space="preserve"> 90/545 </w:t>
      </w:r>
      <w:r w:rsidRPr="00921866">
        <w:rPr>
          <w:vertAlign w:val="superscript"/>
        </w:rPr>
        <w:t>2</w:t>
      </w:r>
      <w:r>
        <w:t xml:space="preserve"> 90/380</w:t>
      </w:r>
    </w:p>
    <w:bookmarkEnd w:id="2"/>
    <w:p w14:paraId="4C351298" w14:textId="3AE2437F" w:rsidR="0073742C" w:rsidRDefault="005D5980" w:rsidP="00CA6EF1">
      <w:pPr>
        <w:spacing w:after="191" w:line="360" w:lineRule="auto"/>
        <w:ind w:left="-15"/>
        <w:jc w:val="both"/>
      </w:pPr>
      <w:r>
        <w:t>The linear program (4) to (9) can result in the odds of a diverse number of bookmakers featuring in each potential arbitrage opportunity (ranging from 2 to 6 in our sample), in order to achieve the maximum risk-free profit. In cases where multiple bookmakers post equal maximum odds for the same market, we attribute each of the bookmakers as having supplied the arbitrage oppor</w:t>
      </w:r>
      <w:r w:rsidR="00C00D92">
        <w:t xml:space="preserve">tunity. It is clear from Table </w:t>
      </w:r>
      <w:r w:rsidR="00505B39">
        <w:t>5</w:t>
      </w:r>
      <w:r>
        <w:t xml:space="preserve"> that some bookmakers are more likely to be involved in the generation of a theoretically risk-free portfolio.</w:t>
      </w:r>
      <w:r>
        <w:rPr>
          <w:vertAlign w:val="superscript"/>
        </w:rPr>
        <w:footnoteReference w:id="13"/>
      </w:r>
      <w:r>
        <w:rPr>
          <w:vertAlign w:val="superscript"/>
        </w:rPr>
        <w:t xml:space="preserve"> </w:t>
      </w:r>
      <w:r>
        <w:t>The frequency of the appearance of PTBs is likely to be related to each operator’s policy on promotional odds. A test of independence rejects that bookmakers appear with equal frequency in arbitrage portfolios (</w:t>
      </w:r>
      <m:oMath>
        <m:sSup>
          <m:sSupPr>
            <m:ctrlPr>
              <w:rPr>
                <w:rFonts w:ascii="Cambria Math" w:hAnsi="Cambria Math"/>
                <w:i/>
              </w:rPr>
            </m:ctrlPr>
          </m:sSupPr>
          <m:e>
            <m:r>
              <w:rPr>
                <w:rFonts w:ascii="Cambria Math" w:hAnsi="Cambria Math"/>
              </w:rPr>
              <m:t>χ</m:t>
            </m:r>
          </m:e>
          <m:sup>
            <m:r>
              <w:rPr>
                <w:rFonts w:ascii="Cambria Math" w:hAnsi="Cambria Math"/>
                <w:vertAlign w:val="superscript"/>
              </w:rPr>
              <m:t>2</m:t>
            </m:r>
          </m:sup>
        </m:sSup>
        <m:r>
          <w:rPr>
            <w:rFonts w:ascii="Cambria Math" w:hAnsi="Cambria Math"/>
          </w:rPr>
          <m:t>(6)</m:t>
        </m:r>
      </m:oMath>
      <w:r>
        <w:t xml:space="preserve"> = 615.4, </w:t>
      </w:r>
      <w:r>
        <w:rPr>
          <w:i/>
        </w:rPr>
        <w:t>p</w:t>
      </w:r>
      <w:r>
        <w:t>-value = 0.000).</w:t>
      </w:r>
    </w:p>
    <w:p w14:paraId="483603D5" w14:textId="77777777" w:rsidR="00C711F2" w:rsidRDefault="00C711F2" w:rsidP="00CA6EF1">
      <w:pPr>
        <w:spacing w:after="191" w:line="360" w:lineRule="auto"/>
        <w:ind w:left="-15"/>
        <w:jc w:val="both"/>
      </w:pPr>
    </w:p>
    <w:p w14:paraId="42840C9C" w14:textId="77777777" w:rsidR="00C711F2" w:rsidRDefault="00C711F2" w:rsidP="00CA6EF1">
      <w:pPr>
        <w:spacing w:after="191" w:line="360" w:lineRule="auto"/>
        <w:ind w:left="-15"/>
        <w:jc w:val="both"/>
      </w:pPr>
    </w:p>
    <w:p w14:paraId="5EE487C0" w14:textId="77777777" w:rsidR="00C711F2" w:rsidRDefault="00C711F2" w:rsidP="00CA6EF1">
      <w:pPr>
        <w:spacing w:after="191" w:line="360" w:lineRule="auto"/>
        <w:ind w:left="-15"/>
        <w:jc w:val="both"/>
      </w:pPr>
    </w:p>
    <w:p w14:paraId="6E79CC36" w14:textId="77777777" w:rsidR="00C711F2" w:rsidRDefault="00C711F2" w:rsidP="00CA6EF1">
      <w:pPr>
        <w:spacing w:after="191" w:line="360" w:lineRule="auto"/>
        <w:ind w:left="-15"/>
        <w:jc w:val="both"/>
      </w:pPr>
    </w:p>
    <w:p w14:paraId="16B655B8" w14:textId="77777777" w:rsidR="008F5201" w:rsidRDefault="008F5201">
      <w:pPr>
        <w:spacing w:after="3" w:line="252" w:lineRule="auto"/>
        <w:ind w:left="-5" w:right="-14" w:hanging="10"/>
        <w:rPr>
          <w:sz w:val="20"/>
        </w:rPr>
      </w:pPr>
    </w:p>
    <w:p w14:paraId="2B173F97" w14:textId="71D54852" w:rsidR="0073742C" w:rsidRDefault="00C00D92">
      <w:pPr>
        <w:spacing w:after="3" w:line="252" w:lineRule="auto"/>
        <w:ind w:left="-5" w:right="-14" w:hanging="10"/>
      </w:pPr>
      <w:r>
        <w:rPr>
          <w:sz w:val="20"/>
        </w:rPr>
        <w:t xml:space="preserve">Table </w:t>
      </w:r>
      <w:r w:rsidR="00505B39">
        <w:rPr>
          <w:sz w:val="20"/>
        </w:rPr>
        <w:t>5</w:t>
      </w:r>
      <w:r w:rsidR="005D5980">
        <w:rPr>
          <w:sz w:val="20"/>
        </w:rPr>
        <w:t xml:space="preserve">: Number of times a bookmaker’s odds feature in a potential arbitrage portfolio selected by the optimization programme for the </w:t>
      </w:r>
      <w:r w:rsidR="00D37F7C">
        <w:rPr>
          <w:sz w:val="20"/>
        </w:rPr>
        <w:t>main sample</w:t>
      </w:r>
      <w:r w:rsidR="005D5980">
        <w:rPr>
          <w:sz w:val="20"/>
        </w:rPr>
        <w:t xml:space="preserve">. For each bookmaker we report the relative frequency with which their odds appeared in the </w:t>
      </w:r>
      <m:oMath>
        <m:sSub>
          <m:sSubPr>
            <m:ctrlPr>
              <w:rPr>
                <w:rFonts w:ascii="Cambria Math" w:hAnsi="Cambria Math"/>
                <w:i/>
                <w:sz w:val="20"/>
              </w:rPr>
            </m:ctrlPr>
          </m:sSubPr>
          <m:e>
            <m:r>
              <w:rPr>
                <w:rFonts w:ascii="Cambria Math" w:hAnsi="Cambria Math"/>
                <w:sz w:val="20"/>
              </w:rPr>
              <m:t>X</m:t>
            </m:r>
          </m:e>
          <m:sub>
            <m:r>
              <w:rPr>
                <w:rFonts w:ascii="Cambria Math" w:hAnsi="Cambria Math"/>
                <w:sz w:val="20"/>
              </w:rPr>
              <m:t>max</m:t>
            </m:r>
          </m:sub>
        </m:sSub>
      </m:oMath>
      <w:r w:rsidR="005D5980">
        <w:rPr>
          <w:i/>
          <w:sz w:val="20"/>
          <w:vertAlign w:val="subscript"/>
        </w:rPr>
        <w:t xml:space="preserve"> </w:t>
      </w:r>
      <w:r w:rsidR="005D5980">
        <w:rPr>
          <w:sz w:val="20"/>
        </w:rPr>
        <w:t>vector, and featured in the optimal potential arbitrage portfolio identified for a single game.</w:t>
      </w:r>
    </w:p>
    <w:tbl>
      <w:tblPr>
        <w:tblStyle w:val="TableGrid"/>
        <w:tblW w:w="7065" w:type="dxa"/>
        <w:tblInd w:w="1147" w:type="dxa"/>
        <w:tblCellMar>
          <w:right w:w="115" w:type="dxa"/>
        </w:tblCellMar>
        <w:tblLook w:val="04A0" w:firstRow="1" w:lastRow="0" w:firstColumn="1" w:lastColumn="0" w:noHBand="0" w:noVBand="1"/>
      </w:tblPr>
      <w:tblGrid>
        <w:gridCol w:w="2016"/>
        <w:gridCol w:w="1501"/>
        <w:gridCol w:w="2385"/>
        <w:gridCol w:w="1163"/>
      </w:tblGrid>
      <w:tr w:rsidR="0073742C" w14:paraId="56137242" w14:textId="77777777">
        <w:trPr>
          <w:trHeight w:val="701"/>
        </w:trPr>
        <w:tc>
          <w:tcPr>
            <w:tcW w:w="2016" w:type="dxa"/>
            <w:tcBorders>
              <w:top w:val="single" w:sz="7" w:space="0" w:color="000000"/>
              <w:left w:val="nil"/>
              <w:bottom w:val="single" w:sz="5" w:space="0" w:color="000000"/>
              <w:right w:val="nil"/>
            </w:tcBorders>
            <w:vAlign w:val="center"/>
          </w:tcPr>
          <w:p w14:paraId="35EF4CB0" w14:textId="77777777" w:rsidR="0073742C" w:rsidRDefault="005D5980">
            <w:pPr>
              <w:spacing w:line="259" w:lineRule="auto"/>
              <w:ind w:right="4"/>
              <w:jc w:val="center"/>
            </w:pPr>
            <w:r>
              <w:t>Group</w:t>
            </w:r>
          </w:p>
        </w:tc>
        <w:tc>
          <w:tcPr>
            <w:tcW w:w="1501" w:type="dxa"/>
            <w:tcBorders>
              <w:top w:val="single" w:sz="7" w:space="0" w:color="000000"/>
              <w:left w:val="nil"/>
              <w:bottom w:val="single" w:sz="5" w:space="0" w:color="000000"/>
              <w:right w:val="nil"/>
            </w:tcBorders>
            <w:vAlign w:val="center"/>
          </w:tcPr>
          <w:p w14:paraId="385DC4B2" w14:textId="77777777" w:rsidR="0073742C" w:rsidRDefault="005D5980">
            <w:pPr>
              <w:spacing w:line="259" w:lineRule="auto"/>
              <w:ind w:left="54"/>
            </w:pPr>
            <w:r>
              <w:t>Bookmaker</w:t>
            </w:r>
          </w:p>
        </w:tc>
        <w:tc>
          <w:tcPr>
            <w:tcW w:w="2385" w:type="dxa"/>
            <w:tcBorders>
              <w:top w:val="single" w:sz="7" w:space="0" w:color="000000"/>
              <w:left w:val="nil"/>
              <w:bottom w:val="single" w:sz="5" w:space="0" w:color="000000"/>
              <w:right w:val="nil"/>
            </w:tcBorders>
          </w:tcPr>
          <w:p w14:paraId="004FA275" w14:textId="77777777" w:rsidR="0073742C" w:rsidRDefault="005D5980">
            <w:pPr>
              <w:spacing w:line="259" w:lineRule="auto"/>
              <w:ind w:firstLine="25"/>
            </w:pPr>
            <w:r>
              <w:t>Times odds featured in arbitrage portfolio</w:t>
            </w:r>
          </w:p>
        </w:tc>
        <w:tc>
          <w:tcPr>
            <w:tcW w:w="1163" w:type="dxa"/>
            <w:tcBorders>
              <w:top w:val="single" w:sz="7" w:space="0" w:color="000000"/>
              <w:left w:val="nil"/>
              <w:bottom w:val="single" w:sz="5" w:space="0" w:color="000000"/>
              <w:right w:val="nil"/>
            </w:tcBorders>
          </w:tcPr>
          <w:p w14:paraId="0A18020D" w14:textId="77777777" w:rsidR="0073742C" w:rsidRDefault="005D5980">
            <w:pPr>
              <w:spacing w:line="259" w:lineRule="auto"/>
              <w:ind w:firstLine="104"/>
            </w:pPr>
            <w:r>
              <w:t>Relative Frequency</w:t>
            </w:r>
          </w:p>
        </w:tc>
      </w:tr>
      <w:tr w:rsidR="004C7DA1" w14:paraId="35B322C2" w14:textId="77777777" w:rsidTr="00CA6EF1">
        <w:trPr>
          <w:trHeight w:val="642"/>
        </w:trPr>
        <w:tc>
          <w:tcPr>
            <w:tcW w:w="2016" w:type="dxa"/>
            <w:vMerge w:val="restart"/>
            <w:tcBorders>
              <w:top w:val="single" w:sz="5" w:space="0" w:color="000000"/>
              <w:left w:val="nil"/>
              <w:right w:val="nil"/>
            </w:tcBorders>
            <w:vAlign w:val="center"/>
          </w:tcPr>
          <w:p w14:paraId="3002D820" w14:textId="0BAC1ACD" w:rsidR="004C7DA1" w:rsidRPr="004C7DA1" w:rsidRDefault="004C7DA1" w:rsidP="004C7DA1">
            <w:pPr>
              <w:spacing w:line="259" w:lineRule="auto"/>
              <w:ind w:left="120"/>
              <w:jc w:val="center"/>
            </w:pPr>
            <w:r w:rsidRPr="004C7DA1">
              <w:t>Position- Takers</w:t>
            </w:r>
          </w:p>
        </w:tc>
        <w:tc>
          <w:tcPr>
            <w:tcW w:w="1501" w:type="dxa"/>
            <w:tcBorders>
              <w:top w:val="single" w:sz="5" w:space="0" w:color="000000"/>
              <w:left w:val="nil"/>
              <w:right w:val="nil"/>
            </w:tcBorders>
            <w:vAlign w:val="center"/>
          </w:tcPr>
          <w:p w14:paraId="782A21E2" w14:textId="0B5A9F7C" w:rsidR="004C7DA1" w:rsidRDefault="004C7DA1" w:rsidP="00CA6EF1">
            <w:pPr>
              <w:spacing w:line="259" w:lineRule="auto"/>
              <w:ind w:left="108"/>
              <w:jc w:val="center"/>
            </w:pPr>
            <w:r>
              <w:t>Ladbrokes</w:t>
            </w:r>
          </w:p>
        </w:tc>
        <w:tc>
          <w:tcPr>
            <w:tcW w:w="2385" w:type="dxa"/>
            <w:tcBorders>
              <w:top w:val="single" w:sz="5" w:space="0" w:color="000000"/>
              <w:left w:val="nil"/>
              <w:right w:val="nil"/>
            </w:tcBorders>
            <w:vAlign w:val="center"/>
          </w:tcPr>
          <w:p w14:paraId="0362C847" w14:textId="2EA51FC1" w:rsidR="004C7DA1" w:rsidRDefault="004C7DA1" w:rsidP="00CA6EF1">
            <w:pPr>
              <w:spacing w:line="259" w:lineRule="auto"/>
              <w:ind w:right="124"/>
              <w:jc w:val="center"/>
            </w:pPr>
            <w:r>
              <w:t>237</w:t>
            </w:r>
          </w:p>
        </w:tc>
        <w:tc>
          <w:tcPr>
            <w:tcW w:w="1163" w:type="dxa"/>
            <w:tcBorders>
              <w:top w:val="single" w:sz="5" w:space="0" w:color="000000"/>
              <w:left w:val="nil"/>
              <w:right w:val="nil"/>
            </w:tcBorders>
            <w:vAlign w:val="center"/>
          </w:tcPr>
          <w:p w14:paraId="7FA9F1EE" w14:textId="0FC00270" w:rsidR="004C7DA1" w:rsidRDefault="004C7DA1" w:rsidP="00CA6EF1">
            <w:pPr>
              <w:spacing w:line="259" w:lineRule="auto"/>
              <w:ind w:left="158"/>
              <w:jc w:val="center"/>
            </w:pPr>
            <w:r>
              <w:t>13.27%</w:t>
            </w:r>
          </w:p>
        </w:tc>
      </w:tr>
      <w:tr w:rsidR="004C7DA1" w14:paraId="6FD84B94" w14:textId="77777777" w:rsidTr="00CA6EF1">
        <w:trPr>
          <w:trHeight w:val="642"/>
        </w:trPr>
        <w:tc>
          <w:tcPr>
            <w:tcW w:w="2016" w:type="dxa"/>
            <w:vMerge/>
            <w:tcBorders>
              <w:left w:val="nil"/>
              <w:right w:val="nil"/>
            </w:tcBorders>
            <w:vAlign w:val="bottom"/>
          </w:tcPr>
          <w:p w14:paraId="61D32A53" w14:textId="413AE691" w:rsidR="004C7DA1" w:rsidRPr="004C7DA1" w:rsidRDefault="004C7DA1" w:rsidP="00CA6EF1">
            <w:pPr>
              <w:spacing w:line="259" w:lineRule="auto"/>
              <w:ind w:left="120"/>
            </w:pPr>
          </w:p>
        </w:tc>
        <w:tc>
          <w:tcPr>
            <w:tcW w:w="1501" w:type="dxa"/>
            <w:tcBorders>
              <w:left w:val="nil"/>
              <w:bottom w:val="nil"/>
              <w:right w:val="nil"/>
            </w:tcBorders>
            <w:vAlign w:val="center"/>
          </w:tcPr>
          <w:p w14:paraId="7D0BAB15" w14:textId="6B8AAB75" w:rsidR="004C7DA1" w:rsidRDefault="004C7DA1" w:rsidP="00CA6EF1">
            <w:pPr>
              <w:spacing w:line="259" w:lineRule="auto"/>
              <w:jc w:val="center"/>
            </w:pPr>
            <w:r>
              <w:t>William Hill</w:t>
            </w:r>
          </w:p>
        </w:tc>
        <w:tc>
          <w:tcPr>
            <w:tcW w:w="2385" w:type="dxa"/>
            <w:tcBorders>
              <w:left w:val="nil"/>
              <w:bottom w:val="nil"/>
              <w:right w:val="nil"/>
            </w:tcBorders>
            <w:vAlign w:val="center"/>
          </w:tcPr>
          <w:p w14:paraId="43AF4B46" w14:textId="41E08E3B" w:rsidR="004C7DA1" w:rsidRDefault="004C7DA1" w:rsidP="00CA6EF1">
            <w:pPr>
              <w:spacing w:line="259" w:lineRule="auto"/>
              <w:ind w:right="124"/>
              <w:jc w:val="center"/>
            </w:pPr>
            <w:r>
              <w:t>59</w:t>
            </w:r>
          </w:p>
        </w:tc>
        <w:tc>
          <w:tcPr>
            <w:tcW w:w="1163" w:type="dxa"/>
            <w:tcBorders>
              <w:left w:val="nil"/>
              <w:bottom w:val="nil"/>
              <w:right w:val="nil"/>
            </w:tcBorders>
            <w:vAlign w:val="center"/>
          </w:tcPr>
          <w:p w14:paraId="36E7A601" w14:textId="5EBD4878" w:rsidR="004C7DA1" w:rsidRDefault="004C7DA1" w:rsidP="00CA6EF1">
            <w:pPr>
              <w:spacing w:line="259" w:lineRule="auto"/>
              <w:ind w:left="216"/>
              <w:jc w:val="center"/>
            </w:pPr>
            <w:r>
              <w:t>3.30%</w:t>
            </w:r>
          </w:p>
        </w:tc>
      </w:tr>
      <w:tr w:rsidR="004C7DA1" w14:paraId="3DDFB94C" w14:textId="77777777" w:rsidTr="00CA6EF1">
        <w:trPr>
          <w:trHeight w:val="642"/>
        </w:trPr>
        <w:tc>
          <w:tcPr>
            <w:tcW w:w="2016" w:type="dxa"/>
            <w:vMerge/>
            <w:tcBorders>
              <w:left w:val="nil"/>
              <w:right w:val="nil"/>
            </w:tcBorders>
            <w:vAlign w:val="bottom"/>
          </w:tcPr>
          <w:p w14:paraId="43132569" w14:textId="28F3D77F" w:rsidR="004C7DA1" w:rsidRPr="004C7DA1" w:rsidRDefault="004C7DA1">
            <w:pPr>
              <w:spacing w:line="259" w:lineRule="auto"/>
              <w:ind w:left="120"/>
            </w:pPr>
          </w:p>
        </w:tc>
        <w:tc>
          <w:tcPr>
            <w:tcW w:w="1501" w:type="dxa"/>
            <w:tcBorders>
              <w:left w:val="nil"/>
              <w:bottom w:val="nil"/>
              <w:right w:val="nil"/>
            </w:tcBorders>
            <w:vAlign w:val="center"/>
          </w:tcPr>
          <w:p w14:paraId="569D5275" w14:textId="77777777" w:rsidR="004C7DA1" w:rsidRDefault="004C7DA1" w:rsidP="00CA6EF1">
            <w:pPr>
              <w:spacing w:line="259" w:lineRule="auto"/>
              <w:ind w:left="236"/>
              <w:jc w:val="center"/>
            </w:pPr>
            <w:r>
              <w:t>Bet 365</w:t>
            </w:r>
          </w:p>
        </w:tc>
        <w:tc>
          <w:tcPr>
            <w:tcW w:w="2385" w:type="dxa"/>
            <w:tcBorders>
              <w:left w:val="nil"/>
              <w:bottom w:val="nil"/>
              <w:right w:val="nil"/>
            </w:tcBorders>
            <w:vAlign w:val="center"/>
          </w:tcPr>
          <w:p w14:paraId="577FC5C1" w14:textId="6CD1788F" w:rsidR="004C7DA1" w:rsidRDefault="004C7DA1" w:rsidP="00CA6EF1">
            <w:pPr>
              <w:spacing w:line="259" w:lineRule="auto"/>
              <w:ind w:right="124"/>
              <w:jc w:val="center"/>
            </w:pPr>
            <w:r>
              <w:t>65</w:t>
            </w:r>
          </w:p>
        </w:tc>
        <w:tc>
          <w:tcPr>
            <w:tcW w:w="1163" w:type="dxa"/>
            <w:tcBorders>
              <w:left w:val="nil"/>
              <w:bottom w:val="nil"/>
              <w:right w:val="nil"/>
            </w:tcBorders>
            <w:vAlign w:val="center"/>
          </w:tcPr>
          <w:p w14:paraId="17589F30" w14:textId="77777777" w:rsidR="004C7DA1" w:rsidRDefault="004C7DA1" w:rsidP="00CA6EF1">
            <w:pPr>
              <w:spacing w:line="259" w:lineRule="auto"/>
              <w:ind w:left="216"/>
              <w:jc w:val="center"/>
            </w:pPr>
            <w:r>
              <w:t>3.64%</w:t>
            </w:r>
          </w:p>
        </w:tc>
      </w:tr>
      <w:tr w:rsidR="004C7DA1" w14:paraId="0C72E2EF" w14:textId="77777777" w:rsidTr="00CA6EF1">
        <w:trPr>
          <w:trHeight w:val="642"/>
        </w:trPr>
        <w:tc>
          <w:tcPr>
            <w:tcW w:w="2016" w:type="dxa"/>
            <w:vMerge/>
            <w:tcBorders>
              <w:left w:val="nil"/>
              <w:bottom w:val="single" w:sz="5" w:space="0" w:color="000000"/>
              <w:right w:val="nil"/>
            </w:tcBorders>
          </w:tcPr>
          <w:p w14:paraId="4AD46FAD" w14:textId="77777777" w:rsidR="004C7DA1" w:rsidRPr="004C7DA1" w:rsidRDefault="004C7DA1">
            <w:pPr>
              <w:spacing w:after="160" w:line="259" w:lineRule="auto"/>
            </w:pPr>
          </w:p>
        </w:tc>
        <w:tc>
          <w:tcPr>
            <w:tcW w:w="1501" w:type="dxa"/>
            <w:tcBorders>
              <w:top w:val="nil"/>
              <w:left w:val="nil"/>
              <w:bottom w:val="single" w:sz="5" w:space="0" w:color="000000"/>
              <w:right w:val="nil"/>
            </w:tcBorders>
            <w:vAlign w:val="center"/>
          </w:tcPr>
          <w:p w14:paraId="52CD1C3C" w14:textId="77777777" w:rsidR="004C7DA1" w:rsidRDefault="004C7DA1" w:rsidP="00CA6EF1">
            <w:pPr>
              <w:spacing w:line="259" w:lineRule="auto"/>
              <w:ind w:left="43"/>
              <w:jc w:val="center"/>
            </w:pPr>
            <w:r>
              <w:t>Stan James</w:t>
            </w:r>
          </w:p>
        </w:tc>
        <w:tc>
          <w:tcPr>
            <w:tcW w:w="2385" w:type="dxa"/>
            <w:tcBorders>
              <w:top w:val="nil"/>
              <w:left w:val="nil"/>
              <w:bottom w:val="single" w:sz="5" w:space="0" w:color="000000"/>
              <w:right w:val="nil"/>
            </w:tcBorders>
            <w:vAlign w:val="center"/>
          </w:tcPr>
          <w:p w14:paraId="21C10237" w14:textId="77777777" w:rsidR="004C7DA1" w:rsidRDefault="004C7DA1" w:rsidP="00CA6EF1">
            <w:pPr>
              <w:spacing w:line="259" w:lineRule="auto"/>
              <w:ind w:right="124"/>
              <w:jc w:val="center"/>
            </w:pPr>
            <w:r>
              <w:t>452</w:t>
            </w:r>
          </w:p>
        </w:tc>
        <w:tc>
          <w:tcPr>
            <w:tcW w:w="1163" w:type="dxa"/>
            <w:tcBorders>
              <w:top w:val="nil"/>
              <w:left w:val="nil"/>
              <w:bottom w:val="single" w:sz="5" w:space="0" w:color="000000"/>
              <w:right w:val="nil"/>
            </w:tcBorders>
            <w:vAlign w:val="center"/>
          </w:tcPr>
          <w:p w14:paraId="047EB859" w14:textId="77777777" w:rsidR="004C7DA1" w:rsidRDefault="004C7DA1" w:rsidP="00CA6EF1">
            <w:pPr>
              <w:spacing w:line="259" w:lineRule="auto"/>
              <w:ind w:left="158"/>
              <w:jc w:val="center"/>
            </w:pPr>
            <w:r>
              <w:t>25.31%</w:t>
            </w:r>
          </w:p>
        </w:tc>
      </w:tr>
      <w:tr w:rsidR="00CA6EF1" w14:paraId="1E805078" w14:textId="77777777" w:rsidTr="00CA6EF1">
        <w:trPr>
          <w:trHeight w:val="642"/>
        </w:trPr>
        <w:tc>
          <w:tcPr>
            <w:tcW w:w="2016" w:type="dxa"/>
            <w:vMerge w:val="restart"/>
            <w:tcBorders>
              <w:top w:val="single" w:sz="5" w:space="0" w:color="000000"/>
              <w:left w:val="nil"/>
              <w:right w:val="nil"/>
            </w:tcBorders>
            <w:vAlign w:val="center"/>
          </w:tcPr>
          <w:p w14:paraId="2E78B1EF" w14:textId="77777777" w:rsidR="00CA6EF1" w:rsidRPr="004C7DA1" w:rsidRDefault="00CA6EF1" w:rsidP="00CA6EF1">
            <w:pPr>
              <w:spacing w:line="259" w:lineRule="auto"/>
              <w:ind w:left="151"/>
              <w:jc w:val="center"/>
            </w:pPr>
            <w:r w:rsidRPr="004C7DA1">
              <w:t>Book-Balancers</w:t>
            </w:r>
          </w:p>
        </w:tc>
        <w:tc>
          <w:tcPr>
            <w:tcW w:w="1501" w:type="dxa"/>
            <w:tcBorders>
              <w:top w:val="single" w:sz="5" w:space="0" w:color="000000"/>
              <w:left w:val="nil"/>
              <w:bottom w:val="nil"/>
              <w:right w:val="nil"/>
            </w:tcBorders>
            <w:vAlign w:val="center"/>
          </w:tcPr>
          <w:p w14:paraId="57EB0FAF" w14:textId="50E68750" w:rsidR="00CA6EF1" w:rsidRDefault="00CA6EF1" w:rsidP="00CA6EF1">
            <w:pPr>
              <w:spacing w:line="259" w:lineRule="auto"/>
              <w:ind w:left="211"/>
              <w:jc w:val="center"/>
            </w:pPr>
            <w:r>
              <w:t>SBOBet</w:t>
            </w:r>
          </w:p>
        </w:tc>
        <w:tc>
          <w:tcPr>
            <w:tcW w:w="2385" w:type="dxa"/>
            <w:tcBorders>
              <w:top w:val="single" w:sz="5" w:space="0" w:color="000000"/>
              <w:left w:val="nil"/>
              <w:bottom w:val="nil"/>
              <w:right w:val="nil"/>
            </w:tcBorders>
            <w:vAlign w:val="center"/>
          </w:tcPr>
          <w:p w14:paraId="093AF13E" w14:textId="36E1E08E" w:rsidR="00CA6EF1" w:rsidRDefault="00CA6EF1" w:rsidP="00CA6EF1">
            <w:pPr>
              <w:spacing w:line="259" w:lineRule="auto"/>
              <w:ind w:right="124"/>
              <w:jc w:val="center"/>
            </w:pPr>
            <w:r>
              <w:t>248</w:t>
            </w:r>
          </w:p>
        </w:tc>
        <w:tc>
          <w:tcPr>
            <w:tcW w:w="1163" w:type="dxa"/>
            <w:tcBorders>
              <w:top w:val="single" w:sz="5" w:space="0" w:color="000000"/>
              <w:left w:val="nil"/>
              <w:bottom w:val="nil"/>
              <w:right w:val="nil"/>
            </w:tcBorders>
            <w:vAlign w:val="center"/>
          </w:tcPr>
          <w:p w14:paraId="4779961A" w14:textId="12706EEC" w:rsidR="00CA6EF1" w:rsidRDefault="00CA6EF1" w:rsidP="00CA6EF1">
            <w:pPr>
              <w:spacing w:line="259" w:lineRule="auto"/>
              <w:ind w:left="158"/>
              <w:jc w:val="center"/>
            </w:pPr>
            <w:r>
              <w:t>13.89%</w:t>
            </w:r>
          </w:p>
        </w:tc>
      </w:tr>
      <w:tr w:rsidR="00CA6EF1" w14:paraId="26508FC1" w14:textId="77777777" w:rsidTr="00CA6EF1">
        <w:trPr>
          <w:trHeight w:val="642"/>
        </w:trPr>
        <w:tc>
          <w:tcPr>
            <w:tcW w:w="2016" w:type="dxa"/>
            <w:vMerge/>
            <w:tcBorders>
              <w:left w:val="nil"/>
              <w:right w:val="nil"/>
            </w:tcBorders>
          </w:tcPr>
          <w:p w14:paraId="44E8573A" w14:textId="77777777" w:rsidR="00CA6EF1" w:rsidRDefault="00CA6EF1"/>
        </w:tc>
        <w:tc>
          <w:tcPr>
            <w:tcW w:w="1501" w:type="dxa"/>
            <w:tcBorders>
              <w:top w:val="nil"/>
              <w:left w:val="nil"/>
              <w:right w:val="nil"/>
            </w:tcBorders>
            <w:vAlign w:val="center"/>
          </w:tcPr>
          <w:p w14:paraId="20672B4E" w14:textId="7294A92F" w:rsidR="00CA6EF1" w:rsidRDefault="00CA6EF1" w:rsidP="00CA6EF1">
            <w:pPr>
              <w:ind w:left="193"/>
              <w:jc w:val="center"/>
            </w:pPr>
            <w:r>
              <w:t>188Bet</w:t>
            </w:r>
          </w:p>
        </w:tc>
        <w:tc>
          <w:tcPr>
            <w:tcW w:w="2385" w:type="dxa"/>
            <w:tcBorders>
              <w:top w:val="nil"/>
              <w:left w:val="nil"/>
              <w:right w:val="nil"/>
            </w:tcBorders>
            <w:vAlign w:val="center"/>
          </w:tcPr>
          <w:p w14:paraId="30F52402" w14:textId="44F46DAF" w:rsidR="00CA6EF1" w:rsidRDefault="00CA6EF1" w:rsidP="00CA6EF1">
            <w:pPr>
              <w:ind w:right="124"/>
              <w:jc w:val="center"/>
            </w:pPr>
            <w:r>
              <w:t>262</w:t>
            </w:r>
          </w:p>
        </w:tc>
        <w:tc>
          <w:tcPr>
            <w:tcW w:w="1163" w:type="dxa"/>
            <w:tcBorders>
              <w:top w:val="nil"/>
              <w:left w:val="nil"/>
              <w:right w:val="nil"/>
            </w:tcBorders>
            <w:vAlign w:val="center"/>
          </w:tcPr>
          <w:p w14:paraId="47731DF1" w14:textId="59F91438" w:rsidR="00CA6EF1" w:rsidRDefault="00CA6EF1" w:rsidP="00CA6EF1">
            <w:pPr>
              <w:ind w:left="158"/>
              <w:jc w:val="center"/>
            </w:pPr>
            <w:r>
              <w:t>14.67%</w:t>
            </w:r>
          </w:p>
        </w:tc>
      </w:tr>
      <w:tr w:rsidR="00CA6EF1" w14:paraId="5DF735A2" w14:textId="77777777" w:rsidTr="00CA6EF1">
        <w:trPr>
          <w:trHeight w:val="642"/>
        </w:trPr>
        <w:tc>
          <w:tcPr>
            <w:tcW w:w="2016" w:type="dxa"/>
            <w:vMerge/>
            <w:tcBorders>
              <w:left w:val="nil"/>
              <w:bottom w:val="single" w:sz="5" w:space="0" w:color="000000"/>
              <w:right w:val="nil"/>
            </w:tcBorders>
          </w:tcPr>
          <w:p w14:paraId="3B9BCA16" w14:textId="77777777" w:rsidR="00CA6EF1" w:rsidRDefault="00CA6EF1">
            <w:pPr>
              <w:spacing w:after="160" w:line="259" w:lineRule="auto"/>
            </w:pPr>
          </w:p>
        </w:tc>
        <w:tc>
          <w:tcPr>
            <w:tcW w:w="1501" w:type="dxa"/>
            <w:tcBorders>
              <w:top w:val="nil"/>
              <w:left w:val="nil"/>
              <w:bottom w:val="single" w:sz="5" w:space="0" w:color="000000"/>
              <w:right w:val="nil"/>
            </w:tcBorders>
            <w:vAlign w:val="center"/>
          </w:tcPr>
          <w:p w14:paraId="62A47433" w14:textId="77777777" w:rsidR="00CA6EF1" w:rsidRDefault="00CA6EF1" w:rsidP="00CA6EF1">
            <w:pPr>
              <w:spacing w:line="259" w:lineRule="auto"/>
              <w:ind w:left="193"/>
              <w:jc w:val="center"/>
            </w:pPr>
            <w:r>
              <w:t>Pinnacle</w:t>
            </w:r>
          </w:p>
        </w:tc>
        <w:tc>
          <w:tcPr>
            <w:tcW w:w="2385" w:type="dxa"/>
            <w:tcBorders>
              <w:top w:val="nil"/>
              <w:left w:val="nil"/>
              <w:bottom w:val="single" w:sz="5" w:space="0" w:color="000000"/>
              <w:right w:val="nil"/>
            </w:tcBorders>
            <w:vAlign w:val="center"/>
          </w:tcPr>
          <w:p w14:paraId="5A0AA9EF" w14:textId="77777777" w:rsidR="00CA6EF1" w:rsidRDefault="00CA6EF1" w:rsidP="00CA6EF1">
            <w:pPr>
              <w:spacing w:line="259" w:lineRule="auto"/>
              <w:ind w:right="124"/>
              <w:jc w:val="center"/>
            </w:pPr>
            <w:r>
              <w:t>463</w:t>
            </w:r>
          </w:p>
        </w:tc>
        <w:tc>
          <w:tcPr>
            <w:tcW w:w="1163" w:type="dxa"/>
            <w:tcBorders>
              <w:top w:val="nil"/>
              <w:left w:val="nil"/>
              <w:bottom w:val="single" w:sz="5" w:space="0" w:color="000000"/>
              <w:right w:val="nil"/>
            </w:tcBorders>
            <w:vAlign w:val="center"/>
          </w:tcPr>
          <w:p w14:paraId="662614C2" w14:textId="77777777" w:rsidR="00CA6EF1" w:rsidRDefault="00CA6EF1" w:rsidP="00CA6EF1">
            <w:pPr>
              <w:spacing w:line="259" w:lineRule="auto"/>
              <w:ind w:left="158"/>
              <w:jc w:val="center"/>
            </w:pPr>
            <w:r>
              <w:t>25.92%</w:t>
            </w:r>
          </w:p>
        </w:tc>
      </w:tr>
      <w:tr w:rsidR="0073742C" w14:paraId="5F19BA59" w14:textId="77777777">
        <w:trPr>
          <w:trHeight w:val="412"/>
        </w:trPr>
        <w:tc>
          <w:tcPr>
            <w:tcW w:w="2016" w:type="dxa"/>
            <w:tcBorders>
              <w:top w:val="single" w:sz="5" w:space="0" w:color="000000"/>
              <w:left w:val="nil"/>
              <w:bottom w:val="single" w:sz="7" w:space="0" w:color="000000"/>
              <w:right w:val="nil"/>
            </w:tcBorders>
          </w:tcPr>
          <w:p w14:paraId="6FD17BEA" w14:textId="77777777" w:rsidR="0073742C" w:rsidRDefault="0073742C">
            <w:pPr>
              <w:spacing w:after="160" w:line="259" w:lineRule="auto"/>
            </w:pPr>
          </w:p>
        </w:tc>
        <w:tc>
          <w:tcPr>
            <w:tcW w:w="1501" w:type="dxa"/>
            <w:tcBorders>
              <w:top w:val="single" w:sz="5" w:space="0" w:color="000000"/>
              <w:left w:val="nil"/>
              <w:bottom w:val="single" w:sz="7" w:space="0" w:color="000000"/>
              <w:right w:val="nil"/>
            </w:tcBorders>
          </w:tcPr>
          <w:p w14:paraId="528BA7B5" w14:textId="77777777" w:rsidR="0073742C" w:rsidRDefault="005D5980">
            <w:pPr>
              <w:spacing w:line="259" w:lineRule="auto"/>
              <w:ind w:left="171"/>
            </w:pPr>
            <w:r>
              <w:rPr>
                <w:b/>
              </w:rPr>
              <w:t>TOTAL</w:t>
            </w:r>
          </w:p>
        </w:tc>
        <w:tc>
          <w:tcPr>
            <w:tcW w:w="2385" w:type="dxa"/>
            <w:tcBorders>
              <w:top w:val="single" w:sz="5" w:space="0" w:color="000000"/>
              <w:left w:val="nil"/>
              <w:bottom w:val="single" w:sz="7" w:space="0" w:color="000000"/>
              <w:right w:val="nil"/>
            </w:tcBorders>
          </w:tcPr>
          <w:p w14:paraId="52ADB394" w14:textId="77777777" w:rsidR="0073742C" w:rsidRDefault="005D5980">
            <w:pPr>
              <w:spacing w:line="259" w:lineRule="auto"/>
              <w:ind w:right="124"/>
              <w:jc w:val="center"/>
            </w:pPr>
            <w:r>
              <w:rPr>
                <w:b/>
              </w:rPr>
              <w:t>1786</w:t>
            </w:r>
          </w:p>
        </w:tc>
        <w:tc>
          <w:tcPr>
            <w:tcW w:w="1163" w:type="dxa"/>
            <w:tcBorders>
              <w:top w:val="single" w:sz="5" w:space="0" w:color="000000"/>
              <w:left w:val="nil"/>
              <w:bottom w:val="single" w:sz="7" w:space="0" w:color="000000"/>
              <w:right w:val="nil"/>
            </w:tcBorders>
          </w:tcPr>
          <w:p w14:paraId="6CCF1306" w14:textId="77777777" w:rsidR="0073742C" w:rsidRDefault="005D5980">
            <w:pPr>
              <w:spacing w:line="259" w:lineRule="auto"/>
              <w:ind w:left="208"/>
            </w:pPr>
            <w:r>
              <w:rPr>
                <w:b/>
              </w:rPr>
              <w:t>100%</w:t>
            </w:r>
          </w:p>
        </w:tc>
      </w:tr>
    </w:tbl>
    <w:p w14:paraId="7813A8A3" w14:textId="77777777" w:rsidR="000868D1" w:rsidRDefault="000868D1">
      <w:pPr>
        <w:spacing w:after="74"/>
        <w:ind w:left="-15"/>
      </w:pPr>
    </w:p>
    <w:p w14:paraId="790EDB32" w14:textId="6DD2A7CD" w:rsidR="0073742C" w:rsidRDefault="005D5980" w:rsidP="00CA6EF1">
      <w:pPr>
        <w:spacing w:after="74" w:line="360" w:lineRule="auto"/>
        <w:ind w:left="-15"/>
        <w:jc w:val="both"/>
      </w:pPr>
      <w:r>
        <w:t>Consistent with the behavio</w:t>
      </w:r>
      <w:r w:rsidR="004C7DA1">
        <w:t>u</w:t>
      </w:r>
      <w:r>
        <w:t xml:space="preserve">r suggested by the inter-bookmaker correlation statistics, </w:t>
      </w:r>
      <w:r>
        <w:rPr>
          <w:i/>
        </w:rPr>
        <w:t xml:space="preserve">Bet365 </w:t>
      </w:r>
      <w:r>
        <w:t xml:space="preserve">and </w:t>
      </w:r>
      <w:r>
        <w:rPr>
          <w:i/>
        </w:rPr>
        <w:t xml:space="preserve">William Hill </w:t>
      </w:r>
      <w:r>
        <w:t xml:space="preserve">appear more aligned in their pricing strategy with the BBBs, and hence their odds appear less frequently in arbitrage portfolios. All BBBs appear as part of an arbitrage portfolio, with </w:t>
      </w:r>
      <w:r>
        <w:rPr>
          <w:i/>
        </w:rPr>
        <w:t xml:space="preserve">Stan James </w:t>
      </w:r>
      <w:r>
        <w:t xml:space="preserve">or </w:t>
      </w:r>
      <w:r>
        <w:rPr>
          <w:i/>
        </w:rPr>
        <w:t xml:space="preserve">Ladbrokes </w:t>
      </w:r>
      <w:r>
        <w:t xml:space="preserve">often being on </w:t>
      </w:r>
      <w:r w:rsidR="008F19C5">
        <w:t>t</w:t>
      </w:r>
      <w:r>
        <w:t xml:space="preserve">he opposite side. Amongst the BBBs, </w:t>
      </w:r>
      <w:r>
        <w:rPr>
          <w:i/>
        </w:rPr>
        <w:t xml:space="preserve">Pinnacle </w:t>
      </w:r>
      <w:r>
        <w:t xml:space="preserve">is selected most frequently by the optimization program to be part of an arbitrage portfolio. This is </w:t>
      </w:r>
      <w:r w:rsidR="00FD32D0">
        <w:t xml:space="preserve">probably </w:t>
      </w:r>
      <w:r>
        <w:t>because this is the only BBB which exhibits the same low over-round on 1</w:t>
      </w:r>
      <w:r w:rsidR="000868D1" w:rsidRPr="00A7402D">
        <w:t>X</w:t>
      </w:r>
      <w:r>
        <w:t>2 markets as on the AH products.</w:t>
      </w:r>
      <w:r>
        <w:rPr>
          <w:vertAlign w:val="superscript"/>
        </w:rPr>
        <w:footnoteReference w:id="14"/>
      </w:r>
      <w:r>
        <w:rPr>
          <w:vertAlign w:val="superscript"/>
        </w:rPr>
        <w:t xml:space="preserve"> </w:t>
      </w:r>
      <w:r>
        <w:t xml:space="preserve">As a result, </w:t>
      </w:r>
      <w:r>
        <w:rPr>
          <w:i/>
        </w:rPr>
        <w:t xml:space="preserve">Pinnacle </w:t>
      </w:r>
      <w:r>
        <w:t>often offers the highest odds on a draw, which is frequently a useful bet in terms of equalizing payoffs across all outcomes.</w:t>
      </w:r>
      <w:r>
        <w:rPr>
          <w:vertAlign w:val="superscript"/>
        </w:rPr>
        <w:footnoteReference w:id="15"/>
      </w:r>
    </w:p>
    <w:p w14:paraId="49FBF876" w14:textId="6086109C" w:rsidR="0073742C" w:rsidRDefault="005D5980" w:rsidP="00CA6EF1">
      <w:pPr>
        <w:spacing w:after="475" w:line="360" w:lineRule="auto"/>
        <w:ind w:left="-15"/>
        <w:jc w:val="both"/>
      </w:pPr>
      <w:r>
        <w:t xml:space="preserve">If a bettor could have maintained access to all 7 bookmakers, without suffering restrictions </w:t>
      </w:r>
      <w:r w:rsidR="002D3848">
        <w:t>to</w:t>
      </w:r>
      <w:r>
        <w:t xml:space="preserve"> her </w:t>
      </w:r>
      <w:r w:rsidR="002D3848">
        <w:t>stake</w:t>
      </w:r>
      <w:r>
        <w:t>, the fully hedged strategy would have returned an impressive 7</w:t>
      </w:r>
      <w:r>
        <w:rPr>
          <w:i/>
        </w:rPr>
        <w:t>.</w:t>
      </w:r>
      <w:r>
        <w:t>56 times the initial bankroll across the season (assuming no reinvestment). This corresponds to an average risk-free profit of 1.38% per match. Taken together, the results show that sufficient price dispersion exists in the market for bettors to create a seemingly risk-free portfolio of bets that would guarantee profits in 25% of games, assuming they could successfully implement this strategy. These results serve to support Hypothesis 1, namely, there exist instances where the price dispersion is adequate to generate theoretically risk-free opportunities for bettors to profit by simultaneously betting with different bookmakers on alternative outcomes related to the same event.</w:t>
      </w:r>
    </w:p>
    <w:p w14:paraId="6277A4E7" w14:textId="77777777" w:rsidR="0073742C" w:rsidRDefault="005D5980">
      <w:pPr>
        <w:pStyle w:val="Heading2"/>
        <w:ind w:left="-5"/>
      </w:pPr>
      <w:r>
        <w:t>5.2. Arbitrage Opportunities by Type of Bookmaker</w:t>
      </w:r>
    </w:p>
    <w:p w14:paraId="06D985DE" w14:textId="43432A1B" w:rsidR="0073742C" w:rsidRDefault="005D5980" w:rsidP="00CA6EF1">
      <w:pPr>
        <w:spacing w:line="360" w:lineRule="auto"/>
        <w:ind w:left="-15"/>
        <w:jc w:val="both"/>
      </w:pPr>
      <w:r>
        <w:t xml:space="preserve">We determine for each apparent arbitrage opportunity the source of odds that make up the arbitrage portfolio of bets (i.e. from BBBs or PTBs). In particular, we look at the instances where the odds offered by BBBs or PTBs on the </w:t>
      </w:r>
      <w:r w:rsidR="0075780B">
        <w:t>favourite</w:t>
      </w:r>
      <w:r>
        <w:t xml:space="preserve"> or the longshot feature in the arbitrage opportunities. These </w:t>
      </w:r>
      <w:r w:rsidR="00C00D92">
        <w:t xml:space="preserve">results are displayed in Table </w:t>
      </w:r>
      <w:r w:rsidR="00505B39">
        <w:t>6</w:t>
      </w:r>
      <w:r>
        <w:t xml:space="preserve">. In 84% of arbitrage opportunities, one or more PTBs offered the highest odds on the </w:t>
      </w:r>
      <w:r w:rsidR="0075780B">
        <w:t>favourite</w:t>
      </w:r>
      <w:r>
        <w:t xml:space="preserve"> while one or more BBBs offered the highest odds on the longshot. Based on this frequency of arbitrage opportunities being created by bookmakers of different types (BBBs and PTBs), the chance that this phenomenon is random is very low (</w:t>
      </w:r>
      <w:r>
        <w:rPr>
          <w:i/>
        </w:rPr>
        <w:t>Z</w:t>
      </w:r>
      <w:r>
        <w:t xml:space="preserve">-statistic = 16.12, </w:t>
      </w:r>
      <w:r>
        <w:rPr>
          <w:i/>
        </w:rPr>
        <w:t>p</w:t>
      </w:r>
      <w:r>
        <w:t>-value=0.000). This finding supports Hypothesis 2, namely, that most apparent arbitrage opportunities involve bets placed with different types of bookmakers.</w:t>
      </w:r>
    </w:p>
    <w:p w14:paraId="01F67223" w14:textId="77777777" w:rsidR="00FD32D0" w:rsidRDefault="00FD32D0">
      <w:pPr>
        <w:spacing w:after="3" w:line="265" w:lineRule="auto"/>
        <w:ind w:left="10" w:right="-14" w:hanging="10"/>
        <w:jc w:val="right"/>
      </w:pPr>
    </w:p>
    <w:p w14:paraId="06BF8590" w14:textId="77777777" w:rsidR="00582366" w:rsidRDefault="00582366" w:rsidP="00CA6EF1">
      <w:pPr>
        <w:spacing w:after="3" w:line="252" w:lineRule="auto"/>
        <w:ind w:left="-5" w:right="-14" w:hanging="10"/>
        <w:jc w:val="both"/>
        <w:rPr>
          <w:sz w:val="20"/>
        </w:rPr>
      </w:pPr>
    </w:p>
    <w:p w14:paraId="71033302" w14:textId="77777777" w:rsidR="00C711F2" w:rsidRDefault="00C711F2" w:rsidP="00CA6EF1">
      <w:pPr>
        <w:spacing w:after="3" w:line="252" w:lineRule="auto"/>
        <w:ind w:left="-5" w:right="-14" w:hanging="10"/>
        <w:jc w:val="both"/>
        <w:rPr>
          <w:sz w:val="20"/>
        </w:rPr>
      </w:pPr>
    </w:p>
    <w:p w14:paraId="22C8B4FC" w14:textId="77777777" w:rsidR="00C711F2" w:rsidRDefault="00C711F2" w:rsidP="00CA6EF1">
      <w:pPr>
        <w:spacing w:after="3" w:line="252" w:lineRule="auto"/>
        <w:ind w:left="-5" w:right="-14" w:hanging="10"/>
        <w:jc w:val="both"/>
        <w:rPr>
          <w:sz w:val="20"/>
        </w:rPr>
      </w:pPr>
    </w:p>
    <w:p w14:paraId="08D3F8B3" w14:textId="77777777" w:rsidR="00C711F2" w:rsidRDefault="00C711F2" w:rsidP="00CA6EF1">
      <w:pPr>
        <w:spacing w:after="3" w:line="252" w:lineRule="auto"/>
        <w:ind w:left="-5" w:right="-14" w:hanging="10"/>
        <w:jc w:val="both"/>
        <w:rPr>
          <w:sz w:val="20"/>
        </w:rPr>
      </w:pPr>
    </w:p>
    <w:p w14:paraId="46F893A3" w14:textId="77777777" w:rsidR="00C711F2" w:rsidRDefault="00C711F2" w:rsidP="00CA6EF1">
      <w:pPr>
        <w:spacing w:after="3" w:line="252" w:lineRule="auto"/>
        <w:ind w:left="-5" w:right="-14" w:hanging="10"/>
        <w:jc w:val="both"/>
        <w:rPr>
          <w:sz w:val="20"/>
        </w:rPr>
      </w:pPr>
    </w:p>
    <w:p w14:paraId="4944BF4A" w14:textId="77777777" w:rsidR="00C711F2" w:rsidRDefault="00C711F2" w:rsidP="00CA6EF1">
      <w:pPr>
        <w:spacing w:after="3" w:line="252" w:lineRule="auto"/>
        <w:ind w:left="-5" w:right="-14" w:hanging="10"/>
        <w:jc w:val="both"/>
        <w:rPr>
          <w:sz w:val="20"/>
        </w:rPr>
      </w:pPr>
    </w:p>
    <w:p w14:paraId="6D6B4303" w14:textId="77777777" w:rsidR="00C711F2" w:rsidRDefault="00C711F2" w:rsidP="00CA6EF1">
      <w:pPr>
        <w:spacing w:after="3" w:line="252" w:lineRule="auto"/>
        <w:ind w:left="-5" w:right="-14" w:hanging="10"/>
        <w:jc w:val="both"/>
        <w:rPr>
          <w:sz w:val="20"/>
        </w:rPr>
      </w:pPr>
    </w:p>
    <w:p w14:paraId="46F6AEB8" w14:textId="77777777" w:rsidR="00C711F2" w:rsidRDefault="00C711F2" w:rsidP="00CA6EF1">
      <w:pPr>
        <w:spacing w:after="3" w:line="252" w:lineRule="auto"/>
        <w:ind w:left="-5" w:right="-14" w:hanging="10"/>
        <w:jc w:val="both"/>
        <w:rPr>
          <w:sz w:val="20"/>
        </w:rPr>
      </w:pPr>
    </w:p>
    <w:p w14:paraId="0099A097" w14:textId="77777777" w:rsidR="00C711F2" w:rsidRDefault="00C711F2" w:rsidP="00CA6EF1">
      <w:pPr>
        <w:spacing w:after="3" w:line="252" w:lineRule="auto"/>
        <w:ind w:left="-5" w:right="-14" w:hanging="10"/>
        <w:jc w:val="both"/>
        <w:rPr>
          <w:sz w:val="20"/>
        </w:rPr>
      </w:pPr>
    </w:p>
    <w:p w14:paraId="20B268DF" w14:textId="77777777" w:rsidR="00C711F2" w:rsidRDefault="00C711F2" w:rsidP="00CA6EF1">
      <w:pPr>
        <w:spacing w:after="3" w:line="252" w:lineRule="auto"/>
        <w:ind w:left="-5" w:right="-14" w:hanging="10"/>
        <w:jc w:val="both"/>
        <w:rPr>
          <w:sz w:val="20"/>
        </w:rPr>
      </w:pPr>
    </w:p>
    <w:p w14:paraId="776DE656" w14:textId="77777777" w:rsidR="00C711F2" w:rsidRDefault="00C711F2" w:rsidP="00CA6EF1">
      <w:pPr>
        <w:spacing w:after="3" w:line="252" w:lineRule="auto"/>
        <w:ind w:left="-5" w:right="-14" w:hanging="10"/>
        <w:jc w:val="both"/>
        <w:rPr>
          <w:sz w:val="20"/>
        </w:rPr>
      </w:pPr>
    </w:p>
    <w:p w14:paraId="4E2A66D7" w14:textId="77777777" w:rsidR="00C711F2" w:rsidRDefault="00C711F2" w:rsidP="00CA6EF1">
      <w:pPr>
        <w:spacing w:after="3" w:line="252" w:lineRule="auto"/>
        <w:ind w:left="-5" w:right="-14" w:hanging="10"/>
        <w:jc w:val="both"/>
        <w:rPr>
          <w:sz w:val="20"/>
        </w:rPr>
      </w:pPr>
    </w:p>
    <w:p w14:paraId="7C73A6CC" w14:textId="77777777" w:rsidR="00582366" w:rsidRDefault="00582366" w:rsidP="00CA6EF1">
      <w:pPr>
        <w:spacing w:after="3" w:line="252" w:lineRule="auto"/>
        <w:ind w:left="-5" w:right="-14" w:hanging="10"/>
        <w:jc w:val="both"/>
        <w:rPr>
          <w:sz w:val="20"/>
        </w:rPr>
      </w:pPr>
    </w:p>
    <w:p w14:paraId="7BD2D6DE" w14:textId="77777777" w:rsidR="00582366" w:rsidRDefault="00582366" w:rsidP="00CA6EF1">
      <w:pPr>
        <w:spacing w:after="3" w:line="252" w:lineRule="auto"/>
        <w:ind w:left="-5" w:right="-14" w:hanging="10"/>
        <w:jc w:val="both"/>
        <w:rPr>
          <w:sz w:val="20"/>
        </w:rPr>
      </w:pPr>
    </w:p>
    <w:p w14:paraId="6C033A20" w14:textId="77777777" w:rsidR="008F5201" w:rsidRDefault="008F5201" w:rsidP="00CA6EF1">
      <w:pPr>
        <w:spacing w:after="3" w:line="252" w:lineRule="auto"/>
        <w:ind w:left="-5" w:right="-14" w:hanging="10"/>
        <w:jc w:val="both"/>
        <w:rPr>
          <w:sz w:val="20"/>
        </w:rPr>
      </w:pPr>
    </w:p>
    <w:p w14:paraId="52D9C600" w14:textId="77777777" w:rsidR="008F5201" w:rsidRDefault="008F5201" w:rsidP="00CA6EF1">
      <w:pPr>
        <w:spacing w:after="3" w:line="252" w:lineRule="auto"/>
        <w:ind w:left="-5" w:right="-14" w:hanging="10"/>
        <w:jc w:val="both"/>
        <w:rPr>
          <w:sz w:val="20"/>
        </w:rPr>
      </w:pPr>
    </w:p>
    <w:p w14:paraId="078DC8E4" w14:textId="77777777" w:rsidR="008F5201" w:rsidRDefault="008F5201" w:rsidP="00CA6EF1">
      <w:pPr>
        <w:spacing w:after="3" w:line="252" w:lineRule="auto"/>
        <w:ind w:left="-5" w:right="-14" w:hanging="10"/>
        <w:jc w:val="both"/>
        <w:rPr>
          <w:sz w:val="20"/>
        </w:rPr>
      </w:pPr>
    </w:p>
    <w:p w14:paraId="656092F7" w14:textId="77777777" w:rsidR="008F5201" w:rsidRDefault="008F5201" w:rsidP="00CA6EF1">
      <w:pPr>
        <w:spacing w:after="3" w:line="252" w:lineRule="auto"/>
        <w:ind w:left="-5" w:right="-14" w:hanging="10"/>
        <w:jc w:val="both"/>
        <w:rPr>
          <w:sz w:val="20"/>
        </w:rPr>
      </w:pPr>
    </w:p>
    <w:p w14:paraId="66854B54" w14:textId="7F9450E7" w:rsidR="0073742C" w:rsidRDefault="00C00D92" w:rsidP="00CA6EF1">
      <w:pPr>
        <w:spacing w:after="3" w:line="252" w:lineRule="auto"/>
        <w:ind w:left="-5" w:right="-14" w:hanging="10"/>
        <w:jc w:val="both"/>
      </w:pPr>
      <w:r>
        <w:rPr>
          <w:sz w:val="20"/>
        </w:rPr>
        <w:t xml:space="preserve">Table </w:t>
      </w:r>
      <w:r w:rsidR="00505B39">
        <w:rPr>
          <w:sz w:val="20"/>
        </w:rPr>
        <w:t>6</w:t>
      </w:r>
      <w:r w:rsidR="005D5980" w:rsidRPr="00901460">
        <w:rPr>
          <w:b/>
          <w:bCs/>
          <w:sz w:val="20"/>
        </w:rPr>
        <w:t>: Constituent bets in arbitrage portfolios by type of bookmaker and odds</w:t>
      </w:r>
      <w:r w:rsidR="005D5980">
        <w:rPr>
          <w:sz w:val="20"/>
        </w:rPr>
        <w:t xml:space="preserve">. The first (second) column shows the type of bookmaker for which the optimal arbitrage portfolios contain bets on </w:t>
      </w:r>
      <w:r w:rsidR="0075780B">
        <w:rPr>
          <w:sz w:val="20"/>
        </w:rPr>
        <w:t>favourite</w:t>
      </w:r>
      <w:r w:rsidR="005D5980">
        <w:rPr>
          <w:sz w:val="20"/>
        </w:rPr>
        <w:t xml:space="preserve">s (longshots). The </w:t>
      </w:r>
      <w:r w:rsidR="0075780B">
        <w:rPr>
          <w:sz w:val="20"/>
        </w:rPr>
        <w:t>favourite</w:t>
      </w:r>
      <w:r w:rsidR="005D5980">
        <w:rPr>
          <w:sz w:val="20"/>
        </w:rPr>
        <w:t xml:space="preserve"> is identified as the team with the lower odds on the 1</w:t>
      </w:r>
      <w:r w:rsidR="005D5980">
        <w:rPr>
          <w:i/>
          <w:sz w:val="20"/>
        </w:rPr>
        <w:t>X</w:t>
      </w:r>
      <w:r w:rsidR="005D5980">
        <w:rPr>
          <w:sz w:val="20"/>
        </w:rPr>
        <w:t>2 betting market, bet</w:t>
      </w:r>
      <w:r>
        <w:rPr>
          <w:sz w:val="20"/>
        </w:rPr>
        <w:t xml:space="preserve">s on products 1-6 in Table </w:t>
      </w:r>
      <w:r w:rsidR="00505B39">
        <w:rPr>
          <w:sz w:val="20"/>
        </w:rPr>
        <w:t>2</w:t>
      </w:r>
      <w:r w:rsidR="005D5980">
        <w:rPr>
          <w:sz w:val="20"/>
        </w:rPr>
        <w:t xml:space="preserve"> are considered ‘</w:t>
      </w:r>
      <w:r w:rsidR="0075780B">
        <w:rPr>
          <w:sz w:val="20"/>
        </w:rPr>
        <w:t>favourite</w:t>
      </w:r>
      <w:r w:rsidR="005D5980">
        <w:rPr>
          <w:sz w:val="20"/>
        </w:rPr>
        <w:t xml:space="preserve">’ bets if the home team has lower odds; </w:t>
      </w:r>
      <w:r>
        <w:rPr>
          <w:sz w:val="20"/>
        </w:rPr>
        <w:t xml:space="preserve">bets on products 8-13 in Table </w:t>
      </w:r>
      <w:r w:rsidR="00505B39">
        <w:rPr>
          <w:sz w:val="20"/>
        </w:rPr>
        <w:t>2</w:t>
      </w:r>
      <w:r w:rsidR="005D5980">
        <w:rPr>
          <w:sz w:val="20"/>
        </w:rPr>
        <w:t xml:space="preserve"> are considered ‘</w:t>
      </w:r>
      <w:r w:rsidR="0075780B">
        <w:rPr>
          <w:sz w:val="20"/>
        </w:rPr>
        <w:t>favourite</w:t>
      </w:r>
      <w:r w:rsidR="005D5980">
        <w:rPr>
          <w:sz w:val="20"/>
        </w:rPr>
        <w:t xml:space="preserve">’ bets if the away team has lower odds. All other bets (excluding draw bets) are considered ‘longshot’ bets. The number and proportion for which arbitrage portfolios are constructed, using bets from each type of bookmaker, are presented in column 3. Columns 4 and 5 report similar results to column 3, with the strength of the </w:t>
      </w:r>
      <w:r w:rsidR="0075780B">
        <w:rPr>
          <w:sz w:val="20"/>
        </w:rPr>
        <w:t>favourite</w:t>
      </w:r>
      <w:r w:rsidR="005D5980">
        <w:rPr>
          <w:sz w:val="20"/>
        </w:rPr>
        <w:t xml:space="preserve"> increasing to $2</w:t>
      </w:r>
      <w:r w:rsidR="005D5980">
        <w:rPr>
          <w:i/>
          <w:sz w:val="20"/>
        </w:rPr>
        <w:t>.</w:t>
      </w:r>
      <w:r w:rsidR="005D5980">
        <w:rPr>
          <w:sz w:val="20"/>
        </w:rPr>
        <w:t>00 and $1</w:t>
      </w:r>
      <w:r w:rsidR="005D5980">
        <w:rPr>
          <w:i/>
          <w:sz w:val="20"/>
        </w:rPr>
        <w:t>.</w:t>
      </w:r>
      <w:r w:rsidR="005D5980">
        <w:rPr>
          <w:sz w:val="20"/>
        </w:rPr>
        <w:t xml:space="preserve">70 per dollar bet. Column 6 repeats the results from column 3 with the exclusion of the outlying position-taking bookmaker </w:t>
      </w:r>
      <w:r w:rsidR="005D5980">
        <w:rPr>
          <w:i/>
          <w:sz w:val="20"/>
        </w:rPr>
        <w:t>Stan James</w:t>
      </w:r>
      <w:r w:rsidR="005D5980">
        <w:rPr>
          <w:sz w:val="20"/>
        </w:rPr>
        <w:t>.</w:t>
      </w:r>
    </w:p>
    <w:tbl>
      <w:tblPr>
        <w:tblStyle w:val="TableGrid"/>
        <w:tblW w:w="9282" w:type="dxa"/>
        <w:tblInd w:w="0" w:type="dxa"/>
        <w:tblCellMar>
          <w:top w:w="30" w:type="dxa"/>
          <w:right w:w="115" w:type="dxa"/>
        </w:tblCellMar>
        <w:tblLook w:val="04A0" w:firstRow="1" w:lastRow="0" w:firstColumn="1" w:lastColumn="0" w:noHBand="0" w:noVBand="1"/>
      </w:tblPr>
      <w:tblGrid>
        <w:gridCol w:w="1420"/>
        <w:gridCol w:w="1407"/>
        <w:gridCol w:w="1567"/>
        <w:gridCol w:w="1567"/>
        <w:gridCol w:w="1567"/>
        <w:gridCol w:w="1754"/>
      </w:tblGrid>
      <w:tr w:rsidR="0073742C" w14:paraId="23F586E6" w14:textId="77777777" w:rsidTr="00CA6EF1">
        <w:trPr>
          <w:trHeight w:val="325"/>
        </w:trPr>
        <w:tc>
          <w:tcPr>
            <w:tcW w:w="1420" w:type="dxa"/>
            <w:tcBorders>
              <w:top w:val="single" w:sz="7" w:space="0" w:color="000000"/>
              <w:left w:val="nil"/>
              <w:bottom w:val="nil"/>
              <w:right w:val="nil"/>
            </w:tcBorders>
          </w:tcPr>
          <w:p w14:paraId="22A7D293" w14:textId="380D832D" w:rsidR="0073742C" w:rsidRDefault="0075780B" w:rsidP="00491AD3">
            <w:pPr>
              <w:spacing w:line="259" w:lineRule="auto"/>
              <w:ind w:left="202"/>
              <w:jc w:val="center"/>
            </w:pPr>
            <w:r>
              <w:rPr>
                <w:b/>
                <w:sz w:val="20"/>
              </w:rPr>
              <w:t>Favourite</w:t>
            </w:r>
          </w:p>
        </w:tc>
        <w:tc>
          <w:tcPr>
            <w:tcW w:w="1407" w:type="dxa"/>
            <w:tcBorders>
              <w:top w:val="single" w:sz="7" w:space="0" w:color="000000"/>
              <w:left w:val="nil"/>
              <w:bottom w:val="nil"/>
              <w:right w:val="nil"/>
            </w:tcBorders>
          </w:tcPr>
          <w:p w14:paraId="1B4621F4" w14:textId="61D7BA7B" w:rsidR="0073742C" w:rsidRDefault="00491AD3" w:rsidP="00491AD3">
            <w:pPr>
              <w:spacing w:line="259" w:lineRule="auto"/>
              <w:ind w:left="134"/>
              <w:jc w:val="center"/>
            </w:pPr>
            <w:r>
              <w:rPr>
                <w:b/>
                <w:sz w:val="20"/>
              </w:rPr>
              <w:t>Longshot</w:t>
            </w:r>
          </w:p>
        </w:tc>
        <w:tc>
          <w:tcPr>
            <w:tcW w:w="1567" w:type="dxa"/>
            <w:tcBorders>
              <w:top w:val="single" w:sz="7" w:space="0" w:color="000000"/>
              <w:left w:val="nil"/>
              <w:bottom w:val="nil"/>
              <w:right w:val="nil"/>
            </w:tcBorders>
          </w:tcPr>
          <w:p w14:paraId="6C914B3B" w14:textId="77777777" w:rsidR="0073742C" w:rsidRDefault="005D5980">
            <w:pPr>
              <w:spacing w:line="259" w:lineRule="auto"/>
            </w:pPr>
            <w:r>
              <w:rPr>
                <w:b/>
                <w:sz w:val="20"/>
              </w:rPr>
              <w:t>Num. matches</w:t>
            </w:r>
          </w:p>
        </w:tc>
        <w:tc>
          <w:tcPr>
            <w:tcW w:w="1567" w:type="dxa"/>
            <w:tcBorders>
              <w:top w:val="single" w:sz="7" w:space="0" w:color="000000"/>
              <w:left w:val="nil"/>
              <w:bottom w:val="nil"/>
              <w:right w:val="nil"/>
            </w:tcBorders>
          </w:tcPr>
          <w:p w14:paraId="1CFFFC1D" w14:textId="77777777" w:rsidR="0073742C" w:rsidRDefault="005D5980">
            <w:pPr>
              <w:spacing w:line="259" w:lineRule="auto"/>
            </w:pPr>
            <w:r>
              <w:rPr>
                <w:b/>
                <w:sz w:val="20"/>
              </w:rPr>
              <w:t>Num. matches</w:t>
            </w:r>
          </w:p>
        </w:tc>
        <w:tc>
          <w:tcPr>
            <w:tcW w:w="1567" w:type="dxa"/>
            <w:tcBorders>
              <w:top w:val="single" w:sz="7" w:space="0" w:color="000000"/>
              <w:left w:val="nil"/>
              <w:bottom w:val="nil"/>
              <w:right w:val="nil"/>
            </w:tcBorders>
          </w:tcPr>
          <w:p w14:paraId="2377AABF" w14:textId="77777777" w:rsidR="0073742C" w:rsidRDefault="005D5980">
            <w:pPr>
              <w:spacing w:line="259" w:lineRule="auto"/>
            </w:pPr>
            <w:r>
              <w:rPr>
                <w:b/>
                <w:sz w:val="20"/>
              </w:rPr>
              <w:t>Num. matches</w:t>
            </w:r>
          </w:p>
        </w:tc>
        <w:tc>
          <w:tcPr>
            <w:tcW w:w="1754" w:type="dxa"/>
            <w:tcBorders>
              <w:top w:val="single" w:sz="7" w:space="0" w:color="000000"/>
              <w:left w:val="nil"/>
              <w:bottom w:val="nil"/>
              <w:right w:val="nil"/>
            </w:tcBorders>
          </w:tcPr>
          <w:p w14:paraId="40DE1C6E" w14:textId="77777777" w:rsidR="0073742C" w:rsidRDefault="005D5980">
            <w:pPr>
              <w:spacing w:line="259" w:lineRule="auto"/>
              <w:ind w:left="162"/>
            </w:pPr>
            <w:r>
              <w:rPr>
                <w:b/>
                <w:sz w:val="20"/>
              </w:rPr>
              <w:t>Num. matches</w:t>
            </w:r>
          </w:p>
        </w:tc>
      </w:tr>
      <w:tr w:rsidR="0073742C" w14:paraId="3BCC0512" w14:textId="77777777" w:rsidTr="00CA6EF1">
        <w:trPr>
          <w:trHeight w:val="248"/>
        </w:trPr>
        <w:tc>
          <w:tcPr>
            <w:tcW w:w="1420" w:type="dxa"/>
            <w:tcBorders>
              <w:top w:val="nil"/>
              <w:left w:val="nil"/>
              <w:bottom w:val="nil"/>
              <w:right w:val="nil"/>
            </w:tcBorders>
          </w:tcPr>
          <w:p w14:paraId="1D44DE5A" w14:textId="13A63210" w:rsidR="0073742C" w:rsidRDefault="0073742C" w:rsidP="00491AD3">
            <w:pPr>
              <w:spacing w:line="259" w:lineRule="auto"/>
              <w:ind w:left="120"/>
              <w:jc w:val="center"/>
            </w:pPr>
          </w:p>
        </w:tc>
        <w:tc>
          <w:tcPr>
            <w:tcW w:w="1407" w:type="dxa"/>
            <w:tcBorders>
              <w:top w:val="nil"/>
              <w:left w:val="nil"/>
              <w:bottom w:val="nil"/>
              <w:right w:val="nil"/>
            </w:tcBorders>
          </w:tcPr>
          <w:p w14:paraId="7612F065" w14:textId="314FEA2E" w:rsidR="0073742C" w:rsidRDefault="0073742C" w:rsidP="00491AD3">
            <w:pPr>
              <w:spacing w:line="259" w:lineRule="auto"/>
              <w:jc w:val="center"/>
            </w:pPr>
          </w:p>
        </w:tc>
        <w:tc>
          <w:tcPr>
            <w:tcW w:w="1567" w:type="dxa"/>
            <w:tcBorders>
              <w:top w:val="nil"/>
              <w:left w:val="nil"/>
              <w:bottom w:val="nil"/>
              <w:right w:val="nil"/>
            </w:tcBorders>
          </w:tcPr>
          <w:p w14:paraId="4F9D3A64" w14:textId="77777777" w:rsidR="0073742C" w:rsidRDefault="005D5980">
            <w:pPr>
              <w:spacing w:line="259" w:lineRule="auto"/>
              <w:ind w:left="102"/>
            </w:pPr>
            <w:r>
              <w:rPr>
                <w:b/>
                <w:sz w:val="20"/>
              </w:rPr>
              <w:t>(full sample)</w:t>
            </w:r>
          </w:p>
        </w:tc>
        <w:tc>
          <w:tcPr>
            <w:tcW w:w="1567" w:type="dxa"/>
            <w:tcBorders>
              <w:top w:val="nil"/>
              <w:left w:val="nil"/>
              <w:bottom w:val="nil"/>
              <w:right w:val="nil"/>
            </w:tcBorders>
          </w:tcPr>
          <w:p w14:paraId="5DD5F727" w14:textId="77777777" w:rsidR="0073742C" w:rsidRDefault="005D5980">
            <w:pPr>
              <w:spacing w:line="259" w:lineRule="auto"/>
              <w:ind w:left="114"/>
            </w:pPr>
            <w:r>
              <w:rPr>
                <w:b/>
                <w:sz w:val="20"/>
              </w:rPr>
              <w:t xml:space="preserve">(Fav </w:t>
            </w:r>
            <w:r>
              <w:rPr>
                <w:i/>
                <w:sz w:val="20"/>
              </w:rPr>
              <w:t xml:space="preserve">&lt; </w:t>
            </w:r>
            <w:r>
              <w:rPr>
                <w:b/>
                <w:sz w:val="20"/>
              </w:rPr>
              <w:t>2.00)</w:t>
            </w:r>
          </w:p>
        </w:tc>
        <w:tc>
          <w:tcPr>
            <w:tcW w:w="1567" w:type="dxa"/>
            <w:tcBorders>
              <w:top w:val="nil"/>
              <w:left w:val="nil"/>
              <w:bottom w:val="nil"/>
              <w:right w:val="nil"/>
            </w:tcBorders>
          </w:tcPr>
          <w:p w14:paraId="7477716D" w14:textId="77777777" w:rsidR="0073742C" w:rsidRDefault="005D5980">
            <w:pPr>
              <w:spacing w:line="259" w:lineRule="auto"/>
              <w:ind w:left="114"/>
            </w:pPr>
            <w:r>
              <w:rPr>
                <w:b/>
                <w:sz w:val="20"/>
              </w:rPr>
              <w:t xml:space="preserve">(Fav </w:t>
            </w:r>
            <w:r>
              <w:rPr>
                <w:i/>
                <w:sz w:val="20"/>
              </w:rPr>
              <w:t xml:space="preserve">&lt; </w:t>
            </w:r>
            <w:r>
              <w:rPr>
                <w:b/>
                <w:sz w:val="20"/>
              </w:rPr>
              <w:t>1.70)</w:t>
            </w:r>
          </w:p>
        </w:tc>
        <w:tc>
          <w:tcPr>
            <w:tcW w:w="1754" w:type="dxa"/>
            <w:tcBorders>
              <w:top w:val="nil"/>
              <w:left w:val="nil"/>
              <w:bottom w:val="nil"/>
              <w:right w:val="nil"/>
            </w:tcBorders>
          </w:tcPr>
          <w:p w14:paraId="25474FC5" w14:textId="77777777" w:rsidR="0073742C" w:rsidRDefault="005D5980">
            <w:pPr>
              <w:spacing w:line="259" w:lineRule="auto"/>
            </w:pPr>
            <w:r>
              <w:rPr>
                <w:b/>
                <w:sz w:val="20"/>
              </w:rPr>
              <w:t>(w/o Stan James)</w:t>
            </w:r>
          </w:p>
        </w:tc>
      </w:tr>
      <w:tr w:rsidR="006D27D2" w:rsidRPr="006D27D2" w14:paraId="66758B9F" w14:textId="77777777" w:rsidTr="00CA6EF1">
        <w:trPr>
          <w:trHeight w:val="300"/>
        </w:trPr>
        <w:tc>
          <w:tcPr>
            <w:tcW w:w="1420" w:type="dxa"/>
            <w:tcBorders>
              <w:top w:val="nil"/>
              <w:left w:val="nil"/>
              <w:bottom w:val="single" w:sz="5" w:space="0" w:color="000000"/>
              <w:right w:val="nil"/>
            </w:tcBorders>
          </w:tcPr>
          <w:p w14:paraId="1CEB487A" w14:textId="09C5F1B2" w:rsidR="0073742C" w:rsidRPr="006D27D2" w:rsidRDefault="00CA6EF1" w:rsidP="00491AD3">
            <w:pPr>
              <w:spacing w:after="160" w:line="259" w:lineRule="auto"/>
              <w:jc w:val="center"/>
              <w:rPr>
                <w:color w:val="auto"/>
              </w:rPr>
            </w:pPr>
            <w:r w:rsidRPr="006D27D2">
              <w:rPr>
                <w:b/>
                <w:color w:val="auto"/>
                <w:sz w:val="20"/>
              </w:rPr>
              <w:t>Best Offer by:</w:t>
            </w:r>
          </w:p>
        </w:tc>
        <w:tc>
          <w:tcPr>
            <w:tcW w:w="1407" w:type="dxa"/>
            <w:tcBorders>
              <w:top w:val="nil"/>
              <w:left w:val="nil"/>
              <w:bottom w:val="single" w:sz="5" w:space="0" w:color="000000"/>
              <w:right w:val="nil"/>
            </w:tcBorders>
          </w:tcPr>
          <w:p w14:paraId="094827FF" w14:textId="3372A9D0" w:rsidR="0073742C" w:rsidRPr="006D27D2" w:rsidRDefault="00CA6EF1" w:rsidP="00491AD3">
            <w:pPr>
              <w:spacing w:after="160" w:line="259" w:lineRule="auto"/>
              <w:jc w:val="center"/>
              <w:rPr>
                <w:color w:val="auto"/>
              </w:rPr>
            </w:pPr>
            <w:r w:rsidRPr="006D27D2">
              <w:rPr>
                <w:b/>
                <w:color w:val="auto"/>
                <w:sz w:val="20"/>
              </w:rPr>
              <w:t>Best Offer by:</w:t>
            </w:r>
          </w:p>
        </w:tc>
        <w:tc>
          <w:tcPr>
            <w:tcW w:w="1567" w:type="dxa"/>
            <w:tcBorders>
              <w:top w:val="nil"/>
              <w:left w:val="nil"/>
              <w:bottom w:val="single" w:sz="5" w:space="0" w:color="000000"/>
              <w:right w:val="nil"/>
            </w:tcBorders>
          </w:tcPr>
          <w:p w14:paraId="3033138A" w14:textId="77777777" w:rsidR="0073742C" w:rsidRPr="006D27D2" w:rsidRDefault="005D5980">
            <w:pPr>
              <w:spacing w:line="259" w:lineRule="auto"/>
              <w:ind w:left="512"/>
              <w:rPr>
                <w:color w:val="auto"/>
              </w:rPr>
            </w:pPr>
            <w:r w:rsidRPr="006D27D2">
              <w:rPr>
                <w:b/>
                <w:i/>
                <w:color w:val="auto"/>
                <w:sz w:val="20"/>
              </w:rPr>
              <w:t>prop</w:t>
            </w:r>
          </w:p>
        </w:tc>
        <w:tc>
          <w:tcPr>
            <w:tcW w:w="1567" w:type="dxa"/>
            <w:tcBorders>
              <w:top w:val="nil"/>
              <w:left w:val="nil"/>
              <w:bottom w:val="single" w:sz="5" w:space="0" w:color="000000"/>
              <w:right w:val="nil"/>
            </w:tcBorders>
          </w:tcPr>
          <w:p w14:paraId="32816DED" w14:textId="62CA3BEC" w:rsidR="0073742C" w:rsidRPr="006D27D2" w:rsidRDefault="00C711EE">
            <w:pPr>
              <w:spacing w:line="259" w:lineRule="auto"/>
              <w:ind w:left="512"/>
              <w:rPr>
                <w:color w:val="auto"/>
              </w:rPr>
            </w:pPr>
            <w:r w:rsidRPr="006D27D2">
              <w:rPr>
                <w:b/>
                <w:i/>
                <w:color w:val="auto"/>
                <w:sz w:val="20"/>
              </w:rPr>
              <w:t>P</w:t>
            </w:r>
            <w:r w:rsidR="005D5980" w:rsidRPr="006D27D2">
              <w:rPr>
                <w:b/>
                <w:i/>
                <w:color w:val="auto"/>
                <w:sz w:val="20"/>
              </w:rPr>
              <w:t>rop</w:t>
            </w:r>
            <w:r w:rsidRPr="006D27D2">
              <w:rPr>
                <w:b/>
                <w:i/>
                <w:color w:val="auto"/>
                <w:sz w:val="20"/>
                <w:vertAlign w:val="superscript"/>
              </w:rPr>
              <w:t>1</w:t>
            </w:r>
          </w:p>
        </w:tc>
        <w:tc>
          <w:tcPr>
            <w:tcW w:w="1567" w:type="dxa"/>
            <w:tcBorders>
              <w:top w:val="nil"/>
              <w:left w:val="nil"/>
              <w:bottom w:val="single" w:sz="5" w:space="0" w:color="000000"/>
              <w:right w:val="nil"/>
            </w:tcBorders>
          </w:tcPr>
          <w:p w14:paraId="2A62D9F1" w14:textId="3FF73B87" w:rsidR="0073742C" w:rsidRPr="006D27D2" w:rsidRDefault="00C711EE">
            <w:pPr>
              <w:spacing w:line="259" w:lineRule="auto"/>
              <w:ind w:left="512"/>
              <w:rPr>
                <w:color w:val="auto"/>
              </w:rPr>
            </w:pPr>
            <w:r w:rsidRPr="006D27D2">
              <w:rPr>
                <w:b/>
                <w:i/>
                <w:color w:val="auto"/>
                <w:sz w:val="20"/>
              </w:rPr>
              <w:t>P</w:t>
            </w:r>
            <w:r w:rsidR="005D5980" w:rsidRPr="006D27D2">
              <w:rPr>
                <w:b/>
                <w:i/>
                <w:color w:val="auto"/>
                <w:sz w:val="20"/>
              </w:rPr>
              <w:t>rop</w:t>
            </w:r>
            <w:r w:rsidRPr="006D27D2">
              <w:rPr>
                <w:b/>
                <w:i/>
                <w:color w:val="auto"/>
                <w:sz w:val="20"/>
                <w:vertAlign w:val="superscript"/>
              </w:rPr>
              <w:t>2</w:t>
            </w:r>
          </w:p>
        </w:tc>
        <w:tc>
          <w:tcPr>
            <w:tcW w:w="1754" w:type="dxa"/>
            <w:tcBorders>
              <w:top w:val="nil"/>
              <w:left w:val="nil"/>
              <w:bottom w:val="single" w:sz="5" w:space="0" w:color="000000"/>
              <w:right w:val="nil"/>
            </w:tcBorders>
          </w:tcPr>
          <w:p w14:paraId="2D4FB8E9" w14:textId="473E86C5" w:rsidR="0073742C" w:rsidRPr="006D27D2" w:rsidRDefault="004672B3">
            <w:pPr>
              <w:spacing w:line="259" w:lineRule="auto"/>
              <w:ind w:right="11"/>
              <w:jc w:val="center"/>
              <w:rPr>
                <w:color w:val="auto"/>
              </w:rPr>
            </w:pPr>
            <w:r w:rsidRPr="006D27D2">
              <w:rPr>
                <w:b/>
                <w:i/>
                <w:color w:val="auto"/>
                <w:sz w:val="20"/>
              </w:rPr>
              <w:t>P</w:t>
            </w:r>
            <w:r w:rsidR="005D5980" w:rsidRPr="006D27D2">
              <w:rPr>
                <w:b/>
                <w:i/>
                <w:color w:val="auto"/>
                <w:sz w:val="20"/>
              </w:rPr>
              <w:t>rop</w:t>
            </w:r>
          </w:p>
        </w:tc>
      </w:tr>
      <w:tr w:rsidR="006D27D2" w:rsidRPr="006D27D2" w14:paraId="2E194BE2" w14:textId="77777777" w:rsidTr="00CA6EF1">
        <w:trPr>
          <w:trHeight w:val="321"/>
        </w:trPr>
        <w:tc>
          <w:tcPr>
            <w:tcW w:w="1420" w:type="dxa"/>
            <w:tcBorders>
              <w:top w:val="single" w:sz="5" w:space="0" w:color="000000"/>
              <w:left w:val="nil"/>
              <w:bottom w:val="nil"/>
              <w:right w:val="nil"/>
            </w:tcBorders>
          </w:tcPr>
          <w:p w14:paraId="467A4FD1" w14:textId="77777777" w:rsidR="0073742C" w:rsidRPr="006D27D2" w:rsidRDefault="005D5980" w:rsidP="00491AD3">
            <w:pPr>
              <w:spacing w:line="259" w:lineRule="auto"/>
              <w:jc w:val="center"/>
              <w:rPr>
                <w:color w:val="auto"/>
              </w:rPr>
            </w:pPr>
            <w:r w:rsidRPr="006D27D2">
              <w:rPr>
                <w:b/>
                <w:color w:val="auto"/>
                <w:sz w:val="20"/>
              </w:rPr>
              <w:t>Position</w:t>
            </w:r>
          </w:p>
        </w:tc>
        <w:tc>
          <w:tcPr>
            <w:tcW w:w="1407" w:type="dxa"/>
            <w:tcBorders>
              <w:top w:val="single" w:sz="5" w:space="0" w:color="000000"/>
              <w:left w:val="nil"/>
              <w:bottom w:val="nil"/>
              <w:right w:val="nil"/>
            </w:tcBorders>
          </w:tcPr>
          <w:p w14:paraId="5D54E4D5" w14:textId="77777777" w:rsidR="0073742C" w:rsidRPr="006D27D2" w:rsidRDefault="005D5980" w:rsidP="00491AD3">
            <w:pPr>
              <w:spacing w:line="259" w:lineRule="auto"/>
              <w:jc w:val="center"/>
              <w:rPr>
                <w:color w:val="auto"/>
              </w:rPr>
            </w:pPr>
            <w:r w:rsidRPr="006D27D2">
              <w:rPr>
                <w:b/>
                <w:color w:val="auto"/>
                <w:sz w:val="20"/>
              </w:rPr>
              <w:t>Position</w:t>
            </w:r>
          </w:p>
        </w:tc>
        <w:tc>
          <w:tcPr>
            <w:tcW w:w="1567" w:type="dxa"/>
            <w:tcBorders>
              <w:top w:val="single" w:sz="5" w:space="0" w:color="000000"/>
              <w:left w:val="nil"/>
              <w:bottom w:val="nil"/>
              <w:right w:val="nil"/>
            </w:tcBorders>
          </w:tcPr>
          <w:p w14:paraId="1CDBAC67" w14:textId="77777777" w:rsidR="0073742C" w:rsidRPr="006D27D2" w:rsidRDefault="005D5980">
            <w:pPr>
              <w:spacing w:line="259" w:lineRule="auto"/>
              <w:ind w:left="637"/>
              <w:rPr>
                <w:color w:val="auto"/>
              </w:rPr>
            </w:pPr>
            <w:r w:rsidRPr="006D27D2">
              <w:rPr>
                <w:color w:val="auto"/>
                <w:sz w:val="20"/>
              </w:rPr>
              <w:t>41</w:t>
            </w:r>
          </w:p>
        </w:tc>
        <w:tc>
          <w:tcPr>
            <w:tcW w:w="1567" w:type="dxa"/>
            <w:tcBorders>
              <w:top w:val="single" w:sz="5" w:space="0" w:color="000000"/>
              <w:left w:val="nil"/>
              <w:bottom w:val="nil"/>
              <w:right w:val="nil"/>
            </w:tcBorders>
          </w:tcPr>
          <w:p w14:paraId="3271A9E9" w14:textId="77777777" w:rsidR="0073742C" w:rsidRPr="006D27D2" w:rsidRDefault="005D5980">
            <w:pPr>
              <w:spacing w:line="259" w:lineRule="auto"/>
              <w:ind w:left="637"/>
              <w:rPr>
                <w:color w:val="auto"/>
              </w:rPr>
            </w:pPr>
            <w:r w:rsidRPr="006D27D2">
              <w:rPr>
                <w:color w:val="auto"/>
                <w:sz w:val="20"/>
              </w:rPr>
              <w:t>27</w:t>
            </w:r>
          </w:p>
        </w:tc>
        <w:tc>
          <w:tcPr>
            <w:tcW w:w="1567" w:type="dxa"/>
            <w:tcBorders>
              <w:top w:val="single" w:sz="5" w:space="0" w:color="000000"/>
              <w:left w:val="nil"/>
              <w:bottom w:val="nil"/>
              <w:right w:val="nil"/>
            </w:tcBorders>
          </w:tcPr>
          <w:p w14:paraId="4D9015DA" w14:textId="77777777" w:rsidR="0073742C" w:rsidRPr="006D27D2" w:rsidRDefault="005D5980">
            <w:pPr>
              <w:spacing w:line="259" w:lineRule="auto"/>
              <w:ind w:left="687"/>
              <w:rPr>
                <w:color w:val="auto"/>
              </w:rPr>
            </w:pPr>
            <w:r w:rsidRPr="006D27D2">
              <w:rPr>
                <w:color w:val="auto"/>
                <w:sz w:val="20"/>
              </w:rPr>
              <w:t>6</w:t>
            </w:r>
          </w:p>
        </w:tc>
        <w:tc>
          <w:tcPr>
            <w:tcW w:w="1754" w:type="dxa"/>
            <w:tcBorders>
              <w:top w:val="single" w:sz="5" w:space="0" w:color="000000"/>
              <w:left w:val="nil"/>
              <w:bottom w:val="nil"/>
              <w:right w:val="nil"/>
            </w:tcBorders>
          </w:tcPr>
          <w:p w14:paraId="2BA32D9B" w14:textId="77777777" w:rsidR="0073742C" w:rsidRPr="006D27D2" w:rsidRDefault="005D5980">
            <w:pPr>
              <w:spacing w:line="259" w:lineRule="auto"/>
              <w:ind w:right="4"/>
              <w:jc w:val="center"/>
              <w:rPr>
                <w:color w:val="auto"/>
              </w:rPr>
            </w:pPr>
            <w:r w:rsidRPr="006D27D2">
              <w:rPr>
                <w:color w:val="auto"/>
                <w:sz w:val="20"/>
              </w:rPr>
              <w:t>18</w:t>
            </w:r>
          </w:p>
        </w:tc>
      </w:tr>
      <w:tr w:rsidR="006D27D2" w:rsidRPr="006D27D2" w14:paraId="7484F1BD" w14:textId="77777777" w:rsidTr="00CA6EF1">
        <w:trPr>
          <w:trHeight w:val="256"/>
        </w:trPr>
        <w:tc>
          <w:tcPr>
            <w:tcW w:w="1420" w:type="dxa"/>
            <w:tcBorders>
              <w:top w:val="nil"/>
              <w:left w:val="nil"/>
              <w:bottom w:val="single" w:sz="3" w:space="0" w:color="000000"/>
              <w:right w:val="nil"/>
            </w:tcBorders>
          </w:tcPr>
          <w:p w14:paraId="1B80D5E6" w14:textId="77777777" w:rsidR="0073742C" w:rsidRPr="006D27D2" w:rsidRDefault="005D5980" w:rsidP="00491AD3">
            <w:pPr>
              <w:spacing w:line="259" w:lineRule="auto"/>
              <w:ind w:right="4"/>
              <w:jc w:val="center"/>
              <w:rPr>
                <w:color w:val="auto"/>
              </w:rPr>
            </w:pPr>
            <w:r w:rsidRPr="006D27D2">
              <w:rPr>
                <w:b/>
                <w:color w:val="auto"/>
                <w:sz w:val="20"/>
              </w:rPr>
              <w:t>Taker</w:t>
            </w:r>
          </w:p>
        </w:tc>
        <w:tc>
          <w:tcPr>
            <w:tcW w:w="1407" w:type="dxa"/>
            <w:tcBorders>
              <w:top w:val="nil"/>
              <w:left w:val="nil"/>
              <w:bottom w:val="single" w:sz="3" w:space="0" w:color="000000"/>
              <w:right w:val="nil"/>
            </w:tcBorders>
          </w:tcPr>
          <w:p w14:paraId="389AA642" w14:textId="77777777" w:rsidR="0073742C" w:rsidRPr="006D27D2" w:rsidRDefault="005D5980" w:rsidP="00491AD3">
            <w:pPr>
              <w:spacing w:line="259" w:lineRule="auto"/>
              <w:jc w:val="center"/>
              <w:rPr>
                <w:color w:val="auto"/>
              </w:rPr>
            </w:pPr>
            <w:r w:rsidRPr="006D27D2">
              <w:rPr>
                <w:b/>
                <w:color w:val="auto"/>
                <w:sz w:val="20"/>
              </w:rPr>
              <w:t>Taker</w:t>
            </w:r>
          </w:p>
        </w:tc>
        <w:tc>
          <w:tcPr>
            <w:tcW w:w="1567" w:type="dxa"/>
            <w:tcBorders>
              <w:top w:val="nil"/>
              <w:left w:val="nil"/>
              <w:bottom w:val="single" w:sz="3" w:space="0" w:color="000000"/>
              <w:right w:val="nil"/>
            </w:tcBorders>
          </w:tcPr>
          <w:p w14:paraId="1FE8F351" w14:textId="77777777" w:rsidR="0073742C" w:rsidRPr="006D27D2" w:rsidRDefault="005D5980">
            <w:pPr>
              <w:spacing w:line="259" w:lineRule="auto"/>
              <w:ind w:left="489"/>
              <w:rPr>
                <w:color w:val="auto"/>
              </w:rPr>
            </w:pPr>
            <w:r w:rsidRPr="006D27D2">
              <w:rPr>
                <w:i/>
                <w:color w:val="auto"/>
                <w:sz w:val="20"/>
              </w:rPr>
              <w:t>0.075</w:t>
            </w:r>
          </w:p>
        </w:tc>
        <w:tc>
          <w:tcPr>
            <w:tcW w:w="1567" w:type="dxa"/>
            <w:tcBorders>
              <w:top w:val="nil"/>
              <w:left w:val="nil"/>
              <w:bottom w:val="single" w:sz="3" w:space="0" w:color="000000"/>
              <w:right w:val="nil"/>
            </w:tcBorders>
          </w:tcPr>
          <w:p w14:paraId="46CB2CE3" w14:textId="77777777" w:rsidR="0073742C" w:rsidRPr="006D27D2" w:rsidRDefault="005D5980">
            <w:pPr>
              <w:spacing w:line="259" w:lineRule="auto"/>
              <w:ind w:left="489"/>
              <w:rPr>
                <w:color w:val="auto"/>
              </w:rPr>
            </w:pPr>
            <w:r w:rsidRPr="006D27D2">
              <w:rPr>
                <w:i/>
                <w:color w:val="auto"/>
                <w:sz w:val="20"/>
              </w:rPr>
              <w:t>0.071</w:t>
            </w:r>
          </w:p>
        </w:tc>
        <w:tc>
          <w:tcPr>
            <w:tcW w:w="1567" w:type="dxa"/>
            <w:tcBorders>
              <w:top w:val="nil"/>
              <w:left w:val="nil"/>
              <w:bottom w:val="single" w:sz="3" w:space="0" w:color="000000"/>
              <w:right w:val="nil"/>
            </w:tcBorders>
          </w:tcPr>
          <w:p w14:paraId="7B85DEB9" w14:textId="77777777" w:rsidR="0073742C" w:rsidRPr="006D27D2" w:rsidRDefault="005D5980">
            <w:pPr>
              <w:spacing w:line="259" w:lineRule="auto"/>
              <w:ind w:left="489"/>
              <w:rPr>
                <w:color w:val="auto"/>
              </w:rPr>
            </w:pPr>
            <w:r w:rsidRPr="006D27D2">
              <w:rPr>
                <w:i/>
                <w:color w:val="auto"/>
                <w:sz w:val="20"/>
              </w:rPr>
              <w:t>0.073</w:t>
            </w:r>
          </w:p>
        </w:tc>
        <w:tc>
          <w:tcPr>
            <w:tcW w:w="1754" w:type="dxa"/>
            <w:tcBorders>
              <w:top w:val="nil"/>
              <w:left w:val="nil"/>
              <w:bottom w:val="single" w:sz="3" w:space="0" w:color="000000"/>
              <w:right w:val="nil"/>
            </w:tcBorders>
          </w:tcPr>
          <w:p w14:paraId="59BE4C60" w14:textId="77777777" w:rsidR="0073742C" w:rsidRPr="006D27D2" w:rsidRDefault="005D5980">
            <w:pPr>
              <w:spacing w:line="259" w:lineRule="auto"/>
              <w:ind w:right="31"/>
              <w:jc w:val="center"/>
              <w:rPr>
                <w:color w:val="auto"/>
              </w:rPr>
            </w:pPr>
            <w:r w:rsidRPr="006D27D2">
              <w:rPr>
                <w:i/>
                <w:color w:val="auto"/>
                <w:sz w:val="20"/>
              </w:rPr>
              <w:t>0.061</w:t>
            </w:r>
          </w:p>
        </w:tc>
      </w:tr>
      <w:tr w:rsidR="006D27D2" w:rsidRPr="006D27D2" w14:paraId="00AA09BD" w14:textId="77777777" w:rsidTr="00CA6EF1">
        <w:trPr>
          <w:trHeight w:val="250"/>
        </w:trPr>
        <w:tc>
          <w:tcPr>
            <w:tcW w:w="1420" w:type="dxa"/>
            <w:tcBorders>
              <w:top w:val="single" w:sz="3" w:space="0" w:color="000000"/>
              <w:left w:val="nil"/>
              <w:bottom w:val="nil"/>
              <w:right w:val="nil"/>
            </w:tcBorders>
          </w:tcPr>
          <w:p w14:paraId="2B3ACAF6" w14:textId="77777777" w:rsidR="0073742C" w:rsidRPr="006D27D2" w:rsidRDefault="005D5980" w:rsidP="00491AD3">
            <w:pPr>
              <w:spacing w:line="259" w:lineRule="auto"/>
              <w:jc w:val="center"/>
              <w:rPr>
                <w:color w:val="auto"/>
              </w:rPr>
            </w:pPr>
            <w:r w:rsidRPr="006D27D2">
              <w:rPr>
                <w:b/>
                <w:color w:val="auto"/>
                <w:sz w:val="20"/>
              </w:rPr>
              <w:t>Position</w:t>
            </w:r>
          </w:p>
        </w:tc>
        <w:tc>
          <w:tcPr>
            <w:tcW w:w="1407" w:type="dxa"/>
            <w:tcBorders>
              <w:top w:val="single" w:sz="3" w:space="0" w:color="000000"/>
              <w:left w:val="nil"/>
              <w:bottom w:val="nil"/>
              <w:right w:val="nil"/>
            </w:tcBorders>
          </w:tcPr>
          <w:p w14:paraId="0988F70B" w14:textId="77777777" w:rsidR="0073742C" w:rsidRPr="006D27D2" w:rsidRDefault="005D5980" w:rsidP="00491AD3">
            <w:pPr>
              <w:spacing w:line="259" w:lineRule="auto"/>
              <w:jc w:val="center"/>
              <w:rPr>
                <w:color w:val="auto"/>
              </w:rPr>
            </w:pPr>
            <w:r w:rsidRPr="006D27D2">
              <w:rPr>
                <w:b/>
                <w:color w:val="auto"/>
                <w:sz w:val="20"/>
              </w:rPr>
              <w:t>Book</w:t>
            </w:r>
          </w:p>
        </w:tc>
        <w:tc>
          <w:tcPr>
            <w:tcW w:w="1567" w:type="dxa"/>
            <w:tcBorders>
              <w:top w:val="single" w:sz="3" w:space="0" w:color="000000"/>
              <w:left w:val="nil"/>
              <w:bottom w:val="nil"/>
              <w:right w:val="nil"/>
            </w:tcBorders>
          </w:tcPr>
          <w:p w14:paraId="667A12E5" w14:textId="77777777" w:rsidR="0073742C" w:rsidRPr="006D27D2" w:rsidRDefault="005D5980">
            <w:pPr>
              <w:spacing w:line="259" w:lineRule="auto"/>
              <w:ind w:left="587"/>
              <w:rPr>
                <w:color w:val="auto"/>
              </w:rPr>
            </w:pPr>
            <w:r w:rsidRPr="006D27D2">
              <w:rPr>
                <w:color w:val="auto"/>
                <w:sz w:val="20"/>
              </w:rPr>
              <w:t>277</w:t>
            </w:r>
          </w:p>
        </w:tc>
        <w:tc>
          <w:tcPr>
            <w:tcW w:w="1567" w:type="dxa"/>
            <w:tcBorders>
              <w:top w:val="single" w:sz="3" w:space="0" w:color="000000"/>
              <w:left w:val="nil"/>
              <w:bottom w:val="nil"/>
              <w:right w:val="nil"/>
            </w:tcBorders>
          </w:tcPr>
          <w:p w14:paraId="7433DA58" w14:textId="77777777" w:rsidR="0073742C" w:rsidRPr="006D27D2" w:rsidRDefault="005D5980">
            <w:pPr>
              <w:spacing w:line="259" w:lineRule="auto"/>
              <w:ind w:left="587"/>
              <w:rPr>
                <w:color w:val="auto"/>
              </w:rPr>
            </w:pPr>
            <w:r w:rsidRPr="006D27D2">
              <w:rPr>
                <w:color w:val="auto"/>
                <w:sz w:val="20"/>
              </w:rPr>
              <w:t>183</w:t>
            </w:r>
          </w:p>
        </w:tc>
        <w:tc>
          <w:tcPr>
            <w:tcW w:w="1567" w:type="dxa"/>
            <w:tcBorders>
              <w:top w:val="single" w:sz="3" w:space="0" w:color="000000"/>
              <w:left w:val="nil"/>
              <w:bottom w:val="nil"/>
              <w:right w:val="nil"/>
            </w:tcBorders>
          </w:tcPr>
          <w:p w14:paraId="044C452E" w14:textId="77777777" w:rsidR="0073742C" w:rsidRPr="006D27D2" w:rsidRDefault="005D5980">
            <w:pPr>
              <w:spacing w:line="259" w:lineRule="auto"/>
              <w:ind w:left="637"/>
              <w:rPr>
                <w:color w:val="auto"/>
              </w:rPr>
            </w:pPr>
            <w:r w:rsidRPr="006D27D2">
              <w:rPr>
                <w:color w:val="auto"/>
                <w:sz w:val="20"/>
              </w:rPr>
              <w:t>57</w:t>
            </w:r>
          </w:p>
        </w:tc>
        <w:tc>
          <w:tcPr>
            <w:tcW w:w="1754" w:type="dxa"/>
            <w:tcBorders>
              <w:top w:val="single" w:sz="3" w:space="0" w:color="000000"/>
              <w:left w:val="nil"/>
              <w:bottom w:val="nil"/>
              <w:right w:val="nil"/>
            </w:tcBorders>
          </w:tcPr>
          <w:p w14:paraId="7D0695B4" w14:textId="77777777" w:rsidR="0073742C" w:rsidRPr="006D27D2" w:rsidRDefault="005D5980">
            <w:pPr>
              <w:spacing w:line="259" w:lineRule="auto"/>
              <w:ind w:right="4"/>
              <w:jc w:val="center"/>
              <w:rPr>
                <w:color w:val="auto"/>
              </w:rPr>
            </w:pPr>
            <w:r w:rsidRPr="006D27D2">
              <w:rPr>
                <w:color w:val="auto"/>
                <w:sz w:val="20"/>
              </w:rPr>
              <w:t>152</w:t>
            </w:r>
          </w:p>
        </w:tc>
      </w:tr>
      <w:tr w:rsidR="006D27D2" w:rsidRPr="006D27D2" w14:paraId="429313BA" w14:textId="77777777" w:rsidTr="00CA6EF1">
        <w:trPr>
          <w:trHeight w:val="256"/>
        </w:trPr>
        <w:tc>
          <w:tcPr>
            <w:tcW w:w="1420" w:type="dxa"/>
            <w:tcBorders>
              <w:top w:val="nil"/>
              <w:left w:val="nil"/>
              <w:bottom w:val="single" w:sz="3" w:space="0" w:color="000000"/>
              <w:right w:val="nil"/>
            </w:tcBorders>
          </w:tcPr>
          <w:p w14:paraId="16444824" w14:textId="77777777" w:rsidR="0073742C" w:rsidRPr="006D27D2" w:rsidRDefault="005D5980" w:rsidP="00491AD3">
            <w:pPr>
              <w:spacing w:line="259" w:lineRule="auto"/>
              <w:ind w:right="4"/>
              <w:jc w:val="center"/>
              <w:rPr>
                <w:color w:val="auto"/>
              </w:rPr>
            </w:pPr>
            <w:r w:rsidRPr="006D27D2">
              <w:rPr>
                <w:b/>
                <w:color w:val="auto"/>
                <w:sz w:val="20"/>
              </w:rPr>
              <w:t>Taker</w:t>
            </w:r>
          </w:p>
        </w:tc>
        <w:tc>
          <w:tcPr>
            <w:tcW w:w="1407" w:type="dxa"/>
            <w:tcBorders>
              <w:top w:val="nil"/>
              <w:left w:val="nil"/>
              <w:bottom w:val="single" w:sz="3" w:space="0" w:color="000000"/>
              <w:right w:val="nil"/>
            </w:tcBorders>
          </w:tcPr>
          <w:p w14:paraId="5490548F" w14:textId="77777777" w:rsidR="0073742C" w:rsidRPr="006D27D2" w:rsidRDefault="005D5980" w:rsidP="00491AD3">
            <w:pPr>
              <w:spacing w:line="259" w:lineRule="auto"/>
              <w:jc w:val="center"/>
              <w:rPr>
                <w:color w:val="auto"/>
              </w:rPr>
            </w:pPr>
            <w:r w:rsidRPr="006D27D2">
              <w:rPr>
                <w:b/>
                <w:color w:val="auto"/>
                <w:sz w:val="20"/>
              </w:rPr>
              <w:t>Balancer</w:t>
            </w:r>
          </w:p>
        </w:tc>
        <w:tc>
          <w:tcPr>
            <w:tcW w:w="1567" w:type="dxa"/>
            <w:tcBorders>
              <w:top w:val="nil"/>
              <w:left w:val="nil"/>
              <w:bottom w:val="single" w:sz="3" w:space="0" w:color="000000"/>
              <w:right w:val="nil"/>
            </w:tcBorders>
          </w:tcPr>
          <w:p w14:paraId="4008E23B" w14:textId="77777777" w:rsidR="0073742C" w:rsidRPr="006D27D2" w:rsidRDefault="005D5980">
            <w:pPr>
              <w:spacing w:line="259" w:lineRule="auto"/>
              <w:ind w:left="489"/>
              <w:rPr>
                <w:color w:val="auto"/>
              </w:rPr>
            </w:pPr>
            <w:r w:rsidRPr="006D27D2">
              <w:rPr>
                <w:i/>
                <w:color w:val="auto"/>
                <w:sz w:val="20"/>
              </w:rPr>
              <w:t>0.508</w:t>
            </w:r>
          </w:p>
        </w:tc>
        <w:tc>
          <w:tcPr>
            <w:tcW w:w="1567" w:type="dxa"/>
            <w:tcBorders>
              <w:top w:val="nil"/>
              <w:left w:val="nil"/>
              <w:bottom w:val="single" w:sz="3" w:space="0" w:color="000000"/>
              <w:right w:val="nil"/>
            </w:tcBorders>
          </w:tcPr>
          <w:p w14:paraId="2FDBBF5C" w14:textId="77777777" w:rsidR="0073742C" w:rsidRPr="006D27D2" w:rsidRDefault="005D5980">
            <w:pPr>
              <w:spacing w:line="259" w:lineRule="auto"/>
              <w:ind w:left="489"/>
              <w:rPr>
                <w:color w:val="auto"/>
              </w:rPr>
            </w:pPr>
            <w:r w:rsidRPr="006D27D2">
              <w:rPr>
                <w:i/>
                <w:color w:val="auto"/>
                <w:sz w:val="20"/>
              </w:rPr>
              <w:t>0.480</w:t>
            </w:r>
          </w:p>
        </w:tc>
        <w:tc>
          <w:tcPr>
            <w:tcW w:w="1567" w:type="dxa"/>
            <w:tcBorders>
              <w:top w:val="nil"/>
              <w:left w:val="nil"/>
              <w:bottom w:val="single" w:sz="3" w:space="0" w:color="000000"/>
              <w:right w:val="nil"/>
            </w:tcBorders>
          </w:tcPr>
          <w:p w14:paraId="1C4902AB" w14:textId="77777777" w:rsidR="0073742C" w:rsidRPr="006D27D2" w:rsidRDefault="005D5980">
            <w:pPr>
              <w:spacing w:line="259" w:lineRule="auto"/>
              <w:ind w:left="489"/>
              <w:rPr>
                <w:color w:val="auto"/>
              </w:rPr>
            </w:pPr>
            <w:r w:rsidRPr="006D27D2">
              <w:rPr>
                <w:i/>
                <w:color w:val="auto"/>
                <w:sz w:val="20"/>
              </w:rPr>
              <w:t>0.695</w:t>
            </w:r>
          </w:p>
        </w:tc>
        <w:tc>
          <w:tcPr>
            <w:tcW w:w="1754" w:type="dxa"/>
            <w:tcBorders>
              <w:top w:val="nil"/>
              <w:left w:val="nil"/>
              <w:bottom w:val="single" w:sz="3" w:space="0" w:color="000000"/>
              <w:right w:val="nil"/>
            </w:tcBorders>
          </w:tcPr>
          <w:p w14:paraId="37F81038" w14:textId="77777777" w:rsidR="0073742C" w:rsidRPr="006D27D2" w:rsidRDefault="005D5980">
            <w:pPr>
              <w:spacing w:line="259" w:lineRule="auto"/>
              <w:ind w:right="31"/>
              <w:jc w:val="center"/>
              <w:rPr>
                <w:color w:val="auto"/>
              </w:rPr>
            </w:pPr>
            <w:r w:rsidRPr="006D27D2">
              <w:rPr>
                <w:i/>
                <w:color w:val="auto"/>
                <w:sz w:val="20"/>
              </w:rPr>
              <w:t>0.514</w:t>
            </w:r>
          </w:p>
        </w:tc>
      </w:tr>
      <w:tr w:rsidR="006D27D2" w:rsidRPr="006D27D2" w14:paraId="0268D4A6" w14:textId="77777777" w:rsidTr="00CA6EF1">
        <w:trPr>
          <w:trHeight w:val="250"/>
        </w:trPr>
        <w:tc>
          <w:tcPr>
            <w:tcW w:w="1420" w:type="dxa"/>
            <w:tcBorders>
              <w:top w:val="single" w:sz="3" w:space="0" w:color="000000"/>
              <w:left w:val="nil"/>
              <w:bottom w:val="nil"/>
              <w:right w:val="nil"/>
            </w:tcBorders>
          </w:tcPr>
          <w:p w14:paraId="1F68A92E" w14:textId="77777777" w:rsidR="0073742C" w:rsidRPr="006D27D2" w:rsidRDefault="005D5980" w:rsidP="00491AD3">
            <w:pPr>
              <w:spacing w:line="259" w:lineRule="auto"/>
              <w:ind w:right="6"/>
              <w:jc w:val="center"/>
              <w:rPr>
                <w:color w:val="auto"/>
              </w:rPr>
            </w:pPr>
            <w:r w:rsidRPr="006D27D2">
              <w:rPr>
                <w:b/>
                <w:color w:val="auto"/>
                <w:sz w:val="20"/>
              </w:rPr>
              <w:t>Book</w:t>
            </w:r>
          </w:p>
        </w:tc>
        <w:tc>
          <w:tcPr>
            <w:tcW w:w="1407" w:type="dxa"/>
            <w:tcBorders>
              <w:top w:val="single" w:sz="3" w:space="0" w:color="000000"/>
              <w:left w:val="nil"/>
              <w:bottom w:val="nil"/>
              <w:right w:val="nil"/>
            </w:tcBorders>
          </w:tcPr>
          <w:p w14:paraId="0D2EFEB0" w14:textId="77777777" w:rsidR="0073742C" w:rsidRPr="006D27D2" w:rsidRDefault="005D5980" w:rsidP="00491AD3">
            <w:pPr>
              <w:spacing w:line="259" w:lineRule="auto"/>
              <w:jc w:val="center"/>
              <w:rPr>
                <w:color w:val="auto"/>
              </w:rPr>
            </w:pPr>
            <w:r w:rsidRPr="006D27D2">
              <w:rPr>
                <w:b/>
                <w:color w:val="auto"/>
                <w:sz w:val="20"/>
              </w:rPr>
              <w:t>Position</w:t>
            </w:r>
          </w:p>
        </w:tc>
        <w:tc>
          <w:tcPr>
            <w:tcW w:w="1567" w:type="dxa"/>
            <w:tcBorders>
              <w:top w:val="single" w:sz="3" w:space="0" w:color="000000"/>
              <w:left w:val="nil"/>
              <w:bottom w:val="nil"/>
              <w:right w:val="nil"/>
            </w:tcBorders>
          </w:tcPr>
          <w:p w14:paraId="5EED6985" w14:textId="77777777" w:rsidR="0073742C" w:rsidRPr="006D27D2" w:rsidRDefault="005D5980">
            <w:pPr>
              <w:spacing w:line="259" w:lineRule="auto"/>
              <w:ind w:left="587"/>
              <w:rPr>
                <w:color w:val="auto"/>
              </w:rPr>
            </w:pPr>
            <w:r w:rsidRPr="006D27D2">
              <w:rPr>
                <w:color w:val="auto"/>
                <w:sz w:val="20"/>
              </w:rPr>
              <w:t>181</w:t>
            </w:r>
          </w:p>
        </w:tc>
        <w:tc>
          <w:tcPr>
            <w:tcW w:w="1567" w:type="dxa"/>
            <w:tcBorders>
              <w:top w:val="single" w:sz="3" w:space="0" w:color="000000"/>
              <w:left w:val="nil"/>
              <w:bottom w:val="nil"/>
              <w:right w:val="nil"/>
            </w:tcBorders>
          </w:tcPr>
          <w:p w14:paraId="54F60D60" w14:textId="77777777" w:rsidR="0073742C" w:rsidRPr="006D27D2" w:rsidRDefault="005D5980">
            <w:pPr>
              <w:spacing w:line="259" w:lineRule="auto"/>
              <w:ind w:left="587"/>
              <w:rPr>
                <w:color w:val="auto"/>
              </w:rPr>
            </w:pPr>
            <w:r w:rsidRPr="006D27D2">
              <w:rPr>
                <w:color w:val="auto"/>
                <w:sz w:val="20"/>
              </w:rPr>
              <w:t>142</w:t>
            </w:r>
          </w:p>
        </w:tc>
        <w:tc>
          <w:tcPr>
            <w:tcW w:w="1567" w:type="dxa"/>
            <w:tcBorders>
              <w:top w:val="single" w:sz="3" w:space="0" w:color="000000"/>
              <w:left w:val="nil"/>
              <w:bottom w:val="nil"/>
              <w:right w:val="nil"/>
            </w:tcBorders>
          </w:tcPr>
          <w:p w14:paraId="7E6BF197" w14:textId="77777777" w:rsidR="0073742C" w:rsidRPr="006D27D2" w:rsidRDefault="005D5980">
            <w:pPr>
              <w:spacing w:line="259" w:lineRule="auto"/>
              <w:ind w:left="637"/>
              <w:rPr>
                <w:color w:val="auto"/>
              </w:rPr>
            </w:pPr>
            <w:r w:rsidRPr="006D27D2">
              <w:rPr>
                <w:color w:val="auto"/>
                <w:sz w:val="20"/>
              </w:rPr>
              <w:t>14</w:t>
            </w:r>
          </w:p>
        </w:tc>
        <w:tc>
          <w:tcPr>
            <w:tcW w:w="1754" w:type="dxa"/>
            <w:tcBorders>
              <w:top w:val="single" w:sz="3" w:space="0" w:color="000000"/>
              <w:left w:val="nil"/>
              <w:bottom w:val="nil"/>
              <w:right w:val="nil"/>
            </w:tcBorders>
          </w:tcPr>
          <w:p w14:paraId="0E202645" w14:textId="77777777" w:rsidR="0073742C" w:rsidRPr="006D27D2" w:rsidRDefault="005D5980">
            <w:pPr>
              <w:spacing w:line="259" w:lineRule="auto"/>
              <w:ind w:right="4"/>
              <w:jc w:val="center"/>
              <w:rPr>
                <w:color w:val="auto"/>
              </w:rPr>
            </w:pPr>
            <w:r w:rsidRPr="006D27D2">
              <w:rPr>
                <w:color w:val="auto"/>
                <w:sz w:val="20"/>
              </w:rPr>
              <w:t>78</w:t>
            </w:r>
          </w:p>
        </w:tc>
      </w:tr>
      <w:tr w:rsidR="006D27D2" w:rsidRPr="006D27D2" w14:paraId="0EF5AAD7" w14:textId="77777777" w:rsidTr="00CA6EF1">
        <w:trPr>
          <w:trHeight w:val="256"/>
        </w:trPr>
        <w:tc>
          <w:tcPr>
            <w:tcW w:w="1420" w:type="dxa"/>
            <w:tcBorders>
              <w:top w:val="nil"/>
              <w:left w:val="nil"/>
              <w:bottom w:val="single" w:sz="3" w:space="0" w:color="000000"/>
              <w:right w:val="nil"/>
            </w:tcBorders>
          </w:tcPr>
          <w:p w14:paraId="0AB2A4E5" w14:textId="77777777" w:rsidR="0073742C" w:rsidRPr="006D27D2" w:rsidRDefault="005D5980" w:rsidP="00491AD3">
            <w:pPr>
              <w:spacing w:line="259" w:lineRule="auto"/>
              <w:jc w:val="center"/>
              <w:rPr>
                <w:color w:val="auto"/>
              </w:rPr>
            </w:pPr>
            <w:r w:rsidRPr="006D27D2">
              <w:rPr>
                <w:b/>
                <w:color w:val="auto"/>
                <w:sz w:val="20"/>
              </w:rPr>
              <w:t>Balancer</w:t>
            </w:r>
          </w:p>
        </w:tc>
        <w:tc>
          <w:tcPr>
            <w:tcW w:w="1407" w:type="dxa"/>
            <w:tcBorders>
              <w:top w:val="nil"/>
              <w:left w:val="nil"/>
              <w:bottom w:val="single" w:sz="3" w:space="0" w:color="000000"/>
              <w:right w:val="nil"/>
            </w:tcBorders>
          </w:tcPr>
          <w:p w14:paraId="026CAEB4" w14:textId="77777777" w:rsidR="0073742C" w:rsidRPr="006D27D2" w:rsidRDefault="005D5980" w:rsidP="00491AD3">
            <w:pPr>
              <w:spacing w:line="259" w:lineRule="auto"/>
              <w:jc w:val="center"/>
              <w:rPr>
                <w:color w:val="auto"/>
              </w:rPr>
            </w:pPr>
            <w:r w:rsidRPr="006D27D2">
              <w:rPr>
                <w:b/>
                <w:color w:val="auto"/>
                <w:sz w:val="20"/>
              </w:rPr>
              <w:t>Taker</w:t>
            </w:r>
          </w:p>
        </w:tc>
        <w:tc>
          <w:tcPr>
            <w:tcW w:w="1567" w:type="dxa"/>
            <w:tcBorders>
              <w:top w:val="nil"/>
              <w:left w:val="nil"/>
              <w:bottom w:val="single" w:sz="3" w:space="0" w:color="000000"/>
              <w:right w:val="nil"/>
            </w:tcBorders>
          </w:tcPr>
          <w:p w14:paraId="1E76DAC4" w14:textId="77777777" w:rsidR="0073742C" w:rsidRPr="006D27D2" w:rsidRDefault="005D5980">
            <w:pPr>
              <w:spacing w:line="259" w:lineRule="auto"/>
              <w:ind w:left="489"/>
              <w:rPr>
                <w:color w:val="auto"/>
              </w:rPr>
            </w:pPr>
            <w:r w:rsidRPr="006D27D2">
              <w:rPr>
                <w:i/>
                <w:color w:val="auto"/>
                <w:sz w:val="20"/>
              </w:rPr>
              <w:t>0.332</w:t>
            </w:r>
          </w:p>
        </w:tc>
        <w:tc>
          <w:tcPr>
            <w:tcW w:w="1567" w:type="dxa"/>
            <w:tcBorders>
              <w:top w:val="nil"/>
              <w:left w:val="nil"/>
              <w:bottom w:val="single" w:sz="3" w:space="0" w:color="000000"/>
              <w:right w:val="nil"/>
            </w:tcBorders>
          </w:tcPr>
          <w:p w14:paraId="50B3624E" w14:textId="77777777" w:rsidR="0073742C" w:rsidRPr="006D27D2" w:rsidRDefault="005D5980">
            <w:pPr>
              <w:spacing w:line="259" w:lineRule="auto"/>
              <w:ind w:left="489"/>
              <w:rPr>
                <w:color w:val="auto"/>
              </w:rPr>
            </w:pPr>
            <w:r w:rsidRPr="006D27D2">
              <w:rPr>
                <w:i/>
                <w:color w:val="auto"/>
                <w:sz w:val="20"/>
              </w:rPr>
              <w:t>0.373</w:t>
            </w:r>
          </w:p>
        </w:tc>
        <w:tc>
          <w:tcPr>
            <w:tcW w:w="1567" w:type="dxa"/>
            <w:tcBorders>
              <w:top w:val="nil"/>
              <w:left w:val="nil"/>
              <w:bottom w:val="single" w:sz="3" w:space="0" w:color="000000"/>
              <w:right w:val="nil"/>
            </w:tcBorders>
          </w:tcPr>
          <w:p w14:paraId="0CCF30C4" w14:textId="77777777" w:rsidR="0073742C" w:rsidRPr="006D27D2" w:rsidRDefault="005D5980">
            <w:pPr>
              <w:spacing w:line="259" w:lineRule="auto"/>
              <w:ind w:left="489"/>
              <w:rPr>
                <w:color w:val="auto"/>
              </w:rPr>
            </w:pPr>
            <w:r w:rsidRPr="006D27D2">
              <w:rPr>
                <w:i/>
                <w:color w:val="auto"/>
                <w:sz w:val="20"/>
              </w:rPr>
              <w:t>0.171</w:t>
            </w:r>
          </w:p>
        </w:tc>
        <w:tc>
          <w:tcPr>
            <w:tcW w:w="1754" w:type="dxa"/>
            <w:tcBorders>
              <w:top w:val="nil"/>
              <w:left w:val="nil"/>
              <w:bottom w:val="single" w:sz="3" w:space="0" w:color="000000"/>
              <w:right w:val="nil"/>
            </w:tcBorders>
          </w:tcPr>
          <w:p w14:paraId="038E8E4C" w14:textId="77777777" w:rsidR="0073742C" w:rsidRPr="006D27D2" w:rsidRDefault="005D5980">
            <w:pPr>
              <w:spacing w:line="259" w:lineRule="auto"/>
              <w:ind w:right="31"/>
              <w:jc w:val="center"/>
              <w:rPr>
                <w:color w:val="auto"/>
              </w:rPr>
            </w:pPr>
            <w:r w:rsidRPr="006D27D2">
              <w:rPr>
                <w:i/>
                <w:color w:val="auto"/>
                <w:sz w:val="20"/>
              </w:rPr>
              <w:t>0.264</w:t>
            </w:r>
          </w:p>
        </w:tc>
      </w:tr>
      <w:tr w:rsidR="006D27D2" w:rsidRPr="006D27D2" w14:paraId="1B103297" w14:textId="77777777" w:rsidTr="00CA6EF1">
        <w:trPr>
          <w:trHeight w:val="250"/>
        </w:trPr>
        <w:tc>
          <w:tcPr>
            <w:tcW w:w="1420" w:type="dxa"/>
            <w:tcBorders>
              <w:top w:val="single" w:sz="3" w:space="0" w:color="000000"/>
              <w:left w:val="nil"/>
              <w:bottom w:val="nil"/>
              <w:right w:val="nil"/>
            </w:tcBorders>
          </w:tcPr>
          <w:p w14:paraId="01A7BA8C" w14:textId="77777777" w:rsidR="0073742C" w:rsidRPr="006D27D2" w:rsidRDefault="005D5980" w:rsidP="00491AD3">
            <w:pPr>
              <w:spacing w:line="259" w:lineRule="auto"/>
              <w:ind w:right="6"/>
              <w:jc w:val="center"/>
              <w:rPr>
                <w:color w:val="auto"/>
              </w:rPr>
            </w:pPr>
            <w:r w:rsidRPr="006D27D2">
              <w:rPr>
                <w:b/>
                <w:color w:val="auto"/>
                <w:sz w:val="20"/>
              </w:rPr>
              <w:t>Book</w:t>
            </w:r>
          </w:p>
        </w:tc>
        <w:tc>
          <w:tcPr>
            <w:tcW w:w="1407" w:type="dxa"/>
            <w:tcBorders>
              <w:top w:val="single" w:sz="3" w:space="0" w:color="000000"/>
              <w:left w:val="nil"/>
              <w:bottom w:val="nil"/>
              <w:right w:val="nil"/>
            </w:tcBorders>
          </w:tcPr>
          <w:p w14:paraId="1AAC486E" w14:textId="77777777" w:rsidR="0073742C" w:rsidRPr="006D27D2" w:rsidRDefault="005D5980" w:rsidP="00491AD3">
            <w:pPr>
              <w:spacing w:line="259" w:lineRule="auto"/>
              <w:jc w:val="center"/>
              <w:rPr>
                <w:color w:val="auto"/>
              </w:rPr>
            </w:pPr>
            <w:r w:rsidRPr="006D27D2">
              <w:rPr>
                <w:b/>
                <w:color w:val="auto"/>
                <w:sz w:val="20"/>
              </w:rPr>
              <w:t>Book</w:t>
            </w:r>
          </w:p>
        </w:tc>
        <w:tc>
          <w:tcPr>
            <w:tcW w:w="1567" w:type="dxa"/>
            <w:tcBorders>
              <w:top w:val="single" w:sz="3" w:space="0" w:color="000000"/>
              <w:left w:val="nil"/>
              <w:bottom w:val="nil"/>
              <w:right w:val="nil"/>
            </w:tcBorders>
          </w:tcPr>
          <w:p w14:paraId="5E6366F2" w14:textId="77777777" w:rsidR="0073742C" w:rsidRPr="006D27D2" w:rsidRDefault="005D5980">
            <w:pPr>
              <w:spacing w:line="259" w:lineRule="auto"/>
              <w:ind w:left="637"/>
              <w:rPr>
                <w:color w:val="auto"/>
              </w:rPr>
            </w:pPr>
            <w:r w:rsidRPr="006D27D2">
              <w:rPr>
                <w:color w:val="auto"/>
                <w:sz w:val="20"/>
              </w:rPr>
              <w:t>46</w:t>
            </w:r>
          </w:p>
        </w:tc>
        <w:tc>
          <w:tcPr>
            <w:tcW w:w="1567" w:type="dxa"/>
            <w:tcBorders>
              <w:top w:val="single" w:sz="3" w:space="0" w:color="000000"/>
              <w:left w:val="nil"/>
              <w:bottom w:val="nil"/>
              <w:right w:val="nil"/>
            </w:tcBorders>
          </w:tcPr>
          <w:p w14:paraId="26714618" w14:textId="77777777" w:rsidR="0073742C" w:rsidRPr="006D27D2" w:rsidRDefault="005D5980">
            <w:pPr>
              <w:spacing w:line="259" w:lineRule="auto"/>
              <w:ind w:left="637"/>
              <w:rPr>
                <w:color w:val="auto"/>
              </w:rPr>
            </w:pPr>
            <w:r w:rsidRPr="006D27D2">
              <w:rPr>
                <w:color w:val="auto"/>
                <w:sz w:val="20"/>
              </w:rPr>
              <w:t>29</w:t>
            </w:r>
          </w:p>
        </w:tc>
        <w:tc>
          <w:tcPr>
            <w:tcW w:w="1567" w:type="dxa"/>
            <w:tcBorders>
              <w:top w:val="single" w:sz="3" w:space="0" w:color="000000"/>
              <w:left w:val="nil"/>
              <w:bottom w:val="nil"/>
              <w:right w:val="nil"/>
            </w:tcBorders>
          </w:tcPr>
          <w:p w14:paraId="629ABF5D" w14:textId="77777777" w:rsidR="0073742C" w:rsidRPr="006D27D2" w:rsidRDefault="005D5980">
            <w:pPr>
              <w:spacing w:line="259" w:lineRule="auto"/>
              <w:ind w:left="687"/>
              <w:rPr>
                <w:color w:val="auto"/>
              </w:rPr>
            </w:pPr>
            <w:r w:rsidRPr="006D27D2">
              <w:rPr>
                <w:color w:val="auto"/>
                <w:sz w:val="20"/>
              </w:rPr>
              <w:t>5</w:t>
            </w:r>
          </w:p>
        </w:tc>
        <w:tc>
          <w:tcPr>
            <w:tcW w:w="1754" w:type="dxa"/>
            <w:tcBorders>
              <w:top w:val="single" w:sz="3" w:space="0" w:color="000000"/>
              <w:left w:val="nil"/>
              <w:bottom w:val="nil"/>
              <w:right w:val="nil"/>
            </w:tcBorders>
          </w:tcPr>
          <w:p w14:paraId="65AC38E9" w14:textId="77777777" w:rsidR="0073742C" w:rsidRPr="006D27D2" w:rsidRDefault="005D5980">
            <w:pPr>
              <w:spacing w:line="259" w:lineRule="auto"/>
              <w:ind w:right="4"/>
              <w:jc w:val="center"/>
              <w:rPr>
                <w:color w:val="auto"/>
              </w:rPr>
            </w:pPr>
            <w:r w:rsidRPr="006D27D2">
              <w:rPr>
                <w:color w:val="auto"/>
                <w:sz w:val="20"/>
              </w:rPr>
              <w:t>48</w:t>
            </w:r>
          </w:p>
        </w:tc>
      </w:tr>
      <w:tr w:rsidR="006D27D2" w:rsidRPr="006D27D2" w14:paraId="241D0BE5" w14:textId="77777777" w:rsidTr="00CA6EF1">
        <w:trPr>
          <w:trHeight w:val="256"/>
        </w:trPr>
        <w:tc>
          <w:tcPr>
            <w:tcW w:w="1420" w:type="dxa"/>
            <w:tcBorders>
              <w:top w:val="nil"/>
              <w:left w:val="nil"/>
              <w:bottom w:val="single" w:sz="3" w:space="0" w:color="000000"/>
              <w:right w:val="nil"/>
            </w:tcBorders>
          </w:tcPr>
          <w:p w14:paraId="57718C91" w14:textId="77777777" w:rsidR="0073742C" w:rsidRPr="006D27D2" w:rsidRDefault="005D5980" w:rsidP="00491AD3">
            <w:pPr>
              <w:spacing w:line="259" w:lineRule="auto"/>
              <w:jc w:val="center"/>
              <w:rPr>
                <w:color w:val="auto"/>
              </w:rPr>
            </w:pPr>
            <w:r w:rsidRPr="006D27D2">
              <w:rPr>
                <w:b/>
                <w:color w:val="auto"/>
                <w:sz w:val="20"/>
              </w:rPr>
              <w:t>Balancer</w:t>
            </w:r>
          </w:p>
        </w:tc>
        <w:tc>
          <w:tcPr>
            <w:tcW w:w="1407" w:type="dxa"/>
            <w:tcBorders>
              <w:top w:val="nil"/>
              <w:left w:val="nil"/>
              <w:bottom w:val="single" w:sz="3" w:space="0" w:color="000000"/>
              <w:right w:val="nil"/>
            </w:tcBorders>
          </w:tcPr>
          <w:p w14:paraId="3A2A7BFB" w14:textId="77777777" w:rsidR="0073742C" w:rsidRPr="006D27D2" w:rsidRDefault="005D5980" w:rsidP="00491AD3">
            <w:pPr>
              <w:spacing w:line="259" w:lineRule="auto"/>
              <w:jc w:val="center"/>
              <w:rPr>
                <w:color w:val="auto"/>
              </w:rPr>
            </w:pPr>
            <w:r w:rsidRPr="006D27D2">
              <w:rPr>
                <w:b/>
                <w:color w:val="auto"/>
                <w:sz w:val="20"/>
              </w:rPr>
              <w:t>Balancer</w:t>
            </w:r>
          </w:p>
        </w:tc>
        <w:tc>
          <w:tcPr>
            <w:tcW w:w="1567" w:type="dxa"/>
            <w:tcBorders>
              <w:top w:val="nil"/>
              <w:left w:val="nil"/>
              <w:bottom w:val="single" w:sz="3" w:space="0" w:color="000000"/>
              <w:right w:val="nil"/>
            </w:tcBorders>
          </w:tcPr>
          <w:p w14:paraId="0AE315D7" w14:textId="77777777" w:rsidR="0073742C" w:rsidRPr="006D27D2" w:rsidRDefault="005D5980">
            <w:pPr>
              <w:spacing w:line="259" w:lineRule="auto"/>
              <w:ind w:left="489"/>
              <w:rPr>
                <w:color w:val="auto"/>
              </w:rPr>
            </w:pPr>
            <w:r w:rsidRPr="006D27D2">
              <w:rPr>
                <w:i/>
                <w:color w:val="auto"/>
                <w:sz w:val="20"/>
              </w:rPr>
              <w:t>0.084</w:t>
            </w:r>
          </w:p>
        </w:tc>
        <w:tc>
          <w:tcPr>
            <w:tcW w:w="1567" w:type="dxa"/>
            <w:tcBorders>
              <w:top w:val="nil"/>
              <w:left w:val="nil"/>
              <w:bottom w:val="single" w:sz="3" w:space="0" w:color="000000"/>
              <w:right w:val="nil"/>
            </w:tcBorders>
          </w:tcPr>
          <w:p w14:paraId="44C9A1C9" w14:textId="77777777" w:rsidR="0073742C" w:rsidRPr="006D27D2" w:rsidRDefault="005D5980">
            <w:pPr>
              <w:spacing w:line="259" w:lineRule="auto"/>
              <w:ind w:left="489"/>
              <w:rPr>
                <w:color w:val="auto"/>
              </w:rPr>
            </w:pPr>
            <w:r w:rsidRPr="006D27D2">
              <w:rPr>
                <w:i/>
                <w:color w:val="auto"/>
                <w:sz w:val="20"/>
              </w:rPr>
              <w:t>0.076</w:t>
            </w:r>
          </w:p>
        </w:tc>
        <w:tc>
          <w:tcPr>
            <w:tcW w:w="1567" w:type="dxa"/>
            <w:tcBorders>
              <w:top w:val="nil"/>
              <w:left w:val="nil"/>
              <w:bottom w:val="single" w:sz="3" w:space="0" w:color="000000"/>
              <w:right w:val="nil"/>
            </w:tcBorders>
          </w:tcPr>
          <w:p w14:paraId="06507D35" w14:textId="77777777" w:rsidR="0073742C" w:rsidRPr="006D27D2" w:rsidRDefault="005D5980">
            <w:pPr>
              <w:spacing w:line="259" w:lineRule="auto"/>
              <w:ind w:left="489"/>
              <w:rPr>
                <w:color w:val="auto"/>
              </w:rPr>
            </w:pPr>
            <w:r w:rsidRPr="006D27D2">
              <w:rPr>
                <w:i/>
                <w:color w:val="auto"/>
                <w:sz w:val="20"/>
              </w:rPr>
              <w:t>0.061</w:t>
            </w:r>
          </w:p>
        </w:tc>
        <w:tc>
          <w:tcPr>
            <w:tcW w:w="1754" w:type="dxa"/>
            <w:tcBorders>
              <w:top w:val="nil"/>
              <w:left w:val="nil"/>
              <w:bottom w:val="single" w:sz="3" w:space="0" w:color="000000"/>
              <w:right w:val="nil"/>
            </w:tcBorders>
          </w:tcPr>
          <w:p w14:paraId="58DFFDEB" w14:textId="77777777" w:rsidR="0073742C" w:rsidRPr="006D27D2" w:rsidRDefault="005D5980">
            <w:pPr>
              <w:spacing w:line="259" w:lineRule="auto"/>
              <w:ind w:right="31"/>
              <w:jc w:val="center"/>
              <w:rPr>
                <w:color w:val="auto"/>
              </w:rPr>
            </w:pPr>
            <w:r w:rsidRPr="006D27D2">
              <w:rPr>
                <w:i/>
                <w:color w:val="auto"/>
                <w:sz w:val="20"/>
              </w:rPr>
              <w:t>0.162</w:t>
            </w:r>
          </w:p>
        </w:tc>
      </w:tr>
      <w:tr w:rsidR="006D27D2" w:rsidRPr="006D27D2" w14:paraId="3B255BD8" w14:textId="77777777" w:rsidTr="00CA6EF1">
        <w:trPr>
          <w:trHeight w:val="251"/>
        </w:trPr>
        <w:tc>
          <w:tcPr>
            <w:tcW w:w="2827" w:type="dxa"/>
            <w:gridSpan w:val="2"/>
            <w:tcBorders>
              <w:top w:val="single" w:sz="3" w:space="0" w:color="000000"/>
              <w:left w:val="nil"/>
              <w:bottom w:val="nil"/>
              <w:right w:val="nil"/>
            </w:tcBorders>
          </w:tcPr>
          <w:p w14:paraId="095E1CC6" w14:textId="77777777" w:rsidR="0073742C" w:rsidRPr="006D27D2" w:rsidRDefault="005D5980">
            <w:pPr>
              <w:spacing w:line="259" w:lineRule="auto"/>
              <w:ind w:right="5"/>
              <w:jc w:val="center"/>
              <w:rPr>
                <w:color w:val="auto"/>
              </w:rPr>
            </w:pPr>
            <w:r w:rsidRPr="006D27D2">
              <w:rPr>
                <w:b/>
                <w:color w:val="auto"/>
                <w:sz w:val="20"/>
              </w:rPr>
              <w:t>Total</w:t>
            </w:r>
          </w:p>
        </w:tc>
        <w:tc>
          <w:tcPr>
            <w:tcW w:w="1567" w:type="dxa"/>
            <w:tcBorders>
              <w:top w:val="single" w:sz="3" w:space="0" w:color="000000"/>
              <w:left w:val="nil"/>
              <w:bottom w:val="nil"/>
              <w:right w:val="nil"/>
            </w:tcBorders>
          </w:tcPr>
          <w:p w14:paraId="7A827D77" w14:textId="77777777" w:rsidR="0073742C" w:rsidRPr="006D27D2" w:rsidRDefault="005D5980">
            <w:pPr>
              <w:spacing w:line="259" w:lineRule="auto"/>
              <w:ind w:left="565"/>
              <w:rPr>
                <w:color w:val="auto"/>
              </w:rPr>
            </w:pPr>
            <w:r w:rsidRPr="006D27D2">
              <w:rPr>
                <w:b/>
                <w:color w:val="auto"/>
                <w:sz w:val="20"/>
              </w:rPr>
              <w:t>545</w:t>
            </w:r>
          </w:p>
        </w:tc>
        <w:tc>
          <w:tcPr>
            <w:tcW w:w="1567" w:type="dxa"/>
            <w:tcBorders>
              <w:top w:val="single" w:sz="3" w:space="0" w:color="000000"/>
              <w:left w:val="nil"/>
              <w:bottom w:val="nil"/>
              <w:right w:val="nil"/>
            </w:tcBorders>
          </w:tcPr>
          <w:p w14:paraId="7B143E81" w14:textId="77777777" w:rsidR="0073742C" w:rsidRPr="006D27D2" w:rsidRDefault="005D5980">
            <w:pPr>
              <w:spacing w:line="259" w:lineRule="auto"/>
              <w:ind w:left="565"/>
              <w:rPr>
                <w:color w:val="auto"/>
              </w:rPr>
            </w:pPr>
            <w:r w:rsidRPr="006D27D2">
              <w:rPr>
                <w:b/>
                <w:color w:val="auto"/>
                <w:sz w:val="20"/>
              </w:rPr>
              <w:t>381</w:t>
            </w:r>
          </w:p>
        </w:tc>
        <w:tc>
          <w:tcPr>
            <w:tcW w:w="1567" w:type="dxa"/>
            <w:tcBorders>
              <w:top w:val="single" w:sz="3" w:space="0" w:color="000000"/>
              <w:left w:val="nil"/>
              <w:bottom w:val="nil"/>
              <w:right w:val="nil"/>
            </w:tcBorders>
          </w:tcPr>
          <w:p w14:paraId="52AED9DE" w14:textId="77777777" w:rsidR="0073742C" w:rsidRPr="006D27D2" w:rsidRDefault="005D5980">
            <w:pPr>
              <w:spacing w:line="259" w:lineRule="auto"/>
              <w:ind w:left="622"/>
              <w:rPr>
                <w:color w:val="auto"/>
              </w:rPr>
            </w:pPr>
            <w:r w:rsidRPr="006D27D2">
              <w:rPr>
                <w:b/>
                <w:color w:val="auto"/>
                <w:sz w:val="20"/>
              </w:rPr>
              <w:t>82</w:t>
            </w:r>
          </w:p>
        </w:tc>
        <w:tc>
          <w:tcPr>
            <w:tcW w:w="1754" w:type="dxa"/>
            <w:tcBorders>
              <w:top w:val="single" w:sz="3" w:space="0" w:color="000000"/>
              <w:left w:val="nil"/>
              <w:bottom w:val="nil"/>
              <w:right w:val="nil"/>
            </w:tcBorders>
          </w:tcPr>
          <w:p w14:paraId="18E8EEFF" w14:textId="77777777" w:rsidR="0073742C" w:rsidRPr="006D27D2" w:rsidRDefault="005D5980">
            <w:pPr>
              <w:spacing w:line="259" w:lineRule="auto"/>
              <w:ind w:right="5"/>
              <w:jc w:val="center"/>
              <w:rPr>
                <w:color w:val="auto"/>
              </w:rPr>
            </w:pPr>
            <w:r w:rsidRPr="006D27D2">
              <w:rPr>
                <w:b/>
                <w:color w:val="auto"/>
                <w:sz w:val="20"/>
              </w:rPr>
              <w:t>296</w:t>
            </w:r>
          </w:p>
        </w:tc>
      </w:tr>
      <w:tr w:rsidR="006D27D2" w:rsidRPr="006D27D2" w14:paraId="74033245" w14:textId="77777777" w:rsidTr="00CA6EF1">
        <w:trPr>
          <w:trHeight w:val="302"/>
        </w:trPr>
        <w:tc>
          <w:tcPr>
            <w:tcW w:w="2827" w:type="dxa"/>
            <w:gridSpan w:val="2"/>
            <w:tcBorders>
              <w:top w:val="nil"/>
              <w:left w:val="nil"/>
              <w:bottom w:val="single" w:sz="7" w:space="0" w:color="000000"/>
              <w:right w:val="nil"/>
            </w:tcBorders>
          </w:tcPr>
          <w:p w14:paraId="23413195" w14:textId="77777777" w:rsidR="0073742C" w:rsidRPr="006D27D2" w:rsidRDefault="0073742C">
            <w:pPr>
              <w:spacing w:after="160" w:line="259" w:lineRule="auto"/>
              <w:rPr>
                <w:color w:val="auto"/>
              </w:rPr>
            </w:pPr>
          </w:p>
        </w:tc>
        <w:tc>
          <w:tcPr>
            <w:tcW w:w="1567" w:type="dxa"/>
            <w:tcBorders>
              <w:top w:val="nil"/>
              <w:left w:val="nil"/>
              <w:bottom w:val="single" w:sz="7" w:space="0" w:color="000000"/>
              <w:right w:val="nil"/>
            </w:tcBorders>
          </w:tcPr>
          <w:p w14:paraId="1717D8E1" w14:textId="77777777" w:rsidR="0073742C" w:rsidRPr="006D27D2" w:rsidRDefault="005D5980">
            <w:pPr>
              <w:spacing w:line="259" w:lineRule="auto"/>
              <w:ind w:left="489"/>
              <w:rPr>
                <w:color w:val="auto"/>
              </w:rPr>
            </w:pPr>
            <w:r w:rsidRPr="006D27D2">
              <w:rPr>
                <w:i/>
                <w:color w:val="auto"/>
                <w:sz w:val="20"/>
              </w:rPr>
              <w:t>1.000</w:t>
            </w:r>
          </w:p>
        </w:tc>
        <w:tc>
          <w:tcPr>
            <w:tcW w:w="1567" w:type="dxa"/>
            <w:tcBorders>
              <w:top w:val="nil"/>
              <w:left w:val="nil"/>
              <w:bottom w:val="single" w:sz="7" w:space="0" w:color="000000"/>
              <w:right w:val="nil"/>
            </w:tcBorders>
          </w:tcPr>
          <w:p w14:paraId="08E7E89D" w14:textId="77777777" w:rsidR="0073742C" w:rsidRPr="006D27D2" w:rsidRDefault="005D5980">
            <w:pPr>
              <w:spacing w:line="259" w:lineRule="auto"/>
              <w:ind w:left="489"/>
              <w:rPr>
                <w:color w:val="auto"/>
              </w:rPr>
            </w:pPr>
            <w:r w:rsidRPr="006D27D2">
              <w:rPr>
                <w:i/>
                <w:color w:val="auto"/>
                <w:sz w:val="20"/>
              </w:rPr>
              <w:t>1.000</w:t>
            </w:r>
          </w:p>
        </w:tc>
        <w:tc>
          <w:tcPr>
            <w:tcW w:w="1567" w:type="dxa"/>
            <w:tcBorders>
              <w:top w:val="nil"/>
              <w:left w:val="nil"/>
              <w:bottom w:val="single" w:sz="7" w:space="0" w:color="000000"/>
              <w:right w:val="nil"/>
            </w:tcBorders>
          </w:tcPr>
          <w:p w14:paraId="43D37D57" w14:textId="77777777" w:rsidR="0073742C" w:rsidRPr="006D27D2" w:rsidRDefault="005D5980">
            <w:pPr>
              <w:spacing w:line="259" w:lineRule="auto"/>
              <w:ind w:left="489"/>
              <w:rPr>
                <w:color w:val="auto"/>
              </w:rPr>
            </w:pPr>
            <w:r w:rsidRPr="006D27D2">
              <w:rPr>
                <w:i/>
                <w:color w:val="auto"/>
                <w:sz w:val="20"/>
              </w:rPr>
              <w:t>1.000</w:t>
            </w:r>
          </w:p>
        </w:tc>
        <w:tc>
          <w:tcPr>
            <w:tcW w:w="1754" w:type="dxa"/>
            <w:tcBorders>
              <w:top w:val="nil"/>
              <w:left w:val="nil"/>
              <w:bottom w:val="single" w:sz="7" w:space="0" w:color="000000"/>
              <w:right w:val="nil"/>
            </w:tcBorders>
          </w:tcPr>
          <w:p w14:paraId="237C5630" w14:textId="77777777" w:rsidR="0073742C" w:rsidRPr="006D27D2" w:rsidRDefault="005D5980">
            <w:pPr>
              <w:spacing w:line="259" w:lineRule="auto"/>
              <w:ind w:right="31"/>
              <w:jc w:val="center"/>
              <w:rPr>
                <w:color w:val="auto"/>
              </w:rPr>
            </w:pPr>
            <w:r w:rsidRPr="006D27D2">
              <w:rPr>
                <w:i/>
                <w:color w:val="auto"/>
                <w:sz w:val="20"/>
              </w:rPr>
              <w:t>1.000</w:t>
            </w:r>
          </w:p>
        </w:tc>
      </w:tr>
    </w:tbl>
    <w:p w14:paraId="349EA313" w14:textId="705D6BA0" w:rsidR="00446C2D" w:rsidRPr="006D27D2" w:rsidRDefault="00C711EE" w:rsidP="00446C2D">
      <w:pPr>
        <w:ind w:left="-15"/>
        <w:rPr>
          <w:color w:val="000000" w:themeColor="text1"/>
          <w:sz w:val="20"/>
          <w:szCs w:val="20"/>
          <w:lang w:val="en-GB"/>
        </w:rPr>
      </w:pPr>
      <w:r w:rsidRPr="006D27D2">
        <w:rPr>
          <w:color w:val="auto"/>
          <w:vertAlign w:val="superscript"/>
        </w:rPr>
        <w:t>1, 2</w:t>
      </w:r>
      <w:r w:rsidRPr="006D27D2">
        <w:rPr>
          <w:color w:val="auto"/>
        </w:rPr>
        <w:t xml:space="preserve"> </w:t>
      </w:r>
      <w:r w:rsidR="00446C2D" w:rsidRPr="006D27D2">
        <w:rPr>
          <w:color w:val="000000" w:themeColor="text1"/>
          <w:sz w:val="20"/>
          <w:szCs w:val="20"/>
          <w:lang w:val="en-GB"/>
        </w:rPr>
        <w:t>In order to illustrate how the arbitrage opportunities vary as the strength of the favourite increases, we select categories where there are sufficient matches to give meaningful proportions of arbitrage opportunities and where the favourites</w:t>
      </w:r>
      <w:r w:rsidR="00E74AA1" w:rsidRPr="006D27D2">
        <w:rPr>
          <w:color w:val="000000" w:themeColor="text1"/>
          <w:sz w:val="20"/>
          <w:szCs w:val="20"/>
          <w:lang w:val="en-GB"/>
        </w:rPr>
        <w:t>’</w:t>
      </w:r>
      <w:r w:rsidR="00446C2D" w:rsidRPr="006D27D2">
        <w:rPr>
          <w:color w:val="000000" w:themeColor="text1"/>
          <w:sz w:val="20"/>
          <w:szCs w:val="20"/>
          <w:lang w:val="en-GB"/>
        </w:rPr>
        <w:t xml:space="preserve"> odds are low. To match these criteria we select favourites</w:t>
      </w:r>
      <w:r w:rsidR="00E74AA1" w:rsidRPr="006D27D2">
        <w:rPr>
          <w:color w:val="000000" w:themeColor="text1"/>
          <w:sz w:val="20"/>
          <w:szCs w:val="20"/>
          <w:lang w:val="en-GB"/>
        </w:rPr>
        <w:t>’</w:t>
      </w:r>
      <w:r w:rsidR="00446C2D" w:rsidRPr="006D27D2">
        <w:rPr>
          <w:color w:val="000000" w:themeColor="text1"/>
          <w:sz w:val="20"/>
          <w:szCs w:val="20"/>
          <w:lang w:val="en-GB"/>
        </w:rPr>
        <w:t xml:space="preserve"> odds of &lt; 2 and &lt; 1.7 and show, in columns 4 and 5, respectively, the proportions of arbitrage opportunities which arise with favourites with odds less than 2 and less than 1.7</w:t>
      </w:r>
    </w:p>
    <w:p w14:paraId="39AC822B" w14:textId="222C8BB6" w:rsidR="0073742C" w:rsidRDefault="00CA6EF1" w:rsidP="005E5150">
      <w:pPr>
        <w:spacing w:line="360" w:lineRule="auto"/>
        <w:ind w:left="-15"/>
        <w:jc w:val="both"/>
      </w:pPr>
      <w:r>
        <w:t xml:space="preserve">The results displayed in Table </w:t>
      </w:r>
      <w:r w:rsidR="00EF6987">
        <w:t>6</w:t>
      </w:r>
      <w:r>
        <w:t xml:space="preserve"> also show that PTBs are significantly more likely to offer </w:t>
      </w:r>
      <w:r w:rsidR="000868D1">
        <w:t>an</w:t>
      </w:r>
      <w:r>
        <w:t xml:space="preserve"> improvement over</w:t>
      </w:r>
      <w:r w:rsidR="005D5980">
        <w:t xml:space="preserve"> market odds for the </w:t>
      </w:r>
      <w:r w:rsidR="0075780B">
        <w:t>favourite</w:t>
      </w:r>
      <w:r w:rsidR="005D5980">
        <w:t xml:space="preserve"> rather than for the longshot. On 58% of occasions, a PTB offered the </w:t>
      </w:r>
      <w:r w:rsidR="000868D1">
        <w:t>be</w:t>
      </w:r>
      <w:r w:rsidR="005D5980">
        <w:t xml:space="preserve">st odds for the </w:t>
      </w:r>
      <w:r w:rsidR="0075780B">
        <w:t>favourite</w:t>
      </w:r>
      <w:r w:rsidR="005D5980">
        <w:t>, compared with 44</w:t>
      </w:r>
      <w:r w:rsidR="005D5980" w:rsidRPr="005E5150">
        <w:t>.</w:t>
      </w:r>
      <w:r w:rsidR="005D5980">
        <w:t xml:space="preserve">4% offering the </w:t>
      </w:r>
      <w:r w:rsidR="000868D1">
        <w:t>b</w:t>
      </w:r>
      <w:r w:rsidR="005D5980">
        <w:t>est odds on the longshot. Such a difference is unlikely to be random (</w:t>
      </w:r>
      <w:r w:rsidR="005D5980" w:rsidRPr="005E5150">
        <w:t>Z</w:t>
      </w:r>
      <w:r w:rsidR="005D5980">
        <w:t xml:space="preserve">-statistic = 5.86, </w:t>
      </w:r>
      <w:r w:rsidR="005D5980" w:rsidRPr="005E5150">
        <w:t>p</w:t>
      </w:r>
      <w:r w:rsidR="005D5980">
        <w:t xml:space="preserve">-value = 0.000). This tendency is </w:t>
      </w:r>
      <w:r w:rsidR="00837C4B">
        <w:t xml:space="preserve">more </w:t>
      </w:r>
      <w:r w:rsidR="005D5980">
        <w:t xml:space="preserve">pronounced on stronger </w:t>
      </w:r>
      <w:r w:rsidR="0075780B">
        <w:t>favourite</w:t>
      </w:r>
      <w:r w:rsidR="005D5980">
        <w:t xml:space="preserve">s. Since PTBs attract higher volumes on </w:t>
      </w:r>
      <w:r w:rsidR="0075780B">
        <w:t>favourite</w:t>
      </w:r>
      <w:r w:rsidR="005D5980">
        <w:t>s than on longshots (Levitt, 2004), our finding is consistent with the view that PTBs</w:t>
      </w:r>
      <w:r w:rsidR="005D5980" w:rsidRPr="005E5150">
        <w:footnoteReference w:id="16"/>
      </w:r>
      <w:r w:rsidR="005D5980" w:rsidRPr="005E5150">
        <w:t xml:space="preserve"> </w:t>
      </w:r>
      <w:r w:rsidR="005D5980">
        <w:t xml:space="preserve">are inclined to inflate odds for popular bets in order to attract customers. As a result, arbitrage opportunities most commonly emerge where a PTB offers the </w:t>
      </w:r>
      <w:r w:rsidR="000868D1">
        <w:t>b</w:t>
      </w:r>
      <w:r w:rsidR="005D5980">
        <w:t xml:space="preserve">est odds for the </w:t>
      </w:r>
      <w:r w:rsidR="0075780B">
        <w:t>favourite</w:t>
      </w:r>
      <w:r w:rsidR="005D5980">
        <w:t xml:space="preserve"> and a BBB offers the </w:t>
      </w:r>
      <w:r w:rsidR="000868D1">
        <w:t>b</w:t>
      </w:r>
      <w:r w:rsidR="005D5980">
        <w:t>est odds for the longshot.</w:t>
      </w:r>
      <w:r w:rsidR="005D5980" w:rsidRPr="005E5150">
        <w:rPr>
          <w:vertAlign w:val="superscript"/>
        </w:rPr>
        <w:footnoteReference w:id="17"/>
      </w:r>
      <w:r w:rsidR="005D5980" w:rsidRPr="005E5150">
        <w:t xml:space="preserve"> </w:t>
      </w:r>
      <w:r w:rsidR="005D5980">
        <w:t>These results are in line with Hypothesis 2.</w:t>
      </w:r>
    </w:p>
    <w:p w14:paraId="75A30CC5" w14:textId="77777777" w:rsidR="00B20FEB" w:rsidRDefault="00B20FEB" w:rsidP="00CA6EF1">
      <w:pPr>
        <w:spacing w:after="3" w:line="360" w:lineRule="auto"/>
        <w:ind w:left="10" w:right="-14" w:hanging="10"/>
        <w:jc w:val="both"/>
      </w:pPr>
    </w:p>
    <w:p w14:paraId="69296F63" w14:textId="6F7CA659" w:rsidR="00B20FEB" w:rsidRDefault="00B20FEB" w:rsidP="00B20FEB">
      <w:pPr>
        <w:pStyle w:val="Heading2"/>
        <w:ind w:left="-5"/>
      </w:pPr>
      <w:r>
        <w:t>5.3. The Efficiency of Bookmakers Odds by Type</w:t>
      </w:r>
    </w:p>
    <w:p w14:paraId="3E74F9DF" w14:textId="77777777" w:rsidR="00B20FEB" w:rsidRDefault="00B20FEB" w:rsidP="00CA6EF1">
      <w:pPr>
        <w:spacing w:after="3" w:line="360" w:lineRule="auto"/>
        <w:ind w:left="10" w:right="-14" w:hanging="10"/>
        <w:jc w:val="both"/>
      </w:pPr>
    </w:p>
    <w:p w14:paraId="4A01754D" w14:textId="57564CF0" w:rsidR="00B20FEB" w:rsidRDefault="001068BC" w:rsidP="00B20FEB">
      <w:pPr>
        <w:spacing w:line="360" w:lineRule="auto"/>
        <w:ind w:left="-15"/>
        <w:jc w:val="both"/>
      </w:pPr>
      <w:r>
        <w:t xml:space="preserve">In exploring the broader context for </w:t>
      </w:r>
      <w:r w:rsidR="00491146">
        <w:t xml:space="preserve">the relative values of odds on favourites and longshots between groups, </w:t>
      </w:r>
      <w:r w:rsidR="00B20FEB">
        <w:t xml:space="preserve">Table </w:t>
      </w:r>
      <w:r w:rsidR="00EF6987">
        <w:t>7</w:t>
      </w:r>
      <w:r w:rsidR="00B20FEB">
        <w:t xml:space="preserve"> presents the results of estimating separate conditional logistic regression models (as described in (14) and (18)) based on the 1X2 odds offered on </w:t>
      </w:r>
      <w:r w:rsidR="00236815">
        <w:t>soccer</w:t>
      </w:r>
      <w:r w:rsidR="00B20FEB">
        <w:t xml:space="preserve"> matches across the six leading European leagues by PTBs and BBBs, respectively, for our extended sample of 6,396 matches over the three seasons from 2010-11 to 2012-13. The forecasting accuracy of odds offered by BBBs is higher on average compared to that of PTBs’ odds, as represented by the higher average McFadden’s pseudo-</w:t>
      </w:r>
      <w:r w:rsidR="00B20FEB">
        <w:rPr>
          <w:i/>
        </w:rPr>
        <w:t>R</w:t>
      </w:r>
      <w:r w:rsidR="00B20FEB">
        <w:rPr>
          <w:vertAlign w:val="superscript"/>
        </w:rPr>
        <w:t>2</w:t>
      </w:r>
      <w:r w:rsidR="00B20FEB">
        <w:t>. Whilst the increase in pseudo-</w:t>
      </w:r>
      <w:r w:rsidR="00B20FEB">
        <w:rPr>
          <w:i/>
        </w:rPr>
        <w:t>R</w:t>
      </w:r>
      <w:r w:rsidR="00B20FEB">
        <w:rPr>
          <w:vertAlign w:val="superscript"/>
        </w:rPr>
        <w:t xml:space="preserve">2 </w:t>
      </w:r>
      <w:r w:rsidR="00B20FEB">
        <w:t xml:space="preserve">appears small, it is likely to be economically significant (e.g. Benter, 1994). This result is in line with Hypothesis 3b and is consistent with the evidence provided by Franck </w:t>
      </w:r>
      <w:r w:rsidR="00B20FEB" w:rsidRPr="00097B9D">
        <w:rPr>
          <w:i/>
        </w:rPr>
        <w:t>et al</w:t>
      </w:r>
      <w:r w:rsidR="00B20FEB">
        <w:t xml:space="preserve">. (2013) and </w:t>
      </w:r>
      <w:r w:rsidR="003653CC">
        <w:t xml:space="preserve">Smith </w:t>
      </w:r>
      <w:r w:rsidR="003653CC" w:rsidRPr="00097B9D">
        <w:rPr>
          <w:i/>
        </w:rPr>
        <w:t>et al</w:t>
      </w:r>
      <w:r w:rsidR="003653CC">
        <w:t>. (</w:t>
      </w:r>
      <w:r w:rsidR="00B20FEB">
        <w:t>2006, 2009) that demand-driven (as opposed to traditional PTB) markets are more efficient predictors of event outcomes.</w:t>
      </w:r>
    </w:p>
    <w:p w14:paraId="34FDF286" w14:textId="60AAD3CC" w:rsidR="00B20FEB" w:rsidRDefault="006A3B30" w:rsidP="00B20FEB">
      <w:pPr>
        <w:spacing w:after="127" w:line="360" w:lineRule="auto"/>
        <w:ind w:left="-15"/>
        <w:jc w:val="both"/>
      </w:pPr>
      <w:r>
        <w:t>The values of the coefficients i</w:t>
      </w:r>
      <w:r w:rsidR="00B20FEB">
        <w:t xml:space="preserve">n the conditional logistic regressions, and the related significance tests, indicate in general that the FLB is more pronounced for PTBs than for BBBs. The notable exception is for the odds offered by the BBB, </w:t>
      </w:r>
      <w:r w:rsidR="00B20FEB">
        <w:rPr>
          <w:i/>
        </w:rPr>
        <w:t>SBOBet</w:t>
      </w:r>
      <w:r w:rsidR="00B20FEB">
        <w:t xml:space="preserve">, whose over-round for the 1X2 market is the highest amongst BBBs. The conditional logistic regression based on </w:t>
      </w:r>
      <w:r w:rsidR="00B20FEB">
        <w:rPr>
          <w:i/>
        </w:rPr>
        <w:t xml:space="preserve">Pinnacle’s </w:t>
      </w:r>
      <w:r w:rsidR="00B20FEB">
        <w:t xml:space="preserve">odds (whose over-round in the 1X2 market is as low as it is for AHs) has a coefficient very close to 1, suggesting no FLB. This variation of the bias is in line with the Vaughan Williams’s (1999) proposition that the level of transaction costs affects the degree of FLB. The extent of the bias is likely to indicate that BBBs (excluding </w:t>
      </w:r>
      <w:r w:rsidR="00B20FEB">
        <w:rPr>
          <w:i/>
        </w:rPr>
        <w:t>Pinnacle</w:t>
      </w:r>
      <w:r w:rsidR="00B20FEB">
        <w:t>) aim to direct the demand for longshots to AH markets, in order to facilitate the balancing of their books in that market.</w:t>
      </w:r>
    </w:p>
    <w:p w14:paraId="6289FF1A" w14:textId="77777777" w:rsidR="00582366" w:rsidRDefault="00582366" w:rsidP="00B20FEB">
      <w:pPr>
        <w:spacing w:after="127" w:line="360" w:lineRule="auto"/>
        <w:ind w:left="-15"/>
        <w:jc w:val="both"/>
      </w:pPr>
    </w:p>
    <w:p w14:paraId="630C7D68" w14:textId="77777777" w:rsidR="00582366" w:rsidRDefault="00582366" w:rsidP="00B20FEB">
      <w:pPr>
        <w:spacing w:after="127" w:line="360" w:lineRule="auto"/>
        <w:ind w:left="-15"/>
        <w:jc w:val="both"/>
      </w:pPr>
    </w:p>
    <w:p w14:paraId="44F2FA27" w14:textId="77777777" w:rsidR="008F5201" w:rsidRDefault="008F5201" w:rsidP="00B20FEB">
      <w:pPr>
        <w:spacing w:after="127" w:line="360" w:lineRule="auto"/>
        <w:ind w:left="-15"/>
        <w:jc w:val="both"/>
      </w:pPr>
    </w:p>
    <w:p w14:paraId="38737DA4" w14:textId="77777777" w:rsidR="008F5201" w:rsidRDefault="008F5201" w:rsidP="00B20FEB">
      <w:pPr>
        <w:spacing w:after="127" w:line="360" w:lineRule="auto"/>
        <w:ind w:left="-15"/>
        <w:jc w:val="both"/>
      </w:pPr>
    </w:p>
    <w:p w14:paraId="5B1983BD" w14:textId="77777777" w:rsidR="008F5201" w:rsidRDefault="008F5201" w:rsidP="00B20FEB">
      <w:pPr>
        <w:spacing w:after="127" w:line="360" w:lineRule="auto"/>
        <w:ind w:left="-15"/>
        <w:jc w:val="both"/>
      </w:pPr>
    </w:p>
    <w:p w14:paraId="0D4DD992" w14:textId="38656EF0" w:rsidR="00B20FEB" w:rsidRDefault="00B20FEB" w:rsidP="00B20FEB">
      <w:pPr>
        <w:spacing w:after="3" w:line="252" w:lineRule="auto"/>
        <w:ind w:left="-5" w:right="-14" w:hanging="10"/>
        <w:jc w:val="both"/>
      </w:pPr>
      <w:r>
        <w:rPr>
          <w:sz w:val="20"/>
        </w:rPr>
        <w:t xml:space="preserve">Table </w:t>
      </w:r>
      <w:r w:rsidR="00EF6987">
        <w:rPr>
          <w:sz w:val="20"/>
        </w:rPr>
        <w:t>7</w:t>
      </w:r>
      <w:r>
        <w:rPr>
          <w:sz w:val="20"/>
        </w:rPr>
        <w:t xml:space="preserve">: This table reports the results of conditional logit modelling (using equations (14) and (18)) based on the odds offered by six bookmakers in the extended sample for all match outcomes (Home win, Draw, Away win; 19,188 total observations of odds per bookmaker). Bookmakers are classified as either position-takers or book-balancers. The third and fourth columns of the table report the estimated coefficient of the conditional logit model and its standard error, respectively. The fifth column reports the </w:t>
      </w:r>
      <w:r>
        <w:rPr>
          <w:i/>
          <w:sz w:val="20"/>
        </w:rPr>
        <w:t>p</w:t>
      </w:r>
      <w:r>
        <w:rPr>
          <w:sz w:val="20"/>
        </w:rPr>
        <w:t xml:space="preserve">-value of a </w:t>
      </w:r>
      <w:r>
        <w:rPr>
          <w:i/>
          <w:sz w:val="20"/>
        </w:rPr>
        <w:t>Z</w:t>
      </w:r>
      <w:r>
        <w:rPr>
          <w:sz w:val="20"/>
        </w:rPr>
        <w:t>-test to determine whether the true value of the coefficient in column three is equal to 1. The sixth column reports the result of test whether the coefficient is significantly greater than 1 at the 10%, 5%, and 1% levels with the signs (</w:t>
      </w:r>
      <w:r>
        <w:rPr>
          <w:i/>
          <w:sz w:val="20"/>
        </w:rPr>
        <w:t>*</w:t>
      </w:r>
      <w:r>
        <w:rPr>
          <w:sz w:val="20"/>
        </w:rPr>
        <w:t>), (</w:t>
      </w:r>
      <w:r>
        <w:rPr>
          <w:i/>
          <w:sz w:val="20"/>
        </w:rPr>
        <w:t>**</w:t>
      </w:r>
      <w:r>
        <w:rPr>
          <w:sz w:val="20"/>
        </w:rPr>
        <w:t>), and (</w:t>
      </w:r>
      <w:r>
        <w:rPr>
          <w:i/>
          <w:sz w:val="20"/>
        </w:rPr>
        <w:t>***</w:t>
      </w:r>
      <w:r>
        <w:rPr>
          <w:sz w:val="20"/>
        </w:rPr>
        <w:t>), respectively. The final column reports the McFadden Pseudo-</w:t>
      </w:r>
      <w:r>
        <w:rPr>
          <w:i/>
          <w:sz w:val="20"/>
        </w:rPr>
        <w:t>R</w:t>
      </w:r>
      <w:r>
        <w:rPr>
          <w:sz w:val="20"/>
          <w:vertAlign w:val="superscript"/>
        </w:rPr>
        <w:t xml:space="preserve">2 </w:t>
      </w:r>
      <w:r>
        <w:rPr>
          <w:sz w:val="20"/>
        </w:rPr>
        <w:t>of the conditional logit model.</w:t>
      </w:r>
    </w:p>
    <w:tbl>
      <w:tblPr>
        <w:tblStyle w:val="TableGrid"/>
        <w:tblW w:w="8962" w:type="dxa"/>
        <w:tblInd w:w="461" w:type="dxa"/>
        <w:tblCellMar>
          <w:top w:w="17" w:type="dxa"/>
          <w:bottom w:w="17" w:type="dxa"/>
          <w:right w:w="115" w:type="dxa"/>
        </w:tblCellMar>
        <w:tblLook w:val="04A0" w:firstRow="1" w:lastRow="0" w:firstColumn="1" w:lastColumn="0" w:noHBand="0" w:noVBand="1"/>
      </w:tblPr>
      <w:tblGrid>
        <w:gridCol w:w="1823"/>
        <w:gridCol w:w="1440"/>
        <w:gridCol w:w="1230"/>
        <w:gridCol w:w="1222"/>
        <w:gridCol w:w="1394"/>
        <w:gridCol w:w="736"/>
        <w:gridCol w:w="1117"/>
      </w:tblGrid>
      <w:tr w:rsidR="00B20FEB" w14:paraId="5C95A74B" w14:textId="77777777" w:rsidTr="00041018">
        <w:trPr>
          <w:trHeight w:val="755"/>
        </w:trPr>
        <w:tc>
          <w:tcPr>
            <w:tcW w:w="1823" w:type="dxa"/>
            <w:tcBorders>
              <w:top w:val="single" w:sz="7" w:space="0" w:color="000000"/>
              <w:left w:val="nil"/>
              <w:bottom w:val="single" w:sz="5" w:space="0" w:color="000000"/>
              <w:right w:val="nil"/>
            </w:tcBorders>
            <w:vAlign w:val="center"/>
          </w:tcPr>
          <w:p w14:paraId="7EA0762D" w14:textId="77777777" w:rsidR="00B20FEB" w:rsidRDefault="00B20FEB" w:rsidP="00041018">
            <w:pPr>
              <w:spacing w:line="259" w:lineRule="auto"/>
              <w:ind w:right="4"/>
              <w:jc w:val="center"/>
            </w:pPr>
            <w:r>
              <w:rPr>
                <w:sz w:val="20"/>
              </w:rPr>
              <w:t>Group</w:t>
            </w:r>
          </w:p>
        </w:tc>
        <w:tc>
          <w:tcPr>
            <w:tcW w:w="1440" w:type="dxa"/>
            <w:tcBorders>
              <w:top w:val="single" w:sz="7" w:space="0" w:color="000000"/>
              <w:left w:val="nil"/>
              <w:bottom w:val="single" w:sz="5" w:space="0" w:color="000000"/>
              <w:right w:val="nil"/>
            </w:tcBorders>
            <w:vAlign w:val="center"/>
          </w:tcPr>
          <w:p w14:paraId="6CE288C4" w14:textId="77777777" w:rsidR="00B20FEB" w:rsidRDefault="00B20FEB" w:rsidP="00041018">
            <w:pPr>
              <w:spacing w:line="259" w:lineRule="auto"/>
              <w:ind w:left="67"/>
              <w:jc w:val="center"/>
            </w:pPr>
            <w:r>
              <w:rPr>
                <w:sz w:val="20"/>
              </w:rPr>
              <w:t>Bookmaker</w:t>
            </w:r>
          </w:p>
        </w:tc>
        <w:tc>
          <w:tcPr>
            <w:tcW w:w="1230" w:type="dxa"/>
            <w:tcBorders>
              <w:top w:val="single" w:sz="7" w:space="0" w:color="000000"/>
              <w:left w:val="nil"/>
              <w:bottom w:val="single" w:sz="5" w:space="0" w:color="000000"/>
              <w:right w:val="nil"/>
            </w:tcBorders>
            <w:vAlign w:val="center"/>
          </w:tcPr>
          <w:p w14:paraId="49A5C11C" w14:textId="77777777" w:rsidR="00B20FEB" w:rsidRDefault="00B20FEB" w:rsidP="00041018">
            <w:pPr>
              <w:spacing w:line="259" w:lineRule="auto"/>
              <w:jc w:val="center"/>
            </w:pPr>
            <w:r>
              <w:rPr>
                <w:sz w:val="20"/>
              </w:rPr>
              <w:t>Coefficient</w:t>
            </w:r>
          </w:p>
        </w:tc>
        <w:tc>
          <w:tcPr>
            <w:tcW w:w="1222" w:type="dxa"/>
            <w:tcBorders>
              <w:top w:val="single" w:sz="7" w:space="0" w:color="000000"/>
              <w:left w:val="nil"/>
              <w:bottom w:val="single" w:sz="5" w:space="0" w:color="000000"/>
              <w:right w:val="nil"/>
            </w:tcBorders>
            <w:vAlign w:val="center"/>
          </w:tcPr>
          <w:p w14:paraId="76EE3D63" w14:textId="77777777" w:rsidR="00B20FEB" w:rsidRDefault="00B20FEB" w:rsidP="00041018">
            <w:pPr>
              <w:spacing w:line="259" w:lineRule="auto"/>
              <w:jc w:val="center"/>
            </w:pPr>
            <w:r>
              <w:rPr>
                <w:sz w:val="20"/>
              </w:rPr>
              <w:t>Std. Error</w:t>
            </w:r>
          </w:p>
        </w:tc>
        <w:tc>
          <w:tcPr>
            <w:tcW w:w="1394" w:type="dxa"/>
            <w:tcBorders>
              <w:top w:val="single" w:sz="7" w:space="0" w:color="000000"/>
              <w:left w:val="nil"/>
              <w:bottom w:val="single" w:sz="5" w:space="0" w:color="000000"/>
              <w:right w:val="nil"/>
            </w:tcBorders>
          </w:tcPr>
          <w:p w14:paraId="2CB60696" w14:textId="77777777" w:rsidR="00B20FEB" w:rsidRDefault="00B20FEB" w:rsidP="00041018">
            <w:pPr>
              <w:spacing w:line="259" w:lineRule="auto"/>
              <w:ind w:firstLine="297"/>
              <w:jc w:val="center"/>
            </w:pPr>
            <w:r>
              <w:rPr>
                <w:sz w:val="20"/>
              </w:rPr>
              <w:t>Prob. (Coeff. = 1)</w:t>
            </w:r>
          </w:p>
        </w:tc>
        <w:tc>
          <w:tcPr>
            <w:tcW w:w="736" w:type="dxa"/>
            <w:tcBorders>
              <w:top w:val="single" w:sz="7" w:space="0" w:color="000000"/>
              <w:left w:val="nil"/>
              <w:bottom w:val="single" w:sz="5" w:space="0" w:color="000000"/>
              <w:right w:val="nil"/>
            </w:tcBorders>
            <w:vAlign w:val="center"/>
          </w:tcPr>
          <w:p w14:paraId="5E2779A3" w14:textId="77777777" w:rsidR="00B20FEB" w:rsidRDefault="00B20FEB" w:rsidP="00041018">
            <w:pPr>
              <w:spacing w:line="259" w:lineRule="auto"/>
              <w:ind w:left="66"/>
              <w:jc w:val="center"/>
            </w:pPr>
            <w:r>
              <w:rPr>
                <w:sz w:val="20"/>
              </w:rPr>
              <w:t>Sig.</w:t>
            </w:r>
          </w:p>
        </w:tc>
        <w:tc>
          <w:tcPr>
            <w:tcW w:w="1117" w:type="dxa"/>
            <w:tcBorders>
              <w:top w:val="single" w:sz="7" w:space="0" w:color="000000"/>
              <w:left w:val="nil"/>
              <w:bottom w:val="single" w:sz="5" w:space="0" w:color="000000"/>
              <w:right w:val="nil"/>
            </w:tcBorders>
            <w:vAlign w:val="center"/>
          </w:tcPr>
          <w:p w14:paraId="2B72578E" w14:textId="77777777" w:rsidR="00B20FEB" w:rsidRDefault="00B20FEB" w:rsidP="00041018">
            <w:pPr>
              <w:spacing w:line="259" w:lineRule="auto"/>
              <w:jc w:val="center"/>
            </w:pPr>
            <w:r>
              <w:rPr>
                <w:sz w:val="20"/>
              </w:rPr>
              <w:t>Pseudo-</w:t>
            </w:r>
            <w:r>
              <w:rPr>
                <w:i/>
                <w:sz w:val="20"/>
              </w:rPr>
              <w:t>R</w:t>
            </w:r>
            <w:r>
              <w:rPr>
                <w:sz w:val="20"/>
                <w:vertAlign w:val="superscript"/>
              </w:rPr>
              <w:t>2</w:t>
            </w:r>
          </w:p>
        </w:tc>
      </w:tr>
      <w:tr w:rsidR="00B20FEB" w14:paraId="26285CE5" w14:textId="77777777" w:rsidTr="00041018">
        <w:trPr>
          <w:trHeight w:val="427"/>
        </w:trPr>
        <w:tc>
          <w:tcPr>
            <w:tcW w:w="1823" w:type="dxa"/>
            <w:vMerge w:val="restart"/>
            <w:tcBorders>
              <w:top w:val="single" w:sz="5" w:space="0" w:color="000000"/>
              <w:left w:val="nil"/>
              <w:right w:val="nil"/>
            </w:tcBorders>
            <w:vAlign w:val="center"/>
          </w:tcPr>
          <w:p w14:paraId="743FD7BD" w14:textId="77777777" w:rsidR="00B20FEB" w:rsidRDefault="00B20FEB" w:rsidP="00041018">
            <w:pPr>
              <w:spacing w:line="259" w:lineRule="auto"/>
              <w:ind w:left="126"/>
              <w:jc w:val="center"/>
            </w:pPr>
            <w:r>
              <w:rPr>
                <w:sz w:val="20"/>
              </w:rPr>
              <w:t>Position Takers</w:t>
            </w:r>
          </w:p>
        </w:tc>
        <w:tc>
          <w:tcPr>
            <w:tcW w:w="1440" w:type="dxa"/>
            <w:tcBorders>
              <w:top w:val="single" w:sz="5" w:space="0" w:color="000000"/>
              <w:left w:val="nil"/>
              <w:bottom w:val="nil"/>
              <w:right w:val="nil"/>
            </w:tcBorders>
            <w:vAlign w:val="center"/>
          </w:tcPr>
          <w:p w14:paraId="5044524A" w14:textId="77777777" w:rsidR="00B20FEB" w:rsidRDefault="00B20FEB" w:rsidP="00041018">
            <w:pPr>
              <w:spacing w:line="259" w:lineRule="auto"/>
              <w:ind w:firstLine="129"/>
              <w:jc w:val="center"/>
            </w:pPr>
            <w:r>
              <w:rPr>
                <w:i/>
                <w:sz w:val="20"/>
              </w:rPr>
              <w:t>Ladbrokes</w:t>
            </w:r>
          </w:p>
        </w:tc>
        <w:tc>
          <w:tcPr>
            <w:tcW w:w="1230" w:type="dxa"/>
            <w:tcBorders>
              <w:top w:val="single" w:sz="5" w:space="0" w:color="000000"/>
              <w:left w:val="nil"/>
              <w:bottom w:val="nil"/>
              <w:right w:val="nil"/>
            </w:tcBorders>
            <w:vAlign w:val="center"/>
          </w:tcPr>
          <w:p w14:paraId="6815B89F" w14:textId="77777777" w:rsidR="00B20FEB" w:rsidRDefault="00B20FEB" w:rsidP="00041018">
            <w:pPr>
              <w:spacing w:line="259" w:lineRule="auto"/>
              <w:ind w:left="183"/>
              <w:jc w:val="center"/>
            </w:pPr>
            <w:r>
              <w:rPr>
                <w:sz w:val="20"/>
              </w:rPr>
              <w:t>1.0743</w:t>
            </w:r>
          </w:p>
        </w:tc>
        <w:tc>
          <w:tcPr>
            <w:tcW w:w="1222" w:type="dxa"/>
            <w:tcBorders>
              <w:top w:val="single" w:sz="5" w:space="0" w:color="000000"/>
              <w:left w:val="nil"/>
              <w:bottom w:val="nil"/>
              <w:right w:val="nil"/>
            </w:tcBorders>
            <w:vAlign w:val="center"/>
          </w:tcPr>
          <w:p w14:paraId="2458A081" w14:textId="77777777" w:rsidR="00B20FEB" w:rsidRDefault="00B20FEB" w:rsidP="00041018">
            <w:pPr>
              <w:spacing w:line="259" w:lineRule="auto"/>
              <w:ind w:left="179"/>
              <w:jc w:val="center"/>
            </w:pPr>
            <w:r>
              <w:rPr>
                <w:sz w:val="20"/>
              </w:rPr>
              <w:t>0.0309</w:t>
            </w:r>
          </w:p>
        </w:tc>
        <w:tc>
          <w:tcPr>
            <w:tcW w:w="1394" w:type="dxa"/>
            <w:tcBorders>
              <w:top w:val="single" w:sz="5" w:space="0" w:color="000000"/>
              <w:left w:val="nil"/>
              <w:bottom w:val="nil"/>
              <w:right w:val="nil"/>
            </w:tcBorders>
            <w:vAlign w:val="center"/>
          </w:tcPr>
          <w:p w14:paraId="77122830" w14:textId="77777777" w:rsidR="00B20FEB" w:rsidRDefault="00B20FEB" w:rsidP="00041018">
            <w:pPr>
              <w:spacing w:line="259" w:lineRule="auto"/>
              <w:ind w:left="260"/>
              <w:jc w:val="center"/>
            </w:pPr>
            <w:r>
              <w:rPr>
                <w:sz w:val="20"/>
              </w:rPr>
              <w:t>0.0081</w:t>
            </w:r>
          </w:p>
        </w:tc>
        <w:tc>
          <w:tcPr>
            <w:tcW w:w="736" w:type="dxa"/>
            <w:tcBorders>
              <w:top w:val="single" w:sz="5" w:space="0" w:color="000000"/>
              <w:left w:val="nil"/>
              <w:bottom w:val="nil"/>
              <w:right w:val="nil"/>
            </w:tcBorders>
            <w:vAlign w:val="center"/>
          </w:tcPr>
          <w:p w14:paraId="0E9CA38A" w14:textId="77777777" w:rsidR="00B20FEB" w:rsidRDefault="00B20FEB" w:rsidP="00041018">
            <w:pPr>
              <w:spacing w:line="259" w:lineRule="auto"/>
              <w:jc w:val="center"/>
            </w:pPr>
            <w:r>
              <w:rPr>
                <w:sz w:val="20"/>
              </w:rPr>
              <w:t>(***)</w:t>
            </w:r>
          </w:p>
        </w:tc>
        <w:tc>
          <w:tcPr>
            <w:tcW w:w="1117" w:type="dxa"/>
            <w:tcBorders>
              <w:top w:val="single" w:sz="5" w:space="0" w:color="000000"/>
              <w:left w:val="nil"/>
              <w:bottom w:val="nil"/>
              <w:right w:val="nil"/>
            </w:tcBorders>
            <w:vAlign w:val="center"/>
          </w:tcPr>
          <w:p w14:paraId="2A3AA067" w14:textId="77777777" w:rsidR="00B20FEB" w:rsidRDefault="00B20FEB" w:rsidP="00041018">
            <w:pPr>
              <w:spacing w:line="259" w:lineRule="auto"/>
              <w:ind w:left="190"/>
              <w:jc w:val="center"/>
            </w:pPr>
            <w:r>
              <w:rPr>
                <w:sz w:val="20"/>
              </w:rPr>
              <w:t>0.1085</w:t>
            </w:r>
          </w:p>
        </w:tc>
      </w:tr>
      <w:tr w:rsidR="009D5A9D" w14:paraId="70CA210A" w14:textId="77777777" w:rsidTr="00041018">
        <w:trPr>
          <w:trHeight w:val="427"/>
        </w:trPr>
        <w:tc>
          <w:tcPr>
            <w:tcW w:w="1823" w:type="dxa"/>
            <w:vMerge/>
            <w:tcBorders>
              <w:top w:val="single" w:sz="5" w:space="0" w:color="000000"/>
              <w:left w:val="nil"/>
              <w:right w:val="nil"/>
            </w:tcBorders>
            <w:vAlign w:val="center"/>
          </w:tcPr>
          <w:p w14:paraId="4612051B" w14:textId="77777777" w:rsidR="009D5A9D" w:rsidRDefault="009D5A9D" w:rsidP="00041018">
            <w:pPr>
              <w:ind w:left="126"/>
              <w:jc w:val="center"/>
              <w:rPr>
                <w:sz w:val="20"/>
              </w:rPr>
            </w:pPr>
          </w:p>
        </w:tc>
        <w:tc>
          <w:tcPr>
            <w:tcW w:w="1440" w:type="dxa"/>
            <w:tcBorders>
              <w:top w:val="single" w:sz="5" w:space="0" w:color="000000"/>
              <w:left w:val="nil"/>
              <w:bottom w:val="nil"/>
              <w:right w:val="nil"/>
            </w:tcBorders>
            <w:vAlign w:val="center"/>
          </w:tcPr>
          <w:p w14:paraId="3C5AC928" w14:textId="77777777" w:rsidR="009D5A9D" w:rsidRDefault="009D5A9D" w:rsidP="00041018">
            <w:pPr>
              <w:ind w:firstLine="129"/>
              <w:jc w:val="center"/>
              <w:rPr>
                <w:i/>
                <w:sz w:val="20"/>
              </w:rPr>
            </w:pPr>
          </w:p>
        </w:tc>
        <w:tc>
          <w:tcPr>
            <w:tcW w:w="1230" w:type="dxa"/>
            <w:tcBorders>
              <w:top w:val="single" w:sz="5" w:space="0" w:color="000000"/>
              <w:left w:val="nil"/>
              <w:bottom w:val="nil"/>
              <w:right w:val="nil"/>
            </w:tcBorders>
            <w:vAlign w:val="center"/>
          </w:tcPr>
          <w:p w14:paraId="01E3D00A" w14:textId="77777777" w:rsidR="009D5A9D" w:rsidRDefault="009D5A9D" w:rsidP="00041018">
            <w:pPr>
              <w:ind w:left="183"/>
              <w:jc w:val="center"/>
              <w:rPr>
                <w:sz w:val="20"/>
              </w:rPr>
            </w:pPr>
          </w:p>
        </w:tc>
        <w:tc>
          <w:tcPr>
            <w:tcW w:w="1222" w:type="dxa"/>
            <w:tcBorders>
              <w:top w:val="single" w:sz="5" w:space="0" w:color="000000"/>
              <w:left w:val="nil"/>
              <w:bottom w:val="nil"/>
              <w:right w:val="nil"/>
            </w:tcBorders>
            <w:vAlign w:val="center"/>
          </w:tcPr>
          <w:p w14:paraId="1BB0AE35" w14:textId="77777777" w:rsidR="009D5A9D" w:rsidRDefault="009D5A9D" w:rsidP="00041018">
            <w:pPr>
              <w:ind w:left="179"/>
              <w:jc w:val="center"/>
              <w:rPr>
                <w:sz w:val="20"/>
              </w:rPr>
            </w:pPr>
          </w:p>
        </w:tc>
        <w:tc>
          <w:tcPr>
            <w:tcW w:w="1394" w:type="dxa"/>
            <w:tcBorders>
              <w:top w:val="single" w:sz="5" w:space="0" w:color="000000"/>
              <w:left w:val="nil"/>
              <w:bottom w:val="nil"/>
              <w:right w:val="nil"/>
            </w:tcBorders>
            <w:vAlign w:val="center"/>
          </w:tcPr>
          <w:p w14:paraId="6417DEED" w14:textId="77777777" w:rsidR="009D5A9D" w:rsidRDefault="009D5A9D" w:rsidP="00041018">
            <w:pPr>
              <w:ind w:left="260"/>
              <w:jc w:val="center"/>
              <w:rPr>
                <w:sz w:val="20"/>
              </w:rPr>
            </w:pPr>
          </w:p>
        </w:tc>
        <w:tc>
          <w:tcPr>
            <w:tcW w:w="736" w:type="dxa"/>
            <w:tcBorders>
              <w:top w:val="single" w:sz="5" w:space="0" w:color="000000"/>
              <w:left w:val="nil"/>
              <w:bottom w:val="nil"/>
              <w:right w:val="nil"/>
            </w:tcBorders>
            <w:vAlign w:val="center"/>
          </w:tcPr>
          <w:p w14:paraId="02D0195F" w14:textId="77777777" w:rsidR="009D5A9D" w:rsidRDefault="009D5A9D" w:rsidP="00041018">
            <w:pPr>
              <w:jc w:val="center"/>
              <w:rPr>
                <w:sz w:val="20"/>
              </w:rPr>
            </w:pPr>
          </w:p>
        </w:tc>
        <w:tc>
          <w:tcPr>
            <w:tcW w:w="1117" w:type="dxa"/>
            <w:tcBorders>
              <w:top w:val="single" w:sz="5" w:space="0" w:color="000000"/>
              <w:left w:val="nil"/>
              <w:bottom w:val="nil"/>
              <w:right w:val="nil"/>
            </w:tcBorders>
            <w:vAlign w:val="center"/>
          </w:tcPr>
          <w:p w14:paraId="0469FAE0" w14:textId="77777777" w:rsidR="009D5A9D" w:rsidRDefault="009D5A9D" w:rsidP="00041018">
            <w:pPr>
              <w:ind w:left="190"/>
              <w:jc w:val="center"/>
              <w:rPr>
                <w:sz w:val="20"/>
              </w:rPr>
            </w:pPr>
          </w:p>
        </w:tc>
      </w:tr>
      <w:tr w:rsidR="00B20FEB" w14:paraId="685695CA" w14:textId="77777777" w:rsidTr="00041018">
        <w:trPr>
          <w:trHeight w:val="427"/>
        </w:trPr>
        <w:tc>
          <w:tcPr>
            <w:tcW w:w="1823" w:type="dxa"/>
            <w:vMerge/>
            <w:tcBorders>
              <w:left w:val="nil"/>
              <w:right w:val="nil"/>
            </w:tcBorders>
          </w:tcPr>
          <w:p w14:paraId="75808FFC" w14:textId="77777777" w:rsidR="00B20FEB" w:rsidRDefault="00B20FEB" w:rsidP="00041018"/>
        </w:tc>
        <w:tc>
          <w:tcPr>
            <w:tcW w:w="1440" w:type="dxa"/>
            <w:tcBorders>
              <w:top w:val="nil"/>
              <w:left w:val="nil"/>
              <w:bottom w:val="single" w:sz="3" w:space="0" w:color="000000"/>
              <w:right w:val="nil"/>
            </w:tcBorders>
            <w:vAlign w:val="center"/>
          </w:tcPr>
          <w:p w14:paraId="6020ABBC" w14:textId="77777777" w:rsidR="00B20FEB" w:rsidRDefault="00B20FEB" w:rsidP="00041018">
            <w:pPr>
              <w:ind w:left="243"/>
              <w:jc w:val="center"/>
              <w:rPr>
                <w:i/>
                <w:sz w:val="20"/>
              </w:rPr>
            </w:pPr>
            <w:r>
              <w:rPr>
                <w:i/>
                <w:sz w:val="20"/>
              </w:rPr>
              <w:t>William Hill</w:t>
            </w:r>
          </w:p>
        </w:tc>
        <w:tc>
          <w:tcPr>
            <w:tcW w:w="1230" w:type="dxa"/>
            <w:tcBorders>
              <w:top w:val="nil"/>
              <w:left w:val="nil"/>
              <w:bottom w:val="single" w:sz="3" w:space="0" w:color="000000"/>
              <w:right w:val="nil"/>
            </w:tcBorders>
            <w:vAlign w:val="center"/>
          </w:tcPr>
          <w:p w14:paraId="6069286E" w14:textId="77777777" w:rsidR="00B20FEB" w:rsidRDefault="00B20FEB" w:rsidP="00041018">
            <w:pPr>
              <w:ind w:left="183"/>
              <w:jc w:val="center"/>
              <w:rPr>
                <w:sz w:val="20"/>
              </w:rPr>
            </w:pPr>
            <w:r>
              <w:rPr>
                <w:sz w:val="20"/>
              </w:rPr>
              <w:t>1.0605</w:t>
            </w:r>
          </w:p>
        </w:tc>
        <w:tc>
          <w:tcPr>
            <w:tcW w:w="1222" w:type="dxa"/>
            <w:tcBorders>
              <w:top w:val="nil"/>
              <w:left w:val="nil"/>
              <w:bottom w:val="single" w:sz="3" w:space="0" w:color="000000"/>
              <w:right w:val="nil"/>
            </w:tcBorders>
            <w:vAlign w:val="center"/>
          </w:tcPr>
          <w:p w14:paraId="3D40FBB2" w14:textId="77777777" w:rsidR="00B20FEB" w:rsidRDefault="00B20FEB" w:rsidP="00041018">
            <w:pPr>
              <w:ind w:left="179"/>
              <w:jc w:val="center"/>
              <w:rPr>
                <w:sz w:val="20"/>
              </w:rPr>
            </w:pPr>
            <w:r>
              <w:rPr>
                <w:sz w:val="20"/>
              </w:rPr>
              <w:t>0.0304</w:t>
            </w:r>
          </w:p>
        </w:tc>
        <w:tc>
          <w:tcPr>
            <w:tcW w:w="1394" w:type="dxa"/>
            <w:tcBorders>
              <w:top w:val="nil"/>
              <w:left w:val="nil"/>
              <w:bottom w:val="single" w:sz="3" w:space="0" w:color="000000"/>
              <w:right w:val="nil"/>
            </w:tcBorders>
            <w:vAlign w:val="center"/>
          </w:tcPr>
          <w:p w14:paraId="0104BF8C" w14:textId="77777777" w:rsidR="00B20FEB" w:rsidRDefault="00B20FEB" w:rsidP="00041018">
            <w:pPr>
              <w:ind w:left="260"/>
              <w:jc w:val="center"/>
              <w:rPr>
                <w:sz w:val="20"/>
              </w:rPr>
            </w:pPr>
            <w:r>
              <w:rPr>
                <w:sz w:val="20"/>
              </w:rPr>
              <w:t>0.0232</w:t>
            </w:r>
          </w:p>
        </w:tc>
        <w:tc>
          <w:tcPr>
            <w:tcW w:w="736" w:type="dxa"/>
            <w:tcBorders>
              <w:top w:val="nil"/>
              <w:left w:val="nil"/>
              <w:bottom w:val="single" w:sz="3" w:space="0" w:color="000000"/>
              <w:right w:val="nil"/>
            </w:tcBorders>
            <w:vAlign w:val="center"/>
          </w:tcPr>
          <w:p w14:paraId="2E351635" w14:textId="77777777" w:rsidR="00B20FEB" w:rsidRDefault="00B20FEB" w:rsidP="00041018">
            <w:pPr>
              <w:ind w:left="50"/>
              <w:jc w:val="center"/>
              <w:rPr>
                <w:sz w:val="20"/>
              </w:rPr>
            </w:pPr>
            <w:r>
              <w:rPr>
                <w:sz w:val="20"/>
              </w:rPr>
              <w:t>(**)</w:t>
            </w:r>
          </w:p>
        </w:tc>
        <w:tc>
          <w:tcPr>
            <w:tcW w:w="1117" w:type="dxa"/>
            <w:tcBorders>
              <w:top w:val="nil"/>
              <w:left w:val="nil"/>
              <w:bottom w:val="single" w:sz="3" w:space="0" w:color="000000"/>
              <w:right w:val="nil"/>
            </w:tcBorders>
            <w:vAlign w:val="center"/>
          </w:tcPr>
          <w:p w14:paraId="45A1B982" w14:textId="77777777" w:rsidR="00B20FEB" w:rsidRDefault="00B20FEB" w:rsidP="00041018">
            <w:pPr>
              <w:ind w:left="190"/>
              <w:jc w:val="center"/>
              <w:rPr>
                <w:sz w:val="20"/>
              </w:rPr>
            </w:pPr>
            <w:r>
              <w:rPr>
                <w:sz w:val="20"/>
              </w:rPr>
              <w:t>0.1101</w:t>
            </w:r>
          </w:p>
        </w:tc>
      </w:tr>
      <w:tr w:rsidR="00B20FEB" w14:paraId="1F219604" w14:textId="77777777" w:rsidTr="00041018">
        <w:trPr>
          <w:trHeight w:val="427"/>
        </w:trPr>
        <w:tc>
          <w:tcPr>
            <w:tcW w:w="1823" w:type="dxa"/>
            <w:vMerge/>
            <w:tcBorders>
              <w:left w:val="nil"/>
              <w:bottom w:val="single" w:sz="3" w:space="0" w:color="000000"/>
              <w:right w:val="nil"/>
            </w:tcBorders>
          </w:tcPr>
          <w:p w14:paraId="5CBD5B92" w14:textId="77777777" w:rsidR="00B20FEB" w:rsidRDefault="00B20FEB" w:rsidP="00041018">
            <w:pPr>
              <w:spacing w:after="160" w:line="259" w:lineRule="auto"/>
            </w:pPr>
          </w:p>
        </w:tc>
        <w:tc>
          <w:tcPr>
            <w:tcW w:w="1440" w:type="dxa"/>
            <w:tcBorders>
              <w:top w:val="nil"/>
              <w:left w:val="nil"/>
              <w:bottom w:val="single" w:sz="3" w:space="0" w:color="000000"/>
              <w:right w:val="nil"/>
            </w:tcBorders>
            <w:vAlign w:val="center"/>
          </w:tcPr>
          <w:p w14:paraId="676ECD2C" w14:textId="77777777" w:rsidR="00B20FEB" w:rsidRDefault="00B20FEB" w:rsidP="00041018">
            <w:pPr>
              <w:spacing w:line="259" w:lineRule="auto"/>
              <w:ind w:left="243"/>
              <w:jc w:val="center"/>
            </w:pPr>
            <w:r>
              <w:rPr>
                <w:i/>
                <w:sz w:val="20"/>
              </w:rPr>
              <w:t>Bet365</w:t>
            </w:r>
          </w:p>
        </w:tc>
        <w:tc>
          <w:tcPr>
            <w:tcW w:w="1230" w:type="dxa"/>
            <w:tcBorders>
              <w:top w:val="nil"/>
              <w:left w:val="nil"/>
              <w:bottom w:val="single" w:sz="3" w:space="0" w:color="000000"/>
              <w:right w:val="nil"/>
            </w:tcBorders>
            <w:vAlign w:val="center"/>
          </w:tcPr>
          <w:p w14:paraId="20C208B9" w14:textId="77777777" w:rsidR="00B20FEB" w:rsidRDefault="00B20FEB" w:rsidP="00041018">
            <w:pPr>
              <w:spacing w:line="259" w:lineRule="auto"/>
              <w:ind w:left="183"/>
              <w:jc w:val="center"/>
            </w:pPr>
            <w:r>
              <w:rPr>
                <w:sz w:val="20"/>
              </w:rPr>
              <w:t>1.0560</w:t>
            </w:r>
          </w:p>
        </w:tc>
        <w:tc>
          <w:tcPr>
            <w:tcW w:w="1222" w:type="dxa"/>
            <w:tcBorders>
              <w:top w:val="nil"/>
              <w:left w:val="nil"/>
              <w:bottom w:val="single" w:sz="3" w:space="0" w:color="000000"/>
              <w:right w:val="nil"/>
            </w:tcBorders>
            <w:vAlign w:val="center"/>
          </w:tcPr>
          <w:p w14:paraId="4ED55EB9" w14:textId="77777777" w:rsidR="00B20FEB" w:rsidRDefault="00B20FEB" w:rsidP="00041018">
            <w:pPr>
              <w:spacing w:line="259" w:lineRule="auto"/>
              <w:ind w:left="179"/>
              <w:jc w:val="center"/>
            </w:pPr>
            <w:r>
              <w:rPr>
                <w:sz w:val="20"/>
              </w:rPr>
              <w:t>0.0302</w:t>
            </w:r>
          </w:p>
        </w:tc>
        <w:tc>
          <w:tcPr>
            <w:tcW w:w="1394" w:type="dxa"/>
            <w:tcBorders>
              <w:top w:val="nil"/>
              <w:left w:val="nil"/>
              <w:bottom w:val="single" w:sz="3" w:space="0" w:color="000000"/>
              <w:right w:val="nil"/>
            </w:tcBorders>
            <w:vAlign w:val="center"/>
          </w:tcPr>
          <w:p w14:paraId="6A9FBDEA" w14:textId="77777777" w:rsidR="00B20FEB" w:rsidRDefault="00B20FEB" w:rsidP="00041018">
            <w:pPr>
              <w:spacing w:line="259" w:lineRule="auto"/>
              <w:ind w:left="260"/>
              <w:jc w:val="center"/>
            </w:pPr>
            <w:r>
              <w:rPr>
                <w:sz w:val="20"/>
              </w:rPr>
              <w:t>0.0318</w:t>
            </w:r>
          </w:p>
        </w:tc>
        <w:tc>
          <w:tcPr>
            <w:tcW w:w="736" w:type="dxa"/>
            <w:tcBorders>
              <w:top w:val="nil"/>
              <w:left w:val="nil"/>
              <w:bottom w:val="single" w:sz="3" w:space="0" w:color="000000"/>
              <w:right w:val="nil"/>
            </w:tcBorders>
            <w:vAlign w:val="center"/>
          </w:tcPr>
          <w:p w14:paraId="0D45AAA1" w14:textId="77777777" w:rsidR="00B20FEB" w:rsidRDefault="00B20FEB" w:rsidP="00041018">
            <w:pPr>
              <w:spacing w:line="259" w:lineRule="auto"/>
              <w:ind w:left="50"/>
              <w:jc w:val="center"/>
            </w:pPr>
            <w:r>
              <w:rPr>
                <w:sz w:val="20"/>
              </w:rPr>
              <w:t>(**)</w:t>
            </w:r>
          </w:p>
        </w:tc>
        <w:tc>
          <w:tcPr>
            <w:tcW w:w="1117" w:type="dxa"/>
            <w:tcBorders>
              <w:top w:val="nil"/>
              <w:left w:val="nil"/>
              <w:bottom w:val="single" w:sz="3" w:space="0" w:color="000000"/>
              <w:right w:val="nil"/>
            </w:tcBorders>
            <w:vAlign w:val="center"/>
          </w:tcPr>
          <w:p w14:paraId="44AF9630" w14:textId="77777777" w:rsidR="00B20FEB" w:rsidRDefault="00B20FEB" w:rsidP="00041018">
            <w:pPr>
              <w:spacing w:line="259" w:lineRule="auto"/>
              <w:ind w:left="190"/>
              <w:jc w:val="center"/>
            </w:pPr>
            <w:r>
              <w:rPr>
                <w:sz w:val="20"/>
              </w:rPr>
              <w:t>0.1106</w:t>
            </w:r>
          </w:p>
        </w:tc>
      </w:tr>
      <w:tr w:rsidR="00B20FEB" w14:paraId="4E559BB5" w14:textId="77777777" w:rsidTr="00041018">
        <w:trPr>
          <w:trHeight w:val="427"/>
        </w:trPr>
        <w:tc>
          <w:tcPr>
            <w:tcW w:w="1823" w:type="dxa"/>
            <w:vMerge w:val="restart"/>
            <w:tcBorders>
              <w:top w:val="single" w:sz="3" w:space="0" w:color="000000"/>
              <w:left w:val="nil"/>
              <w:right w:val="nil"/>
            </w:tcBorders>
            <w:vAlign w:val="center"/>
          </w:tcPr>
          <w:p w14:paraId="6684E47A" w14:textId="77777777" w:rsidR="00B20FEB" w:rsidRDefault="00B20FEB" w:rsidP="00041018">
            <w:pPr>
              <w:spacing w:line="259" w:lineRule="auto"/>
              <w:ind w:left="120"/>
              <w:jc w:val="center"/>
              <w:rPr>
                <w:sz w:val="20"/>
              </w:rPr>
            </w:pPr>
            <w:r>
              <w:rPr>
                <w:sz w:val="20"/>
              </w:rPr>
              <w:t>Book Balancers</w:t>
            </w:r>
          </w:p>
        </w:tc>
        <w:tc>
          <w:tcPr>
            <w:tcW w:w="1440" w:type="dxa"/>
            <w:tcBorders>
              <w:top w:val="single" w:sz="3" w:space="0" w:color="000000"/>
              <w:left w:val="nil"/>
              <w:bottom w:val="single" w:sz="7" w:space="0" w:color="000000"/>
              <w:right w:val="nil"/>
            </w:tcBorders>
            <w:vAlign w:val="center"/>
          </w:tcPr>
          <w:p w14:paraId="133E1209" w14:textId="77777777" w:rsidR="00B20FEB" w:rsidRDefault="00B20FEB" w:rsidP="00041018">
            <w:pPr>
              <w:ind w:left="200"/>
              <w:jc w:val="center"/>
              <w:rPr>
                <w:i/>
                <w:sz w:val="20"/>
              </w:rPr>
            </w:pPr>
            <w:r>
              <w:rPr>
                <w:i/>
                <w:sz w:val="20"/>
              </w:rPr>
              <w:t>SBOBet</w:t>
            </w:r>
          </w:p>
        </w:tc>
        <w:tc>
          <w:tcPr>
            <w:tcW w:w="1230" w:type="dxa"/>
            <w:tcBorders>
              <w:top w:val="single" w:sz="3" w:space="0" w:color="000000"/>
              <w:left w:val="nil"/>
              <w:bottom w:val="single" w:sz="7" w:space="0" w:color="000000"/>
              <w:right w:val="nil"/>
            </w:tcBorders>
            <w:vAlign w:val="center"/>
          </w:tcPr>
          <w:p w14:paraId="4F46A475" w14:textId="77777777" w:rsidR="00B20FEB" w:rsidRDefault="00B20FEB" w:rsidP="00041018">
            <w:pPr>
              <w:spacing w:line="236" w:lineRule="auto"/>
              <w:ind w:left="183"/>
              <w:jc w:val="center"/>
              <w:rPr>
                <w:sz w:val="20"/>
              </w:rPr>
            </w:pPr>
            <w:r>
              <w:rPr>
                <w:sz w:val="20"/>
              </w:rPr>
              <w:t>1.0784</w:t>
            </w:r>
          </w:p>
        </w:tc>
        <w:tc>
          <w:tcPr>
            <w:tcW w:w="1222" w:type="dxa"/>
            <w:tcBorders>
              <w:top w:val="single" w:sz="3" w:space="0" w:color="000000"/>
              <w:left w:val="nil"/>
              <w:bottom w:val="single" w:sz="7" w:space="0" w:color="000000"/>
              <w:right w:val="nil"/>
            </w:tcBorders>
            <w:vAlign w:val="center"/>
          </w:tcPr>
          <w:p w14:paraId="641FF764" w14:textId="77777777" w:rsidR="00B20FEB" w:rsidRDefault="00B20FEB" w:rsidP="00041018">
            <w:pPr>
              <w:spacing w:line="236" w:lineRule="auto"/>
              <w:ind w:left="179"/>
              <w:jc w:val="center"/>
              <w:rPr>
                <w:sz w:val="20"/>
              </w:rPr>
            </w:pPr>
            <w:r>
              <w:rPr>
                <w:sz w:val="20"/>
              </w:rPr>
              <w:t>0.0311</w:t>
            </w:r>
          </w:p>
        </w:tc>
        <w:tc>
          <w:tcPr>
            <w:tcW w:w="1394" w:type="dxa"/>
            <w:tcBorders>
              <w:top w:val="single" w:sz="3" w:space="0" w:color="000000"/>
              <w:left w:val="nil"/>
              <w:bottom w:val="single" w:sz="7" w:space="0" w:color="000000"/>
              <w:right w:val="nil"/>
            </w:tcBorders>
            <w:vAlign w:val="center"/>
          </w:tcPr>
          <w:p w14:paraId="39629DD5" w14:textId="77777777" w:rsidR="00B20FEB" w:rsidRDefault="00B20FEB" w:rsidP="00041018">
            <w:pPr>
              <w:spacing w:line="236" w:lineRule="auto"/>
              <w:ind w:left="260"/>
              <w:jc w:val="center"/>
              <w:rPr>
                <w:sz w:val="20"/>
              </w:rPr>
            </w:pPr>
            <w:r>
              <w:rPr>
                <w:sz w:val="20"/>
              </w:rPr>
              <w:t>0.0059</w:t>
            </w:r>
          </w:p>
        </w:tc>
        <w:tc>
          <w:tcPr>
            <w:tcW w:w="736" w:type="dxa"/>
            <w:tcBorders>
              <w:top w:val="single" w:sz="3" w:space="0" w:color="000000"/>
              <w:left w:val="nil"/>
              <w:bottom w:val="single" w:sz="7" w:space="0" w:color="000000"/>
              <w:right w:val="nil"/>
            </w:tcBorders>
            <w:vAlign w:val="center"/>
          </w:tcPr>
          <w:p w14:paraId="174DBA71" w14:textId="77777777" w:rsidR="00B20FEB" w:rsidRDefault="00B20FEB" w:rsidP="00041018">
            <w:pPr>
              <w:spacing w:line="259" w:lineRule="auto"/>
              <w:jc w:val="center"/>
              <w:rPr>
                <w:sz w:val="20"/>
              </w:rPr>
            </w:pPr>
            <w:r>
              <w:rPr>
                <w:sz w:val="20"/>
              </w:rPr>
              <w:t>(***)</w:t>
            </w:r>
          </w:p>
        </w:tc>
        <w:tc>
          <w:tcPr>
            <w:tcW w:w="1117" w:type="dxa"/>
            <w:tcBorders>
              <w:top w:val="single" w:sz="3" w:space="0" w:color="000000"/>
              <w:left w:val="nil"/>
              <w:bottom w:val="single" w:sz="7" w:space="0" w:color="000000"/>
              <w:right w:val="nil"/>
            </w:tcBorders>
            <w:vAlign w:val="center"/>
          </w:tcPr>
          <w:p w14:paraId="1BF62E29" w14:textId="77777777" w:rsidR="00B20FEB" w:rsidRDefault="00B20FEB" w:rsidP="00041018">
            <w:pPr>
              <w:spacing w:line="259" w:lineRule="auto"/>
              <w:ind w:left="190"/>
              <w:jc w:val="center"/>
              <w:rPr>
                <w:sz w:val="20"/>
              </w:rPr>
            </w:pPr>
            <w:r>
              <w:rPr>
                <w:sz w:val="20"/>
              </w:rPr>
              <w:t>0.1106</w:t>
            </w:r>
          </w:p>
        </w:tc>
      </w:tr>
      <w:tr w:rsidR="00B20FEB" w14:paraId="529B1E0E" w14:textId="77777777" w:rsidTr="00041018">
        <w:trPr>
          <w:trHeight w:val="427"/>
        </w:trPr>
        <w:tc>
          <w:tcPr>
            <w:tcW w:w="1823" w:type="dxa"/>
            <w:vMerge/>
            <w:tcBorders>
              <w:left w:val="nil"/>
              <w:right w:val="nil"/>
            </w:tcBorders>
            <w:vAlign w:val="bottom"/>
          </w:tcPr>
          <w:p w14:paraId="45434D2A" w14:textId="77777777" w:rsidR="00B20FEB" w:rsidRDefault="00B20FEB" w:rsidP="00041018">
            <w:pPr>
              <w:spacing w:line="259" w:lineRule="auto"/>
              <w:ind w:left="120"/>
              <w:rPr>
                <w:sz w:val="20"/>
              </w:rPr>
            </w:pPr>
          </w:p>
        </w:tc>
        <w:tc>
          <w:tcPr>
            <w:tcW w:w="1440" w:type="dxa"/>
            <w:tcBorders>
              <w:top w:val="single" w:sz="3" w:space="0" w:color="000000"/>
              <w:left w:val="nil"/>
              <w:bottom w:val="single" w:sz="7" w:space="0" w:color="000000"/>
              <w:right w:val="nil"/>
            </w:tcBorders>
            <w:vAlign w:val="center"/>
          </w:tcPr>
          <w:p w14:paraId="41F41900" w14:textId="77777777" w:rsidR="00B20FEB" w:rsidRDefault="00B20FEB" w:rsidP="00041018">
            <w:pPr>
              <w:ind w:left="200"/>
              <w:jc w:val="center"/>
              <w:rPr>
                <w:i/>
                <w:sz w:val="20"/>
              </w:rPr>
            </w:pPr>
            <w:r>
              <w:rPr>
                <w:i/>
                <w:sz w:val="20"/>
              </w:rPr>
              <w:t>188Bet</w:t>
            </w:r>
          </w:p>
        </w:tc>
        <w:tc>
          <w:tcPr>
            <w:tcW w:w="1230" w:type="dxa"/>
            <w:tcBorders>
              <w:top w:val="single" w:sz="3" w:space="0" w:color="000000"/>
              <w:left w:val="nil"/>
              <w:bottom w:val="single" w:sz="7" w:space="0" w:color="000000"/>
              <w:right w:val="nil"/>
            </w:tcBorders>
            <w:vAlign w:val="center"/>
          </w:tcPr>
          <w:p w14:paraId="4C6FFF8C" w14:textId="77777777" w:rsidR="00B20FEB" w:rsidRDefault="00B20FEB" w:rsidP="00041018">
            <w:pPr>
              <w:spacing w:line="236" w:lineRule="auto"/>
              <w:ind w:left="183"/>
              <w:jc w:val="center"/>
              <w:rPr>
                <w:sz w:val="20"/>
              </w:rPr>
            </w:pPr>
            <w:r>
              <w:rPr>
                <w:sz w:val="20"/>
              </w:rPr>
              <w:t>1.0413</w:t>
            </w:r>
          </w:p>
        </w:tc>
        <w:tc>
          <w:tcPr>
            <w:tcW w:w="1222" w:type="dxa"/>
            <w:tcBorders>
              <w:top w:val="single" w:sz="3" w:space="0" w:color="000000"/>
              <w:left w:val="nil"/>
              <w:bottom w:val="single" w:sz="7" w:space="0" w:color="000000"/>
              <w:right w:val="nil"/>
            </w:tcBorders>
            <w:vAlign w:val="center"/>
          </w:tcPr>
          <w:p w14:paraId="7FAB82EF" w14:textId="77777777" w:rsidR="00B20FEB" w:rsidRDefault="00B20FEB" w:rsidP="00041018">
            <w:pPr>
              <w:spacing w:line="236" w:lineRule="auto"/>
              <w:ind w:left="179"/>
              <w:jc w:val="center"/>
              <w:rPr>
                <w:sz w:val="20"/>
              </w:rPr>
            </w:pPr>
            <w:r>
              <w:rPr>
                <w:sz w:val="20"/>
              </w:rPr>
              <w:t>0.0299</w:t>
            </w:r>
          </w:p>
        </w:tc>
        <w:tc>
          <w:tcPr>
            <w:tcW w:w="1394" w:type="dxa"/>
            <w:tcBorders>
              <w:top w:val="single" w:sz="3" w:space="0" w:color="000000"/>
              <w:left w:val="nil"/>
              <w:bottom w:val="single" w:sz="7" w:space="0" w:color="000000"/>
              <w:right w:val="nil"/>
            </w:tcBorders>
            <w:vAlign w:val="center"/>
          </w:tcPr>
          <w:p w14:paraId="71CB0C4C" w14:textId="77777777" w:rsidR="00B20FEB" w:rsidRDefault="00B20FEB" w:rsidP="00041018">
            <w:pPr>
              <w:spacing w:line="236" w:lineRule="auto"/>
              <w:ind w:left="260"/>
              <w:jc w:val="center"/>
              <w:rPr>
                <w:sz w:val="20"/>
              </w:rPr>
            </w:pPr>
            <w:r>
              <w:rPr>
                <w:sz w:val="20"/>
              </w:rPr>
              <w:t>0.0831</w:t>
            </w:r>
          </w:p>
        </w:tc>
        <w:tc>
          <w:tcPr>
            <w:tcW w:w="736" w:type="dxa"/>
            <w:tcBorders>
              <w:top w:val="single" w:sz="3" w:space="0" w:color="000000"/>
              <w:left w:val="nil"/>
              <w:bottom w:val="single" w:sz="7" w:space="0" w:color="000000"/>
              <w:right w:val="nil"/>
            </w:tcBorders>
            <w:vAlign w:val="center"/>
          </w:tcPr>
          <w:p w14:paraId="15A3BB05" w14:textId="77777777" w:rsidR="00B20FEB" w:rsidRDefault="00B20FEB" w:rsidP="00041018">
            <w:pPr>
              <w:jc w:val="center"/>
              <w:rPr>
                <w:sz w:val="20"/>
              </w:rPr>
            </w:pPr>
            <w:r>
              <w:rPr>
                <w:sz w:val="20"/>
              </w:rPr>
              <w:t>(*)</w:t>
            </w:r>
          </w:p>
        </w:tc>
        <w:tc>
          <w:tcPr>
            <w:tcW w:w="1117" w:type="dxa"/>
            <w:tcBorders>
              <w:top w:val="single" w:sz="3" w:space="0" w:color="000000"/>
              <w:left w:val="nil"/>
              <w:bottom w:val="single" w:sz="7" w:space="0" w:color="000000"/>
              <w:right w:val="nil"/>
            </w:tcBorders>
            <w:vAlign w:val="center"/>
          </w:tcPr>
          <w:p w14:paraId="454A6896" w14:textId="77777777" w:rsidR="00B20FEB" w:rsidRDefault="00B20FEB" w:rsidP="00041018">
            <w:pPr>
              <w:ind w:left="190"/>
              <w:jc w:val="center"/>
              <w:rPr>
                <w:sz w:val="20"/>
              </w:rPr>
            </w:pPr>
            <w:r>
              <w:rPr>
                <w:sz w:val="20"/>
              </w:rPr>
              <w:t>0.1113</w:t>
            </w:r>
          </w:p>
        </w:tc>
      </w:tr>
      <w:tr w:rsidR="00B20FEB" w14:paraId="1664F33C" w14:textId="77777777" w:rsidTr="00041018">
        <w:trPr>
          <w:trHeight w:val="427"/>
        </w:trPr>
        <w:tc>
          <w:tcPr>
            <w:tcW w:w="1823" w:type="dxa"/>
            <w:vMerge/>
            <w:tcBorders>
              <w:left w:val="nil"/>
              <w:bottom w:val="single" w:sz="7" w:space="0" w:color="000000"/>
              <w:right w:val="nil"/>
            </w:tcBorders>
            <w:vAlign w:val="bottom"/>
          </w:tcPr>
          <w:p w14:paraId="23DCD794" w14:textId="77777777" w:rsidR="00B20FEB" w:rsidRDefault="00B20FEB" w:rsidP="00041018">
            <w:pPr>
              <w:spacing w:line="259" w:lineRule="auto"/>
              <w:ind w:left="120"/>
            </w:pPr>
          </w:p>
        </w:tc>
        <w:tc>
          <w:tcPr>
            <w:tcW w:w="1440" w:type="dxa"/>
            <w:tcBorders>
              <w:top w:val="single" w:sz="3" w:space="0" w:color="000000"/>
              <w:left w:val="nil"/>
              <w:bottom w:val="single" w:sz="7" w:space="0" w:color="000000"/>
              <w:right w:val="nil"/>
            </w:tcBorders>
            <w:vAlign w:val="center"/>
          </w:tcPr>
          <w:p w14:paraId="6A471018" w14:textId="77777777" w:rsidR="00B20FEB" w:rsidRDefault="00B20FEB" w:rsidP="00041018">
            <w:pPr>
              <w:spacing w:line="259" w:lineRule="auto"/>
              <w:ind w:left="176"/>
              <w:jc w:val="center"/>
            </w:pPr>
            <w:r>
              <w:rPr>
                <w:i/>
                <w:sz w:val="20"/>
              </w:rPr>
              <w:t>Pinnacle</w:t>
            </w:r>
          </w:p>
        </w:tc>
        <w:tc>
          <w:tcPr>
            <w:tcW w:w="1230" w:type="dxa"/>
            <w:tcBorders>
              <w:top w:val="single" w:sz="3" w:space="0" w:color="000000"/>
              <w:left w:val="nil"/>
              <w:bottom w:val="single" w:sz="7" w:space="0" w:color="000000"/>
              <w:right w:val="nil"/>
            </w:tcBorders>
            <w:vAlign w:val="center"/>
          </w:tcPr>
          <w:p w14:paraId="434165ED" w14:textId="77777777" w:rsidR="00B20FEB" w:rsidRDefault="00B20FEB" w:rsidP="00041018">
            <w:pPr>
              <w:spacing w:line="259" w:lineRule="auto"/>
              <w:ind w:left="183"/>
              <w:jc w:val="center"/>
            </w:pPr>
            <w:r>
              <w:rPr>
                <w:sz w:val="20"/>
              </w:rPr>
              <w:t>1.0081</w:t>
            </w:r>
          </w:p>
        </w:tc>
        <w:tc>
          <w:tcPr>
            <w:tcW w:w="1222" w:type="dxa"/>
            <w:tcBorders>
              <w:top w:val="single" w:sz="3" w:space="0" w:color="000000"/>
              <w:left w:val="nil"/>
              <w:bottom w:val="single" w:sz="7" w:space="0" w:color="000000"/>
              <w:right w:val="nil"/>
            </w:tcBorders>
            <w:vAlign w:val="center"/>
          </w:tcPr>
          <w:p w14:paraId="3EEFFC94" w14:textId="77777777" w:rsidR="00B20FEB" w:rsidRDefault="00B20FEB" w:rsidP="00041018">
            <w:pPr>
              <w:spacing w:line="259" w:lineRule="auto"/>
              <w:ind w:left="179"/>
              <w:jc w:val="center"/>
            </w:pPr>
            <w:r>
              <w:rPr>
                <w:sz w:val="20"/>
              </w:rPr>
              <w:t>0.0289</w:t>
            </w:r>
          </w:p>
        </w:tc>
        <w:tc>
          <w:tcPr>
            <w:tcW w:w="1394" w:type="dxa"/>
            <w:tcBorders>
              <w:top w:val="single" w:sz="3" w:space="0" w:color="000000"/>
              <w:left w:val="nil"/>
              <w:bottom w:val="single" w:sz="7" w:space="0" w:color="000000"/>
              <w:right w:val="nil"/>
            </w:tcBorders>
            <w:vAlign w:val="center"/>
          </w:tcPr>
          <w:p w14:paraId="17B99E8C" w14:textId="77777777" w:rsidR="00B20FEB" w:rsidRDefault="00B20FEB" w:rsidP="00041018">
            <w:pPr>
              <w:spacing w:line="259" w:lineRule="auto"/>
              <w:ind w:left="260"/>
              <w:jc w:val="center"/>
            </w:pPr>
            <w:r>
              <w:rPr>
                <w:sz w:val="20"/>
              </w:rPr>
              <w:t>0.3900</w:t>
            </w:r>
          </w:p>
        </w:tc>
        <w:tc>
          <w:tcPr>
            <w:tcW w:w="736" w:type="dxa"/>
            <w:tcBorders>
              <w:top w:val="single" w:sz="3" w:space="0" w:color="000000"/>
              <w:left w:val="nil"/>
              <w:bottom w:val="single" w:sz="7" w:space="0" w:color="000000"/>
              <w:right w:val="nil"/>
            </w:tcBorders>
            <w:vAlign w:val="center"/>
          </w:tcPr>
          <w:p w14:paraId="47042019" w14:textId="77777777" w:rsidR="00B20FEB" w:rsidRDefault="00B20FEB" w:rsidP="00041018">
            <w:pPr>
              <w:spacing w:line="259" w:lineRule="auto"/>
              <w:ind w:left="100"/>
              <w:jc w:val="center"/>
            </w:pPr>
          </w:p>
        </w:tc>
        <w:tc>
          <w:tcPr>
            <w:tcW w:w="1117" w:type="dxa"/>
            <w:tcBorders>
              <w:top w:val="single" w:sz="3" w:space="0" w:color="000000"/>
              <w:left w:val="nil"/>
              <w:bottom w:val="single" w:sz="7" w:space="0" w:color="000000"/>
              <w:right w:val="nil"/>
            </w:tcBorders>
            <w:vAlign w:val="center"/>
          </w:tcPr>
          <w:p w14:paraId="0450449D" w14:textId="77777777" w:rsidR="00B20FEB" w:rsidRDefault="00B20FEB" w:rsidP="00041018">
            <w:pPr>
              <w:spacing w:line="259" w:lineRule="auto"/>
              <w:ind w:left="189"/>
              <w:jc w:val="center"/>
            </w:pPr>
            <w:r>
              <w:rPr>
                <w:sz w:val="20"/>
              </w:rPr>
              <w:t>0.1114</w:t>
            </w:r>
          </w:p>
        </w:tc>
      </w:tr>
    </w:tbl>
    <w:p w14:paraId="39D4011D" w14:textId="77777777" w:rsidR="00B20FEB" w:rsidRDefault="00B20FEB" w:rsidP="00B20FEB">
      <w:pPr>
        <w:pStyle w:val="Heading1"/>
      </w:pPr>
    </w:p>
    <w:p w14:paraId="1ADA7684" w14:textId="77777777" w:rsidR="00B20FEB" w:rsidRDefault="00B20FEB" w:rsidP="00CA6EF1">
      <w:pPr>
        <w:spacing w:after="3" w:line="360" w:lineRule="auto"/>
        <w:ind w:left="10" w:right="-14" w:hanging="10"/>
        <w:jc w:val="both"/>
      </w:pPr>
    </w:p>
    <w:p w14:paraId="2A0A8443" w14:textId="1C06A6EF" w:rsidR="0073742C" w:rsidRDefault="005D5980">
      <w:pPr>
        <w:pStyle w:val="Heading2"/>
        <w:ind w:left="-5"/>
      </w:pPr>
      <w:r>
        <w:t>5.</w:t>
      </w:r>
      <w:r w:rsidR="00B20FEB">
        <w:t>4</w:t>
      </w:r>
      <w:r>
        <w:t>. “Winners” and “Losers” in Arbitrage Opportunities</w:t>
      </w:r>
    </w:p>
    <w:p w14:paraId="1942D646" w14:textId="2073FB52" w:rsidR="0073742C" w:rsidRDefault="005D5980" w:rsidP="00491AD3">
      <w:pPr>
        <w:spacing w:after="62" w:line="360" w:lineRule="auto"/>
        <w:ind w:left="-15"/>
        <w:jc w:val="both"/>
      </w:pPr>
      <w:r>
        <w:t xml:space="preserve">In order </w:t>
      </w:r>
      <w:r w:rsidR="00837C4B">
        <w:t xml:space="preserve">to </w:t>
      </w:r>
      <w:r>
        <w:t xml:space="preserve">identify </w:t>
      </w:r>
      <w:r w:rsidR="00837C4B">
        <w:t>which group of</w:t>
      </w:r>
      <w:r>
        <w:t xml:space="preserve"> bookmakers would </w:t>
      </w:r>
      <w:r w:rsidR="00837C4B">
        <w:t xml:space="preserve">tend to </w:t>
      </w:r>
      <w:r>
        <w:t>lose against potential arbitrageurs, should the identified risk-free opportunities be exploitable, we employ the simulation described in (10). Placing $1 on all 813 outcomes for which the odds posted by PTBs form part of the fully-hedged portfolio, yields an average profit of $0</w:t>
      </w:r>
      <w:r>
        <w:rPr>
          <w:i/>
        </w:rPr>
        <w:t>.</w:t>
      </w:r>
      <w:r>
        <w:t>16 per bet. Adopting the same strategy</w:t>
      </w:r>
      <w:r w:rsidR="00FD32D0">
        <w:t>,</w:t>
      </w:r>
      <w:r>
        <w:t xml:space="preserve"> of backing all outcomes where the BBBs’ odds feature in the optimal fully</w:t>
      </w:r>
      <w:r w:rsidR="00FD32D0">
        <w:t xml:space="preserve"> </w:t>
      </w:r>
      <w:r>
        <w:t>hedged portfolio</w:t>
      </w:r>
      <w:r w:rsidR="00FD32D0">
        <w:t>,</w:t>
      </w:r>
      <w:r>
        <w:t xml:space="preserve"> results in a loss of $0</w:t>
      </w:r>
      <w:r>
        <w:rPr>
          <w:i/>
        </w:rPr>
        <w:t>.</w:t>
      </w:r>
      <w:r>
        <w:t>024 per bet</w:t>
      </w:r>
      <w:r w:rsidR="00FD32D0">
        <w:t>.</w:t>
      </w:r>
      <w:r>
        <w:rPr>
          <w:vertAlign w:val="superscript"/>
        </w:rPr>
        <w:footnoteReference w:id="18"/>
      </w:r>
      <w:r>
        <w:rPr>
          <w:vertAlign w:val="superscript"/>
        </w:rPr>
        <w:t>,</w:t>
      </w:r>
      <w:r>
        <w:rPr>
          <w:vertAlign w:val="superscript"/>
        </w:rPr>
        <w:footnoteReference w:id="19"/>
      </w:r>
      <w:r>
        <w:rPr>
          <w:vertAlign w:val="superscript"/>
        </w:rPr>
        <w:t xml:space="preserve"> </w:t>
      </w:r>
      <w:r w:rsidR="00FD32D0">
        <w:rPr>
          <w:vertAlign w:val="superscript"/>
        </w:rPr>
        <w:t xml:space="preserve"> </w:t>
      </w:r>
      <w:r>
        <w:t>The profit obtained on the bets placed at the PTBs odds in these cases is significantly higher than the profit (</w:t>
      </w:r>
      <w:r w:rsidR="00837C4B">
        <w:t xml:space="preserve">i.e. </w:t>
      </w:r>
      <w:r>
        <w:t>in fact a loss) obtained on the bets placed at the BBBs odds (</w:t>
      </w:r>
      <w:r>
        <w:rPr>
          <w:i/>
        </w:rPr>
        <w:t>t</w:t>
      </w:r>
      <w:r>
        <w:t xml:space="preserve">-statistic = 3.37, </w:t>
      </w:r>
      <w:r>
        <w:rPr>
          <w:i/>
        </w:rPr>
        <w:t>p</w:t>
      </w:r>
      <w:r>
        <w:t xml:space="preserve">-value = 0.000). </w:t>
      </w:r>
    </w:p>
    <w:p w14:paraId="342303BD" w14:textId="6AE24263" w:rsidR="0073742C" w:rsidRDefault="005D5980" w:rsidP="00491AD3">
      <w:pPr>
        <w:spacing w:line="360" w:lineRule="auto"/>
        <w:ind w:left="-15"/>
        <w:jc w:val="both"/>
      </w:pPr>
      <w:r>
        <w:t>Adjusting the strategy, as described by (13), leads to an average profit per bet of $0</w:t>
      </w:r>
      <w:r>
        <w:rPr>
          <w:i/>
        </w:rPr>
        <w:t>.</w:t>
      </w:r>
      <w:r>
        <w:t xml:space="preserve">04 per $1 stake against PTBs and an average loss of </w:t>
      </w:r>
      <w:r>
        <w:rPr>
          <w:i/>
        </w:rPr>
        <w:t>−</w:t>
      </w:r>
      <w:r>
        <w:t>$0</w:t>
      </w:r>
      <w:r>
        <w:rPr>
          <w:i/>
        </w:rPr>
        <w:t>.</w:t>
      </w:r>
      <w:r>
        <w:t>047 per $1 stake against BBBs. These returns remain significantly different (</w:t>
      </w:r>
      <w:r>
        <w:rPr>
          <w:i/>
        </w:rPr>
        <w:t>t</w:t>
      </w:r>
      <w:r>
        <w:t xml:space="preserve">-statistic = 2.60, </w:t>
      </w:r>
      <w:r>
        <w:rPr>
          <w:i/>
        </w:rPr>
        <w:t>p</w:t>
      </w:r>
      <w:r>
        <w:t xml:space="preserve">-value = 0.005). This result supports Hypothesis 3a, namely, that </w:t>
      </w:r>
      <w:r w:rsidR="00FD32D0">
        <w:t>PTBs</w:t>
      </w:r>
      <w:r>
        <w:t xml:space="preserve"> </w:t>
      </w:r>
      <w:r w:rsidR="00837C4B">
        <w:t xml:space="preserve">would </w:t>
      </w:r>
      <w:r>
        <w:t>suffer losses on average when an apparent arbitrage opportunity exists.</w:t>
      </w:r>
    </w:p>
    <w:p w14:paraId="3E532800" w14:textId="642C75F2" w:rsidR="0073742C" w:rsidRDefault="005D5980" w:rsidP="00491AD3">
      <w:pPr>
        <w:spacing w:after="481" w:line="360" w:lineRule="auto"/>
        <w:ind w:left="-15"/>
        <w:jc w:val="both"/>
      </w:pPr>
      <w:r>
        <w:t>Interestingly, the loss incurred against the BBBs on these bets is close to their over</w:t>
      </w:r>
      <w:r w:rsidR="00491AD3">
        <w:t>-</w:t>
      </w:r>
      <w:r>
        <w:t>round.</w:t>
      </w:r>
      <w:r>
        <w:rPr>
          <w:vertAlign w:val="superscript"/>
        </w:rPr>
        <w:footnoteReference w:id="20"/>
      </w:r>
      <w:r>
        <w:rPr>
          <w:vertAlign w:val="superscript"/>
        </w:rPr>
        <w:t xml:space="preserve"> </w:t>
      </w:r>
      <w:r w:rsidR="0004311A">
        <w:t xml:space="preserve">Put another way, </w:t>
      </w:r>
      <w:r w:rsidR="00837C4B">
        <w:t>that</w:t>
      </w:r>
      <w:r>
        <w:t xml:space="preserve"> component of </w:t>
      </w:r>
      <w:r w:rsidR="00837C4B">
        <w:t xml:space="preserve">the </w:t>
      </w:r>
      <w:r>
        <w:t xml:space="preserve">arbitrage portfolio placed through BBBs generates returns for a bettor equal </w:t>
      </w:r>
      <w:r w:rsidR="00FD32D0">
        <w:t xml:space="preserve">to </w:t>
      </w:r>
      <w:r>
        <w:t xml:space="preserve">their expected loss had they placed a random bet with these bookmakers. In other words, the fact that another bookmaker offers sufficiently different odds to generate an apparent arbitrage opportunity does not change the expected value </w:t>
      </w:r>
      <w:r w:rsidR="00837C4B">
        <w:t>they receive from their</w:t>
      </w:r>
      <w:r>
        <w:t xml:space="preserve"> bets</w:t>
      </w:r>
      <w:r w:rsidR="00837C4B">
        <w:t>.</w:t>
      </w:r>
      <w:r>
        <w:t xml:space="preserve"> Hence, this result effectively justifies </w:t>
      </w:r>
      <w:r>
        <w:rPr>
          <w:i/>
        </w:rPr>
        <w:t xml:space="preserve">Pinnacle’s </w:t>
      </w:r>
      <w:r>
        <w:t>statement that the motive for a bet (e.g. intention to arbitrage) should be irrelevant to a BBB.</w:t>
      </w:r>
      <w:r>
        <w:rPr>
          <w:vertAlign w:val="superscript"/>
        </w:rPr>
        <w:footnoteReference w:id="21"/>
      </w:r>
      <w:r>
        <w:rPr>
          <w:vertAlign w:val="superscript"/>
        </w:rPr>
        <w:t xml:space="preserve"> </w:t>
      </w:r>
      <w:r>
        <w:t>From the bettor’s perspective, a higher return is expected by placing bets against outlying odds of PTBs, rather than by hedging such positions against BBBs, since in the latter case</w:t>
      </w:r>
      <w:r w:rsidR="00FD32D0">
        <w:t>,</w:t>
      </w:r>
      <w:r>
        <w:t xml:space="preserve"> the average profit drops to $0</w:t>
      </w:r>
      <w:r>
        <w:rPr>
          <w:i/>
        </w:rPr>
        <w:t>.</w:t>
      </w:r>
      <w:r>
        <w:t>013 per $1 bet. Consequently, there is evidence from these simulations to support Hypothesis 3a</w:t>
      </w:r>
      <w:r w:rsidR="00FD32D0">
        <w:t xml:space="preserve">, </w:t>
      </w:r>
      <w:r>
        <w:t xml:space="preserve">the expected loss from an apparent arbitrage opportunity is likely to be suffered by the PTBs. This is consistent with Franck </w:t>
      </w:r>
      <w:r w:rsidRPr="00097B9D">
        <w:rPr>
          <w:i/>
        </w:rPr>
        <w:t>et al</w:t>
      </w:r>
      <w:r>
        <w:t>.’s (2013) findings.</w:t>
      </w:r>
    </w:p>
    <w:p w14:paraId="5D969EB6" w14:textId="77777777" w:rsidR="0073742C" w:rsidRDefault="005D5980" w:rsidP="005E5150">
      <w:pPr>
        <w:pStyle w:val="Heading1"/>
      </w:pPr>
      <w:r>
        <w:t>6. DISCUSSION AND CONCLUSION</w:t>
      </w:r>
    </w:p>
    <w:p w14:paraId="765381FB" w14:textId="061525D7" w:rsidR="0073742C" w:rsidRDefault="000D05B8" w:rsidP="00AC3AFE">
      <w:pPr>
        <w:spacing w:line="360" w:lineRule="auto"/>
        <w:ind w:left="-15"/>
        <w:jc w:val="both"/>
      </w:pPr>
      <w:r>
        <w:t>T</w:t>
      </w:r>
      <w:r w:rsidR="005D5980">
        <w:t>his paper explore</w:t>
      </w:r>
      <w:r>
        <w:t>s</w:t>
      </w:r>
      <w:r w:rsidR="005D5980">
        <w:t xml:space="preserve"> the impact of the </w:t>
      </w:r>
      <w:r w:rsidR="000D3ED2">
        <w:t xml:space="preserve">entry of </w:t>
      </w:r>
      <w:r w:rsidR="005D5980">
        <w:t>book-balancing bookmaker</w:t>
      </w:r>
      <w:r w:rsidR="000D3ED2">
        <w:t>s (BBBs)</w:t>
      </w:r>
      <w:r w:rsidR="00837C4B">
        <w:t xml:space="preserve"> </w:t>
      </w:r>
      <w:r w:rsidR="005D5980">
        <w:t xml:space="preserve">on the efficiency of the market for European </w:t>
      </w:r>
      <w:r w:rsidR="00236815">
        <w:t>soccer</w:t>
      </w:r>
      <w:r w:rsidR="005D5980">
        <w:t xml:space="preserve"> betting</w:t>
      </w:r>
      <w:r w:rsidR="000D3ED2">
        <w:t>, which was previously dominated by position taking bookmakers (PTBs)</w:t>
      </w:r>
      <w:r w:rsidR="005D5980">
        <w:t xml:space="preserve">. </w:t>
      </w:r>
      <w:r w:rsidR="001B77A6">
        <w:t>W</w:t>
      </w:r>
      <w:r w:rsidR="005D5980">
        <w:t xml:space="preserve">e </w:t>
      </w:r>
      <w:r>
        <w:t>identified</w:t>
      </w:r>
      <w:r w:rsidR="005D5980">
        <w:t xml:space="preserve"> arbitrage opportunities across bookmakers from a unique data set of 1</w:t>
      </w:r>
      <w:r w:rsidR="00471A1D">
        <w:t>X</w:t>
      </w:r>
      <w:r w:rsidR="005D5980">
        <w:t xml:space="preserve">2 and AH odds for </w:t>
      </w:r>
      <w:r w:rsidR="00236815">
        <w:t>soccer</w:t>
      </w:r>
      <w:r w:rsidR="005D5980">
        <w:t xml:space="preserve"> games played in major European leagues. Match odds were collected </w:t>
      </w:r>
      <w:r w:rsidR="000D3ED2">
        <w:t>close to</w:t>
      </w:r>
      <w:r w:rsidR="005D5980">
        <w:t xml:space="preserve"> kick-off, when markets are most liquid. Employing a linear programming methodology, we identified the best combination for each of 545 games where a fully hedged profitable investment appear</w:t>
      </w:r>
      <w:r w:rsidR="00471A1D">
        <w:t>ed</w:t>
      </w:r>
      <w:r w:rsidR="005D5980">
        <w:t xml:space="preserve"> to be possible.</w:t>
      </w:r>
    </w:p>
    <w:p w14:paraId="2113C502" w14:textId="511D21D5" w:rsidR="00332E7D" w:rsidRDefault="000D05B8" w:rsidP="00901460">
      <w:pPr>
        <w:spacing w:line="360" w:lineRule="auto"/>
        <w:ind w:left="-15"/>
        <w:jc w:val="both"/>
      </w:pPr>
      <w:r>
        <w:t>S</w:t>
      </w:r>
      <w:r w:rsidR="005D5980">
        <w:t>uch a strategy could, in theory, guarantee a profit of 1</w:t>
      </w:r>
      <w:r w:rsidR="005D5980">
        <w:rPr>
          <w:i/>
        </w:rPr>
        <w:t>.</w:t>
      </w:r>
      <w:r w:rsidR="005D5980">
        <w:t xml:space="preserve">3% per game on average. To </w:t>
      </w:r>
      <w:r w:rsidR="000D3ED2">
        <w:t>a degree</w:t>
      </w:r>
      <w:r w:rsidR="005D5980">
        <w:t xml:space="preserve">, our findings confirm those of Franck </w:t>
      </w:r>
      <w:r w:rsidR="005D5980" w:rsidRPr="00236815">
        <w:rPr>
          <w:i/>
        </w:rPr>
        <w:t>et al</w:t>
      </w:r>
      <w:r w:rsidR="005D5980">
        <w:t>. (2013); arbitrage opportunities mainly exist across, rather than within</w:t>
      </w:r>
      <w:r w:rsidR="000D3ED2">
        <w:t>,</w:t>
      </w:r>
      <w:r w:rsidR="005D5980">
        <w:t xml:space="preserve"> market structures. However, </w:t>
      </w:r>
      <w:r>
        <w:t>importantly</w:t>
      </w:r>
      <w:r w:rsidR="000D3ED2">
        <w:t>, our data assembly assures that</w:t>
      </w:r>
      <w:r w:rsidR="005D5980">
        <w:t xml:space="preserve"> the disparate odds required to form an arbitrage portfolio were concurrently available, and </w:t>
      </w:r>
      <w:r w:rsidR="00B12100">
        <w:t xml:space="preserve">were </w:t>
      </w:r>
      <w:r w:rsidR="005D5980">
        <w:t xml:space="preserve">sufficiently liquid to be exploited. </w:t>
      </w:r>
      <w:r w:rsidR="001B77A6">
        <w:t>Whilst previous studies have treated bookmakers as a homogeneous set, our study makes the explicit distinction between incumbent PTBs and new entrant BBBs as a basis for investigating distinctions in odds menus and opportunities for profitable arbitrage. The results suggest that the two groups of bookmakers are indeed distinct in terms of odds setting and that the consequent arbitrage opportunities are principally accounted for by PTBs’ inefficient pricing.</w:t>
      </w:r>
    </w:p>
    <w:p w14:paraId="1586F1ED" w14:textId="16A8AAFA" w:rsidR="00C625FA" w:rsidRDefault="005D5980" w:rsidP="00AC3AFE">
      <w:pPr>
        <w:spacing w:line="360" w:lineRule="auto"/>
        <w:ind w:left="-15"/>
        <w:jc w:val="both"/>
      </w:pPr>
      <w:r>
        <w:t>This pricing policy may</w:t>
      </w:r>
      <w:r w:rsidR="008D4C52">
        <w:t xml:space="preserve"> </w:t>
      </w:r>
      <w:r>
        <w:t xml:space="preserve">be intentional, in order to attract customers, </w:t>
      </w:r>
      <w:r w:rsidR="001B77A6">
        <w:t>and/</w:t>
      </w:r>
      <w:r>
        <w:t>or the result of their prices lagging behind BBBs (due to the pace at which BBBs’ odds are informatively updated, driven by the flow of “smart money”).</w:t>
      </w:r>
      <w:r>
        <w:rPr>
          <w:vertAlign w:val="superscript"/>
        </w:rPr>
        <w:footnoteReference w:id="22"/>
      </w:r>
      <w:r w:rsidR="00AC3AFE">
        <w:t xml:space="preserve"> </w:t>
      </w:r>
      <w:r>
        <w:t xml:space="preserve">Given the public availability of </w:t>
      </w:r>
      <w:r w:rsidR="001B77A6">
        <w:t xml:space="preserve">BBB </w:t>
      </w:r>
      <w:r>
        <w:t xml:space="preserve">odds, it seems fair to assume that if the sole objective of the price setting strategies of PTBs were the efficient calibration of event outcomes they would fully align their odds with those of </w:t>
      </w:r>
      <w:r w:rsidR="00332E7D">
        <w:t>BBBs.</w:t>
      </w:r>
      <w:r w:rsidR="00446D44">
        <w:t xml:space="preserve"> </w:t>
      </w:r>
      <w:r>
        <w:t xml:space="preserve">The setting of promotional odds </w:t>
      </w:r>
      <w:r w:rsidR="000D05B8">
        <w:t>may</w:t>
      </w:r>
      <w:r>
        <w:t xml:space="preserve"> assist PTBs in identifying informed clients, who tend to place bets only at prices with negative expectation for the bookmaker. In addition,</w:t>
      </w:r>
      <w:r w:rsidR="003D4BF6">
        <w:t xml:space="preserve"> and as reported above,</w:t>
      </w:r>
      <w:r>
        <w:t xml:space="preserve"> significant evidence exists that such bookmakers operate discriminating behaviour against long-term winning customers. Consequently, we argue that the majority of apparent arbitrage opportunities observed in </w:t>
      </w:r>
      <w:r w:rsidR="00DD793C">
        <w:t>soccer</w:t>
      </w:r>
      <w:r>
        <w:t xml:space="preserve"> betting markets are very </w:t>
      </w:r>
      <w:r w:rsidR="009E3B0B">
        <w:t>un</w:t>
      </w:r>
      <w:r>
        <w:t xml:space="preserve">likely to be </w:t>
      </w:r>
      <w:r w:rsidR="00471A1D">
        <w:t>exploitable in practice</w:t>
      </w:r>
      <w:r>
        <w:t>.</w:t>
      </w:r>
      <w:r w:rsidR="004A7CBA">
        <w:t xml:space="preserve"> </w:t>
      </w:r>
      <w:r>
        <w:t xml:space="preserve">  </w:t>
      </w:r>
      <w:r w:rsidR="009E3B0B">
        <w:t>In the context of the betting market considered here, t</w:t>
      </w:r>
      <w:r>
        <w:t xml:space="preserve">he original concept of the EMH, </w:t>
      </w:r>
      <w:r w:rsidR="009E3B0B">
        <w:t>where</w:t>
      </w:r>
      <w:r>
        <w:t xml:space="preserve"> market prices converge to fundamental values, subject to the activity of informed traders, may be</w:t>
      </w:r>
      <w:r w:rsidR="004A7CBA">
        <w:t xml:space="preserve"> </w:t>
      </w:r>
      <w:r w:rsidR="00471A1D">
        <w:t>open to challenge</w:t>
      </w:r>
      <w:r w:rsidR="009E3B0B">
        <w:t xml:space="preserve"> as efficiency in this case, in terms of an absence of exploitable arbitrage opportunities, is a function of PTBs’ restriction of trade, rather than odds convergence.</w:t>
      </w:r>
    </w:p>
    <w:p w14:paraId="79BC8C8E" w14:textId="7DBC9FF0" w:rsidR="00C625FA" w:rsidRDefault="009E3B0B" w:rsidP="00AC3AFE">
      <w:pPr>
        <w:spacing w:line="360" w:lineRule="auto"/>
        <w:jc w:val="both"/>
      </w:pPr>
      <w:r>
        <w:t>T</w:t>
      </w:r>
      <w:r w:rsidR="005D5980">
        <w:t xml:space="preserve">he experience from </w:t>
      </w:r>
      <w:r w:rsidR="00446D44">
        <w:t xml:space="preserve">other </w:t>
      </w:r>
      <w:r w:rsidR="005D5980">
        <w:t xml:space="preserve">financial markets, in which exchanges with lower commissions, such as Chi-X, have gained traction in the marketplace alongside established competitors (He, Jarnecic, and Liu, 2015), </w:t>
      </w:r>
      <w:r>
        <w:t xml:space="preserve">suggests that </w:t>
      </w:r>
      <w:r w:rsidR="005D5980">
        <w:t xml:space="preserve">the traditional PTBs risk losing market share to the BBBs. Thus, we </w:t>
      </w:r>
      <w:r>
        <w:t xml:space="preserve">would </w:t>
      </w:r>
      <w:r w:rsidR="005D5980">
        <w:t>predict that as bettors become more sophisticated and recognize the availability of exchanges with lower execution costs and higher liquidity, PTBs will mimic the</w:t>
      </w:r>
      <w:r>
        <w:t xml:space="preserve"> BBB</w:t>
      </w:r>
      <w:r w:rsidR="005D5980">
        <w:t xml:space="preserve"> model, focusing more on holding balanced books rather than setting profit-maximizing</w:t>
      </w:r>
      <w:r w:rsidR="004A7CBA">
        <w:t xml:space="preserve"> </w:t>
      </w:r>
      <w:r w:rsidR="005D5980">
        <w:t>prices.</w:t>
      </w:r>
    </w:p>
    <w:p w14:paraId="6EB4EABD" w14:textId="77777777" w:rsidR="00A07CC9" w:rsidRDefault="00A07CC9" w:rsidP="005265B9"/>
    <w:p w14:paraId="4D82747B" w14:textId="77777777" w:rsidR="00582366" w:rsidRDefault="00582366" w:rsidP="005265B9"/>
    <w:p w14:paraId="20BB6362" w14:textId="77777777" w:rsidR="00582366" w:rsidRDefault="00582366" w:rsidP="005265B9"/>
    <w:p w14:paraId="4FE07221" w14:textId="77777777" w:rsidR="00582366" w:rsidRDefault="00582366" w:rsidP="005265B9"/>
    <w:p w14:paraId="7087396C" w14:textId="77777777" w:rsidR="00582366" w:rsidRDefault="00582366" w:rsidP="005265B9"/>
    <w:p w14:paraId="0EB2D17C" w14:textId="77777777" w:rsidR="00582366" w:rsidRDefault="00582366" w:rsidP="005265B9"/>
    <w:p w14:paraId="7D1B2F3A" w14:textId="77777777" w:rsidR="00582366" w:rsidRDefault="00582366" w:rsidP="005265B9"/>
    <w:p w14:paraId="16EFB238" w14:textId="77777777" w:rsidR="00582366" w:rsidRDefault="00582366" w:rsidP="005265B9"/>
    <w:p w14:paraId="0494C26C" w14:textId="77777777" w:rsidR="00582366" w:rsidRDefault="00582366" w:rsidP="005265B9"/>
    <w:p w14:paraId="59F365ED" w14:textId="77777777" w:rsidR="00582366" w:rsidRDefault="00582366" w:rsidP="005265B9"/>
    <w:p w14:paraId="699A13E1" w14:textId="77777777" w:rsidR="00582366" w:rsidRDefault="00582366" w:rsidP="005265B9"/>
    <w:p w14:paraId="56F99653" w14:textId="77777777" w:rsidR="00582366" w:rsidRDefault="00582366" w:rsidP="005265B9"/>
    <w:p w14:paraId="4008C418" w14:textId="77777777" w:rsidR="00582366" w:rsidRDefault="00582366" w:rsidP="005265B9"/>
    <w:p w14:paraId="2B57B3AC" w14:textId="77777777" w:rsidR="00582366" w:rsidRDefault="00582366" w:rsidP="005265B9"/>
    <w:p w14:paraId="5E9496FD" w14:textId="77777777" w:rsidR="00582366" w:rsidRDefault="00582366" w:rsidP="005265B9"/>
    <w:p w14:paraId="05714905" w14:textId="77777777" w:rsidR="00582366" w:rsidRDefault="00582366" w:rsidP="005265B9"/>
    <w:p w14:paraId="660B07E0" w14:textId="77777777" w:rsidR="00582366" w:rsidRDefault="00582366" w:rsidP="005265B9"/>
    <w:p w14:paraId="503A0C04" w14:textId="77777777" w:rsidR="00582366" w:rsidRDefault="00582366" w:rsidP="005265B9"/>
    <w:p w14:paraId="507557D9" w14:textId="77777777" w:rsidR="00582366" w:rsidRDefault="00582366" w:rsidP="005265B9"/>
    <w:p w14:paraId="02190B3C" w14:textId="77777777" w:rsidR="00446D44" w:rsidRDefault="00446D44" w:rsidP="005265B9"/>
    <w:p w14:paraId="470AEB19" w14:textId="1F940A32" w:rsidR="0073742C" w:rsidRDefault="005D5980" w:rsidP="008A23F3">
      <w:pPr>
        <w:spacing w:after="164"/>
      </w:pPr>
      <w:r>
        <w:rPr>
          <w:b/>
          <w:sz w:val="29"/>
        </w:rPr>
        <w:t>References:</w:t>
      </w:r>
    </w:p>
    <w:p w14:paraId="142EFB05" w14:textId="77777777" w:rsidR="008F7C7F" w:rsidRPr="008F7C7F" w:rsidRDefault="008F7C7F">
      <w:pPr>
        <w:spacing w:after="179" w:line="267" w:lineRule="auto"/>
        <w:ind w:left="229" w:hanging="244"/>
      </w:pPr>
      <w:r>
        <w:t xml:space="preserve">Amihud, Y., and Mendelson, H., 1980. Dealership market: market making with inventory. </w:t>
      </w:r>
      <w:r w:rsidRPr="005265B9">
        <w:rPr>
          <w:i/>
        </w:rPr>
        <w:t>Journal of Financial Economics</w:t>
      </w:r>
      <w:r>
        <w:t xml:space="preserve"> </w:t>
      </w:r>
      <w:r w:rsidRPr="005265B9">
        <w:rPr>
          <w:b/>
        </w:rPr>
        <w:t>8</w:t>
      </w:r>
      <w:r w:rsidR="00144DB7">
        <w:t>, 31-</w:t>
      </w:r>
      <w:r>
        <w:t>53.</w:t>
      </w:r>
    </w:p>
    <w:p w14:paraId="3C6CBB57" w14:textId="77777777" w:rsidR="0073742C" w:rsidRDefault="005D5980">
      <w:pPr>
        <w:spacing w:after="179" w:line="267" w:lineRule="auto"/>
        <w:ind w:left="229" w:hanging="244"/>
        <w:rPr>
          <w:sz w:val="22"/>
        </w:rPr>
      </w:pPr>
      <w:r>
        <w:rPr>
          <w:sz w:val="22"/>
        </w:rPr>
        <w:t xml:space="preserve">Benter, W. (1994), Computer-Based Handicapping and Wagering Systems: A Report, </w:t>
      </w:r>
      <w:r>
        <w:rPr>
          <w:i/>
          <w:sz w:val="22"/>
        </w:rPr>
        <w:t xml:space="preserve">in </w:t>
      </w:r>
      <w:r>
        <w:rPr>
          <w:sz w:val="22"/>
        </w:rPr>
        <w:t>V. S. Y. Lo, D. B. Hausch and W. T. Ziemba, eds, ‘Efficiency of Racetrack Betting Markets’, Academic Press, New York, pp. 183–192.</w:t>
      </w:r>
    </w:p>
    <w:p w14:paraId="325BC748" w14:textId="77777777" w:rsidR="00C625FA" w:rsidRPr="00C625FA" w:rsidRDefault="00C625FA">
      <w:pPr>
        <w:spacing w:after="179" w:line="267" w:lineRule="auto"/>
        <w:ind w:left="229" w:hanging="244"/>
      </w:pPr>
      <w:r>
        <w:rPr>
          <w:sz w:val="22"/>
        </w:rPr>
        <w:t xml:space="preserve">Biais, B., Glosten, L., and Spatt, C. (2005) ‘Market Microstructure:  A survey of microfoundations, empirical results and policy implications, </w:t>
      </w:r>
      <w:r>
        <w:rPr>
          <w:i/>
          <w:sz w:val="22"/>
        </w:rPr>
        <w:t>Journal of Financial Markets</w:t>
      </w:r>
      <w:r>
        <w:rPr>
          <w:sz w:val="22"/>
        </w:rPr>
        <w:t>, 8, 217-264.</w:t>
      </w:r>
    </w:p>
    <w:p w14:paraId="0A99A1CB" w14:textId="77777777" w:rsidR="0073742C" w:rsidRDefault="005D5980">
      <w:pPr>
        <w:spacing w:after="201" w:line="267" w:lineRule="auto"/>
        <w:ind w:left="229" w:hanging="244"/>
      </w:pPr>
      <w:r>
        <w:rPr>
          <w:sz w:val="22"/>
        </w:rPr>
        <w:t xml:space="preserve">Dantzig, G. B. (1951), Maximization of a Linear Function of Variables Subject to Linear Inequalities, </w:t>
      </w:r>
      <w:r>
        <w:rPr>
          <w:i/>
          <w:sz w:val="22"/>
        </w:rPr>
        <w:t xml:space="preserve">in </w:t>
      </w:r>
      <w:r>
        <w:rPr>
          <w:sz w:val="22"/>
        </w:rPr>
        <w:t>T. Koopmans, ed., ‘Activity Analysis of Production and Allocation’, John Wiley and Sons, New York, pp. 339–347.</w:t>
      </w:r>
    </w:p>
    <w:p w14:paraId="42E08FA2" w14:textId="77777777" w:rsidR="0073742C" w:rsidRDefault="005D5980">
      <w:pPr>
        <w:spacing w:after="179" w:line="267" w:lineRule="auto"/>
        <w:ind w:left="229" w:hanging="244"/>
      </w:pPr>
      <w:r>
        <w:rPr>
          <w:sz w:val="22"/>
        </w:rPr>
        <w:t xml:space="preserve">Deschamps, B. (2008), ‘Betting Markets Efficiency: Evidence From European Football’, </w:t>
      </w:r>
      <w:r>
        <w:rPr>
          <w:i/>
          <w:sz w:val="22"/>
        </w:rPr>
        <w:t xml:space="preserve">Journal of Gambling Business and Economics </w:t>
      </w:r>
      <w:r>
        <w:rPr>
          <w:b/>
          <w:sz w:val="22"/>
        </w:rPr>
        <w:t>2</w:t>
      </w:r>
      <w:r>
        <w:rPr>
          <w:sz w:val="22"/>
        </w:rPr>
        <w:t>, 66–76.</w:t>
      </w:r>
    </w:p>
    <w:p w14:paraId="3BF31E1B" w14:textId="77777777" w:rsidR="0073742C" w:rsidRDefault="005D5980">
      <w:pPr>
        <w:spacing w:after="210" w:line="267" w:lineRule="auto"/>
        <w:ind w:left="229" w:hanging="244"/>
      </w:pPr>
      <w:r>
        <w:rPr>
          <w:sz w:val="22"/>
        </w:rPr>
        <w:t xml:space="preserve">Deschamps, B. and Gergaud, O. (2007), ‘Efficiency in Betting Markets: Evidence from English </w:t>
      </w:r>
      <w:r w:rsidRPr="00582366">
        <w:rPr>
          <w:sz w:val="20"/>
        </w:rPr>
        <w:t>Football</w:t>
      </w:r>
      <w:r>
        <w:rPr>
          <w:sz w:val="22"/>
        </w:rPr>
        <w:t xml:space="preserve">’, </w:t>
      </w:r>
      <w:r>
        <w:rPr>
          <w:i/>
          <w:sz w:val="22"/>
        </w:rPr>
        <w:t xml:space="preserve">Journal of Prediction Markets </w:t>
      </w:r>
      <w:r>
        <w:rPr>
          <w:b/>
          <w:sz w:val="22"/>
        </w:rPr>
        <w:t>1</w:t>
      </w:r>
      <w:r>
        <w:rPr>
          <w:sz w:val="22"/>
        </w:rPr>
        <w:t>, 61–73.</w:t>
      </w:r>
    </w:p>
    <w:p w14:paraId="63832EA6" w14:textId="77777777" w:rsidR="0073742C" w:rsidRDefault="005D5980">
      <w:pPr>
        <w:spacing w:after="179" w:line="267" w:lineRule="auto"/>
        <w:ind w:left="229" w:hanging="244"/>
        <w:rPr>
          <w:sz w:val="22"/>
        </w:rPr>
      </w:pPr>
      <w:r>
        <w:rPr>
          <w:sz w:val="22"/>
        </w:rPr>
        <w:t xml:space="preserve">Dixon, M. J. and Pope, P. F. (2004), ‘The Value of Statistical Forecasts in the UK Association Football Betting Market’, </w:t>
      </w:r>
      <w:r>
        <w:rPr>
          <w:i/>
          <w:sz w:val="22"/>
        </w:rPr>
        <w:t xml:space="preserve">International Journal of Forecasting </w:t>
      </w:r>
      <w:r>
        <w:rPr>
          <w:b/>
          <w:sz w:val="22"/>
        </w:rPr>
        <w:t>20</w:t>
      </w:r>
      <w:r>
        <w:rPr>
          <w:sz w:val="22"/>
        </w:rPr>
        <w:t>, 697–711.</w:t>
      </w:r>
    </w:p>
    <w:p w14:paraId="3AA1723E" w14:textId="77777777" w:rsidR="00144DB7" w:rsidRPr="005265B9" w:rsidRDefault="00144DB7">
      <w:pPr>
        <w:spacing w:after="179" w:line="267" w:lineRule="auto"/>
        <w:ind w:left="229" w:hanging="244"/>
        <w:rPr>
          <w:sz w:val="22"/>
        </w:rPr>
      </w:pPr>
      <w:r w:rsidRPr="005265B9">
        <w:rPr>
          <w:sz w:val="22"/>
        </w:rPr>
        <w:t>Easley, D.,</w:t>
      </w:r>
      <w:r>
        <w:rPr>
          <w:sz w:val="22"/>
        </w:rPr>
        <w:t xml:space="preserve"> and</w:t>
      </w:r>
      <w:r w:rsidRPr="005265B9">
        <w:rPr>
          <w:sz w:val="22"/>
        </w:rPr>
        <w:t xml:space="preserve"> O'Hara, M., 1987. Price, trade size, and in</w:t>
      </w:r>
      <w:r>
        <w:rPr>
          <w:sz w:val="22"/>
        </w:rPr>
        <w:t>formation in securities markets,</w:t>
      </w:r>
      <w:r w:rsidRPr="005265B9">
        <w:rPr>
          <w:sz w:val="22"/>
        </w:rPr>
        <w:t xml:space="preserve"> </w:t>
      </w:r>
      <w:r w:rsidRPr="005265B9">
        <w:rPr>
          <w:i/>
          <w:sz w:val="22"/>
        </w:rPr>
        <w:t>Journal of Financial Economics</w:t>
      </w:r>
      <w:r w:rsidRPr="005265B9">
        <w:rPr>
          <w:sz w:val="22"/>
        </w:rPr>
        <w:t xml:space="preserve"> </w:t>
      </w:r>
      <w:r w:rsidRPr="005265B9">
        <w:rPr>
          <w:b/>
          <w:sz w:val="22"/>
        </w:rPr>
        <w:t>19</w:t>
      </w:r>
      <w:r>
        <w:rPr>
          <w:sz w:val="22"/>
        </w:rPr>
        <w:t>, 69-</w:t>
      </w:r>
      <w:r w:rsidRPr="005265B9">
        <w:rPr>
          <w:sz w:val="22"/>
        </w:rPr>
        <w:t>90.</w:t>
      </w:r>
    </w:p>
    <w:p w14:paraId="5EA8897E" w14:textId="77777777" w:rsidR="0073742C" w:rsidRDefault="005D5980">
      <w:pPr>
        <w:spacing w:after="210" w:line="267" w:lineRule="auto"/>
        <w:ind w:left="229" w:hanging="244"/>
      </w:pPr>
      <w:r>
        <w:rPr>
          <w:sz w:val="22"/>
        </w:rPr>
        <w:t xml:space="preserve">Edelman, D. C. and O’Brian, N. R. (2004), ‘Tote Arbitrage and Lock Opportunities in Racetrack Betting’, </w:t>
      </w:r>
      <w:r>
        <w:rPr>
          <w:i/>
          <w:sz w:val="22"/>
        </w:rPr>
        <w:t xml:space="preserve">European Journal of Finance </w:t>
      </w:r>
      <w:r>
        <w:rPr>
          <w:b/>
          <w:sz w:val="22"/>
        </w:rPr>
        <w:t>10</w:t>
      </w:r>
      <w:r>
        <w:rPr>
          <w:sz w:val="22"/>
        </w:rPr>
        <w:t>, 370–378.</w:t>
      </w:r>
    </w:p>
    <w:p w14:paraId="02AF7FDE" w14:textId="77777777" w:rsidR="0073742C" w:rsidRDefault="005D5980">
      <w:pPr>
        <w:spacing w:after="179" w:line="267" w:lineRule="auto"/>
        <w:ind w:left="229" w:hanging="244"/>
      </w:pPr>
      <w:r>
        <w:rPr>
          <w:sz w:val="22"/>
        </w:rPr>
        <w:t xml:space="preserve">Fama, E. F. (1970), ‘Efficient Capital Markets: A Review and Theory and Empirical Work’, </w:t>
      </w:r>
      <w:r>
        <w:rPr>
          <w:i/>
          <w:sz w:val="22"/>
        </w:rPr>
        <w:t xml:space="preserve">Journal of Finance </w:t>
      </w:r>
      <w:r>
        <w:rPr>
          <w:b/>
          <w:sz w:val="22"/>
        </w:rPr>
        <w:t>25</w:t>
      </w:r>
      <w:r>
        <w:rPr>
          <w:sz w:val="22"/>
        </w:rPr>
        <w:t>, 383–417.</w:t>
      </w:r>
    </w:p>
    <w:p w14:paraId="21C91A01" w14:textId="77777777" w:rsidR="0073742C" w:rsidRDefault="005D5980">
      <w:pPr>
        <w:spacing w:after="205" w:line="267" w:lineRule="auto"/>
        <w:ind w:left="229" w:hanging="244"/>
      </w:pPr>
      <w:r>
        <w:rPr>
          <w:sz w:val="22"/>
        </w:rPr>
        <w:t>Fingleton, J. and Waldron, P. (1999), Optimal Determination of Bookmakers’ Betting Odds: Theory and Tests. Department of Economics, Discussion Paper 96/9, Trinity College Dublin.</w:t>
      </w:r>
    </w:p>
    <w:p w14:paraId="3AF74E3D" w14:textId="77777777" w:rsidR="0073742C" w:rsidRDefault="005D5980">
      <w:pPr>
        <w:spacing w:after="208" w:line="267" w:lineRule="auto"/>
        <w:ind w:left="229" w:hanging="244"/>
      </w:pPr>
      <w:r>
        <w:rPr>
          <w:sz w:val="22"/>
        </w:rPr>
        <w:t xml:space="preserve">Forrest, D. (2012), ‘The Threat to Football from Betting-Related Corruption’, </w:t>
      </w:r>
      <w:r>
        <w:rPr>
          <w:i/>
          <w:sz w:val="22"/>
        </w:rPr>
        <w:t xml:space="preserve">International Journal of Sports Finance </w:t>
      </w:r>
      <w:r>
        <w:rPr>
          <w:b/>
          <w:sz w:val="22"/>
        </w:rPr>
        <w:t>7</w:t>
      </w:r>
      <w:r>
        <w:rPr>
          <w:sz w:val="22"/>
        </w:rPr>
        <w:t>, 99–116.</w:t>
      </w:r>
    </w:p>
    <w:p w14:paraId="3C815BA4" w14:textId="77777777" w:rsidR="0073742C" w:rsidRDefault="005D5980">
      <w:pPr>
        <w:spacing w:after="179" w:line="267" w:lineRule="auto"/>
        <w:ind w:left="229" w:hanging="244"/>
      </w:pPr>
      <w:r>
        <w:rPr>
          <w:sz w:val="22"/>
        </w:rPr>
        <w:t xml:space="preserve">Forrest, D. and Simmons, R. (2008), ‘Sentiment in the Betting Market on Spanish Football’, </w:t>
      </w:r>
      <w:r>
        <w:rPr>
          <w:i/>
          <w:sz w:val="22"/>
        </w:rPr>
        <w:t xml:space="preserve">Applied Economics </w:t>
      </w:r>
      <w:r>
        <w:rPr>
          <w:b/>
          <w:sz w:val="22"/>
        </w:rPr>
        <w:t>40</w:t>
      </w:r>
      <w:r>
        <w:rPr>
          <w:sz w:val="22"/>
        </w:rPr>
        <w:t>, 119–126.</w:t>
      </w:r>
    </w:p>
    <w:p w14:paraId="49A5887B" w14:textId="77777777" w:rsidR="0073742C" w:rsidRDefault="005D5980">
      <w:pPr>
        <w:spacing w:after="179" w:line="267" w:lineRule="auto"/>
        <w:ind w:left="229" w:hanging="244"/>
      </w:pPr>
      <w:r>
        <w:rPr>
          <w:sz w:val="22"/>
        </w:rPr>
        <w:t xml:space="preserve">Franck, E., Verbeek, E. and Nüesch, S. (2010), ‘Prediction Accuracy of Different Market Structures - Bookmakers Versus a Betting Exchange’, </w:t>
      </w:r>
      <w:r>
        <w:rPr>
          <w:i/>
          <w:sz w:val="22"/>
        </w:rPr>
        <w:t xml:space="preserve">International Journal of Forecasting </w:t>
      </w:r>
      <w:r>
        <w:rPr>
          <w:b/>
          <w:sz w:val="22"/>
        </w:rPr>
        <w:t>26</w:t>
      </w:r>
      <w:r>
        <w:rPr>
          <w:sz w:val="22"/>
        </w:rPr>
        <w:t>, 448–459.</w:t>
      </w:r>
    </w:p>
    <w:p w14:paraId="6E71B1B8" w14:textId="77777777" w:rsidR="0073742C" w:rsidRDefault="005D5980">
      <w:pPr>
        <w:spacing w:after="203" w:line="267" w:lineRule="auto"/>
        <w:ind w:left="229" w:hanging="244"/>
      </w:pPr>
      <w:r>
        <w:rPr>
          <w:sz w:val="22"/>
        </w:rPr>
        <w:t xml:space="preserve">Franck, E., Verbeek, E. and Nüesch, S. (2011), ‘Sentimental Preferences and the Organizational Regime of Betting Markets’, </w:t>
      </w:r>
      <w:r>
        <w:rPr>
          <w:i/>
          <w:sz w:val="22"/>
        </w:rPr>
        <w:t xml:space="preserve">Southern Economic Journal </w:t>
      </w:r>
      <w:r>
        <w:rPr>
          <w:b/>
          <w:sz w:val="22"/>
        </w:rPr>
        <w:t>78</w:t>
      </w:r>
      <w:r>
        <w:rPr>
          <w:sz w:val="22"/>
        </w:rPr>
        <w:t>, 502–518.</w:t>
      </w:r>
    </w:p>
    <w:p w14:paraId="1ABBD449" w14:textId="77777777" w:rsidR="0073742C" w:rsidRDefault="005D5980">
      <w:pPr>
        <w:spacing w:after="179" w:line="267" w:lineRule="auto"/>
        <w:ind w:left="229" w:hanging="244"/>
      </w:pPr>
      <w:r>
        <w:rPr>
          <w:sz w:val="22"/>
        </w:rPr>
        <w:t xml:space="preserve">Franck, E., Verbeek, E. and Nüesch, S. (2013), ‘Inter-market Arbitrage in Betting’, </w:t>
      </w:r>
      <w:r>
        <w:rPr>
          <w:i/>
          <w:sz w:val="22"/>
        </w:rPr>
        <w:t xml:space="preserve">Economica </w:t>
      </w:r>
      <w:r>
        <w:rPr>
          <w:b/>
          <w:sz w:val="22"/>
        </w:rPr>
        <w:t>80</w:t>
      </w:r>
      <w:r>
        <w:rPr>
          <w:sz w:val="22"/>
        </w:rPr>
        <w:t>, 300–325.</w:t>
      </w:r>
    </w:p>
    <w:p w14:paraId="32CBB27D" w14:textId="77777777" w:rsidR="0073742C" w:rsidRDefault="005D5980">
      <w:pPr>
        <w:spacing w:after="179" w:line="267" w:lineRule="auto"/>
        <w:ind w:left="229" w:hanging="244"/>
        <w:rPr>
          <w:sz w:val="22"/>
        </w:rPr>
      </w:pPr>
      <w:r>
        <w:rPr>
          <w:sz w:val="22"/>
        </w:rPr>
        <w:t xml:space="preserve">Friedman, M. (1953), </w:t>
      </w:r>
      <w:r>
        <w:rPr>
          <w:i/>
          <w:sz w:val="22"/>
        </w:rPr>
        <w:t>Essays in Positive Economics</w:t>
      </w:r>
      <w:r>
        <w:rPr>
          <w:sz w:val="22"/>
        </w:rPr>
        <w:t>, University of Chicago Press, Chicago, chapter The Case for Flexible Exchange Rates.</w:t>
      </w:r>
    </w:p>
    <w:p w14:paraId="4B8B2134" w14:textId="77777777" w:rsidR="008F7C7F" w:rsidRDefault="008F7C7F">
      <w:pPr>
        <w:spacing w:after="179" w:line="267" w:lineRule="auto"/>
        <w:ind w:left="229" w:hanging="244"/>
      </w:pPr>
      <w:r w:rsidRPr="005265B9">
        <w:rPr>
          <w:sz w:val="22"/>
        </w:rPr>
        <w:t xml:space="preserve">Glosten, L., </w:t>
      </w:r>
      <w:r w:rsidR="00144DB7">
        <w:rPr>
          <w:sz w:val="22"/>
        </w:rPr>
        <w:t xml:space="preserve">and </w:t>
      </w:r>
      <w:r w:rsidRPr="005265B9">
        <w:rPr>
          <w:sz w:val="22"/>
        </w:rPr>
        <w:t>Milgrom, P., 1985. Bid, ask and transaction prices in a specialist market with heterogeneously</w:t>
      </w:r>
      <w:r w:rsidR="00144DB7">
        <w:rPr>
          <w:sz w:val="22"/>
        </w:rPr>
        <w:t xml:space="preserve"> </w:t>
      </w:r>
      <w:r w:rsidRPr="005265B9">
        <w:rPr>
          <w:sz w:val="22"/>
        </w:rPr>
        <w:t xml:space="preserve">informed traders. </w:t>
      </w:r>
      <w:r w:rsidRPr="005265B9">
        <w:rPr>
          <w:i/>
          <w:sz w:val="22"/>
        </w:rPr>
        <w:t>Journal of Financial Economics</w:t>
      </w:r>
      <w:r w:rsidRPr="005265B9">
        <w:rPr>
          <w:sz w:val="22"/>
        </w:rPr>
        <w:t xml:space="preserve"> </w:t>
      </w:r>
      <w:r w:rsidRPr="005265B9">
        <w:rPr>
          <w:b/>
          <w:sz w:val="22"/>
        </w:rPr>
        <w:t>14</w:t>
      </w:r>
      <w:r w:rsidRPr="005265B9">
        <w:rPr>
          <w:sz w:val="22"/>
        </w:rPr>
        <w:t>, 71–100.</w:t>
      </w:r>
    </w:p>
    <w:p w14:paraId="33859FC8" w14:textId="77777777" w:rsidR="0073742C" w:rsidRDefault="005D5980">
      <w:pPr>
        <w:spacing w:after="179" w:line="267" w:lineRule="auto"/>
        <w:ind w:left="229" w:hanging="244"/>
      </w:pPr>
      <w:r>
        <w:rPr>
          <w:sz w:val="22"/>
        </w:rPr>
        <w:t>Gromb, D. and Vayanos, D. (2010), Limits of Arbitrage: The State of the Theory. NBER Working Paper No. 15821.</w:t>
      </w:r>
    </w:p>
    <w:p w14:paraId="284F97F8" w14:textId="77777777" w:rsidR="0073742C" w:rsidRDefault="005D5980">
      <w:pPr>
        <w:spacing w:after="179" w:line="267" w:lineRule="auto"/>
        <w:ind w:left="229" w:hanging="244"/>
      </w:pPr>
      <w:r>
        <w:rPr>
          <w:sz w:val="22"/>
        </w:rPr>
        <w:t xml:space="preserve">He, P. W., Jarnecic, E. and Liu, Y. (2015), ‘The Determinants of Alternative Trading Venue Market Share: Global Evidence from the Introduction of Chi-X’, </w:t>
      </w:r>
      <w:r>
        <w:rPr>
          <w:i/>
          <w:sz w:val="22"/>
        </w:rPr>
        <w:t xml:space="preserve">Journal of Financial Markets </w:t>
      </w:r>
      <w:r>
        <w:rPr>
          <w:b/>
          <w:sz w:val="22"/>
        </w:rPr>
        <w:t>22</w:t>
      </w:r>
      <w:r>
        <w:rPr>
          <w:sz w:val="22"/>
        </w:rPr>
        <w:t>, 27–49.</w:t>
      </w:r>
    </w:p>
    <w:p w14:paraId="1085D68B" w14:textId="77777777" w:rsidR="0073742C" w:rsidRDefault="005D5980">
      <w:pPr>
        <w:spacing w:after="179" w:line="267" w:lineRule="auto"/>
        <w:ind w:left="229" w:hanging="244"/>
      </w:pPr>
      <w:r>
        <w:rPr>
          <w:sz w:val="22"/>
        </w:rPr>
        <w:t xml:space="preserve">Hodges, S., Lin, H. and Liu, L. (2013), ‘Fixed Odds Bookmaking with Stochastic Betting Demands’, </w:t>
      </w:r>
      <w:r>
        <w:rPr>
          <w:i/>
          <w:sz w:val="22"/>
        </w:rPr>
        <w:t xml:space="preserve">European Financial Management </w:t>
      </w:r>
      <w:r>
        <w:rPr>
          <w:b/>
          <w:sz w:val="22"/>
        </w:rPr>
        <w:t>19</w:t>
      </w:r>
      <w:r>
        <w:rPr>
          <w:sz w:val="22"/>
        </w:rPr>
        <w:t>, 399–417.</w:t>
      </w:r>
    </w:p>
    <w:p w14:paraId="6509B5C5" w14:textId="77777777" w:rsidR="0073742C" w:rsidRDefault="005D5980">
      <w:pPr>
        <w:spacing w:after="179" w:line="267" w:lineRule="auto"/>
        <w:ind w:left="229" w:hanging="244"/>
        <w:rPr>
          <w:sz w:val="22"/>
        </w:rPr>
      </w:pPr>
      <w:r>
        <w:rPr>
          <w:sz w:val="22"/>
        </w:rPr>
        <w:t xml:space="preserve">Kelly, J. L. (1956), ‘A New Interpretation of Information Rate’, </w:t>
      </w:r>
      <w:r>
        <w:rPr>
          <w:i/>
          <w:sz w:val="22"/>
        </w:rPr>
        <w:t xml:space="preserve">Bell Systems Technical Journal </w:t>
      </w:r>
      <w:r>
        <w:rPr>
          <w:b/>
          <w:sz w:val="22"/>
        </w:rPr>
        <w:t>35</w:t>
      </w:r>
      <w:r>
        <w:rPr>
          <w:sz w:val="22"/>
        </w:rPr>
        <w:t>, 917–926.</w:t>
      </w:r>
    </w:p>
    <w:p w14:paraId="6FFE00A2" w14:textId="77777777" w:rsidR="0073742C" w:rsidRDefault="005D5980">
      <w:pPr>
        <w:spacing w:after="179" w:line="267" w:lineRule="auto"/>
        <w:ind w:left="229" w:hanging="244"/>
      </w:pPr>
      <w:r>
        <w:rPr>
          <w:sz w:val="22"/>
        </w:rPr>
        <w:t xml:space="preserve">Levitt, S. D. (2004), ‘Why are Gambling Markets Organized So Differently from Financial Markets?’, </w:t>
      </w:r>
      <w:r>
        <w:rPr>
          <w:i/>
          <w:sz w:val="22"/>
        </w:rPr>
        <w:t xml:space="preserve">The Economic Journal </w:t>
      </w:r>
      <w:r>
        <w:rPr>
          <w:b/>
          <w:sz w:val="22"/>
        </w:rPr>
        <w:t>114</w:t>
      </w:r>
      <w:r>
        <w:rPr>
          <w:sz w:val="22"/>
        </w:rPr>
        <w:t>, 223–246.</w:t>
      </w:r>
    </w:p>
    <w:p w14:paraId="7E6B3C7C" w14:textId="0B022732" w:rsidR="0073742C" w:rsidRDefault="005D5980">
      <w:pPr>
        <w:spacing w:after="179" w:line="267" w:lineRule="auto"/>
        <w:ind w:left="229" w:hanging="244"/>
      </w:pPr>
      <w:r>
        <w:rPr>
          <w:sz w:val="22"/>
        </w:rPr>
        <w:t>Levitt, S. D. and List, J. A. (2007), ‘What Do Laboratory Experiments Measuring Social Preferences Reveal About the Real World?’</w:t>
      </w:r>
      <w:r w:rsidR="00102226">
        <w:rPr>
          <w:sz w:val="22"/>
        </w:rPr>
        <w:t>,</w:t>
      </w:r>
      <w:r>
        <w:rPr>
          <w:sz w:val="22"/>
        </w:rPr>
        <w:t xml:space="preserve"> </w:t>
      </w:r>
      <w:r>
        <w:rPr>
          <w:i/>
          <w:sz w:val="22"/>
        </w:rPr>
        <w:t xml:space="preserve">Journal of Economic Perspectives </w:t>
      </w:r>
      <w:r>
        <w:rPr>
          <w:b/>
          <w:sz w:val="22"/>
        </w:rPr>
        <w:t>21</w:t>
      </w:r>
      <w:r>
        <w:rPr>
          <w:sz w:val="22"/>
        </w:rPr>
        <w:t>, 153–174.</w:t>
      </w:r>
    </w:p>
    <w:p w14:paraId="72FC6824" w14:textId="77777777" w:rsidR="0073742C" w:rsidRDefault="005D5980">
      <w:pPr>
        <w:spacing w:after="179" w:line="267" w:lineRule="auto"/>
        <w:ind w:left="229" w:hanging="244"/>
      </w:pPr>
      <w:r>
        <w:rPr>
          <w:sz w:val="22"/>
        </w:rPr>
        <w:t xml:space="preserve">Luckner, S. and Weinhardt, C. (2008), Arbitrage Opportunities and Market-Making Traders in Prediction Markets, </w:t>
      </w:r>
      <w:r>
        <w:rPr>
          <w:i/>
          <w:sz w:val="22"/>
        </w:rPr>
        <w:t xml:space="preserve">in </w:t>
      </w:r>
      <w:r>
        <w:rPr>
          <w:sz w:val="22"/>
        </w:rPr>
        <w:t>‘10th IEEE Conference on E-Commerce Technology and the Fifth IEEE Conference on Enterprise Computing, E-Commerce and E-Services’, IEEE, Washington, D.C., pp. 53–59.</w:t>
      </w:r>
    </w:p>
    <w:p w14:paraId="58341A19" w14:textId="77777777" w:rsidR="0073742C" w:rsidRDefault="005D5980">
      <w:pPr>
        <w:spacing w:after="0" w:line="450" w:lineRule="auto"/>
        <w:ind w:left="-15"/>
      </w:pPr>
      <w:r>
        <w:rPr>
          <w:sz w:val="22"/>
        </w:rPr>
        <w:t xml:space="preserve">Madhavan, A. (2000), ‘Market Microstructure: A Survey’, </w:t>
      </w:r>
      <w:r>
        <w:rPr>
          <w:i/>
          <w:sz w:val="22"/>
        </w:rPr>
        <w:t xml:space="preserve">Journal of Financial Markets </w:t>
      </w:r>
      <w:r>
        <w:rPr>
          <w:b/>
          <w:sz w:val="22"/>
        </w:rPr>
        <w:t>3</w:t>
      </w:r>
      <w:r>
        <w:rPr>
          <w:sz w:val="22"/>
        </w:rPr>
        <w:t xml:space="preserve">, 205–258. Magee, S. (1990), </w:t>
      </w:r>
      <w:r>
        <w:rPr>
          <w:i/>
          <w:sz w:val="22"/>
        </w:rPr>
        <w:t>The Channel Four Book of Racing</w:t>
      </w:r>
      <w:r>
        <w:rPr>
          <w:sz w:val="22"/>
        </w:rPr>
        <w:t>, Sidgwick and Johnson, London, U.K.</w:t>
      </w:r>
    </w:p>
    <w:p w14:paraId="61DA1602" w14:textId="77777777" w:rsidR="0073742C" w:rsidRDefault="005D5980">
      <w:pPr>
        <w:spacing w:after="179" w:line="267" w:lineRule="auto"/>
        <w:ind w:left="229" w:hanging="244"/>
      </w:pPr>
      <w:r>
        <w:rPr>
          <w:sz w:val="22"/>
        </w:rPr>
        <w:t xml:space="preserve">McFadden, D. L. (1974), Conditional Logit Analysis of Qualitative Choice Behavior, </w:t>
      </w:r>
      <w:r>
        <w:rPr>
          <w:i/>
          <w:sz w:val="22"/>
        </w:rPr>
        <w:t xml:space="preserve">in </w:t>
      </w:r>
      <w:r>
        <w:rPr>
          <w:sz w:val="22"/>
        </w:rPr>
        <w:t>P. Zarembka, ed., ‘Frontiers in Econometrics’, Academic Press, New York, pp. 105–142.</w:t>
      </w:r>
    </w:p>
    <w:p w14:paraId="068B3E45" w14:textId="09B5740B" w:rsidR="0073742C" w:rsidRDefault="005D5980">
      <w:pPr>
        <w:spacing w:after="203" w:line="267" w:lineRule="auto"/>
        <w:ind w:left="229" w:hanging="244"/>
      </w:pPr>
      <w:r>
        <w:rPr>
          <w:sz w:val="22"/>
        </w:rPr>
        <w:t>McLean, R. D. and Pontiff, J. (</w:t>
      </w:r>
      <w:r w:rsidR="008F7C7F">
        <w:rPr>
          <w:sz w:val="22"/>
        </w:rPr>
        <w:t>2016</w:t>
      </w:r>
      <w:r>
        <w:rPr>
          <w:sz w:val="22"/>
        </w:rPr>
        <w:t xml:space="preserve">), ‘Does Academic Research Destroy Stock Return Predictability?’, </w:t>
      </w:r>
      <w:r>
        <w:rPr>
          <w:i/>
          <w:sz w:val="22"/>
        </w:rPr>
        <w:t>Journal of Finance</w:t>
      </w:r>
      <w:r w:rsidR="008F7C7F">
        <w:rPr>
          <w:sz w:val="22"/>
        </w:rPr>
        <w:t xml:space="preserve"> </w:t>
      </w:r>
      <w:r w:rsidR="008F7C7F" w:rsidRPr="005265B9">
        <w:rPr>
          <w:b/>
          <w:sz w:val="22"/>
        </w:rPr>
        <w:t>71</w:t>
      </w:r>
      <w:r w:rsidR="008F7C7F">
        <w:rPr>
          <w:sz w:val="22"/>
        </w:rPr>
        <w:t>, 5-32.</w:t>
      </w:r>
      <w:r>
        <w:rPr>
          <w:sz w:val="22"/>
        </w:rPr>
        <w:t>.</w:t>
      </w:r>
    </w:p>
    <w:p w14:paraId="26E093FE" w14:textId="77777777" w:rsidR="0073742C" w:rsidRDefault="005D5980">
      <w:pPr>
        <w:spacing w:after="179" w:line="267" w:lineRule="auto"/>
        <w:ind w:left="229" w:hanging="244"/>
      </w:pPr>
      <w:r>
        <w:rPr>
          <w:sz w:val="22"/>
        </w:rPr>
        <w:t xml:space="preserve">Newall, P. W. S. (2015), ‘How Bookies Make Your Money’, </w:t>
      </w:r>
      <w:r>
        <w:rPr>
          <w:i/>
          <w:sz w:val="22"/>
        </w:rPr>
        <w:t xml:space="preserve">Judgment and Decision Making </w:t>
      </w:r>
      <w:r>
        <w:rPr>
          <w:b/>
          <w:sz w:val="22"/>
        </w:rPr>
        <w:t>10</w:t>
      </w:r>
      <w:r>
        <w:rPr>
          <w:sz w:val="22"/>
        </w:rPr>
        <w:t>, 225– 231.</w:t>
      </w:r>
    </w:p>
    <w:p w14:paraId="109A3039" w14:textId="77777777" w:rsidR="0073742C" w:rsidRDefault="005D5980">
      <w:pPr>
        <w:spacing w:after="179" w:line="267" w:lineRule="auto"/>
        <w:ind w:left="229" w:hanging="244"/>
        <w:rPr>
          <w:sz w:val="22"/>
        </w:rPr>
      </w:pPr>
      <w:r>
        <w:rPr>
          <w:sz w:val="22"/>
        </w:rPr>
        <w:t xml:space="preserve">Oikonomidis, A. and Johnson, J. (2011), Who Can Beat the Odds? The Case of Football Betting Reviewed, </w:t>
      </w:r>
      <w:r>
        <w:rPr>
          <w:i/>
          <w:sz w:val="22"/>
        </w:rPr>
        <w:t xml:space="preserve">in </w:t>
      </w:r>
      <w:r>
        <w:rPr>
          <w:sz w:val="22"/>
        </w:rPr>
        <w:t>L. Vaughan Williams, ed., ‘Prediction Markets: Theory and Applications’, Routledge, Milton Park, U.K., pp. 204–220.</w:t>
      </w:r>
    </w:p>
    <w:p w14:paraId="412940A9" w14:textId="2E51DB8F" w:rsidR="00A52228" w:rsidRPr="00102226" w:rsidRDefault="00A52228">
      <w:pPr>
        <w:spacing w:after="179" w:line="267" w:lineRule="auto"/>
        <w:ind w:left="229" w:hanging="244"/>
        <w:rPr>
          <w:color w:val="auto"/>
          <w:u w:val="single"/>
        </w:rPr>
      </w:pPr>
      <w:r>
        <w:rPr>
          <w:sz w:val="22"/>
        </w:rPr>
        <w:t>Pinnacle</w:t>
      </w:r>
      <w:r w:rsidR="00102226">
        <w:rPr>
          <w:sz w:val="22"/>
        </w:rPr>
        <w:t xml:space="preserve"> (2017) </w:t>
      </w:r>
      <w:r w:rsidR="00102226" w:rsidRPr="00102226">
        <w:rPr>
          <w:color w:val="auto"/>
          <w:sz w:val="22"/>
          <w:u w:val="single"/>
        </w:rPr>
        <w:t>https://www.pinnacle.com/en/promotions/winners-welcome</w:t>
      </w:r>
    </w:p>
    <w:p w14:paraId="5141DF62" w14:textId="77777777" w:rsidR="0073742C" w:rsidRDefault="005D5980">
      <w:pPr>
        <w:spacing w:after="212" w:line="267" w:lineRule="auto"/>
        <w:ind w:left="229" w:hanging="244"/>
        <w:rPr>
          <w:sz w:val="22"/>
        </w:rPr>
      </w:pPr>
      <w:r w:rsidRPr="001813C0">
        <w:rPr>
          <w:sz w:val="22"/>
        </w:rPr>
        <w:t>Pope, P</w:t>
      </w:r>
      <w:r>
        <w:rPr>
          <w:sz w:val="22"/>
        </w:rPr>
        <w:t xml:space="preserve">. F. and Peel, D. A. (1989), ‘Information, Prices, and Efficiency in a Fixed-Odds Betting Market’, </w:t>
      </w:r>
      <w:r>
        <w:rPr>
          <w:i/>
          <w:sz w:val="22"/>
        </w:rPr>
        <w:t xml:space="preserve">Economica </w:t>
      </w:r>
      <w:r>
        <w:rPr>
          <w:b/>
          <w:sz w:val="22"/>
        </w:rPr>
        <w:t>56</w:t>
      </w:r>
      <w:r>
        <w:rPr>
          <w:sz w:val="22"/>
        </w:rPr>
        <w:t>, 323–341.</w:t>
      </w:r>
    </w:p>
    <w:p w14:paraId="67239CEC" w14:textId="77777777" w:rsidR="008F7C7F" w:rsidRPr="005265B9" w:rsidRDefault="008F7C7F">
      <w:pPr>
        <w:spacing w:after="212" w:line="267" w:lineRule="auto"/>
        <w:ind w:left="229" w:hanging="244"/>
        <w:rPr>
          <w:sz w:val="22"/>
        </w:rPr>
      </w:pPr>
      <w:r w:rsidRPr="005265B9">
        <w:rPr>
          <w:sz w:val="22"/>
        </w:rPr>
        <w:t>Roll, R., 1984. A simple implicit measure of the effective bid-ask spread in an efficient market</w:t>
      </w:r>
      <w:r>
        <w:rPr>
          <w:sz w:val="22"/>
        </w:rPr>
        <w:t>,</w:t>
      </w:r>
      <w:r w:rsidRPr="005265B9">
        <w:rPr>
          <w:sz w:val="22"/>
        </w:rPr>
        <w:t xml:space="preserve"> </w:t>
      </w:r>
      <w:r w:rsidRPr="005265B9">
        <w:rPr>
          <w:i/>
          <w:sz w:val="22"/>
        </w:rPr>
        <w:t>Journal of Finance</w:t>
      </w:r>
      <w:r w:rsidRPr="005265B9">
        <w:rPr>
          <w:sz w:val="22"/>
        </w:rPr>
        <w:t xml:space="preserve"> </w:t>
      </w:r>
      <w:r w:rsidRPr="005265B9">
        <w:rPr>
          <w:b/>
          <w:sz w:val="22"/>
        </w:rPr>
        <w:t>39</w:t>
      </w:r>
      <w:r w:rsidRPr="005265B9">
        <w:rPr>
          <w:sz w:val="22"/>
        </w:rPr>
        <w:t>, 1127–1139.</w:t>
      </w:r>
    </w:p>
    <w:p w14:paraId="5C480045" w14:textId="77777777" w:rsidR="0073742C" w:rsidRDefault="005D5980">
      <w:pPr>
        <w:spacing w:after="204" w:line="267" w:lineRule="auto"/>
        <w:ind w:left="229" w:hanging="244"/>
      </w:pPr>
      <w:r>
        <w:rPr>
          <w:sz w:val="22"/>
        </w:rPr>
        <w:t xml:space="preserve">Sauer, R. D. (1998), ‘The Economics of Wagering Markets’, </w:t>
      </w:r>
      <w:r>
        <w:rPr>
          <w:i/>
          <w:sz w:val="22"/>
        </w:rPr>
        <w:t xml:space="preserve">Journal of Economic Literature </w:t>
      </w:r>
      <w:r>
        <w:rPr>
          <w:b/>
          <w:sz w:val="22"/>
        </w:rPr>
        <w:t>36</w:t>
      </w:r>
      <w:r>
        <w:rPr>
          <w:sz w:val="22"/>
        </w:rPr>
        <w:t>, 2021–2064.</w:t>
      </w:r>
    </w:p>
    <w:p w14:paraId="024F2E6B" w14:textId="77777777" w:rsidR="0073742C" w:rsidRDefault="005D5980">
      <w:pPr>
        <w:spacing w:after="179" w:line="267" w:lineRule="auto"/>
        <w:ind w:left="229" w:hanging="244"/>
      </w:pPr>
      <w:r>
        <w:rPr>
          <w:sz w:val="22"/>
        </w:rPr>
        <w:t xml:space="preserve">Smith, M. A., Paton, D. and Vaughan Williams, L. (2006), ‘Market Efficiency in Person-to-Person Betting’, </w:t>
      </w:r>
      <w:r>
        <w:rPr>
          <w:i/>
          <w:sz w:val="22"/>
        </w:rPr>
        <w:t xml:space="preserve">Economica </w:t>
      </w:r>
      <w:r>
        <w:rPr>
          <w:b/>
          <w:sz w:val="22"/>
        </w:rPr>
        <w:t>73</w:t>
      </w:r>
      <w:r>
        <w:rPr>
          <w:sz w:val="22"/>
        </w:rPr>
        <w:t>, 673–689.</w:t>
      </w:r>
    </w:p>
    <w:p w14:paraId="32B48322" w14:textId="77777777" w:rsidR="0073742C" w:rsidRDefault="005D5980">
      <w:pPr>
        <w:spacing w:after="179" w:line="267" w:lineRule="auto"/>
        <w:ind w:left="229" w:hanging="244"/>
      </w:pPr>
      <w:r>
        <w:rPr>
          <w:sz w:val="22"/>
        </w:rPr>
        <w:t xml:space="preserve">Smith, M. A., Paton, D. and Vaughan Williams, L. (2009), ‘Do Bookmakers Possess Superior Skills to Bettors in Predicting Outcomes?’, </w:t>
      </w:r>
      <w:r>
        <w:rPr>
          <w:i/>
          <w:sz w:val="22"/>
        </w:rPr>
        <w:t xml:space="preserve">Journal of Economic Behavior and Organization </w:t>
      </w:r>
      <w:r>
        <w:rPr>
          <w:b/>
          <w:sz w:val="22"/>
        </w:rPr>
        <w:t>71</w:t>
      </w:r>
      <w:r>
        <w:rPr>
          <w:sz w:val="22"/>
        </w:rPr>
        <w:t>, 539–549.</w:t>
      </w:r>
    </w:p>
    <w:p w14:paraId="52177509" w14:textId="77777777" w:rsidR="0073742C" w:rsidRDefault="005D5980">
      <w:pPr>
        <w:spacing w:after="179" w:line="267" w:lineRule="auto"/>
        <w:ind w:left="229" w:hanging="244"/>
        <w:rPr>
          <w:sz w:val="22"/>
        </w:rPr>
      </w:pPr>
      <w:r>
        <w:rPr>
          <w:sz w:val="22"/>
        </w:rPr>
        <w:t xml:space="preserve">Spann, M. and Skiera, B. (2009), ‘Sports Forecasting: A Comparison of the Forecast Accuracy of Prediction Markets, Betting Odds and Tipsters’, </w:t>
      </w:r>
      <w:r>
        <w:rPr>
          <w:i/>
          <w:sz w:val="22"/>
        </w:rPr>
        <w:t xml:space="preserve">Journal of Forecasting </w:t>
      </w:r>
      <w:r>
        <w:rPr>
          <w:b/>
          <w:sz w:val="22"/>
        </w:rPr>
        <w:t>28</w:t>
      </w:r>
      <w:r>
        <w:rPr>
          <w:sz w:val="22"/>
        </w:rPr>
        <w:t>, 55–72.</w:t>
      </w:r>
    </w:p>
    <w:p w14:paraId="68F1C843" w14:textId="77777777" w:rsidR="008F7C7F" w:rsidRPr="008F7C7F" w:rsidRDefault="008F7C7F">
      <w:pPr>
        <w:spacing w:after="179" w:line="267" w:lineRule="auto"/>
        <w:ind w:left="229" w:hanging="244"/>
      </w:pPr>
      <w:r>
        <w:rPr>
          <w:sz w:val="22"/>
        </w:rPr>
        <w:t xml:space="preserve">Stoll, H. (1978) ‘The Supply of Dealer Services in Securities Markets,’ </w:t>
      </w:r>
      <w:r>
        <w:rPr>
          <w:i/>
          <w:sz w:val="22"/>
        </w:rPr>
        <w:t>Journal of Finance</w:t>
      </w:r>
      <w:r w:rsidR="00144DB7">
        <w:rPr>
          <w:sz w:val="22"/>
        </w:rPr>
        <w:t xml:space="preserve"> </w:t>
      </w:r>
      <w:r>
        <w:rPr>
          <w:b/>
          <w:sz w:val="22"/>
        </w:rPr>
        <w:t>33</w:t>
      </w:r>
      <w:r>
        <w:rPr>
          <w:sz w:val="22"/>
        </w:rPr>
        <w:t>, 1133-1151.</w:t>
      </w:r>
    </w:p>
    <w:p w14:paraId="1E9CA50F" w14:textId="77777777" w:rsidR="0073742C" w:rsidRDefault="005D5980">
      <w:pPr>
        <w:spacing w:after="212" w:line="267" w:lineRule="auto"/>
        <w:ind w:left="229" w:hanging="244"/>
        <w:rPr>
          <w:sz w:val="22"/>
        </w:rPr>
      </w:pPr>
      <w:r>
        <w:rPr>
          <w:sz w:val="22"/>
        </w:rPr>
        <w:t xml:space="preserve">Thaler, R. H. and Ziemba, W. T. (1988), ‘Anomalies: Parimutuel Betting Markets: Racetracks and Lotteries’, </w:t>
      </w:r>
      <w:r>
        <w:rPr>
          <w:i/>
          <w:sz w:val="22"/>
        </w:rPr>
        <w:t xml:space="preserve">Journal of Economic Perspectives </w:t>
      </w:r>
      <w:r>
        <w:rPr>
          <w:b/>
          <w:sz w:val="22"/>
        </w:rPr>
        <w:t>2</w:t>
      </w:r>
      <w:r>
        <w:rPr>
          <w:sz w:val="22"/>
        </w:rPr>
        <w:t>, 161–174.</w:t>
      </w:r>
    </w:p>
    <w:p w14:paraId="6801BDEF" w14:textId="3E41B08A" w:rsidR="00582366" w:rsidRDefault="00582366">
      <w:pPr>
        <w:spacing w:after="212" w:line="267" w:lineRule="auto"/>
        <w:ind w:left="229" w:hanging="244"/>
        <w:rPr>
          <w:sz w:val="22"/>
        </w:rPr>
      </w:pPr>
      <w:r>
        <w:rPr>
          <w:sz w:val="22"/>
        </w:rPr>
        <w:t xml:space="preserve">The Guardian </w:t>
      </w:r>
      <w:r w:rsidR="00FC289E">
        <w:rPr>
          <w:sz w:val="22"/>
        </w:rPr>
        <w:t>(2016) `Punters’ body say bookies closed 20,000 accounts in six months’, 13</w:t>
      </w:r>
      <w:r w:rsidR="00FC289E" w:rsidRPr="00FC289E">
        <w:rPr>
          <w:sz w:val="22"/>
          <w:vertAlign w:val="superscript"/>
        </w:rPr>
        <w:t>th</w:t>
      </w:r>
      <w:r w:rsidR="00FC289E">
        <w:rPr>
          <w:sz w:val="22"/>
        </w:rPr>
        <w:t xml:space="preserve"> June.</w:t>
      </w:r>
    </w:p>
    <w:p w14:paraId="791E836F" w14:textId="4F8DB83F" w:rsidR="00FC289E" w:rsidRDefault="00FC289E">
      <w:pPr>
        <w:spacing w:after="212" w:line="267" w:lineRule="auto"/>
        <w:ind w:left="229" w:hanging="244"/>
        <w:rPr>
          <w:sz w:val="22"/>
        </w:rPr>
      </w:pPr>
      <w:r>
        <w:rPr>
          <w:sz w:val="22"/>
        </w:rPr>
        <w:t>The Guardian (2016) `Bet 365 faces legal action in delay over paying winning punter £54,000’, 28 June.</w:t>
      </w:r>
    </w:p>
    <w:p w14:paraId="40B7F04E" w14:textId="03FCF377" w:rsidR="00582366" w:rsidRPr="00102226" w:rsidRDefault="00582366">
      <w:pPr>
        <w:spacing w:after="212" w:line="267" w:lineRule="auto"/>
        <w:ind w:left="229" w:hanging="244"/>
        <w:rPr>
          <w:color w:val="auto"/>
          <w:sz w:val="22"/>
        </w:rPr>
      </w:pPr>
      <w:r>
        <w:rPr>
          <w:sz w:val="22"/>
        </w:rPr>
        <w:t>United Kingdom Horseracing Bettors’ Forum</w:t>
      </w:r>
      <w:r w:rsidR="00FC289E">
        <w:rPr>
          <w:sz w:val="22"/>
        </w:rPr>
        <w:t xml:space="preserve"> (2016) </w:t>
      </w:r>
      <w:hyperlink r:id="rId8" w:history="1">
        <w:r w:rsidR="00FC289E" w:rsidRPr="00102226">
          <w:rPr>
            <w:rStyle w:val="Hyperlink"/>
            <w:color w:val="auto"/>
            <w:sz w:val="22"/>
          </w:rPr>
          <w:t>www.ukhbf.org/account-restrictionclosure-survey</w:t>
        </w:r>
      </w:hyperlink>
    </w:p>
    <w:p w14:paraId="7A74E771" w14:textId="77777777" w:rsidR="0073742C" w:rsidRDefault="005D5980">
      <w:pPr>
        <w:spacing w:after="210" w:line="267" w:lineRule="auto"/>
        <w:ind w:left="229" w:hanging="244"/>
      </w:pPr>
      <w:r>
        <w:rPr>
          <w:sz w:val="22"/>
        </w:rPr>
        <w:t xml:space="preserve">Vaughan Williams, L. (1999), ‘Information Efficiency in Betting Markets: A Survey’, </w:t>
      </w:r>
      <w:r>
        <w:rPr>
          <w:i/>
          <w:sz w:val="22"/>
        </w:rPr>
        <w:t xml:space="preserve">Bulletin of Economic Research </w:t>
      </w:r>
      <w:r>
        <w:rPr>
          <w:b/>
          <w:sz w:val="22"/>
        </w:rPr>
        <w:t>51</w:t>
      </w:r>
      <w:r>
        <w:rPr>
          <w:sz w:val="22"/>
        </w:rPr>
        <w:t>, 1–39.</w:t>
      </w:r>
    </w:p>
    <w:p w14:paraId="71DFE6B0" w14:textId="77777777" w:rsidR="0073742C" w:rsidRDefault="005D5980">
      <w:pPr>
        <w:spacing w:after="179" w:line="267" w:lineRule="auto"/>
        <w:ind w:left="229" w:hanging="244"/>
      </w:pPr>
      <w:r>
        <w:rPr>
          <w:sz w:val="22"/>
        </w:rPr>
        <w:t xml:space="preserve">Vaughan Williams, L., ed. (2005), </w:t>
      </w:r>
      <w:r>
        <w:rPr>
          <w:i/>
          <w:sz w:val="22"/>
        </w:rPr>
        <w:t>Information Efficiency in Financial and Betting Markets</w:t>
      </w:r>
      <w:r>
        <w:rPr>
          <w:sz w:val="22"/>
        </w:rPr>
        <w:t>, Cambridge University Press, New York.</w:t>
      </w:r>
    </w:p>
    <w:p w14:paraId="35A1EBE5" w14:textId="77777777" w:rsidR="0073742C" w:rsidRDefault="005D5980">
      <w:pPr>
        <w:spacing w:after="179" w:line="267" w:lineRule="auto"/>
        <w:ind w:left="229" w:hanging="244"/>
      </w:pPr>
      <w:r>
        <w:rPr>
          <w:sz w:val="22"/>
        </w:rPr>
        <w:t xml:space="preserve">Vlastakis, N., Dotsis, G. and Markellos, R. N. (2009), ‘How Efficient is the European Football Betting Market? Evidence from Arbitrage and Trading Strategies’, </w:t>
      </w:r>
      <w:r>
        <w:rPr>
          <w:i/>
          <w:sz w:val="22"/>
        </w:rPr>
        <w:t xml:space="preserve">Journal of Forecasting </w:t>
      </w:r>
      <w:r>
        <w:rPr>
          <w:b/>
          <w:sz w:val="22"/>
        </w:rPr>
        <w:t>28</w:t>
      </w:r>
      <w:r>
        <w:rPr>
          <w:sz w:val="22"/>
        </w:rPr>
        <w:t>, 426– 444.</w:t>
      </w:r>
    </w:p>
    <w:p w14:paraId="1FE370B5" w14:textId="77777777" w:rsidR="0073742C" w:rsidRDefault="005D5980">
      <w:pPr>
        <w:spacing w:after="212" w:line="267" w:lineRule="auto"/>
        <w:ind w:left="229" w:hanging="244"/>
      </w:pPr>
      <w:r>
        <w:rPr>
          <w:sz w:val="22"/>
        </w:rPr>
        <w:t xml:space="preserve">Woodland, B. M. and Woodland, L. M. (1991), ‘The Effects of Risk-Aversion on Wagering: Point Spread Versus Odds’, </w:t>
      </w:r>
      <w:r>
        <w:rPr>
          <w:i/>
          <w:sz w:val="22"/>
        </w:rPr>
        <w:t xml:space="preserve">Journal of Political Economy </w:t>
      </w:r>
      <w:r>
        <w:rPr>
          <w:b/>
          <w:sz w:val="22"/>
        </w:rPr>
        <w:t>99</w:t>
      </w:r>
      <w:r>
        <w:rPr>
          <w:sz w:val="22"/>
        </w:rPr>
        <w:t>, 638–653.</w:t>
      </w:r>
    </w:p>
    <w:p w14:paraId="7367924A" w14:textId="24151E9A" w:rsidR="0073742C" w:rsidRDefault="005D5980">
      <w:pPr>
        <w:spacing w:after="179" w:line="267" w:lineRule="auto"/>
        <w:ind w:left="-15"/>
      </w:pPr>
      <w:r>
        <w:rPr>
          <w:sz w:val="22"/>
        </w:rPr>
        <w:t>Zhu, H. (2014), ‘Do Da</w:t>
      </w:r>
      <w:r w:rsidR="00582366">
        <w:rPr>
          <w:sz w:val="22"/>
        </w:rPr>
        <w:t>rk Pools Harm Price Discovery?’</w:t>
      </w:r>
      <w:r>
        <w:rPr>
          <w:sz w:val="22"/>
        </w:rPr>
        <w:t xml:space="preserve"> </w:t>
      </w:r>
      <w:r>
        <w:rPr>
          <w:i/>
          <w:sz w:val="22"/>
        </w:rPr>
        <w:t xml:space="preserve">Review of Financial Studies </w:t>
      </w:r>
      <w:r>
        <w:rPr>
          <w:b/>
          <w:sz w:val="22"/>
        </w:rPr>
        <w:t>27</w:t>
      </w:r>
      <w:r>
        <w:rPr>
          <w:sz w:val="22"/>
        </w:rPr>
        <w:t>, 747–789.</w:t>
      </w:r>
    </w:p>
    <w:p w14:paraId="0F417BEC" w14:textId="72F05C40" w:rsidR="0073742C" w:rsidRDefault="0073742C">
      <w:pPr>
        <w:spacing w:after="3" w:line="252" w:lineRule="auto"/>
        <w:ind w:left="-5" w:right="-14" w:hanging="10"/>
      </w:pPr>
    </w:p>
    <w:p w14:paraId="2E216774" w14:textId="77777777" w:rsidR="005D5980" w:rsidRDefault="005D5980"/>
    <w:sectPr w:rsidR="005D5980" w:rsidSect="009C7AD6">
      <w:footerReference w:type="even" r:id="rId9"/>
      <w:footerReference w:type="default" r:id="rId10"/>
      <w:footerReference w:type="first" r:id="rId11"/>
      <w:pgSz w:w="12240" w:h="15840"/>
      <w:pgMar w:top="1444" w:right="1439" w:bottom="804"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E133A6" w14:textId="77777777" w:rsidR="00CB4F38" w:rsidRDefault="00CB4F38">
      <w:pPr>
        <w:spacing w:after="0" w:line="240" w:lineRule="auto"/>
      </w:pPr>
      <w:r>
        <w:separator/>
      </w:r>
    </w:p>
  </w:endnote>
  <w:endnote w:type="continuationSeparator" w:id="0">
    <w:p w14:paraId="63AA9ED7" w14:textId="77777777" w:rsidR="00CB4F38" w:rsidRDefault="00CB4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BA411" w14:textId="77777777" w:rsidR="00CB4F38" w:rsidRDefault="00CB4F38">
    <w:pPr>
      <w:spacing w:after="0"/>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E2317" w14:textId="2D5CDBA3" w:rsidR="00CB4F38" w:rsidRDefault="00CB4F38">
    <w:pPr>
      <w:spacing w:after="0"/>
      <w:jc w:val="center"/>
    </w:pPr>
    <w:r>
      <w:fldChar w:fldCharType="begin"/>
    </w:r>
    <w:r>
      <w:instrText xml:space="preserve"> PAGE   \* MERGEFORMAT </w:instrText>
    </w:r>
    <w:r>
      <w:fldChar w:fldCharType="separate"/>
    </w:r>
    <w:r w:rsidR="0021564F">
      <w:rPr>
        <w:noProof/>
      </w:rPr>
      <w:t>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0BFFB" w14:textId="17FA021E" w:rsidR="00CB4F38" w:rsidRDefault="00CB4F38">
    <w:pPr>
      <w:pStyle w:val="Footer"/>
    </w:pPr>
    <w:r>
      <w:t>* We would like to thank Ron Bird, Doug Foster, and Terry Walter for helpful comments.</w:t>
    </w:r>
  </w:p>
  <w:p w14:paraId="1CB1E557" w14:textId="77777777" w:rsidR="00CB4F38" w:rsidRDefault="00CB4F3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8F9150" w14:textId="77777777" w:rsidR="00CB4F38" w:rsidRDefault="00CB4F38">
      <w:pPr>
        <w:spacing w:after="0"/>
        <w:ind w:left="269"/>
      </w:pPr>
      <w:r>
        <w:separator/>
      </w:r>
    </w:p>
  </w:footnote>
  <w:footnote w:type="continuationSeparator" w:id="0">
    <w:p w14:paraId="57AB1301" w14:textId="77777777" w:rsidR="00CB4F38" w:rsidRDefault="00CB4F38">
      <w:pPr>
        <w:spacing w:after="0"/>
        <w:ind w:left="269"/>
      </w:pPr>
      <w:r>
        <w:continuationSeparator/>
      </w:r>
    </w:p>
  </w:footnote>
  <w:footnote w:id="1">
    <w:p w14:paraId="517D8F35" w14:textId="77777777" w:rsidR="00CB4F38" w:rsidRDefault="00CB4F38">
      <w:pPr>
        <w:pStyle w:val="footnotedescription"/>
        <w:spacing w:line="254" w:lineRule="auto"/>
        <w:ind w:firstLine="269"/>
      </w:pPr>
      <w:r>
        <w:rPr>
          <w:rStyle w:val="footnotemark"/>
        </w:rPr>
        <w:footnoteRef/>
      </w:r>
      <w:r>
        <w:t xml:space="preserve"> Long only arbitrage portfolios employing the betting exchange and bookmakers in the creation of a synthetic Dutch book were also considered in the study by Franck, Verbeek, and Nüesch (2013), but arose in only 5.0% of matches.</w:t>
      </w:r>
    </w:p>
  </w:footnote>
  <w:footnote w:id="2">
    <w:p w14:paraId="6AD5133A" w14:textId="77777777" w:rsidR="00CB4F38" w:rsidRDefault="00CB4F38">
      <w:pPr>
        <w:pStyle w:val="footnotedescription"/>
        <w:spacing w:line="267" w:lineRule="auto"/>
        <w:ind w:firstLine="269"/>
      </w:pPr>
      <w:r>
        <w:rPr>
          <w:rStyle w:val="footnotemark"/>
        </w:rPr>
        <w:footnoteRef/>
      </w:r>
      <w:r>
        <w:t xml:space="preserve"> An example of the restriction notices from </w:t>
      </w:r>
      <w:r>
        <w:rPr>
          <w:i/>
        </w:rPr>
        <w:t xml:space="preserve">Bet365 </w:t>
      </w:r>
      <w:r>
        <w:t xml:space="preserve">and </w:t>
      </w:r>
      <w:r>
        <w:rPr>
          <w:i/>
        </w:rPr>
        <w:t>William Hill</w:t>
      </w:r>
      <w:r>
        <w:t xml:space="preserve">, among others can be found at </w:t>
      </w:r>
      <w:hyperlink r:id="rId1">
        <w:r>
          <w:t>http://www.the-secret-system.com/bookmakers-shutdown-messages.html</w:t>
        </w:r>
      </w:hyperlink>
      <w:hyperlink r:id="rId2">
        <w:r>
          <w:t>.</w:t>
        </w:r>
      </w:hyperlink>
      <w:r>
        <w:t xml:space="preserve"> PTBs refer to the use of restrictions as a ‘commercial decision’.</w:t>
      </w:r>
    </w:p>
  </w:footnote>
  <w:footnote w:id="3">
    <w:p w14:paraId="0B4F8671" w14:textId="77777777" w:rsidR="00CB4F38" w:rsidRDefault="00CB4F38">
      <w:pPr>
        <w:pStyle w:val="footnotedescription"/>
        <w:spacing w:after="15" w:line="245" w:lineRule="auto"/>
        <w:ind w:firstLine="269"/>
      </w:pPr>
      <w:r>
        <w:rPr>
          <w:rStyle w:val="footnotemark"/>
        </w:rPr>
        <w:footnoteRef/>
      </w:r>
      <w:r>
        <w:t xml:space="preserve"> Proprietary dark pools (equity trading services that do not publicly display orders) offered by firms such as Getco and Knight Capital trade on principal accounts, and may exclude sophisticated, or informed counterparties. Because they are relatively opaque in their execution services, and do not guarantee execution (especially for informed investors), they present an interesting analogue to position-taking bookmakers. See Zhu (2014) for further details on proprietary dark pools.</w:t>
      </w:r>
    </w:p>
  </w:footnote>
  <w:footnote w:id="4">
    <w:p w14:paraId="04E565F6" w14:textId="77777777" w:rsidR="00CB4F38" w:rsidRDefault="00CB4F38" w:rsidP="00C711F2">
      <w:pPr>
        <w:pStyle w:val="footnotedescription"/>
        <w:spacing w:after="14" w:line="259" w:lineRule="auto"/>
        <w:ind w:firstLine="269"/>
      </w:pPr>
      <w:r>
        <w:rPr>
          <w:rStyle w:val="footnotemark"/>
        </w:rPr>
        <w:footnoteRef/>
      </w:r>
      <w:r>
        <w:t xml:space="preserve"> </w:t>
      </w:r>
      <w:r>
        <w:rPr>
          <w:i/>
        </w:rPr>
        <w:t xml:space="preserve">Betfair </w:t>
      </w:r>
      <w:r>
        <w:t xml:space="preserve">may withhold up to 60% out of winning bettors profits (see the website </w:t>
      </w:r>
      <w:hyperlink r:id="rId3">
        <w:r>
          <w:t>http://www.betfair.</w:t>
        </w:r>
      </w:hyperlink>
    </w:p>
    <w:p w14:paraId="6F8537BA" w14:textId="77777777" w:rsidR="00CB4F38" w:rsidRDefault="0021564F">
      <w:pPr>
        <w:pStyle w:val="footnotedescription"/>
        <w:spacing w:line="259" w:lineRule="auto"/>
        <w:ind w:right="0" w:firstLine="0"/>
        <w:jc w:val="left"/>
      </w:pPr>
      <w:hyperlink r:id="rId4">
        <w:r w:rsidR="00CB4F38">
          <w:t>com/www/GBR/en/aboutUs/Betfair.Charges/</w:t>
        </w:r>
      </w:hyperlink>
      <w:hyperlink r:id="rId5">
        <w:r w:rsidR="00CB4F38">
          <w:t>)</w:t>
        </w:r>
      </w:hyperlink>
    </w:p>
  </w:footnote>
  <w:footnote w:id="5">
    <w:p w14:paraId="64B7BE99" w14:textId="77777777" w:rsidR="00CB4F38" w:rsidRDefault="00CB4F38">
      <w:pPr>
        <w:pStyle w:val="footnotedescription"/>
        <w:spacing w:line="272" w:lineRule="auto"/>
        <w:ind w:right="0" w:firstLine="269"/>
        <w:jc w:val="left"/>
      </w:pPr>
      <w:r>
        <w:rPr>
          <w:rStyle w:val="footnotemark"/>
        </w:rPr>
        <w:footnoteRef/>
      </w:r>
      <w:r>
        <w:t xml:space="preserve"> See William Hill (2013) “Preliminary Results 2012” and Ladbrokes (2013) “Preliminary Results for the Year Ended December 2012.”</w:t>
      </w:r>
    </w:p>
  </w:footnote>
  <w:footnote w:id="6">
    <w:p w14:paraId="7817E04D" w14:textId="77777777" w:rsidR="00CB4F38" w:rsidRPr="0073490C" w:rsidRDefault="00CB4F38">
      <w:pPr>
        <w:pStyle w:val="footnotedescription"/>
        <w:spacing w:line="273" w:lineRule="auto"/>
        <w:ind w:right="0" w:firstLine="269"/>
        <w:rPr>
          <w:lang w:val="fr-FR"/>
        </w:rPr>
      </w:pPr>
      <w:r>
        <w:rPr>
          <w:rStyle w:val="footnotemark"/>
        </w:rPr>
        <w:footnoteRef/>
      </w:r>
      <w:r w:rsidRPr="0073490C">
        <w:rPr>
          <w:lang w:val="fr-FR"/>
        </w:rPr>
        <w:t xml:space="preserve"> Source: </w:t>
      </w:r>
      <w:hyperlink r:id="rId6">
        <w:r w:rsidRPr="0073490C">
          <w:rPr>
            <w:lang w:val="fr-FR"/>
          </w:rPr>
          <w:t xml:space="preserve">http://www.publications.parliament.uk/pa/cm201213/cmselect/cmcumeds/writev/ </w:t>
        </w:r>
      </w:hyperlink>
      <w:hyperlink r:id="rId7">
        <w:r w:rsidRPr="0073490C">
          <w:rPr>
            <w:lang w:val="fr-FR"/>
          </w:rPr>
          <w:t>1554/ga104.htm</w:t>
        </w:r>
      </w:hyperlink>
      <w:hyperlink r:id="rId8">
        <w:r w:rsidRPr="0073490C">
          <w:rPr>
            <w:lang w:val="fr-FR"/>
          </w:rPr>
          <w:t>.</w:t>
        </w:r>
      </w:hyperlink>
    </w:p>
  </w:footnote>
  <w:footnote w:id="7">
    <w:p w14:paraId="4704D951" w14:textId="77777777" w:rsidR="00CB4F38" w:rsidRPr="0073490C" w:rsidRDefault="00CB4F38" w:rsidP="00582366">
      <w:pPr>
        <w:pStyle w:val="footnotedescription"/>
        <w:spacing w:after="11" w:line="259" w:lineRule="auto"/>
        <w:ind w:right="0"/>
        <w:jc w:val="left"/>
        <w:rPr>
          <w:lang w:val="fr-FR"/>
        </w:rPr>
      </w:pPr>
      <w:r>
        <w:rPr>
          <w:rStyle w:val="footnotemark"/>
        </w:rPr>
        <w:footnoteRef/>
      </w:r>
      <w:r w:rsidRPr="0073490C">
        <w:rPr>
          <w:lang w:val="fr-FR"/>
        </w:rPr>
        <w:t xml:space="preserve"> Source: </w:t>
      </w:r>
      <w:hyperlink r:id="rId9">
        <w:r w:rsidRPr="0073490C">
          <w:rPr>
            <w:lang w:val="fr-FR"/>
          </w:rPr>
          <w:t>http://howtobet.net/sportsbook-review/stan-james</w:t>
        </w:r>
      </w:hyperlink>
      <w:hyperlink r:id="rId10">
        <w:r w:rsidRPr="0073490C">
          <w:rPr>
            <w:lang w:val="fr-FR"/>
          </w:rPr>
          <w:t>.</w:t>
        </w:r>
      </w:hyperlink>
    </w:p>
  </w:footnote>
  <w:footnote w:id="8">
    <w:p w14:paraId="2011CF45" w14:textId="77777777" w:rsidR="00CB4F38" w:rsidRDefault="00CB4F38">
      <w:pPr>
        <w:pStyle w:val="footnotedescription"/>
        <w:ind w:right="0"/>
      </w:pPr>
      <w:r>
        <w:rPr>
          <w:rStyle w:val="footnotemark"/>
        </w:rPr>
        <w:footnoteRef/>
      </w:r>
      <w:r>
        <w:t xml:space="preserve"> For example, </w:t>
      </w:r>
      <w:r>
        <w:rPr>
          <w:i/>
        </w:rPr>
        <w:t>Ladbrokes</w:t>
      </w:r>
      <w:r>
        <w:t>’ 2013 annual report (p.23) notes “Ladbrokes may experience significant losses as a result of a failure to determine accurately the odds in relation to any particular event.”</w:t>
      </w:r>
    </w:p>
  </w:footnote>
  <w:footnote w:id="9">
    <w:p w14:paraId="6649518C" w14:textId="77777777" w:rsidR="00CB4F38" w:rsidRDefault="00CB4F38">
      <w:pPr>
        <w:pStyle w:val="footnotedescription"/>
        <w:spacing w:line="275" w:lineRule="auto"/>
      </w:pPr>
      <w:r>
        <w:rPr>
          <w:rStyle w:val="footnotemark"/>
        </w:rPr>
        <w:footnoteRef/>
      </w:r>
      <w:r>
        <w:t xml:space="preserve"> See, inter alia, </w:t>
      </w:r>
      <w:hyperlink r:id="rId11">
        <w:r>
          <w:t>http://www.pinnaclesports.com/about-us.aspx</w:t>
        </w:r>
      </w:hyperlink>
      <w:hyperlink r:id="rId12">
        <w:r>
          <w:t>,</w:t>
        </w:r>
      </w:hyperlink>
      <w:r>
        <w:t xml:space="preserve"> </w:t>
      </w:r>
      <w:hyperlink r:id="rId13">
        <w:r>
          <w:t xml:space="preserve">http://www.pinnaclesports. </w:t>
        </w:r>
      </w:hyperlink>
      <w:hyperlink r:id="rId14">
        <w:r>
          <w:t>com/betting-promotions/arbitrage-friendly</w:t>
        </w:r>
      </w:hyperlink>
      <w:hyperlink r:id="rId15">
        <w:r>
          <w:t>,</w:t>
        </w:r>
      </w:hyperlink>
      <w:r>
        <w:t xml:space="preserve"> and </w:t>
      </w:r>
      <w:hyperlink r:id="rId16">
        <w:r>
          <w:t xml:space="preserve">http://www.pinnaclesports.com/ </w:t>
        </w:r>
      </w:hyperlink>
      <w:hyperlink r:id="rId17">
        <w:r>
          <w:t>betting-promotions/winners-welcome</w:t>
        </w:r>
      </w:hyperlink>
      <w:hyperlink r:id="rId18">
        <w:r>
          <w:t>.</w:t>
        </w:r>
      </w:hyperlink>
    </w:p>
  </w:footnote>
  <w:footnote w:id="10">
    <w:p w14:paraId="25CA4CA4" w14:textId="77777777" w:rsidR="00CB4F38" w:rsidRDefault="00CB4F38">
      <w:pPr>
        <w:pStyle w:val="footnotedescription"/>
        <w:spacing w:line="246" w:lineRule="auto"/>
      </w:pPr>
      <w:r>
        <w:rPr>
          <w:rStyle w:val="footnotemark"/>
        </w:rPr>
        <w:footnoteRef/>
      </w:r>
      <w:r>
        <w:t xml:space="preserve"> The cost of this was that several bookmakers occasionally failed to respond within the maximum allowed period. In these cases, we repeated the full request (i.e. for all bookmakers) three times in order to obtain a complete sample. In some cases, due to heavy load on bookmakers’ websites, some would remain unresponsive. In those cases, the odds of those who failed to respond were not considered, which may lead to a slight underestimation of the frequency of arbitrage opportunities overall. The timeout could be increased in future studies, however, this would risk the integrity of the results overall, as a higher time interval would increase the chance of odds of the quickest responding bookmaker changing until the response of the slowest bookmaker came back. The collection of data from bookmakers remains a difficult practice at best.</w:t>
      </w:r>
    </w:p>
  </w:footnote>
  <w:footnote w:id="11">
    <w:p w14:paraId="7B0463B3" w14:textId="7009834D" w:rsidR="00CB4F38" w:rsidRPr="00044A50" w:rsidRDefault="00CB4F38" w:rsidP="00044A50">
      <w:pPr>
        <w:rPr>
          <w:rFonts w:asciiTheme="minorHAnsi" w:eastAsiaTheme="minorHAnsi" w:hAnsiTheme="minorHAnsi" w:cstheme="minorBidi"/>
          <w:color w:val="auto"/>
          <w:sz w:val="20"/>
          <w:szCs w:val="20"/>
          <w:lang w:val="en-GB" w:eastAsia="en-US"/>
        </w:rPr>
      </w:pPr>
      <w:r w:rsidRPr="00044A50">
        <w:rPr>
          <w:rStyle w:val="FootnoteReference"/>
          <w:sz w:val="20"/>
          <w:szCs w:val="20"/>
        </w:rPr>
        <w:footnoteRef/>
      </w:r>
      <w:r w:rsidRPr="00044A50">
        <w:rPr>
          <w:sz w:val="20"/>
          <w:szCs w:val="20"/>
        </w:rPr>
        <w:t xml:space="preserve"> </w:t>
      </w:r>
      <w:r w:rsidRPr="00044A50">
        <w:rPr>
          <w:rFonts w:asciiTheme="minorHAnsi" w:eastAsiaTheme="minorHAnsi" w:hAnsiTheme="minorHAnsi" w:cstheme="minorBidi"/>
          <w:color w:val="auto"/>
          <w:sz w:val="20"/>
          <w:szCs w:val="20"/>
          <w:lang w:val="en-GB" w:eastAsia="en-US"/>
        </w:rPr>
        <w:t>To illustrate, assume that the following Asian Handicap odds</w:t>
      </w:r>
      <w:r>
        <w:rPr>
          <w:rFonts w:asciiTheme="minorHAnsi" w:eastAsiaTheme="minorHAnsi" w:hAnsiTheme="minorHAnsi" w:cstheme="minorBidi"/>
          <w:color w:val="auto"/>
          <w:sz w:val="20"/>
          <w:szCs w:val="20"/>
          <w:lang w:val="en-GB" w:eastAsia="en-US"/>
        </w:rPr>
        <w:t xml:space="preserve"> are offered on a match between Chelsea and Arsenal:</w:t>
      </w:r>
      <w:r w:rsidRPr="00044A50">
        <w:rPr>
          <w:rFonts w:asciiTheme="minorHAnsi" w:eastAsiaTheme="minorHAnsi" w:hAnsiTheme="minorHAnsi" w:cstheme="minorBidi"/>
          <w:color w:val="auto"/>
          <w:sz w:val="20"/>
          <w:szCs w:val="20"/>
          <w:lang w:val="en-GB" w:eastAsia="en-US"/>
        </w:rPr>
        <w:t>:</w:t>
      </w:r>
    </w:p>
    <w:p w14:paraId="7271BC25" w14:textId="797AF4D2" w:rsidR="00CB4F38" w:rsidRPr="00044A50" w:rsidRDefault="00CB4F38" w:rsidP="00044A50">
      <w:pPr>
        <w:rPr>
          <w:rFonts w:asciiTheme="minorHAnsi" w:eastAsiaTheme="minorHAnsi" w:hAnsiTheme="minorHAnsi" w:cstheme="minorBidi"/>
          <w:color w:val="auto"/>
          <w:sz w:val="20"/>
          <w:szCs w:val="20"/>
          <w:lang w:val="en-GB" w:eastAsia="en-US"/>
        </w:rPr>
      </w:pPr>
      <w:r w:rsidRPr="00044A50">
        <w:rPr>
          <w:rFonts w:asciiTheme="minorHAnsi" w:eastAsiaTheme="minorHAnsi" w:hAnsiTheme="minorHAnsi" w:cstheme="minorBidi"/>
          <w:color w:val="auto"/>
          <w:sz w:val="20"/>
          <w:szCs w:val="20"/>
          <w:lang w:val="en-GB" w:eastAsia="en-US"/>
        </w:rPr>
        <w:t xml:space="preserve">Chelsea (-0.5 goals) </w:t>
      </w:r>
      <w:r>
        <w:rPr>
          <w:rFonts w:asciiTheme="minorHAnsi" w:eastAsiaTheme="minorHAnsi" w:hAnsiTheme="minorHAnsi" w:cstheme="minorBidi"/>
          <w:color w:val="auto"/>
          <w:sz w:val="20"/>
          <w:szCs w:val="20"/>
          <w:lang w:val="en-GB" w:eastAsia="en-US"/>
        </w:rPr>
        <w:t>1.83</w:t>
      </w:r>
      <w:r w:rsidRPr="005E5150">
        <w:rPr>
          <w:rFonts w:asciiTheme="minorHAnsi" w:eastAsiaTheme="minorHAnsi" w:hAnsiTheme="minorHAnsi" w:cstheme="minorBidi"/>
          <w:color w:val="auto"/>
          <w:sz w:val="20"/>
          <w:szCs w:val="20"/>
          <w:vertAlign w:val="superscript"/>
          <w:lang w:val="en-GB" w:eastAsia="en-US"/>
        </w:rPr>
        <w:t>.</w:t>
      </w:r>
    </w:p>
    <w:p w14:paraId="104BBA6D" w14:textId="7D0F1751" w:rsidR="00CB4F38" w:rsidRPr="00044A50" w:rsidRDefault="00CB4F38" w:rsidP="00044A50">
      <w:pPr>
        <w:rPr>
          <w:rFonts w:asciiTheme="minorHAnsi" w:eastAsiaTheme="minorHAnsi" w:hAnsiTheme="minorHAnsi" w:cstheme="minorBidi"/>
          <w:color w:val="auto"/>
          <w:sz w:val="20"/>
          <w:szCs w:val="20"/>
          <w:lang w:val="en-GB" w:eastAsia="en-US"/>
        </w:rPr>
      </w:pPr>
      <w:r w:rsidRPr="00044A50">
        <w:rPr>
          <w:rFonts w:asciiTheme="minorHAnsi" w:eastAsiaTheme="minorHAnsi" w:hAnsiTheme="minorHAnsi" w:cstheme="minorBidi"/>
          <w:color w:val="auto"/>
          <w:sz w:val="20"/>
          <w:szCs w:val="20"/>
          <w:lang w:val="en-GB" w:eastAsia="en-US"/>
        </w:rPr>
        <w:t xml:space="preserve">Arsenal </w:t>
      </w:r>
      <w:r>
        <w:rPr>
          <w:rFonts w:asciiTheme="minorHAnsi" w:eastAsiaTheme="minorHAnsi" w:hAnsiTheme="minorHAnsi" w:cstheme="minorBidi"/>
          <w:color w:val="auto"/>
          <w:sz w:val="20"/>
          <w:szCs w:val="20"/>
          <w:lang w:val="en-GB" w:eastAsia="en-US"/>
        </w:rPr>
        <w:t>1.80</w:t>
      </w:r>
      <w:r w:rsidRPr="00044A50">
        <w:rPr>
          <w:rFonts w:asciiTheme="minorHAnsi" w:eastAsiaTheme="minorHAnsi" w:hAnsiTheme="minorHAnsi" w:cstheme="minorBidi"/>
          <w:color w:val="auto"/>
          <w:sz w:val="20"/>
          <w:szCs w:val="20"/>
          <w:lang w:val="en-GB" w:eastAsia="en-US"/>
        </w:rPr>
        <w:t xml:space="preserve"> </w:t>
      </w:r>
    </w:p>
    <w:p w14:paraId="443B9920" w14:textId="77777777" w:rsidR="00CB4F38" w:rsidRPr="00044A50" w:rsidRDefault="00CB4F38" w:rsidP="00044A50">
      <w:pPr>
        <w:rPr>
          <w:rFonts w:asciiTheme="minorHAnsi" w:eastAsiaTheme="minorHAnsi" w:hAnsiTheme="minorHAnsi" w:cstheme="minorBidi"/>
          <w:color w:val="auto"/>
          <w:sz w:val="20"/>
          <w:szCs w:val="20"/>
          <w:lang w:val="en-GB" w:eastAsia="en-US"/>
        </w:rPr>
      </w:pPr>
      <w:r w:rsidRPr="00044A50">
        <w:rPr>
          <w:rFonts w:asciiTheme="minorHAnsi" w:eastAsiaTheme="minorHAnsi" w:hAnsiTheme="minorHAnsi" w:cstheme="minorBidi"/>
          <w:color w:val="auto"/>
          <w:sz w:val="20"/>
          <w:szCs w:val="20"/>
          <w:lang w:val="en-GB" w:eastAsia="en-US"/>
        </w:rPr>
        <w:t>This means that a successful bet requires Chelsea to overcome the (-0.5 goals) handicap, i.e. they must win by any single goal (or above) margin. Any draw would (with the handicap) mean a win for Arsenal (e.g. a 1-1 draw would, in effect, become Chelsea 0.5 - Arsenal 1. This format reduces the match outcome to two alternatives.</w:t>
      </w:r>
    </w:p>
    <w:p w14:paraId="3E944196" w14:textId="49E24607" w:rsidR="00CB4F38" w:rsidRPr="0062212D" w:rsidRDefault="00CB4F38">
      <w:pPr>
        <w:pStyle w:val="FootnoteText"/>
        <w:rPr>
          <w:lang w:val="en-GB"/>
        </w:rPr>
      </w:pPr>
    </w:p>
  </w:footnote>
  <w:footnote w:id="12">
    <w:p w14:paraId="5CEAEED1" w14:textId="77777777" w:rsidR="00CB4F38" w:rsidRDefault="00CB4F38" w:rsidP="00044A50">
      <w:pPr>
        <w:pStyle w:val="footnotedescription"/>
        <w:spacing w:line="259" w:lineRule="auto"/>
        <w:ind w:right="0" w:firstLine="0"/>
        <w:jc w:val="left"/>
      </w:pPr>
      <w:r>
        <w:rPr>
          <w:rStyle w:val="footnotemark"/>
        </w:rPr>
        <w:footnoteRef/>
      </w:r>
      <w:r>
        <w:t xml:space="preserve"> We present a detailed example of the returns to each bet in the next section.</w:t>
      </w:r>
    </w:p>
  </w:footnote>
  <w:footnote w:id="13">
    <w:p w14:paraId="028319B4" w14:textId="77777777" w:rsidR="00CB4F38" w:rsidRDefault="00CB4F38">
      <w:pPr>
        <w:pStyle w:val="footnotedescription"/>
        <w:spacing w:after="14" w:line="247" w:lineRule="auto"/>
      </w:pPr>
      <w:r>
        <w:rPr>
          <w:rStyle w:val="footnotemark"/>
        </w:rPr>
        <w:footnoteRef/>
      </w:r>
      <w:r>
        <w:t xml:space="preserve"> Removing </w:t>
      </w:r>
      <w:r>
        <w:rPr>
          <w:i/>
        </w:rPr>
        <w:t xml:space="preserve">Stan James </w:t>
      </w:r>
      <w:r>
        <w:t>from the sample causes the instances of potential arbitrage opportunities to drop to 287, which is indicative of the influence of a bookmaker which applies a policy of offering outlying odds, on the creation of arbitrage instances.</w:t>
      </w:r>
    </w:p>
  </w:footnote>
  <w:footnote w:id="14">
    <w:p w14:paraId="7A7DCAB4" w14:textId="77777777" w:rsidR="00CB4F38" w:rsidRDefault="00CB4F38">
      <w:pPr>
        <w:pStyle w:val="footnotedescription"/>
        <w:spacing w:line="276" w:lineRule="auto"/>
        <w:ind w:right="0"/>
      </w:pPr>
      <w:r>
        <w:rPr>
          <w:rStyle w:val="footnotemark"/>
        </w:rPr>
        <w:footnoteRef/>
      </w:r>
      <w:r>
        <w:t xml:space="preserve"> BBBs maintain an over-round of about 2% in AH markets, but their over-round is nearer 5% </w:t>
      </w:r>
      <w:r>
        <w:rPr>
          <w:i/>
        </w:rPr>
        <w:t xml:space="preserve">− </w:t>
      </w:r>
      <w:r>
        <w:t xml:space="preserve">6% for the 1 </w:t>
      </w:r>
      <w:r>
        <w:rPr>
          <w:i/>
        </w:rPr>
        <w:t xml:space="preserve">× </w:t>
      </w:r>
      <w:r>
        <w:t xml:space="preserve">2 market. On the other hand, </w:t>
      </w:r>
      <w:r>
        <w:rPr>
          <w:i/>
        </w:rPr>
        <w:t xml:space="preserve">Pinnacle’s </w:t>
      </w:r>
      <w:r>
        <w:t xml:space="preserve">over-round is about 2% in the 1 </w:t>
      </w:r>
      <w:r>
        <w:rPr>
          <w:i/>
        </w:rPr>
        <w:t xml:space="preserve">× </w:t>
      </w:r>
      <w:r>
        <w:t>2 market.</w:t>
      </w:r>
    </w:p>
  </w:footnote>
  <w:footnote w:id="15">
    <w:p w14:paraId="46D66410" w14:textId="77777777" w:rsidR="00CB4F38" w:rsidRDefault="00CB4F38">
      <w:pPr>
        <w:pStyle w:val="footnotedescription"/>
        <w:spacing w:line="273" w:lineRule="auto"/>
        <w:ind w:right="0"/>
      </w:pPr>
      <w:r>
        <w:rPr>
          <w:rStyle w:val="footnotemark"/>
        </w:rPr>
        <w:footnoteRef/>
      </w:r>
      <w:r>
        <w:t xml:space="preserve"> Mainly when a positive handicap (i.e. either +0.25 or +0.5) is not selected, the optimization indicates a stake should be placed on the draw so that there is no negative exposure on the draw outcome.</w:t>
      </w:r>
    </w:p>
  </w:footnote>
  <w:footnote w:id="16">
    <w:p w14:paraId="29C9905B" w14:textId="77777777" w:rsidR="00CB4F38" w:rsidRDefault="00CB4F38">
      <w:pPr>
        <w:pStyle w:val="footnotedescription"/>
        <w:spacing w:line="273" w:lineRule="auto"/>
        <w:ind w:right="0"/>
      </w:pPr>
      <w:r>
        <w:rPr>
          <w:rStyle w:val="footnotemark"/>
        </w:rPr>
        <w:footnoteRef/>
      </w:r>
      <w:r>
        <w:t xml:space="preserve"> Such studies do not distinguish between diverse types of operators, but they assume a type of bookmaker consistent with our PTB definition.</w:t>
      </w:r>
    </w:p>
  </w:footnote>
  <w:footnote w:id="17">
    <w:p w14:paraId="34B3C508" w14:textId="41BEF610" w:rsidR="00CB4F38" w:rsidRDefault="00CB4F38">
      <w:pPr>
        <w:pStyle w:val="footnotedescription"/>
        <w:spacing w:line="254" w:lineRule="auto"/>
      </w:pPr>
      <w:r>
        <w:rPr>
          <w:rStyle w:val="footnotemark"/>
        </w:rPr>
        <w:footnoteRef/>
      </w:r>
      <w:r>
        <w:t xml:space="preserve"> In general, PTBs, do not offer higher odds for favourites on average than BBBs due to their higher over-round. However, their odds on favourites are closer to those offered by BBBs than the odds they offer on longshots. This finding suggests that they probably do not distribute their over-round proportionally.</w:t>
      </w:r>
    </w:p>
  </w:footnote>
  <w:footnote w:id="18">
    <w:p w14:paraId="6F9A92CE" w14:textId="77777777" w:rsidR="00CB4F38" w:rsidRDefault="00CB4F38">
      <w:pPr>
        <w:pStyle w:val="footnotedescription"/>
      </w:pPr>
      <w:r>
        <w:rPr>
          <w:rStyle w:val="footnotemark"/>
        </w:rPr>
        <w:footnoteRef/>
      </w:r>
      <w:r>
        <w:t xml:space="preserve"> In this case, $1 is bet on each offer that falls part of the portfolio, no matter what the fraction of capital allocated from the optimization (4). Therefore, the results of this simulation are not comparable to the results of the fully hedged strategy. By way of example, the fully hedged strategy may assign 90% of the capital to bet </w:t>
      </w:r>
      <w:r>
        <w:rPr>
          <w:i/>
        </w:rPr>
        <w:t xml:space="preserve">A </w:t>
      </w:r>
      <w:r>
        <w:t xml:space="preserve">and 10% to bet </w:t>
      </w:r>
      <w:r>
        <w:rPr>
          <w:i/>
        </w:rPr>
        <w:t xml:space="preserve">B </w:t>
      </w:r>
      <w:r>
        <w:t>and hence, we would bet $0</w:t>
      </w:r>
      <w:r>
        <w:rPr>
          <w:i/>
        </w:rPr>
        <w:t>.</w:t>
      </w:r>
      <w:r>
        <w:t>90 and $0</w:t>
      </w:r>
      <w:r>
        <w:rPr>
          <w:i/>
        </w:rPr>
        <w:t>.</w:t>
      </w:r>
      <w:r>
        <w:t xml:space="preserve">10 on these products, respectively. However, in the unit-stake simulation $1 is staked on bet </w:t>
      </w:r>
      <w:r>
        <w:rPr>
          <w:i/>
        </w:rPr>
        <w:t xml:space="preserve">A </w:t>
      </w:r>
      <w:r>
        <w:t xml:space="preserve">and $1 on bet </w:t>
      </w:r>
      <w:r>
        <w:rPr>
          <w:i/>
        </w:rPr>
        <w:t>B</w:t>
      </w:r>
      <w:r>
        <w:t>, since the objective is to identify how the profit is distributed across the two types of bookmakers, rather than to create a hedged position.</w:t>
      </w:r>
    </w:p>
  </w:footnote>
  <w:footnote w:id="19">
    <w:p w14:paraId="17FECCF1" w14:textId="77777777" w:rsidR="00CB4F38" w:rsidRDefault="00CB4F38">
      <w:pPr>
        <w:pStyle w:val="footnotedescription"/>
        <w:spacing w:after="10" w:line="253" w:lineRule="auto"/>
      </w:pPr>
      <w:r>
        <w:rPr>
          <w:rStyle w:val="footnotemark"/>
        </w:rPr>
        <w:footnoteRef/>
      </w:r>
      <w:r>
        <w:t xml:space="preserve"> 55 out of 813 $1 bets that were placed at gross odds greater than $5 had an extremely high profit of $1</w:t>
      </w:r>
      <w:r>
        <w:rPr>
          <w:i/>
        </w:rPr>
        <w:t>.</w:t>
      </w:r>
      <w:r>
        <w:t>30. As a result, this small number of lucky bets account for $71</w:t>
      </w:r>
      <w:r>
        <w:rPr>
          <w:i/>
        </w:rPr>
        <w:t>.</w:t>
      </w:r>
      <w:r>
        <w:t>60 out of the $130 won in total by this strategy. Hence, it is important to ensure that they do not bias the conclusions. This is achieved by applying the weighting implied by equation (13).</w:t>
      </w:r>
    </w:p>
  </w:footnote>
  <w:footnote w:id="20">
    <w:p w14:paraId="250906CE" w14:textId="4117AC72" w:rsidR="00CB4F38" w:rsidRDefault="00CB4F38">
      <w:pPr>
        <w:pStyle w:val="footnotedescription"/>
        <w:spacing w:line="275" w:lineRule="auto"/>
        <w:ind w:right="0"/>
      </w:pPr>
      <w:r>
        <w:rPr>
          <w:rStyle w:val="footnotemark"/>
        </w:rPr>
        <w:footnoteRef/>
      </w:r>
      <w:r>
        <w:t xml:space="preserve"> The over-round of such bookmakers is about 2% for AH products and 5% </w:t>
      </w:r>
      <w:r>
        <w:rPr>
          <w:i/>
        </w:rPr>
        <w:t xml:space="preserve">− </w:t>
      </w:r>
      <w:r>
        <w:t xml:space="preserve">6% for 1X2 products, excluding </w:t>
      </w:r>
      <w:r>
        <w:rPr>
          <w:i/>
        </w:rPr>
        <w:t>Pinnacle</w:t>
      </w:r>
      <w:r>
        <w:t>, which employs an over-round of around 2% in the 1X2 market.</w:t>
      </w:r>
    </w:p>
  </w:footnote>
  <w:footnote w:id="21">
    <w:p w14:paraId="6656CABA" w14:textId="77777777" w:rsidR="00CB4F38" w:rsidRDefault="00CB4F38">
      <w:pPr>
        <w:pStyle w:val="footnotedescription"/>
        <w:spacing w:line="276" w:lineRule="auto"/>
      </w:pPr>
      <w:r>
        <w:rPr>
          <w:rStyle w:val="footnotemark"/>
        </w:rPr>
        <w:footnoteRef/>
      </w:r>
      <w:r>
        <w:t xml:space="preserve"> </w:t>
      </w:r>
      <w:r>
        <w:rPr>
          <w:i/>
        </w:rPr>
        <w:t xml:space="preserve">Pinnacle’s </w:t>
      </w:r>
      <w:r>
        <w:t xml:space="preserve">statement is: “[A]ll bookmakers shouldn’t care about the motivation for placing a bet, but should simply look to balance the bet volume.” Source: </w:t>
      </w:r>
      <w:hyperlink r:id="rId19">
        <w:r>
          <w:t xml:space="preserve">http://www.pinnaclesports.com/ </w:t>
        </w:r>
      </w:hyperlink>
      <w:hyperlink r:id="rId20">
        <w:r>
          <w:t>betting-promotions/arbitrage-friendly</w:t>
        </w:r>
      </w:hyperlink>
      <w:hyperlink r:id="rId21">
        <w:r>
          <w:t>.</w:t>
        </w:r>
      </w:hyperlink>
    </w:p>
  </w:footnote>
  <w:footnote w:id="22">
    <w:p w14:paraId="2AAC1CC2" w14:textId="77777777" w:rsidR="00CB4F38" w:rsidRDefault="00CB4F38">
      <w:pPr>
        <w:pStyle w:val="footnotedescription"/>
        <w:spacing w:after="12" w:line="265" w:lineRule="auto"/>
        <w:ind w:right="0"/>
      </w:pPr>
      <w:r>
        <w:rPr>
          <w:rStyle w:val="footnotemark"/>
        </w:rPr>
        <w:footnoteRef/>
      </w:r>
      <w:r>
        <w:t xml:space="preserve"> </w:t>
      </w:r>
      <w:r>
        <w:rPr>
          <w:i/>
        </w:rPr>
        <w:t xml:space="preserve">Pinnacle </w:t>
      </w:r>
      <w:r>
        <w:t>state “This limiting of arbitrage players is a reflection of a bookmaker’s short-comings, such as posting ‘bad odds,’ or an inability to move odds fast enough to avoid being the focus of arbitrage players.”</w:t>
      </w:r>
    </w:p>
    <w:p w14:paraId="27D81A7E" w14:textId="77777777" w:rsidR="00CB4F38" w:rsidRPr="0073490C" w:rsidRDefault="00CB4F38">
      <w:pPr>
        <w:pStyle w:val="footnotedescription"/>
        <w:spacing w:line="259" w:lineRule="auto"/>
        <w:ind w:right="0" w:firstLine="0"/>
        <w:jc w:val="left"/>
        <w:rPr>
          <w:lang w:val="fr-FR"/>
        </w:rPr>
      </w:pPr>
      <w:r w:rsidRPr="0073490C">
        <w:rPr>
          <w:lang w:val="fr-FR"/>
        </w:rPr>
        <w:t xml:space="preserve">Source: </w:t>
      </w:r>
      <w:hyperlink r:id="rId22">
        <w:r w:rsidRPr="0073490C">
          <w:rPr>
            <w:lang w:val="fr-FR"/>
          </w:rPr>
          <w:t>https://www.pinnaclesports.com/betting-promotions/arbitrage-friendly</w:t>
        </w:r>
      </w:hyperlink>
      <w:hyperlink r:id="rId23">
        <w:r w:rsidRPr="0073490C">
          <w:rPr>
            <w:lang w:val="fr-FR"/>
          </w:rPr>
          <w:t>.</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33C89"/>
    <w:multiLevelType w:val="hybridMultilevel"/>
    <w:tmpl w:val="F18E8B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693051"/>
    <w:multiLevelType w:val="multilevel"/>
    <w:tmpl w:val="A3D8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4D1CE1"/>
    <w:multiLevelType w:val="multilevel"/>
    <w:tmpl w:val="3EF01024"/>
    <w:lvl w:ilvl="0">
      <w:start w:val="1"/>
      <w:numFmt w:val="decimal"/>
      <w:lvlText w:val="%1."/>
      <w:lvlJc w:val="left"/>
      <w:pPr>
        <w:ind w:left="36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3" w15:restartNumberingAfterBreak="0">
    <w:nsid w:val="1EED287C"/>
    <w:multiLevelType w:val="multilevel"/>
    <w:tmpl w:val="D3F61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C74F94"/>
    <w:multiLevelType w:val="multilevel"/>
    <w:tmpl w:val="2946E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C2507F"/>
    <w:multiLevelType w:val="multilevel"/>
    <w:tmpl w:val="9E9C3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413649"/>
    <w:multiLevelType w:val="multilevel"/>
    <w:tmpl w:val="B9E8A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BC0C20"/>
    <w:multiLevelType w:val="multilevel"/>
    <w:tmpl w:val="9B9A1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8744E2"/>
    <w:multiLevelType w:val="multilevel"/>
    <w:tmpl w:val="CCCAE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8A249D"/>
    <w:multiLevelType w:val="multilevel"/>
    <w:tmpl w:val="BCAC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244580"/>
    <w:multiLevelType w:val="multilevel"/>
    <w:tmpl w:val="1C32E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0"/>
  </w:num>
  <w:num w:numId="4">
    <w:abstractNumId w:val="5"/>
  </w:num>
  <w:num w:numId="5">
    <w:abstractNumId w:val="1"/>
  </w:num>
  <w:num w:numId="6">
    <w:abstractNumId w:val="6"/>
  </w:num>
  <w:num w:numId="7">
    <w:abstractNumId w:val="3"/>
  </w:num>
  <w:num w:numId="8">
    <w:abstractNumId w:val="4"/>
  </w:num>
  <w:num w:numId="9">
    <w:abstractNumId w:val="9"/>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42C"/>
    <w:rsid w:val="000043D8"/>
    <w:rsid w:val="00016A57"/>
    <w:rsid w:val="00041018"/>
    <w:rsid w:val="0004311A"/>
    <w:rsid w:val="00044A50"/>
    <w:rsid w:val="000502A0"/>
    <w:rsid w:val="00052370"/>
    <w:rsid w:val="00063B60"/>
    <w:rsid w:val="00063E94"/>
    <w:rsid w:val="0007631E"/>
    <w:rsid w:val="00083E7D"/>
    <w:rsid w:val="000868D1"/>
    <w:rsid w:val="00093858"/>
    <w:rsid w:val="00097736"/>
    <w:rsid w:val="00097B9D"/>
    <w:rsid w:val="000A08E2"/>
    <w:rsid w:val="000C18BC"/>
    <w:rsid w:val="000D05B8"/>
    <w:rsid w:val="000D3ED2"/>
    <w:rsid w:val="000D53AD"/>
    <w:rsid w:val="000D7940"/>
    <w:rsid w:val="000E1577"/>
    <w:rsid w:val="000E2ACE"/>
    <w:rsid w:val="000E6DE6"/>
    <w:rsid w:val="00102226"/>
    <w:rsid w:val="001068BC"/>
    <w:rsid w:val="001068D2"/>
    <w:rsid w:val="00106B5C"/>
    <w:rsid w:val="001218AA"/>
    <w:rsid w:val="00144DB7"/>
    <w:rsid w:val="00153FF5"/>
    <w:rsid w:val="00156E04"/>
    <w:rsid w:val="001635BF"/>
    <w:rsid w:val="00163AE3"/>
    <w:rsid w:val="00164DF9"/>
    <w:rsid w:val="00171920"/>
    <w:rsid w:val="001762C4"/>
    <w:rsid w:val="001813C0"/>
    <w:rsid w:val="00181AE9"/>
    <w:rsid w:val="00182C60"/>
    <w:rsid w:val="00193D52"/>
    <w:rsid w:val="001B037D"/>
    <w:rsid w:val="001B166E"/>
    <w:rsid w:val="001B1682"/>
    <w:rsid w:val="001B77A6"/>
    <w:rsid w:val="001E311A"/>
    <w:rsid w:val="001E39AF"/>
    <w:rsid w:val="001E7337"/>
    <w:rsid w:val="001F4757"/>
    <w:rsid w:val="002005EA"/>
    <w:rsid w:val="00203F77"/>
    <w:rsid w:val="002045CD"/>
    <w:rsid w:val="00211DC3"/>
    <w:rsid w:val="0021564F"/>
    <w:rsid w:val="00222002"/>
    <w:rsid w:val="0022221D"/>
    <w:rsid w:val="00233254"/>
    <w:rsid w:val="00236815"/>
    <w:rsid w:val="00251875"/>
    <w:rsid w:val="00260FCB"/>
    <w:rsid w:val="00262413"/>
    <w:rsid w:val="002672B9"/>
    <w:rsid w:val="00275849"/>
    <w:rsid w:val="00277AF4"/>
    <w:rsid w:val="002812C7"/>
    <w:rsid w:val="00281D75"/>
    <w:rsid w:val="00291CFB"/>
    <w:rsid w:val="002C3B29"/>
    <w:rsid w:val="002C5125"/>
    <w:rsid w:val="002D3848"/>
    <w:rsid w:val="002E0812"/>
    <w:rsid w:val="002E64C6"/>
    <w:rsid w:val="002E7FE0"/>
    <w:rsid w:val="00305395"/>
    <w:rsid w:val="003063E6"/>
    <w:rsid w:val="00310393"/>
    <w:rsid w:val="00331BD8"/>
    <w:rsid w:val="00332E7D"/>
    <w:rsid w:val="00350448"/>
    <w:rsid w:val="00351486"/>
    <w:rsid w:val="00353BB8"/>
    <w:rsid w:val="003630BB"/>
    <w:rsid w:val="003637C2"/>
    <w:rsid w:val="00364513"/>
    <w:rsid w:val="003653CC"/>
    <w:rsid w:val="003760AB"/>
    <w:rsid w:val="003931A4"/>
    <w:rsid w:val="00393B2B"/>
    <w:rsid w:val="003B7808"/>
    <w:rsid w:val="003D4330"/>
    <w:rsid w:val="003D4BF6"/>
    <w:rsid w:val="003E1E8B"/>
    <w:rsid w:val="00420E49"/>
    <w:rsid w:val="004346E6"/>
    <w:rsid w:val="004469E2"/>
    <w:rsid w:val="00446C2D"/>
    <w:rsid w:val="00446D44"/>
    <w:rsid w:val="00447A82"/>
    <w:rsid w:val="004511EE"/>
    <w:rsid w:val="00466878"/>
    <w:rsid w:val="00466A24"/>
    <w:rsid w:val="004672B3"/>
    <w:rsid w:val="00471A1D"/>
    <w:rsid w:val="0048211B"/>
    <w:rsid w:val="00484E48"/>
    <w:rsid w:val="00491146"/>
    <w:rsid w:val="00491AD3"/>
    <w:rsid w:val="00496479"/>
    <w:rsid w:val="004A4F35"/>
    <w:rsid w:val="004A53D7"/>
    <w:rsid w:val="004A7CBA"/>
    <w:rsid w:val="004B3051"/>
    <w:rsid w:val="004B5E15"/>
    <w:rsid w:val="004C7DA1"/>
    <w:rsid w:val="004E209F"/>
    <w:rsid w:val="004F552D"/>
    <w:rsid w:val="00502109"/>
    <w:rsid w:val="00505B39"/>
    <w:rsid w:val="005064A2"/>
    <w:rsid w:val="00523145"/>
    <w:rsid w:val="005265B9"/>
    <w:rsid w:val="00544572"/>
    <w:rsid w:val="00544EB3"/>
    <w:rsid w:val="00574657"/>
    <w:rsid w:val="00577D95"/>
    <w:rsid w:val="00581CC6"/>
    <w:rsid w:val="00582366"/>
    <w:rsid w:val="00585380"/>
    <w:rsid w:val="00593A33"/>
    <w:rsid w:val="005C7206"/>
    <w:rsid w:val="005C7EF9"/>
    <w:rsid w:val="005D5980"/>
    <w:rsid w:val="005E340D"/>
    <w:rsid w:val="005E5150"/>
    <w:rsid w:val="005E731F"/>
    <w:rsid w:val="005F28DF"/>
    <w:rsid w:val="00612169"/>
    <w:rsid w:val="0062212D"/>
    <w:rsid w:val="00640DDC"/>
    <w:rsid w:val="0066052A"/>
    <w:rsid w:val="00662331"/>
    <w:rsid w:val="00690B06"/>
    <w:rsid w:val="00695A4F"/>
    <w:rsid w:val="006A3B30"/>
    <w:rsid w:val="006A407F"/>
    <w:rsid w:val="006C0BFF"/>
    <w:rsid w:val="006D27D2"/>
    <w:rsid w:val="006D52AF"/>
    <w:rsid w:val="006D5966"/>
    <w:rsid w:val="006E0041"/>
    <w:rsid w:val="006E10B3"/>
    <w:rsid w:val="00720CE1"/>
    <w:rsid w:val="007334E8"/>
    <w:rsid w:val="0073490C"/>
    <w:rsid w:val="0073742C"/>
    <w:rsid w:val="00742988"/>
    <w:rsid w:val="0075741F"/>
    <w:rsid w:val="0075780B"/>
    <w:rsid w:val="00765CEB"/>
    <w:rsid w:val="0079558B"/>
    <w:rsid w:val="007A535A"/>
    <w:rsid w:val="007A6C25"/>
    <w:rsid w:val="007B23DD"/>
    <w:rsid w:val="007B57B3"/>
    <w:rsid w:val="007C22D5"/>
    <w:rsid w:val="007E0714"/>
    <w:rsid w:val="007E6D4E"/>
    <w:rsid w:val="007E7883"/>
    <w:rsid w:val="007F15E8"/>
    <w:rsid w:val="00833425"/>
    <w:rsid w:val="0083668C"/>
    <w:rsid w:val="00836D89"/>
    <w:rsid w:val="00837C4B"/>
    <w:rsid w:val="0084117D"/>
    <w:rsid w:val="0085766C"/>
    <w:rsid w:val="00861CC1"/>
    <w:rsid w:val="00865DC4"/>
    <w:rsid w:val="0086600F"/>
    <w:rsid w:val="00870B6A"/>
    <w:rsid w:val="008809ED"/>
    <w:rsid w:val="00880B9F"/>
    <w:rsid w:val="00882255"/>
    <w:rsid w:val="008A23F3"/>
    <w:rsid w:val="008A5492"/>
    <w:rsid w:val="008B1464"/>
    <w:rsid w:val="008B4A02"/>
    <w:rsid w:val="008C052A"/>
    <w:rsid w:val="008C4B4F"/>
    <w:rsid w:val="008D2849"/>
    <w:rsid w:val="008D4C52"/>
    <w:rsid w:val="008E32F4"/>
    <w:rsid w:val="008E6F77"/>
    <w:rsid w:val="008F19C5"/>
    <w:rsid w:val="008F5201"/>
    <w:rsid w:val="008F6A7A"/>
    <w:rsid w:val="008F7C7F"/>
    <w:rsid w:val="00901460"/>
    <w:rsid w:val="00911990"/>
    <w:rsid w:val="009211D2"/>
    <w:rsid w:val="00921866"/>
    <w:rsid w:val="009269D6"/>
    <w:rsid w:val="00931C6B"/>
    <w:rsid w:val="009437A8"/>
    <w:rsid w:val="00950724"/>
    <w:rsid w:val="00954852"/>
    <w:rsid w:val="00955FF1"/>
    <w:rsid w:val="00963B9E"/>
    <w:rsid w:val="0096696E"/>
    <w:rsid w:val="00976754"/>
    <w:rsid w:val="00976EFF"/>
    <w:rsid w:val="009844B3"/>
    <w:rsid w:val="00995B4C"/>
    <w:rsid w:val="009A0F8B"/>
    <w:rsid w:val="009A476D"/>
    <w:rsid w:val="009B111D"/>
    <w:rsid w:val="009C4C4A"/>
    <w:rsid w:val="009C7AD6"/>
    <w:rsid w:val="009D5A9D"/>
    <w:rsid w:val="009D6E76"/>
    <w:rsid w:val="009E3B0B"/>
    <w:rsid w:val="009F0EF6"/>
    <w:rsid w:val="009F4389"/>
    <w:rsid w:val="00A011A4"/>
    <w:rsid w:val="00A016E2"/>
    <w:rsid w:val="00A04927"/>
    <w:rsid w:val="00A05ACE"/>
    <w:rsid w:val="00A07CC9"/>
    <w:rsid w:val="00A168E0"/>
    <w:rsid w:val="00A46BF7"/>
    <w:rsid w:val="00A52228"/>
    <w:rsid w:val="00A66A0E"/>
    <w:rsid w:val="00A73424"/>
    <w:rsid w:val="00A7402D"/>
    <w:rsid w:val="00A758E7"/>
    <w:rsid w:val="00AA775D"/>
    <w:rsid w:val="00AC3696"/>
    <w:rsid w:val="00AC3AFE"/>
    <w:rsid w:val="00AD113C"/>
    <w:rsid w:val="00AD41FB"/>
    <w:rsid w:val="00AE3298"/>
    <w:rsid w:val="00AF55A0"/>
    <w:rsid w:val="00AF7EBF"/>
    <w:rsid w:val="00B12100"/>
    <w:rsid w:val="00B20FEB"/>
    <w:rsid w:val="00B22D75"/>
    <w:rsid w:val="00B31627"/>
    <w:rsid w:val="00B406B8"/>
    <w:rsid w:val="00B501CF"/>
    <w:rsid w:val="00B502F9"/>
    <w:rsid w:val="00B64BD1"/>
    <w:rsid w:val="00B70A32"/>
    <w:rsid w:val="00B86AD3"/>
    <w:rsid w:val="00B91DF1"/>
    <w:rsid w:val="00BA73BE"/>
    <w:rsid w:val="00BB05F9"/>
    <w:rsid w:val="00BB6783"/>
    <w:rsid w:val="00BC4ED5"/>
    <w:rsid w:val="00BD340B"/>
    <w:rsid w:val="00BD5111"/>
    <w:rsid w:val="00BE4934"/>
    <w:rsid w:val="00BF2C35"/>
    <w:rsid w:val="00C00D92"/>
    <w:rsid w:val="00C4115D"/>
    <w:rsid w:val="00C43F9B"/>
    <w:rsid w:val="00C625FA"/>
    <w:rsid w:val="00C65F19"/>
    <w:rsid w:val="00C711EE"/>
    <w:rsid w:val="00C711F2"/>
    <w:rsid w:val="00C77E7D"/>
    <w:rsid w:val="00C847F2"/>
    <w:rsid w:val="00CA05B2"/>
    <w:rsid w:val="00CA2389"/>
    <w:rsid w:val="00CA6EF1"/>
    <w:rsid w:val="00CA7B5F"/>
    <w:rsid w:val="00CB25DC"/>
    <w:rsid w:val="00CB4F38"/>
    <w:rsid w:val="00CD7BF6"/>
    <w:rsid w:val="00CE21DE"/>
    <w:rsid w:val="00D05361"/>
    <w:rsid w:val="00D126DC"/>
    <w:rsid w:val="00D1524E"/>
    <w:rsid w:val="00D270BA"/>
    <w:rsid w:val="00D3388D"/>
    <w:rsid w:val="00D373D3"/>
    <w:rsid w:val="00D37F7C"/>
    <w:rsid w:val="00D41079"/>
    <w:rsid w:val="00D41C2C"/>
    <w:rsid w:val="00D515F4"/>
    <w:rsid w:val="00D67344"/>
    <w:rsid w:val="00D7328F"/>
    <w:rsid w:val="00D845AB"/>
    <w:rsid w:val="00D86A24"/>
    <w:rsid w:val="00DA7B52"/>
    <w:rsid w:val="00DB2663"/>
    <w:rsid w:val="00DC00EA"/>
    <w:rsid w:val="00DD793C"/>
    <w:rsid w:val="00E013CC"/>
    <w:rsid w:val="00E02F72"/>
    <w:rsid w:val="00E05BC0"/>
    <w:rsid w:val="00E07C00"/>
    <w:rsid w:val="00E1117D"/>
    <w:rsid w:val="00E1423C"/>
    <w:rsid w:val="00E23100"/>
    <w:rsid w:val="00E26155"/>
    <w:rsid w:val="00E31F49"/>
    <w:rsid w:val="00E73C68"/>
    <w:rsid w:val="00E744B6"/>
    <w:rsid w:val="00E74AA1"/>
    <w:rsid w:val="00E755F3"/>
    <w:rsid w:val="00E85052"/>
    <w:rsid w:val="00E96629"/>
    <w:rsid w:val="00EA0E60"/>
    <w:rsid w:val="00EB3F5F"/>
    <w:rsid w:val="00ED0A9E"/>
    <w:rsid w:val="00ED654E"/>
    <w:rsid w:val="00ED7295"/>
    <w:rsid w:val="00EF0EC0"/>
    <w:rsid w:val="00EF6987"/>
    <w:rsid w:val="00F101B5"/>
    <w:rsid w:val="00F12E4B"/>
    <w:rsid w:val="00F214B5"/>
    <w:rsid w:val="00F23698"/>
    <w:rsid w:val="00F25814"/>
    <w:rsid w:val="00F32DE9"/>
    <w:rsid w:val="00F33888"/>
    <w:rsid w:val="00F457A6"/>
    <w:rsid w:val="00F47706"/>
    <w:rsid w:val="00F50C61"/>
    <w:rsid w:val="00F6437F"/>
    <w:rsid w:val="00F66463"/>
    <w:rsid w:val="00F7303C"/>
    <w:rsid w:val="00F820DD"/>
    <w:rsid w:val="00FA23BC"/>
    <w:rsid w:val="00FB406B"/>
    <w:rsid w:val="00FC289E"/>
    <w:rsid w:val="00FD2381"/>
    <w:rsid w:val="00FD32D0"/>
    <w:rsid w:val="00FE222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1C1D1"/>
  <w15:docId w15:val="{642B3EB6-A7D6-41CD-A1DE-E5AFD8E68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AD6"/>
    <w:rPr>
      <w:rFonts w:ascii="Calibri" w:eastAsia="Calibri" w:hAnsi="Calibri" w:cs="Calibri"/>
      <w:color w:val="000000"/>
      <w:sz w:val="24"/>
    </w:rPr>
  </w:style>
  <w:style w:type="paragraph" w:styleId="Heading1">
    <w:name w:val="heading 1"/>
    <w:next w:val="Normal"/>
    <w:link w:val="Heading1Char"/>
    <w:uiPriority w:val="9"/>
    <w:unhideWhenUsed/>
    <w:qFormat/>
    <w:rsid w:val="009C7AD6"/>
    <w:pPr>
      <w:keepNext/>
      <w:keepLines/>
      <w:spacing w:after="261"/>
      <w:ind w:left="10" w:right="1" w:hanging="10"/>
      <w:jc w:val="center"/>
      <w:outlineLvl w:val="0"/>
    </w:pPr>
    <w:rPr>
      <w:rFonts w:ascii="Calibri" w:eastAsia="Calibri" w:hAnsi="Calibri" w:cs="Calibri"/>
      <w:b/>
      <w:color w:val="000000"/>
      <w:sz w:val="34"/>
    </w:rPr>
  </w:style>
  <w:style w:type="paragraph" w:styleId="Heading2">
    <w:name w:val="heading 2"/>
    <w:next w:val="Normal"/>
    <w:link w:val="Heading2Char"/>
    <w:uiPriority w:val="9"/>
    <w:unhideWhenUsed/>
    <w:qFormat/>
    <w:rsid w:val="009C7AD6"/>
    <w:pPr>
      <w:keepNext/>
      <w:keepLines/>
      <w:spacing w:after="0"/>
      <w:ind w:left="10" w:hanging="10"/>
      <w:outlineLvl w:val="1"/>
    </w:pPr>
    <w:rPr>
      <w:rFonts w:ascii="Calibri" w:eastAsia="Calibri" w:hAnsi="Calibri" w:cs="Calibri"/>
      <w:b/>
      <w:color w:val="000000"/>
      <w:sz w:val="29"/>
    </w:rPr>
  </w:style>
  <w:style w:type="paragraph" w:styleId="Heading3">
    <w:name w:val="heading 3"/>
    <w:next w:val="Normal"/>
    <w:link w:val="Heading3Char"/>
    <w:uiPriority w:val="9"/>
    <w:unhideWhenUsed/>
    <w:qFormat/>
    <w:rsid w:val="009C7AD6"/>
    <w:pPr>
      <w:keepNext/>
      <w:keepLines/>
      <w:spacing w:after="317"/>
      <w:ind w:left="10" w:hanging="10"/>
      <w:outlineLvl w:val="2"/>
    </w:pPr>
    <w:rPr>
      <w:rFonts w:ascii="Calibri" w:eastAsia="Calibri" w:hAnsi="Calibri" w:cs="Calibri"/>
      <w:b/>
      <w:color w:val="000000"/>
      <w:sz w:val="24"/>
    </w:rPr>
  </w:style>
  <w:style w:type="paragraph" w:styleId="Heading4">
    <w:name w:val="heading 4"/>
    <w:basedOn w:val="Normal"/>
    <w:next w:val="Normal"/>
    <w:link w:val="Heading4Char"/>
    <w:uiPriority w:val="9"/>
    <w:semiHidden/>
    <w:unhideWhenUsed/>
    <w:qFormat/>
    <w:rsid w:val="001F475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C7AD6"/>
    <w:rPr>
      <w:rFonts w:ascii="Calibri" w:eastAsia="Calibri" w:hAnsi="Calibri" w:cs="Calibri"/>
      <w:b/>
      <w:color w:val="000000"/>
      <w:sz w:val="29"/>
    </w:rPr>
  </w:style>
  <w:style w:type="character" w:customStyle="1" w:styleId="Heading1Char">
    <w:name w:val="Heading 1 Char"/>
    <w:link w:val="Heading1"/>
    <w:uiPriority w:val="9"/>
    <w:rsid w:val="009C7AD6"/>
    <w:rPr>
      <w:rFonts w:ascii="Calibri" w:eastAsia="Calibri" w:hAnsi="Calibri" w:cs="Calibri"/>
      <w:b/>
      <w:color w:val="000000"/>
      <w:sz w:val="34"/>
    </w:rPr>
  </w:style>
  <w:style w:type="paragraph" w:customStyle="1" w:styleId="footnotedescription">
    <w:name w:val="footnote description"/>
    <w:next w:val="Normal"/>
    <w:link w:val="footnotedescriptionChar"/>
    <w:hidden/>
    <w:rsid w:val="009C7AD6"/>
    <w:pPr>
      <w:spacing w:after="0" w:line="261" w:lineRule="auto"/>
      <w:ind w:right="1" w:firstLine="190"/>
      <w:jc w:val="both"/>
    </w:pPr>
    <w:rPr>
      <w:rFonts w:ascii="Calibri" w:eastAsia="Calibri" w:hAnsi="Calibri" w:cs="Calibri"/>
      <w:color w:val="000000"/>
      <w:sz w:val="20"/>
    </w:rPr>
  </w:style>
  <w:style w:type="character" w:customStyle="1" w:styleId="footnotedescriptionChar">
    <w:name w:val="footnote description Char"/>
    <w:link w:val="footnotedescription"/>
    <w:rsid w:val="009C7AD6"/>
    <w:rPr>
      <w:rFonts w:ascii="Calibri" w:eastAsia="Calibri" w:hAnsi="Calibri" w:cs="Calibri"/>
      <w:color w:val="000000"/>
      <w:sz w:val="20"/>
    </w:rPr>
  </w:style>
  <w:style w:type="character" w:customStyle="1" w:styleId="Heading3Char">
    <w:name w:val="Heading 3 Char"/>
    <w:link w:val="Heading3"/>
    <w:rsid w:val="009C7AD6"/>
    <w:rPr>
      <w:rFonts w:ascii="Calibri" w:eastAsia="Calibri" w:hAnsi="Calibri" w:cs="Calibri"/>
      <w:b/>
      <w:color w:val="000000"/>
      <w:sz w:val="24"/>
    </w:rPr>
  </w:style>
  <w:style w:type="character" w:customStyle="1" w:styleId="footnotemark">
    <w:name w:val="footnote mark"/>
    <w:hidden/>
    <w:rsid w:val="009C7AD6"/>
    <w:rPr>
      <w:rFonts w:ascii="Calibri" w:eastAsia="Calibri" w:hAnsi="Calibri" w:cs="Calibri"/>
      <w:color w:val="000000"/>
      <w:sz w:val="20"/>
      <w:vertAlign w:val="superscript"/>
    </w:rPr>
  </w:style>
  <w:style w:type="table" w:customStyle="1" w:styleId="TableGrid">
    <w:name w:val="TableGrid"/>
    <w:rsid w:val="009C7AD6"/>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D23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381"/>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C625FA"/>
    <w:rPr>
      <w:sz w:val="16"/>
      <w:szCs w:val="16"/>
    </w:rPr>
  </w:style>
  <w:style w:type="paragraph" w:styleId="CommentText">
    <w:name w:val="annotation text"/>
    <w:basedOn w:val="Normal"/>
    <w:link w:val="CommentTextChar"/>
    <w:uiPriority w:val="99"/>
    <w:semiHidden/>
    <w:unhideWhenUsed/>
    <w:rsid w:val="00C625FA"/>
    <w:pPr>
      <w:spacing w:line="240" w:lineRule="auto"/>
    </w:pPr>
    <w:rPr>
      <w:rFonts w:asciiTheme="minorHAnsi" w:eastAsiaTheme="minorEastAsia" w:hAnsiTheme="minorHAnsi" w:cstheme="minorBidi"/>
      <w:color w:val="auto"/>
      <w:sz w:val="20"/>
      <w:szCs w:val="20"/>
    </w:rPr>
  </w:style>
  <w:style w:type="character" w:customStyle="1" w:styleId="CommentTextChar">
    <w:name w:val="Comment Text Char"/>
    <w:basedOn w:val="DefaultParagraphFont"/>
    <w:link w:val="CommentText"/>
    <w:uiPriority w:val="99"/>
    <w:semiHidden/>
    <w:rsid w:val="00C625FA"/>
    <w:rPr>
      <w:sz w:val="20"/>
      <w:szCs w:val="20"/>
    </w:rPr>
  </w:style>
  <w:style w:type="paragraph" w:styleId="FootnoteText">
    <w:name w:val="footnote text"/>
    <w:basedOn w:val="Normal"/>
    <w:link w:val="FootnoteTextChar"/>
    <w:uiPriority w:val="99"/>
    <w:semiHidden/>
    <w:unhideWhenUsed/>
    <w:rsid w:val="00181A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1AE9"/>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181AE9"/>
    <w:rPr>
      <w:vertAlign w:val="superscript"/>
    </w:rPr>
  </w:style>
  <w:style w:type="paragraph" w:styleId="Header">
    <w:name w:val="header"/>
    <w:basedOn w:val="Normal"/>
    <w:link w:val="HeaderChar"/>
    <w:uiPriority w:val="99"/>
    <w:unhideWhenUsed/>
    <w:rsid w:val="00181A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AE9"/>
    <w:rPr>
      <w:rFonts w:ascii="Calibri" w:eastAsia="Calibri" w:hAnsi="Calibri" w:cs="Calibri"/>
      <w:color w:val="000000"/>
      <w:sz w:val="24"/>
    </w:rPr>
  </w:style>
  <w:style w:type="paragraph" w:styleId="Footer">
    <w:name w:val="footer"/>
    <w:basedOn w:val="Normal"/>
    <w:link w:val="FooterChar"/>
    <w:uiPriority w:val="99"/>
    <w:unhideWhenUsed/>
    <w:rsid w:val="00181AE9"/>
    <w:pPr>
      <w:tabs>
        <w:tab w:val="center" w:pos="4320"/>
        <w:tab w:val="right" w:pos="8640"/>
      </w:tabs>
      <w:spacing w:after="200" w:line="276" w:lineRule="auto"/>
    </w:pPr>
    <w:rPr>
      <w:rFonts w:asciiTheme="minorHAnsi" w:eastAsiaTheme="minorEastAsia" w:hAnsiTheme="minorHAnsi" w:cstheme="minorBidi"/>
      <w:color w:val="auto"/>
      <w:sz w:val="22"/>
      <w:lang w:val="en-US" w:eastAsia="en-US"/>
    </w:rPr>
  </w:style>
  <w:style w:type="character" w:customStyle="1" w:styleId="FooterChar">
    <w:name w:val="Footer Char"/>
    <w:basedOn w:val="DefaultParagraphFont"/>
    <w:link w:val="Footer"/>
    <w:uiPriority w:val="99"/>
    <w:rsid w:val="00181AE9"/>
    <w:rPr>
      <w:lang w:val="en-US" w:eastAsia="en-US"/>
    </w:rPr>
  </w:style>
  <w:style w:type="paragraph" w:styleId="CommentSubject">
    <w:name w:val="annotation subject"/>
    <w:basedOn w:val="CommentText"/>
    <w:next w:val="CommentText"/>
    <w:link w:val="CommentSubjectChar"/>
    <w:uiPriority w:val="99"/>
    <w:semiHidden/>
    <w:unhideWhenUsed/>
    <w:rsid w:val="008A5492"/>
    <w:pPr>
      <w:spacing w:after="4"/>
      <w:ind w:right="1" w:firstLine="341"/>
      <w:jc w:val="both"/>
    </w:pPr>
    <w:rPr>
      <w:rFonts w:ascii="Calibri" w:eastAsia="Calibri" w:hAnsi="Calibri" w:cs="Calibri"/>
      <w:b/>
      <w:bCs/>
      <w:color w:val="000000"/>
    </w:rPr>
  </w:style>
  <w:style w:type="character" w:customStyle="1" w:styleId="CommentSubjectChar">
    <w:name w:val="Comment Subject Char"/>
    <w:basedOn w:val="CommentTextChar"/>
    <w:link w:val="CommentSubject"/>
    <w:uiPriority w:val="99"/>
    <w:semiHidden/>
    <w:rsid w:val="008A5492"/>
    <w:rPr>
      <w:rFonts w:ascii="Calibri" w:eastAsia="Calibri" w:hAnsi="Calibri" w:cs="Calibri"/>
      <w:b/>
      <w:bCs/>
      <w:color w:val="000000"/>
      <w:sz w:val="20"/>
      <w:szCs w:val="20"/>
    </w:rPr>
  </w:style>
  <w:style w:type="paragraph" w:styleId="ListParagraph">
    <w:name w:val="List Paragraph"/>
    <w:basedOn w:val="Normal"/>
    <w:uiPriority w:val="34"/>
    <w:qFormat/>
    <w:rsid w:val="00FB406B"/>
    <w:pPr>
      <w:ind w:left="720"/>
      <w:contextualSpacing/>
    </w:pPr>
  </w:style>
  <w:style w:type="character" w:styleId="PlaceholderText">
    <w:name w:val="Placeholder Text"/>
    <w:basedOn w:val="DefaultParagraphFont"/>
    <w:uiPriority w:val="99"/>
    <w:semiHidden/>
    <w:rsid w:val="00574657"/>
    <w:rPr>
      <w:color w:val="808080"/>
    </w:rPr>
  </w:style>
  <w:style w:type="table" w:styleId="TableGrid0">
    <w:name w:val="Table Grid"/>
    <w:basedOn w:val="TableNormal"/>
    <w:uiPriority w:val="39"/>
    <w:rsid w:val="00482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F4757"/>
    <w:pPr>
      <w:spacing w:before="100" w:beforeAutospacing="1" w:after="100" w:afterAutospacing="1" w:line="240" w:lineRule="auto"/>
    </w:pPr>
    <w:rPr>
      <w:rFonts w:ascii="Times New Roman" w:eastAsia="Times New Roman" w:hAnsi="Times New Roman" w:cs="Times New Roman"/>
      <w:color w:val="auto"/>
      <w:szCs w:val="24"/>
      <w:lang w:val="en-GB" w:eastAsia="en-GB"/>
    </w:rPr>
  </w:style>
  <w:style w:type="character" w:styleId="Hyperlink">
    <w:name w:val="Hyperlink"/>
    <w:basedOn w:val="DefaultParagraphFont"/>
    <w:uiPriority w:val="99"/>
    <w:unhideWhenUsed/>
    <w:rsid w:val="001F4757"/>
    <w:rPr>
      <w:color w:val="0000FF"/>
      <w:u w:val="single"/>
    </w:rPr>
  </w:style>
  <w:style w:type="character" w:customStyle="1" w:styleId="Heading4Char">
    <w:name w:val="Heading 4 Char"/>
    <w:basedOn w:val="DefaultParagraphFont"/>
    <w:link w:val="Heading4"/>
    <w:uiPriority w:val="9"/>
    <w:semiHidden/>
    <w:rsid w:val="001F4757"/>
    <w:rPr>
      <w:rFonts w:asciiTheme="majorHAnsi" w:eastAsiaTheme="majorEastAsia" w:hAnsiTheme="majorHAnsi" w:cstheme="majorBidi"/>
      <w:i/>
      <w:iCs/>
      <w:color w:val="2E74B5" w:themeColor="accent1" w:themeShade="BF"/>
      <w:sz w:val="24"/>
    </w:rPr>
  </w:style>
  <w:style w:type="table" w:customStyle="1" w:styleId="TableGrid1">
    <w:name w:val="Table Grid1"/>
    <w:basedOn w:val="TableNormal"/>
    <w:next w:val="TableGrid0"/>
    <w:uiPriority w:val="39"/>
    <w:rsid w:val="00505B39"/>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36D89"/>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36D89"/>
    <w:rPr>
      <w:rFonts w:asciiTheme="majorHAnsi" w:eastAsiaTheme="majorEastAsia" w:hAnsiTheme="majorHAnsi" w:cstheme="majorBidi"/>
      <w:spacing w:val="-10"/>
      <w:kern w:val="28"/>
      <w:sz w:val="56"/>
      <w:szCs w:val="56"/>
    </w:rPr>
  </w:style>
  <w:style w:type="paragraph" w:styleId="Revision">
    <w:name w:val="Revision"/>
    <w:hidden/>
    <w:uiPriority w:val="99"/>
    <w:semiHidden/>
    <w:rsid w:val="00BD340B"/>
    <w:pPr>
      <w:spacing w:after="0" w:line="240" w:lineRule="auto"/>
    </w:pPr>
    <w:rPr>
      <w:rFonts w:ascii="Calibri" w:eastAsia="Calibri" w:hAnsi="Calibri" w:cs="Calibri"/>
      <w:color w:val="000000"/>
      <w:sz w:val="24"/>
    </w:rPr>
  </w:style>
  <w:style w:type="table" w:styleId="PlainTable5">
    <w:name w:val="Plain Table 5"/>
    <w:basedOn w:val="TableNormal"/>
    <w:uiPriority w:val="45"/>
    <w:rsid w:val="004B5E1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517685">
      <w:bodyDiv w:val="1"/>
      <w:marLeft w:val="0"/>
      <w:marRight w:val="0"/>
      <w:marTop w:val="0"/>
      <w:marBottom w:val="0"/>
      <w:divBdr>
        <w:top w:val="none" w:sz="0" w:space="0" w:color="auto"/>
        <w:left w:val="none" w:sz="0" w:space="0" w:color="auto"/>
        <w:bottom w:val="none" w:sz="0" w:space="0" w:color="auto"/>
        <w:right w:val="none" w:sz="0" w:space="0" w:color="auto"/>
      </w:divBdr>
      <w:divsChild>
        <w:div w:id="1359234560">
          <w:marLeft w:val="0"/>
          <w:marRight w:val="0"/>
          <w:marTop w:val="0"/>
          <w:marBottom w:val="0"/>
          <w:divBdr>
            <w:top w:val="none" w:sz="0" w:space="0" w:color="auto"/>
            <w:left w:val="none" w:sz="0" w:space="0" w:color="auto"/>
            <w:bottom w:val="none" w:sz="0" w:space="0" w:color="auto"/>
            <w:right w:val="none" w:sz="0" w:space="0" w:color="auto"/>
          </w:divBdr>
          <w:divsChild>
            <w:div w:id="2042657603">
              <w:marLeft w:val="0"/>
              <w:marRight w:val="0"/>
              <w:marTop w:val="0"/>
              <w:marBottom w:val="0"/>
              <w:divBdr>
                <w:top w:val="none" w:sz="0" w:space="0" w:color="auto"/>
                <w:left w:val="none" w:sz="0" w:space="0" w:color="auto"/>
                <w:bottom w:val="none" w:sz="0" w:space="0" w:color="auto"/>
                <w:right w:val="none" w:sz="0" w:space="0" w:color="auto"/>
              </w:divBdr>
              <w:divsChild>
                <w:div w:id="1754162360">
                  <w:marLeft w:val="0"/>
                  <w:marRight w:val="0"/>
                  <w:marTop w:val="0"/>
                  <w:marBottom w:val="0"/>
                  <w:divBdr>
                    <w:top w:val="none" w:sz="0" w:space="0" w:color="auto"/>
                    <w:left w:val="none" w:sz="0" w:space="0" w:color="auto"/>
                    <w:bottom w:val="none" w:sz="0" w:space="0" w:color="auto"/>
                    <w:right w:val="none" w:sz="0" w:space="0" w:color="auto"/>
                  </w:divBdr>
                  <w:divsChild>
                    <w:div w:id="1494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50578">
              <w:marLeft w:val="0"/>
              <w:marRight w:val="0"/>
              <w:marTop w:val="0"/>
              <w:marBottom w:val="0"/>
              <w:divBdr>
                <w:top w:val="none" w:sz="0" w:space="0" w:color="auto"/>
                <w:left w:val="none" w:sz="0" w:space="0" w:color="auto"/>
                <w:bottom w:val="none" w:sz="0" w:space="0" w:color="auto"/>
                <w:right w:val="none" w:sz="0" w:space="0" w:color="auto"/>
              </w:divBdr>
              <w:divsChild>
                <w:div w:id="1795126433">
                  <w:marLeft w:val="0"/>
                  <w:marRight w:val="0"/>
                  <w:marTop w:val="0"/>
                  <w:marBottom w:val="0"/>
                  <w:divBdr>
                    <w:top w:val="none" w:sz="0" w:space="0" w:color="auto"/>
                    <w:left w:val="none" w:sz="0" w:space="0" w:color="auto"/>
                    <w:bottom w:val="none" w:sz="0" w:space="0" w:color="auto"/>
                    <w:right w:val="none" w:sz="0" w:space="0" w:color="auto"/>
                  </w:divBdr>
                  <w:divsChild>
                    <w:div w:id="1727529266">
                      <w:marLeft w:val="0"/>
                      <w:marRight w:val="0"/>
                      <w:marTop w:val="0"/>
                      <w:marBottom w:val="0"/>
                      <w:divBdr>
                        <w:top w:val="none" w:sz="0" w:space="0" w:color="auto"/>
                        <w:left w:val="none" w:sz="0" w:space="0" w:color="auto"/>
                        <w:bottom w:val="none" w:sz="0" w:space="0" w:color="auto"/>
                        <w:right w:val="none" w:sz="0" w:space="0" w:color="auto"/>
                      </w:divBdr>
                      <w:divsChild>
                        <w:div w:id="165887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937074">
          <w:marLeft w:val="0"/>
          <w:marRight w:val="0"/>
          <w:marTop w:val="0"/>
          <w:marBottom w:val="0"/>
          <w:divBdr>
            <w:top w:val="none" w:sz="0" w:space="0" w:color="auto"/>
            <w:left w:val="none" w:sz="0" w:space="0" w:color="auto"/>
            <w:bottom w:val="none" w:sz="0" w:space="0" w:color="auto"/>
            <w:right w:val="none" w:sz="0" w:space="0" w:color="auto"/>
          </w:divBdr>
          <w:divsChild>
            <w:div w:id="1978367285">
              <w:marLeft w:val="0"/>
              <w:marRight w:val="0"/>
              <w:marTop w:val="0"/>
              <w:marBottom w:val="0"/>
              <w:divBdr>
                <w:top w:val="none" w:sz="0" w:space="0" w:color="auto"/>
                <w:left w:val="none" w:sz="0" w:space="0" w:color="auto"/>
                <w:bottom w:val="none" w:sz="0" w:space="0" w:color="auto"/>
                <w:right w:val="none" w:sz="0" w:space="0" w:color="auto"/>
              </w:divBdr>
              <w:divsChild>
                <w:div w:id="1736473016">
                  <w:marLeft w:val="0"/>
                  <w:marRight w:val="0"/>
                  <w:marTop w:val="0"/>
                  <w:marBottom w:val="0"/>
                  <w:divBdr>
                    <w:top w:val="none" w:sz="0" w:space="0" w:color="auto"/>
                    <w:left w:val="none" w:sz="0" w:space="0" w:color="auto"/>
                    <w:bottom w:val="none" w:sz="0" w:space="0" w:color="auto"/>
                    <w:right w:val="none" w:sz="0" w:space="0" w:color="auto"/>
                  </w:divBdr>
                  <w:divsChild>
                    <w:div w:id="1940941275">
                      <w:marLeft w:val="0"/>
                      <w:marRight w:val="0"/>
                      <w:marTop w:val="0"/>
                      <w:marBottom w:val="0"/>
                      <w:divBdr>
                        <w:top w:val="none" w:sz="0" w:space="0" w:color="auto"/>
                        <w:left w:val="none" w:sz="0" w:space="0" w:color="auto"/>
                        <w:bottom w:val="none" w:sz="0" w:space="0" w:color="auto"/>
                        <w:right w:val="none" w:sz="0" w:space="0" w:color="auto"/>
                      </w:divBdr>
                    </w:div>
                    <w:div w:id="6299702">
                      <w:marLeft w:val="0"/>
                      <w:marRight w:val="0"/>
                      <w:marTop w:val="0"/>
                      <w:marBottom w:val="0"/>
                      <w:divBdr>
                        <w:top w:val="none" w:sz="0" w:space="0" w:color="auto"/>
                        <w:left w:val="none" w:sz="0" w:space="0" w:color="auto"/>
                        <w:bottom w:val="none" w:sz="0" w:space="0" w:color="auto"/>
                        <w:right w:val="none" w:sz="0" w:space="0" w:color="auto"/>
                      </w:divBdr>
                      <w:divsChild>
                        <w:div w:id="447507965">
                          <w:marLeft w:val="0"/>
                          <w:marRight w:val="0"/>
                          <w:marTop w:val="0"/>
                          <w:marBottom w:val="0"/>
                          <w:divBdr>
                            <w:top w:val="none" w:sz="0" w:space="0" w:color="auto"/>
                            <w:left w:val="none" w:sz="0" w:space="0" w:color="auto"/>
                            <w:bottom w:val="none" w:sz="0" w:space="0" w:color="auto"/>
                            <w:right w:val="none" w:sz="0" w:space="0" w:color="auto"/>
                          </w:divBdr>
                          <w:divsChild>
                            <w:div w:id="616110078">
                              <w:marLeft w:val="0"/>
                              <w:marRight w:val="0"/>
                              <w:marTop w:val="0"/>
                              <w:marBottom w:val="0"/>
                              <w:divBdr>
                                <w:top w:val="none" w:sz="0" w:space="0" w:color="auto"/>
                                <w:left w:val="none" w:sz="0" w:space="0" w:color="auto"/>
                                <w:bottom w:val="none" w:sz="0" w:space="0" w:color="auto"/>
                                <w:right w:val="none" w:sz="0" w:space="0" w:color="auto"/>
                              </w:divBdr>
                            </w:div>
                            <w:div w:id="1858157542">
                              <w:marLeft w:val="0"/>
                              <w:marRight w:val="0"/>
                              <w:marTop w:val="0"/>
                              <w:marBottom w:val="0"/>
                              <w:divBdr>
                                <w:top w:val="none" w:sz="0" w:space="0" w:color="auto"/>
                                <w:left w:val="none" w:sz="0" w:space="0" w:color="auto"/>
                                <w:bottom w:val="none" w:sz="0" w:space="0" w:color="auto"/>
                                <w:right w:val="none" w:sz="0" w:space="0" w:color="auto"/>
                              </w:divBdr>
                            </w:div>
                            <w:div w:id="625739043">
                              <w:marLeft w:val="0"/>
                              <w:marRight w:val="0"/>
                              <w:marTop w:val="0"/>
                              <w:marBottom w:val="0"/>
                              <w:divBdr>
                                <w:top w:val="none" w:sz="0" w:space="0" w:color="auto"/>
                                <w:left w:val="none" w:sz="0" w:space="0" w:color="auto"/>
                                <w:bottom w:val="none" w:sz="0" w:space="0" w:color="auto"/>
                                <w:right w:val="none" w:sz="0" w:space="0" w:color="auto"/>
                              </w:divBdr>
                              <w:divsChild>
                                <w:div w:id="15318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72824">
                          <w:marLeft w:val="0"/>
                          <w:marRight w:val="0"/>
                          <w:marTop w:val="0"/>
                          <w:marBottom w:val="0"/>
                          <w:divBdr>
                            <w:top w:val="none" w:sz="0" w:space="0" w:color="auto"/>
                            <w:left w:val="none" w:sz="0" w:space="0" w:color="auto"/>
                            <w:bottom w:val="none" w:sz="0" w:space="0" w:color="auto"/>
                            <w:right w:val="none" w:sz="0" w:space="0" w:color="auto"/>
                          </w:divBdr>
                          <w:divsChild>
                            <w:div w:id="202729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81111">
                      <w:marLeft w:val="0"/>
                      <w:marRight w:val="0"/>
                      <w:marTop w:val="0"/>
                      <w:marBottom w:val="0"/>
                      <w:divBdr>
                        <w:top w:val="none" w:sz="0" w:space="0" w:color="auto"/>
                        <w:left w:val="none" w:sz="0" w:space="0" w:color="auto"/>
                        <w:bottom w:val="none" w:sz="0" w:space="0" w:color="auto"/>
                        <w:right w:val="none" w:sz="0" w:space="0" w:color="auto"/>
                      </w:divBdr>
                      <w:divsChild>
                        <w:div w:id="1371227711">
                          <w:marLeft w:val="0"/>
                          <w:marRight w:val="0"/>
                          <w:marTop w:val="0"/>
                          <w:marBottom w:val="0"/>
                          <w:divBdr>
                            <w:top w:val="none" w:sz="0" w:space="0" w:color="auto"/>
                            <w:left w:val="none" w:sz="0" w:space="0" w:color="auto"/>
                            <w:bottom w:val="none" w:sz="0" w:space="0" w:color="auto"/>
                            <w:right w:val="none" w:sz="0" w:space="0" w:color="auto"/>
                          </w:divBdr>
                          <w:divsChild>
                            <w:div w:id="419836076">
                              <w:marLeft w:val="0"/>
                              <w:marRight w:val="0"/>
                              <w:marTop w:val="0"/>
                              <w:marBottom w:val="0"/>
                              <w:divBdr>
                                <w:top w:val="none" w:sz="0" w:space="0" w:color="auto"/>
                                <w:left w:val="none" w:sz="0" w:space="0" w:color="auto"/>
                                <w:bottom w:val="none" w:sz="0" w:space="0" w:color="auto"/>
                                <w:right w:val="none" w:sz="0" w:space="0" w:color="auto"/>
                              </w:divBdr>
                              <w:divsChild>
                                <w:div w:id="1328172160">
                                  <w:marLeft w:val="0"/>
                                  <w:marRight w:val="0"/>
                                  <w:marTop w:val="0"/>
                                  <w:marBottom w:val="0"/>
                                  <w:divBdr>
                                    <w:top w:val="none" w:sz="0" w:space="0" w:color="auto"/>
                                    <w:left w:val="none" w:sz="0" w:space="0" w:color="auto"/>
                                    <w:bottom w:val="none" w:sz="0" w:space="0" w:color="auto"/>
                                    <w:right w:val="none" w:sz="0" w:space="0" w:color="auto"/>
                                  </w:divBdr>
                                </w:div>
                                <w:div w:id="1918438165">
                                  <w:marLeft w:val="0"/>
                                  <w:marRight w:val="0"/>
                                  <w:marTop w:val="0"/>
                                  <w:marBottom w:val="0"/>
                                  <w:divBdr>
                                    <w:top w:val="none" w:sz="0" w:space="0" w:color="auto"/>
                                    <w:left w:val="none" w:sz="0" w:space="0" w:color="auto"/>
                                    <w:bottom w:val="none" w:sz="0" w:space="0" w:color="auto"/>
                                    <w:right w:val="none" w:sz="0" w:space="0" w:color="auto"/>
                                  </w:divBdr>
                                </w:div>
                                <w:div w:id="864556544">
                                  <w:marLeft w:val="0"/>
                                  <w:marRight w:val="0"/>
                                  <w:marTop w:val="0"/>
                                  <w:marBottom w:val="0"/>
                                  <w:divBdr>
                                    <w:top w:val="none" w:sz="0" w:space="0" w:color="auto"/>
                                    <w:left w:val="none" w:sz="0" w:space="0" w:color="auto"/>
                                    <w:bottom w:val="none" w:sz="0" w:space="0" w:color="auto"/>
                                    <w:right w:val="none" w:sz="0" w:space="0" w:color="auto"/>
                                  </w:divBdr>
                                  <w:divsChild>
                                    <w:div w:id="8148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73550">
                      <w:marLeft w:val="0"/>
                      <w:marRight w:val="0"/>
                      <w:marTop w:val="0"/>
                      <w:marBottom w:val="0"/>
                      <w:divBdr>
                        <w:top w:val="none" w:sz="0" w:space="0" w:color="auto"/>
                        <w:left w:val="none" w:sz="0" w:space="0" w:color="auto"/>
                        <w:bottom w:val="none" w:sz="0" w:space="0" w:color="auto"/>
                        <w:right w:val="none" w:sz="0" w:space="0" w:color="auto"/>
                      </w:divBdr>
                      <w:divsChild>
                        <w:div w:id="1125193824">
                          <w:marLeft w:val="0"/>
                          <w:marRight w:val="0"/>
                          <w:marTop w:val="0"/>
                          <w:marBottom w:val="0"/>
                          <w:divBdr>
                            <w:top w:val="none" w:sz="0" w:space="0" w:color="auto"/>
                            <w:left w:val="none" w:sz="0" w:space="0" w:color="auto"/>
                            <w:bottom w:val="none" w:sz="0" w:space="0" w:color="auto"/>
                            <w:right w:val="none" w:sz="0" w:space="0" w:color="auto"/>
                          </w:divBdr>
                          <w:divsChild>
                            <w:div w:id="1280917845">
                              <w:marLeft w:val="0"/>
                              <w:marRight w:val="0"/>
                              <w:marTop w:val="0"/>
                              <w:marBottom w:val="0"/>
                              <w:divBdr>
                                <w:top w:val="none" w:sz="0" w:space="0" w:color="auto"/>
                                <w:left w:val="none" w:sz="0" w:space="0" w:color="auto"/>
                                <w:bottom w:val="none" w:sz="0" w:space="0" w:color="auto"/>
                                <w:right w:val="none" w:sz="0" w:space="0" w:color="auto"/>
                              </w:divBdr>
                              <w:divsChild>
                                <w:div w:id="819612949">
                                  <w:marLeft w:val="0"/>
                                  <w:marRight w:val="0"/>
                                  <w:marTop w:val="0"/>
                                  <w:marBottom w:val="0"/>
                                  <w:divBdr>
                                    <w:top w:val="none" w:sz="0" w:space="0" w:color="auto"/>
                                    <w:left w:val="none" w:sz="0" w:space="0" w:color="auto"/>
                                    <w:bottom w:val="none" w:sz="0" w:space="0" w:color="auto"/>
                                    <w:right w:val="none" w:sz="0" w:space="0" w:color="auto"/>
                                  </w:divBdr>
                                  <w:divsChild>
                                    <w:div w:id="2912493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56217">
                              <w:marLeft w:val="0"/>
                              <w:marRight w:val="0"/>
                              <w:marTop w:val="0"/>
                              <w:marBottom w:val="0"/>
                              <w:divBdr>
                                <w:top w:val="none" w:sz="0" w:space="0" w:color="auto"/>
                                <w:left w:val="none" w:sz="0" w:space="0" w:color="auto"/>
                                <w:bottom w:val="none" w:sz="0" w:space="0" w:color="auto"/>
                                <w:right w:val="none" w:sz="0" w:space="0" w:color="auto"/>
                              </w:divBdr>
                              <w:divsChild>
                                <w:div w:id="203824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250914">
                      <w:marLeft w:val="0"/>
                      <w:marRight w:val="0"/>
                      <w:marTop w:val="0"/>
                      <w:marBottom w:val="0"/>
                      <w:divBdr>
                        <w:top w:val="none" w:sz="0" w:space="0" w:color="auto"/>
                        <w:left w:val="none" w:sz="0" w:space="0" w:color="auto"/>
                        <w:bottom w:val="none" w:sz="0" w:space="0" w:color="auto"/>
                        <w:right w:val="none" w:sz="0" w:space="0" w:color="auto"/>
                      </w:divBdr>
                      <w:divsChild>
                        <w:div w:id="488834243">
                          <w:marLeft w:val="0"/>
                          <w:marRight w:val="0"/>
                          <w:marTop w:val="0"/>
                          <w:marBottom w:val="0"/>
                          <w:divBdr>
                            <w:top w:val="none" w:sz="0" w:space="0" w:color="auto"/>
                            <w:left w:val="none" w:sz="0" w:space="0" w:color="auto"/>
                            <w:bottom w:val="none" w:sz="0" w:space="0" w:color="auto"/>
                            <w:right w:val="none" w:sz="0" w:space="0" w:color="auto"/>
                          </w:divBdr>
                        </w:div>
                        <w:div w:id="131677182">
                          <w:marLeft w:val="0"/>
                          <w:marRight w:val="0"/>
                          <w:marTop w:val="0"/>
                          <w:marBottom w:val="0"/>
                          <w:divBdr>
                            <w:top w:val="none" w:sz="0" w:space="0" w:color="auto"/>
                            <w:left w:val="none" w:sz="0" w:space="0" w:color="auto"/>
                            <w:bottom w:val="none" w:sz="0" w:space="0" w:color="auto"/>
                            <w:right w:val="none" w:sz="0" w:space="0" w:color="auto"/>
                          </w:divBdr>
                        </w:div>
                        <w:div w:id="1576041018">
                          <w:marLeft w:val="0"/>
                          <w:marRight w:val="0"/>
                          <w:marTop w:val="0"/>
                          <w:marBottom w:val="0"/>
                          <w:divBdr>
                            <w:top w:val="none" w:sz="0" w:space="0" w:color="auto"/>
                            <w:left w:val="none" w:sz="0" w:space="0" w:color="auto"/>
                            <w:bottom w:val="none" w:sz="0" w:space="0" w:color="auto"/>
                            <w:right w:val="none" w:sz="0" w:space="0" w:color="auto"/>
                          </w:divBdr>
                        </w:div>
                        <w:div w:id="6117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24900">
                  <w:marLeft w:val="0"/>
                  <w:marRight w:val="0"/>
                  <w:marTop w:val="0"/>
                  <w:marBottom w:val="0"/>
                  <w:divBdr>
                    <w:top w:val="none" w:sz="0" w:space="0" w:color="auto"/>
                    <w:left w:val="none" w:sz="0" w:space="0" w:color="auto"/>
                    <w:bottom w:val="none" w:sz="0" w:space="0" w:color="auto"/>
                    <w:right w:val="none" w:sz="0" w:space="0" w:color="auto"/>
                  </w:divBdr>
                  <w:divsChild>
                    <w:div w:id="254019057">
                      <w:marLeft w:val="0"/>
                      <w:marRight w:val="0"/>
                      <w:marTop w:val="0"/>
                      <w:marBottom w:val="0"/>
                      <w:divBdr>
                        <w:top w:val="none" w:sz="0" w:space="0" w:color="auto"/>
                        <w:left w:val="none" w:sz="0" w:space="0" w:color="auto"/>
                        <w:bottom w:val="none" w:sz="0" w:space="0" w:color="auto"/>
                        <w:right w:val="none" w:sz="0" w:space="0" w:color="auto"/>
                      </w:divBdr>
                      <w:divsChild>
                        <w:div w:id="915095203">
                          <w:marLeft w:val="0"/>
                          <w:marRight w:val="0"/>
                          <w:marTop w:val="0"/>
                          <w:marBottom w:val="0"/>
                          <w:divBdr>
                            <w:top w:val="none" w:sz="0" w:space="0" w:color="auto"/>
                            <w:left w:val="none" w:sz="0" w:space="0" w:color="auto"/>
                            <w:bottom w:val="none" w:sz="0" w:space="0" w:color="auto"/>
                            <w:right w:val="none" w:sz="0" w:space="0" w:color="auto"/>
                          </w:divBdr>
                        </w:div>
                      </w:divsChild>
                    </w:div>
                    <w:div w:id="1789660408">
                      <w:marLeft w:val="0"/>
                      <w:marRight w:val="0"/>
                      <w:marTop w:val="0"/>
                      <w:marBottom w:val="0"/>
                      <w:divBdr>
                        <w:top w:val="none" w:sz="0" w:space="0" w:color="auto"/>
                        <w:left w:val="none" w:sz="0" w:space="0" w:color="auto"/>
                        <w:bottom w:val="none" w:sz="0" w:space="0" w:color="auto"/>
                        <w:right w:val="none" w:sz="0" w:space="0" w:color="auto"/>
                      </w:divBdr>
                      <w:divsChild>
                        <w:div w:id="1761246907">
                          <w:marLeft w:val="0"/>
                          <w:marRight w:val="0"/>
                          <w:marTop w:val="0"/>
                          <w:marBottom w:val="0"/>
                          <w:divBdr>
                            <w:top w:val="none" w:sz="0" w:space="0" w:color="auto"/>
                            <w:left w:val="none" w:sz="0" w:space="0" w:color="auto"/>
                            <w:bottom w:val="none" w:sz="0" w:space="0" w:color="auto"/>
                            <w:right w:val="none" w:sz="0" w:space="0" w:color="auto"/>
                          </w:divBdr>
                          <w:divsChild>
                            <w:div w:id="1249540596">
                              <w:marLeft w:val="0"/>
                              <w:marRight w:val="0"/>
                              <w:marTop w:val="0"/>
                              <w:marBottom w:val="0"/>
                              <w:divBdr>
                                <w:top w:val="none" w:sz="0" w:space="0" w:color="auto"/>
                                <w:left w:val="none" w:sz="0" w:space="0" w:color="auto"/>
                                <w:bottom w:val="none" w:sz="0" w:space="0" w:color="auto"/>
                                <w:right w:val="none" w:sz="0" w:space="0" w:color="auto"/>
                              </w:divBdr>
                            </w:div>
                            <w:div w:id="2083286200">
                              <w:marLeft w:val="0"/>
                              <w:marRight w:val="0"/>
                              <w:marTop w:val="0"/>
                              <w:marBottom w:val="0"/>
                              <w:divBdr>
                                <w:top w:val="none" w:sz="0" w:space="0" w:color="auto"/>
                                <w:left w:val="none" w:sz="0" w:space="0" w:color="auto"/>
                                <w:bottom w:val="none" w:sz="0" w:space="0" w:color="auto"/>
                                <w:right w:val="none" w:sz="0" w:space="0" w:color="auto"/>
                              </w:divBdr>
                            </w:div>
                            <w:div w:id="1250509036">
                              <w:marLeft w:val="0"/>
                              <w:marRight w:val="0"/>
                              <w:marTop w:val="0"/>
                              <w:marBottom w:val="0"/>
                              <w:divBdr>
                                <w:top w:val="none" w:sz="0" w:space="0" w:color="auto"/>
                                <w:left w:val="none" w:sz="0" w:space="0" w:color="auto"/>
                                <w:bottom w:val="none" w:sz="0" w:space="0" w:color="auto"/>
                                <w:right w:val="none" w:sz="0" w:space="0" w:color="auto"/>
                              </w:divBdr>
                            </w:div>
                            <w:div w:id="1656765793">
                              <w:marLeft w:val="0"/>
                              <w:marRight w:val="0"/>
                              <w:marTop w:val="0"/>
                              <w:marBottom w:val="0"/>
                              <w:divBdr>
                                <w:top w:val="none" w:sz="0" w:space="0" w:color="auto"/>
                                <w:left w:val="none" w:sz="0" w:space="0" w:color="auto"/>
                                <w:bottom w:val="none" w:sz="0" w:space="0" w:color="auto"/>
                                <w:right w:val="none" w:sz="0" w:space="0" w:color="auto"/>
                              </w:divBdr>
                            </w:div>
                            <w:div w:id="709065209">
                              <w:marLeft w:val="0"/>
                              <w:marRight w:val="0"/>
                              <w:marTop w:val="0"/>
                              <w:marBottom w:val="0"/>
                              <w:divBdr>
                                <w:top w:val="none" w:sz="0" w:space="0" w:color="auto"/>
                                <w:left w:val="none" w:sz="0" w:space="0" w:color="auto"/>
                                <w:bottom w:val="none" w:sz="0" w:space="0" w:color="auto"/>
                                <w:right w:val="none" w:sz="0" w:space="0" w:color="auto"/>
                              </w:divBdr>
                            </w:div>
                            <w:div w:id="1506289487">
                              <w:marLeft w:val="0"/>
                              <w:marRight w:val="0"/>
                              <w:marTop w:val="0"/>
                              <w:marBottom w:val="0"/>
                              <w:divBdr>
                                <w:top w:val="none" w:sz="0" w:space="0" w:color="auto"/>
                                <w:left w:val="none" w:sz="0" w:space="0" w:color="auto"/>
                                <w:bottom w:val="none" w:sz="0" w:space="0" w:color="auto"/>
                                <w:right w:val="none" w:sz="0" w:space="0" w:color="auto"/>
                              </w:divBdr>
                            </w:div>
                            <w:div w:id="977152051">
                              <w:marLeft w:val="0"/>
                              <w:marRight w:val="0"/>
                              <w:marTop w:val="0"/>
                              <w:marBottom w:val="0"/>
                              <w:divBdr>
                                <w:top w:val="none" w:sz="0" w:space="0" w:color="auto"/>
                                <w:left w:val="none" w:sz="0" w:space="0" w:color="auto"/>
                                <w:bottom w:val="none" w:sz="0" w:space="0" w:color="auto"/>
                                <w:right w:val="none" w:sz="0" w:space="0" w:color="auto"/>
                              </w:divBdr>
                            </w:div>
                            <w:div w:id="961417953">
                              <w:marLeft w:val="0"/>
                              <w:marRight w:val="0"/>
                              <w:marTop w:val="0"/>
                              <w:marBottom w:val="0"/>
                              <w:divBdr>
                                <w:top w:val="none" w:sz="0" w:space="0" w:color="auto"/>
                                <w:left w:val="none" w:sz="0" w:space="0" w:color="auto"/>
                                <w:bottom w:val="none" w:sz="0" w:space="0" w:color="auto"/>
                                <w:right w:val="none" w:sz="0" w:space="0" w:color="auto"/>
                              </w:divBdr>
                            </w:div>
                            <w:div w:id="913587845">
                              <w:marLeft w:val="0"/>
                              <w:marRight w:val="0"/>
                              <w:marTop w:val="0"/>
                              <w:marBottom w:val="0"/>
                              <w:divBdr>
                                <w:top w:val="none" w:sz="0" w:space="0" w:color="auto"/>
                                <w:left w:val="none" w:sz="0" w:space="0" w:color="auto"/>
                                <w:bottom w:val="none" w:sz="0" w:space="0" w:color="auto"/>
                                <w:right w:val="none" w:sz="0" w:space="0" w:color="auto"/>
                              </w:divBdr>
                            </w:div>
                            <w:div w:id="48694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42138">
          <w:marLeft w:val="0"/>
          <w:marRight w:val="0"/>
          <w:marTop w:val="0"/>
          <w:marBottom w:val="0"/>
          <w:divBdr>
            <w:top w:val="none" w:sz="0" w:space="0" w:color="auto"/>
            <w:left w:val="none" w:sz="0" w:space="0" w:color="auto"/>
            <w:bottom w:val="none" w:sz="0" w:space="0" w:color="auto"/>
            <w:right w:val="none" w:sz="0" w:space="0" w:color="auto"/>
          </w:divBdr>
          <w:divsChild>
            <w:div w:id="1025906470">
              <w:marLeft w:val="0"/>
              <w:marRight w:val="0"/>
              <w:marTop w:val="0"/>
              <w:marBottom w:val="0"/>
              <w:divBdr>
                <w:top w:val="none" w:sz="0" w:space="0" w:color="auto"/>
                <w:left w:val="none" w:sz="0" w:space="0" w:color="auto"/>
                <w:bottom w:val="none" w:sz="0" w:space="0" w:color="auto"/>
                <w:right w:val="none" w:sz="0" w:space="0" w:color="auto"/>
              </w:divBdr>
              <w:divsChild>
                <w:div w:id="1059590904">
                  <w:marLeft w:val="0"/>
                  <w:marRight w:val="0"/>
                  <w:marTop w:val="0"/>
                  <w:marBottom w:val="0"/>
                  <w:divBdr>
                    <w:top w:val="none" w:sz="0" w:space="0" w:color="auto"/>
                    <w:left w:val="none" w:sz="0" w:space="0" w:color="auto"/>
                    <w:bottom w:val="none" w:sz="0" w:space="0" w:color="auto"/>
                    <w:right w:val="none" w:sz="0" w:space="0" w:color="auto"/>
                  </w:divBdr>
                  <w:divsChild>
                    <w:div w:id="1258976159">
                      <w:marLeft w:val="0"/>
                      <w:marRight w:val="0"/>
                      <w:marTop w:val="0"/>
                      <w:marBottom w:val="0"/>
                      <w:divBdr>
                        <w:top w:val="none" w:sz="0" w:space="0" w:color="auto"/>
                        <w:left w:val="none" w:sz="0" w:space="0" w:color="auto"/>
                        <w:bottom w:val="none" w:sz="0" w:space="0" w:color="auto"/>
                        <w:right w:val="none" w:sz="0" w:space="0" w:color="auto"/>
                      </w:divBdr>
                    </w:div>
                  </w:divsChild>
                </w:div>
                <w:div w:id="1724135169">
                  <w:marLeft w:val="0"/>
                  <w:marRight w:val="0"/>
                  <w:marTop w:val="0"/>
                  <w:marBottom w:val="0"/>
                  <w:divBdr>
                    <w:top w:val="none" w:sz="0" w:space="0" w:color="auto"/>
                    <w:left w:val="none" w:sz="0" w:space="0" w:color="auto"/>
                    <w:bottom w:val="none" w:sz="0" w:space="0" w:color="auto"/>
                    <w:right w:val="none" w:sz="0" w:space="0" w:color="auto"/>
                  </w:divBdr>
                  <w:divsChild>
                    <w:div w:id="1280604778">
                      <w:marLeft w:val="0"/>
                      <w:marRight w:val="0"/>
                      <w:marTop w:val="0"/>
                      <w:marBottom w:val="0"/>
                      <w:divBdr>
                        <w:top w:val="none" w:sz="0" w:space="0" w:color="auto"/>
                        <w:left w:val="none" w:sz="0" w:space="0" w:color="auto"/>
                        <w:bottom w:val="none" w:sz="0" w:space="0" w:color="auto"/>
                        <w:right w:val="none" w:sz="0" w:space="0" w:color="auto"/>
                      </w:divBdr>
                      <w:divsChild>
                        <w:div w:id="1708992953">
                          <w:marLeft w:val="0"/>
                          <w:marRight w:val="0"/>
                          <w:marTop w:val="0"/>
                          <w:marBottom w:val="0"/>
                          <w:divBdr>
                            <w:top w:val="none" w:sz="0" w:space="0" w:color="auto"/>
                            <w:left w:val="none" w:sz="0" w:space="0" w:color="auto"/>
                            <w:bottom w:val="none" w:sz="0" w:space="0" w:color="auto"/>
                            <w:right w:val="none" w:sz="0" w:space="0" w:color="auto"/>
                          </w:divBdr>
                          <w:divsChild>
                            <w:div w:id="40247080">
                              <w:marLeft w:val="0"/>
                              <w:marRight w:val="0"/>
                              <w:marTop w:val="0"/>
                              <w:marBottom w:val="0"/>
                              <w:divBdr>
                                <w:top w:val="none" w:sz="0" w:space="0" w:color="auto"/>
                                <w:left w:val="none" w:sz="0" w:space="0" w:color="auto"/>
                                <w:bottom w:val="none" w:sz="0" w:space="0" w:color="auto"/>
                                <w:right w:val="none" w:sz="0" w:space="0" w:color="auto"/>
                              </w:divBdr>
                              <w:divsChild>
                                <w:div w:id="1747603718">
                                  <w:marLeft w:val="0"/>
                                  <w:marRight w:val="0"/>
                                  <w:marTop w:val="0"/>
                                  <w:marBottom w:val="0"/>
                                  <w:divBdr>
                                    <w:top w:val="none" w:sz="0" w:space="0" w:color="auto"/>
                                    <w:left w:val="none" w:sz="0" w:space="0" w:color="auto"/>
                                    <w:bottom w:val="none" w:sz="0" w:space="0" w:color="auto"/>
                                    <w:right w:val="none" w:sz="0" w:space="0" w:color="auto"/>
                                  </w:divBdr>
                                  <w:divsChild>
                                    <w:div w:id="584538364">
                                      <w:marLeft w:val="0"/>
                                      <w:marRight w:val="0"/>
                                      <w:marTop w:val="0"/>
                                      <w:marBottom w:val="0"/>
                                      <w:divBdr>
                                        <w:top w:val="none" w:sz="0" w:space="0" w:color="auto"/>
                                        <w:left w:val="none" w:sz="0" w:space="0" w:color="auto"/>
                                        <w:bottom w:val="none" w:sz="0" w:space="0" w:color="auto"/>
                                        <w:right w:val="none" w:sz="0" w:space="0" w:color="auto"/>
                                      </w:divBdr>
                                    </w:div>
                                  </w:divsChild>
                                </w:div>
                                <w:div w:id="1339386370">
                                  <w:marLeft w:val="0"/>
                                  <w:marRight w:val="0"/>
                                  <w:marTop w:val="0"/>
                                  <w:marBottom w:val="0"/>
                                  <w:divBdr>
                                    <w:top w:val="none" w:sz="0" w:space="0" w:color="auto"/>
                                    <w:left w:val="none" w:sz="0" w:space="0" w:color="auto"/>
                                    <w:bottom w:val="none" w:sz="0" w:space="0" w:color="auto"/>
                                    <w:right w:val="none" w:sz="0" w:space="0" w:color="auto"/>
                                  </w:divBdr>
                                  <w:divsChild>
                                    <w:div w:id="10415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025475">
                          <w:marLeft w:val="0"/>
                          <w:marRight w:val="0"/>
                          <w:marTop w:val="0"/>
                          <w:marBottom w:val="0"/>
                          <w:divBdr>
                            <w:top w:val="none" w:sz="0" w:space="0" w:color="auto"/>
                            <w:left w:val="none" w:sz="0" w:space="0" w:color="auto"/>
                            <w:bottom w:val="none" w:sz="0" w:space="0" w:color="auto"/>
                            <w:right w:val="none" w:sz="0" w:space="0" w:color="auto"/>
                          </w:divBdr>
                          <w:divsChild>
                            <w:div w:id="44448710">
                              <w:marLeft w:val="0"/>
                              <w:marRight w:val="0"/>
                              <w:marTop w:val="0"/>
                              <w:marBottom w:val="0"/>
                              <w:divBdr>
                                <w:top w:val="none" w:sz="0" w:space="0" w:color="auto"/>
                                <w:left w:val="none" w:sz="0" w:space="0" w:color="auto"/>
                                <w:bottom w:val="none" w:sz="0" w:space="0" w:color="auto"/>
                                <w:right w:val="none" w:sz="0" w:space="0" w:color="auto"/>
                              </w:divBdr>
                              <w:divsChild>
                                <w:div w:id="1311323159">
                                  <w:marLeft w:val="0"/>
                                  <w:marRight w:val="0"/>
                                  <w:marTop w:val="0"/>
                                  <w:marBottom w:val="0"/>
                                  <w:divBdr>
                                    <w:top w:val="none" w:sz="0" w:space="0" w:color="auto"/>
                                    <w:left w:val="none" w:sz="0" w:space="0" w:color="auto"/>
                                    <w:bottom w:val="none" w:sz="0" w:space="0" w:color="auto"/>
                                    <w:right w:val="none" w:sz="0" w:space="0" w:color="auto"/>
                                  </w:divBdr>
                                  <w:divsChild>
                                    <w:div w:id="1128619687">
                                      <w:marLeft w:val="0"/>
                                      <w:marRight w:val="0"/>
                                      <w:marTop w:val="0"/>
                                      <w:marBottom w:val="0"/>
                                      <w:divBdr>
                                        <w:top w:val="none" w:sz="0" w:space="0" w:color="auto"/>
                                        <w:left w:val="none" w:sz="0" w:space="0" w:color="auto"/>
                                        <w:bottom w:val="none" w:sz="0" w:space="0" w:color="auto"/>
                                        <w:right w:val="none" w:sz="0" w:space="0" w:color="auto"/>
                                      </w:divBdr>
                                    </w:div>
                                  </w:divsChild>
                                </w:div>
                                <w:div w:id="263459801">
                                  <w:marLeft w:val="0"/>
                                  <w:marRight w:val="0"/>
                                  <w:marTop w:val="0"/>
                                  <w:marBottom w:val="0"/>
                                  <w:divBdr>
                                    <w:top w:val="none" w:sz="0" w:space="0" w:color="auto"/>
                                    <w:left w:val="none" w:sz="0" w:space="0" w:color="auto"/>
                                    <w:bottom w:val="none" w:sz="0" w:space="0" w:color="auto"/>
                                    <w:right w:val="none" w:sz="0" w:space="0" w:color="auto"/>
                                  </w:divBdr>
                                  <w:divsChild>
                                    <w:div w:id="196072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44395">
                          <w:marLeft w:val="0"/>
                          <w:marRight w:val="0"/>
                          <w:marTop w:val="0"/>
                          <w:marBottom w:val="0"/>
                          <w:divBdr>
                            <w:top w:val="none" w:sz="0" w:space="0" w:color="auto"/>
                            <w:left w:val="none" w:sz="0" w:space="0" w:color="auto"/>
                            <w:bottom w:val="none" w:sz="0" w:space="0" w:color="auto"/>
                            <w:right w:val="none" w:sz="0" w:space="0" w:color="auto"/>
                          </w:divBdr>
                          <w:divsChild>
                            <w:div w:id="167867537">
                              <w:marLeft w:val="0"/>
                              <w:marRight w:val="0"/>
                              <w:marTop w:val="0"/>
                              <w:marBottom w:val="0"/>
                              <w:divBdr>
                                <w:top w:val="none" w:sz="0" w:space="0" w:color="auto"/>
                                <w:left w:val="none" w:sz="0" w:space="0" w:color="auto"/>
                                <w:bottom w:val="none" w:sz="0" w:space="0" w:color="auto"/>
                                <w:right w:val="none" w:sz="0" w:space="0" w:color="auto"/>
                              </w:divBdr>
                              <w:divsChild>
                                <w:div w:id="893348467">
                                  <w:marLeft w:val="0"/>
                                  <w:marRight w:val="0"/>
                                  <w:marTop w:val="0"/>
                                  <w:marBottom w:val="0"/>
                                  <w:divBdr>
                                    <w:top w:val="none" w:sz="0" w:space="0" w:color="auto"/>
                                    <w:left w:val="none" w:sz="0" w:space="0" w:color="auto"/>
                                    <w:bottom w:val="none" w:sz="0" w:space="0" w:color="auto"/>
                                    <w:right w:val="none" w:sz="0" w:space="0" w:color="auto"/>
                                  </w:divBdr>
                                  <w:divsChild>
                                    <w:div w:id="1685591460">
                                      <w:marLeft w:val="0"/>
                                      <w:marRight w:val="0"/>
                                      <w:marTop w:val="0"/>
                                      <w:marBottom w:val="0"/>
                                      <w:divBdr>
                                        <w:top w:val="none" w:sz="0" w:space="0" w:color="auto"/>
                                        <w:left w:val="none" w:sz="0" w:space="0" w:color="auto"/>
                                        <w:bottom w:val="none" w:sz="0" w:space="0" w:color="auto"/>
                                        <w:right w:val="none" w:sz="0" w:space="0" w:color="auto"/>
                                      </w:divBdr>
                                    </w:div>
                                  </w:divsChild>
                                </w:div>
                                <w:div w:id="1355766740">
                                  <w:marLeft w:val="0"/>
                                  <w:marRight w:val="0"/>
                                  <w:marTop w:val="0"/>
                                  <w:marBottom w:val="0"/>
                                  <w:divBdr>
                                    <w:top w:val="none" w:sz="0" w:space="0" w:color="auto"/>
                                    <w:left w:val="none" w:sz="0" w:space="0" w:color="auto"/>
                                    <w:bottom w:val="none" w:sz="0" w:space="0" w:color="auto"/>
                                    <w:right w:val="none" w:sz="0" w:space="0" w:color="auto"/>
                                  </w:divBdr>
                                  <w:divsChild>
                                    <w:div w:id="167202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904119">
                          <w:marLeft w:val="0"/>
                          <w:marRight w:val="0"/>
                          <w:marTop w:val="0"/>
                          <w:marBottom w:val="0"/>
                          <w:divBdr>
                            <w:top w:val="none" w:sz="0" w:space="0" w:color="auto"/>
                            <w:left w:val="none" w:sz="0" w:space="0" w:color="auto"/>
                            <w:bottom w:val="none" w:sz="0" w:space="0" w:color="auto"/>
                            <w:right w:val="none" w:sz="0" w:space="0" w:color="auto"/>
                          </w:divBdr>
                          <w:divsChild>
                            <w:div w:id="277300377">
                              <w:marLeft w:val="0"/>
                              <w:marRight w:val="0"/>
                              <w:marTop w:val="0"/>
                              <w:marBottom w:val="0"/>
                              <w:divBdr>
                                <w:top w:val="none" w:sz="0" w:space="0" w:color="auto"/>
                                <w:left w:val="none" w:sz="0" w:space="0" w:color="auto"/>
                                <w:bottom w:val="none" w:sz="0" w:space="0" w:color="auto"/>
                                <w:right w:val="none" w:sz="0" w:space="0" w:color="auto"/>
                              </w:divBdr>
                              <w:divsChild>
                                <w:div w:id="1272780114">
                                  <w:marLeft w:val="0"/>
                                  <w:marRight w:val="0"/>
                                  <w:marTop w:val="0"/>
                                  <w:marBottom w:val="0"/>
                                  <w:divBdr>
                                    <w:top w:val="none" w:sz="0" w:space="0" w:color="auto"/>
                                    <w:left w:val="none" w:sz="0" w:space="0" w:color="auto"/>
                                    <w:bottom w:val="none" w:sz="0" w:space="0" w:color="auto"/>
                                    <w:right w:val="none" w:sz="0" w:space="0" w:color="auto"/>
                                  </w:divBdr>
                                  <w:divsChild>
                                    <w:div w:id="1205407593">
                                      <w:marLeft w:val="0"/>
                                      <w:marRight w:val="0"/>
                                      <w:marTop w:val="0"/>
                                      <w:marBottom w:val="0"/>
                                      <w:divBdr>
                                        <w:top w:val="none" w:sz="0" w:space="0" w:color="auto"/>
                                        <w:left w:val="none" w:sz="0" w:space="0" w:color="auto"/>
                                        <w:bottom w:val="none" w:sz="0" w:space="0" w:color="auto"/>
                                        <w:right w:val="none" w:sz="0" w:space="0" w:color="auto"/>
                                      </w:divBdr>
                                    </w:div>
                                  </w:divsChild>
                                </w:div>
                                <w:div w:id="1063331950">
                                  <w:marLeft w:val="0"/>
                                  <w:marRight w:val="0"/>
                                  <w:marTop w:val="0"/>
                                  <w:marBottom w:val="0"/>
                                  <w:divBdr>
                                    <w:top w:val="none" w:sz="0" w:space="0" w:color="auto"/>
                                    <w:left w:val="none" w:sz="0" w:space="0" w:color="auto"/>
                                    <w:bottom w:val="none" w:sz="0" w:space="0" w:color="auto"/>
                                    <w:right w:val="none" w:sz="0" w:space="0" w:color="auto"/>
                                  </w:divBdr>
                                  <w:divsChild>
                                    <w:div w:id="5539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338669">
                      <w:marLeft w:val="0"/>
                      <w:marRight w:val="0"/>
                      <w:marTop w:val="0"/>
                      <w:marBottom w:val="0"/>
                      <w:divBdr>
                        <w:top w:val="none" w:sz="0" w:space="0" w:color="auto"/>
                        <w:left w:val="none" w:sz="0" w:space="0" w:color="auto"/>
                        <w:bottom w:val="none" w:sz="0" w:space="0" w:color="auto"/>
                        <w:right w:val="none" w:sz="0" w:space="0" w:color="auto"/>
                      </w:divBdr>
                      <w:divsChild>
                        <w:div w:id="121657365">
                          <w:marLeft w:val="0"/>
                          <w:marRight w:val="0"/>
                          <w:marTop w:val="0"/>
                          <w:marBottom w:val="0"/>
                          <w:divBdr>
                            <w:top w:val="none" w:sz="0" w:space="0" w:color="auto"/>
                            <w:left w:val="none" w:sz="0" w:space="0" w:color="auto"/>
                            <w:bottom w:val="none" w:sz="0" w:space="0" w:color="auto"/>
                            <w:right w:val="none" w:sz="0" w:space="0" w:color="auto"/>
                          </w:divBdr>
                          <w:divsChild>
                            <w:div w:id="1116216222">
                              <w:marLeft w:val="0"/>
                              <w:marRight w:val="0"/>
                              <w:marTop w:val="0"/>
                              <w:marBottom w:val="0"/>
                              <w:divBdr>
                                <w:top w:val="none" w:sz="0" w:space="0" w:color="auto"/>
                                <w:left w:val="none" w:sz="0" w:space="0" w:color="auto"/>
                                <w:bottom w:val="none" w:sz="0" w:space="0" w:color="auto"/>
                                <w:right w:val="none" w:sz="0" w:space="0" w:color="auto"/>
                              </w:divBdr>
                              <w:divsChild>
                                <w:div w:id="136729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148073">
      <w:bodyDiv w:val="1"/>
      <w:marLeft w:val="0"/>
      <w:marRight w:val="0"/>
      <w:marTop w:val="0"/>
      <w:marBottom w:val="0"/>
      <w:divBdr>
        <w:top w:val="none" w:sz="0" w:space="0" w:color="auto"/>
        <w:left w:val="none" w:sz="0" w:space="0" w:color="auto"/>
        <w:bottom w:val="none" w:sz="0" w:space="0" w:color="auto"/>
        <w:right w:val="none" w:sz="0" w:space="0" w:color="auto"/>
      </w:divBdr>
    </w:div>
    <w:div w:id="1324240651">
      <w:bodyDiv w:val="1"/>
      <w:marLeft w:val="0"/>
      <w:marRight w:val="0"/>
      <w:marTop w:val="0"/>
      <w:marBottom w:val="0"/>
      <w:divBdr>
        <w:top w:val="none" w:sz="0" w:space="0" w:color="auto"/>
        <w:left w:val="none" w:sz="0" w:space="0" w:color="auto"/>
        <w:bottom w:val="none" w:sz="0" w:space="0" w:color="auto"/>
        <w:right w:val="none" w:sz="0" w:space="0" w:color="auto"/>
      </w:divBdr>
    </w:div>
    <w:div w:id="1353845667">
      <w:bodyDiv w:val="1"/>
      <w:marLeft w:val="0"/>
      <w:marRight w:val="0"/>
      <w:marTop w:val="0"/>
      <w:marBottom w:val="0"/>
      <w:divBdr>
        <w:top w:val="none" w:sz="0" w:space="0" w:color="auto"/>
        <w:left w:val="none" w:sz="0" w:space="0" w:color="auto"/>
        <w:bottom w:val="none" w:sz="0" w:space="0" w:color="auto"/>
        <w:right w:val="none" w:sz="0" w:space="0" w:color="auto"/>
      </w:divBdr>
    </w:div>
    <w:div w:id="1660309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hbf.org/account-restrictionclosure-surve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publications.parliament.uk/pa/cm201213/cmselect/cmcumeds/writev/1554/ga104.htm" TargetMode="External"/><Relationship Id="rId13" Type="http://schemas.openxmlformats.org/officeDocument/2006/relationships/hyperlink" Target="http://www.pinnaclesports.com/betting-promotions/arbitrage-friendly" TargetMode="External"/><Relationship Id="rId18" Type="http://schemas.openxmlformats.org/officeDocument/2006/relationships/hyperlink" Target="http://www.pinnaclesports.com/betting-promotions/winners-welcome" TargetMode="External"/><Relationship Id="rId3" Type="http://schemas.openxmlformats.org/officeDocument/2006/relationships/hyperlink" Target="http://www.betfair.com/www/GBR/en/aboutUs/Betfair.Charges/" TargetMode="External"/><Relationship Id="rId21" Type="http://schemas.openxmlformats.org/officeDocument/2006/relationships/hyperlink" Target="http://www.pinnaclesports.com/betting-promotions/arbitrage-friendly" TargetMode="External"/><Relationship Id="rId7" Type="http://schemas.openxmlformats.org/officeDocument/2006/relationships/hyperlink" Target="http://www.publications.parliament.uk/pa/cm201213/cmselect/cmcumeds/writev/1554/ga104.htm" TargetMode="External"/><Relationship Id="rId12" Type="http://schemas.openxmlformats.org/officeDocument/2006/relationships/hyperlink" Target="http://www.pinnaclesports.com/about-us.aspx" TargetMode="External"/><Relationship Id="rId17" Type="http://schemas.openxmlformats.org/officeDocument/2006/relationships/hyperlink" Target="http://www.pinnaclesports.com/betting-promotions/winners-welcome" TargetMode="External"/><Relationship Id="rId2" Type="http://schemas.openxmlformats.org/officeDocument/2006/relationships/hyperlink" Target="http://www.the-secret-system.com/bookmakers-shutdown-messages.html" TargetMode="External"/><Relationship Id="rId16" Type="http://schemas.openxmlformats.org/officeDocument/2006/relationships/hyperlink" Target="http://www.pinnaclesports.com/betting-promotions/winners-welcome" TargetMode="External"/><Relationship Id="rId20" Type="http://schemas.openxmlformats.org/officeDocument/2006/relationships/hyperlink" Target="http://www.pinnaclesports.com/betting-promotions/arbitrage-friendly" TargetMode="External"/><Relationship Id="rId1" Type="http://schemas.openxmlformats.org/officeDocument/2006/relationships/hyperlink" Target="http://www.the-secret-system.com/bookmakers-shutdown-messages.html" TargetMode="External"/><Relationship Id="rId6" Type="http://schemas.openxmlformats.org/officeDocument/2006/relationships/hyperlink" Target="http://www.publications.parliament.uk/pa/cm201213/cmselect/cmcumeds/writev/1554/ga104.htm" TargetMode="External"/><Relationship Id="rId11" Type="http://schemas.openxmlformats.org/officeDocument/2006/relationships/hyperlink" Target="http://www.pinnaclesports.com/about-us.aspx" TargetMode="External"/><Relationship Id="rId5" Type="http://schemas.openxmlformats.org/officeDocument/2006/relationships/hyperlink" Target="http://www.betfair.com/www/GBR/en/aboutUs/Betfair.Charges/" TargetMode="External"/><Relationship Id="rId15" Type="http://schemas.openxmlformats.org/officeDocument/2006/relationships/hyperlink" Target="http://www.pinnaclesports.com/betting-promotions/arbitrage-friendly" TargetMode="External"/><Relationship Id="rId23" Type="http://schemas.openxmlformats.org/officeDocument/2006/relationships/hyperlink" Target="https://www.pinnaclesports.com/betting-promotions/arbitrage-friendly" TargetMode="External"/><Relationship Id="rId10" Type="http://schemas.openxmlformats.org/officeDocument/2006/relationships/hyperlink" Target="http://howtobet.net/sportsbook-review/stan-james" TargetMode="External"/><Relationship Id="rId19" Type="http://schemas.openxmlformats.org/officeDocument/2006/relationships/hyperlink" Target="http://www.pinnaclesports.com/betting-promotions/arbitrage-friendly" TargetMode="External"/><Relationship Id="rId4" Type="http://schemas.openxmlformats.org/officeDocument/2006/relationships/hyperlink" Target="http://www.betfair.com/www/GBR/en/aboutUs/Betfair.Charges/" TargetMode="External"/><Relationship Id="rId9" Type="http://schemas.openxmlformats.org/officeDocument/2006/relationships/hyperlink" Target="http://howtobet.net/sportsbook-review/stan-james" TargetMode="External"/><Relationship Id="rId14" Type="http://schemas.openxmlformats.org/officeDocument/2006/relationships/hyperlink" Target="http://www.pinnaclesports.com/betting-promotions/arbitrage-friendly" TargetMode="External"/><Relationship Id="rId22" Type="http://schemas.openxmlformats.org/officeDocument/2006/relationships/hyperlink" Target="https://www.pinnaclesports.com/betting-promotions/arbitrage-friend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5FA90B-BD6E-4526-B2B9-A54DD472F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89</Pages>
  <Words>10376</Words>
  <Characters>59144</Characters>
  <Application>Microsoft Office Word</Application>
  <DocSecurity>4</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The University of Sydney</Company>
  <LinksUpToDate>false</LinksUpToDate>
  <CharactersWithSpaces>69382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Grant</dc:creator>
  <cp:lastModifiedBy>de Montfalcon S.P.</cp:lastModifiedBy>
  <cp:revision>2</cp:revision>
  <dcterms:created xsi:type="dcterms:W3CDTF">2018-02-27T15:20:00Z</dcterms:created>
  <dcterms:modified xsi:type="dcterms:W3CDTF">2018-02-27T15:20:00Z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