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A23" w:rsidRPr="00EF4114" w:rsidRDefault="00004A23" w:rsidP="00004A23">
      <w:pPr>
        <w:rPr>
          <w:lang w:val="en-US"/>
        </w:rPr>
      </w:pPr>
      <w:bookmarkStart w:id="0" w:name="_GoBack"/>
      <w:bookmarkEnd w:id="0"/>
    </w:p>
    <w:p w:rsidR="00D15DD5" w:rsidRPr="00D15DD5" w:rsidRDefault="00EE659B" w:rsidP="00B176BF">
      <w:pPr>
        <w:pStyle w:val="Tableofcontents"/>
        <w:sectPr w:rsidR="00D15DD5" w:rsidRPr="00D15DD5">
          <w:headerReference w:type="default" r:id="rId9"/>
          <w:footerReference w:type="default" r:id="rId10"/>
          <w:pgSz w:w="11906" w:h="16838"/>
          <w:pgMar w:top="1417" w:right="1417" w:bottom="1134" w:left="1417" w:header="708" w:footer="708" w:gutter="0"/>
          <w:cols w:space="708"/>
          <w:docGrid w:linePitch="360"/>
        </w:sectPr>
      </w:pPr>
      <w:r w:rsidRPr="00D15DD5">
        <w:t>Sensing of Vimentin mRNA in 2D and 3D models of wounded skin using DNA-coated gold nanoparticles.</w:t>
      </w:r>
    </w:p>
    <w:p w:rsidR="002D16A0" w:rsidRDefault="002D16A0" w:rsidP="00B176BF">
      <w:pPr>
        <w:pStyle w:val="Tableofcontents"/>
      </w:pPr>
    </w:p>
    <w:p w:rsidR="00EE659B" w:rsidRPr="00A35E4A" w:rsidRDefault="00EE659B" w:rsidP="00B176BF">
      <w:pPr>
        <w:pStyle w:val="Tableofcontents"/>
      </w:pPr>
    </w:p>
    <w:p w:rsidR="002D16A0" w:rsidRPr="00A36ED9" w:rsidRDefault="00EE659B" w:rsidP="00B176BF">
      <w:pPr>
        <w:pStyle w:val="Tableofcontents"/>
      </w:pPr>
      <w:r w:rsidRPr="00A36ED9">
        <w:t>Patrick Vilela,</w:t>
      </w:r>
      <w:r w:rsidRPr="00A36ED9">
        <w:rPr>
          <w:vertAlign w:val="superscript"/>
        </w:rPr>
        <w:t>1</w:t>
      </w:r>
      <w:r w:rsidRPr="00A36ED9">
        <w:t xml:space="preserve"> Amelie Heuer-Jungemann,</w:t>
      </w:r>
      <w:r w:rsidRPr="00A36ED9">
        <w:rPr>
          <w:vertAlign w:val="superscript"/>
        </w:rPr>
        <w:t>1</w:t>
      </w:r>
      <w:r w:rsidRPr="00A36ED9">
        <w:t xml:space="preserve"> Afaf El-Sagheer,</w:t>
      </w:r>
      <w:r w:rsidRPr="00A36ED9">
        <w:rPr>
          <w:vertAlign w:val="superscript"/>
        </w:rPr>
        <w:t xml:space="preserve">3,4 </w:t>
      </w:r>
      <w:r w:rsidRPr="00A36ED9">
        <w:t>Tom Brown,</w:t>
      </w:r>
      <w:r w:rsidRPr="00A36ED9">
        <w:rPr>
          <w:vertAlign w:val="superscript"/>
        </w:rPr>
        <w:t>3</w:t>
      </w:r>
      <w:r w:rsidRPr="00A36ED9">
        <w:t xml:space="preserve"> Otto  L. Muskens,</w:t>
      </w:r>
      <w:r w:rsidRPr="00A36ED9">
        <w:rPr>
          <w:vertAlign w:val="superscript"/>
        </w:rPr>
        <w:t xml:space="preserve">1,5 </w:t>
      </w:r>
      <w:r w:rsidRPr="00A36ED9">
        <w:t>Neil R. Smyth,</w:t>
      </w:r>
      <w:r w:rsidRPr="00A36ED9">
        <w:rPr>
          <w:vertAlign w:val="superscript"/>
        </w:rPr>
        <w:t>2</w:t>
      </w:r>
      <w:r w:rsidRPr="00A36ED9">
        <w:t xml:space="preserve"> and  Antonios G. Kanaras</w:t>
      </w:r>
      <w:r w:rsidRPr="00A36ED9">
        <w:rPr>
          <w:vertAlign w:val="superscript"/>
        </w:rPr>
        <w:t>*1,5</w:t>
      </w:r>
    </w:p>
    <w:p w:rsidR="002D16A0" w:rsidRPr="00A36ED9" w:rsidRDefault="002D16A0" w:rsidP="00B176BF">
      <w:pPr>
        <w:pStyle w:val="Tableofcontents"/>
      </w:pPr>
    </w:p>
    <w:p w:rsidR="00EE659B" w:rsidRPr="00B176BF" w:rsidRDefault="00EE659B" w:rsidP="00EE659B">
      <w:pPr>
        <w:pStyle w:val="Addresses"/>
        <w:rPr>
          <w:sz w:val="22"/>
          <w:szCs w:val="22"/>
        </w:rPr>
      </w:pPr>
      <w:r w:rsidRPr="00B176BF">
        <w:rPr>
          <w:sz w:val="22"/>
          <w:szCs w:val="22"/>
          <w:vertAlign w:val="superscript"/>
        </w:rPr>
        <w:t>1</w:t>
      </w:r>
      <w:r w:rsidRPr="00B176BF">
        <w:rPr>
          <w:sz w:val="22"/>
          <w:szCs w:val="22"/>
        </w:rPr>
        <w:t>Physics and Astronomy, Faculty of Physical Sciences and Engineering</w:t>
      </w:r>
    </w:p>
    <w:p w:rsidR="00EE659B" w:rsidRPr="00B176BF" w:rsidRDefault="00EE659B" w:rsidP="00EE659B">
      <w:pPr>
        <w:pStyle w:val="Addresses"/>
        <w:rPr>
          <w:sz w:val="22"/>
          <w:szCs w:val="22"/>
        </w:rPr>
      </w:pPr>
      <w:r w:rsidRPr="00B176BF">
        <w:rPr>
          <w:sz w:val="22"/>
          <w:szCs w:val="22"/>
          <w:vertAlign w:val="superscript"/>
        </w:rPr>
        <w:t>2</w:t>
      </w:r>
      <w:r w:rsidR="003A34E9">
        <w:rPr>
          <w:sz w:val="22"/>
          <w:szCs w:val="22"/>
          <w:vertAlign w:val="superscript"/>
        </w:rPr>
        <w:t xml:space="preserve"> </w:t>
      </w:r>
      <w:r w:rsidR="003A34E9">
        <w:rPr>
          <w:sz w:val="22"/>
          <w:szCs w:val="22"/>
        </w:rPr>
        <w:t xml:space="preserve">Biological Sciences, </w:t>
      </w:r>
      <w:r w:rsidRPr="00B176BF">
        <w:rPr>
          <w:sz w:val="22"/>
          <w:szCs w:val="22"/>
        </w:rPr>
        <w:t>Faculty of Natural and Environmental Sciences, University of Southampton, Southampton SO17 1BJ, United Kingdom</w:t>
      </w:r>
    </w:p>
    <w:p w:rsidR="00EE659B" w:rsidRPr="00B176BF" w:rsidRDefault="00EE659B" w:rsidP="00254D57">
      <w:pPr>
        <w:pStyle w:val="Addresses"/>
        <w:rPr>
          <w:sz w:val="22"/>
          <w:szCs w:val="22"/>
        </w:rPr>
      </w:pPr>
      <w:r w:rsidRPr="00B176BF">
        <w:rPr>
          <w:sz w:val="22"/>
          <w:szCs w:val="22"/>
          <w:vertAlign w:val="superscript"/>
        </w:rPr>
        <w:t>3</w:t>
      </w:r>
      <w:r w:rsidRPr="00B176BF">
        <w:rPr>
          <w:sz w:val="22"/>
          <w:szCs w:val="22"/>
        </w:rPr>
        <w:t>Department of Chemistry, University of Oxford, Chemistry Research Laboratory, 12 Mansfield Road, Oxford, OX1 3TA, UK</w:t>
      </w:r>
    </w:p>
    <w:p w:rsidR="00EE659B" w:rsidRPr="00B176BF" w:rsidRDefault="00EE659B" w:rsidP="00EE659B">
      <w:pPr>
        <w:pStyle w:val="Addresses"/>
        <w:rPr>
          <w:sz w:val="22"/>
          <w:szCs w:val="22"/>
        </w:rPr>
      </w:pPr>
      <w:r w:rsidRPr="00B176BF">
        <w:rPr>
          <w:sz w:val="22"/>
          <w:szCs w:val="22"/>
          <w:vertAlign w:val="superscript"/>
        </w:rPr>
        <w:t>4</w:t>
      </w:r>
      <w:r w:rsidRPr="00B176BF">
        <w:rPr>
          <w:sz w:val="22"/>
          <w:szCs w:val="22"/>
        </w:rPr>
        <w:t>Chemistry Branch, Department of Science and Mathematics, Faculty of Petroleum and Mining Engineering, Suez University, Suez 43721, Egypt</w:t>
      </w:r>
    </w:p>
    <w:p w:rsidR="007B7A09" w:rsidRPr="00B176BF" w:rsidRDefault="00EE659B" w:rsidP="00B176BF">
      <w:pPr>
        <w:pStyle w:val="Addresses"/>
        <w:rPr>
          <w:sz w:val="22"/>
          <w:szCs w:val="22"/>
        </w:rPr>
      </w:pPr>
      <w:r w:rsidRPr="00B176BF">
        <w:rPr>
          <w:sz w:val="22"/>
          <w:szCs w:val="22"/>
          <w:vertAlign w:val="superscript"/>
        </w:rPr>
        <w:t>5</w:t>
      </w:r>
      <w:r w:rsidRPr="00B176BF">
        <w:rPr>
          <w:sz w:val="22"/>
          <w:szCs w:val="22"/>
        </w:rPr>
        <w:t xml:space="preserve">Institute </w:t>
      </w:r>
      <w:r w:rsidR="00B176BF">
        <w:rPr>
          <w:sz w:val="22"/>
          <w:szCs w:val="22"/>
        </w:rPr>
        <w:t>for</w:t>
      </w:r>
      <w:r w:rsidRPr="00B176BF">
        <w:rPr>
          <w:sz w:val="22"/>
          <w:szCs w:val="22"/>
        </w:rPr>
        <w:t xml:space="preserve"> Life Sciences, University of Southampton, Southampton, SO171BJ, UK.</w:t>
      </w:r>
    </w:p>
    <w:p w:rsidR="002D16A0" w:rsidRDefault="002D16A0" w:rsidP="002D16A0">
      <w:pPr>
        <w:rPr>
          <w:lang w:val="en-US"/>
        </w:rPr>
      </w:pPr>
    </w:p>
    <w:p w:rsidR="00EE659B" w:rsidRPr="00A34F32" w:rsidRDefault="00EE659B" w:rsidP="002D16A0">
      <w:pPr>
        <w:rPr>
          <w:lang w:val="en-US"/>
        </w:rPr>
      </w:pPr>
    </w:p>
    <w:p w:rsidR="00004A23" w:rsidRDefault="00901D14" w:rsidP="00EE659B">
      <w:pPr>
        <w:rPr>
          <w:lang w:val="en-US"/>
        </w:rPr>
      </w:pPr>
      <w:r w:rsidRPr="00B24F38">
        <w:rPr>
          <w:bCs/>
          <w:lang w:val="en-US"/>
        </w:rPr>
        <w:t xml:space="preserve">Keywords: </w:t>
      </w:r>
      <w:r w:rsidR="00EE659B" w:rsidRPr="00EE659B">
        <w:rPr>
          <w:rFonts w:eastAsia="MS Gothic"/>
          <w:lang w:val="en-US"/>
        </w:rPr>
        <w:t>nanoparticles; wound healing; skin; mRNA sensing; DNA, gold</w:t>
      </w:r>
      <w:r w:rsidR="00B176BF">
        <w:rPr>
          <w:rFonts w:eastAsia="MS Gothic"/>
          <w:lang w:val="en-US"/>
        </w:rPr>
        <w:t>, nanoflares</w:t>
      </w:r>
    </w:p>
    <w:p w:rsidR="00EE659B" w:rsidRDefault="00EE659B" w:rsidP="002D16A0">
      <w:pPr>
        <w:pStyle w:val="Abstract"/>
      </w:pPr>
    </w:p>
    <w:p w:rsidR="00662DCE" w:rsidRDefault="00EE659B" w:rsidP="005C2DF9">
      <w:pPr>
        <w:spacing w:line="360" w:lineRule="auto"/>
        <w:jc w:val="both"/>
        <w:rPr>
          <w:lang w:val="en-US"/>
        </w:rPr>
      </w:pPr>
      <w:r w:rsidRPr="00EE659B">
        <w:rPr>
          <w:b/>
          <w:bCs/>
          <w:lang w:val="en-US"/>
        </w:rPr>
        <w:t>Abstract:</w:t>
      </w:r>
      <w:r w:rsidRPr="00EE659B">
        <w:rPr>
          <w:lang w:val="en-US"/>
        </w:rPr>
        <w:t xml:space="preserve"> Wound healing is a highly complex biological process, which is accompanied by changes in cell phenotype, variations in protein expression and the production of active biomolecules. Currently, the detection of proteins in cells is done by immunostaining where the proteins in fixed cells are detected by l</w:t>
      </w:r>
      <w:r w:rsidR="008B2ACE">
        <w:rPr>
          <w:lang w:val="en-US"/>
        </w:rPr>
        <w:t>abeled antibodies. However, im</w:t>
      </w:r>
      <w:r w:rsidRPr="00EE659B">
        <w:rPr>
          <w:lang w:val="en-US"/>
        </w:rPr>
        <w:t>munostaining cannot provide information about dynamic processes in living cells, within the whole tissue. Here, we present an easy method to detect the transition of epithelial to mesenchyma</w:t>
      </w:r>
      <w:r w:rsidR="008B2ACE">
        <w:rPr>
          <w:lang w:val="en-US"/>
        </w:rPr>
        <w:t>l cells (EMT) during wound heal</w:t>
      </w:r>
      <w:r w:rsidRPr="00EE659B">
        <w:rPr>
          <w:lang w:val="en-US"/>
        </w:rPr>
        <w:t xml:space="preserve">ing. The method employs DNA-coated gold nanoparticle fluorescent nanoprobes to sense the production of Vimentin mRNA expressed in mesenchymal cells. Fluorescence microscopy is used to achieve temporal detection of vimentin mRNA in wounds. </w:t>
      </w:r>
      <w:r w:rsidR="00B176BF" w:rsidRPr="005A05D2">
        <w:rPr>
          <w:rFonts w:asciiTheme="majorBidi" w:hAnsiTheme="majorBidi" w:cstheme="majorBidi"/>
          <w:lang w:val="en-US"/>
        </w:rPr>
        <w:t xml:space="preserve">Three-dimensional light sheet microscopy is utilized to observe the dynamic expression of Vimentin mRNA spatially around the wounded site in </w:t>
      </w:r>
      <w:r w:rsidR="00B176BF">
        <w:rPr>
          <w:rFonts w:asciiTheme="majorBidi" w:hAnsiTheme="majorBidi" w:cstheme="majorBidi"/>
          <w:lang w:val="en-US"/>
        </w:rPr>
        <w:t>skin tissue</w:t>
      </w:r>
      <w:r w:rsidR="00B176BF" w:rsidRPr="005A05D2">
        <w:rPr>
          <w:rFonts w:asciiTheme="majorBidi" w:hAnsiTheme="majorBidi" w:cstheme="majorBidi"/>
          <w:lang w:val="en-US"/>
        </w:rPr>
        <w:t>. The use of DNA-gold nanoprobes to detect mRNA expression during wound healing, opens up new possibilities for the study of real-time mechanisms in complex biological processes.</w:t>
      </w:r>
    </w:p>
    <w:p w:rsidR="00EE659B" w:rsidRDefault="00EE659B" w:rsidP="00D15DD5">
      <w:pPr>
        <w:spacing w:line="360" w:lineRule="auto"/>
        <w:jc w:val="both"/>
        <w:rPr>
          <w:lang w:val="en-US"/>
        </w:rPr>
      </w:pPr>
    </w:p>
    <w:p w:rsidR="00EE659B" w:rsidRDefault="00EE659B" w:rsidP="00D15DD5">
      <w:pPr>
        <w:spacing w:line="360" w:lineRule="auto"/>
        <w:jc w:val="both"/>
        <w:rPr>
          <w:color w:val="FF0000"/>
          <w:lang w:val="en-US"/>
        </w:rPr>
      </w:pPr>
    </w:p>
    <w:p w:rsidR="00D15DD5" w:rsidRDefault="00D15DD5" w:rsidP="00D15DD5">
      <w:pPr>
        <w:spacing w:line="360" w:lineRule="auto"/>
        <w:jc w:val="both"/>
        <w:rPr>
          <w:color w:val="FF0000"/>
          <w:lang w:val="en-US"/>
        </w:rPr>
      </w:pPr>
    </w:p>
    <w:p w:rsidR="00657CA8" w:rsidRDefault="00657CA8" w:rsidP="00D15DD5">
      <w:pPr>
        <w:spacing w:line="360" w:lineRule="auto"/>
        <w:jc w:val="both"/>
        <w:rPr>
          <w:color w:val="FF0000"/>
          <w:lang w:val="en-US"/>
        </w:rPr>
      </w:pPr>
    </w:p>
    <w:p w:rsidR="00B176BF" w:rsidRDefault="00B176BF" w:rsidP="00D15DD5">
      <w:pPr>
        <w:spacing w:line="360" w:lineRule="auto"/>
        <w:jc w:val="both"/>
        <w:rPr>
          <w:color w:val="FF0000"/>
          <w:lang w:val="en-US"/>
        </w:rPr>
      </w:pPr>
    </w:p>
    <w:p w:rsidR="00E33B69" w:rsidRDefault="00E33B69" w:rsidP="00D15DD5">
      <w:pPr>
        <w:spacing w:line="360" w:lineRule="auto"/>
        <w:jc w:val="both"/>
        <w:rPr>
          <w:color w:val="FF0000"/>
          <w:lang w:val="en-US"/>
        </w:rPr>
      </w:pPr>
    </w:p>
    <w:p w:rsidR="00D15DD5" w:rsidRPr="00662DCE" w:rsidRDefault="00D15DD5" w:rsidP="00D15DD5">
      <w:pPr>
        <w:spacing w:line="360" w:lineRule="auto"/>
        <w:jc w:val="both"/>
        <w:rPr>
          <w:color w:val="FF0000"/>
          <w:lang w:val="en-US"/>
        </w:rPr>
      </w:pPr>
    </w:p>
    <w:p w:rsidR="00444DB4" w:rsidRPr="00FC2F7A" w:rsidRDefault="00444DB4" w:rsidP="00FC2F7A">
      <w:pPr>
        <w:pStyle w:val="TESupportingInfoTitle"/>
        <w:rPr>
          <w:b/>
          <w:bCs/>
          <w:caps/>
        </w:rPr>
      </w:pPr>
      <w:r w:rsidRPr="00FC2F7A">
        <w:rPr>
          <w:b/>
          <w:bCs/>
        </w:rPr>
        <w:lastRenderedPageBreak/>
        <w:t>1. Introduction</w:t>
      </w:r>
    </w:p>
    <w:p w:rsidR="00444DB4" w:rsidRPr="00B92A6B" w:rsidRDefault="00444DB4" w:rsidP="003576F0">
      <w:pPr>
        <w:pStyle w:val="TESupportingInfoTitle"/>
      </w:pPr>
      <w:r w:rsidRPr="00B92A6B">
        <w:t>Wound healing is a naturally occurring process taking place in every type of tissue upon injury. The main aim is to regenerate the tissue as promptly as possible in order to avoid the risk of infection by bacteria, viruses or fungi.</w:t>
      </w:r>
      <w:r w:rsidR="00234258" w:rsidRPr="00B92A6B">
        <w:rPr>
          <w:b/>
          <w:caps/>
        </w:rPr>
        <w:fldChar w:fldCharType="begin" w:fldLock="1"/>
      </w:r>
      <w:r w:rsidR="003576F0">
        <w:instrText>ADDIN CSL_CITATION { "citationItems" : [ { "id" : "ITEM-1", "itemData" : { "DOI" : "10.1242/jcs.031187", "ISBN" : "1477-9137 (Electronic) 0021-9533 (Linking)", "ISSN" : "0021-9533", "PMID" : "19726630", "abstract" : "This article is part of a Minifocus on collective cell migration. For further reading, please see related articles: \u02bbMechanisms of collective cell migration at a glance\u02bc by Olga Ilina and Peter Friedl (J. Cell Sci. 122, 3203-3208) and \u02bbCollective cell migration in development\u02bc ...", "author" : [ { "dropping-particle" : "", "family" : "Shaw", "given" : "Tanya J", "non-dropping-particle" : "", "parse-names" : false, "suffix" : "" }, { "dropping-particle" : "", "family" : "Martin", "given" : "Paul", "non-dropping-particle" : "", "parse-names" : false, "suffix" : "" } ], "container-title" : "Journal of cell science", "id" : "ITEM-1", "issue" : "Pt 18", "issued" : { "date-parts" : [ [ "2009" ] ] }, "page" : "3209-3213", "title" : "Wound repair at a glance.", "type" : "article-journal", "volume" : "122" }, "uris" : [ "http://www.mendeley.com/documents/?uuid=3014ba06-e179-48f2-a617-fd860cd07ecc" ] } ], "mendeley" : { "formattedCitation" : "&lt;sup&gt;[1]&lt;/sup&gt;", "plainTextFormattedCitation" : "[1]", "previouslyFormattedCitation" : "&lt;sup&gt;[1]&lt;/sup&gt;"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w:t>
      </w:r>
      <w:r w:rsidR="00234258" w:rsidRPr="00B92A6B">
        <w:rPr>
          <w:b/>
          <w:caps/>
        </w:rPr>
        <w:fldChar w:fldCharType="end"/>
      </w:r>
      <w:r w:rsidRPr="00B92A6B">
        <w:t xml:space="preserve"> Several complex</w:t>
      </w:r>
      <w:r w:rsidRPr="00B92A6B">
        <w:rPr>
          <w:lang w:eastAsia="ko-KR"/>
        </w:rPr>
        <w:t xml:space="preserve"> </w:t>
      </w:r>
      <w:r w:rsidRPr="00B92A6B">
        <w:t>biochemical processes occur during wound healing, which involve inflammatory signals, vasodilation and vasoconstriction agents, as well as proliferation and cell regulation factors.</w:t>
      </w:r>
      <w:r w:rsidR="00234258" w:rsidRPr="00B92A6B">
        <w:rPr>
          <w:b/>
          <w:caps/>
        </w:rPr>
        <w:fldChar w:fldCharType="begin" w:fldLock="1"/>
      </w:r>
      <w:r w:rsidR="003576F0">
        <w:instrText>ADDIN CSL_CITATION { "citationItems" : [ { "id" : "ITEM-1", "itemData" : { "DOI" : "10.1152/physrev.00031.2002", "ISBN" : "0031-9333 (Print)", "ISSN" : "0031-9333", "PMID" : "12843410", "abstract" : "Cutaneous wound healing is a complex process involving blood clotting, inflammation, new tissue formation, and finally tissue remodeling. It is well described at the histological level, but the genes that regulate skin repair have only partially been identified. Many experimental and clinical studies have demonstrated varied, but in most cases beneficial, effects of exogenous growth factors on the healing process. However, the roles played by endogenous growth factors have remained largely unclear. Initial approaches at addressing this question focused on the expression analysis of various growth factors, cytokines, and their receptors in different wound models, with first functional data being obtained by applying neutralizing antibodies to wounds. During the past few years, the availability of genetically modified mice has allowed elucidation of the function of various genes in the healing process, and these studies have shed light onto the role of growth factors, cytokines, and their downstream effectors in wound repair. This review summarizes the results of expression studies that have been performed in rodents, pigs, and humans to localize growth factors and their receptors in skin wounds. Most importantly, we also report on genetic studies addressing the functions of endogenous growth factors in the wound repair process.", "author" : [ { "dropping-particle" : "", "family" : "Werner", "given" : "Sabine", "non-dropping-particle" : "", "parse-names" : false, "suffix" : "" }, { "dropping-particle" : "", "family" : "Grose", "given" : "Richard", "non-dropping-particle" : "", "parse-names" : false, "suffix" : "" } ], "container-title" : "Physiological reviews", "id" : "ITEM-1", "issue" : "3", "issued" : { "date-parts" : [ [ "2003" ] ] }, "page" : "835-870", "title" : "Regulation of wound healing by growth factors and cytokines.", "type" : "article-journal", "volume" : "83" }, "uris" : [ "http://www.mendeley.com/documents/?uuid=796d339a-e3c9-405a-ab2c-b04857eb7cb0" ] }, { "id" : "ITEM-2", "itemData" : { "DOI" : "10.1111/j.1524-475X.2008.00410.x", "ISBN" : "1524-475X", "ISSN" : "10671927", "PMID" : "19128254", "abstract" : "Wound healing is an evolutionarily conserved, complex, multicellular process that, in skin, aims at barrier restoration. This process involves the coordinated efforts of several cell types including keratinocytes, fibroblasts, endothelial cells, macrophages, and platelets. The migration, infiltration, proliferation, and differentiation of these cells will culminate in an inflammatory response, the formation of new tissue and ultimately wound closure. This complex process is executed and regulated by an equally complex signaling network involving numerous growth factors, cytokines and chemokines. Of particular importance is the epidermal growth factor (EGF) family, transforming growth factor beta (TGF-beta) family, fibroblast growth factor (FGF) family, vascular endothelial growth factor (VEGF), granulocyte macrophage colony stimulating factor (GM-CSF), platelet-derived growth factor (PDGF), connective tissue growth factor (CTGF), interleukin (IL) family, and tumor necrosis factor-alpha family. Currently, patients are treated by three growth factors: PDGF-BB, bFGF, and GM-CSF. Only PDGF-BB has successfully completed randomized clinical trials in the Unites States. With gene therapy now in clinical trial and the discovery of biodegradable polymers, fibrin mesh, and human collagen serving as potential delivery systems other growth factors may soon be available to patients. This review will focus on the specific roles of these growth factors and cytokines during the wound healing process.", "author" : [ { "dropping-particle" : "", "family" : "Barrientos", "given" : "Stephan", "non-dropping-particle" : "", "parse-names" : false, "suffix" : "" }, { "dropping-particle" : "", "family" : "Stojadinovic", "given" : "Olivera", "non-dropping-particle" : "", "parse-names" : false, "suffix" : "" }, { "dropping-particle" : "", "family" : "Golinko", "given" : "Michael S.", "non-dropping-particle" : "", "parse-names" : false, "suffix" : "" }, { "dropping-particle" : "", "family" : "Brem", "given" : "Harold", "non-dropping-particle" : "", "parse-names" : false, "suffix" : "" }, { "dropping-particle" : "", "family" : "Tomic-Canic", "given" : "Marjana", "non-dropping-particle" : "", "parse-names" : false, "suffix" : "" } ], "container-title" : "Wound Repair and Regeneration", "id" : "ITEM-2", "issue" : "5", "issued" : { "date-parts" : [ [ "2008" ] ] }, "page" : "585-601", "title" : "Growth factors and cytokines in wound healing", "type" : "article", "volume" : "16" }, "uris" : [ "http://www.mendeley.com/documents/?uuid=119f832b-08fd-47c5-967a-c69dad12138c" ] } ], "mendeley" : { "formattedCitation" : "&lt;sup&gt;[2,3]&lt;/sup&gt;", "plainTextFormattedCitation" : "[2,3]", "previouslyFormattedCitation" : "&lt;sup&gt;[2,3]&lt;/sup&gt;"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[2,3]</w:t>
      </w:r>
      <w:r w:rsidR="00234258" w:rsidRPr="00B92A6B">
        <w:rPr>
          <w:b/>
          <w:caps/>
        </w:rPr>
        <w:fldChar w:fldCharType="end"/>
      </w:r>
      <w:r w:rsidRPr="00B92A6B">
        <w:t xml:space="preserve">  Many of the steps in these </w:t>
      </w:r>
      <w:r w:rsidRPr="00B92A6B">
        <w:rPr>
          <w:lang w:eastAsia="ko-KR"/>
        </w:rPr>
        <w:t>biochemical</w:t>
      </w:r>
      <w:r w:rsidRPr="00B92A6B">
        <w:t xml:space="preserve"> mechanisms are controlled by the regulation of specific proteins. For example, transforming growth factor (TGF)-β and connective tissue growth factor (CTGF) are upregulated in order to induce cell proliferation,</w:t>
      </w:r>
      <w:r w:rsidR="00234258" w:rsidRPr="00B92A6B">
        <w:rPr>
          <w:b/>
          <w:caps/>
        </w:rPr>
        <w:fldChar w:fldCharType="begin" w:fldLock="1"/>
      </w:r>
      <w:r w:rsidR="003576F0">
        <w:instrText>ADDIN CSL_CITATION { "citationItems" : [ { "id" : "ITEM-1", "itemData" : { "DOI" : "10.1111/j.1524-475X.2008.00410.x", "ISBN" : "1524-475X", "ISSN" : "10671927", "PMID" : "19128254", "abstract" : "Wound healing is an evolutionarily conserved, complex, multicellular process that, in skin, aims at barrier restoration. This process involves the coordinated efforts of several cell types including keratinocytes, fibroblasts, endothelial cells, macrophages, and platelets. The migration, infiltration, proliferation, and differentiation of these cells will culminate in an inflammatory response, the formation of new tissue and ultimately wound closure. This complex process is executed and regulated by an equally complex signaling network involving numerous growth factors, cytokines and chemokines. Of particular importance is the epidermal growth factor (EGF) family, transforming growth factor beta (TGF-beta) family, fibroblast growth factor (FGF) family, vascular endothelial growth factor (VEGF), granulocyte macrophage colony stimulating factor (GM-CSF), platelet-derived growth factor (PDGF), connective tissue growth factor (CTGF), interleukin (IL) family, and tumor necrosis factor-alpha family. Currently, patients are treated by three growth factors: PDGF-BB, bFGF, and GM-CSF. Only PDGF-BB has successfully completed randomized clinical trials in the Unites States. With gene therapy now in clinical trial and the discovery of biodegradable polymers, fibrin mesh, and human collagen serving as potential delivery systems other growth factors may soon be available to patients. This review will focus on the specific roles of these growth factors and cytokines during the wound healing process.", "author" : [ { "dropping-particle" : "", "family" : "Barrientos", "given" : "Stephan", "non-dropping-particle" : "", "parse-names" : false, "suffix" : "" }, { "dropping-particle" : "", "family" : "Stojadinovic", "given" : "Olivera", "non-dropping-particle" : "", "parse-names" : false, "suffix" : "" }, { "dropping-particle" : "", "family" : "Golinko", "given" : "Michael S.", "non-dropping-particle" : "", "parse-names" : false, "suffix" : "" }, { "dropping-particle" : "", "family" : "Brem", "given" : "Harold", "non-dropping-particle" : "", "parse-names" : false, "suffix" : "" }, { "dropping-particle" : "", "family" : "Tomic-Canic", "given" : "Marjana", "non-dropping-particle" : "", "parse-names" : false, "suffix" : "" } ], "container-title" : "Wound Repair and Regeneration", "id" : "ITEM-1", "issue" : "5", "issued" : { "date-parts" : [ [ "2008" ] ] }, "page" : "585-601", "title" : "Growth factors and cytokines in wound healing", "type" : "article", "volume" : "16" }, "uris" : [ "http://www.mendeley.com/documents/?uuid=119f832b-08fd-47c5-967a-c69dad12138c" ] }, { "id" : "ITEM-2", "itemData" : { "DOI" : "10.1136/pgmj.2008.069831", "ISBN" : "1469-0756 (Electronic)\\n0032-5473 (Linking)", "ISSN" : "1469-0756", "PMID" : "19240282", "abstract" : "Transforming growth factor beta1 (TGFbeta1) is a multifunctional cytokine known to be involved in a number of human diseases. It is believed to play an important role in wound healing and repair, as it is a key regulator of the production and remodelling of the extracellular matrix through its effect on mesenchymal cells. Over the last few years, it has become evident that the signalling pathway of TGFbeta is complex with numerous receptor-ligand interactions, intracellular pathways and a number of mechanisms, which not only control the signalling but may also decide the response to the TGFbeta signal. This review focuses on TGFbeta1 signalling and the role that TGFbeta1 plays in wound healing, repair and scarring.", "author" : [ { "dropping-particle" : "", "family" : "Klass", "given" : "B R", "non-dropping-particle" : "", "parse-names" : false, "suffix" : "" }, { "dropping-particle" : "", "family" : "Grobbelaar", "given" : "A O", "non-dropping-particle" : "", "parse-names" : false, "suffix" : "" }, { "dropping-particle" : "", "family" : "Rolfe", "given" : "K J", "non-dropping-particle" : "", "parse-names" : false, "suffix" : "" } ], "container-title" : "Postgraduate medical journal", "id" : "ITEM-2", "issue" : "999", "issued" : { "date-parts" : [ [ "2009" ] ] }, "page" : "9-14", "title" : "Transforming growth factor beta1 signalling, wound healing and repair: a multifunctional cytokine with clinical implications for wound repair, a delicate balance.", "type" : "article-journal", "volume" : "85" }, "uris" : [ "http://www.mendeley.com/documents/?uuid=5cd882a1-bc4f-41f6-a9a7-5c3e3f3ca4e9" ] }, { "id" : "ITEM-3", "itemData" : { "DOI" : "10.1242/jcs.047274", "ISBN" : "0021-9533 (Print)\\r0021-9533 (Linking)", "ISSN" : "0021-9533", "PMID" : "19435800", "abstract" : "Delayed wound healing caused by inefficient re-epithelialization underlines chronic skin lesions such as those found in diabetes. The dioxin receptor (AhR) modulates cell plasticity and migration and its activation by occupational polycyclic aromatic hydrocarbons (PAHs) results in severe skin lesions such as contact hypersensitivity, dermatitis and chloracne. Using wild-type (Ahr+/+) and AhR-null (Ahr-/-) mouse primary keratinocyte cultures and tissue explants, we show that lack of AhR increases keratinocyte migration and accelerates skin re-epithelialization without affecting cell proliferation or recruitment of inflammatory cells. Wounds in Ahr-/- animals had elevated numbers of fibroblasts and increased collagen content in their granulation tissue. Importantly, Ahr-/- dermal fibroblasts secreted higher levels of active TGFbeta that increased keratinocyte migration in culture and that could account for over-activation of the TGFbeta pathway and for faster wound healing in the AhR-null neo-epithelium. Consistently, a TGFbeta neutralizing antibody decreased keratinocyte migration in culture and halted re-epithelialization in Ahr-/- mice. Moreover, in vivo treatment with an antisense oligonucleotide for AhR increased TGFbeta signaling and improved re-epithelialization in wounds of wild-type mice. These data indicate that AhR is relevant for wound repair and suggest that AhR downmodulation might be a potential new tool for the treatment of chronic, surgical or accidental wounds.", "author" : [ { "dropping-particle" : "", "family" : "Carvajal-Gonzalez", "given" : "Jose M", "non-dropping-particle" : "", "parse-names" : false, "suffix" : "" }, { "dropping-particle" : "", "family" : "Roman", "given" : "Angel Carlos", "non-dropping-particle" : "", "parse-names" : false, "suffix" : "" }, { "dropping-particle" : "", "family" : "Cerezo-Guisado", "given" : "M Isabel", "non-dropping-particle" : "", "parse-names" : false, "suffix" : "" }, { "dropping-particle" : "", "family" : "Rico-Leo", "given" : "Eva M", "non-dropping-particle" : "", "parse-names" : false, "suffix" : "" }, { "dropping-particle" : "", "family" : "Martin-Partido", "given" : "Gervasio", "non-dropping-particle" : "", "parse-names" : false, "suffix" : "" }, { "dropping-particle" : "", "family" : "Fernandez-Salguero", "given" : "Pedro M", "non-dropping-particle" : "", "parse-names" : false, "suffix" : "" } ], "container-title" : "Journal of cell science", "id" : "ITEM-3", "issued" : { "date-parts" : [ [ "2009" ] ] }, "page" : "1823-1833", "title" : "Loss of dioxin-receptor expression accelerates wound healing in vivo by a mechanism involving TGFbeta.", "type" : "article-journal", "volume" : "122" }, "uris" : [ "http://www.mendeley.com/documents/?uuid=04efac0e-8998-443f-8f08-1080416e2dcd" ] }, { "id" : "ITEM-4", "itemData" : { "DOI" : "10.1111/j.1524-475X.2008.00416.x", "ISBN" : "1524-475X (Electronic)\\r1067-1927 (Linking)", "ISSN" : "10671927", "PMID" : "19128261", "abstract" : "Augmented expression of connective tissue growth factor (CTGF/CCN2) is observed in healing wounds and in a variety of fibrotic disorders. It appears to enhance many of the effects of transforming growth factor-beta and has been shown to have independent fibrogenic functions. Despite these observations, its importance to dermal wound healing and the transition from wound to scar remains poorly defined. In this study, we use established rabbit models to evaluate the roles of CTGF in dermal wound healing and hypertrophic scarring. We show that CTGF mRNA demonstrates persistent up-regulation in hypertrophic scars. Treatment of wounds with antisense oligonucleotides to CTGF has no measurable effect on early wound closure. However, antisense therapy significantly limits subsequent hypertrophic scarring. Inhibition of CTGF is associated with a marked reduction in the number of myofibroblasts in scars and decreased transcription of TIMP-1 and types I and III collagen. These findings confirm CTGF to be a key mediator of hypertrophic scarring in this model. Its effect on myofibroblasts in this setting suggests a mechanism whereby it plays this role. Its limited participation in early healing implies that it may be a useful and specific target for modulating hypertrophic scarring following injury.", "author" : [ { "dropping-particle" : "", "family" : "Sisco", "given" : "Mark", "non-dropping-particle" : "", "parse-names" : false, "suffix" : "" }, { "dropping-particle" : "", "family" : "Kryger", "given" : "Zol B.", "non-dropping-particle" : "", "parse-names" : false, "suffix" : "" }, { "dropping-particle" : "", "family" : "O'Shaughnessy", "given" : "Kristina D.", "non-dropping-particle" : "", "parse-names" : false, "suffix" : "" }, { "dropping-particle" : "", "family" : "Kim", "given" : "Peter S.", "non-dropping-particle" : "", "parse-names" : false, "suffix" : "" }, { "dropping-particle" : "", "family" : "Schultz", "given" : "Greg S.", "non-dropping-particle" : "", "parse-names" : false, "suffix" : "" }, { "dropping-particle" : "", "family" : "Ding", "given" : "Xian Zhong", "non-dropping-particle" : "", "parse-names" : false, "suffix" : "" }, { "dropping-particle" : "", "family" : "Roy", "given" : "Nakshatra K.", "non-dropping-particle" : "", "parse-names" : false, "suffix" : "" }, { "dropping-particle" : "", "family" : "Dean", "given" : "Nicholas M.", "non-dropping-particle" : "", "parse-names" : false, "suffix" : "" }, { "dropping-particle" : "", "family" : "Mustoe", "given" : "Thomas A.", "non-dropping-particle" : "", "parse-names" : false, "suffix" : "" } ], "container-title" : "Wound Repair and Regeneration", "id" : "ITEM-4", "issue" : "5", "issued" : { "date-parts" : [ [ "2008" ] ] }, "page" : "661-673", "title" : "Antisense inhibition of connective tissue growth factor (CTGF/CCN2) mRNA limits hypertrophic scarring without affecting wound healing in vivo", "type" : "article-journal", "volume" : "16" }, "uris" : [ "http://www.mendeley.com/documents/?uuid=c7e00126-318b-4a87-a58d-39d63eb488b5" ] } ], "mendeley" : { "formattedCitation" : "&lt;sup&gt;[3\u20136]&lt;/sup&gt;", "plainTextFormattedCitation" : "[3\u20136]", "previouslyFormattedCitation" : "&lt;sup&gt;[3\u20136]&lt;/sup&gt;"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[3–6]</w:t>
      </w:r>
      <w:r w:rsidR="00234258" w:rsidRPr="00B92A6B">
        <w:rPr>
          <w:b/>
          <w:caps/>
        </w:rPr>
        <w:fldChar w:fldCharType="end"/>
      </w:r>
      <w:r w:rsidRPr="00B92A6B">
        <w:t xml:space="preserve"> </w:t>
      </w:r>
      <w:r w:rsidRPr="00B92A6B">
        <w:rPr>
          <w:lang w:eastAsia="ko-KR"/>
        </w:rPr>
        <w:t xml:space="preserve">while </w:t>
      </w:r>
      <w:r w:rsidRPr="00B92A6B">
        <w:t>changes in the levels of Notch expression in intercellular sites-of-contact regulate tube formation and cell alignment</w:t>
      </w:r>
      <w:r w:rsidRPr="00B92A6B">
        <w:rPr>
          <w:lang w:eastAsia="ko-KR"/>
        </w:rPr>
        <w:t>.</w:t>
      </w:r>
      <w:r w:rsidR="00234258" w:rsidRPr="00B92A6B">
        <w:rPr>
          <w:b/>
          <w:caps/>
        </w:rPr>
        <w:fldChar w:fldCharType="begin" w:fldLock="1"/>
      </w:r>
      <w:r w:rsidR="003576F0">
        <w:instrText>ADDIN CSL_CITATION { "citationItems" : [ { "id" : "ITEM-1", "itemData" : { "DOI" : "10.1371/journal.pone.0001167", "ISSN" : "1932-6203", "author" : [ { "dropping-particle" : "", "family" : "Chigurupati", "given" : "Srinivasulu", "non-dropping-particle" : "", "parse-names" : false, "suffix" : "" }, { "dropping-particle" : "V.", "family" : "Arumugam", "given" : "Thiruma", "non-dropping-particle" : "", "parse-names" : false, "suffix" : "" }, { "dropping-particle" : "", "family" : "Son", "given" : "Tae Gen", "non-dropping-particle" : "", "parse-names" : false, "suffix" : "" }, { "dropping-particle" : "", "family" : "Lathia", "given" : "Justin D.", "non-dropping-particle" : "", "parse-names" : false, "suffix" : "" }, { "dropping-particle" : "", "family" : "Jameel", "given" : "Shafaq", "non-dropping-particle" : "", "parse-names" : false, "suffix" : "" }, { "dropping-particle" : "", "family" : "Mughal", "given" : "Mohamed R.", "non-dropping-particle" : "", "parse-names" : false, "suffix" : "" }, { "dropping-particle" : "", "family" : "Tang", "given" : "Sung-Chun", "non-dropping-particle" : "", "parse-names" : false, "suffix" : "" }, { "dropping-particle" : "", "family" : "Jo", "given" : "Dong-Gyu", "non-dropping-particle" : "", "parse-names" : false, "suffix" : "" }, { "dropping-particle" : "", "family" : "Camandola", "given" : "Simonetta", "non-dropping-particle" : "", "parse-names" : false, "suffix" : "" }, { "dropping-particle" : "", "family" : "Giunta", "given" : "Marialuisa", "non-dropping-particle" : "", "parse-names" : false, "suffix" : "" }, { "dropping-particle" : "", "family" : "Rakova", "given" : "Irina", "non-dropping-particle" : "", "parse-names" : false, "suffix" : "" }, { "dropping-particle" : "", "family" : "McDonnell", "given" : "Nazli", "non-dropping-particle" : "", "parse-names" : false, "suffix" : "" }, { "dropping-particle" : "", "family" : "Miele", "given" : "Lucio", "non-dropping-particle" : "", "parse-names" : false, "suffix" : "" }, { "dropping-particle" : "", "family" : "Mattson", "given" : "Mark P.", "non-dropping-particle" : "", "parse-names" : false, "suffix" : "" }, { "dropping-particle" : "", "family" : "Poosala", "given" : "Suresh", "non-dropping-particle" : "", "parse-names" : false, "suffix" : "" } ], "container-title" : "PLoS ONE", "editor" : [ { "dropping-particle" : "", "family" : "Hotchin", "given" : "Neil", "non-dropping-particle" : "", "parse-names" : false, "suffix" : "" } ], "id" : "ITEM-1", "issue" : "11", "issued" : { "date-parts" : [ [ "2007", "11", "14" ] ] }, "page" : "e1167", "publisher" : "Public Library of Science", "title" : "Involvement of Notch Signaling in Wound Healing", "type" : "article-journal", "volume" : "2" }, "uris" : [ "http://www.mendeley.com/documents/?uuid=a2ba7886-ba51-3d06-8684-7b2939ac753d" ] } ], "mendeley" : { "formattedCitation" : "&lt;sup&gt;[7]&lt;/sup&gt;", "plainTextFormattedCitation" : "[7]", "previouslyFormattedCitation" : "&lt;sup&gt;[7]&lt;/sup&gt;"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[7]</w:t>
      </w:r>
      <w:r w:rsidR="00234258" w:rsidRPr="00B92A6B">
        <w:rPr>
          <w:b/>
          <w:caps/>
        </w:rPr>
        <w:fldChar w:fldCharType="end"/>
      </w:r>
      <w:r w:rsidRPr="00B92A6B">
        <w:t xml:space="preserve"> Therefore, detection of proteins is very important. The most common method to image proteins is the staining of fixed cells with specific antibodies. However,</w:t>
      </w:r>
      <w:r w:rsidRPr="00B92A6B">
        <w:rPr>
          <w:lang w:eastAsia="ko-KR"/>
        </w:rPr>
        <w:t xml:space="preserve"> </w:t>
      </w:r>
      <w:r w:rsidRPr="00B92A6B">
        <w:t>the detection of proteins in living cells within complex systems such as tissue is still very challenging although highly significant in order to extract information of dynamic processes associated with changes in cell phenotype. Instead of detecting the actual proteins, detection of cell changes can be done prior to the expression of proteins. For the production of specific proteins the cells must express the relevant mRNAs, thus detection of these mRNAs can be used as an indirect approach</w:t>
      </w:r>
      <w:r w:rsidRPr="00B92A6B">
        <w:rPr>
          <w:lang w:eastAsia="ko-KR"/>
        </w:rPr>
        <w:t xml:space="preserve"> (blue print)</w:t>
      </w:r>
      <w:r w:rsidRPr="00B92A6B">
        <w:t xml:space="preserve"> to infer the presence of specific proteins. </w:t>
      </w:r>
      <w:r w:rsidR="00254D57" w:rsidRPr="00B92A6B">
        <w:t>A range of methods for the detection of mRNA have been developed</w:t>
      </w:r>
      <w:r w:rsidR="007A5046" w:rsidRPr="00B92A6B">
        <w:t xml:space="preserve"> </w:t>
      </w:r>
      <w:r w:rsidR="00234258" w:rsidRPr="00B92A6B">
        <w:fldChar w:fldCharType="begin" w:fldLock="1"/>
      </w:r>
      <w:r w:rsidR="003576F0">
        <w:instrText>ADDIN CSL_CITATION { "citationItems" : [ { "id" : "ITEM-1", "itemData" : { "DOI" : "10.1038/nnano.2015.195", "ISBN" : "1748-3395 (Electronic)\\r1748-3387 (Linking)", "ISSN" : "1748-3387", "PMID" : "26329111", "abstract" : "The programmability of Watson-Crick base pairing, combined with a decrease in the cost of synthesis, has made DNA a widely used material for the assembly of molecular structures and dynamic molecular devices. Working in cell-free settings, researchers in DNA nanotechnology have been able to scale up system complexity and quantitatively characterize reaction mechanisms to an extent that is infeasible for engineered gene circuits or other cell-based technologies. However, the most intriguing applications of DNA nanotechnology - applications that best take advantage of the small size, biocompatibility and programmability of DNA-based systems - lie at the interface with biology. Here, we review recent progress in the transition of DNA nanotechnology from the test tube to the cell. We highlight key successes in the development of DNA-based imaging probes, prototypes of smart therapeutics and drug delivery systems, and explore the future challenges and opportunities for cellular DNA nanotechnology.", "author" : [ { "dropping-particle" : "", "family" : "Chen", "given" : "Yuan-Jyue", "non-dropping-particle" : "", "parse-names" : false, "suffix" : "" }, { "dropping-particle" : "", "family" : "Groves", "given" : "Benjamin", "non-dropping-particle" : "", "parse-names" : false, "suffix" : "" }, { "dropping-particle" : "", "family" : "Muscat", "given" : "Richard A.", "non-dropping-particle" : "", "parse-names" : false, "suffix" : "" }, { "dropping-particle" : "", "family" : "Seelig", "given" : "Georg", "non-dropping-particle" : "", "parse-names" : false, "suffix" : "" } ], "container-title" : "Nature Nanotechnology", "id" : "ITEM-1", "issue" : "9", "issued" : { "date-parts" : [ [ "2015" ] ] }, "page" : "748-760", "title" : "DNA nanotechnology from the test tube to the cell", "type" : "article-journal", "volume" : "10" }, "uris" : [ "http://www.mendeley.com/documents/?uuid=a5eeaec4-8eb1-4ffb-ac0d-de26c6d0565e" ] } ], "mendeley" : { "formattedCitation" : "&lt;sup&gt;[8]&lt;/sup&gt;", "plainTextFormattedCitation" : "[8]", "previouslyFormattedCitation" : "&lt;sup&gt;[8]&lt;/sup&gt;" }, "properties" : {  }, "schema" : "https://github.com/citation-style-language/schema/raw/master/csl-citation.json" }</w:instrText>
      </w:r>
      <w:r w:rsidR="00234258" w:rsidRPr="00B92A6B">
        <w:fldChar w:fldCharType="separate"/>
      </w:r>
      <w:r w:rsidR="003576F0" w:rsidRPr="003576F0">
        <w:rPr>
          <w:noProof/>
          <w:vertAlign w:val="superscript"/>
        </w:rPr>
        <w:t>[8]</w:t>
      </w:r>
      <w:r w:rsidR="00234258" w:rsidRPr="00B92A6B">
        <w:fldChar w:fldCharType="end"/>
      </w:r>
      <w:r w:rsidR="00254D57" w:rsidRPr="00B92A6B">
        <w:t xml:space="preserve"> based on different strategies, including</w:t>
      </w:r>
      <w:r w:rsidR="00B92A6B" w:rsidRPr="00B92A6B">
        <w:t xml:space="preserve"> </w:t>
      </w:r>
      <w:r w:rsidR="00B569B1" w:rsidRPr="00B92A6B">
        <w:t xml:space="preserve">fluorescence in situ hybridization (FISH) </w:t>
      </w:r>
      <w:r w:rsidR="00B569B1" w:rsidRPr="00B92A6B">
        <w:rPr>
          <w:vertAlign w:val="superscript"/>
        </w:rPr>
        <w:t>[8]</w:t>
      </w:r>
      <w:r w:rsidR="00B569B1" w:rsidRPr="00B92A6B">
        <w:t xml:space="preserve">, </w:t>
      </w:r>
      <w:r w:rsidRPr="00B92A6B">
        <w:t>molecular beacons</w:t>
      </w:r>
      <w:r w:rsidR="00234258" w:rsidRPr="00B92A6B">
        <w:rPr>
          <w:b/>
          <w:caps/>
        </w:rPr>
        <w:fldChar w:fldCharType="begin" w:fldLock="1"/>
      </w:r>
      <w:r w:rsidR="003576F0">
        <w:instrText>ADDIN CSL_CITATION { "citationItems" : [ { "id" : "ITEM-1", "itemData" : { "DOI" : "10.3390/molecules181215357", "ISBN" : "3314079370", "ISSN" : "14203049", "PMID" : "24335616", "abstract" : "This review analyses the literature concerning non-fluorescent and fluorescent probes for nucleic acid imaging in fixed and living cells from the point of view of their suitability for imaging intracellular native RNA and DNA. Attention is mainly paid to fluorescent probes for fluorescence microscopy imaging. Requirements for the target-binding part and the fluorophore making up the probe are formulated. In the case of native double-stranded DNA, structure-specific and sequence-specific probes are discussed. Among the latest, three classes of dsDNA-targeting molecules are described: (i) sequence-specific peptides and proteins; (ii) triplex-forming oligonucleotides and (iii) polyamide oligo(N-methylpyrrole/N-methylimidazole) minor groove binders. Polyamides seem to be the most promising targeting agents for fluorescent probe design, however, some technical problems remain to be solved, such as the relatively low sequence specificity and the high background fluorescence inside the cells. Several examples of fluorescent probe applications for DNA imaging in fixed and living cells are cited. In the case of intracellular RNA, only modified oligonucleotides can provide such sequence-specific imaging. Several approaches for designing fluorescent probes are considered: linear fluorescent probes based on modified oligonucleotide analogs, molecular beacons, binary fluorescent probes and template-directed reactions with fluorescence probe formation, FRET donor-acceptor pairs, pyrene excimers, aptamers and others. The suitability of all these methods for living cell applications is discussed.", "author" : [ { "dropping-particle" : "", "family" : "Boutorine", "given" : "Alexandre S.", "non-dropping-particle" : "", "parse-names" : false, "suffix" : "" }, { "dropping-particle" : "", "family" : "Novopashina", "given" : "Darya S.", "non-dropping-particle" : "", "parse-names" : false, "suffix" : "" }, { "dropping-particle" : "", "family" : "Krasheninina", "given" : "Olga A.", "non-dropping-particle" : "", "parse-names" : false, "suffix" : "" }, { "dropping-particle" : "", "family" : "Nozeret", "given" : "Karine", "non-dropping-particle" : "", "parse-names" : false, "suffix" : "" }, { "dropping-particle" : "", "family" : "Venyaminova", "given" : "Alya G.", "non-dropping-particle" : "", "parse-names" : false, "suffix" : "" } ], "container-title" : "Molecules", "id" : "ITEM-1", "issue" : "12", "issued" : { "date-parts" : [ [ "2013" ] ] }, "page" : "15357-15397", "title" : "Fluorescent probes for nucleic acid visualization in fixed and live cells", "type" : "article", "volume" : "18" }, "uris" : [ "http://www.mendeley.com/documents/?uuid=ad2cb7d9-97ab-446b-b29e-8e8f6d14b6cd" ] }, { "id" : "ITEM-2", "itemData" : { "DOI" : "10.1007/978-1-61779-005-8_9", "ISBN" : "9781617790041", "ISSN" : "19406029", "PMID" : "21431739", "abstract" : "The molecular beacon technology is an established approach for visualizing native mRNAs in living cells. These probes need to efficiently hybridize to accessible RNA regions in order to spatially and temporally resolve the dynamic steps of the RNA life cycle. A refined method using two computer algorithms, mfold and RNAstructure, is described for choosing shorter, more abundant target regions for molecular beacon binding. The probes are redesigned as small hairpins and are synthesized from 2'-O-methyl RNA/LNA chimeric nucleic acids. These tiny molecular beacons are stable in the cellular environment and have a high affinity for binding to target RNAs. The user-friendly synthesis protocol and ability to couple to a variety of fluorophores make tiny molecular beacons the optimal technology to detect less abundant, highly structured RNAs, as well as small RNAs, such as microRNAs. As an example, tiny chimeric molecular beacons were designed to target regions of oskar mRNA, microinjected into living Drosophila melanogaster oocytes and imaged via spinning disc confocal microscopy.", "author" : [ { "dropping-particle" : "", "family" : "Bratu", "given" : "Diana P.", "non-dropping-particle" : "", "parse-names" : false, "suffix" : "" }, { "dropping-particle" : "", "family" : "Catrina", "given" : "Irina E.", "non-dropping-particle" : "", "parse-names" : false, "suffix" : "" }, { "dropping-particle" : "", "family" : "Marras", "given" : "Salvatore A E", "non-dropping-particle" : "", "parse-names" : false, "suffix" : "" } ], "container-title" : "Methods in molecular biology (Clifton, N.J.)", "id" : "ITEM-2", "issued" : { "date-parts" : [ [ "2011" ] ] }, "page" : "141-157", "title" : "Tiny molecular beacons for in vivo mRNA detection.", "type" : "article-journal", "volume" : "714" }, "uris" : [ "http://www.mendeley.com/documents/?uuid=70ea9a63-6bdc-4e70-84e9-7b29f8253d43" ] }, { "id" : "ITEM-3", "itemData" : { "DOI" : "10.1016/j.cbpa.2004.08.010", "ISBN" : "13675931", "ISSN" : "13675931", "PMID" : "15450499", "abstract" : "This opinion covers the field of molecular beacons (MBs), in which nucleic acids are molecularly engineered to have unique functions for the investigation of biomolecules. Molecular beacons have been used in a variety of formats, and this review discusses four: first, in vitro RNA and DNA monitoring; second, biosensors and biochips based on MBs; third, real-time monitoring of genes and gene expression in living systems; and finally, the next generation of molecular beacons that will be highly useful for studies with proteins, molecular beacon aptamers. These unique applications have shown that MBs holds great potential in genomics and proteomics where real-time molecular recognition with high sensitivity and excellent specificity is critical.", "author" : [ { "dropping-particle" : "", "family" : "Tan", "given" : "Weihong", "non-dropping-particle" : "", "parse-names" : false, "suffix" : "" }, { "dropping-particle" : "", "family" : "Wang", "given" : "Kemim", "non-dropping-particle" : "", "parse-names" : false, "suffix" : "" }, { "dropping-particle" : "", "family" : "Drake", "given" : "Timothy J.", "non-dropping-particle" : "", "parse-names" : false, "suffix" : "" } ], "container-title" : "Current Opinion in Chemical Biology", "id" : "ITEM-3", "issue" : "5", "issued" : { "date-parts" : [ [ "2004" ] ] }, "page" : "547-553", "title" : "Molecular beacons", "type" : "article", "volume" : "8" }, "uris" : [ "http://www.mendeley.com/documents/?uuid=24aaee0f-544b-49fc-9149-b62be5550437" ] } ], "mendeley" : { "formattedCitation" : "&lt;sup&gt;[9\u201311]&lt;/sup&gt;", "plainTextFormattedCitation" : "[9\u201311]", "previouslyFormattedCitation" : "&lt;sup&gt;[9\u201311]&lt;/sup&gt;"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[9–11]</w:t>
      </w:r>
      <w:r w:rsidR="00234258" w:rsidRPr="00B92A6B">
        <w:rPr>
          <w:b/>
          <w:caps/>
        </w:rPr>
        <w:fldChar w:fldCharType="end"/>
      </w:r>
      <w:r w:rsidRPr="00B92A6B">
        <w:t>, aptamers</w:t>
      </w:r>
      <w:r w:rsidR="00234258" w:rsidRPr="00B92A6B">
        <w:rPr>
          <w:b/>
          <w:caps/>
        </w:rPr>
        <w:fldChar w:fldCharType="begin" w:fldLock="1"/>
      </w:r>
      <w:r w:rsidR="003576F0">
        <w:instrText>ADDIN CSL_CITATION { "citationItems" : [ { "id" : "ITEM-1", "itemData" : { "DOI" : "10.1021/cb500499x", "ISBN" : "1554-8929", "ISSN" : "15548937", "PMID" : "25101481", "abstract" : "Because {RNA} lacks strong intrinsic fluorescence, it has proven challenging to track {RNA} molecules in real time. To address this problem and to allow the purification of fluorescently tagged {RNA} complexes, we have selected a high affinity {RNA} aptamer called {RNA} Mango ...", "author" : [ { "dropping-particle" : "V.", "family" : "Dolgosheina", "given" : "Elena", "non-dropping-particle" : "", "parse-names" : false, "suffix" : "" }, { "dropping-particle" : "", "family" : "Jeng", "given" : "Sunny C Y", "non-dropping-particle" : "", "parse-names" : false, "suffix" : "" }, { "dropping-particle" : "", "family" : "Panchapakesan", "given" : "Shanker Shyam S", "non-dropping-particle" : "", "parse-names" : false, "suffix" : "" }, { "dropping-particle" : "", "family" : "Cojocaru", "given" : "Razvan", "non-dropping-particle" : "", "parse-names" : false, "suffix" : "" }, { "dropping-particle" : "", "family" : "Chen", "given" : "Patrick S K", "non-dropping-particle" : "", "parse-names" : false, "suffix" : "" }, { "dropping-particle" : "", "family" : "Wilson", "given" : "Peter D.", "non-dropping-particle" : "", "parse-names" : false, "suffix" : "" }, { "dropping-particle" : "", "family" : "Hawkins", "given" : "Nancy", "non-dropping-particle" : "", "parse-names" : false, "suffix" : "" }, { "dropping-particle" : "", "family" : "Wiggins", "given" : "Paul A.", "non-dropping-particle" : "", "parse-names" : false, "suffix" : "" }, { "dropping-particle" : "", "family" : "Unrau", "given" : "Peter J.", "non-dropping-particle" : "", "parse-names" : false, "suffix" : "" } ], "container-title" : "ACS Chemical Biology", "id" : "ITEM-1", "issue" : "10", "issued" : { "date-parts" : [ [ "2014" ] ] }, "page" : "2412-2420", "title" : "RNA Mango aptamer-fluorophore: A bright, high-affinity complex for RNA labeling and tracking", "type" : "article-journal", "volume" : "9" }, "uris" : [ "http://www.mendeley.com/documents/?uuid=31d4b497-1b10-4e0e-a6a9-4ecdd5729676" ] }, { "id" : "ITEM-2", "itemData" : { "DOI" : "10.1038/nmeth1023", "ISBN" : "1548-7091", "ISSN" : "1548-7091", "PMID" : "17401371", "abstract" : "We describe a technique for the detection and localization of RNA transcripts in living cells. The method is based on fluorescent-protein complementation regulated by the interaction of a split RNA-binding protein with its corresponding RNA aptamer. In our design, the RNA-binding protein is the eukaryotic initiation factor 4A (eIF4A). eIF4A is dissected into two fragments, and each fragment is fused to split fragments of the enhanced green fluorescent protein (EGFP). Coexpression of the two protein fusions in the presence of a transcript containing eIF4A-interacting RNA aptamer resulted in the restoration of EGFP fluorescence in Escherichia coli cells. We also applied this technique to the visualization of an aptamer-tagged mRNA and 5S ribosomal RNA (rRNA). We observed distinct spatial and temporal changes in fluorescence within single cells, reflecting the nature of the transcript.", "author" : [ { "dropping-particle" : "", "family" : "Valencia-Burton", "given" : "Maria", "non-dropping-particle" : "", "parse-names" : false, "suffix" : "" }, { "dropping-particle" : "", "family" : "McCullough", "given" : "Ron M", "non-dropping-particle" : "", "parse-names" : false, "suffix" : "" }, { "dropping-particle" : "", "family" : "Cantor", "given" : "Charles R", "non-dropping-particle" : "", "parse-names" : false, "suffix" : "" }, { "dropping-particle" : "", "family" : "Broude", "given" : "Natalia E", "non-dropping-particle" : "", "parse-names" : false, "suffix" : "" } ], "container-title" : "Nature methods", "id" : "ITEM-2", "issue" : "5", "issued" : { "date-parts" : [ [ "2007" ] ] }, "page" : "421-427", "title" : "RNA visualization in live bacterial cells using fluorescent protein complementation.", "type" : "article-journal", "volume" : "4" }, "uris" : [ "http://www.mendeley.com/documents/?uuid=04a01e72-375a-47c8-bc1d-19d6f0c6443f" ] } ], "mendeley" : { "formattedCitation" : "&lt;sup&gt;[12,13]&lt;/sup&gt;", "plainTextFormattedCitation" : "[12,13]", "previouslyFormattedCitation" : "&lt;sup&gt;[12,13]&lt;/sup&gt;"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[12,13]</w:t>
      </w:r>
      <w:r w:rsidR="00234258" w:rsidRPr="00B92A6B">
        <w:rPr>
          <w:b/>
          <w:caps/>
        </w:rPr>
        <w:fldChar w:fldCharType="end"/>
      </w:r>
      <w:r w:rsidRPr="00B92A6B">
        <w:t xml:space="preserve"> or genetic transfections</w:t>
      </w:r>
      <w:r w:rsidR="00234258" w:rsidRPr="00B92A6B">
        <w:rPr>
          <w:b/>
          <w:caps/>
        </w:rPr>
        <w:fldChar w:fldCharType="begin" w:fldLock="1"/>
      </w:r>
      <w:r w:rsidR="003576F0">
        <w:instrText>ADDIN CSL_CITATION { "citationItems" : [ { "id" : "ITEM-1", "itemData" : { "DOI" : "10.1038/nmeth1023", "ISBN" : "1548-7091", "ISSN" : "1548-7091", "PMID" : "17401371", "abstract" : "We describe a technique for the detection and localization of RNA transcripts in living cells. The method is based on fluorescent-protein complementation regulated by the interaction of a split RNA-binding protein with its corresponding RNA aptamer. In our design, the RNA-binding protein is the eukaryotic initiation factor 4A (eIF4A). eIF4A is dissected into two fragments, and each fragment is fused to split fragments of the enhanced green fluorescent protein (EGFP). Coexpression of the two protein fusions in the presence of a transcript containing eIF4A-interacting RNA aptamer resulted in the restoration of EGFP fluorescence in Escherichia coli cells. We also applied this technique to the visualization of an aptamer-tagged mRNA and 5S ribosomal RNA (rRNA). We observed distinct spatial and temporal changes in fluorescence within single cells, reflecting the nature of the transcript.", "author" : [ { "dropping-particle" : "", "family" : "Valencia-Burton", "given" : "Maria", "non-dropping-particle" : "", "parse-names" : false, "suffix" : "" }, { "dropping-particle" : "", "family" : "McCullough", "given" : "Ron M", "non-dropping-particle" : "", "parse-names" : false, "suffix" : "" }, { "dropping-particle" : "", "family" : "Cantor", "given" : "Charles R", "non-dropping-particle" : "", "parse-names" : false, "suffix" : "" }, { "dropping-particle" : "", "family" : "Broude", "given" : "Natalia E", "non-dropping-particle" : "", "parse-names" : false, "suffix" : "" } ], "container-title" : "Nature methods", "id" : "ITEM-1", "issue" : "5", "issued" : { "date-parts" : [ [ "2007" ] ] }, "page" : "421-427", "title" : "RNA visualization in live bacterial cells using fluorescent protein complementation.", "type" : "article-journal", "volume" : "4" }, "uris" : [ "http://www.mendeley.com/documents/?uuid=04a01e72-375a-47c8-bc1d-19d6f0c6443f" ] } ], "mendeley" : { "formattedCitation" : "&lt;sup&gt;[13]&lt;/sup&gt;", "plainTextFormattedCitation" : "[13]", "previouslyFormattedCitation" : "&lt;sup&gt;[13]&lt;/sup&gt;"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[13]</w:t>
      </w:r>
      <w:r w:rsidR="00234258" w:rsidRPr="00B92A6B">
        <w:rPr>
          <w:b/>
          <w:caps/>
        </w:rPr>
        <w:fldChar w:fldCharType="end"/>
      </w:r>
      <w:r w:rsidRPr="00B92A6B">
        <w:t xml:space="preserve">. </w:t>
      </w:r>
      <w:r w:rsidRPr="00B92A6B">
        <w:rPr>
          <w:lang w:eastAsia="ko-KR"/>
        </w:rPr>
        <w:t>T</w:t>
      </w:r>
      <w:r w:rsidRPr="00B92A6B">
        <w:t xml:space="preserve">hese strategies </w:t>
      </w:r>
      <w:r w:rsidRPr="00B92A6B">
        <w:rPr>
          <w:lang w:eastAsia="ko-KR"/>
        </w:rPr>
        <w:t xml:space="preserve">are combined with various visualization  techniques </w:t>
      </w:r>
      <w:r w:rsidRPr="00B92A6B">
        <w:t>such as confocal microscopy</w:t>
      </w:r>
      <w:r w:rsidRPr="00B92A6B">
        <w:rPr>
          <w:lang w:eastAsia="ko-KR"/>
        </w:rPr>
        <w:t>,</w:t>
      </w:r>
      <w:r w:rsidRPr="00B92A6B">
        <w:t xml:space="preserve"> </w:t>
      </w:r>
      <w:r w:rsidRPr="00B92A6B">
        <w:rPr>
          <w:lang w:eastAsia="ko-KR"/>
        </w:rPr>
        <w:t>providing information on spatial distribution</w:t>
      </w:r>
      <w:r w:rsidR="00234258" w:rsidRPr="00B92A6B">
        <w:rPr>
          <w:b/>
          <w:caps/>
        </w:rPr>
        <w:fldChar w:fldCharType="begin" w:fldLock="1"/>
      </w:r>
      <w:r w:rsidR="003576F0">
        <w:instrText>ADDIN CSL_CITATION { "citationItems" : [ { "id" : "ITEM-1", "itemData" : { "DOI" : "10.1634/stemcells.2007-0226", "ISSN" : "10665099", "author" : [ { "dropping-particle" : "", "family" : "Wu", "given" : "Yaojiong", "non-dropping-particle" : "", "parse-names" : false, "suffix" : "" }, { "dropping-particle" : "", "family" : "Chen", "given" : "Liwen", "non-dropping-particle" : "", "parse-names" : false, "suffix" : "" }, { "dropping-particle" : "", "family" : "Scott", "given" : "Paul G.", "non-dropping-particle" : "", "parse-names" : false, "suffix" : "" }, { "dropping-particle" : "", "family" : "Tredget", "given" : "Edward E.", "non-dropping-particle" : "", "parse-names" : false, "suffix" : "" } ], "container-title" : "Stem Cells", "id" : "ITEM-1", "issue" : "10", "issued" : { "date-parts" : [ [ "2007", "10" ] ] }, "page" : "2648-2659", "publisher" : "John Wiley &amp; Sons, Ltd.", "title" : "Mesenchymal Stem Cells Enhance Wound Healing Through Differentiation and Angiogenesis", "type" : "article-journal", "volume" : "25" }, "uris" : [ "http://www.mendeley.com/documents/?uuid=7aa9c7dc-9679-3777-833c-96e018a70eb6" ] } ], "mendeley" : { "formattedCitation" : "&lt;sup&gt;[14]&lt;/sup&gt;", "plainTextFormattedCitation" : "[14]", "previouslyFormattedCitation" : "&lt;sup&gt;[14]&lt;/sup&gt;"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[14]</w:t>
      </w:r>
      <w:r w:rsidR="00234258" w:rsidRPr="00B92A6B">
        <w:rPr>
          <w:b/>
          <w:caps/>
        </w:rPr>
        <w:fldChar w:fldCharType="end"/>
      </w:r>
      <w:r w:rsidRPr="00B92A6B">
        <w:rPr>
          <w:b/>
          <w:caps/>
        </w:rPr>
        <w:t>,</w:t>
      </w:r>
      <w:r w:rsidRPr="00B92A6B">
        <w:rPr>
          <w:lang w:eastAsia="ko-KR"/>
        </w:rPr>
        <w:t xml:space="preserve"> fluorescence microscopy to monitor expression levels</w:t>
      </w:r>
      <w:r w:rsidR="00234258" w:rsidRPr="00B92A6B">
        <w:rPr>
          <w:b/>
          <w:caps/>
        </w:rPr>
        <w:fldChar w:fldCharType="begin" w:fldLock="1"/>
      </w:r>
      <w:r w:rsidR="003576F0">
        <w:instrText>ADDIN CSL_CITATION { "citationItems" : [ { "id" : "ITEM-1", "itemData" : { "ISSN" : "0014-4835", "PMID" : "12573665", "abstract" : "Numerous studies have shown that fibroblasts play an important role in corneal wound healing, however, the dynamic cellular events underlying wound tissue organization and contraction remain unclear. The purpose of this study was to develop a system to enable live cell imaging of corneal wound healing fibroblasts in situ. To this end, concentrated preparations of an RD114 pseudotyped MLV-based vector expressing the enhanced green fluorescent protein (EGFP) were evaluated in vitro for gene transfer efficiency using cultured rabbit corneal keratocytes. Primary rabbit keratocytes were efficiently labeled in vitro (up to 50% EGFP(+)) at a low multiplicity of infection (MOI=10). To evaluate this gene transfer vector in vivo, rabbit corneal fibroblasts were transduced by direct application of vector supernatant to injured corneas following lamellar keratectomy. Fluorescent fibroblasts were then visualized in situ using epifluorescence microscopy and multiphoton confocal microscopy of excised fresh tissue at multiple time points from 14 days to four months following gene transfer. Fourteen days post-transduction, labeled fibroblasts expressing EGFP were readily detectable by fluorescence microscopy. Detectable fluorescence was noted up to eight weeks post-transduction. Labeled fibroblasts were detected in clusters located predominantly along the margin circumscribing the wound and to a lesser extent within the wound area. Cell growth in clusters was suggestive of the expansion of individual transduced clones. High-resolution imaging showed fluorescent fibroblasts to have a broad, flattened, dendritic morphology, distinct from the spindle shape of cultured fibroblasts. Utilizing multiphoton confocal microscopy, three-dimensional imaging of viable, labeled cells showed wound healing fibroblasts to be extensively interconnected and multi-layered within the corneal wound. These results demonstrate that rabbit corneal fibroblasts can be efficiently transduced in vitro and in vivo using RD114 pseudotyped MLV-based vectors and that these vectors direct long-term transgene expression without apparent toxicity, pathogenesis or perturbation of native fibroblast morphology. Our data further suggest that, in vivo, wound-healing fibroblasts have a defined life span within the wound.", "author" : [ { "dropping-particle" : "", "family" : "Gatlin", "given" : "Joel", "non-dropping-particle" : "", "parse-names" : false, "suffix" : "" }, { "dropping-particle" : "", "family" : "Melkus", "given" : "Michael W", "non-dropping-particle" : "", "parse-names" : false, "suffix" : "" }, { "dropping-particle" : "", "family" : "Padgett", "given" : "Angela", "non-dropping-particle" : "", "parse-names" : false, "suffix" : "" }, { "dropping-particle" : "", "family" : "Petroll", "given" : "W Matthew", "non-dropping-particle" : "", "parse-names" : false, "suffix" : "" }, { "dropping-particle" : "", "family" : "Cavanagh", "given" : "H Dwight", "non-dropping-particle" : "", "parse-names" : false, "suffix" : "" }, { "dropping-particle" : "", "family" : "Garcia", "given" : "J Victor", "non-dropping-particle" : "", "parse-names" : false, "suffix" : "" }, { "dropping-particle" : "V", "family" : "Jester", "given" : "James", "non-dropping-particle" : "", "parse-names" : false, "suffix" : "" } ], "container-title" : "Experimental eye research", "id" : "ITEM-1", "issue" : "3", "issued" : { "date-parts" : [ [ "2003", "3" ] ] }, "page" : "361-71", "title" : "In vivo fluorescent labeling of corneal wound healing fibroblasts.", "type" : "article-journal", "volume" : "76" }, "uris" : [ "http://www.mendeley.com/documents/?uuid=a24e4d77-b7e7-3d99-803d-90e59f2a2200" ] } ], "mendeley" : { "formattedCitation" : "&lt;sup&gt;[15]&lt;/sup&gt;", "plainTextFormattedCitation" : "[15]", "previouslyFormattedCitation" : "&lt;sup&gt;[15]&lt;/sup&gt;"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[15]</w:t>
      </w:r>
      <w:r w:rsidR="00234258" w:rsidRPr="00B92A6B">
        <w:rPr>
          <w:b/>
          <w:caps/>
        </w:rPr>
        <w:fldChar w:fldCharType="end"/>
      </w:r>
      <w:r w:rsidRPr="00B92A6B">
        <w:rPr>
          <w:lang w:eastAsia="ko-KR"/>
        </w:rPr>
        <w:t>, and cryo-electron microscopy for structural characterization.</w:t>
      </w:r>
      <w:r w:rsidR="00234258" w:rsidRPr="00B92A6B">
        <w:rPr>
          <w:b/>
          <w:caps/>
        </w:rPr>
        <w:fldChar w:fldCharType="begin" w:fldLock="1"/>
      </w:r>
      <w:r w:rsidR="003576F0">
        <w:instrText>ADDIN CSL_CITATION { "citationItems" : [ { "id" : "ITEM-1", "itemData" : { "author" : [ { "dropping-particle" : "", "family" : "Garrod", "given" : "David R.", "non-dropping-particle" : "", "parse-names" : false, "suffix" : "" }, { "dropping-particle" : "", "family" : "Berika", "given" : "Mohamed Y.", "non-dropping-particle" : "", "parse-names" : false, "suffix" : "" }, { "dropping-particle" : "", "family" : "Bardsley", "given" : "William F.", "non-dropping-particle" : "", "parse-names" : false, "suffix" : "" }, { "dropping-particle" : "", "family" : "Holmes", "given" : "David", "non-dropping-particle" : "", "parse-names" : false, "suffix" : "" }, { "dropping-particle" : "", "family" : "Tabernero", "given" : "Lydia", "non-dropping-particle" : "", "parse-names" : false, "suffix" : "" } ], "container-title" : "Journal of Cell Science", "id" : "ITEM-1", "issue" : "24", "issued" : { "date-parts" : [ [ "2005" ] ] }, "title" : "Hyper-adhesion in desmosomes: its regulation in wound healing and possible relationship to cadherin crystal structure", "type" : "article-journal", "volume" : "118" }, "uris" : [ "http://www.mendeley.com/documents/?uuid=d96aa375-8ff6-360f-9eed-20d6a3d7149c" ] } ], "mendeley" : { "formattedCitation" : "&lt;sup&gt;[16]&lt;/sup&gt;", "plainTextFormattedCitation" : "[16]", "previouslyFormattedCitation" : "&lt;sup&gt;[16]&lt;/sup&gt;"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[16]</w:t>
      </w:r>
      <w:r w:rsidR="00234258" w:rsidRPr="00B92A6B">
        <w:rPr>
          <w:b/>
          <w:caps/>
        </w:rPr>
        <w:fldChar w:fldCharType="end"/>
      </w:r>
      <w:r w:rsidRPr="00B92A6B">
        <w:rPr>
          <w:lang w:eastAsia="ko-KR"/>
        </w:rPr>
        <w:t xml:space="preserve"> Despite the power of these techniques, they are mainly applicable to fixed samples using post-fixation labeling techniques, limiting the amount of real-time information which can be gathered. Furthermore their application in more complex biological systems, such as tissue or skin, is scarce.</w:t>
      </w:r>
      <w:r w:rsidR="00234258" w:rsidRPr="00B92A6B">
        <w:rPr>
          <w:b/>
          <w:caps/>
        </w:rPr>
        <w:fldChar w:fldCharType="begin" w:fldLock="1"/>
      </w:r>
      <w:r w:rsidR="003576F0">
        <w:instrText>ADDIN CSL_CITATION { "citationItems" : [ { "id" : "ITEM-1", "itemData" : { "DOI" : "10.1016/S1631-0691(02)01464-6", "ISBN" : "1631-0691", "ISSN" : "16310691", "PMID" : "12187641", "abstract" : "The complex biology of wound healing is an area in which theoretical modelling has already made a significant impact. In this review article, the authors describe the key features of wound healing biology, divided into four components: epidermal wound healing, remodelling of the dermal extracellular matrix, wound contraction, and angiogenesis. Within each of these categories, previous modelling work is described, and the authors identify what they regard as the main challenges for future theoretical work. ?? 2002 Acad??mie des sciences / ??ditions scientifiques et m??dicales Elsevier SAS.", "author" : [ { "dropping-particle" : "", "family" : "Sherratt", "given" : "Jonathan A.", "non-dropping-particle" : "", "parse-names" : false, "suffix" : "" }, { "dropping-particle" : "", "family" : "Dallon", "given" : "John C.", "non-dropping-particle" : "", "parse-names" : false, "suffix" : "" } ], "container-title" : "Comptes Rendus - Biologies", "id" : "ITEM-1", "issue" : "5", "issued" : { "date-parts" : [ [ "2002" ] ] }, "page" : "557-564", "title" : "Theoretical models of wound healing: Past successes and future challenges", "type" : "article-journal", "volume" : "325" }, "uris" : [ "http://www.mendeley.com/documents/?uuid=dd87f603-e54c-4344-be5a-c3e5d0fc02ef" ] } ], "mendeley" : { "formattedCitation" : "&lt;sup&gt;[17]&lt;/sup&gt;", "plainTextFormattedCitation" : "[17]", "previouslyFormattedCitation" : "&lt;sup&gt;[17]&lt;/sup&gt;"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[17]</w:t>
      </w:r>
      <w:r w:rsidR="00234258" w:rsidRPr="00B92A6B">
        <w:rPr>
          <w:b/>
          <w:caps/>
        </w:rPr>
        <w:fldChar w:fldCharType="end"/>
      </w:r>
      <w:r w:rsidRPr="00B92A6B">
        <w:t xml:space="preserve"> Pioneering work by Mirkin and co-workers as well as Tang and co-workers recently introduced a new type of fluorescent, oligonucleotide-based imaging probe immobilized on a gold nanoparticle (AuNP), the so-called nanoflares,  for intracellular mRNA detection and gene regulation</w:t>
      </w:r>
      <w:r w:rsidR="00234258" w:rsidRPr="00B92A6B">
        <w:rPr>
          <w:b/>
          <w:caps/>
        </w:rPr>
        <w:fldChar w:fldCharType="begin" w:fldLock="1"/>
      </w:r>
      <w:r w:rsidR="003576F0">
        <w:instrText>ADDIN CSL_CITATION { "citationItems" : [ { "id" : "ITEM-1", "itemData" : { "DOI" : "10.1021/ja0776529", "ISBN" : "0002-7863", "ISSN" : "00027863", "PMID" : "18034495", "abstract" : "We demonstrate that novel oligonucleotide-modified gold nanoparticle probes hybridized to fluorophore-labeled complements can be used as both transfection agents and cellular ?nano-flares? for detecting mRNA in living cells. Nano-flares take advantage of the highly efficient fluorescence quenching properties of gold, cellular uptake of oligonucleotide nanoparticle conjugates without the use of transfection agents, and the enzymatic stability of such conjugates, thus overcoming many of the challenges to creating sensitive and effective intracellular probes. Nano-flares exhibit high signaling, have low background fluorescence, and are sensitive to changes in the number of RNA transcripts present in cells.\\nWe demonstrate that novel oligonucleotide-modified gold nanoparticle probes hybridized to fluorophore-labeled complements can be used as both transfection agents and cellular ?nano-flares? for detecting mRNA in living cells. Nano-flares take advantage of the highly efficient fluorescence quenching properties of gold, cellular uptake of oligonucleotide nanoparticle conjugates without the use of transfection agents, and the enzymatic stability of such conjugates, thus overcoming many of the challenges to creating sensitive and effective intracellular probes. Nano-flares exhibit high signaling, have low background fluorescence, and are sensitive to changes in the number of RNA transcripts present in cells.", "author" : [ { "dropping-particle" : "", "family" : "Seferos", "given" : "Dwight S.", "non-dropping-particle" : "", "parse-names" : false, "suffix" : "" }, { "dropping-particle" : "", "family" : "Giljohann", "given" : "David A.", "non-dropping-particle" : "", "parse-names" : false, "suffix" : "" }, { "dropping-particle" : "", "family" : "Hill", "given" : "Haley D.", "non-dropping-particle" : "", "parse-names" : false, "suffix" : "" }, { "dropping-particle" : "", "family" : "Prigodich", "given" : "Andrew E.", "non-dropping-particle" : "", "parse-names" : false, "suffix" : "" }, { "dropping-particle" : "", "family" : "Mirkin", "given" : "Chad A.", "non-dropping-particle" : "", "parse-names" : false, "suffix" : "" } ], "container-title" : "Journal of the American Chemical Society", "id" : "ITEM-1", "issue" : "50", "issued" : { "date-parts" : [ [ "2007" ] ] }, "page" : "15477-15479", "title" : "Nano-flares: Probes for transfection and mRNA detection in living cells", "type" : "article-journal", "volume" : "129" }, "uris" : [ "http://www.mendeley.com/documents/?uuid=e20f3197-2fc2-4c5d-8cb0-7b6920852cdf" ] }, { "id" : "ITEM-2", "itemData" : { "DOI" : "10.1021/ja808719p", "ISBN" : "00027863 (ISSN)", "ISSN" : "00027863", "PMID" : "19170493", "abstract" : "We report the synthesis and characterization of polyvalent RNA-gold nanoparticle conjugates (RNA-Au NPs), nanoparticles that are densely functionalized with synthetic RNA oligonucleotides and designed to function in the RNAi pathway. The particles were rationally designed and synthesized to be free of degrading enzymes, have a high surface loading of siRNA duplexes, and contain an auxiliary passivating agent for increased stability in biological media. The resultant conjugates have a half-life six times longer than that of free dsRNA, readily enter cells without the use of transfection agents, and demonstrate a high gene knockdown capability in a cell model.", "author" : [ { "dropping-particle" : "", "family" : "Giljohann", "given" : "David A.", "non-dropping-particle" : "", "parse-names" : false, "suffix" : "" }, { "dropping-particle" : "", "family" : "Seferos", "given" : "Dwight S.", "non-dropping-particle" : "", "parse-names" : false, "suffix" : "" }, { "dropping-particle" : "", "family" : "Prigodich", "given" : "Andrew E.", "non-dropping-particle" : "", "parse-names" : false, "suffix" : "" }, { "dropping-particle" : "", "family" : "Patel", "given" : "Pinal C.", "non-dropping-particle" : "", "parse-names" : false, "suffix" : "" }, { "dropping-particle" : "", "family" : "Mirkin", "given" : "Chad A.", "non-dropping-particle" : "", "parse-names" : false, "suffix" : "" } ], "container-title" : "Journal of the American Chemical Society", "id" : "ITEM-2", "issue" : "6", "issued" : { "date-parts" : [ [ "2009" ] ] }, "page" : "2072-2073", "title" : "Gene regulation with polyvalent siRNA-nanoparticle conjugates", "type" : "article-journal", "volume" : "131" }, "uris" : [ "http://www.mendeley.com/documents/?uuid=4b3b2493-f03c-477e-bbf1-0f9a0952f386" ] }, { "id" : "ITEM-3", "itemData" : { "DOI" : "10.1021/ac202648w", "ISBN" : "0003-2700", "ISSN" : "00032700", "PMID" : "22288418", "abstract" : "We report the development of the multiplexed nanoflare, a nanoparticle agent that is capable of simultaneously detecting two distinct mRNA targets inside a living cell. These probes are spherical nucleic acid (SNA) gold nanoparticle (Au NP) conjugates consisting of densely packed and highly oriented oligonucleotide sequences, many of which are hybridized to a reporter with a distinct fluorophore label and each complementary to its corresponding mRNA target. When multiplexed nanoflares are exposed to their targets, they provide a sequence specific signal in both extra- and intracellular environments. Importantly, one of the targets can be used as an internal control, improving detection by accounting for cell-to-cell variations in nanoparticle uptake and background. Compared to single-component nanoflares, these structures allow one to determine more precisely relative mRNA levels in individual cells, improving cell sorting and quantification.", "author" : [ { "dropping-particle" : "", "family" : "Prigodich", "given" : "Andrew E.", "non-dropping-particle" : "", "parse-names" : false, "suffix" : "" }, { "dropping-particle" : "", "family" : "Randeria", "given" : "Pratik S.", "non-dropping-particle" : "", "parse-names" : false, "suffix" : "" }, { "dropping-particle" : "", "family" : "Briley", "given" : "William E.", "non-dropping-particle" : "", "parse-names" : false, "suffix" : "" }, { "dropping-particle" : "", "family" : "Kim", "given" : "Nathaniel J.", "non-dropping-particle" : "", "parse-names" : false, "suffix" : "" }, { "dropping-particle" : "", "family" : "Daniel", "given" : "Weston L.", "non-dropping-particle" : "", "parse-names" : false, "suffix" : "" }, { "dropping-particle" : "", "family" : "Giljohann", "given" : "David A.", "non-dropping-particle" : "", "parse-names" : false, "suffix" : "" }, { "dropping-particle" : "", "family" : "Mirkin", "given" : "Chad A.", "non-dropping-particle" : "", "parse-names" : false, "suffix" : "" } ], "container-title" : "Analytical Chemistry", "id" : "ITEM-3", "issue" : "4", "issued" : { "date-parts" : [ [ "2012" ] ] }, "page" : "2062-2066", "title" : "Multiplexed nanoflares: MRNA detection in live cells", "type" : "article-journal", "volume" : "84" }, "uris" : [ "http://www.mendeley.com/documents/?uuid=a6b896c7-ccb4-4e41-9044-3f69f2dfb614" ] }, { "id" : "ITEM-4", "itemData" : { "DOI" : "10.1073/pnas.1418637111", "ISBN" : "0027-8424", "ISSN" : "1091-6490", "PMID" : "25404304", "abstract" : "Metastasis portends a poor prognosis for cancer patients. Primary tumor cells disseminate through the bloodstream before the appearance of detectable metastatic lesions. The analysis of cancer cells in blood\u2014so-called circulating tumor cells (CTCs)\u2014may provide unprecedented opportunities for metastatic risk assessment and investigation. NanoFlares are nanoconstructs that enable live-cell detection of intracellular mRNA. NanoFlares, when coupled with flow cytometry, can be used to fluorescently detect genetic markers of CTCs in the context of whole blood. They allow one to detect as few as 100 live cancer cells per mL of blood and subsequently culture those cells. This technique can also be used to detect CTCs in a murine model of metastatic breast cancer. As such, NanoFlares provide, to our knowledge, the first genetic-based approach for detecting, isolating, and characterizing live cancer cells from blood and may provide new opportunities for cancer diagnosis, prognosis, and personalized therapy.", "author" : [ { "dropping-particle" : "", "family" : "Halo", "given" : "Tiffany L", "non-dropping-particle" : "", "parse-names" : false, "suffix" : "" }, { "dropping-particle" : "", "family" : "McMahon", "given" : "Kaylin M", "non-dropping-particle" : "", "parse-names" : false, "suffix" : "" }, { "dropping-particle" : "", "family" : "Angeloni", "given" : "Nicholas L", "non-dropping-particle" : "", "parse-names" : false, "suffix" : "" }, { "dropping-particle" : "", "family" : "Xu", "given" : "Yilin", "non-dropping-particle" : "", "parse-names" : false, "suffix" : "" }, { "dropping-particle" : "", "family" : "Wang", "given" : "Wei", "non-dropping-particle" : "", "parse-names" : false, "suffix" : "" }, { "dropping-particle" : "", "family" : "Chinen", "given" : "Alyssa B", "non-dropping-particle" : "", "parse-names" : false, "suffix" : "" }, { "dropping-particle" : "", "family" : "Malin", "given" : "Dmitry", "non-dropping-particle" : "", "parse-names" : false, "suffix" : "" }, { "dropping-particle" : "", "family" : "Strekalova", "given" : "Elena", "non-dropping-particle" : "", "parse-names" : false, "suffix" : "" }, { "dropping-particle" : "", "family" : "Cryns", "given" : "Vincent L", "non-dropping-particle" : "", "parse-names" : false, "suffix" : "" }, { "dropping-particle" : "", "family" : "Cheng", "given" : "Chonghui", "non-dropping-particle" : "", "parse-names" : false, "suffix" : "" }, { "dropping-particle" : "", "family" : "Mirkin", "given" : "Chad A", "non-dropping-particle" : "", "parse-names" : false, "suffix" : "" }, { "dropping-particle" : "", "family" : "Thaxton", "given" : "C Shad", "non-dropping-particle" : "", "parse-names" : false, "suffix" : "" } ], "container-title" : "Proceedings of the National Academy of Sciences of the United States of America", "id" : "ITEM-4", "issue" : "48", "issued" : { "date-parts" : [ [ "2014" ] ] }, "page" : "17104-9", "title" : "NanoFlares for the detection, isolation, and culture of live tumor cells from human blood.", "type" : "article-journal", "volume" : "111" }, "uris" : [ "http://www.mendeley.com/documents/?uuid=0c5ecc07-8ad3-468b-81fa-60aa25f1dc9d" ] }, { "id" : "ITEM-5", "itemData" : { "DOI" : "10.1002/anie.201203767", "ISSN" : "14337851", "author" : [ { "dropping-particle" : "", "family" : "Li", "given" : "Na", "non-dropping-particle" : "", "parse-names" : false, "suffix" : "" }, { "dropping-particle" : "", "family" : "Chang", "given" : "Chenyang", "non-dropping-particle" : "", "parse-names" : false, "suffix" : "" }, { "dropping-particle" : "", "family" : "Pan", "given" : "Wei", "non-dropping-particle" : "", "parse-names" : false, "suffix" : "" }, { "dropping-particle" : "", "family" : "Tang", "given" : "Bo", "non-dropping-particle" : "", "parse-names" : false, "suffix" : "" } ], "container-title" : "Angewandte Chemie International Edition", "id" : "ITEM-5", "issue" : "30", "issued" : { "date-parts" : [ [ "2012", "7", "23" ] ] }, "page" : "7426-7430", "publisher" : "WILEY\u2010VCH Verlag", "title" : "A Multicolor Nanoprobe for Detection and Imaging of Tumor-Related mRNAs in Living Cells", "type" : "article-journal", "volume" : "51" }, "uris" : [ "http://www.mendeley.com/documents/?uuid=c2d14cd2-e27f-31dd-a641-e55fe3fd850f" ] }, { "id" : "ITEM-6", "itemData" : { "DOI" : "10.1039/C5CC10147F", "ISSN" : "1359-7345", "abstract" : "We demonstrate a novel strategy using FRET-based nanoprobes for the simultaneous detection of multiple mRNAs with single wavelength excitation in living cells.", "author" : [ { "dropping-particle" : "", "family" : "Pan", "given" : "Wei", "non-dropping-particle" : "", "parse-names" : false, "suffix" : "" }, { "dropping-particle" : "", "family" : "Li", "given" : "Yanli", "non-dropping-particle" : "", "parse-names" : false, "suffix" : "" }, { "dropping-particle" : "", "family" : "Wang", "given" : "Meimei", "non-dropping-particle" : "", "parse-names" : false, "suffix" : "" }, { "dropping-particle" : "", "family" : "Yang", "given" : "Huijun", "non-dropping-particle" : "", "parse-names" : false, "suffix" : "" }, { "dropping-particle" : "", "family" : "Li", "given" : "Na", "non-dropping-particle" : "", "parse-names" : false, "suffix" : "" }, { "dropping-particle" : "", "family" : "Tang", "given" : "Bo", "non-dropping-particle" : "", "parse-names" : false, "suffix" : "" }, { "dropping-particle" : "", "family" : "Tan", "given" : "W.", "non-dropping-particle" : "", "parse-names" : false, "suffix" : "" }, { "dropping-particle" : "", "family" : "Zhou", "given" : "T. H.", "non-dropping-particle" : "", "parse-names" : false, "suffix" : "" }, { "dropping-particle" : "", "family" : "Lin", "given" : "S. R.", "non-dropping-particle" : "", "parse-names" : false, "suffix" : "" } ], "container-title" : "Chem. Commun.", "id" : "ITEM-6", "issue" : "24", "issued" : { "date-parts" : [ [ "2016" ] ] }, "page" : "4569-4572", "publisher" : "The Royal Society of Chemistry", "title" : "FRET-based nanoprobes for simultaneous monitoring of multiple mRNAs in living cells using single wavelength excitation", "type" : "article-journal", "volume" : "52" }, "uris" : [ "http://www.mendeley.com/documents/?uuid=7c949bcc-1fb1-36c6-92a5-956ac0115c26" ] }, { "id" : "ITEM-7", "itemData" : { "DOI" : "10.1021/acs.analchem.7b00697", "ISSN" : "0003-2700", "abstract" : "The simultaneous imaging and quantification of multiple intracellular microRNAs (miRNAs) are particularly desirable for the early diagnosis of cancers. However, simultaneous direct imaging with absolute quantification of multiple intracellular RNAs remains a great challenge, particularly for miRNAs, which have significantly different expression levels in living cells. We designed dual-signal switchable (DSS) nanoprobes using the fluorescence-Raman signal switch. The intracellular uptake and dynamic behaviors of the probe are monitored by its fluorescence signal. Meanwhile, real-time quantitative detection of multiple miRNAs is made possible by measurements of the surface-enhanced Raman spectroscopy (SERS) ratios. Moreover, the signal 1:n ratio amplification mode only responds to low-abundance miRNA (asymmetric signal amplification mode) for simultaneous visualization and quantitative detection of significantly different levels of miRNAs in living cells. miR-21 and miR-203 were successfully detected in liv...", "author" : [ { "dropping-particle" : "", "family" : "Ye", "given" : "Sujuan", "non-dropping-particle" : "", "parse-names" : false, "suffix" : "" }, { "dropping-particle" : "", "family" : "Li", "given" : "Xiaoxiao", "non-dropping-particle" : "", "parse-names" : false, "suffix" : "" }, { "dropping-particle" : "", "family" : "Wang", "given" : "Menglei", "non-dropping-particle" : "", "parse-names" : false, "suffix" : "" }, { "dropping-particle" : "", "family" : "Tang", "given" : "Bo", "non-dropping-particle" : "", "parse-names" : false, "suffix" : "" } ], "container-title" : "Analytical Chemistry", "id" : "ITEM-7", "issued" : { "date-parts" : [ [ "2017", "4", "11" ] ] }, "page" : "acs.analchem.7b00697", "publisher" : "American Chemical Society", "title" : "Fluorescence and SERS Imaging for the Simultaneous Absolute Quantification of Multiple miRNAs in Living Cells", "type" : "article-journal" }, "uris" : [ "http://www.mendeley.com/documents/?uuid=645f1dd8-805a-3d1e-a023-af7e709cd4db" ] } ], "mendeley" : { "formattedCitation" : "&lt;sup&gt;[18\u201324]&lt;/sup&gt;", "plainTextFormattedCitation" : "[18\u201324]", "previouslyFormattedCitation" : "&lt;sup&gt;[18\u201324]&lt;/sup&gt;"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[18–24]</w:t>
      </w:r>
      <w:r w:rsidR="00234258" w:rsidRPr="00B92A6B">
        <w:rPr>
          <w:b/>
          <w:caps/>
        </w:rPr>
        <w:fldChar w:fldCharType="end"/>
      </w:r>
      <w:r w:rsidRPr="00B92A6B">
        <w:t>. Recently, our group developed this strategy further to transport drugs into cells and release them only in the presence of a specific mRNA signature</w:t>
      </w:r>
      <w:r w:rsidRPr="00B92A6B">
        <w:rPr>
          <w:lang w:eastAsia="ko-KR"/>
        </w:rPr>
        <w:t>.</w:t>
      </w:r>
      <w:r w:rsidR="00234258" w:rsidRPr="00B92A6B">
        <w:rPr>
          <w:b/>
          <w:caps/>
        </w:rPr>
        <w:fldChar w:fldCharType="begin" w:fldLock="1"/>
      </w:r>
      <w:r w:rsidR="003576F0">
        <w:instrText>ADDIN CSL_CITATION { "citationItems" : [ { "id" : "ITEM-1", "itemData" : { "DOI" : "10.1039/C6NR06154K", "ISSN" : "2040-3364", "abstract" : "The design of nanoparticles that can selectively perform multiple roles is of utmost importance for the development of the next generation of nanoparticulate drug delivery systems. So far most research studies are focused on the customization of nanoparticulate carriers to maximize their drug loading, enhance their optical signature for tracking in cells or provide photo-responsive effects for therapeutic purposes. However, a vital requirement of the new generation of drug carriers must be the ability to deliver their payload selectively only to cells of interest rather than the majority of various cells in the vicinity. Here we show for the first time a new design of nanoparticulate drug carriers that can specifically distinguish different cell types based on their mRNA signature. These nanoparticles sense and efficiently kill model tumour cells by the delivery of an anti-cancer drug but retain their payload in cells lacking the specific mRNA target.", "author" : [ { "dropping-particle" : "", "family" : "Heuer-Jungemann", "given" : "Amelie", "non-dropping-particle" : "", "parse-names" : false, "suffix" : "" }, { "dropping-particle" : "", "family" : "El-Sagheer", "given" : "Afaf H.", "non-dropping-particle" : "", "parse-names" : false, "suffix" : "" }, { "dropping-particle" : "", "family" : "Lackie", "given" : "Peter M.", "non-dropping-particle" : "", "parse-names" : false, "suffix" : "" }, { "dropping-particle" : "", "family" : "Brown", "given" : "Tom", "non-dropping-particle" : "", "parse-names" : false, "suffix" : "" }, { "dropping-particle" : "", "family" : "Kanaras", "given" : "Antonios G.", "non-dropping-particle" : "", "parse-names" : false, "suffix" : "" } ], "container-title" : "Nanoscale", "genre" : "JOUR", "id" : "ITEM-1", "issue" : "38", "issued" : { "date-parts" : [ [ "2016" ] ] }, "page" : "16857-16861", "publisher" : "Royal Society of Chemistry", "title" : "Selective killing of cells triggered by their mRNA signature in the presence of smart nanoparticles", "type" : "article-journal", "volume" : "8" }, "uris" : [ "http://www.mendeley.com/documents/?uuid=3deac429-db0f-4f99-8147-cfbe09d0f67c" ] } ], "mendeley" : { "formattedCitation" : "&lt;sup&gt;[25]&lt;/sup&gt;", "plainTextFormattedCitation" : "[25]", "previouslyFormattedCitation" : "&lt;sup&gt;[25]&lt;/sup&gt;"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[25]</w:t>
      </w:r>
      <w:r w:rsidR="00234258" w:rsidRPr="00B92A6B">
        <w:rPr>
          <w:b/>
          <w:caps/>
        </w:rPr>
        <w:fldChar w:fldCharType="end"/>
      </w:r>
      <w:r w:rsidRPr="00B92A6B">
        <w:t xml:space="preserve"> This approach allowed us to selectively sense model tumor cells and trigger the release of drug payloads leading to efficient cell death, whilst other cell types remained unaffected. </w:t>
      </w:r>
    </w:p>
    <w:p w:rsidR="00444DB4" w:rsidRPr="00B92A6B" w:rsidRDefault="00FC2F7A" w:rsidP="003576F0">
      <w:pPr>
        <w:pStyle w:val="TESupportingInfoTitle"/>
      </w:pPr>
      <w:r>
        <w:lastRenderedPageBreak/>
        <w:t xml:space="preserve">  </w:t>
      </w:r>
      <w:r w:rsidR="00AE7443">
        <w:t>Furthermore, the Mirkin</w:t>
      </w:r>
      <w:r w:rsidR="00444DB4" w:rsidRPr="00B92A6B">
        <w:t xml:space="preserve"> showed that oligonucleotide-coated gold nanoparticles were applicable to more complex biological structures, such as skin. They reported that topically applied siRNA-coated AuNPs could be successfully employed for gene regulation.</w:t>
      </w:r>
      <w:r w:rsidR="00234258" w:rsidRPr="00B92A6B">
        <w:fldChar w:fldCharType="begin" w:fldLock="1"/>
      </w:r>
      <w:r w:rsidR="003576F0">
        <w:instrText>ADDIN CSL_CITATION { "citationItems" : [ { "id" : "ITEM-1", "itemData" : { "DOI" : "10.1073/pnas.1118425109", "ISBN" : "1091-6490 (Electronic)\\r0027-8424 (Linking)", "ISSN" : "0027-8424", "PMID" : "22773805", "abstract" : "Topical application of nucleic acids offers many potential therapeutic advantages for suppressing genes in the skin, and potentially for systemic gene delivery. However, the epidermal barrier typically precludes entry of gene-suppressing therapy unless the barrier is disrupted. We now show that spherical nucleic acid nanoparticle conjugates (SNA-NCs), gold cores surrounded by a dense shell of highly oriented, covalently immobilized siRNA, freely penetrate almost 100% of keratinocytes in vitro, mouse skin, and human epidermis within hours after application. Significantly, these structures can be delivered in a commercial moisturizer or phosphate-buffered saline, and do not require barrier disruption or transfection agents, such as liposomes, peptides, or viruses. SNA-NCs targeting epidermal growth factor receptor (EGFR), an important gene for epidermal homeostasis, are &gt; 100-fold more potent and suppress longer than siRNA delivered with commercial lipid agents in cultured keratinocytes. Topical delivery of 1.5 uM EGFR siRNA (50 nM SNA-NCs) for 3 wk to hairless mouse skin almost completely abolishes EGFR expression, suppresses downstream ERK phosphorylation, and reduces epidermal thickness by almost 40%. Similarly, EGFR mRNA in human skin equivalents is reduced by 52% after 60 h of treatment with 25 nM EGFR SNA-NCs. Treated skin shows no clinical or histological evidence of toxicity. No cytokine activation in mouse blood or tissue samples is observed, and after 3 wk of topical skin treatment, the SNA structures are virtually undetectable in internal organs. SNA conjugates may be promising agents for personalized, topically delivered gene therapy of cutaneous tumors, skin inflammation, and dominant negative genetic skin disorders.", "author" : [ { "dropping-particle" : "", "family" : "Zheng", "given" : "D.", "non-dropping-particle" : "", "parse-names" : false, "suffix" : "" }, { "dropping-particle" : "", "family" : "Giljohann", "given" : "D. a.", "non-dropping-particle" : "", "parse-names" : false, "suffix" : "" }, { "dropping-particle" : "", "family" : "Chen", "given" : "D. L.", "non-dropping-particle" : "", "parse-names" : false, "suffix" : "" }, { "dropping-particle" : "", "family" : "Massich", "given" : "M. D.", "non-dropping-particle" : "", "parse-names" : false, "suffix" : "" }, { "dropping-particle" : "", "family" : "Wang", "given" : "X.-Q.", "non-dropping-particle" : "", "parse-names" : false, "suffix" : "" }, { "dropping-particle" : "", "family" : "Iordanov", "given" : "H.", "non-dropping-particle" : "", "parse-names" : false, "suffix" : "" }, { "dropping-particle" : "", "family" : "Mirkin", "given" : "C. a.", "non-dropping-particle" : "", "parse-names" : false, "suffix" : "" }, { "dropping-particle" : "", "family" : "Paller", "given" : "a. S.", "non-dropping-particle" : "", "parse-names" : false, "suffix" : "" } ], "container-title" : "Proceedings of the National Academy of Sciences", "id" : "ITEM-1", "issue" : "30", "issued" : { "date-parts" : [ [ "2012" ] ] }, "page" : "11975-11980", "title" : "Topical delivery of siRNA-based spherical nucleic acid nanoparticle conjugates for gene regulation", "type" : "article-journal", "volume" : "109" }, "uris" : [ "http://www.mendeley.com/documents/?uuid=20c2c49f-512b-452f-a8b4-9defb3728736" ] }, { "id" : "ITEM-2", "itemData" : { "DOI" : "10.1073/pnas.1505951112", "ISSN" : "1091-6490", "PMID" : "25902507", "abstract" : "Spherical nucleic acid (SNA) gold nanoparticle conjugates (13-nm-diameter gold cores functionalized with densely packed and highly oriented nucleic acids) dispersed in Aquaphor have been shown to penetrate the epidermal barrier of both intact mouse and human skin, enter keratinocytes, and efficiently down-regulate gene targets. ganglioside-monosialic acid 3 synthase (GM3S) is a known target that is overexpressed in diabetic mice and responsible for causing insulin resistance and impeding wound healing. GM3S SNAs increase keratinocyte migration and proliferation as well as insulin and insulin-like growth factor-1 (IGF1) receptor activation under both normo- and hyperglycemic conditions. The topical application of GM3S SNAs (50 nM) to splinted 6-mm-diameter full-thickness wounds in diet-induced obese diabetic mice decreases local GM3S expression by &gt;80% at the wound edge through an siRNA pathway and fully heals wounds clinically and histologically within 12 d, whereas control-treated wounds are only 50% closed. Granulation tissue area, vascularity, and IGF1 and EGF receptor phosphorylation are increased in GM3S SNA-treated wounds. These data capitalize on the unique ability of SNAs to naturally penetrate the skin and enter keratinocytes without the need for transfection agents. Moreover, the data further validate GM3 as a mediator of the delayed wound healing in type 2 diabetes and support regional GM3 depletion as a promising therapeutic direction.", "author" : [ { "dropping-particle" : "", "family" : "Randeria", "given" : "Pratik S", "non-dropping-particle" : "", "parse-names" : false, "suffix" : "" }, { "dropping-particle" : "", "family" : "Seeger", "given" : "Mark A", "non-dropping-particle" : "", "parse-names" : false, "suffix" : "" }, { "dropping-particle" : "", "family" : "Wang", "given" : "Xiao-Qi", "non-dropping-particle" : "", "parse-names" : false, "suffix" : "" }, { "dropping-particle" : "", "family" : "Wilson", "given" : "Heather", "non-dropping-particle" : "", "parse-names" : false, "suffix" : "" }, { "dropping-particle" : "", "family" : "Shipp", "given" : "Desmond", "non-dropping-particle" : "", "parse-names" : false, "suffix" : "" }, { "dropping-particle" : "", "family" : "Mirkin", "given" : "Chad A", "non-dropping-particle" : "", "parse-names" : false, "suffix" : "" }, { "dropping-particle" : "", "family" : "Paller", "given" : "Amy S", "non-dropping-particle" : "", "parse-names" : false, "suffix" : "" } ], "container-title" : "Proceedings of the National Academy of Sciences of the United States of America", "id" : "ITEM-2", "issue" : "18", "issued" : { "date-parts" : [ [ "2015" ] ] }, "page" : "5573-8", "title" : "siRNA-based spherical nucleic acids reverse impaired wound healing in diabetic mice by ganglioside GM3 synthase knockdown.", "type" : "article-journal", "volume" : "112" }, "uris" : [ "http://www.mendeley.com/documents/?uuid=3f16f896-4137-4619-a281-faee6a042d3f" ] } ], "mendeley" : { "formattedCitation" : "&lt;sup&gt;[26,27]&lt;/sup&gt;", "plainTextFormattedCitation" : "[26,27]", "previouslyFormattedCitation" : "&lt;sup&gt;[26,27]&lt;/sup&gt;" }, "properties" : {  }, "schema" : "https://github.com/citation-style-language/schema/raw/master/csl-citation.json" }</w:instrText>
      </w:r>
      <w:r w:rsidR="00234258" w:rsidRPr="00B92A6B">
        <w:fldChar w:fldCharType="separate"/>
      </w:r>
      <w:r w:rsidR="003576F0" w:rsidRPr="003576F0">
        <w:rPr>
          <w:noProof/>
          <w:vertAlign w:val="superscript"/>
        </w:rPr>
        <w:t>[26,27]</w:t>
      </w:r>
      <w:r w:rsidR="00234258" w:rsidRPr="00B92A6B">
        <w:fldChar w:fldCharType="end"/>
      </w:r>
      <w:r w:rsidR="00444DB4" w:rsidRPr="00B92A6B">
        <w:t xml:space="preserve"> Moreover, our group amongst others have systematically studied the interactions of functionalized gold nanoparticles with healthy and damaged skin tissue and found that size, surface charge as well as functional ligands on nanoparticles play key roles in penetration and interactions of nanoparticles with skin.</w:t>
      </w:r>
      <w:r w:rsidR="00234258" w:rsidRPr="00B92A6B">
        <w:fldChar w:fldCharType="begin" w:fldLock="1"/>
      </w:r>
      <w:r w:rsidR="003576F0">
        <w:instrText>ADDIN CSL_CITATION { "citationItems" : [ { "id" : "ITEM-1", "itemData" : { "DOI" : "10.1002/smll.201401913", "ISBN" : "6846442425360", "ISSN" : "16136829", "PMID" : "25288531", "abstract" : "The interactions between skin and colloidal gold nanoparticles of different physicochemical characteristics are investigated. By systematically varying the charge, shape, and functionality of gold nanoparticles, the nanoparticle penetration through the different skin layers is assessed. The penetration is evaluated both qualitatively and quantitatively using a variety of complementary techniques. Inductively coupled plasma optical emission spectrometry (ICP-OES) is used to quantify the total number of particles which penetrate the skin structure. Transmission electron microscopy (TEM) and two photon photoluminescence microscopy (TPPL) on skin cross sections provide a direct visualization of nanoparticle migration within the different skin substructures. These studies reveal that gold nanoparticles functionalized with cell penetrating peptides (CPPs) TAT and R7 are found in the skin in larger quantities than polyethylene glycol-functionalized nanoparticles, and are able to enter deep into the skin structure. The systematic studies presented in this work may be of strong interest for developments in transdermal administration of drugs and therapy.", "author" : [ { "dropping-particle" : "", "family" : "Fernandes", "given" : "Rute", "non-dropping-particle" : "", "parse-names" : false, "suffix" : "" }, { "dropping-particle" : "", "family" : "Smyth", "given" : "Neil R.", "non-dropping-particle" : "", "parse-names" : false, "suffix" : "" }, { "dropping-particle" : "", "family" : "Muskens", "given" : "Otto L.", "non-dropping-particle" : "", "parse-names" : false, "suffix" : "" }, { "dropping-particle" : "", "family" : "Nitti", "given" : "Simone", "non-dropping-particle" : "", "parse-names" : false, "suffix" : "" }, { "dropping-particle" : "", "family" : "Heuer-Jungemann", "given" : "Amelie", "non-dropping-particle" : "", "parse-names" : false, "suffix" : "" }, { "dropping-particle" : "", "family" : "Ardern-Jones", "given" : "Michael R.", "non-dropping-particle" : "", "parse-names" : false, "suffix" : "" }, { "dropping-particle" : "", "family" : "Kanaras", "given" : "Antonios G.", "non-dropping-particle" : "", "parse-names" : false, "suffix" : "" } ], "container-title" : "Small", "id" : "ITEM-1", "issue" : "6", "issued" : { "date-parts" : [ [ "2015" ] ] }, "page" : "713-721", "title" : "Interactions of skin with gold nanoparticles of different surface charge, shape, and functionality", "type" : "article-journal", "volume" : "11" }, "uris" : [ "http://www.mendeley.com/documents/?uuid=c08a6862-2a45-4d95-b9b3-1bb895abc305" ] }, { "id" : "ITEM-2", "itemData" : { "DOI" : "10.1038/srep45292", "ISSN" : "2045-2322", "PMID" : "28349970", "abstract" : "Molecular level understanding of permeation of nanoparticles through human skin establishes the basis for development of novel transdermal drug delivery systems and design and formulation of cosmetics. Recent experiments suggest that surface coated nano-sized gold nanoparticles (AuNPs) can penetrate the rat and human skin. However, the mechanisms by which these AuNPs penetrate are not well understood. In this study, we have carried out coarse grained molecular dynamics simulations to explore the permeation of dodecanethiol coated neutral hydrophobic AuNPs of different sizes (2-5\u2009nm) and surface charges (cationic and anionic) through the model skin lipid membrane. The results indicate that the neutral hydrophobic AuNPs disrupted the bilayer and entered in it with in ~200\u2009ns, while charged AuNPs were adsorbed on the bilayer headgroup. The permeation free energy calculation revealed that at the head group of the bilayer, a very small barrier existed for neutral hydrophobic AuNP while a free energy minimum was observed for charged AuNPs. The permeability was maximum for neutral 2\u2009nm gold nanoparticle (AuNP) and minimum for 3\u2009nm cationic AuNP. The obtained results are aligned with recent experimental findings. This study would be helpful in designing customized nanoparticles for cosmetic and transdermal drug delivery application.", "author" : [ { "dropping-particle" : "", "family" : "Gupta", "given" : "Rakesh", "non-dropping-particle" : "", "parse-names" : false, "suffix" : "" }, { "dropping-particle" : "", "family" : "Rai", "given" : "Beena", "non-dropping-particle" : "", "parse-names" : false, "suffix" : "" } ], "container-title" : "Scientific Reports", "id" : "ITEM-2", "issued" : { "date-parts" : [ [ "2017" ] ] }, "page" : "45292", "title" : "Effect of Size and Surface Charge of Gold Nanoparticles on their Skin Permeability: A Molecular Dynamics Study", "type" : "article-journal", "volume" : "7" }, "uris" : [ "http://www.mendeley.com/documents/?uuid=e09195cb-fb84-4512-bd12-a5876bbc0bd1" ] } ], "mendeley" : { "formattedCitation" : "&lt;sup&gt;[28,29]&lt;/sup&gt;", "plainTextFormattedCitation" : "[28,29]", "previouslyFormattedCitation" : "&lt;sup&gt;[28,29]&lt;/sup&gt;" }, "properties" : {  }, "schema" : "https://github.com/citation-style-language/schema/raw/master/csl-citation.json" }</w:instrText>
      </w:r>
      <w:r w:rsidR="00234258" w:rsidRPr="00B92A6B">
        <w:fldChar w:fldCharType="separate"/>
      </w:r>
      <w:r w:rsidR="003576F0" w:rsidRPr="003576F0">
        <w:rPr>
          <w:noProof/>
          <w:vertAlign w:val="superscript"/>
        </w:rPr>
        <w:t>[28,29]</w:t>
      </w:r>
      <w:r w:rsidR="00234258" w:rsidRPr="00B92A6B">
        <w:fldChar w:fldCharType="end"/>
      </w:r>
      <w:r w:rsidR="00444DB4" w:rsidRPr="00B92A6B">
        <w:t xml:space="preserve"> </w:t>
      </w:r>
    </w:p>
    <w:p w:rsidR="00444DB4" w:rsidRPr="00B92A6B" w:rsidRDefault="00FC2F7A" w:rsidP="003576F0">
      <w:pPr>
        <w:pStyle w:val="TESupportingInfoTitle"/>
      </w:pPr>
      <w:r>
        <w:t xml:space="preserve">  </w:t>
      </w:r>
      <w:r w:rsidR="00444DB4" w:rsidRPr="00B92A6B">
        <w:t>The wound healing process in skin is a complicated cascade involving a plethora of biochemical changes. One protein heavily involved in this process is Vimentin, an intermediate filament protein, highly expressed at the site of a skin injury. During the wound healing process stationary epithelial cells transform into highly motile mesenchymal cells in a process known as epithelial to mesenchymal transition (EMT). Here we show that nanoprobes can be utilized to monitor the onset of Vimentin mRNA expression, inferring the epithelial to mesenchymal cell phenotype change during the wound healing process.</w:t>
      </w:r>
      <w:r w:rsidR="00234258" w:rsidRPr="00B92A6B">
        <w:rPr>
          <w:b/>
          <w:caps/>
        </w:rPr>
        <w:fldChar w:fldCharType="begin" w:fldLock="1"/>
      </w:r>
      <w:r w:rsidR="003576F0">
        <w:instrText>ADDIN CSL_CITATION { "citationItems" : [ { "id" : "ITEM-1", "itemData" : { "DOI" : "10.1038/onc.2010.509", "ISBN" : "1476-5594 (Electronic)\\r0950-9232 (Linking)", "ISSN" : "1476-5594", "PMID" : "21057535", "abstract" : "Epithelial-to-mesenchymal transition (EMT) is a critical event in the progression toward cancer metastasis. The intermediate filament protein vimentin is an important marker of EMT and a requisite regulator of mesenchymal cell migration. However, it is not known how vimentin functionally contributes to cancer cell invasion. Here, we report that ectopic expression of oncogenic H-Ras-V12G and Slug induces vimentin expression and migration in pre-malignant breast epithelial cells. Conversely, vimentin expression is necessary for Slug- or H-Ras-V12G-induced EMT-associated migration. Furthermore, silencing of vimentin in breast epithelial cells results in specific changes in invasiveness-related gene expression including upregulation of RAB25 (small GTPase Rab25) and downregulation of AXL (receptor tyrosine kinase Axl), PLAU (plasminogen activator, urokinase) and ITGB4 (integrin \u03b24-subunit). Importantly, gene expression profiling analyses reveal that vimentin expression correlates positively/negatively with these genes also in multiple breast cancer cell lines and breast cancer patient samples. Focusing on the tyrosine kinase Axl, we show that induction of vimentin by EMT is associated with upregulation of Axl expression and that Axl enhances the migratory activity of pre-malignant breast epithelial cells. Using null and knock-down cells and overexpression models, we also show that regulation of breast cancer cell migration in two- and three-dimensional matrices by vimentin is Axl- dependent and that Axl functionally contributes to lung extravasation of breast cancer cells in mice. In conclusion, our data show that vimentin functionally contributes to EMT and is required for induction of Axl expression. Moreover, these results provide a molecular explanation for vimentin-dependent cancer cell migration during EMT by identifying Axl as a key proximal component in this process.", "author" : [ { "dropping-particle" : "", "family" : "Vuoriluoto", "given" : "K", "non-dropping-particle" : "", "parse-names" : false, "suffix" : "" }, { "dropping-particle" : "", "family" : "Haugen", "given" : "H", "non-dropping-particle" : "", "parse-names" : false, "suffix" : "" }, { "dropping-particle" : "", "family" : "Kiviluoto", "given" : "S", "non-dropping-particle" : "", "parse-names" : false, "suffix" : "" }, { "dropping-particle" : "", "family" : "Mpindi", "given" : "J-P", "non-dropping-particle" : "", "parse-names" : false, "suffix" : "" }, { "dropping-particle" : "", "family" : "Nevo", "given" : "J", "non-dropping-particle" : "", "parse-names" : false, "suffix" : "" }, { "dropping-particle" : "", "family" : "Gjerdrum", "given" : "C", "non-dropping-particle" : "", "parse-names" : false, "suffix" : "" }, { "dropping-particle" : "", "family" : "Tiron", "given" : "C", "non-dropping-particle" : "", "parse-names" : false, "suffix" : "" }, { "dropping-particle" : "", "family" : "Lorens", "given" : "J B", "non-dropping-particle" : "", "parse-names" : false, "suffix" : "" }, { "dropping-particle" : "", "family" : "Ivaska", "given" : "J", "non-dropping-particle" : "", "parse-names" : false, "suffix" : "" } ], "container-title" : "Oncogene", "id" : "ITEM-1", "issue" : "12", "issued" : { "date-parts" : [ [ "2011" ] ] }, "page" : "1436-48", "title" : "Vimentin regulates EMT induction by Slug and oncogenic H-Ras and migration by governing Axl expression in breast cancer.", "type" : "article-journal", "volume" : "30" }, "uris" : [ "http://www.mendeley.com/documents/?uuid=b3d4e048-2d14-4a07-850b-bd402754e389" ] } ], "mendeley" : { "formattedCitation" : "&lt;sup&gt;[30]&lt;/sup&gt;", "plainTextFormattedCitation" : "[30]", "previouslyFormattedCitation" : "&lt;sup&gt;[30]&lt;/sup&gt;" }, "properties" : {  }, "schema" : "https://github.com/citation-style-language/schema/raw/master/csl-citation.json" }</w:instrText>
      </w:r>
      <w:r w:rsidR="00234258" w:rsidRPr="00B92A6B">
        <w:rPr>
          <w:b/>
          <w:caps/>
        </w:rPr>
        <w:fldChar w:fldCharType="separate"/>
      </w:r>
      <w:r w:rsidR="003576F0" w:rsidRPr="003576F0">
        <w:rPr>
          <w:noProof/>
          <w:vertAlign w:val="superscript"/>
        </w:rPr>
        <w:t>[30]</w:t>
      </w:r>
      <w:r w:rsidR="00234258" w:rsidRPr="00B92A6B">
        <w:rPr>
          <w:b/>
          <w:caps/>
        </w:rPr>
        <w:fldChar w:fldCharType="end"/>
      </w:r>
      <w:r w:rsidR="00444DB4" w:rsidRPr="00B92A6B">
        <w:rPr>
          <w:lang w:eastAsia="ko-KR"/>
        </w:rPr>
        <w:t xml:space="preserve"> </w:t>
      </w:r>
      <w:r w:rsidR="00444DB4" w:rsidRPr="00B92A6B">
        <w:t xml:space="preserve">Expression of Vimentin mRNA in cell scratch assays and thin sections of fixed tissue were observed using conventional fluorescence microscopy. </w:t>
      </w:r>
      <w:r w:rsidR="00B176BF" w:rsidRPr="00B92A6B">
        <w:t xml:space="preserve">Three-dimensional distribution in </w:t>
      </w:r>
      <w:r w:rsidR="00B176BF" w:rsidRPr="00FC2F7A">
        <w:rPr>
          <w:i/>
          <w:iCs/>
        </w:rPr>
        <w:t>ex vivo</w:t>
      </w:r>
      <w:r w:rsidR="00B176BF" w:rsidRPr="00B92A6B">
        <w:t xml:space="preserve"> whole tissue was monitored using light sheet microscopy. Moreover, the presence of Vimentin mRNA was observed in a time lapse experiment, providing information of the time scale of the epithelial to mesenchymal transition at the edges of an open wound.</w:t>
      </w:r>
    </w:p>
    <w:p w:rsidR="00B176BF" w:rsidRPr="00B92A6B" w:rsidRDefault="00B176BF" w:rsidP="00FC2F7A">
      <w:pPr>
        <w:pStyle w:val="TESupportingInfoTitle"/>
      </w:pPr>
    </w:p>
    <w:p w:rsidR="00444DB4" w:rsidRPr="00FC2F7A" w:rsidRDefault="00444DB4" w:rsidP="00FC2F7A">
      <w:pPr>
        <w:pStyle w:val="TESupportingInfoTitle"/>
        <w:rPr>
          <w:b/>
          <w:bCs/>
          <w:caps/>
        </w:rPr>
      </w:pPr>
      <w:r w:rsidRPr="00FC2F7A">
        <w:rPr>
          <w:b/>
          <w:bCs/>
        </w:rPr>
        <w:t>2. Results and Discussion</w:t>
      </w:r>
    </w:p>
    <w:p w:rsidR="00444DB4" w:rsidRPr="00FC2F7A" w:rsidRDefault="00444DB4" w:rsidP="00FC2F7A">
      <w:pPr>
        <w:pStyle w:val="TESupportingInfoTitle"/>
        <w:rPr>
          <w:b/>
          <w:bCs/>
          <w:caps/>
        </w:rPr>
      </w:pPr>
      <w:r w:rsidRPr="00FC2F7A">
        <w:rPr>
          <w:b/>
          <w:bCs/>
        </w:rPr>
        <w:t>Nanoprobe Design</w:t>
      </w:r>
    </w:p>
    <w:p w:rsidR="00444DB4" w:rsidRDefault="00FC2F7A" w:rsidP="006137DD">
      <w:pPr>
        <w:pStyle w:val="TESupportingInfoTitle"/>
      </w:pPr>
      <w:r>
        <w:t xml:space="preserve">  </w:t>
      </w:r>
      <w:r w:rsidR="00444DB4" w:rsidRPr="00B92A6B">
        <w:t xml:space="preserve">The DNA-coated </w:t>
      </w:r>
      <w:r w:rsidR="00444DB4" w:rsidRPr="00B92A6B">
        <w:rPr>
          <w:lang w:eastAsia="ko-KR"/>
        </w:rPr>
        <w:t xml:space="preserve">gold </w:t>
      </w:r>
      <w:r w:rsidR="00444DB4" w:rsidRPr="00B92A6B">
        <w:t>nanoparticles used in this study were synthesi</w:t>
      </w:r>
      <w:r w:rsidR="00444DB4" w:rsidRPr="00B92A6B">
        <w:rPr>
          <w:lang w:eastAsia="ko-KR"/>
        </w:rPr>
        <w:t>z</w:t>
      </w:r>
      <w:r w:rsidR="00444DB4" w:rsidRPr="00B92A6B">
        <w:t>ed as described previously (see Experimental Section for more details).</w:t>
      </w:r>
      <w:r w:rsidR="00234258" w:rsidRPr="00B92A6B">
        <w:rPr>
          <w:b/>
          <w:caps/>
        </w:rPr>
        <w:fldChar w:fldCharType="begin" w:fldLock="1"/>
      </w:r>
      <w:r w:rsidR="003114A4">
        <w:rPr>
          <w:b/>
          <w:caps/>
        </w:rPr>
        <w:instrText>ADDIN CSL_CITATION { "citationItems" : [ { "id" : "ITEM-1", "itemData" : { "DOI" : "10.1021/ja0776529", "ISBN" : "0002-7863", "ISSN" : "00027863", "PMID" : "18034495", "abstract" : "We demonstrate that novel oligonucleotide-modified gold nanoparticle probes hybridized to fluorophore-labeled complements can be used as both transfection agents and cellular ?nano-flares? for detecting mRNA in living cells. Nano-flares take advantage of the highly efficient fluorescence quenching properties of gold, cellular uptake of oligonucleotide nanoparticle conjugates without the use of transfection agents, and the enzymatic stability of such conjugates, thus overcoming many of the challenges to creating sensitive and effective intracellular probes. Nano-flares exhibit high signaling, have low background fluorescence, and are sensitive to changes in the number of RNA transcripts present in cells.\\nWe demonstrate that novel oligonucleotide-modified gold nanoparticle probes hybridized to fluorophore-labeled complements can be used as both transfection agents and cellular ?nano-flares? for detecting mRNA in living cells. Nano-flares take advantage of the highly efficient fluorescence quenching properties of gold, cellular uptake of oligonucleotide nanoparticle conjugates without the use of transfection agents, and the enzymatic stability of such conjugates, thus overcoming many of the challenges to creating sensitive and effective intracellular probes. Nano-flares exhibit high signaling, have low background fluorescence, and are sensitive to changes in the number of RNA transcripts present in cells.", "author" : [ { "dropping-particle" : "", "family" : "Seferos", "given" : "Dwight S.", "non-dropping-particle" : "", "parse-names" : false, "suffix" : "" }, { "dropping-particle" : "", "family" : "Giljohann", "given" : "David A.", "non-dropping-particle" : "", "parse-names" : false, "suffix" : "" }, { "dropping-particle" : "", "family" : "Hill", "given" : "Haley D.", "non-dropping-particle" : "", "parse-names" : false, "suffix" : "" }, { "dropping-particle" : "", "family" : "Prigodich", "given" : "Andrew E.", "non-dropping-particle" : "", "parse-names" : false, "suffix" : "" }, { "dropping-particle" : "", "family" : "Mirkin", "given" : "Chad A.", "non-dropping-particle" : "", "parse-names" : false, "suffix" : "" } ], "container-title" : "Journal of the American Chemical Society", "id" : "ITEM-1", "issue" : "50", "issued" : { "date-parts" : [ [ "2007" ] ] }, "page" : "15477-15479", "title" : "Nano-flares: Probes for transfection and mRNA detection in living cells", "type" : "article-journal", "volume" : "129" }, "uris" : [ "http://www.mendeley.com/documents/?uuid=e20f3197-2fc2-4c5d-8cb0-7b6920852cdf" ] }, { "id" : "ITEM-2", "itemData" : { "DOI" : "10.1021/ac202648w", "ISBN" : "0003-2700", "ISSN" : "00032700", "PMID" : "22288418", "abstract" : "We report the development of the multiplexed nanoflare, a nanoparticle agent that is capable of simultaneously detecting two distinct mRNA targets inside a living cell. These probes are spherical nucleic acid (SNA) gold nanoparticle (Au NP) conjugates consisting of densely packed and highly oriented oligonucleotide sequences, many of which are hybridized to a reporter with a distinct fluorophore label and each complementary to its corresponding mRNA target. When multiplexed nanoflares are exposed to their targets, they provide a sequence specific signal in both extra- and intracellular environments. Importantly, one of the targets can be used as an internal control, improving detection by accounting for cell-to-cell variations in nanoparticle uptake and background. Compared to single-component nanoflares, these structures allow one to determine more precisely relative mRNA levels in individual cells, improving cell sorting and quantification.", "author" : [ { "dropping-particle" : "", "family" : "Prigodich", "given" : "Andrew E.", "non-dropping-particle" : "", "parse-names" : false, "suffix" : "" }, { "dropping-particle" : "", "family" : "Randeria", "given" : "Pratik S.", "non-dropping-particle" : "", "parse-names" : false, "suffix" : "" }, { "dropping-particle" : "", "family" : "Briley", "given" : "William E.", "non-dropping-particle" : "", "parse-names" : false, "suffix" : "" }, { "dropping-particle" : "", "family" : "Kim", "given" : "Nathaniel J.", "non-dropping-particle" : "", "parse-names" : false, "suffix" : "" }, { "dropping-particle" : "", "family" : "Daniel", "given" : "Weston L.", "non-dropping-particle" : "", "parse-names" : false, "suffix" : "" }, { "dropping-particle" : "", "family" : "Giljohann", "given" : "David A.", "non-dropping-particle" : "", "parse-names" : false, "suffix" : "" }, { "dropping-particle" : "", "family" : "Mirkin", "given" : "Chad A.", "non-dropping-particle" : "", "parse-names" : false, "suffix" : "" } ], "container-title" : "Analytical Chemistry", "id" : "ITEM-2", "issue" : "4", "issued" : { "date-parts" : [ [ "2012" ] ] }, "page" : "2062-2066", "title" : "Multiplexed nanoflares: MRNA detection in live cells", "type" : "article-journal", "volume" : "84" }, "uris" : [ "http://www.mendeley.com/documents/?uuid=a6b896c7-ccb4-4e41-9044-3f69f2dfb614" ] }, { "id" : "ITEM-3", "itemData" : { "DOI" : "10.1039/C6NR06154K", "ISSN" : "2040-3364", "abstract" : "The design of nanoparticles that can selectively perform multiple roles is of utmost importance for the development of the next generation of nanoparticulate drug delivery systems. So far most research studies are focused on the customization of nanoparticulate carriers to maximize their drug loading, enhance their optical signature for tracking in cells or provide photo-responsive effects for therapeutic purposes. However, a vital requirement of the new generation of drug carriers must be the ability to deliver their payload selectively only to cells of interest rather than the majority of various cells in the vicinity. Here we show for the first time a new design of nanoparticulate drug carriers that can specifically distinguish different cell types based on their mRNA signature. These nanoparticles sense and efficiently kill model tumour cells by the delivery of an anti-cancer drug but retain their payload in cells lacking the specific mRNA target.", "author" : [ { "dropping-particle" : "", "family" : "Heuer-Jungemann", "given" : "Amelie", "non-dropping-particle" : "", "parse-names" : false, "suffix" : "" }, { "dropping-particle" : "", "family" : "El-Sagheer", "given" : "Afaf H.", "non-dropping-particle" : "", "parse-names" : false, "suffix" : "" }, { "dropping-particle" : "", "family" : "Lackie", "given" : "Peter M.", "non-dropping-particle" : "", "parse-names" : false, "suffix" : "" }, { "dropping-particle" : "", "family" : "Brown", "given" : "Tom", "non-dropping-particle" : "", "parse-names" : false, "suffix" : "" }, { "dropping-particle" : "", "family" : "Kanaras", "given" : "Antonios G.", "non-dropping-particle" : "", "parse-names" : false, "suffix" : "" } ], "container-title" : "Nanoscale", "genre" : "JOUR", "id" : "ITEM-3", "issue" : "38", "issued" : { "date-parts" : [ [ "2016" ] ] }, "page" : "16857-16861", "publisher" : "Royal Society of Chemistry", "title" : "Selective killing of cells triggered by their mRNA signature in the presence of smart nanoparticles", "type" : "article-journal", "volume" : "8" }, "uris" : [ "http://www.mendeley.com/documents/?uuid=3deac429-db0f-4f99-8147-cfbe09d0f67c" ] } ], "mendeley" : { "formattedCitation" : "&lt;sup&gt;[18,20,25]&lt;/sup&gt;", "plainTextFormattedCitation" : "[18,20,25]", "previouslyFormattedCitation" : "&lt;sup&gt;[18,20,25]&lt;/sup&gt;" }, "properties" : {  }, "schema" : "https://github.com/citation-style-language/schema/raw/master/csl-citation.json" }</w:instrText>
      </w:r>
      <w:r w:rsidR="00234258" w:rsidRPr="00B92A6B">
        <w:rPr>
          <w:b/>
          <w:caps/>
        </w:rPr>
        <w:fldChar w:fldCharType="separate"/>
      </w:r>
      <w:r w:rsidR="003576F0" w:rsidRPr="003114A4">
        <w:rPr>
          <w:noProof/>
          <w:vertAlign w:val="superscript"/>
        </w:rPr>
        <w:t>[18,20,25]</w:t>
      </w:r>
      <w:r w:rsidR="00234258" w:rsidRPr="00B92A6B">
        <w:rPr>
          <w:b/>
          <w:caps/>
        </w:rPr>
        <w:fldChar w:fldCharType="end"/>
      </w:r>
      <w:r w:rsidR="00444DB4" w:rsidRPr="00B92A6B">
        <w:t xml:space="preserve"> The principle of these probes is based on the replacement of so-called “flare” oligonucleotides hybridized to DNA-functionalized gold nanoparticles by</w:t>
      </w:r>
      <w:r w:rsidR="00444DB4" w:rsidRPr="00B92A6B">
        <w:rPr>
          <w:lang w:eastAsia="ko-KR"/>
        </w:rPr>
        <w:t xml:space="preserve"> </w:t>
      </w:r>
      <w:r w:rsidR="00444DB4" w:rsidRPr="00B92A6B">
        <w:t>specific mRNAs</w:t>
      </w:r>
      <w:r w:rsidR="00444DB4" w:rsidRPr="00B92A6B">
        <w:rPr>
          <w:lang w:eastAsia="ko-KR"/>
        </w:rPr>
        <w:t xml:space="preserve"> – in this case Vimentin mRNA. This displacement can be o</w:t>
      </w:r>
      <w:r w:rsidR="00444DB4" w:rsidRPr="00B92A6B">
        <w:t xml:space="preserve">bserved by the onset of a </w:t>
      </w:r>
      <w:r w:rsidR="002B25DD">
        <w:t xml:space="preserve">signal from a </w:t>
      </w:r>
      <w:r w:rsidR="002B25DD" w:rsidRPr="00B92A6B">
        <w:t>fluorescen</w:t>
      </w:r>
      <w:r w:rsidR="002B25DD">
        <w:t>t</w:t>
      </w:r>
      <w:r w:rsidR="002B25DD" w:rsidRPr="00B92A6B">
        <w:t xml:space="preserve"> </w:t>
      </w:r>
      <w:r w:rsidR="00444DB4" w:rsidRPr="00B92A6B">
        <w:t>label attached to the displaced flare strands (</w:t>
      </w:r>
      <w:r w:rsidR="002B25DD">
        <w:t xml:space="preserve">on state, </w:t>
      </w:r>
      <w:r w:rsidR="00444DB4" w:rsidRPr="00B92A6B">
        <w:t xml:space="preserve">see </w:t>
      </w:r>
      <w:r w:rsidR="00444DB4" w:rsidRPr="00B92A6B">
        <w:rPr>
          <w:b/>
          <w:bCs/>
        </w:rPr>
        <w:t>Scheme 1</w:t>
      </w:r>
      <w:r w:rsidR="00444DB4" w:rsidRPr="00B92A6B">
        <w:t>, and figures S1A and S1B)</w:t>
      </w:r>
      <w:r w:rsidR="00444DB4" w:rsidRPr="00B92A6B">
        <w:rPr>
          <w:lang w:eastAsia="ko-KR"/>
        </w:rPr>
        <w:t xml:space="preserve">. The sense strands to which the flare strands are hybridized bind the target mRNA with high affinity. The incorporation of a second fluorescent label on the sense strand serves as a self-reporting mechanism in case of degradation and thus ensures the avoidance of non-specific fluorescence signal. </w:t>
      </w:r>
      <w:r w:rsidR="00444DB4" w:rsidRPr="00B92A6B">
        <w:t xml:space="preserve">The close proximity </w:t>
      </w:r>
      <w:r w:rsidR="00444DB4" w:rsidRPr="00B92A6B">
        <w:rPr>
          <w:lang w:eastAsia="ko-KR"/>
        </w:rPr>
        <w:t xml:space="preserve">of both dyes </w:t>
      </w:r>
      <w:r w:rsidR="00444DB4" w:rsidRPr="00B92A6B">
        <w:t xml:space="preserve">to the gold core quenches the fluorescence from both the sense and the flare strand dyes while adjacent to the nanoparticle (off state). </w:t>
      </w:r>
    </w:p>
    <w:p w:rsidR="006137DD" w:rsidRDefault="006137DD" w:rsidP="006137DD">
      <w:pPr>
        <w:pStyle w:val="TESupportingInfoTitle"/>
      </w:pPr>
    </w:p>
    <w:p w:rsidR="006137DD" w:rsidRPr="006137DD" w:rsidRDefault="006137DD" w:rsidP="006137DD">
      <w:pPr>
        <w:pStyle w:val="TESupportingInfoTitle"/>
        <w:rPr>
          <w:lang w:eastAsia="ko-KR"/>
        </w:rPr>
      </w:pPr>
    </w:p>
    <w:p w:rsidR="006137DD" w:rsidRDefault="006137DD" w:rsidP="00FC2F7A">
      <w:pPr>
        <w:pStyle w:val="TESupportingInfoTitle"/>
        <w:rPr>
          <w:b/>
          <w:bCs/>
        </w:rPr>
      </w:pPr>
      <w:r>
        <w:rPr>
          <w:noProof/>
          <w:lang w:val="en-GB" w:eastAsia="en-GB"/>
        </w:rPr>
        <w:drawing>
          <wp:inline distT="0" distB="0" distL="0" distR="0" wp14:anchorId="74FB2C69" wp14:editId="62E3AFBA">
            <wp:extent cx="5509895" cy="2672080"/>
            <wp:effectExtent l="19050" t="0" r="0" b="0"/>
            <wp:docPr id="3" name="Picture 5" descr="C:\Users\Patrick\Desktop\Data\Nova pasta\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k\Desktop\Data\Nova pasta\Scheme 1.tif"/>
                    <pic:cNvPicPr>
                      <a:picLocks noChangeAspect="1" noChangeArrowheads="1"/>
                    </pic:cNvPicPr>
                  </pic:nvPicPr>
                  <pic:blipFill>
                    <a:blip r:embed="rId11" cstate="print"/>
                    <a:srcRect/>
                    <a:stretch>
                      <a:fillRect/>
                    </a:stretch>
                  </pic:blipFill>
                  <pic:spPr bwMode="auto">
                    <a:xfrm>
                      <a:off x="0" y="0"/>
                      <a:ext cx="5509895" cy="2672080"/>
                    </a:xfrm>
                    <a:prstGeom prst="rect">
                      <a:avLst/>
                    </a:prstGeom>
                    <a:noFill/>
                    <a:ln w="9525">
                      <a:noFill/>
                      <a:miter lim="800000"/>
                      <a:headEnd/>
                      <a:tailEnd/>
                    </a:ln>
                  </pic:spPr>
                </pic:pic>
              </a:graphicData>
            </a:graphic>
          </wp:inline>
        </w:drawing>
      </w:r>
    </w:p>
    <w:p w:rsidR="006137DD" w:rsidRDefault="006137DD" w:rsidP="00FC2F7A">
      <w:pPr>
        <w:pStyle w:val="TESupportingInfoTitle"/>
        <w:rPr>
          <w:b/>
          <w:bCs/>
        </w:rPr>
      </w:pPr>
    </w:p>
    <w:p w:rsidR="006137DD" w:rsidRDefault="006137DD" w:rsidP="006137DD">
      <w:pPr>
        <w:pStyle w:val="FDSchemeFootnote"/>
        <w:ind w:firstLine="0"/>
        <w:rPr>
          <w:b/>
          <w:sz w:val="16"/>
          <w:szCs w:val="16"/>
        </w:rPr>
      </w:pPr>
    </w:p>
    <w:p w:rsidR="006137DD" w:rsidRDefault="006137DD" w:rsidP="006137DD">
      <w:pPr>
        <w:pStyle w:val="FDSchemeFootnote"/>
        <w:ind w:firstLine="0"/>
        <w:rPr>
          <w:b/>
          <w:sz w:val="16"/>
          <w:szCs w:val="16"/>
        </w:rPr>
      </w:pPr>
    </w:p>
    <w:p w:rsidR="006137DD" w:rsidRPr="00913847" w:rsidRDefault="006137DD" w:rsidP="006137DD">
      <w:pPr>
        <w:pStyle w:val="FDSchemeFootnote"/>
        <w:ind w:firstLine="0"/>
        <w:rPr>
          <w:rFonts w:ascii="Times New Roman" w:hAnsi="Times New Roman"/>
          <w:sz w:val="24"/>
          <w:szCs w:val="24"/>
        </w:rPr>
      </w:pPr>
      <w:r w:rsidRPr="00913847">
        <w:rPr>
          <w:rFonts w:ascii="Times New Roman" w:hAnsi="Times New Roman"/>
          <w:b/>
          <w:sz w:val="24"/>
          <w:szCs w:val="24"/>
        </w:rPr>
        <w:t>Scheme 1. Schematic representation of the working principle of the DNA-coated nanoparticles for the detection of Vimentin mRNA.</w:t>
      </w:r>
      <w:r w:rsidRPr="00913847">
        <w:rPr>
          <w:rFonts w:ascii="Times New Roman" w:hAnsi="Times New Roman"/>
          <w:sz w:val="24"/>
          <w:szCs w:val="24"/>
        </w:rPr>
        <w:t xml:space="preserve"> The DNA-coated nanoparticles are made up of a gold nanoparticle core and fluorescently labelled DNA. The sense strand is directly linked to the nanoparticle surface via gold-thiol bond and it is designed to capture Vimentin mRNA. It is modified with a fluorescent dye as a self-reporting mechanism in the case of intracellular degradation. The short flare strand is hybridized to the sense strand and equally functionalized with a fluorescent dye, which is quenched due to the close proximity to the gold core. In the presence of Vimentin mRNA the flare strand is displaced due to competitive hybridization and the fluorescence is restored. The oligonucleotide sequences are shown in supporting information (Table S1). </w:t>
      </w:r>
    </w:p>
    <w:p w:rsidR="006137DD" w:rsidRDefault="006137DD" w:rsidP="00FC2F7A">
      <w:pPr>
        <w:pStyle w:val="TESupportingInfoTitle"/>
        <w:rPr>
          <w:b/>
          <w:bCs/>
        </w:rPr>
      </w:pPr>
    </w:p>
    <w:p w:rsidR="006137DD" w:rsidRDefault="006137DD" w:rsidP="00FC2F7A">
      <w:pPr>
        <w:pStyle w:val="TESupportingInfoTitle"/>
        <w:rPr>
          <w:b/>
          <w:bCs/>
        </w:rPr>
      </w:pPr>
    </w:p>
    <w:p w:rsidR="00444DB4" w:rsidRPr="00FC2F7A" w:rsidRDefault="00444DB4" w:rsidP="00FC2F7A">
      <w:pPr>
        <w:pStyle w:val="TESupportingInfoTitle"/>
        <w:rPr>
          <w:b/>
          <w:bCs/>
        </w:rPr>
      </w:pPr>
      <w:r w:rsidRPr="00FC2F7A">
        <w:rPr>
          <w:b/>
          <w:bCs/>
        </w:rPr>
        <w:t>Detection of Vimentin mRNA in scratch assays</w:t>
      </w:r>
    </w:p>
    <w:p w:rsidR="006137DD" w:rsidRDefault="00FC2F7A" w:rsidP="003576F0">
      <w:pPr>
        <w:pStyle w:val="TESupportingInfoTitle"/>
      </w:pPr>
      <w:r>
        <w:t xml:space="preserve">  </w:t>
      </w:r>
      <w:r w:rsidR="00444DB4" w:rsidRPr="00B92A6B">
        <w:t xml:space="preserve">Prior to testing the activity of the DNA-coated </w:t>
      </w:r>
      <w:r w:rsidR="00444DB4" w:rsidRPr="00B92A6B">
        <w:rPr>
          <w:lang w:eastAsia="ko-KR"/>
        </w:rPr>
        <w:t xml:space="preserve">gold </w:t>
      </w:r>
      <w:r w:rsidR="00444DB4" w:rsidRPr="00B92A6B">
        <w:t>nanoparticles in tissue, their specificity was demonstrated in different types of cell lines (human and mouse) for the detection of Vimentin mRNA. Two different cell types were investigated: epithelial cells and mesenchyme derived fibroblasts. Both cell lines are heavily involved in EMT and while the highly motile fibroblasts show a high expression of Vimentin, stationary epithelial cells do not express this intermediate filament protein</w:t>
      </w:r>
      <w:r w:rsidR="00322E04" w:rsidRPr="00B92A6B">
        <w:t>, as has been shown in previous work</w:t>
      </w:r>
      <w:r w:rsidR="00444DB4" w:rsidRPr="00B92A6B">
        <w:t>.</w:t>
      </w:r>
      <w:r w:rsidR="00234258" w:rsidRPr="00B92A6B">
        <w:fldChar w:fldCharType="begin" w:fldLock="1"/>
      </w:r>
      <w:r w:rsidR="003576F0">
        <w:instrText>ADDIN CSL_CITATION { "citationItems" : [ { "id" : "ITEM-1", "itemData" : { "DOI" : "10.1083/jcb.94.2.308", "ISSN" : "00219525", "PMID" : "6179949", "abstract" : "The expression of intermediate filaments of the keratin- and the vimentin-type was studied in heterokaryons of human fibroblasts and amnion epithelial cells by immunofluorescence microscopy. Fibroblasts and their homokaryons showed a fibrillar, vimentin-specific fluorescence throughout the cytoplasm but were negative when stained for keratin. Amnion  epithelial cells and their homokaryons, on the other hand, showed a keratin-specific fibrillar staining, and only some of them contained also detectable vimentin. When suspended epithelial cells were fused with adherent fibroblasts, keratin fibrils spread within 3 h into the fibroblasts, intermixing with the vimentin fibrils. 1-3 d after fusion, both vimentin and keratin filaments were expressed as typical fibrillar cytoplasmic arrays, and the distribution of keratin in heterokaryons resembled closely that of vimentin. A typical cell-to-cell arrangement of keratin fibrils, seen in cultures of amnion epithelial cells, could also be found between heterokaryons. Treatment of the cultures with vinblastine sulphate induced coiling of the vimentin filaments in both homo- and heterokaryons, whereas the keratin organization was only slightly affected. Our results show that both vimentin and keratin filaments are incorporated into the cytoskeleton of heterokaryons formed between fibroblasts and epithelial cells, and that they behave in the same way as in their parental cells. Both epithelial and fibroblastic characteristics thus appear to the coexpressed in such heterokaryons.", "author" : [ { "dropping-particle" : "", "family" : "Laurila", "given" : "P.", "non-dropping-particle" : "", "parse-names" : false, "suffix" : "" }, { "dropping-particle" : "", "family" : "Virtanen", "given" : "I.", "non-dropping-particle" : "", "parse-names" : false, "suffix" : "" }, { "dropping-particle" : "", "family" : "Lehto", "given" : "V. P.", "non-dropping-particle" : "", "parse-names" : false, "suffix" : "" }, { "dropping-particle" : "", "family" : "Vartio", "given" : "T.", "non-dropping-particle" : "", "parse-names" : false, "suffix" : "" }, { "dropping-particle" : "", "family" : "Stenman", "given" : "S.", "non-dropping-particle" : "", "parse-names" : false, "suffix" : "" } ], "container-title" : "Journal of Cell Biology", "id" : "ITEM-1", "issue" : "2", "issued" : { "date-parts" : [ [ "1982" ] ] }, "page" : "308-315", "title" : "Expression and distribution of vimentin and keratin filaments in heterokaryons of human fibroblasts and amnion epithelial cells", "type" : "article-journal", "volume" : "94" }, "uris" : [ "http://www.mendeley.com/documents/?uuid=cdba78e3-95d6-4f2e-846d-f633281cf702" ] }, { "id" : "ITEM-2", "itemData" : { "DOI" : "10.1111/j.1432-0436.1990.tb00441.x", "ISBN" : "1432-0436", "ISSN" : "03014681", "PMID" : "2373288", "abstract" : "Using five different monoclonal antibodies to vimentin, we have examined the expression of vimentin in cryostat sections and serum-free cultures of normal human breast tissue. In cryostat sections, myoepithelial cells as well as stromal cells showed immunoreactivity to vimentin, irrespective of the antibody used. In contrast, luminal epithelial cells were negative for vimentin, but positive for keratin K18. In culture, myoepithelial cells showed immunoreactivity to vimentin from their first appearance in monolayer. Moreover, a fraction of luminal epithelial cells expressed vimentin in addition to keratin K18. We found a clear, reversible correlation between proliferation, determined by incorporation of [3H]-TdR, and induction of vimentin in the luminal epithelial cells. Thus, in growth-stimulated cultures on a medium containing cholera toxin (CT), epidermal growth factor (EGF), transferrin (Tf), hydrocortisone (H) and insulin (I), the fraction of vimentin-positive luminal epithelial cells increased, while it decreased within 14 days from approximately 36% to 3% on a medium containing CT and EGF, only. We therefore conclude: (1) vimentin is constantly expressed in myoepithelial cells in situ and in vitro, and (2) expression of vimentin in luminal epithelial cells in vitro is not a result of monolayer cultivation as such, but rather associated with the increased growth rate seen in culture.", "author" : [ { "dropping-particle" : "", "family" : "Mork", "given" : "C.", "non-dropping-particle" : "", "parse-names" : false, "suffix" : "" }, { "dropping-particle" : "", "family" : "Deurs", "given" : "B.", "non-dropping-particle" : "Van", "parse-names" : false, "suffix" : "" }, { "dropping-particle" : "", "family" : "Petersen", "given" : "O. W.", "non-dropping-particle" : "", "parse-names" : false, "suffix" : "" } ], "container-title" : "Differentiation", "id" : "ITEM-2", "issue" : "2", "issued" : { "date-parts" : [ [ "1990" ] ] }, "page" : "146-156", "title" : "Regulation of vimentin expression in cultured human mammary epithelial cells", "type" : "article-journal", "volume" : "43" }, "uris" : [ "http://www.mendeley.com/documents/?uuid=8aa26fb5-b9b9-4253-a8ca-6d3ec73d399c" ] } ], "mendeley" : { "formattedCitation" : "&lt;sup&gt;[31,32]&lt;/sup&gt;", "plainTextFormattedCitation" : "[31,32]", "previouslyFormattedCitation" : "&lt;sup&gt;[31,32]&lt;/sup&gt;" }, "properties" : {  }, "schema" : "https://github.com/citation-style-language/schema/raw/master/csl-citation.json" }</w:instrText>
      </w:r>
      <w:r w:rsidR="00234258" w:rsidRPr="00B92A6B">
        <w:fldChar w:fldCharType="separate"/>
      </w:r>
      <w:r w:rsidR="003576F0" w:rsidRPr="003576F0">
        <w:rPr>
          <w:noProof/>
          <w:vertAlign w:val="superscript"/>
        </w:rPr>
        <w:t>[31,32]</w:t>
      </w:r>
      <w:r w:rsidR="00234258" w:rsidRPr="00B92A6B">
        <w:fldChar w:fldCharType="end"/>
      </w:r>
      <w:r w:rsidR="00444DB4" w:rsidRPr="00B92A6B">
        <w:t xml:space="preserve"> </w:t>
      </w:r>
    </w:p>
    <w:p w:rsidR="006137DD" w:rsidRDefault="006137DD" w:rsidP="003576F0">
      <w:pPr>
        <w:pStyle w:val="TESupportingInfoTitle"/>
      </w:pPr>
    </w:p>
    <w:p w:rsidR="006137DD" w:rsidRDefault="006137DD" w:rsidP="003576F0">
      <w:pPr>
        <w:pStyle w:val="TESupportingInfoTitle"/>
      </w:pPr>
      <w:r>
        <w:rPr>
          <w:noProof/>
          <w:lang w:val="en-GB" w:eastAsia="en-GB"/>
        </w:rPr>
        <w:lastRenderedPageBreak/>
        <w:drawing>
          <wp:inline distT="0" distB="0" distL="0" distR="0" wp14:anchorId="4F206FC8" wp14:editId="2A6D3036">
            <wp:extent cx="6032500" cy="1983105"/>
            <wp:effectExtent l="19050" t="0" r="635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032500" cy="1983105"/>
                    </a:xfrm>
                    <a:prstGeom prst="rect">
                      <a:avLst/>
                    </a:prstGeom>
                    <a:noFill/>
                    <a:ln w="9525">
                      <a:noFill/>
                      <a:miter lim="800000"/>
                      <a:headEnd/>
                      <a:tailEnd/>
                    </a:ln>
                  </pic:spPr>
                </pic:pic>
              </a:graphicData>
            </a:graphic>
          </wp:inline>
        </w:drawing>
      </w:r>
    </w:p>
    <w:p w:rsidR="006137DD" w:rsidRDefault="006137DD" w:rsidP="003576F0">
      <w:pPr>
        <w:pStyle w:val="TESupportingInfoTitle"/>
      </w:pPr>
    </w:p>
    <w:p w:rsidR="006137DD" w:rsidRPr="00913847" w:rsidRDefault="006137DD" w:rsidP="006137DD">
      <w:pPr>
        <w:pStyle w:val="FCChartFootnote"/>
        <w:rPr>
          <w:rFonts w:ascii="Times New Roman" w:hAnsi="Times New Roman"/>
          <w:sz w:val="24"/>
          <w:szCs w:val="24"/>
        </w:rPr>
      </w:pPr>
      <w:r w:rsidRPr="00913847">
        <w:rPr>
          <w:rFonts w:ascii="Times New Roman" w:hAnsi="Times New Roman"/>
          <w:b/>
          <w:bCs/>
          <w:sz w:val="24"/>
          <w:szCs w:val="24"/>
        </w:rPr>
        <w:t xml:space="preserve">Figure 1. Detection of Vimentin mRNA in </w:t>
      </w:r>
      <w:r w:rsidRPr="00913847">
        <w:rPr>
          <w:rFonts w:ascii="Times New Roman" w:hAnsi="Times New Roman"/>
          <w:b/>
          <w:bCs/>
          <w:sz w:val="24"/>
          <w:szCs w:val="24"/>
          <w:lang w:eastAsia="ko-KR"/>
        </w:rPr>
        <w:t xml:space="preserve">confluent layers of </w:t>
      </w:r>
      <w:r w:rsidRPr="00913847">
        <w:rPr>
          <w:rFonts w:ascii="Times New Roman" w:hAnsi="Times New Roman"/>
          <w:b/>
          <w:bCs/>
          <w:sz w:val="24"/>
          <w:szCs w:val="24"/>
        </w:rPr>
        <w:t>human (MRC-5, 16HBE) and murine (MEFs) cell lines.</w:t>
      </w:r>
      <w:r w:rsidRPr="00913847">
        <w:rPr>
          <w:rFonts w:ascii="Times New Roman" w:hAnsi="Times New Roman"/>
          <w:sz w:val="24"/>
          <w:szCs w:val="24"/>
        </w:rPr>
        <w:t xml:space="preserve"> Fluorescence microscopy images from cell lines incubated with 10 pmol of DNA-coated Vimentin DNA gold nanoprobes over 18 h. Red fluorescence is attributed to the Cy5-flare oligonucleotide strand. Green fluorescence derives from the nuclear counterstain (DAPI). Vimentin mRNA was detected in MEFs (a) and MRC-5 (b) cells (red fluorescence), which are known to express Vimentin. In fully confluent epithelial 16HBE cells (c) no Cy5 fluorescence was detected. Scale bars are 50 µm. </w:t>
      </w:r>
    </w:p>
    <w:p w:rsidR="006137DD" w:rsidRDefault="006137DD" w:rsidP="003576F0">
      <w:pPr>
        <w:pStyle w:val="TESupportingInfoTitle"/>
      </w:pPr>
    </w:p>
    <w:p w:rsidR="000826F8" w:rsidRPr="00A42287" w:rsidRDefault="00444DB4" w:rsidP="003576F0">
      <w:pPr>
        <w:pStyle w:val="TESupportingInfoTitle"/>
        <w:rPr>
          <w:b/>
          <w:caps/>
        </w:rPr>
      </w:pPr>
      <w:r w:rsidRPr="00B92A6B">
        <w:rPr>
          <w:b/>
          <w:bCs/>
        </w:rPr>
        <w:t>Figure 1</w:t>
      </w:r>
      <w:r w:rsidRPr="00B92A6B">
        <w:t xml:space="preserve"> shows confocal microscopy images of both types of cells after incubation with Vimentin DNA gold </w:t>
      </w:r>
      <w:r w:rsidRPr="00B92A6B">
        <w:rPr>
          <w:lang w:eastAsia="ko-KR"/>
        </w:rPr>
        <w:t>nano</w:t>
      </w:r>
      <w:r w:rsidRPr="00B92A6B">
        <w:t>probes</w:t>
      </w:r>
      <w:r w:rsidRPr="00B92A6B">
        <w:rPr>
          <w:lang w:eastAsia="ko-KR"/>
        </w:rPr>
        <w:t xml:space="preserve"> designed to detect Vimentin mRNA</w:t>
      </w:r>
      <w:r w:rsidRPr="00B92A6B">
        <w:t xml:space="preserve">. A strong Cy5 fluorescent signal can be </w:t>
      </w:r>
      <w:r w:rsidRPr="00A42287">
        <w:t>observed in fully confluent fibroblasts (Figure 1a and 1b) expressing high levels of Vimentin mRNA, but not in fully confluent epithelial cells (Figure 1c) lacking Vimentin expression. This is in good agreement with previously reported protein studies and confirms the specificity of the nanoprobes</w:t>
      </w:r>
      <w:r w:rsidR="00366041" w:rsidRPr="00A42287">
        <w:t xml:space="preserve"> as it was also discussed by our group in previous work</w:t>
      </w:r>
      <w:r w:rsidRPr="00A42287">
        <w:t>.</w:t>
      </w:r>
      <w:r w:rsidR="00234258" w:rsidRPr="00A42287">
        <w:rPr>
          <w:b/>
          <w:caps/>
        </w:rPr>
        <w:fldChar w:fldCharType="begin" w:fldLock="1"/>
      </w:r>
      <w:r w:rsidR="003576F0" w:rsidRPr="00A42287">
        <w:instrText>ADDIN CSL_CITATION { "citationItems" : [ { "id" : "ITEM-1", "itemData" : { "DOI" : "10.1039/C6NR06154K", "ISSN" : "2040-3364", "abstract" : "The design of nanoparticles that can selectively perform multiple roles is of utmost importance for the development of the next generation of nanoparticulate drug delivery systems. So far most research studies are focused on the customization of nanoparticulate carriers to maximize their drug loading, enhance their optical signature for tracking in cells or provide photo-responsive effects for therapeutic purposes. However, a vital requirement of the new generation of drug carriers must be the ability to deliver their payload selectively only to cells of interest rather than the majority of various cells in the vicinity. Here we show for the first time a new design of nanoparticulate drug carriers that can specifically distinguish different cell types based on their mRNA signature. These nanoparticles sense and efficiently kill model tumour cells by the delivery of an anti-cancer drug but retain their payload in cells lacking the specific mRNA target.", "author" : [ { "dropping-particle" : "", "family" : "Heuer-Jungemann", "given" : "Amelie", "non-dropping-particle" : "", "parse-names" : false, "suffix" : "" }, { "dropping-particle" : "", "family" : "El-Sagheer", "given" : "Afaf H.", "non-dropping-particle" : "", "parse-names" : false, "suffix" : "" }, { "dropping-particle" : "", "family" : "Lackie", "given" : "Peter M.", "non-dropping-particle" : "", "parse-names" : false, "suffix" : "" }, { "dropping-particle" : "", "family" : "Brown", "given" : "Tom", "non-dropping-particle" : "", "parse-names" : false, "suffix" : "" }, { "dropping-particle" : "", "family" : "Kanaras", "given" : "Antonios G.", "non-dropping-particle" : "", "parse-names" : false, "suffix" : "" } ], "container-title" : "Nanoscale", "genre" : "JOUR", "id" : "ITEM-1", "issue" : "38", "issued" : { "date-parts" : [ [ "2016" ] ] }, "page" : "16857-16861", "publisher" : "Royal Society of Chemistry", "title" : "Selective killing of cells triggered by their mRNA signature in the presence of smart nanoparticles", "type" : "article-journal", "volume" : "8" }, "uris" : [ "http://www.mendeley.com/documents/?uuid=3deac429-db0f-4f99-8147-cfbe09d0f67c" ] } ], "mendeley" : { "formattedCitation" : "&lt;sup&gt;[25]&lt;/sup&gt;", "plainTextFormattedCitation" : "[25]", "previouslyFormattedCitation" : "&lt;sup&gt;[25]&lt;/sup&gt;" }, "properties" : {  }, "schema" : "https://github.com/citation-style-language/schema/raw/master/csl-citation.json" }</w:instrText>
      </w:r>
      <w:r w:rsidR="00234258" w:rsidRPr="00A42287">
        <w:rPr>
          <w:b/>
          <w:caps/>
        </w:rPr>
        <w:fldChar w:fldCharType="separate"/>
      </w:r>
      <w:r w:rsidR="003576F0" w:rsidRPr="00A42287">
        <w:rPr>
          <w:noProof/>
          <w:vertAlign w:val="superscript"/>
        </w:rPr>
        <w:t>[25]</w:t>
      </w:r>
      <w:r w:rsidR="00234258" w:rsidRPr="00A42287">
        <w:rPr>
          <w:b/>
          <w:caps/>
        </w:rPr>
        <w:fldChar w:fldCharType="end"/>
      </w:r>
      <w:r w:rsidRPr="00A42287">
        <w:rPr>
          <w:b/>
          <w:caps/>
          <w:lang w:eastAsia="ko-KR"/>
        </w:rPr>
        <w:t xml:space="preserve"> </w:t>
      </w:r>
      <w:r w:rsidRPr="00A42287">
        <w:t xml:space="preserve">While our nanoprobes showed excellent Vimentin mRNA detection in confluent </w:t>
      </w:r>
      <w:r w:rsidRPr="00A42287">
        <w:rPr>
          <w:lang w:eastAsia="ko-KR"/>
        </w:rPr>
        <w:t>cells</w:t>
      </w:r>
      <w:r w:rsidRPr="00A42287">
        <w:t xml:space="preserve">, their application in a dynamic model (e.g. in wound healing) </w:t>
      </w:r>
      <w:r w:rsidRPr="00A42287">
        <w:rPr>
          <w:lang w:eastAsia="ko-KR"/>
        </w:rPr>
        <w:t xml:space="preserve">is of </w:t>
      </w:r>
      <w:r w:rsidR="007C4C41" w:rsidRPr="00A42287">
        <w:rPr>
          <w:lang w:eastAsia="ko-KR"/>
        </w:rPr>
        <w:t xml:space="preserve">greater </w:t>
      </w:r>
      <w:r w:rsidRPr="00A42287">
        <w:rPr>
          <w:lang w:eastAsia="ko-KR"/>
        </w:rPr>
        <w:t>interest</w:t>
      </w:r>
      <w:r w:rsidRPr="00A42287">
        <w:t xml:space="preserve">. </w:t>
      </w:r>
      <w:r w:rsidRPr="00A42287">
        <w:rPr>
          <w:bCs/>
          <w:caps/>
          <w:lang w:eastAsia="ko-KR"/>
        </w:rPr>
        <w:t>D</w:t>
      </w:r>
      <w:r w:rsidRPr="00A42287">
        <w:t>uring the wound healing process, epithelial cells are not completely static. They are mobilized through EMT, where Vimentin is upregulated to induce cell migration towards the opposite wound edge to promote wound closure, which is accompanied by a change in cell phenotype.</w:t>
      </w:r>
      <w:r w:rsidR="00234258" w:rsidRPr="00A42287">
        <w:rPr>
          <w:b/>
          <w:caps/>
        </w:rPr>
        <w:fldChar w:fldCharType="begin" w:fldLock="1"/>
      </w:r>
      <w:r w:rsidR="003576F0" w:rsidRPr="00A42287">
        <w:instrText>ADDIN CSL_CITATION { "citationItems" : [ { "id" : "ITEM-1", "itemData" : { "DOI" : "10.1096/fj.10-170795", "ISBN" : "1530-6860 (Electronic)\\n0892-6638 (Linking)", "ISSN" : "1530-6860", "PMID" : "21803859", "abstract" : "The physiological and pathophysiological implications of the expression of vimentin, a type III intermediate filament protein, in alveolar epithelial cells (AECs) are unknown. We provide data demonstrating that vimentin is regulated by TGF\u03b21, a major cytokine released in response to acute lung injury and that vimentin is required for wound repair and remodeling of the alveolar epithelium. Quantitative real-time PCR shows a 16-fold induction of vimentin mRNA in TGF\u03b21-treated transformed AECs. Luciferase assays identify a Smad-binding element in the 5' promoter of vimentin responsible for TGF\u03b21-induced transcription. Notably, TGF\u03b21 induces vimentin protein expression in AECs, which is associated with a 2.5-fold increase in cell motility, resulting in increased rates of migration and wound closure. These effects are independent of cell proliferation. TGF\u03b21-mediated vimentin protein expression, cell migration, and wound closure are prevented by a pharmacological inhibitor of the Smad pathway and by expression of Ad-shRNA against vimentin. Conversely, overexpression of mEmerald-vimentin is sufficient for increased cell-migration and wound-closure rates. These results demonstrate that vimentin is required and sufficient for increased wound repair in an in vitro model of lung injury.", "author" : [ { "dropping-particle" : "", "family" : "Rogel", "given" : "Micah R", "non-dropping-particle" : "", "parse-names" : false, "suffix" : "" }, { "dropping-particle" : "", "family" : "Soni", "given" : "Pritin N", "non-dropping-particle" : "", "parse-names" : false, "suffix" : "" }, { "dropping-particle" : "", "family" : "Troken", "given" : "James R", "non-dropping-particle" : "", "parse-names" : false, "suffix" : "" }, { "dropping-particle" : "", "family" : "Sitikov", "given" : "Albert", "non-dropping-particle" : "", "parse-names" : false, "suffix" : "" }, { "dropping-particle" : "", "family" : "Trejo", "given" : "Humberto E", "non-dropping-particle" : "", "parse-names" : false, "suffix" : "" }, { "dropping-particle" : "", "family" : "Ridge", "given" : "Karen M", "non-dropping-particle" : "", "parse-names" : false, "suffix" : "" } ], "container-title" : "FASEB journal : official publication of the Federation of American Societies for Experimental Biology", "id" : "ITEM-1", "issue" : "11", "issued" : { "date-parts" : [ [ "2011" ] ] }, "page" : "3873-83", "title" : "Vimentin is sufficient and required for wound repair and remodeling in alveolar epithelial cells.", "type" : "article-journal", "volume" : "25" }, "uris" : [ "http://www.mendeley.com/documents/?uuid=87766c4a-dbb1-478a-ada6-406786781dcd" ] } ], "mendeley" : { "formattedCitation" : "&lt;sup&gt;[33]&lt;/sup&gt;", "plainTextFormattedCitation" : "[33]", "previouslyFormattedCitation" : "&lt;sup&gt;[33]&lt;/sup&gt;" }, "properties" : {  }, "schema" : "https://github.com/citation-style-language/schema/raw/master/csl-citation.json" }</w:instrText>
      </w:r>
      <w:r w:rsidR="00234258" w:rsidRPr="00A42287">
        <w:rPr>
          <w:b/>
          <w:caps/>
        </w:rPr>
        <w:fldChar w:fldCharType="separate"/>
      </w:r>
      <w:r w:rsidR="003576F0" w:rsidRPr="00A42287">
        <w:rPr>
          <w:noProof/>
          <w:vertAlign w:val="superscript"/>
        </w:rPr>
        <w:t>[33]</w:t>
      </w:r>
      <w:r w:rsidR="00234258" w:rsidRPr="00A42287">
        <w:rPr>
          <w:b/>
          <w:caps/>
        </w:rPr>
        <w:fldChar w:fldCharType="end"/>
      </w:r>
      <w:r w:rsidRPr="00A42287">
        <w:t xml:space="preserve"> A common wound healing assay involves the formation of a</w:t>
      </w:r>
      <w:r w:rsidRPr="00A42287">
        <w:rPr>
          <w:lang w:eastAsia="ko-KR"/>
        </w:rPr>
        <w:t>n artificial</w:t>
      </w:r>
      <w:r w:rsidRPr="00A42287">
        <w:t xml:space="preserve"> scratch </w:t>
      </w:r>
      <w:r w:rsidRPr="00A42287">
        <w:rPr>
          <w:lang w:eastAsia="ko-KR"/>
        </w:rPr>
        <w:t>within a confluent layer of epithelial cells to promote this change in cell phenotype</w:t>
      </w:r>
      <w:r w:rsidRPr="00A42287">
        <w:t>.</w:t>
      </w:r>
      <w:r w:rsidR="00234258" w:rsidRPr="00A42287">
        <w:rPr>
          <w:b/>
          <w:caps/>
        </w:rPr>
        <w:fldChar w:fldCharType="begin" w:fldLock="1"/>
      </w:r>
      <w:r w:rsidR="003576F0" w:rsidRPr="00A42287">
        <w:instrText>ADDIN CSL_CITATION { "citationItems" : [ { "id" : "ITEM-1", "itemData" : { "DOI" : "nprot.2007.30 [pii]\\r10.1038/nprot.2007.30", "ISBN" : "1750-2799 (Electronic)\\r1750-2799 (Linking)", "ISSN" : "1750-2799", "PMID" : "17406593", "abstract" : "The in vitro scratch assay is an easy, low-cost and well-developed method to measure cell migration in vitro. The basic steps involve creating a \"scratch\" in a cell monolayer, capturing the images at the beginning and at regular intervals during cell migration to close the scratch, and comparing the images to quantify the migration rate of the cells. Compared to other methods, the in vitro scratch assay is particularly suitable for studies on the effects of cell-matrix and cell-cell interactions on cell migration, mimic cell migration during wound healing in vivo and are compatible with imaging of live cells during migration to monitor intracellular events if desired. Besides monitoring migration of homogenous cell populations, this method has also been adopted to measure migration of individual cells in the leading edge of the scratch. Not taking into account the time for transfection of cells, in vitro scratch assay per se usually takes from several hours to overnight.", "author" : [ { "dropping-particle" : "", "family" : "Liang", "given" : "C C", "non-dropping-particle" : "", "parse-names" : false, "suffix" : "" }, { "dropping-particle" : "", "family" : "Park", "given" : "A Y", "non-dropping-particle" : "", "parse-names" : false, "suffix" : "" }, { "dropping-particle" : "", "family" : "Guan", "given" : "J L", "non-dropping-particle" : "", "parse-names" : false, "suffix" : "" } ], "container-title" : "Nat Protoc", "id" : "ITEM-1", "issue" : "2", "issued" : { "date-parts" : [ [ "2007" ] ] }, "page" : "329-333", "title" : "In vitro scratch assay: a convenient and inexpensive method for analysis of cell migration in vitro", "type" : "article-journal", "volume" : "2" }, "uris" : [ "http://www.mendeley.com/documents/?uuid=aa6c5a55-d699-4b4c-9cf9-1f72559a611d" ] } ], "mendeley" : { "formattedCitation" : "&lt;sup&gt;[34]&lt;/sup&gt;", "plainTextFormattedCitation" : "[34]", "previouslyFormattedCitation" : "&lt;sup&gt;[34]&lt;/sup&gt;" }, "properties" : {  }, "schema" : "https://github.com/citation-style-language/schema/raw/master/csl-citation.json" }</w:instrText>
      </w:r>
      <w:r w:rsidR="00234258" w:rsidRPr="00A42287">
        <w:rPr>
          <w:b/>
          <w:caps/>
        </w:rPr>
        <w:fldChar w:fldCharType="separate"/>
      </w:r>
      <w:r w:rsidR="003576F0" w:rsidRPr="00A42287">
        <w:rPr>
          <w:noProof/>
          <w:vertAlign w:val="superscript"/>
        </w:rPr>
        <w:t>[34]</w:t>
      </w:r>
      <w:r w:rsidR="00234258" w:rsidRPr="00A42287">
        <w:rPr>
          <w:b/>
          <w:caps/>
        </w:rPr>
        <w:fldChar w:fldCharType="end"/>
      </w:r>
    </w:p>
    <w:p w:rsidR="006137DD" w:rsidRDefault="00FC2F7A" w:rsidP="003576F0">
      <w:pPr>
        <w:pStyle w:val="TESupportingInfoTitle"/>
      </w:pPr>
      <w:r w:rsidRPr="00A42287">
        <w:rPr>
          <w:b/>
          <w:lang w:eastAsia="ko-KR"/>
        </w:rPr>
        <w:t xml:space="preserve">  </w:t>
      </w:r>
      <w:r w:rsidR="00444DB4" w:rsidRPr="00A42287">
        <w:rPr>
          <w:b/>
          <w:lang w:eastAsia="ko-KR"/>
        </w:rPr>
        <w:t>Figure 2a</w:t>
      </w:r>
      <w:r w:rsidR="00444DB4" w:rsidRPr="00A42287">
        <w:rPr>
          <w:lang w:eastAsia="ko-KR"/>
        </w:rPr>
        <w:t xml:space="preserve"> shows confocal microscopy images of the cell distribution in a typical scratch assay. The </w:t>
      </w:r>
      <w:r w:rsidR="00444DB4" w:rsidRPr="00A42287">
        <w:t xml:space="preserve">appearance of a Cy5 fluorescent signal (red) in these “wounded” epithelial cells indicates the expression of Vimentin mRNA and thus infers that cells are undergoing EMT. The most intense Cy5 fluorescent signal (red) can be observed near the wound site (Figure 2b) and a weak signal away from the wound edge (Figure 2c) indicating that up-regulation of Vimentin and thus EMT was most prominent at the wound site where cells were most </w:t>
      </w:r>
    </w:p>
    <w:p w:rsidR="006137DD" w:rsidRDefault="006137DD" w:rsidP="003576F0">
      <w:pPr>
        <w:pStyle w:val="TESupportingInfoTitle"/>
      </w:pPr>
      <w:r>
        <w:rPr>
          <w:noProof/>
          <w:lang w:val="en-GB" w:eastAsia="en-GB"/>
        </w:rPr>
        <w:lastRenderedPageBreak/>
        <w:drawing>
          <wp:inline distT="0" distB="0" distL="0" distR="0" wp14:anchorId="3651BFAC" wp14:editId="79330678">
            <wp:extent cx="5130165" cy="4916170"/>
            <wp:effectExtent l="19050" t="0" r="0" b="0"/>
            <wp:docPr id="5" name="Picture 2" descr="C:\Users\ak3w07\Desktop\Figure2_O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3w07\Desktop\Figure2_OM-1.tif"/>
                    <pic:cNvPicPr>
                      <a:picLocks noChangeAspect="1" noChangeArrowheads="1"/>
                    </pic:cNvPicPr>
                  </pic:nvPicPr>
                  <pic:blipFill>
                    <a:blip r:embed="rId13" cstate="print"/>
                    <a:srcRect l="12714"/>
                    <a:stretch>
                      <a:fillRect/>
                    </a:stretch>
                  </pic:blipFill>
                  <pic:spPr bwMode="auto">
                    <a:xfrm>
                      <a:off x="0" y="0"/>
                      <a:ext cx="5130165" cy="4916170"/>
                    </a:xfrm>
                    <a:prstGeom prst="rect">
                      <a:avLst/>
                    </a:prstGeom>
                    <a:noFill/>
                    <a:ln w="9525">
                      <a:noFill/>
                      <a:miter lim="800000"/>
                      <a:headEnd/>
                      <a:tailEnd/>
                    </a:ln>
                  </pic:spPr>
                </pic:pic>
              </a:graphicData>
            </a:graphic>
          </wp:inline>
        </w:drawing>
      </w:r>
    </w:p>
    <w:p w:rsidR="006137DD" w:rsidRDefault="006137DD" w:rsidP="003576F0">
      <w:pPr>
        <w:pStyle w:val="TESupportingInfoTitle"/>
      </w:pPr>
    </w:p>
    <w:p w:rsidR="006137DD" w:rsidRPr="00913847" w:rsidRDefault="006137DD" w:rsidP="006137DD">
      <w:pPr>
        <w:pStyle w:val="FCChartFootnote"/>
        <w:rPr>
          <w:rFonts w:ascii="Times New Roman" w:hAnsi="Times New Roman"/>
          <w:sz w:val="24"/>
          <w:szCs w:val="24"/>
        </w:rPr>
      </w:pPr>
      <w:r w:rsidRPr="00913847">
        <w:rPr>
          <w:rFonts w:ascii="Times New Roman" w:hAnsi="Times New Roman"/>
          <w:b/>
          <w:sz w:val="24"/>
          <w:szCs w:val="24"/>
        </w:rPr>
        <w:t xml:space="preserve">Figure 2. </w:t>
      </w:r>
      <w:r w:rsidRPr="00913847">
        <w:rPr>
          <w:rFonts w:ascii="Times New Roman" w:hAnsi="Times New Roman"/>
          <w:b/>
          <w:color w:val="000000"/>
          <w:sz w:val="24"/>
          <w:szCs w:val="24"/>
          <w:lang w:eastAsia="ko-KR"/>
        </w:rPr>
        <w:t>Detection of Vimentin mRNA in cell scratch assays</w:t>
      </w:r>
      <w:r w:rsidRPr="00913847">
        <w:rPr>
          <w:rFonts w:ascii="Times New Roman" w:hAnsi="Times New Roman"/>
          <w:b/>
          <w:color w:val="000000"/>
          <w:sz w:val="24"/>
          <w:szCs w:val="24"/>
        </w:rPr>
        <w:t>.</w:t>
      </w:r>
      <w:r w:rsidRPr="00913847">
        <w:rPr>
          <w:rFonts w:ascii="Times New Roman" w:hAnsi="Times New Roman"/>
          <w:sz w:val="24"/>
          <w:szCs w:val="24"/>
        </w:rPr>
        <w:t xml:space="preserve"> A scratch assay was performed in fully confluent epithelial cells and allowed to recover over 18 h in the presence of 10 pmol of Vimentin DNA nanoprobes. (a) Confocal microscopy images of the scratch area (green fluorescence comes from nuclear counterstain, DAPI; red fluorescence from the Cy5 flare oligonucleotide strand). Higher magnification confocal microscopy images are shown near (b) and away (c) from the scratch site (wound). As observed, strong fluorescence deriving from the flare oligonucleotide strand during Vimentin mRNA detection is obtained around the wound site. Away from the wound site, a 5-10 times weaker fluorescent signal was observed. d) Red fluorescence profile of the scratch assay obtained from the confocal image, averaged for 80 different locations along the scratch</w:t>
      </w:r>
      <w:r>
        <w:rPr>
          <w:rFonts w:ascii="Times New Roman" w:hAnsi="Times New Roman"/>
          <w:sz w:val="24"/>
          <w:szCs w:val="24"/>
        </w:rPr>
        <w:t xml:space="preserve"> and normalized against respective DAPI fluorescence values</w:t>
      </w:r>
      <w:r w:rsidRPr="00913847">
        <w:rPr>
          <w:rFonts w:ascii="Times New Roman" w:hAnsi="Times New Roman"/>
          <w:sz w:val="24"/>
          <w:szCs w:val="24"/>
        </w:rPr>
        <w:t>. The fluorescence signal intensity was correlated to the distance from the wound site, with distances &lt;20µm from the wound edge displaying a 5-10 times increase of signal comparatively to distance of &gt;100 µm from the wound edge. Scale bars are: in (A) 200 µm and in (B), (C) 20 µm. Separate colour channels are shown in Supporting Information (Figure S3).</w:t>
      </w:r>
    </w:p>
    <w:p w:rsidR="006137DD" w:rsidRPr="00913847" w:rsidRDefault="006137DD" w:rsidP="006137DD">
      <w:pPr>
        <w:rPr>
          <w:lang w:val="en-GB" w:eastAsia="ko-KR"/>
        </w:rPr>
      </w:pPr>
    </w:p>
    <w:p w:rsidR="00444DB4" w:rsidRPr="00A42287" w:rsidRDefault="00444DB4" w:rsidP="003576F0">
      <w:pPr>
        <w:pStyle w:val="TESupportingInfoTitle"/>
        <w:rPr>
          <w:b/>
          <w:caps/>
        </w:rPr>
      </w:pPr>
      <w:r w:rsidRPr="00A42287">
        <w:t xml:space="preserve">affected. In order to quantify the distribution of Vimentin mRNA around the wound, confocal images of the scratch assay were analyzed to extract the total fluorescence intensity against distance from the wound edge (Figure 2d.) For this purpose, traces at 80 different positions </w:t>
      </w:r>
      <w:r w:rsidRPr="00A42287">
        <w:lastRenderedPageBreak/>
        <w:t>along the scratch were averaged, each trace starting from the wound edge (±4.5 mm) and in the direction perpendicular to the scratch.</w:t>
      </w:r>
      <w:r w:rsidR="00735007" w:rsidRPr="00A42287">
        <w:t xml:space="preserve"> </w:t>
      </w:r>
      <w:r w:rsidRPr="00A42287">
        <w:t xml:space="preserve">The average fluorescence intensity within 10 µm from the wound edge was approximately 10 </w:t>
      </w:r>
      <w:r w:rsidRPr="00A42287">
        <w:rPr>
          <w:lang w:eastAsia="ko-KR"/>
        </w:rPr>
        <w:t>times</w:t>
      </w:r>
      <w:r w:rsidRPr="00A42287">
        <w:t xml:space="preserve"> higher than the fluorescence measured &gt;50 µm away from the wound. When comparing the wounded epithelial cells with fully confluent cells, it was possible to observe that the fluorescence intensity of wounded cells was approximately 1000 times higher than in non-wounded cells (Figure S2A). These results were further confirmed by qPCR (Figure S2B), indicating a significant upregulation of Vimentin in migrating epithelial cells undergoing EMT, which is in good agreement with literature reports.</w:t>
      </w:r>
      <w:r w:rsidR="00234258" w:rsidRPr="00A42287">
        <w:rPr>
          <w:b/>
          <w:caps/>
        </w:rPr>
        <w:fldChar w:fldCharType="begin" w:fldLock="1"/>
      </w:r>
      <w:r w:rsidR="003576F0" w:rsidRPr="00A42287">
        <w:instrText>ADDIN CSL_CITATION { "citationItems" : [ { "id" : "ITEM-1", "itemData" : { "DOI" : "10.1111/j.1432-0436.1990.tb00441.x", "ISBN" : "1432-0436", "ISSN" : "03014681", "PMID" : "2373288", "abstract" : "Using five different monoclonal antibodies to vimentin, we have examined the expression of vimentin in cryostat sections and serum-free cultures of normal human breast tissue. In cryostat sections, myoepithelial cells as well as stromal cells showed immunoreactivity to vimentin, irrespective of the antibody used. In contrast, luminal epithelial cells were negative for vimentin, but positive for keratin K18. In culture, myoepithelial cells showed immunoreactivity to vimentin from their first appearance in monolayer. Moreover, a fraction of luminal epithelial cells expressed vimentin in addition to keratin K18. We found a clear, reversible correlation between proliferation, determined by incorporation of [3H]-TdR, and induction of vimentin in the luminal epithelial cells. Thus, in growth-stimulated cultures on a medium containing cholera toxin (CT), epidermal growth factor (EGF), transferrin (Tf), hydrocortisone (H) and insulin (I), the fraction of vimentin-positive luminal epithelial cells increased, while it decreased within 14 days from approximately 36% to 3% on a medium containing CT and EGF, only. We therefore conclude: (1) vimentin is constantly expressed in myoepithelial cells in situ and in vitro, and (2) expression of vimentin in luminal epithelial cells in vitro is not a result of monolayer cultivation as such, but rather associated with the increased growth rate seen in culture.", "author" : [ { "dropping-particle" : "", "family" : "Mork", "given" : "C.", "non-dropping-particle" : "", "parse-names" : false, "suffix" : "" }, { "dropping-particle" : "", "family" : "Deurs", "given" : "B.", "non-dropping-particle" : "Van", "parse-names" : false, "suffix" : "" }, { "dropping-particle" : "", "family" : "Petersen", "given" : "O. W.", "non-dropping-particle" : "", "parse-names" : false, "suffix" : "" } ], "container-title" : "Differentiation", "id" : "ITEM-1", "issue" : "2", "issued" : { "date-parts" : [ [ "1990" ] ] }, "page" : "146-156", "title" : "Regulation of vimentin expression in cultured human mammary epithelial cells", "type" : "article-journal", "volume" : "43" }, "uris" : [ "http://www.mendeley.com/documents/?uuid=8aa26fb5-b9b9-4253-a8ca-6d3ec73d399c" ] }, { "id" : "ITEM-2", "itemData" : { "DOI" : "nprot.2007.30 [pii]\\r10.1038/nprot.2007.30", "ISBN" : "1750-2799 (Electronic)\\r1750-2799 (Linking)", "ISSN" : "1750-2799", "PMID" : "17406593", "abstract" : "The in vitro scratch assay is an easy, low-cost and well-developed method to measure cell migration in vitro. The basic steps involve creating a \"scratch\" in a cell monolayer, capturing the images at the beginning and at regular intervals during cell migration to close the scratch, and comparing the images to quantify the migration rate of the cells. Compared to other methods, the in vitro scratch assay is particularly suitable for studies on the effects of cell-matrix and cell-cell interactions on cell migration, mimic cell migration during wound healing in vivo and are compatible with imaging of live cells during migration to monitor intracellular events if desired. Besides monitoring migration of homogenous cell populations, this method has also been adopted to measure migration of individual cells in the leading edge of the scratch. Not taking into account the time for transfection of cells, in vitro scratch assay per se usually takes from several hours to overnight.", "author" : [ { "dropping-particle" : "", "family" : "Liang", "given" : "C C", "non-dropping-particle" : "", "parse-names" : false, "suffix" : "" }, { "dropping-particle" : "", "family" : "Park", "given" : "A Y", "non-dropping-particle" : "", "parse-names" : false, "suffix" : "" }, { "dropping-particle" : "", "family" : "Guan", "given" : "J L", "non-dropping-particle" : "", "parse-names" : false, "suffix" : "" } ], "container-title" : "Nat Protoc", "id" : "ITEM-2", "issue" : "2", "issued" : { "date-parts" : [ [ "2007" ] ] }, "page" : "329-333", "title" : "In vitro scratch assay: a convenient and inexpensive method for analysis of cell migration in vitro", "type" : "article-journal", "volume" : "2" }, "uris" : [ "http://www.mendeley.com/documents/?uuid=aa6c5a55-d699-4b4c-9cf9-1f72559a611d" ] }, { "id" : "ITEM-3", "itemData" : { "ISBN" : "0021-9533 (Print)\\r0021-9533 (Linking)", "ISSN" : "0021-9533", "PMID" : "10574710", "abstract" : "Vimentin expression in human mammary epithelial MCF10A cells was examined as a function of their migratory status using an in vitro wound-healing model. Analysis of the trajectories of the cells and their migratory speeds by time lapse-video microscopy revealed that vimentin mRNA and protein expression were exclusively induced in cells at the wound's edge which were actively migrating towards the center of the lesion. Actin labeling showed the reorganization of actin filaments in cells at the wound's edge which confirmed the migratory phenotype of this cell subpopulation. Moreover, the vimentin protein disappeared when the cells became stationary after wound closure. Using cells transfected with the vimentin promoter controlling the green fluorescent protein gene, we also demonstrated the specific activation of the vimentin promoter in the migratory cells at the wound's edge. Transfection of the antisense vimentin cDNA into MCF10A cells clearly reduced both their ability to express vimentin and their migratory speed. Taken together, these observations demonstrate that vimentin is transiently associated with, and could be functionally involved in, the migratory status of human epithelial cells.", "author" : [ { "dropping-particle" : "", "family" : "Gilles", "given" : "C", "non-dropping-particle" : "", "parse-names" : false, "suffix" : "" }, { "dropping-particle" : "", "family" : "Polette", "given" : "M", "non-dropping-particle" : "", "parse-names" : false, "suffix" : "" }, { "dropping-particle" : "", "family" : "Zahm", "given" : "J M", "non-dropping-particle" : "", "parse-names" : false, "suffix" : "" }, { "dropping-particle" : "", "family" : "Tournier", "given" : "J M", "non-dropping-particle" : "", "parse-names" : false, "suffix" : "" }, { "dropping-particle" : "", "family" : "Volders", "given" : "L", "non-dropping-particle" : "", "parse-names" : false, "suffix" : "" }, { "dropping-particle" : "", "family" : "Foidart", "given" : "J M", "non-dropping-particle" : "", "parse-names" : false, "suffix" : "" }, { "dropping-particle" : "", "family" : "Birembaut", "given" : "P", "non-dropping-particle" : "", "parse-names" : false, "suffix" : "" } ], "container-title" : "Journal of cell science", "id" : "ITEM-3", "issued" : { "date-parts" : [ [ "1999" ] ] }, "page" : "4615-4625", "title" : "Vimentin contributes to human mammary epithelial cell migration.", "type" : "article-journal", "volume" : "112 ( Pt 2" }, "uris" : [ "http://www.mendeley.com/documents/?uuid=af117a2c-e5c0-4657-906e-2fb4aaf655e2" ] } ], "mendeley" : { "formattedCitation" : "&lt;sup&gt;[32,34,35]&lt;/sup&gt;", "plainTextFormattedCitation" : "[32,34,35]", "previouslyFormattedCitation" : "&lt;sup&gt;[32,34,35]&lt;/sup&gt;" }, "properties" : {  }, "schema" : "https://github.com/citation-style-language/schema/raw/master/csl-citation.json" }</w:instrText>
      </w:r>
      <w:r w:rsidR="00234258" w:rsidRPr="00A42287">
        <w:rPr>
          <w:b/>
          <w:caps/>
        </w:rPr>
        <w:fldChar w:fldCharType="separate"/>
      </w:r>
      <w:r w:rsidR="003576F0" w:rsidRPr="00A42287">
        <w:rPr>
          <w:noProof/>
          <w:vertAlign w:val="superscript"/>
        </w:rPr>
        <w:t>[32,34,35]</w:t>
      </w:r>
      <w:r w:rsidR="00234258" w:rsidRPr="00A42287">
        <w:rPr>
          <w:b/>
          <w:caps/>
        </w:rPr>
        <w:fldChar w:fldCharType="end"/>
      </w:r>
    </w:p>
    <w:p w:rsidR="00444DB4" w:rsidRPr="00A42287" w:rsidRDefault="00444DB4" w:rsidP="00FC2F7A">
      <w:pPr>
        <w:pStyle w:val="TESupportingInfoTitle"/>
      </w:pPr>
    </w:p>
    <w:p w:rsidR="00444DB4" w:rsidRPr="00A42287" w:rsidRDefault="00444DB4" w:rsidP="00FC2F7A">
      <w:pPr>
        <w:pStyle w:val="TESupportingInfoTitle"/>
        <w:rPr>
          <w:caps/>
        </w:rPr>
      </w:pPr>
      <w:r w:rsidRPr="00A42287">
        <w:rPr>
          <w:b/>
          <w:bCs/>
        </w:rPr>
        <w:t xml:space="preserve">Expression of Vimentin mRNA in damaged tissue </w:t>
      </w:r>
      <w:r w:rsidRPr="00A42287">
        <w:rPr>
          <w:b/>
          <w:bCs/>
          <w:i/>
          <w:iCs/>
        </w:rPr>
        <w:t>ex vivo</w:t>
      </w:r>
      <w:r w:rsidRPr="00A42287">
        <w:rPr>
          <w:i/>
          <w:iCs/>
        </w:rPr>
        <w:t>.</w:t>
      </w:r>
    </w:p>
    <w:p w:rsidR="006137DD" w:rsidRDefault="00FC2F7A" w:rsidP="003576F0">
      <w:pPr>
        <w:pStyle w:val="TESupportingInfoTitle"/>
      </w:pPr>
      <w:r w:rsidRPr="00A42287">
        <w:t xml:space="preserve">  </w:t>
      </w:r>
      <w:r w:rsidR="00444DB4" w:rsidRPr="00A42287">
        <w:t xml:space="preserve">After demonstrating the ability of our nanoprobes to </w:t>
      </w:r>
      <w:r w:rsidR="00444DB4" w:rsidRPr="00A42287">
        <w:rPr>
          <w:lang w:eastAsia="ko-KR"/>
        </w:rPr>
        <w:t>sense</w:t>
      </w:r>
      <w:r w:rsidR="00444DB4" w:rsidRPr="00A42287">
        <w:t xml:space="preserve"> Vimentin mRNA in both </w:t>
      </w:r>
      <w:r w:rsidR="00444DB4" w:rsidRPr="00A42287">
        <w:rPr>
          <w:lang w:eastAsia="ko-KR"/>
        </w:rPr>
        <w:t>confluent</w:t>
      </w:r>
      <w:r w:rsidR="00444DB4" w:rsidRPr="00A42287">
        <w:t xml:space="preserve"> and migrating cells, we moved to a more complex structure using </w:t>
      </w:r>
      <w:r w:rsidR="00444DB4" w:rsidRPr="00A42287">
        <w:rPr>
          <w:lang w:eastAsia="ko-KR"/>
        </w:rPr>
        <w:t xml:space="preserve">a damaged skin tissue model. </w:t>
      </w:r>
      <w:r w:rsidR="00444DB4" w:rsidRPr="00A42287">
        <w:t xml:space="preserve">Various types of tissue models have been used in different studies to investigate wound healing. </w:t>
      </w:r>
      <w:r w:rsidR="00234258" w:rsidRPr="00A42287">
        <w:rPr>
          <w:b/>
          <w:caps/>
        </w:rPr>
        <w:fldChar w:fldCharType="begin" w:fldLock="1"/>
      </w:r>
      <w:r w:rsidR="003576F0" w:rsidRPr="00A42287">
        <w:instrText>ADDIN CSL_CITATION { "citationItems" : [ { "id" : "ITEM-1", "itemData" : { "DOI" : "10.1002/mabi.201200262", "ISBN" : "1616-5195", "ISSN" : "16165187", "PMID" : "23161763", "abstract" : "Current approaches to skin equivalents often only include the epidermis and dermis. Here, a full-thickness skin equivalent is described including epidermis, dermis, and hypodermis, that could serve as an in vitro model for studying skin biology or as a platform for consumer product testing. The construct is easy to handle and is maintained for &gt;14 d while expressing physiological morphologies of the epidermis and dermis, seen by keratin 10, collagens I and IV expression. The skin equivalent produces glycerol and leptin, markers of adipose metabolism. This work serves as a foundation for understanding a few necessary factors needed to develop a stable, functional model of full-thickness skin.", "author" : [ { "dropping-particle" : "", "family" : "Bellas", "given" : "Evangelia", "non-dropping-particle" : "", "parse-names" : false, "suffix" : "" }, { "dropping-particle" : "", "family" : "Seiberg", "given" : "Miri", "non-dropping-particle" : "", "parse-names" : false, "suffix" : "" }, { "dropping-particle" : "", "family" : "Garlick", "given" : "Jonathan", "non-dropping-particle" : "", "parse-names" : false, "suffix" : "" }, { "dropping-particle" : "", "family" : "Kaplan", "given" : "David L.", "non-dropping-particle" : "", "parse-names" : false, "suffix" : "" } ], "container-title" : "Macromolecular Bioscience", "id" : "ITEM-1", "issue" : "12", "issued" : { "date-parts" : [ [ "2012" ] ] }, "page" : "1627-1636", "title" : "In vitro 3D Full-Thickness Skin-Equivalent Tissue Model Using Silk and Collagen Biomaterials", "type" : "article-journal", "volume" : "12" }, "uris" : [ "http://www.mendeley.com/documents/?uuid=50669f22-25d9-4986-bb59-082ea4c355ef" ] } ], "mendeley" : { "formattedCitation" : "&lt;sup&gt;[36]&lt;/sup&gt;", "plainTextFormattedCitation" : "[36]", "previouslyFormattedCitation" : "&lt;sup&gt;[36]&lt;/sup&gt;" }, "properties" : {  }, "schema" : "https://github.com/citation-style-language/schema/raw/master/csl-citation.json" }</w:instrText>
      </w:r>
      <w:r w:rsidR="00234258" w:rsidRPr="00A42287">
        <w:rPr>
          <w:b/>
          <w:caps/>
        </w:rPr>
        <w:fldChar w:fldCharType="separate"/>
      </w:r>
      <w:r w:rsidR="003576F0" w:rsidRPr="00A42287">
        <w:rPr>
          <w:noProof/>
          <w:vertAlign w:val="superscript"/>
        </w:rPr>
        <w:t>[36]</w:t>
      </w:r>
      <w:r w:rsidR="00234258" w:rsidRPr="00A42287">
        <w:rPr>
          <w:b/>
          <w:caps/>
        </w:rPr>
        <w:fldChar w:fldCharType="end"/>
      </w:r>
      <w:r w:rsidR="00444DB4" w:rsidRPr="00A42287">
        <w:rPr>
          <w:vertAlign w:val="superscript"/>
          <w:lang w:eastAsia="ko-KR"/>
        </w:rPr>
        <w:t>,</w:t>
      </w:r>
      <w:r w:rsidR="00234258" w:rsidRPr="00A42287">
        <w:rPr>
          <w:b/>
          <w:caps/>
        </w:rPr>
        <w:fldChar w:fldCharType="begin" w:fldLock="1"/>
      </w:r>
      <w:r w:rsidR="003576F0" w:rsidRPr="00A42287">
        <w:instrText>ADDIN CSL_CITATION { "citationItems" : [ { "id" : "ITEM-1", "itemData" : { "DOI" : "10.1016/j.cps.2011.09.005", "ISBN" : "1558-0504 (Electronic)\\r0094-1298 (Linking)", "ISSN" : "00941298", "PMID" : "21856533", "abstract" : "It is important to understand the histology and physiology of skin for the prediction and optimization of wound healing. Optimal postoperative wound healing to minimize scarring entails minimizing local, systemic, and environmental factors that lead to poor wound healing. Keeping the wound clean and moist, minimizing trauma, and infection are the local wound tenets. Systemic tenets include minimizing medications that inhibit processes of wound healing, maintaining adequate nutrition, pain palliation, UV protection, and smoking cessation. This article presents the dynamic process of wound healing and the basic tenets to minimize scarring. \u00a9 2012 Elsevier Inc.", "author" : [ { "dropping-particle" : "", "family" : "Gantwerker", "given" : "Eric A.", "non-dropping-particle" : "", "parse-names" : false, "suffix" : "" }, { "dropping-particle" : "", "family" : "Hom", "given" : "David B.", "non-dropping-particle" : "", "parse-names" : false, "suffix" : "" } ], "container-title" : "Clinics in Plastic Surgery", "id" : "ITEM-1", "issue" : "1", "issued" : { "date-parts" : [ [ "2012" ] ] }, "page" : "85-97", "title" : "Skin: Histology and physiology of wound healing", "type" : "article", "volume" : "39" }, "uris" : [ "http://www.mendeley.com/documents/?uuid=60e5e242-be87-442f-a038-dc6d5f369236" ] }, { "id" : "ITEM-2", "itemData" : { "DOI" : "10.1136/bmj.326.7380.88", "ISBN" : "1468-5833 (Electronic)", "ISSN" : "09598138", "PMID" : "12521975", "abstract" : "... Scar formation: the spectral nature of fetal and adult wound repair. ... by invasive treatment for a year to mature before any judgment is made on their appearance. ... It is important to distinguish between hypertrophic and keloid scars as inappropriate management can lead to ... \\n", "author" : [ { "dropping-particle" : "", "family" : "Bayat", "given" : "A", "non-dropping-particle" : "", "parse-names" : false, "suffix" : "" }, { "dropping-particle" : "", "family" : "McGrouther", "given" : "D A", "non-dropping-particle" : "", "parse-names" : false, "suffix" : "" }, { "dropping-particle" : "", "family" : "Ferguson", "given" : "M W J", "non-dropping-particle" : "", "parse-names" : false, "suffix" : "" } ], "container-title" : "BMJ (Clinical research ed.)", "id" : "ITEM-2", "issue" : "7380", "issued" : { "date-parts" : [ [ "2003" ] ] }, "page" : "88-92", "title" : "Skin scarring.", "type" : "article-journal", "volume" : "326" }, "uris" : [ "http://www.mendeley.com/documents/?uuid=0b7362f6-f1e0-4a1e-a0ed-566ff56bd0fe" ] } ], "mendeley" : { "formattedCitation" : "&lt;sup&gt;[37,38]&lt;/sup&gt;", "plainTextFormattedCitation" : "[37,38]", "previouslyFormattedCitation" : "&lt;sup&gt;[37,38]&lt;/sup&gt;" }, "properties" : {  }, "schema" : "https://github.com/citation-style-language/schema/raw/master/csl-citation.json" }</w:instrText>
      </w:r>
      <w:r w:rsidR="00234258" w:rsidRPr="00A42287">
        <w:rPr>
          <w:b/>
          <w:caps/>
        </w:rPr>
        <w:fldChar w:fldCharType="separate"/>
      </w:r>
      <w:r w:rsidR="003576F0" w:rsidRPr="00A42287">
        <w:rPr>
          <w:noProof/>
          <w:vertAlign w:val="superscript"/>
        </w:rPr>
        <w:t>[37,38]</w:t>
      </w:r>
      <w:r w:rsidR="00234258" w:rsidRPr="00A42287">
        <w:rPr>
          <w:b/>
          <w:caps/>
        </w:rPr>
        <w:fldChar w:fldCharType="end"/>
      </w:r>
      <w:r w:rsidR="00444DB4" w:rsidRPr="00A42287">
        <w:t xml:space="preserve"> </w:t>
      </w:r>
      <w:r w:rsidR="00444DB4" w:rsidRPr="00A42287">
        <w:rPr>
          <w:lang w:eastAsia="ko-KR"/>
        </w:rPr>
        <w:t xml:space="preserve">For our studies, </w:t>
      </w:r>
      <w:r w:rsidR="00444DB4" w:rsidRPr="00A42287">
        <w:t xml:space="preserve">dorsal murine skin of new-born mice was injected with Vimentin DNA gold nanoprobes. The site of injection was also the site where the tissue was wounded (see </w:t>
      </w:r>
      <w:r w:rsidR="00444DB4" w:rsidRPr="00A42287">
        <w:rPr>
          <w:b/>
          <w:bCs/>
        </w:rPr>
        <w:t>Scheme 2</w:t>
      </w:r>
      <w:r w:rsidR="00444DB4" w:rsidRPr="00A42287">
        <w:t xml:space="preserve">). </w:t>
      </w:r>
    </w:p>
    <w:p w:rsidR="006137DD" w:rsidRDefault="006137DD" w:rsidP="003576F0">
      <w:pPr>
        <w:pStyle w:val="TESupportingInfoTitle"/>
      </w:pPr>
      <w:r>
        <w:rPr>
          <w:noProof/>
          <w:lang w:val="en-GB" w:eastAsia="en-GB"/>
        </w:rPr>
        <w:drawing>
          <wp:anchor distT="0" distB="0" distL="114300" distR="114300" simplePos="0" relativeHeight="251660288" behindDoc="1" locked="0" layoutInCell="1" allowOverlap="1" wp14:anchorId="1109A032" wp14:editId="3953486D">
            <wp:simplePos x="0" y="0"/>
            <wp:positionH relativeFrom="column">
              <wp:posOffset>897255</wp:posOffset>
            </wp:positionH>
            <wp:positionV relativeFrom="paragraph">
              <wp:posOffset>117475</wp:posOffset>
            </wp:positionV>
            <wp:extent cx="4445635" cy="2977515"/>
            <wp:effectExtent l="0" t="0" r="0" b="0"/>
            <wp:wrapTight wrapText="bothSides">
              <wp:wrapPolygon edited="0">
                <wp:start x="0" y="0"/>
                <wp:lineTo x="0" y="21420"/>
                <wp:lineTo x="21474" y="21420"/>
                <wp:lineTo x="21474" y="0"/>
                <wp:lineTo x="0" y="0"/>
              </wp:wrapPolygon>
            </wp:wrapTight>
            <wp:docPr id="6" name="Picture 1" descr="C:\Users\Patrick\AppData\Local\Microsoft\Windows\INetCache\Content.Word\Scheme 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INetCache\Content.Word\Scheme 2.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5635" cy="29775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137DD" w:rsidRDefault="006137DD" w:rsidP="003576F0">
      <w:pPr>
        <w:pStyle w:val="TESupportingInfoTitle"/>
      </w:pPr>
    </w:p>
    <w:p w:rsidR="006137DD" w:rsidRPr="00913847"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Default="006137DD" w:rsidP="006137DD">
      <w:pPr>
        <w:pStyle w:val="FCChartFootnote"/>
        <w:rPr>
          <w:rFonts w:ascii="Times New Roman" w:hAnsi="Times New Roman"/>
          <w:b/>
          <w:sz w:val="24"/>
          <w:szCs w:val="24"/>
        </w:rPr>
      </w:pPr>
    </w:p>
    <w:p w:rsidR="006137DD" w:rsidRPr="00913847" w:rsidRDefault="006137DD" w:rsidP="006137DD">
      <w:pPr>
        <w:pStyle w:val="FCChartFootnote"/>
        <w:rPr>
          <w:rFonts w:ascii="Times New Roman" w:hAnsi="Times New Roman"/>
          <w:sz w:val="24"/>
          <w:szCs w:val="24"/>
        </w:rPr>
      </w:pPr>
      <w:r w:rsidRPr="00913847">
        <w:rPr>
          <w:rFonts w:ascii="Times New Roman" w:hAnsi="Times New Roman"/>
          <w:b/>
          <w:sz w:val="24"/>
          <w:szCs w:val="24"/>
        </w:rPr>
        <w:t>Scheme 2. Schematic illustration of the i</w:t>
      </w:r>
      <w:r w:rsidRPr="00913847">
        <w:rPr>
          <w:rFonts w:ascii="Times New Roman" w:hAnsi="Times New Roman"/>
          <w:b/>
          <w:color w:val="000000"/>
          <w:sz w:val="24"/>
          <w:szCs w:val="24"/>
          <w:lang w:eastAsia="ko-KR"/>
        </w:rPr>
        <w:t xml:space="preserve">njection of Vimentin DNA gold nanoprobes into </w:t>
      </w:r>
      <w:r w:rsidRPr="00913847">
        <w:rPr>
          <w:rFonts w:ascii="Times New Roman" w:hAnsi="Times New Roman"/>
          <w:b/>
          <w:i/>
          <w:iCs/>
          <w:color w:val="000000"/>
          <w:sz w:val="24"/>
          <w:szCs w:val="24"/>
          <w:lang w:eastAsia="ko-KR"/>
        </w:rPr>
        <w:t>ex vivo</w:t>
      </w:r>
      <w:r w:rsidRPr="00913847">
        <w:rPr>
          <w:rFonts w:ascii="Times New Roman" w:hAnsi="Times New Roman"/>
          <w:b/>
          <w:color w:val="000000"/>
          <w:sz w:val="24"/>
          <w:szCs w:val="24"/>
          <w:lang w:eastAsia="ko-KR"/>
        </w:rPr>
        <w:t xml:space="preserve"> murine skin</w:t>
      </w:r>
      <w:r w:rsidRPr="00913847">
        <w:rPr>
          <w:rFonts w:ascii="Times New Roman" w:hAnsi="Times New Roman"/>
          <w:b/>
          <w:color w:val="000000"/>
          <w:sz w:val="24"/>
          <w:szCs w:val="24"/>
        </w:rPr>
        <w:t>.</w:t>
      </w:r>
      <w:r w:rsidRPr="00913847">
        <w:rPr>
          <w:rFonts w:ascii="Times New Roman" w:hAnsi="Times New Roman"/>
          <w:sz w:val="24"/>
          <w:szCs w:val="24"/>
        </w:rPr>
        <w:t xml:space="preserve"> Nanoprobes for the detection of Vimentin mRNA were injected into dorsal murine skin samples. The injection site simultaneously creates an artificial wound and the nanoprobes are released across different regions of the tissue to achieve a comprehensive exposure.</w:t>
      </w:r>
    </w:p>
    <w:p w:rsidR="006137DD" w:rsidRDefault="006137DD" w:rsidP="003576F0">
      <w:pPr>
        <w:pStyle w:val="TESupportingInfoTitle"/>
      </w:pPr>
    </w:p>
    <w:p w:rsidR="00444DB4" w:rsidRPr="00A42287" w:rsidRDefault="00444DB4" w:rsidP="003576F0">
      <w:pPr>
        <w:pStyle w:val="TESupportingInfoTitle"/>
        <w:rPr>
          <w:bCs/>
          <w:caps/>
          <w:lang w:val="en-GB"/>
        </w:rPr>
      </w:pPr>
      <w:r w:rsidRPr="00A42287">
        <w:lastRenderedPageBreak/>
        <w:t>As the syringe is retracted from the tissue sample, the nanoprobes are slowly released and can be taken up by cells in close proximity to the as-created wound.</w:t>
      </w:r>
      <w:r w:rsidRPr="00A42287">
        <w:rPr>
          <w:lang w:eastAsia="ko-KR"/>
        </w:rPr>
        <w:t xml:space="preserve"> Thus the experiment had a two-fold purpose: firstly to create an artificial wound in the skin and secondly to simultaneously release the Vimentin DNA gold nanoprobes across the whole wounded region (from the dermis to the stratum corneum)</w:t>
      </w:r>
      <w:r w:rsidRPr="00A42287">
        <w:t>.</w:t>
      </w:r>
    </w:p>
    <w:p w:rsidR="006137DD" w:rsidRDefault="00FC2F7A" w:rsidP="00225FEA">
      <w:pPr>
        <w:pStyle w:val="TESupportingInfoTitle"/>
        <w:rPr>
          <w:lang w:eastAsia="ko-KR"/>
        </w:rPr>
      </w:pPr>
      <w:r w:rsidRPr="00A42287">
        <w:t xml:space="preserve"> </w:t>
      </w:r>
      <w:r w:rsidR="00444DB4" w:rsidRPr="00A42287">
        <w:t xml:space="preserve">We note that the local injection of nanoprobes in the wound site results in much higher doses of fluorescent probes around the wound edge than deeper inside the tissue. Therefore, the results here serve to identify the local EMT dynamics and do not allow full quantitative mapping in the tissue sample away from the wound site. After 6 h of incubation, the skin was fixed, embedded </w:t>
      </w:r>
      <w:r w:rsidR="00444DB4" w:rsidRPr="00A42287">
        <w:rPr>
          <w:lang w:eastAsia="ko-KR"/>
        </w:rPr>
        <w:t xml:space="preserve">in a polymeric matrix </w:t>
      </w:r>
      <w:r w:rsidR="00444DB4" w:rsidRPr="00A42287">
        <w:t>and sectioned (see</w:t>
      </w:r>
      <w:r w:rsidR="00444DB4" w:rsidRPr="00A42287">
        <w:rPr>
          <w:lang w:eastAsia="ko-KR"/>
        </w:rPr>
        <w:t xml:space="preserve"> e</w:t>
      </w:r>
      <w:r w:rsidR="00444DB4" w:rsidRPr="00A42287">
        <w:t>xperimental section</w:t>
      </w:r>
      <w:r w:rsidR="00444DB4" w:rsidRPr="00A42287">
        <w:rPr>
          <w:lang w:eastAsia="ko-KR"/>
        </w:rPr>
        <w:t xml:space="preserve"> for details</w:t>
      </w:r>
      <w:r w:rsidR="00444DB4" w:rsidRPr="00A42287">
        <w:t>).</w:t>
      </w:r>
      <w:r w:rsidR="00444DB4" w:rsidRPr="00A42287">
        <w:rPr>
          <w:lang w:eastAsia="ko-KR"/>
        </w:rPr>
        <w:t xml:space="preserve"> </w:t>
      </w:r>
      <w:r w:rsidR="00444DB4" w:rsidRPr="00A42287">
        <w:rPr>
          <w:b/>
        </w:rPr>
        <w:t>Figure 3</w:t>
      </w:r>
      <w:r w:rsidR="00444DB4" w:rsidRPr="00A42287">
        <w:t xml:space="preserve"> shows confocal microscopy images of wounded regions of the skin. After incubation with Vimentin DNA gold nanoprobes, a strong fluorescence </w:t>
      </w:r>
      <w:r w:rsidR="00444DB4" w:rsidRPr="00A42287">
        <w:rPr>
          <w:lang w:eastAsia="ko-KR"/>
        </w:rPr>
        <w:t>attributed</w:t>
      </w:r>
      <w:r w:rsidR="00444DB4" w:rsidRPr="00A42287">
        <w:t xml:space="preserve"> to the presence of Vimentin mRNA could be observed (Figure 3a). A higher magnification image of the wound site (Figure 3b) shows that the strongest signal is located at the wound edge, where cells were most affected by the creation of the wound and undergoing EMT. This is in agreement with cell studies from the scratch assay as discussed previously.</w:t>
      </w:r>
      <w:r w:rsidR="00444DB4" w:rsidRPr="00A42287">
        <w:rPr>
          <w:lang w:eastAsia="ko-KR"/>
        </w:rPr>
        <w:t xml:space="preserve"> On the other hand, when scramble DNA-coated gold nanoprobes were used (see Table S1 for the oligonucleotide sequence) no fluorescent signal from the flare strand was observable (see figure S4). This suggests that </w:t>
      </w:r>
    </w:p>
    <w:p w:rsidR="006137DD" w:rsidRDefault="006137DD" w:rsidP="00225FEA">
      <w:pPr>
        <w:pStyle w:val="TESupportingInfoTitle"/>
        <w:rPr>
          <w:lang w:eastAsia="ko-KR"/>
        </w:rPr>
      </w:pPr>
      <w:r>
        <w:rPr>
          <w:noProof/>
          <w:lang w:val="en-GB" w:eastAsia="en-GB"/>
        </w:rPr>
        <w:drawing>
          <wp:inline distT="0" distB="0" distL="0" distR="0" wp14:anchorId="3EBD51F1" wp14:editId="7FFD625D">
            <wp:extent cx="4963795" cy="2339340"/>
            <wp:effectExtent l="19050" t="0" r="8255"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r="32959"/>
                    <a:stretch>
                      <a:fillRect/>
                    </a:stretch>
                  </pic:blipFill>
                  <pic:spPr bwMode="auto">
                    <a:xfrm>
                      <a:off x="0" y="0"/>
                      <a:ext cx="4963795" cy="2339340"/>
                    </a:xfrm>
                    <a:prstGeom prst="rect">
                      <a:avLst/>
                    </a:prstGeom>
                    <a:noFill/>
                    <a:ln w="9525">
                      <a:noFill/>
                      <a:miter lim="800000"/>
                      <a:headEnd/>
                      <a:tailEnd/>
                    </a:ln>
                  </pic:spPr>
                </pic:pic>
              </a:graphicData>
            </a:graphic>
          </wp:inline>
        </w:drawing>
      </w:r>
    </w:p>
    <w:p w:rsidR="006137DD" w:rsidRPr="00913847" w:rsidRDefault="006137DD" w:rsidP="006137DD">
      <w:pPr>
        <w:jc w:val="center"/>
        <w:rPr>
          <w:b/>
          <w:bCs/>
          <w:lang w:eastAsia="ko-KR"/>
        </w:rPr>
      </w:pPr>
    </w:p>
    <w:p w:rsidR="006137DD" w:rsidRPr="0061118B" w:rsidRDefault="006137DD" w:rsidP="006137DD">
      <w:pPr>
        <w:pStyle w:val="TESupportingInfoTitle"/>
      </w:pPr>
      <w:r w:rsidRPr="0061118B">
        <w:rPr>
          <w:b/>
          <w:bCs/>
          <w:lang w:eastAsia="ko-KR"/>
        </w:rPr>
        <w:t xml:space="preserve">Figure 3. Detection of Vimentin mRNA in sections of a skin wound site. </w:t>
      </w:r>
      <w:r w:rsidRPr="0061118B">
        <w:t>Confocal microscopy images of skin sections (thickness: 2 µm) 6 hours after nanoprobe injection. Skin was injected with Vimentin DNA gold nanoprobes [(a) and (b) magnified image)]. Nuclear counterstain (green), Flare strand Cy5 (red) [(Scale bars are:</w:t>
      </w:r>
      <w:r w:rsidRPr="0061118B">
        <w:rPr>
          <w:lang w:eastAsia="ko-KR"/>
        </w:rPr>
        <w:t xml:space="preserve"> 1 mm for (a) and</w:t>
      </w:r>
      <w:r w:rsidRPr="0061118B">
        <w:t xml:space="preserve"> 500 µm for (b)]. White arrows indicate the direction of the injection.</w:t>
      </w:r>
    </w:p>
    <w:p w:rsidR="006137DD" w:rsidRDefault="006137DD" w:rsidP="00225FEA">
      <w:pPr>
        <w:pStyle w:val="TESupportingInfoTitle"/>
        <w:rPr>
          <w:lang w:eastAsia="ko-KR"/>
        </w:rPr>
      </w:pPr>
    </w:p>
    <w:p w:rsidR="00444DB4" w:rsidRPr="00A42287" w:rsidRDefault="00444DB4" w:rsidP="00225FEA">
      <w:pPr>
        <w:pStyle w:val="TESupportingInfoTitle"/>
        <w:rPr>
          <w:lang w:eastAsia="ko-KR"/>
        </w:rPr>
      </w:pPr>
      <w:r w:rsidRPr="00A42287">
        <w:rPr>
          <w:lang w:eastAsia="ko-KR"/>
        </w:rPr>
        <w:lastRenderedPageBreak/>
        <w:t xml:space="preserve">Vimentin detection is specific and not a result of any non-specific interactions within the skin. Nevertheless, the use of thin </w:t>
      </w:r>
      <w:r w:rsidRPr="00A42287">
        <w:t xml:space="preserve">sections of fixed skin taken at certain incubation times does not </w:t>
      </w:r>
      <w:r w:rsidRPr="00A42287">
        <w:rPr>
          <w:lang w:eastAsia="ko-KR"/>
        </w:rPr>
        <w:t>give access to dynamic information of the mRNA detection in a single sample</w:t>
      </w:r>
      <w:r w:rsidRPr="00A42287">
        <w:t>. To</w:t>
      </w:r>
      <w:r w:rsidRPr="00A42287">
        <w:rPr>
          <w:lang w:eastAsia="ko-KR"/>
        </w:rPr>
        <w:t xml:space="preserve"> gain spatial and dynamic information from cells containing Vimentin mRNA in the wounded site</w:t>
      </w:r>
      <w:r w:rsidRPr="00A42287">
        <w:t>, we performed light sheet fluorescence microscopy (LSFM)</w:t>
      </w:r>
      <w:r w:rsidRPr="00A42287">
        <w:rPr>
          <w:lang w:eastAsia="ko-KR"/>
        </w:rPr>
        <w:t>. In this technique,</w:t>
      </w:r>
      <w:r w:rsidRPr="00A42287">
        <w:t xml:space="preserve"> a focused sheet of light scans the sample vertically to obtain an optical sectioning image stack (see a schematic illustration in Figure S5).</w:t>
      </w:r>
      <w:r w:rsidR="00234258" w:rsidRPr="00A42287">
        <w:rPr>
          <w:b/>
          <w:caps/>
        </w:rPr>
        <w:fldChar w:fldCharType="begin" w:fldLock="1"/>
      </w:r>
      <w:r w:rsidR="003576F0" w:rsidRPr="00A42287">
        <w:instrText>ADDIN CSL_CITATION { "citationItems" : [ { "id" : "ITEM-1", "itemData" : { "DOI" : "10.1369/0022155410394857", "ISBN" : "1551-5044 (Electronic)\\n0022-1554 (Linking)", "ISSN" : "0022-1554, 1551-5044", "PMID" : "21339178", "abstract" : "Light sheet fluorescence microscopy (LSFM) functions as a non-destructive microtome and microscope that uses a plane of light to optically section and view tissues with subcellular resolution. This method is well suited for imaging deep within transparent tissues or within whole organisms, and because tissues are exposed to only a thin plane of light, specimen photobleaching and phototoxicity are minimized compared to wide-field fluorescence, confocal, or multiphoton microscopy. LSFMs produce well-registered serial sections that are suitable for three-dimensional reconstruction of tissue structures. Because of a lack of a commercial LSFM microscope, numerous versions of light sheet microscopes have been constructed by different investigators. This review describes development of the technology, reviews existing devices, provides details of one LSFM device, and shows examples of images and three-dimensional reconstructions of tissues that were produced by LSFM.", "author" : [ { "dropping-particle" : "", "family" : "Santi", "given" : "Peter A.", "non-dropping-particle" : "", "parse-names" : false, "suffix" : "" } ], "container-title" : "Journal of Histochemistry &amp; Cytochemistry", "id" : "ITEM-1", "issue" : "2", "issued" : { "date-parts" : [ [ "2011" ] ] }, "page" : "129-138", "title" : "Light Sheet Fluorescence Microscopy A Review", "type" : "article-journal", "volume" : "59" }, "uris" : [ "http://www.mendeley.com/documents/?uuid=7f6b9110-069b-4fb1-a298-3ee985dd414a" ] } ], "mendeley" : { "formattedCitation" : "&lt;sup&gt;[39]&lt;/sup&gt;", "plainTextFormattedCitation" : "[39]", "previouslyFormattedCitation" : "&lt;sup&gt;[39]&lt;/sup&gt;" }, "properties" : {  }, "schema" : "https://github.com/citation-style-language/schema/raw/master/csl-citation.json" }</w:instrText>
      </w:r>
      <w:r w:rsidR="00234258" w:rsidRPr="00A42287">
        <w:rPr>
          <w:b/>
          <w:caps/>
        </w:rPr>
        <w:fldChar w:fldCharType="separate"/>
      </w:r>
      <w:r w:rsidR="003576F0" w:rsidRPr="00A42287">
        <w:rPr>
          <w:noProof/>
          <w:vertAlign w:val="superscript"/>
        </w:rPr>
        <w:t>[39]</w:t>
      </w:r>
      <w:r w:rsidR="00234258" w:rsidRPr="00A42287">
        <w:rPr>
          <w:b/>
          <w:caps/>
        </w:rPr>
        <w:fldChar w:fldCharType="end"/>
      </w:r>
      <w:r w:rsidRPr="00A42287">
        <w:t xml:space="preserve"> Optical sectioning allows for the </w:t>
      </w:r>
      <w:r w:rsidR="00225FEA" w:rsidRPr="00A42287">
        <w:t xml:space="preserve">qualitative </w:t>
      </w:r>
      <w:r w:rsidRPr="00A42287">
        <w:t xml:space="preserve">extraction of the three-dimensional fluorescence profile of </w:t>
      </w:r>
      <w:r w:rsidRPr="00A42287">
        <w:rPr>
          <w:lang w:eastAsia="ko-KR"/>
        </w:rPr>
        <w:t>tissue layers,</w:t>
      </w:r>
      <w:r w:rsidRPr="00A42287">
        <w:t xml:space="preserve"> which can have thicknesses in the range of a few nanometres to micrometres.</w:t>
      </w:r>
      <w:r w:rsidRPr="00A42287">
        <w:rPr>
          <w:lang w:eastAsia="ko-KR"/>
        </w:rPr>
        <w:t xml:space="preserve"> </w:t>
      </w:r>
      <w:r w:rsidR="001B5311" w:rsidRPr="00A42287">
        <w:rPr>
          <w:lang w:eastAsia="ko-KR"/>
        </w:rPr>
        <w:t>Moreover, t</w:t>
      </w:r>
      <w:r w:rsidR="00225FEA" w:rsidRPr="00A42287">
        <w:rPr>
          <w:lang w:eastAsia="ko-KR"/>
        </w:rPr>
        <w:t>he resulting data can be analy</w:t>
      </w:r>
      <w:r w:rsidR="001B5311" w:rsidRPr="00A42287">
        <w:rPr>
          <w:lang w:eastAsia="ko-KR"/>
        </w:rPr>
        <w:t>z</w:t>
      </w:r>
      <w:r w:rsidR="00225FEA" w:rsidRPr="00A42287">
        <w:rPr>
          <w:lang w:eastAsia="ko-KR"/>
        </w:rPr>
        <w:t xml:space="preserve">ed computationally in order to obtain spatial representation of the detected fluorescence signals.  </w:t>
      </w:r>
      <w:r w:rsidRPr="00A42287">
        <w:rPr>
          <w:lang w:eastAsia="ko-KR"/>
        </w:rPr>
        <w:t xml:space="preserve">Most importantly, LSFM is a </w:t>
      </w:r>
      <w:r w:rsidR="008B2ACE" w:rsidRPr="00A42287">
        <w:rPr>
          <w:lang w:eastAsia="ko-KR"/>
        </w:rPr>
        <w:t>non-destructive</w:t>
      </w:r>
      <w:r w:rsidRPr="00A42287">
        <w:rPr>
          <w:lang w:eastAsia="ko-KR"/>
        </w:rPr>
        <w:t xml:space="preserve"> technique where the skin</w:t>
      </w:r>
      <w:r w:rsidR="00F946AA" w:rsidRPr="00A42287">
        <w:rPr>
          <w:lang w:eastAsia="ko-KR"/>
        </w:rPr>
        <w:t xml:space="preserve"> sample</w:t>
      </w:r>
      <w:r w:rsidRPr="00A42287">
        <w:rPr>
          <w:lang w:eastAsia="ko-KR"/>
        </w:rPr>
        <w:t xml:space="preserve"> does not need to be sectioned physically, thus maintaining its complete original structure.</w:t>
      </w:r>
    </w:p>
    <w:p w:rsidR="006137DD" w:rsidRDefault="00FC2F7A" w:rsidP="00FC1ECC">
      <w:pPr>
        <w:pStyle w:val="FCChartFootnote"/>
        <w:spacing w:line="360" w:lineRule="auto"/>
        <w:rPr>
          <w:rFonts w:ascii="Times New Roman" w:hAnsi="Times New Roman"/>
          <w:sz w:val="24"/>
          <w:szCs w:val="24"/>
        </w:rPr>
      </w:pPr>
      <w:r w:rsidRPr="00A42287">
        <w:rPr>
          <w:rFonts w:ascii="Times New Roman" w:hAnsi="Times New Roman"/>
          <w:sz w:val="24"/>
          <w:szCs w:val="24"/>
        </w:rPr>
        <w:t xml:space="preserve"> </w:t>
      </w:r>
      <w:r w:rsidR="006137DD">
        <w:rPr>
          <w:noProof/>
          <w:lang w:eastAsia="en-GB"/>
        </w:rPr>
        <w:drawing>
          <wp:inline distT="0" distB="0" distL="0" distR="0" wp14:anchorId="7354AD85" wp14:editId="1291B278">
            <wp:extent cx="5723890" cy="3538855"/>
            <wp:effectExtent l="1905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23890" cy="3538855"/>
                    </a:xfrm>
                    <a:prstGeom prst="rect">
                      <a:avLst/>
                    </a:prstGeom>
                    <a:noFill/>
                    <a:ln w="9525">
                      <a:noFill/>
                      <a:miter lim="800000"/>
                      <a:headEnd/>
                      <a:tailEnd/>
                    </a:ln>
                  </pic:spPr>
                </pic:pic>
              </a:graphicData>
            </a:graphic>
          </wp:inline>
        </w:drawing>
      </w:r>
    </w:p>
    <w:p w:rsidR="006137DD" w:rsidRPr="00913847" w:rsidRDefault="006137DD" w:rsidP="006137DD">
      <w:pPr>
        <w:rPr>
          <w:b/>
          <w:bCs/>
        </w:rPr>
      </w:pPr>
    </w:p>
    <w:p w:rsidR="006137DD" w:rsidRPr="00913847" w:rsidRDefault="006137DD" w:rsidP="006137DD">
      <w:pPr>
        <w:pStyle w:val="FCChartFootnote"/>
        <w:rPr>
          <w:rFonts w:ascii="Times New Roman" w:hAnsi="Times New Roman"/>
          <w:bCs/>
          <w:caps/>
          <w:sz w:val="24"/>
          <w:szCs w:val="24"/>
        </w:rPr>
      </w:pPr>
      <w:r w:rsidRPr="00913847">
        <w:rPr>
          <w:rFonts w:ascii="Times New Roman" w:hAnsi="Times New Roman"/>
          <w:b/>
          <w:bCs/>
          <w:sz w:val="24"/>
          <w:szCs w:val="24"/>
        </w:rPr>
        <w:t>Figure 4. Time-lapse visualization of Vimentin mRNA in</w:t>
      </w:r>
      <w:r w:rsidRPr="00913847">
        <w:rPr>
          <w:rFonts w:ascii="Times New Roman" w:hAnsi="Times New Roman"/>
          <w:b/>
          <w:bCs/>
          <w:sz w:val="24"/>
          <w:szCs w:val="24"/>
          <w:lang w:eastAsia="ko-KR"/>
        </w:rPr>
        <w:t xml:space="preserve"> skin tissue using light-sheet microscopy</w:t>
      </w:r>
      <w:r w:rsidRPr="00913847">
        <w:rPr>
          <w:rFonts w:ascii="Times New Roman" w:hAnsi="Times New Roman"/>
          <w:b/>
          <w:bCs/>
          <w:sz w:val="24"/>
          <w:szCs w:val="24"/>
        </w:rPr>
        <w:t xml:space="preserve">. </w:t>
      </w:r>
      <w:r w:rsidRPr="00913847">
        <w:rPr>
          <w:rFonts w:ascii="Times New Roman" w:hAnsi="Times New Roman"/>
          <w:sz w:val="24"/>
          <w:szCs w:val="24"/>
        </w:rPr>
        <w:t>(a-g)</w:t>
      </w:r>
      <w:r w:rsidRPr="00913847">
        <w:rPr>
          <w:rFonts w:ascii="Times New Roman" w:hAnsi="Times New Roman"/>
          <w:b/>
          <w:bCs/>
          <w:sz w:val="24"/>
          <w:szCs w:val="24"/>
        </w:rPr>
        <w:t xml:space="preserve"> </w:t>
      </w:r>
      <w:r w:rsidRPr="00913847">
        <w:rPr>
          <w:rFonts w:ascii="Times New Roman" w:hAnsi="Times New Roman"/>
          <w:bCs/>
          <w:sz w:val="24"/>
          <w:szCs w:val="24"/>
        </w:rPr>
        <w:t>Light sheet microscopy images for times ranging from 0 – 6 hours after injection with 100 pmol of the Vimentin DNA gold nanoprobes</w:t>
      </w:r>
      <w:r w:rsidRPr="00913847">
        <w:rPr>
          <w:rFonts w:ascii="Times New Roman" w:hAnsi="Times New Roman"/>
          <w:sz w:val="24"/>
          <w:szCs w:val="24"/>
        </w:rPr>
        <w:t>. The Cy5 signal (red) is shown together with the</w:t>
      </w:r>
      <w:r>
        <w:rPr>
          <w:rFonts w:ascii="Times New Roman" w:hAnsi="Times New Roman"/>
          <w:sz w:val="24"/>
          <w:szCs w:val="24"/>
        </w:rPr>
        <w:t xml:space="preserve"> cellular</w:t>
      </w:r>
      <w:r w:rsidRPr="00913847">
        <w:rPr>
          <w:rFonts w:ascii="Times New Roman" w:hAnsi="Times New Roman"/>
          <w:sz w:val="24"/>
          <w:szCs w:val="24"/>
        </w:rPr>
        <w:t xml:space="preserve"> regions of the skin (represented by the blue channel-DAPI) and RhodB (green) released at the injection site. Arrows indicate the direction of injection. Scale bars are 1 mm. (h) Relative fluorescence increase in channel corresponding to Cy5 nanoprobes integrated over the tissue volume, as obtained from light-sheet microscopy images. Final time-point (6 h) being approximately 70% higher than the initial signal. (***p&lt;0.0001 Two-Way ANOVA).</w:t>
      </w:r>
    </w:p>
    <w:p w:rsidR="00444DB4" w:rsidRPr="00A42287" w:rsidRDefault="00FC2F7A" w:rsidP="00FC1ECC">
      <w:pPr>
        <w:pStyle w:val="FCChartFootnote"/>
        <w:spacing w:line="360" w:lineRule="auto"/>
        <w:rPr>
          <w:rFonts w:ascii="Times New Roman" w:hAnsi="Times New Roman"/>
          <w:sz w:val="24"/>
          <w:szCs w:val="24"/>
        </w:rPr>
      </w:pPr>
      <w:r w:rsidRPr="00A42287">
        <w:rPr>
          <w:rFonts w:ascii="Times New Roman" w:hAnsi="Times New Roman"/>
          <w:sz w:val="24"/>
          <w:szCs w:val="24"/>
        </w:rPr>
        <w:lastRenderedPageBreak/>
        <w:t xml:space="preserve"> </w:t>
      </w:r>
      <w:r w:rsidR="00444DB4" w:rsidRPr="00A42287">
        <w:rPr>
          <w:rFonts w:ascii="Times New Roman" w:hAnsi="Times New Roman"/>
          <w:sz w:val="24"/>
          <w:szCs w:val="24"/>
        </w:rPr>
        <w:t>In order to facilitate the location of</w:t>
      </w:r>
      <w:r w:rsidR="00444DB4" w:rsidRPr="00A42287">
        <w:rPr>
          <w:rFonts w:ascii="Times New Roman" w:hAnsi="Times New Roman"/>
          <w:sz w:val="24"/>
          <w:szCs w:val="24"/>
          <w:lang w:eastAsia="ko-KR"/>
        </w:rPr>
        <w:t xml:space="preserve"> the wound</w:t>
      </w:r>
      <w:r w:rsidR="00444DB4" w:rsidRPr="00A42287">
        <w:rPr>
          <w:rFonts w:ascii="Times New Roman" w:hAnsi="Times New Roman"/>
          <w:sz w:val="24"/>
          <w:szCs w:val="24"/>
        </w:rPr>
        <w:t xml:space="preserve">, we incorporated Rhodamine B (RhodB) as a marker </w:t>
      </w:r>
      <w:r w:rsidR="00444DB4" w:rsidRPr="00A42287">
        <w:rPr>
          <w:rFonts w:ascii="Times New Roman" w:hAnsi="Times New Roman"/>
          <w:sz w:val="24"/>
          <w:szCs w:val="24"/>
          <w:lang w:eastAsia="ko-KR"/>
        </w:rPr>
        <w:t>during injection</w:t>
      </w:r>
      <w:r w:rsidR="00444DB4" w:rsidRPr="00A42287">
        <w:rPr>
          <w:rFonts w:ascii="Times New Roman" w:hAnsi="Times New Roman"/>
          <w:sz w:val="24"/>
          <w:szCs w:val="24"/>
        </w:rPr>
        <w:t xml:space="preserve">. As shown in </w:t>
      </w:r>
      <w:r w:rsidR="00444DB4" w:rsidRPr="00A42287">
        <w:rPr>
          <w:rFonts w:ascii="Times New Roman" w:hAnsi="Times New Roman"/>
          <w:b/>
          <w:bCs/>
          <w:sz w:val="24"/>
          <w:szCs w:val="24"/>
        </w:rPr>
        <w:t>Figure 4</w:t>
      </w:r>
      <w:r w:rsidR="00444DB4" w:rsidRPr="00A42287">
        <w:rPr>
          <w:rFonts w:ascii="Times New Roman" w:hAnsi="Times New Roman"/>
          <w:sz w:val="24"/>
          <w:szCs w:val="24"/>
        </w:rPr>
        <w:t xml:space="preserve">, the wound site </w:t>
      </w:r>
      <w:r w:rsidR="00444DB4" w:rsidRPr="00A42287">
        <w:rPr>
          <w:rFonts w:ascii="Times New Roman" w:hAnsi="Times New Roman"/>
          <w:sz w:val="24"/>
          <w:szCs w:val="24"/>
          <w:lang w:eastAsia="ko-KR"/>
        </w:rPr>
        <w:t>was clearly detectable by a fluorescent signal</w:t>
      </w:r>
      <w:r w:rsidR="00444DB4" w:rsidRPr="00A42287">
        <w:rPr>
          <w:rFonts w:ascii="Times New Roman" w:hAnsi="Times New Roman"/>
          <w:sz w:val="24"/>
          <w:szCs w:val="24"/>
        </w:rPr>
        <w:t xml:space="preserve"> immediately after injection (Figure 4a; animated reconstruction available as Supporting Information Media file). In order to visualise </w:t>
      </w:r>
      <w:r w:rsidR="00FC1ECC" w:rsidRPr="00A42287">
        <w:rPr>
          <w:rFonts w:ascii="Times New Roman" w:hAnsi="Times New Roman"/>
          <w:sz w:val="24"/>
          <w:szCs w:val="24"/>
        </w:rPr>
        <w:t xml:space="preserve">cellular </w:t>
      </w:r>
      <w:r w:rsidR="00444DB4" w:rsidRPr="00A42287">
        <w:rPr>
          <w:rFonts w:ascii="Times New Roman" w:hAnsi="Times New Roman"/>
          <w:sz w:val="24"/>
          <w:szCs w:val="24"/>
        </w:rPr>
        <w:t xml:space="preserve">regions of the skin, DAPI was used as a nuclear counter stain. As can be seen from Figure 4a, no fluorescent signal from the nanoprobes could be detected at this point. This was not surprising, since probes must </w:t>
      </w:r>
      <w:r w:rsidR="00444DB4" w:rsidRPr="00A42287">
        <w:rPr>
          <w:rFonts w:ascii="Times New Roman" w:hAnsi="Times New Roman"/>
          <w:sz w:val="24"/>
          <w:szCs w:val="24"/>
          <w:lang w:eastAsia="ko-KR"/>
        </w:rPr>
        <w:t>first be internalized by cells</w:t>
      </w:r>
      <w:r w:rsidR="00444DB4" w:rsidRPr="00A42287">
        <w:rPr>
          <w:rFonts w:ascii="Times New Roman" w:hAnsi="Times New Roman"/>
          <w:sz w:val="24"/>
          <w:szCs w:val="24"/>
        </w:rPr>
        <w:t xml:space="preserve"> prior to mRNA detection. With increasing time of incubation of up to 6 hours, an increasing fluorescent signal from </w:t>
      </w:r>
      <w:r w:rsidR="00444DB4" w:rsidRPr="00A42287">
        <w:rPr>
          <w:rFonts w:ascii="Times New Roman" w:hAnsi="Times New Roman"/>
          <w:sz w:val="24"/>
          <w:szCs w:val="24"/>
          <w:lang w:eastAsia="ko-KR"/>
        </w:rPr>
        <w:t>the</w:t>
      </w:r>
      <w:r w:rsidR="00444DB4" w:rsidRPr="00A42287">
        <w:rPr>
          <w:rFonts w:ascii="Times New Roman" w:hAnsi="Times New Roman"/>
          <w:sz w:val="24"/>
          <w:szCs w:val="24"/>
        </w:rPr>
        <w:t xml:space="preserve"> </w:t>
      </w:r>
      <w:r w:rsidR="00444DB4" w:rsidRPr="00A42287">
        <w:rPr>
          <w:rFonts w:ascii="Times New Roman" w:hAnsi="Times New Roman"/>
          <w:sz w:val="24"/>
          <w:szCs w:val="24"/>
          <w:lang w:eastAsia="ko-KR"/>
        </w:rPr>
        <w:t>flare strands</w:t>
      </w:r>
      <w:r w:rsidR="00444DB4" w:rsidRPr="00A42287">
        <w:rPr>
          <w:rFonts w:ascii="Times New Roman" w:hAnsi="Times New Roman"/>
          <w:sz w:val="24"/>
          <w:szCs w:val="24"/>
        </w:rPr>
        <w:t xml:space="preserve"> could be observed (Figure 4b-g, animated reconstruction available as Supporting Information Media files)</w:t>
      </w:r>
      <w:r w:rsidR="00444DB4" w:rsidRPr="00A42287">
        <w:rPr>
          <w:rFonts w:ascii="Times New Roman" w:hAnsi="Times New Roman"/>
          <w:sz w:val="24"/>
          <w:szCs w:val="24"/>
          <w:lang w:eastAsia="ko-KR"/>
        </w:rPr>
        <w:t>, indicating the presence of Vimentin mRNA</w:t>
      </w:r>
      <w:r w:rsidR="00444DB4" w:rsidRPr="00A42287">
        <w:rPr>
          <w:rFonts w:ascii="Times New Roman" w:hAnsi="Times New Roman"/>
          <w:sz w:val="24"/>
          <w:szCs w:val="24"/>
        </w:rPr>
        <w:t xml:space="preserve">. There was a good overlap between the flare strand fluorescence (red) and the </w:t>
      </w:r>
      <w:r w:rsidR="00FC1ECC" w:rsidRPr="00A42287">
        <w:rPr>
          <w:rFonts w:ascii="Times New Roman" w:hAnsi="Times New Roman"/>
          <w:sz w:val="24"/>
          <w:szCs w:val="24"/>
        </w:rPr>
        <w:t xml:space="preserve">cellular regions of the </w:t>
      </w:r>
      <w:r w:rsidR="00444DB4" w:rsidRPr="00A42287">
        <w:rPr>
          <w:rFonts w:ascii="Times New Roman" w:hAnsi="Times New Roman"/>
          <w:sz w:val="24"/>
          <w:szCs w:val="24"/>
        </w:rPr>
        <w:t>skin (blue) as well as the injection site (green). Furthermore, no fluorescent signal besides the nuclear counter stain DAPI and RhodB, was detected in skin samples incubated in various control conditions, which include the use of a scramble nanoprobe</w:t>
      </w:r>
      <w:r w:rsidR="00444DB4" w:rsidRPr="00A42287">
        <w:rPr>
          <w:rFonts w:ascii="Times New Roman" w:hAnsi="Times New Roman"/>
          <w:sz w:val="24"/>
          <w:szCs w:val="24"/>
          <w:lang w:eastAsia="ko-KR"/>
        </w:rPr>
        <w:t xml:space="preserve"> </w:t>
      </w:r>
      <w:r w:rsidR="00444DB4" w:rsidRPr="00A42287">
        <w:rPr>
          <w:rFonts w:ascii="Times New Roman" w:hAnsi="Times New Roman"/>
          <w:sz w:val="24"/>
          <w:szCs w:val="24"/>
        </w:rPr>
        <w:t xml:space="preserve">(Figure S6-7), confirming the specificity of the Vimentin nanoprobe signal. </w:t>
      </w:r>
    </w:p>
    <w:p w:rsidR="00444DB4" w:rsidRPr="00A42287" w:rsidRDefault="00FC2F7A" w:rsidP="003114A4">
      <w:pPr>
        <w:pStyle w:val="FCChartFootnote"/>
        <w:spacing w:line="360" w:lineRule="auto"/>
        <w:rPr>
          <w:rFonts w:ascii="Times New Roman" w:hAnsi="Times New Roman"/>
          <w:sz w:val="24"/>
          <w:szCs w:val="24"/>
        </w:rPr>
      </w:pPr>
      <w:r w:rsidRPr="00A42287">
        <w:rPr>
          <w:rFonts w:ascii="Times New Roman" w:hAnsi="Times New Roman"/>
          <w:sz w:val="24"/>
          <w:szCs w:val="24"/>
        </w:rPr>
        <w:t xml:space="preserve">  </w:t>
      </w:r>
      <w:r w:rsidR="00444DB4" w:rsidRPr="00A42287">
        <w:rPr>
          <w:rFonts w:ascii="Times New Roman" w:hAnsi="Times New Roman"/>
          <w:sz w:val="24"/>
          <w:szCs w:val="24"/>
        </w:rPr>
        <w:t xml:space="preserve">Since RhodB and DAPI fluorescence intensities </w:t>
      </w:r>
      <w:r w:rsidR="00444DB4" w:rsidRPr="00A42287">
        <w:rPr>
          <w:rFonts w:ascii="Times New Roman" w:hAnsi="Times New Roman"/>
          <w:sz w:val="24"/>
          <w:szCs w:val="24"/>
          <w:lang w:eastAsia="ko-KR"/>
        </w:rPr>
        <w:t>are</w:t>
      </w:r>
      <w:r w:rsidR="00444DB4" w:rsidRPr="00A42287">
        <w:rPr>
          <w:rFonts w:ascii="Times New Roman" w:hAnsi="Times New Roman"/>
          <w:sz w:val="24"/>
          <w:szCs w:val="24"/>
        </w:rPr>
        <w:t xml:space="preserve"> stable immediately after injection, we used these as a normalisation factor to determine the relative fluorescence intensity arising from the nanoprobes at </w:t>
      </w:r>
      <w:r w:rsidR="00444DB4" w:rsidRPr="00A42287">
        <w:rPr>
          <w:rFonts w:ascii="Times New Roman" w:hAnsi="Times New Roman"/>
          <w:sz w:val="24"/>
          <w:szCs w:val="24"/>
          <w:lang w:eastAsia="ko-KR"/>
        </w:rPr>
        <w:t>various</w:t>
      </w:r>
      <w:r w:rsidR="00444DB4" w:rsidRPr="00A42287">
        <w:rPr>
          <w:rFonts w:ascii="Times New Roman" w:hAnsi="Times New Roman"/>
          <w:sz w:val="24"/>
          <w:szCs w:val="24"/>
        </w:rPr>
        <w:t xml:space="preserve"> </w:t>
      </w:r>
      <w:r w:rsidR="00444DB4" w:rsidRPr="00A42287">
        <w:rPr>
          <w:rFonts w:ascii="Times New Roman" w:hAnsi="Times New Roman"/>
          <w:sz w:val="24"/>
          <w:szCs w:val="24"/>
          <w:lang w:eastAsia="ko-KR"/>
        </w:rPr>
        <w:t>intervals</w:t>
      </w:r>
      <w:r w:rsidR="00444DB4" w:rsidRPr="00A42287">
        <w:rPr>
          <w:rFonts w:ascii="Times New Roman" w:hAnsi="Times New Roman"/>
          <w:sz w:val="24"/>
          <w:szCs w:val="24"/>
        </w:rPr>
        <w:t>, taking into account sample to sample variations</w:t>
      </w:r>
      <w:r w:rsidR="00444DB4" w:rsidRPr="00A42287">
        <w:rPr>
          <w:rFonts w:ascii="Times New Roman" w:hAnsi="Times New Roman"/>
          <w:sz w:val="24"/>
          <w:szCs w:val="24"/>
          <w:lang w:eastAsia="ko-KR"/>
        </w:rPr>
        <w:t xml:space="preserve">. Figure 4h shows that </w:t>
      </w:r>
      <w:r w:rsidR="00444DB4" w:rsidRPr="00A42287">
        <w:rPr>
          <w:rFonts w:ascii="Times New Roman" w:hAnsi="Times New Roman"/>
          <w:sz w:val="24"/>
          <w:szCs w:val="24"/>
        </w:rPr>
        <w:t xml:space="preserve">2 h </w:t>
      </w:r>
      <w:r w:rsidR="00444DB4" w:rsidRPr="00A42287">
        <w:rPr>
          <w:rFonts w:ascii="Times New Roman" w:hAnsi="Times New Roman"/>
          <w:sz w:val="24"/>
          <w:szCs w:val="24"/>
          <w:lang w:eastAsia="ko-KR"/>
        </w:rPr>
        <w:t xml:space="preserve">after the </w:t>
      </w:r>
      <w:r w:rsidR="00444DB4" w:rsidRPr="00A42287">
        <w:rPr>
          <w:rFonts w:ascii="Times New Roman" w:hAnsi="Times New Roman"/>
          <w:sz w:val="24"/>
          <w:szCs w:val="24"/>
        </w:rPr>
        <w:t>injection a</w:t>
      </w:r>
      <w:r w:rsidR="00444DB4" w:rsidRPr="00A42287">
        <w:rPr>
          <w:rFonts w:ascii="Times New Roman" w:hAnsi="Times New Roman"/>
          <w:sz w:val="24"/>
          <w:szCs w:val="24"/>
          <w:lang w:eastAsia="ko-KR"/>
        </w:rPr>
        <w:t>n</w:t>
      </w:r>
      <w:r w:rsidR="00444DB4" w:rsidRPr="00A42287">
        <w:rPr>
          <w:rFonts w:ascii="Times New Roman" w:hAnsi="Times New Roman"/>
          <w:sz w:val="24"/>
          <w:szCs w:val="24"/>
        </w:rPr>
        <w:t xml:space="preserve"> increase in flare strand fluorescence (shown in red) occurred (approximately 30 %</w:t>
      </w:r>
      <w:r w:rsidR="00444DB4" w:rsidRPr="00A42287">
        <w:rPr>
          <w:rFonts w:ascii="Times New Roman" w:hAnsi="Times New Roman"/>
          <w:sz w:val="24"/>
          <w:szCs w:val="24"/>
          <w:lang w:eastAsia="ko-KR"/>
        </w:rPr>
        <w:t xml:space="preserve"> intensity</w:t>
      </w:r>
      <w:r w:rsidR="00444DB4" w:rsidRPr="00A42287">
        <w:rPr>
          <w:rFonts w:ascii="Times New Roman" w:hAnsi="Times New Roman"/>
          <w:sz w:val="24"/>
          <w:szCs w:val="24"/>
        </w:rPr>
        <w:t>) when compared to the control experiments (Figure S6-7 in Supporting Info). Moreover, after 6 h there was a relative fluorescence increase of about 70 %. It has to be noted that factors such as nanoprobe uptake time</w:t>
      </w:r>
      <w:r w:rsidR="000F6EB0" w:rsidRPr="00A42287">
        <w:rPr>
          <w:rFonts w:ascii="Times New Roman" w:hAnsi="Times New Roman"/>
          <w:sz w:val="24"/>
          <w:szCs w:val="24"/>
        </w:rPr>
        <w:t xml:space="preserve"> or cell to cell heterogeneity in nanoprobe uptake</w:t>
      </w:r>
      <w:r w:rsidR="00444DB4" w:rsidRPr="00A42287">
        <w:rPr>
          <w:rFonts w:ascii="Times New Roman" w:hAnsi="Times New Roman"/>
          <w:sz w:val="24"/>
          <w:szCs w:val="24"/>
        </w:rPr>
        <w:t xml:space="preserve"> were not considered in this study and thus an accurate direct temporal relation between the onset of fluorescence and the emergence of EMT cannot be made at this point. Nevertheless, our data gives a good insight into the spatiotemporal expression of Vimentin mRNA in wounded skin.</w:t>
      </w:r>
      <w:r w:rsidR="00747251" w:rsidRPr="00A42287">
        <w:rPr>
          <w:rFonts w:ascii="Times New Roman" w:hAnsi="Times New Roman"/>
          <w:sz w:val="24"/>
          <w:szCs w:val="24"/>
        </w:rPr>
        <w:t xml:space="preserve"> Furthermore, previous studies</w:t>
      </w:r>
      <w:r w:rsidR="00747251" w:rsidRPr="00A42287">
        <w:rPr>
          <w:rFonts w:ascii="Times New Roman" w:hAnsi="Times New Roman"/>
          <w:sz w:val="24"/>
          <w:szCs w:val="24"/>
        </w:rPr>
        <w:fldChar w:fldCharType="begin" w:fldLock="1"/>
      </w:r>
      <w:r w:rsidR="00747251" w:rsidRPr="00A42287">
        <w:rPr>
          <w:rFonts w:ascii="Times New Roman" w:hAnsi="Times New Roman"/>
          <w:sz w:val="24"/>
          <w:szCs w:val="24"/>
        </w:rPr>
        <w:instrText>ADDIN CSL_CITATION { "citationItems" : [ { "id" : "ITEM-1", "itemData" : { "DOI" : "10.1096/fj.10-170795", "ISBN" : "1530-6860 (Electronic)\\n0892-6638 (Linking)", "ISSN" : "1530-6860", "PMID" : "21803859", "abstract" : "The physiological and pathophysiological implications of the expression of vimentin, a type III intermediate filament protein, in alveolar epithelial cells (AECs) are unknown. We provide data demonstrating that vimentin is regulated by TGF\u03b21, a major cytokine released in response to acute lung injury and that vimentin is required for wound repair and remodeling of the alveolar epithelium. Quantitative real-time PCR shows a 16-fold induction of vimentin mRNA in TGF\u03b21-treated transformed AECs. Luciferase assays identify a Smad-binding element in the 5' promoter of vimentin responsible for TGF\u03b21-induced transcription. Notably, TGF\u03b21 induces vimentin protein expression in AECs, which is associated with a 2.5-fold increase in cell motility, resulting in increased rates of migration and wound closure. These effects are independent of cell proliferation. TGF\u03b21-mediated vimentin protein expression, cell migration, and wound closure are prevented by a pharmacological inhibitor of the Smad pathway and by expression of Ad-shRNA against vimentin. Conversely, overexpression of mEmerald-vimentin is sufficient for increased cell-migration and wound-closure rates. These results demonstrate that vimentin is required and sufficient for increased wound repair in an in vitro model of lung injury.", "author" : [ { "dropping-particle" : "", "family" : "Rogel", "given" : "Micah R", "non-dropping-particle" : "", "parse-names" : false, "suffix" : "" }, { "dropping-particle" : "", "family" : "Soni", "given" : "Pritin N", "non-dropping-particle" : "", "parse-names" : false, "suffix" : "" }, { "dropping-particle" : "", "family" : "Troken", "given" : "James R", "non-dropping-particle" : "", "parse-names" : false, "suffix" : "" }, { "dropping-particle" : "", "family" : "Sitikov", "given" : "Albert", "non-dropping-particle" : "", "parse-names" : false, "suffix" : "" }, { "dropping-particle" : "", "family" : "Trejo", "given" : "Humberto E", "non-dropping-particle" : "", "parse-names" : false, "suffix" : "" }, { "dropping-particle" : "", "family" : "Ridge", "given" : "Karen M", "non-dropping-particle" : "", "parse-names" : false, "suffix" : "" } ], "container-title" : "FASEB journal : official publication of the Federation of American Societies for Experimental Biology", "id" : "ITEM-1", "issue" : "11", "issued" : { "date-parts" : [ [ "2011" ] ] }, "page" : "3873-83", "title" : "Vimentin is sufficient and required for wound repair and remodeling in alveolar epithelial cells.", "type" : "article-journal", "volume" : "25" }, "uris" : [ "http://www.mendeley.com/documents/?uuid=87766c4a-dbb1-478a-ada6-406786781dcd" ] } ], "mendeley" : { "formattedCitation" : "&lt;sup&gt;[33]&lt;/sup&gt;", "plainTextFormattedCitation" : "[33]", "previouslyFormattedCitation" : "&lt;sup&gt;[33]&lt;/sup&gt;" }, "properties" : {  }, "schema" : "https://github.com/citation-style-language/schema/raw/master/csl-citation.json" }</w:instrText>
      </w:r>
      <w:r w:rsidR="00747251" w:rsidRPr="00A42287">
        <w:rPr>
          <w:rFonts w:ascii="Times New Roman" w:hAnsi="Times New Roman"/>
          <w:sz w:val="24"/>
          <w:szCs w:val="24"/>
        </w:rPr>
        <w:fldChar w:fldCharType="separate"/>
      </w:r>
      <w:r w:rsidR="00747251" w:rsidRPr="00A42287">
        <w:rPr>
          <w:rFonts w:ascii="Times New Roman" w:hAnsi="Times New Roman"/>
          <w:noProof/>
          <w:sz w:val="24"/>
          <w:szCs w:val="24"/>
          <w:vertAlign w:val="superscript"/>
        </w:rPr>
        <w:t>[33]</w:t>
      </w:r>
      <w:r w:rsidR="00747251" w:rsidRPr="00A42287">
        <w:rPr>
          <w:rFonts w:ascii="Times New Roman" w:hAnsi="Times New Roman"/>
          <w:sz w:val="24"/>
          <w:szCs w:val="24"/>
        </w:rPr>
        <w:fldChar w:fldCharType="end"/>
      </w:r>
      <w:r w:rsidR="00747251" w:rsidRPr="00A42287">
        <w:rPr>
          <w:rFonts w:ascii="Times New Roman" w:hAnsi="Times New Roman"/>
          <w:sz w:val="24"/>
          <w:szCs w:val="24"/>
        </w:rPr>
        <w:t xml:space="preserve"> reported an onset of Vimentin protein expression 4h after </w:t>
      </w:r>
      <w:r w:rsidR="007E4E13" w:rsidRPr="00A42287">
        <w:rPr>
          <w:rFonts w:ascii="Times New Roman" w:hAnsi="Times New Roman"/>
          <w:sz w:val="24"/>
          <w:szCs w:val="24"/>
        </w:rPr>
        <w:t>the wound occured</w:t>
      </w:r>
      <w:r w:rsidR="00747251" w:rsidRPr="00A42287">
        <w:rPr>
          <w:rFonts w:ascii="Times New Roman" w:hAnsi="Times New Roman"/>
          <w:sz w:val="24"/>
          <w:szCs w:val="24"/>
        </w:rPr>
        <w:t>, suggesting that our probes are active within the biologically relevant time window.</w:t>
      </w:r>
    </w:p>
    <w:p w:rsidR="00444DB4" w:rsidRPr="00A42287" w:rsidRDefault="00444DB4" w:rsidP="000826F8">
      <w:pPr>
        <w:spacing w:line="360" w:lineRule="auto"/>
        <w:rPr>
          <w:lang w:val="en-GB"/>
        </w:rPr>
      </w:pPr>
    </w:p>
    <w:p w:rsidR="00444DB4" w:rsidRPr="00A42287" w:rsidRDefault="00444DB4" w:rsidP="00FC2F7A">
      <w:pPr>
        <w:pStyle w:val="TESupportingInfoTitle"/>
        <w:rPr>
          <w:b/>
          <w:bCs/>
          <w:caps/>
        </w:rPr>
      </w:pPr>
      <w:r w:rsidRPr="00A42287">
        <w:rPr>
          <w:b/>
          <w:bCs/>
        </w:rPr>
        <w:t>3. Conclusions</w:t>
      </w:r>
    </w:p>
    <w:p w:rsidR="00B92A6B" w:rsidRPr="00A42287" w:rsidRDefault="00FC2F7A" w:rsidP="00FC2F7A">
      <w:pPr>
        <w:pStyle w:val="TESupportingInfoTitle"/>
      </w:pPr>
      <w:r w:rsidRPr="00A42287">
        <w:t xml:space="preserve">  </w:t>
      </w:r>
      <w:r w:rsidR="00444DB4" w:rsidRPr="00A42287">
        <w:t xml:space="preserve">In summary, we showed that the nanoprobes presented in this study were able to detect changes in Vimentin mRNA expression accompanying a change in cell phenotype during EMT in wound healing. </w:t>
      </w:r>
      <w:r w:rsidR="00B92A6B" w:rsidRPr="00A42287">
        <w:t xml:space="preserve">The presence of Vimentin mRNA in wounds was imaged temporally, </w:t>
      </w:r>
      <w:r w:rsidR="00B92A6B" w:rsidRPr="00A42287">
        <w:lastRenderedPageBreak/>
        <w:t>in cell scratch assays and tissue sections, utilizing confocal microscopy, as well as spatially, utilizing light sheet microscopy in whole skin tissue. A time lapse experiment showed that Vimentin mRNA was present in cells as early as 2 h after the creation of the wound and the fluorescent signal continued to increase up to 6 h after the injury.</w:t>
      </w:r>
      <w:r w:rsidR="00EA6765" w:rsidRPr="00A42287">
        <w:t xml:space="preserve"> </w:t>
      </w:r>
      <w:r w:rsidR="003D1DEF" w:rsidRPr="00A42287">
        <w:t>Although further</w:t>
      </w:r>
      <w:r w:rsidR="00225FEA" w:rsidRPr="00A42287">
        <w:t xml:space="preserve"> studies are necessary to </w:t>
      </w:r>
      <w:r w:rsidR="003114A4" w:rsidRPr="00A42287">
        <w:t>assess the performance</w:t>
      </w:r>
      <w:r w:rsidR="003D1DEF" w:rsidRPr="00A42287">
        <w:t xml:space="preserve"> of</w:t>
      </w:r>
      <w:r w:rsidR="00225FEA" w:rsidRPr="00A42287">
        <w:t xml:space="preserve"> this type of nanoprobes in </w:t>
      </w:r>
      <w:r w:rsidR="000F6EB0" w:rsidRPr="00A42287">
        <w:t xml:space="preserve">a </w:t>
      </w:r>
      <w:r w:rsidR="00225FEA" w:rsidRPr="00A42287">
        <w:t xml:space="preserve">quantitative </w:t>
      </w:r>
      <w:r w:rsidR="000F6EB0" w:rsidRPr="00A42287">
        <w:t>aspect</w:t>
      </w:r>
      <w:r w:rsidR="00225FEA" w:rsidRPr="00A42287">
        <w:t>, o</w:t>
      </w:r>
      <w:r w:rsidR="00B92A6B" w:rsidRPr="00A42287">
        <w:t>ur results show that advanced designs of DNA-gold nanoparticles can be employed to extract important information related to dynamic biological process even in complex systems such as the skin tissue, enabling them as a class of very promising probes for bioimaging.</w:t>
      </w:r>
      <w:r w:rsidR="00225FEA" w:rsidRPr="00A42287">
        <w:t xml:space="preserve"> </w:t>
      </w:r>
      <w:r w:rsidR="00AE7443" w:rsidRPr="00A42287">
        <w:t>Furthermore, in the future it may be possible to replace the nanoparticle core for different types of nanoparticles in order to enable the direct detection of nanoparticle location in cells in respect to the mRNA detection site.</w:t>
      </w:r>
    </w:p>
    <w:p w:rsidR="00AE7443" w:rsidRPr="00A42287" w:rsidRDefault="00AE7443" w:rsidP="00FC2F7A">
      <w:pPr>
        <w:pStyle w:val="TESupportingInfoTitle"/>
      </w:pPr>
    </w:p>
    <w:p w:rsidR="000758A9" w:rsidRPr="00A42287" w:rsidRDefault="000758A9" w:rsidP="00FC2F7A">
      <w:pPr>
        <w:pStyle w:val="TESupportingInfoTitle"/>
      </w:pPr>
      <w:r w:rsidRPr="00A42287">
        <w:t xml:space="preserve">Experimental Section </w:t>
      </w:r>
    </w:p>
    <w:p w:rsidR="00444DB4" w:rsidRPr="00B92A6B" w:rsidRDefault="00444DB4" w:rsidP="003576F0">
      <w:pPr>
        <w:pStyle w:val="TESupportingInfoTitle"/>
      </w:pPr>
      <w:r w:rsidRPr="00A42287">
        <w:rPr>
          <w:b/>
          <w:bCs/>
          <w:i/>
          <w:iCs/>
        </w:rPr>
        <w:t>Synthesis of gold nanoparticles</w:t>
      </w:r>
      <w:r w:rsidRPr="00A42287">
        <w:t>: Spherical gold nanoparticles (13±2 nm) were synthesized according to literature protocols.</w:t>
      </w:r>
      <w:r w:rsidR="00234258" w:rsidRPr="00A42287">
        <w:fldChar w:fldCharType="begin" w:fldLock="1"/>
      </w:r>
      <w:r w:rsidR="003576F0" w:rsidRPr="00A42287">
        <w:instrText>ADDIN CSL_CITATION { "citationItems" : [ { "id" : "ITEM-1", "itemData" : { "abstract" : "o Generally, gold nanoparticles are produced in a liquid (\"liquid chemical methods\") by reduction of chloroauric acid (H[AuCl 4 ]), although more advanced and precise methods do exist. After dissolving H[AuCl 4 ], the solution is rapidly stirred while a reducing agent is added. This causes Au 3+ ions to be reduced to neutral gold atoms. As more and more of these gold atoms form, the solution becomes supersaturated, and gold gradually starts to precipitate in the form of sub-nanometer particles. The rest of the gold atoms that form stick to the existing particles, and, if the solution is stirred vigorously enough, the particles will be fairly uniform in size. o To prevent the particles from aggregating, some sort of stabilizing agent that sticks to the nanoparticle surface is usually added. They can be functionalized with various organic ligands to create organic-inorganic hybrids with advanced functionality. It can also be synthesised by laser ablation. 31 Turkevich method o The method pioneered by J. Turkevich et al. in 1951 and refined by G. Frens in 1970s, is the simplest one available. Generally, it is used to produce modestly monodisperse spherical gold nanoparticles suspended in water of around 10\u201320 nm in diameter. Larger particles can be produced, but this comes at the cost of monodispersity and shape. It involves the reaction of small amounts of hot chlorauric acid with small amounts of sodium citrate solution. The colloidal gold will form because the citrate ions act as both a reducing agent, and a capping agent. o Recently, the evolution of the spherical gold nanoparticles in the Turkevich reaction has been elucidated. Interestingly, extensive networks of gold nanowires are formed as a transient intermediate. These gold nanowires are responsible for the dark appearance of the reaction solution before it turns ruby-red. o To produce larger particles, less sodium citrate should be added (possibly down to 0.05%, after which there simply would not be enough to reduce all the gold). The reduction in the amount of sodium citrate will reduce the amount of the citrate ions available for stabilizing the particles, and this will cause the small particles to aggregate into bigger ones (until the total surface area of all particles becomes small enough to be covered by the existing citrate ions). 32", "author" : [ { "dropping-particle" : "", "family" : "J. Turkevich; P.C. Stevenson; J. Hiller", "given" : "", "non-dropping-particle" : "", "parse-names" : false, "suffix" : "" } ], "container-title" : "Discussions of the Faraday Society", "id" : "ITEM-1", "issued" : { "date-parts" : [ [ "1951" ] ] }, "page" : "55-75", "title" : "Synthesis of Gold Nanoparticles Turkevich method", "type" : "article-journal", "volume" : "11" }, "uris" : [ "http://www.mendeley.com/documents/?uuid=c4fdbc87-809d-45e2-ae61-441ccdecc726" ] }, { "id" : "ITEM-2", "itemData" : { "DOI" : "10.1021/jp061667w", "ISBN" : "1520-6106", "ISSN" : "15206106", "PMID" : "16898714", "abstract" : "The growth of gold nanoparticles by reduction by citrate and ascorbic acid has been examined in detail to explore the parameter space of reaction conditions. It is found that gold particles can be produced in a wide range of sizes, from 9 to 120 nm, with defined size distribution, following the earlier work of Turkevich and Frens. The reaction is initiated thermally or in comparison by UV irradiation, which results in similar final products. The kinetics of the extinction spectra show the multiple steps of primary and secondary clustering leading to polycrystallites.", "author" : [ { "dropping-particle" : "", "family" : "Kimling", "given" : "J.", "non-dropping-particle" : "", "parse-names" : false, "suffix" : "" }, { "dropping-particle" : "", "family" : "Maier", "given" : "M.", "non-dropping-particle" : "", "parse-names" : false, "suffix" : "" }, { "dropping-particle" : "", "family" : "Okenve", "given" : "B.", "non-dropping-particle" : "", "parse-names" : false, "suffix" : "" }, { "dropping-particle" : "", "family" : "Kotaidis", "given" : "V.", "non-dropping-particle" : "", "parse-names" : false, "suffix" : "" }, { "dropping-particle" : "", "family" : "Ballot", "given" : "H.", "non-dropping-particle" : "", "parse-names" : false, "suffix" : "" }, { "dropping-particle" : "", "family" : "Plech", "given" : "A.", "non-dropping-particle" : "", "parse-names" : false, "suffix" : "" } ], "container-title" : "Journal of Physical Chemistry B", "id" : "ITEM-2", "issue" : "32", "issued" : { "date-parts" : [ [ "2006" ] ] }, "page" : "15700-15707", "title" : "Turkevich method for gold nanoparticle synthesis revisited", "type" : "article-journal", "volume" : "110" }, "uris" : [ "http://www.mendeley.com/documents/?uuid=2e8d1ec5-d178-40e8-a768-3814a011e0b6" ] } ], "mendeley" : { "formattedCitation" : "&lt;sup&gt;[40,41]&lt;/sup&gt;", "plainTextFormattedCitation" : "[40,41]", "previouslyFormattedCitation" : "&lt;sup&gt;[40,41]&lt;/sup&gt;" }, "properties" : {  }, "schema" : "https://github.com/citation-style-language/schema/raw/master/csl-citation.json" }</w:instrText>
      </w:r>
      <w:r w:rsidR="00234258" w:rsidRPr="00A42287">
        <w:fldChar w:fldCharType="separate"/>
      </w:r>
      <w:r w:rsidR="003576F0" w:rsidRPr="00A42287">
        <w:rPr>
          <w:noProof/>
          <w:vertAlign w:val="superscript"/>
        </w:rPr>
        <w:t>[40,41]</w:t>
      </w:r>
      <w:r w:rsidR="00234258" w:rsidRPr="00A42287">
        <w:fldChar w:fldCharType="end"/>
      </w:r>
      <w:r w:rsidRPr="00A42287">
        <w:t xml:space="preserve"> Briefly, a solution of sodium tetrachloroaurate (100 mL, 1 mM) was brought to boil under stirring. Once boiling, a sodium citrate solution (5 mL, 2% w/v) was added to the gold solution and a colour change from yell</w:t>
      </w:r>
      <w:r w:rsidRPr="00B92A6B">
        <w:t>ow to dark red was observed. After stirring for 30 min, the solution was taken off the heat and left to cool to room temperature under stirring. An aqueous solution of Bis (p-sulfonatophenyl) phenylphosphine dihydrate dipotassium salt (BSPP) (10 ml, 0.187 mM) was added to the reaction flask and the reaction mixture was left to stir overnight. Particles were purified by centrifugation (3x, 16400 rpm) after salt-induced aggregation and finally filtration through a 0.45 μM Millipore filter. The size of AuNPs was determined via analysis of TEM micrographs (Figure S1A) – taken with a JEM-1010 electron microscope working at 75 kV equipped with a digital camera GATAN megaview II – and using Image J (National Institutes of Health, USA) software. Over 500 particles were considered for the distribution histogram (Figure S1B).</w:t>
      </w:r>
    </w:p>
    <w:p w:rsidR="00444DB4" w:rsidRPr="00B92A6B" w:rsidRDefault="00444DB4" w:rsidP="00FC2F7A">
      <w:pPr>
        <w:pStyle w:val="TESupportingInfoTitle"/>
      </w:pPr>
      <w:r w:rsidRPr="00B92A6B">
        <w:rPr>
          <w:b/>
          <w:bCs/>
          <w:i/>
          <w:iCs/>
        </w:rPr>
        <w:t>Design of oligonucleotides</w:t>
      </w:r>
      <w:r w:rsidRPr="00B92A6B">
        <w:t xml:space="preserve">: Oligonucleotide sequences for Vimentin mRNA detection were obtained from the NCBI database (http://www.ncbi.nlm.nih.gov/nucleotide/). Sequences were then analysed for alignments with other sequences (i.e. similarities) using the NCBI’s Basic Local Alignment Search Tool (BLAST) (www.ncbi.nlm.nih.gov/BLAST.cgi). The following settings were applied: Database: RefSeq RNA; Entrez Query: all[filter] NOT predicted[title]; Expect threshold: 10; Match/Mismatch scores: 2/-3. Appropriate sequence targets were then chosen with the following criteria: Length of sense strand: 20-23 bases, melting temperature ~60 °C, GC content &lt; 50 %, E value &lt; 0.05, E value of nearest match &gt; 1. Accordingly the </w:t>
      </w:r>
      <w:r w:rsidRPr="00B92A6B">
        <w:lastRenderedPageBreak/>
        <w:t>flare strand was designed complementary to the sense strand with the following criteria: Length of flare strand: 10-12 bases, melting temperature ~40 °C. The oligonucleotide sequences were purchased from ATDBio.</w:t>
      </w:r>
    </w:p>
    <w:p w:rsidR="00444DB4" w:rsidRPr="00B92A6B" w:rsidRDefault="00444DB4" w:rsidP="003576F0">
      <w:pPr>
        <w:pStyle w:val="TESupportingInfoTitle"/>
      </w:pPr>
      <w:r w:rsidRPr="00B92A6B">
        <w:rPr>
          <w:b/>
          <w:bCs/>
          <w:i/>
          <w:iCs/>
        </w:rPr>
        <w:t>Oligonucleotide attachment to AuNPs</w:t>
      </w:r>
      <w:r w:rsidRPr="00B92A6B">
        <w:t>: The successful conjugation of thiol-terminated oligonucleotides and gold nanoparticles was achieved using a modified version of a literature protocol.</w:t>
      </w:r>
      <w:r w:rsidR="00234258" w:rsidRPr="00B92A6B">
        <w:fldChar w:fldCharType="begin" w:fldLock="1"/>
      </w:r>
      <w:r w:rsidR="003576F0">
        <w:instrText>ADDIN CSL_CITATION { "citationItems" : [ { "id" : "ITEM-1", "itemData" : { "DOI" : "10.1021/ja972332i", "ISBN" : "0002-7863", "ISSN" : "00027863", "abstract" : "Selective colorimetric polynucleotide detection based on Au nanoparticle probes which align in a ?tail-to-tail? fashion onto a target polynucleotide is described. In this new nanoparticle-based detection system, Au particles (?13 nm diameter), which are capped with 3?- and 5?-(alkanethiol)oligonucleotides, are used to complex a 24-base polynucleotide target. Hybridization of the target with the probes results in the formation of an extended polymeric Au nanoparticle/polynucleotide aggregate, which triggers a red to purple color change in solution. The color change is due to a red shift in the surface plasmon resonance of the Au nanoparticles. The aggregates exhibit characteristic, exceptionally sharp ?melting transitions? (monitored at 260 or 700 nm), which allows one to distinguish target sequences that contain one base end mismatches, deletions, or an insertion from the fully complementary target. When test solutions are spotted onto a C18 reverse-phase thin-layer chromatography plate, color differentiation is enhanced and a permanent record of the test is obtained, thereby providing a better method for distinguishing the aforementioned target sequences. Significantly, one-pot colorimetric detection of the target in the presence of four strands with single base imperfections can be accomplished with this new probe system. Selective colorimetric polynucleotide detection based on Au nanoparticle probes which align in a ?tail-to-tail? fashion onto a target polynucleotide is described. In this new nanoparticle-based detection system, Au particles (?13 nm diameter), which are capped with 3?- and 5?-(alkanethiol)oligonucleotides, are used to complex a 24-base polynucleotide target. Hybridization of the target with the probes results in the formation of an extended polymeric Au nanoparticle/polynucleotide aggregate, which triggers a red to purple color change in solution. The color change is due to a red shift in the surface plasmon resonance of the Au nanoparticles. The aggregates exhibit characteristic, exceptionally sharp ?melting transitions? (monitored at 260 or 700 nm), which allows one to distinguish target sequences that contain one base end mismatches, deletions, or an insertion from the fully complementary target. When test solutions are spotted onto a C18 reverse-phase thin-layer chromatography plate, color differentiation is enhanced and a permanent record of the test is obtained, thereby providing a better method for distinguishing the aforement\u2026", "author" : [ { "dropping-particle" : "", "family" : "Storhoff", "given" : "James J.", "non-dropping-particle" : "", "parse-names" : false, "suffix" : "" }, { "dropping-particle" : "", "family" : "Elghanian", "given" : "Robert", "non-dropping-particle" : "", "parse-names" : false, "suffix" : "" }, { "dropping-particle" : "", "family" : "Mucic", "given" : "Robert C.", "non-dropping-particle" : "", "parse-names" : false, "suffix" : "" }, { "dropping-particle" : "", "family" : "Mirkin", "given" : "Chad A.", "non-dropping-particle" : "", "parse-names" : false, "suffix" : "" }, { "dropping-particle" : "", "family" : "Letsinger", "given" : "Robert L.", "non-dropping-particle" : "", "parse-names" : false, "suffix" : "" } ], "container-title" : "Journal of the American Chemical Society", "id" : "ITEM-1", "issue" : "9", "issued" : { "date-parts" : [ [ "1998" ] ] }, "page" : "1959-1964", "title" : "One-pot colorimetric differentiation of polynucleotides with single base imperfections using gold nanoparticle probes", "type" : "article-journal", "volume" : "120" }, "uris" : [ "http://www.mendeley.com/documents/?uuid=4ad61114-0936-493d-8f7e-3983be9efd64" ] }, { "id" : "ITEM-2", "itemData" : { "DOI" : "10.1021/ac0613582", "ISBN" : "0003-2700 (Print) 0003-2700 (Linking)", "ISSN" : "00032700", "PMID" : "17165821", "abstract" : "We have investigated the variables that influence DNA coverage on gold nanoparticles. The effects of salt concentration, spacer composition, nanoparticle size, and degree of sonication have been evaluated. Maximum loading was obtained by salt aging the nanoparticles to approximately 0.7 M NaCl in the presence of DNA containing a poly(ethylene glycol) spacer. In addition, DNA loading was substantially increased by sonicating the nanoparticles during the surface loading process. Last, nanoparticles up to 250 nm in diameter were found have approximately 2 orders of magnitude higher DNA loading than smaller (13-30 nm) nanoparticles, a consequence of their larger surface area. Stable large particles are attractive for a variety of biodiagnostic assays.", "author" : [ { "dropping-particle" : "", "family" : "Hurst", "given" : "Sarah J.", "non-dropping-particle" : "", "parse-names" : false, "suffix" : "" }, { "dropping-particle" : "", "family" : "Lytton-Jean", "given" : "Abigail K R", "non-dropping-particle" : "", "parse-names" : false, "suffix" : "" }, { "dropping-particle" : "", "family" : "Mirkin", "given" : "Chad A.", "non-dropping-particle" : "", "parse-names" : false, "suffix" : "" } ], "container-title" : "Analytical Chemistry", "id" : "ITEM-2", "issue" : "24", "issued" : { "date-parts" : [ [ "2006" ] ] }, "page" : "8313-8318", "title" : "Maximizing DNA loading on a range of gold nanoparticle sizes", "type" : "article-journal", "volume" : "78" }, "uris" : [ "http://www.mendeley.com/documents/?uuid=63081abc-8d8d-4174-ae2d-0ba3bc5867dc" ] } ], "mendeley" : { "formattedCitation" : "&lt;sup&gt;[42,43]&lt;/sup&gt;", "plainTextFormattedCitation" : "[42,43]", "previouslyFormattedCitation" : "&lt;sup&gt;[42,43]&lt;/sup&gt;" }, "properties" : {  }, "schema" : "https://github.com/citation-style-language/schema/raw/master/csl-citation.json" }</w:instrText>
      </w:r>
      <w:r w:rsidR="00234258" w:rsidRPr="00B92A6B">
        <w:fldChar w:fldCharType="separate"/>
      </w:r>
      <w:r w:rsidR="003576F0" w:rsidRPr="003576F0">
        <w:rPr>
          <w:noProof/>
          <w:vertAlign w:val="superscript"/>
        </w:rPr>
        <w:t>[42,43]</w:t>
      </w:r>
      <w:r w:rsidR="00234258" w:rsidRPr="00B92A6B">
        <w:fldChar w:fldCharType="end"/>
      </w:r>
      <w:r w:rsidRPr="00B92A6B">
        <w:t xml:space="preserve"> Briefly, BSPP-coated AuNPs (13 nm, 1 mL, 10 nM) were incubated with 3 nmol of a thiol-modified DNA overnight. Then, BSPP (10 ml, 0.187 mM), phosphate buffer (0.1 M, pH 7.4), and sodium dodecyl sulfate (SDS) (10 %) were added to obtain final concentrations of 0.01 M phosphate and 1 % SDS. Next, drops of a NaCl solution (2 M) was added six times over a period of 8 h in order to obtain a final concentration of 0.2 M. The solution was left shaking overnight at RT. Non-specifically bound oligonucleotide strands were removed after three steps of centrifugation (16400 rpm, 4 °C, 10 min). The resultant oligonucleotide-coated AuNPs were re-dispersed in 1 mL of hybridization buffer (0.1 M NaCl, 20 mM phospate buffer, pH 6.8, 10 mM EDTA, 2 % SDS). The flare strand was then added in an excess (200 nmol) and the solution was heated to 80 °C for 2 minutes. Then, the solution was left to cool down to room temperature. Non-hybridised flare strands were removed by three steps of centrifugation (16400 rpm, 4 °C, 10 min) and the final gold nanoparticle-DNA conjugates were re-dispersed in PBS buffer and stored at 4 °C until further use.</w:t>
      </w:r>
    </w:p>
    <w:p w:rsidR="00444DB4" w:rsidRPr="00B92A6B" w:rsidRDefault="00444DB4" w:rsidP="00FC2F7A">
      <w:pPr>
        <w:pStyle w:val="TESupportingInfoTitle"/>
      </w:pPr>
      <w:r w:rsidRPr="00B92A6B">
        <w:rPr>
          <w:b/>
          <w:bCs/>
          <w:i/>
          <w:iCs/>
        </w:rPr>
        <w:t xml:space="preserve">Cell culture: </w:t>
      </w:r>
      <w:r w:rsidRPr="00B92A6B">
        <w:t xml:space="preserve">The cells used for the experiments were the following – 16-Human Bronchial Epithelial cells (16-HBE), Human Foetal Lung fibroblasts (MRC-5) and primary Mouse Embryonic Fibroblasts (MEFs). Cells were cultured in cell culture flasks using Dulbecco’s Modified Eagle’s Medium (DMEM – Gibco, UK), supplemented with 1% penicillin/streptomycin (Gibco, UK), 1 mL nystatin (Gibco) and 10% foetal bovine Serum (FBS). Cells were kept at 37 °C, 5 % CO2 atmosphere in a Sanyo CO2 incubator (model MCO-17AI). </w:t>
      </w:r>
    </w:p>
    <w:p w:rsidR="00444DB4" w:rsidRPr="00B92A6B" w:rsidRDefault="00444DB4" w:rsidP="00FC2F7A">
      <w:pPr>
        <w:pStyle w:val="TESupportingInfoTitle"/>
      </w:pPr>
      <w:r w:rsidRPr="00B92A6B">
        <w:rPr>
          <w:b/>
          <w:bCs/>
          <w:i/>
          <w:iCs/>
        </w:rPr>
        <w:t>Confocal imaging of cell models:</w:t>
      </w:r>
      <w:r w:rsidRPr="00B92A6B">
        <w:t xml:space="preserve"> Cells were grown on square glass coverslips in 6-well plates. Once cells were ~90 % confluent, media was exchanged with fresh media containing different types of nano-probes (2 mL, 1 nM) for 18 h. For the wound assay, a 1 mL pipette tip was used to scratch off the cells in a grid pattern. Afterwards cells were incubated with Hoechst 33342 (5 μL) for 1 h to stain DNA and nuclei. For imaging, the glass coverslip was removed and washed with PBS. It was then mounted on a glass slide with a drop of PBS in order to keep cells alive. The edges around the coverslip were sealed using double-sided tape </w:t>
      </w:r>
      <w:r w:rsidRPr="00B92A6B">
        <w:lastRenderedPageBreak/>
        <w:t>thus creating a small ‘incubation chamber’. All imaging was carried out on a Leica SP5 confocal microscope at 37°C.</w:t>
      </w:r>
    </w:p>
    <w:p w:rsidR="00444DB4" w:rsidRPr="00B92A6B" w:rsidRDefault="00444DB4" w:rsidP="00FC2F7A">
      <w:pPr>
        <w:pStyle w:val="TESupportingInfoTitle"/>
      </w:pPr>
      <w:r w:rsidRPr="00B92A6B">
        <w:rPr>
          <w:b/>
          <w:bCs/>
          <w:i/>
          <w:iCs/>
        </w:rPr>
        <w:t>Incubation of oligonucleotide coated gold nanoparticles with tissue:</w:t>
      </w:r>
      <w:r w:rsidRPr="00B92A6B">
        <w:t xml:space="preserve"> </w:t>
      </w:r>
      <w:r w:rsidRPr="00FC2F7A">
        <w:rPr>
          <w:i/>
          <w:iCs/>
        </w:rPr>
        <w:t>Ex vivo</w:t>
      </w:r>
      <w:r w:rsidRPr="00B92A6B">
        <w:t xml:space="preserve"> murine dorsal skin was harvested from new born hairless mice (1-4 days old) under Personal License number IC73F2D5B. Straight after harvest, the skin was washed 3 times with PBS and injected with a Micro-Fine™ syringe, 0.5 mL, 0.3mm x 4 mm  (BD, Europe), in a ~30° angle with different solutions containing either the DNA-coated gold nanoparticles alone (for confocal microscopy) or a mix of DNA-coated gold nanoparticles (10 pmol) and RhodB (0.1 mg/mL, for light sheet microscopy). After 6h incubation in a transwell using MEM-L-glutamine enriched medium, the skin was removed, washed 3 times with PBS and fixed in Formalin Buffer salin fixative. Then, skin samples were incubated with DAPI (1 µg/mL) for 30 mins. The skin was then either embedded in paraffin blocks (for sectioning and confocal imaging) or in 1% agarose blocks (for light sheet microscopy imaging). </w:t>
      </w:r>
    </w:p>
    <w:p w:rsidR="00444DB4" w:rsidRPr="00B92A6B" w:rsidRDefault="00444DB4" w:rsidP="003576F0">
      <w:pPr>
        <w:pStyle w:val="TESupportingInfoTitle"/>
      </w:pPr>
      <w:r w:rsidRPr="00B92A6B">
        <w:rPr>
          <w:b/>
          <w:bCs/>
          <w:i/>
          <w:iCs/>
        </w:rPr>
        <w:t xml:space="preserve">Confocal imaging of ex vivo skin sections: </w:t>
      </w:r>
      <w:r w:rsidRPr="00B92A6B">
        <w:t>Each sample was embedded in paraffin blocks using a standard dehydration protocol.</w:t>
      </w:r>
      <w:r w:rsidR="00234258" w:rsidRPr="00B92A6B">
        <w:fldChar w:fldCharType="begin" w:fldLock="1"/>
      </w:r>
      <w:r w:rsidR="003576F0">
        <w:instrText>ADDIN CSL_CITATION { "citationItems" : [ { "id" : "ITEM-1", "itemData" : { "DOI" : "10.1007/978-1-60327-345-9", "ISBN" : "978-1-60327-344-2", "ISSN" : "1940-6029", "PMID" : "19960325", "abstract" : "So much of what we know about the pathogenesis of human disease has come from the systematic and careful study of histological material. Indeed, every internal medicine discipline has its landmark papers describing the clinico-pathological correlations. However, increasingly, it is molecular and cellular biology that provides the necessary mechanistic insights. For many years, it was thought that the two skill sets were mutually exclusive, but we hope that this book shows that this is not necessarily so. Implicit in the science of histology is the preservation and archiving of tissue. Part I of the book concentrates on the preparation of tissue, providing an overview of fixation, embedding, and processing (Chapter 1), and in Chapters 2 and 3, the required techniques for the retrieval of RNA from histological sections. Both routine and specialist histological staining techniques are provided in Part II. These include proto- cols for immuno (Chapters 4\u20137), lectin (Chapter 8), and hybridization (Chapter 9) histochemistry, histological staining (Chapters 10 and 11), as well as specific methods for the in situ identification of hypoxia (Chapter 12) and apoptosis (Chapter 13). Finally, Part III details advances in imaging (Chapters 14\u201316) and image analysis (Chapter 17). It is hoped that this volume will provide molecular biologists with the basic histo- chemical techniques and histologists with the molecular techniques to realise the potential of their resource. We are indebted to the authors for their generosity in sharing these protocols. Tim", "author" : [ { "dropping-particle" : "", "family" : "Redi", "given" : "CarloAlberto", "non-dropping-particle" : "", "parse-names" : false, "suffix" : "" } ], "container-title" : "European Journal of Histochemistry", "id" : "ITEM-1", "issue" : "2", "issued" : { "date-parts" : [ [ "2010" ] ] }, "page" : "211-225", "title" : "Histology protocols", "type" : "article-journal", "volume" : "54" }, "uris" : [ "http://www.mendeley.com/documents/?uuid=26fc980b-1767-4f61-9340-3441741c88a5" ] } ], "mendeley" : { "formattedCitation" : "&lt;sup&gt;[44]&lt;/sup&gt;", "plainTextFormattedCitation" : "[44]", "previouslyFormattedCitation" : "&lt;sup&gt;[44]&lt;/sup&gt;" }, "properties" : {  }, "schema" : "https://github.com/citation-style-language/schema/raw/master/csl-citation.json" }</w:instrText>
      </w:r>
      <w:r w:rsidR="00234258" w:rsidRPr="00B92A6B">
        <w:fldChar w:fldCharType="separate"/>
      </w:r>
      <w:r w:rsidR="003576F0" w:rsidRPr="003576F0">
        <w:rPr>
          <w:noProof/>
          <w:vertAlign w:val="superscript"/>
        </w:rPr>
        <w:t>[44]</w:t>
      </w:r>
      <w:r w:rsidR="00234258" w:rsidRPr="00B92A6B">
        <w:fldChar w:fldCharType="end"/>
      </w:r>
      <w:r w:rsidRPr="00B92A6B">
        <w:t xml:space="preserve"> Briefly, the tissue was processed gradually in an automated Leica ASP 200S tissue processor that processed the tissue in graded alcohols (70/90/100% v/v), then in xylene and finally in paraffin. The embedding was done in a Leica HistoCore Arcadia™ instrument. The blocks were then sectioned in 2µm thick sections and the excess paraffin was removed using a standard hydration/dehydration protocol. Briefly, the paraffin was removed by subjecting the sections to various steps of first xylene and then graded alcohols (100/90/70% v/v), 10 minutes for each step. Once the final alcohol step was done, the sides were then moved back up the graded alcohols and finally to xylene, before being mounted in the slide using Sub-X mounting agent (Leica Biosystems). The slides were stored at 4° C under dark conditions until further use.</w:t>
      </w:r>
    </w:p>
    <w:p w:rsidR="00444DB4" w:rsidRPr="00B92A6B" w:rsidRDefault="00444DB4" w:rsidP="003576F0">
      <w:pPr>
        <w:pStyle w:val="TESupportingInfoTitle"/>
      </w:pPr>
      <w:r w:rsidRPr="00B92A6B">
        <w:rPr>
          <w:b/>
          <w:bCs/>
          <w:i/>
          <w:iCs/>
        </w:rPr>
        <w:t xml:space="preserve">Preparation of ex vivo skin samples for light sheet fluorescence microscopy imaging: </w:t>
      </w:r>
      <w:r w:rsidRPr="00B92A6B">
        <w:t>Preparation of the skin samples for the analysis in light sheet microscopy, was done following a progressive dehydration procedure.</w:t>
      </w:r>
      <w:r w:rsidR="00234258" w:rsidRPr="00B92A6B">
        <w:fldChar w:fldCharType="begin" w:fldLock="1"/>
      </w:r>
      <w:r w:rsidR="003576F0">
        <w:instrText>ADDIN CSL_CITATION { "citationItems" : [ { "id" : "ITEM-1", "itemData" : { "DOI" : "10.1016/j.cell.2014.10.010", "ISBN" : "0092-8674", "ISSN" : "10974172", "PMID" : "25417164", "abstract" : "The visualization of molecularly labeled structures within large intact tissues in three dimensions is an area of intense focus. We describe a simple, rapid, and inexpensive method, iDISCO, that permits whole-mount immunolabeling with volume imaging of large cleared samples ranging from perinatal mouse embryos to adult organs, such as brains or kidneys. iDISCO is modeled on classical histology techniques, facilitating translation of section staining assays to intact tissues, as evidenced by compatibility with 28 antibodies to both endogenous antigens and transgenic reporters like GFP. When applied to degenerating neurons, iDISCO revealed unexpected variability in number of apoptotic neurons within individual sensory ganglia despite tight control of total number in all ganglia. It also permitted imaging of single degenerating axons in adult brain and the first visualization of cleaved Caspase-3 in degenerating embryonic sensory axons in vivo, even single axons. iDISCO enables facile volume imaging of immunolabeled structures in complex tissues. PaperClip", "author" : [ { "dropping-particle" : "", "family" : "Renier", "given" : "Nicolas", "non-dropping-particle" : "", "parse-names" : false, "suffix" : "" }, { "dropping-particle" : "", "family" : "Wu", "given" : "Zhuhao", "non-dropping-particle" : "", "parse-names" : false, "suffix" : "" }, { "dropping-particle" : "", "family" : "Simon", "given" : "David J.", "non-dropping-particle" : "", "parse-names" : false, "suffix" : "" }, { "dropping-particle" : "", "family" : "Yang", "given" : "Jing", "non-dropping-particle" : "", "parse-names" : false, "suffix" : "" }, { "dropping-particle" : "", "family" : "Ariel", "given" : "Pablo", "non-dropping-particle" : "", "parse-names" : false, "suffix" : "" }, { "dropping-particle" : "", "family" : "Tessier-Lavigne", "given" : "Marc", "non-dropping-particle" : "", "parse-names" : false, "suffix" : "" } ], "container-title" : "Cell", "id" : "ITEM-1", "issue" : "4", "issued" : { "date-parts" : [ [ "2014" ] ] }, "page" : "896-910", "title" : "IDISCO: A simple, rapid method to immunolabel large tissue samples for volume imaging", "type" : "article-journal", "volume" : "159" }, "uris" : [ "http://www.mendeley.com/documents/?uuid=3bfda98f-bab1-4773-8ceb-c9ad0be4b826" ] } ], "mendeley" : { "formattedCitation" : "&lt;sup&gt;[45]&lt;/sup&gt;", "plainTextFormattedCitation" : "[45]", "previouslyFormattedCitation" : "&lt;sup&gt;[45]&lt;/sup&gt;" }, "properties" : {  }, "schema" : "https://github.com/citation-style-language/schema/raw/master/csl-citation.json" }</w:instrText>
      </w:r>
      <w:r w:rsidR="00234258" w:rsidRPr="00B92A6B">
        <w:fldChar w:fldCharType="separate"/>
      </w:r>
      <w:r w:rsidR="003576F0" w:rsidRPr="003576F0">
        <w:rPr>
          <w:noProof/>
          <w:vertAlign w:val="superscript"/>
        </w:rPr>
        <w:t>[45]</w:t>
      </w:r>
      <w:r w:rsidR="00234258" w:rsidRPr="00B92A6B">
        <w:fldChar w:fldCharType="end"/>
      </w:r>
      <w:r w:rsidRPr="00B92A6B">
        <w:t xml:space="preserve"> Briefly, each sample was embedded in 1% agarose block after the respective incubation time with the DNA-coated gold nanoparticles. The blocks were cut suitably to fit a small vial. Each block was then submerged in an increasingly hydrophobic solvent (50/50 Water: THF initially, then 80% THF, 96% THF and finally 2x 100% THF), with each step taking 6h. After the final submersion at 100% THF step, the solvent was removed and the sample was submerged in 2 mL of DCM and left until it sank to the bottom of the vial (approximately 2h). The solvent was disposed and two steps (6h each) of DBE clearing were performed. The complete clearing of the skin block was observed by </w:t>
      </w:r>
      <w:r w:rsidRPr="00B92A6B">
        <w:lastRenderedPageBreak/>
        <w:t>the transparency of both the blocks and the samples. Finally, the block was submerged in fresh DBE and kept in the dark at 4° C until analysis.</w:t>
      </w:r>
    </w:p>
    <w:p w:rsidR="00444DB4" w:rsidRPr="00B92A6B" w:rsidRDefault="00444DB4" w:rsidP="00FC2F7A">
      <w:pPr>
        <w:pStyle w:val="TESupportingInfoTitle"/>
      </w:pPr>
      <w:r w:rsidRPr="00B92A6B">
        <w:rPr>
          <w:b/>
          <w:bCs/>
          <w:i/>
          <w:iCs/>
        </w:rPr>
        <w:t>Processing of light sheet fluorescence microscopy data:</w:t>
      </w:r>
      <w:r w:rsidRPr="00B92A6B">
        <w:t xml:space="preserve"> Images were taken using an Olympus MVX10, with excitation at 405 nm, 561 nm and 640 nm. Images were taken using a 1.6x magnification, with a section size of 3µm per stage step. Resulting images were processed using ImageJ to combine for a 3D projection. For fluorescence intensity analysis, the control experiments (PBS, RhodB only and scramble control) were used to measure the “background” levels of fluorescence of each channel (405nm, 561nm and 640nm). This was done using Image J to extract the gray value histogram of each pixel and have plot the average of fluorescence intensity against area of the image. The mean gray values were also taken into consideration. After that, each sample had its fluorescence of the 405 nm and 561 nm taken and used for “sample-to-sample” variation adjustment. Eventually, the final value of 640 nm fluorescence was adjusted using all the aforementioned correction values and plotted in percentage of relative fluorescence increase to the controls.</w:t>
      </w:r>
    </w:p>
    <w:p w:rsidR="00444DB4" w:rsidRPr="00B92A6B" w:rsidRDefault="00444DB4" w:rsidP="00FC2F7A">
      <w:pPr>
        <w:pStyle w:val="TESupportingInfoTitle"/>
      </w:pPr>
      <w:r w:rsidRPr="00B92A6B">
        <w:rPr>
          <w:b/>
          <w:bCs/>
          <w:i/>
          <w:iCs/>
        </w:rPr>
        <w:t xml:space="preserve">Statistical analysis: </w:t>
      </w:r>
      <w:r w:rsidRPr="00B92A6B">
        <w:t>Statistical analysis was performed using GraphPad Prism 6 software, using the tests specified in each case (either student’s t-test or one-way ANOVA).</w:t>
      </w:r>
    </w:p>
    <w:p w:rsidR="000758A9" w:rsidRPr="00B92A6B" w:rsidRDefault="000758A9" w:rsidP="000758A9">
      <w:pPr>
        <w:pStyle w:val="MainText"/>
        <w:spacing w:line="240" w:lineRule="auto"/>
      </w:pPr>
    </w:p>
    <w:p w:rsidR="000758A9" w:rsidRPr="00B92A6B" w:rsidRDefault="000758A9" w:rsidP="00D15DD5">
      <w:pPr>
        <w:pStyle w:val="Acknowledgements"/>
        <w:spacing w:line="360" w:lineRule="auto"/>
        <w:rPr>
          <w:color w:val="FF0000"/>
        </w:rPr>
      </w:pPr>
      <w:r w:rsidRPr="00B92A6B">
        <w:rPr>
          <w:b/>
        </w:rPr>
        <w:t>Supporting Information</w:t>
      </w:r>
    </w:p>
    <w:p w:rsidR="000758A9" w:rsidRPr="00B92A6B" w:rsidRDefault="000758A9" w:rsidP="00D15DD5">
      <w:pPr>
        <w:pStyle w:val="Acknowledgements"/>
        <w:spacing w:line="360" w:lineRule="auto"/>
        <w:jc w:val="both"/>
        <w:rPr>
          <w:iCs/>
        </w:rPr>
      </w:pPr>
      <w:r w:rsidRPr="00B92A6B">
        <w:rPr>
          <w:iCs/>
        </w:rPr>
        <w:t>Supporting Information. Materials and additional experimental protocols, Nanoparticle characterization, further confocal microscopy images.</w:t>
      </w:r>
    </w:p>
    <w:p w:rsidR="000758A9" w:rsidRPr="00B92A6B" w:rsidRDefault="000758A9" w:rsidP="00D15DD5">
      <w:pPr>
        <w:pStyle w:val="MainText"/>
        <w:spacing w:line="360" w:lineRule="auto"/>
        <w:jc w:val="both"/>
      </w:pPr>
    </w:p>
    <w:p w:rsidR="000758A9" w:rsidRPr="00B92A6B" w:rsidRDefault="000758A9" w:rsidP="00D15DD5">
      <w:pPr>
        <w:pStyle w:val="Head1"/>
      </w:pPr>
      <w:r w:rsidRPr="00B92A6B">
        <w:t>Acknowledgements</w:t>
      </w:r>
    </w:p>
    <w:p w:rsidR="000758A9" w:rsidRPr="00B92A6B" w:rsidRDefault="000758A9" w:rsidP="00D15DD5">
      <w:pPr>
        <w:pStyle w:val="MainText"/>
        <w:spacing w:line="360" w:lineRule="auto"/>
        <w:jc w:val="both"/>
      </w:pPr>
      <w:r w:rsidRPr="00B92A6B">
        <w:t>P.V. would like to thank the University of Southampton and EPSRC for a DTA studentship. The technical team at the Biomedical Imaging Unit, Southampton General Hospital is greatly acknowledged.</w:t>
      </w:r>
    </w:p>
    <w:p w:rsidR="000758A9" w:rsidRDefault="000758A9" w:rsidP="000758A9">
      <w:pPr>
        <w:pStyle w:val="Acknowledgements"/>
      </w:pPr>
    </w:p>
    <w:p w:rsidR="00FC2F7A" w:rsidRDefault="00FC2F7A" w:rsidP="00FC2F7A">
      <w:pPr>
        <w:pStyle w:val="TESupportingInfoTitle"/>
      </w:pPr>
    </w:p>
    <w:p w:rsidR="000758A9" w:rsidRPr="000758A9" w:rsidRDefault="000758A9" w:rsidP="000758A9">
      <w:pPr>
        <w:pStyle w:val="MainText"/>
        <w:rPr>
          <w:b/>
          <w:bCs/>
        </w:rPr>
      </w:pPr>
      <w:r w:rsidRPr="000758A9">
        <w:rPr>
          <w:b/>
          <w:bCs/>
        </w:rPr>
        <w:t>References</w:t>
      </w:r>
    </w:p>
    <w:p w:rsidR="003114A4" w:rsidRPr="00A42287" w:rsidRDefault="00234258" w:rsidP="003114A4">
      <w:pPr>
        <w:widowControl w:val="0"/>
        <w:autoSpaceDE w:val="0"/>
        <w:autoSpaceDN w:val="0"/>
        <w:adjustRightInd w:val="0"/>
        <w:spacing w:after="60"/>
        <w:ind w:left="640" w:hanging="640"/>
        <w:rPr>
          <w:noProof/>
          <w:lang w:val="en-US"/>
        </w:rPr>
      </w:pPr>
      <w:r w:rsidRPr="00C03C63">
        <w:rPr>
          <w:kern w:val="19"/>
        </w:rPr>
        <w:fldChar w:fldCharType="begin" w:fldLock="1"/>
      </w:r>
      <w:r w:rsidR="00444DB4" w:rsidRPr="00B92A6B">
        <w:rPr>
          <w:kern w:val="19"/>
          <w:lang w:val="en-GB"/>
        </w:rPr>
        <w:instrText xml:space="preserve">ADDIN Mendeley Bibliography CSL_BIBLIOGRAPHY </w:instrText>
      </w:r>
      <w:r w:rsidRPr="00C03C63">
        <w:rPr>
          <w:kern w:val="19"/>
        </w:rPr>
        <w:fldChar w:fldCharType="separate"/>
      </w:r>
      <w:r w:rsidR="003114A4" w:rsidRPr="00A42287">
        <w:rPr>
          <w:noProof/>
          <w:lang w:val="en-US"/>
        </w:rPr>
        <w:t>[1]</w:t>
      </w:r>
      <w:r w:rsidR="003114A4" w:rsidRPr="00A42287">
        <w:rPr>
          <w:noProof/>
          <w:lang w:val="en-US"/>
        </w:rPr>
        <w:tab/>
        <w:t xml:space="preserve">T. J. Shaw, P. Martin, </w:t>
      </w:r>
      <w:r w:rsidR="003114A4" w:rsidRPr="00A42287">
        <w:rPr>
          <w:i/>
          <w:iCs/>
          <w:noProof/>
          <w:lang w:val="en-US"/>
        </w:rPr>
        <w:t>J. Cell Sci.</w:t>
      </w:r>
      <w:r w:rsidR="003114A4" w:rsidRPr="00A42287">
        <w:rPr>
          <w:noProof/>
          <w:lang w:val="en-US"/>
        </w:rPr>
        <w:t xml:space="preserve"> </w:t>
      </w:r>
      <w:r w:rsidR="003114A4" w:rsidRPr="00A42287">
        <w:rPr>
          <w:b/>
          <w:bCs/>
          <w:noProof/>
          <w:lang w:val="en-US"/>
        </w:rPr>
        <w:t>2009</w:t>
      </w:r>
      <w:r w:rsidR="003114A4" w:rsidRPr="00A42287">
        <w:rPr>
          <w:noProof/>
          <w:lang w:val="en-US"/>
        </w:rPr>
        <w:t xml:space="preserve">, </w:t>
      </w:r>
      <w:r w:rsidR="003114A4" w:rsidRPr="00A42287">
        <w:rPr>
          <w:i/>
          <w:iCs/>
          <w:noProof/>
          <w:lang w:val="en-US"/>
        </w:rPr>
        <w:t>122</w:t>
      </w:r>
      <w:r w:rsidR="003114A4" w:rsidRPr="00A42287">
        <w:rPr>
          <w:noProof/>
          <w:lang w:val="en-US"/>
        </w:rPr>
        <w:t>, 3209.</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[2]</w:t>
      </w:r>
      <w:r w:rsidRPr="00A42287">
        <w:rPr>
          <w:noProof/>
          <w:lang w:val="en-US"/>
        </w:rPr>
        <w:tab/>
        <w:t xml:space="preserve">S. Werner, R. Grose, </w:t>
      </w:r>
      <w:r w:rsidRPr="00A42287">
        <w:rPr>
          <w:i/>
          <w:iCs/>
          <w:noProof/>
          <w:lang w:val="en-US"/>
        </w:rPr>
        <w:t>Physiol. Rev.</w:t>
      </w:r>
      <w:r w:rsidRPr="00A42287">
        <w:rPr>
          <w:noProof/>
          <w:lang w:val="en-US"/>
        </w:rPr>
        <w:t xml:space="preserve"> </w:t>
      </w:r>
      <w:r w:rsidRPr="00A42287">
        <w:rPr>
          <w:b/>
          <w:bCs/>
          <w:noProof/>
          <w:lang w:val="en-US"/>
        </w:rPr>
        <w:t>2003</w:t>
      </w:r>
      <w:r w:rsidRPr="00A42287">
        <w:rPr>
          <w:noProof/>
          <w:lang w:val="en-US"/>
        </w:rPr>
        <w:t xml:space="preserve">, </w:t>
      </w:r>
      <w:r w:rsidRPr="00A42287">
        <w:rPr>
          <w:i/>
          <w:iCs/>
          <w:noProof/>
          <w:lang w:val="en-US"/>
        </w:rPr>
        <w:t>83</w:t>
      </w:r>
      <w:r w:rsidRPr="00A42287">
        <w:rPr>
          <w:noProof/>
          <w:lang w:val="en-US"/>
        </w:rPr>
        <w:t>, 835.</w:t>
      </w:r>
    </w:p>
    <w:p w:rsidR="003114A4" w:rsidRPr="003114A4" w:rsidRDefault="003114A4" w:rsidP="003114A4">
      <w:pPr>
        <w:widowControl w:val="0"/>
        <w:autoSpaceDE w:val="0"/>
        <w:autoSpaceDN w:val="0"/>
        <w:adjustRightInd w:val="0"/>
        <w:spacing w:after="60"/>
        <w:ind w:left="640" w:hanging="640"/>
        <w:rPr>
          <w:noProof/>
        </w:rPr>
      </w:pPr>
      <w:r w:rsidRPr="00A42287">
        <w:rPr>
          <w:noProof/>
          <w:lang w:val="en-US"/>
        </w:rPr>
        <w:t>[3]</w:t>
      </w:r>
      <w:r w:rsidRPr="00A42287">
        <w:rPr>
          <w:noProof/>
          <w:lang w:val="en-US"/>
        </w:rPr>
        <w:tab/>
        <w:t xml:space="preserve">S. Barrientos, O. Stojadinovic, M. S. Golinko, H. Brem, M. Tomic-Canic, </w:t>
      </w:r>
      <w:r w:rsidRPr="00A42287">
        <w:rPr>
          <w:i/>
          <w:iCs/>
          <w:noProof/>
          <w:lang w:val="en-US"/>
        </w:rPr>
        <w:t>Wound Repair Regen.</w:t>
      </w:r>
      <w:r w:rsidRPr="00A42287">
        <w:rPr>
          <w:noProof/>
          <w:lang w:val="en-US"/>
        </w:rPr>
        <w:t xml:space="preserve"> </w:t>
      </w:r>
      <w:r w:rsidRPr="003114A4">
        <w:rPr>
          <w:b/>
          <w:bCs/>
          <w:noProof/>
        </w:rPr>
        <w:t>2008</w:t>
      </w:r>
      <w:r w:rsidRPr="003114A4">
        <w:rPr>
          <w:noProof/>
        </w:rPr>
        <w:t xml:space="preserve">, </w:t>
      </w:r>
      <w:r w:rsidRPr="003114A4">
        <w:rPr>
          <w:i/>
          <w:iCs/>
          <w:noProof/>
        </w:rPr>
        <w:t>16</w:t>
      </w:r>
      <w:r w:rsidRPr="003114A4">
        <w:rPr>
          <w:noProof/>
        </w:rPr>
        <w:t>, 585.</w:t>
      </w:r>
    </w:p>
    <w:p w:rsidR="003114A4" w:rsidRPr="00447C3B" w:rsidRDefault="003114A4" w:rsidP="003114A4">
      <w:pPr>
        <w:widowControl w:val="0"/>
        <w:autoSpaceDE w:val="0"/>
        <w:autoSpaceDN w:val="0"/>
        <w:adjustRightInd w:val="0"/>
        <w:spacing w:after="60"/>
        <w:ind w:left="640" w:hanging="640"/>
        <w:rPr>
          <w:noProof/>
        </w:rPr>
      </w:pPr>
      <w:r w:rsidRPr="003114A4">
        <w:rPr>
          <w:noProof/>
        </w:rPr>
        <w:t>[4]</w:t>
      </w:r>
      <w:r w:rsidRPr="003114A4">
        <w:rPr>
          <w:noProof/>
        </w:rPr>
        <w:tab/>
        <w:t xml:space="preserve">B. R. Klass, A. O. Grobbelaar, K. J. Rolfe, </w:t>
      </w:r>
      <w:r w:rsidRPr="003114A4">
        <w:rPr>
          <w:i/>
          <w:iCs/>
          <w:noProof/>
        </w:rPr>
        <w:t xml:space="preserve">Postgrad. </w:t>
      </w:r>
      <w:r w:rsidRPr="00447C3B">
        <w:rPr>
          <w:i/>
          <w:iCs/>
          <w:noProof/>
        </w:rPr>
        <w:t>Med. J.</w:t>
      </w:r>
      <w:r w:rsidRPr="00447C3B">
        <w:rPr>
          <w:noProof/>
        </w:rPr>
        <w:t xml:space="preserve"> </w:t>
      </w:r>
      <w:r w:rsidRPr="00447C3B">
        <w:rPr>
          <w:b/>
          <w:bCs/>
          <w:noProof/>
        </w:rPr>
        <w:t>2009</w:t>
      </w:r>
      <w:r w:rsidRPr="00447C3B">
        <w:rPr>
          <w:noProof/>
        </w:rPr>
        <w:t xml:space="preserve">, </w:t>
      </w:r>
      <w:r w:rsidRPr="00447C3B">
        <w:rPr>
          <w:i/>
          <w:iCs/>
          <w:noProof/>
        </w:rPr>
        <w:t>85</w:t>
      </w:r>
      <w:r w:rsidRPr="00447C3B">
        <w:rPr>
          <w:noProof/>
        </w:rPr>
        <w:t>, 9.</w:t>
      </w:r>
    </w:p>
    <w:p w:rsidR="003114A4" w:rsidRPr="00447C3B" w:rsidRDefault="003114A4" w:rsidP="003114A4">
      <w:pPr>
        <w:widowControl w:val="0"/>
        <w:autoSpaceDE w:val="0"/>
        <w:autoSpaceDN w:val="0"/>
        <w:adjustRightInd w:val="0"/>
        <w:spacing w:after="60"/>
        <w:ind w:left="640" w:hanging="640"/>
        <w:rPr>
          <w:noProof/>
        </w:rPr>
      </w:pPr>
      <w:r w:rsidRPr="00447C3B">
        <w:rPr>
          <w:noProof/>
        </w:rPr>
        <w:t>[5]</w:t>
      </w:r>
      <w:r w:rsidRPr="00447C3B">
        <w:rPr>
          <w:noProof/>
        </w:rPr>
        <w:tab/>
        <w:t xml:space="preserve">J. M. Carvajal-Gonzalez, A. C. Roman, M. I. Cerezo-Guisado, E. M. Rico-Leo, G. Martin-Partido, P. M. Fernandez-Salguero, </w:t>
      </w:r>
      <w:r w:rsidRPr="00447C3B">
        <w:rPr>
          <w:i/>
          <w:iCs/>
          <w:noProof/>
        </w:rPr>
        <w:t>J. Cell Sci.</w:t>
      </w:r>
      <w:r w:rsidRPr="00447C3B">
        <w:rPr>
          <w:noProof/>
        </w:rPr>
        <w:t xml:space="preserve"> </w:t>
      </w:r>
      <w:r w:rsidRPr="00447C3B">
        <w:rPr>
          <w:b/>
          <w:bCs/>
          <w:noProof/>
        </w:rPr>
        <w:t>2009</w:t>
      </w:r>
      <w:r w:rsidRPr="00447C3B">
        <w:rPr>
          <w:noProof/>
        </w:rPr>
        <w:t xml:space="preserve">, </w:t>
      </w:r>
      <w:r w:rsidRPr="00447C3B">
        <w:rPr>
          <w:i/>
          <w:iCs/>
          <w:noProof/>
        </w:rPr>
        <w:t>122</w:t>
      </w:r>
      <w:r w:rsidRPr="00447C3B">
        <w:rPr>
          <w:noProof/>
        </w:rPr>
        <w:t>, 1823.</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[6]</w:t>
      </w:r>
      <w:r w:rsidRPr="00A42287">
        <w:rPr>
          <w:noProof/>
          <w:lang w:val="en-US"/>
        </w:rPr>
        <w:tab/>
        <w:t xml:space="preserve">M. Sisco, Z. B. Kryger, K. D. O’Shaughnessy, P. S. Kim, G. S. Schultz, X. Z. Ding, N. </w:t>
      </w:r>
      <w:r w:rsidRPr="00A42287">
        <w:rPr>
          <w:noProof/>
          <w:lang w:val="en-US"/>
        </w:rPr>
        <w:lastRenderedPageBreak/>
        <w:t xml:space="preserve">K. Roy, N. M. Dean, T. A. Mustoe, </w:t>
      </w:r>
      <w:r w:rsidRPr="00A42287">
        <w:rPr>
          <w:i/>
          <w:iCs/>
          <w:noProof/>
          <w:lang w:val="en-US"/>
        </w:rPr>
        <w:t>Wound Repair Regen.</w:t>
      </w:r>
      <w:r w:rsidRPr="00A42287">
        <w:rPr>
          <w:noProof/>
          <w:lang w:val="en-US"/>
        </w:rPr>
        <w:t xml:space="preserve"> </w:t>
      </w:r>
      <w:r w:rsidRPr="00A42287">
        <w:rPr>
          <w:b/>
          <w:bCs/>
          <w:noProof/>
          <w:lang w:val="en-US"/>
        </w:rPr>
        <w:t>2008</w:t>
      </w:r>
      <w:r w:rsidRPr="00A42287">
        <w:rPr>
          <w:noProof/>
          <w:lang w:val="en-US"/>
        </w:rPr>
        <w:t xml:space="preserve">, </w:t>
      </w:r>
      <w:r w:rsidRPr="00A42287">
        <w:rPr>
          <w:i/>
          <w:iCs/>
          <w:noProof/>
          <w:lang w:val="en-US"/>
        </w:rPr>
        <w:t>16</w:t>
      </w:r>
      <w:r w:rsidRPr="00A42287">
        <w:rPr>
          <w:noProof/>
          <w:lang w:val="en-US"/>
        </w:rPr>
        <w:t>, 661.</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[7]</w:t>
      </w:r>
      <w:r w:rsidRPr="00A42287">
        <w:rPr>
          <w:noProof/>
          <w:lang w:val="en-US"/>
        </w:rPr>
        <w:tab/>
        <w:t xml:space="preserve">S. Chigurupati, T. V. Arumugam, T. G. Son, J. D. Lathia, S. Jameel, M. R. Mughal, S.-C. Tang, D.-G. Jo, S. Camandola, M. Giunta, I. Rakova, N. McDonnell, L. Miele, M. P. Mattson, S. Poosala, </w:t>
      </w:r>
      <w:r w:rsidRPr="00A42287">
        <w:rPr>
          <w:i/>
          <w:iCs/>
          <w:noProof/>
          <w:lang w:val="en-US"/>
        </w:rPr>
        <w:t>PLoS One</w:t>
      </w:r>
      <w:r w:rsidRPr="00A42287">
        <w:rPr>
          <w:noProof/>
          <w:lang w:val="en-US"/>
        </w:rPr>
        <w:t xml:space="preserve"> </w:t>
      </w:r>
      <w:r w:rsidRPr="00A42287">
        <w:rPr>
          <w:b/>
          <w:bCs/>
          <w:noProof/>
          <w:lang w:val="en-US"/>
        </w:rPr>
        <w:t>2007</w:t>
      </w:r>
      <w:r w:rsidRPr="00A42287">
        <w:rPr>
          <w:noProof/>
          <w:lang w:val="en-US"/>
        </w:rPr>
        <w:t xml:space="preserve">, </w:t>
      </w:r>
      <w:r w:rsidRPr="00A42287">
        <w:rPr>
          <w:i/>
          <w:iCs/>
          <w:noProof/>
          <w:lang w:val="en-US"/>
        </w:rPr>
        <w:t>2</w:t>
      </w:r>
      <w:r w:rsidRPr="00A42287">
        <w:rPr>
          <w:noProof/>
          <w:lang w:val="en-US"/>
        </w:rPr>
        <w:t>, e1167.</w:t>
      </w:r>
    </w:p>
    <w:p w:rsidR="003114A4" w:rsidRPr="00A36ED9" w:rsidRDefault="003114A4" w:rsidP="003114A4">
      <w:pPr>
        <w:widowControl w:val="0"/>
        <w:autoSpaceDE w:val="0"/>
        <w:autoSpaceDN w:val="0"/>
        <w:adjustRightInd w:val="0"/>
        <w:spacing w:after="60"/>
        <w:ind w:left="640" w:hanging="640"/>
        <w:rPr>
          <w:noProof/>
        </w:rPr>
      </w:pPr>
      <w:r w:rsidRPr="003114A4">
        <w:rPr>
          <w:noProof/>
        </w:rPr>
        <w:t>[8]</w:t>
      </w:r>
      <w:r w:rsidRPr="003114A4">
        <w:rPr>
          <w:noProof/>
        </w:rPr>
        <w:tab/>
        <w:t>Y.</w:t>
      </w:r>
      <w:r w:rsidR="00BD009C">
        <w:rPr>
          <w:noProof/>
        </w:rPr>
        <w:t xml:space="preserve"> </w:t>
      </w:r>
      <w:r w:rsidRPr="003114A4">
        <w:rPr>
          <w:noProof/>
        </w:rPr>
        <w:t xml:space="preserve">J. Chen, B. Groves, R. A. Muscat, G. Seelig, </w:t>
      </w:r>
      <w:r w:rsidRPr="003114A4">
        <w:rPr>
          <w:i/>
          <w:iCs/>
          <w:noProof/>
        </w:rPr>
        <w:t xml:space="preserve">Nat. </w:t>
      </w:r>
      <w:r w:rsidRPr="00A36ED9">
        <w:rPr>
          <w:i/>
          <w:iCs/>
          <w:noProof/>
        </w:rPr>
        <w:t>Nanotechnol.</w:t>
      </w:r>
      <w:r w:rsidRPr="00A36ED9">
        <w:rPr>
          <w:noProof/>
        </w:rPr>
        <w:t xml:space="preserve"> </w:t>
      </w:r>
      <w:r w:rsidRPr="00A36ED9">
        <w:rPr>
          <w:b/>
          <w:bCs/>
          <w:noProof/>
        </w:rPr>
        <w:t>2015</w:t>
      </w:r>
      <w:r w:rsidRPr="00A36ED9">
        <w:rPr>
          <w:noProof/>
        </w:rPr>
        <w:t xml:space="preserve">, </w:t>
      </w:r>
      <w:r w:rsidRPr="00A36ED9">
        <w:rPr>
          <w:i/>
          <w:iCs/>
          <w:noProof/>
        </w:rPr>
        <w:t>10</w:t>
      </w:r>
      <w:r w:rsidRPr="00A36ED9">
        <w:rPr>
          <w:noProof/>
        </w:rPr>
        <w:t>, 748.</w:t>
      </w:r>
    </w:p>
    <w:p w:rsidR="003114A4" w:rsidRPr="00A36ED9" w:rsidRDefault="003114A4" w:rsidP="003114A4">
      <w:pPr>
        <w:widowControl w:val="0"/>
        <w:autoSpaceDE w:val="0"/>
        <w:autoSpaceDN w:val="0"/>
        <w:adjustRightInd w:val="0"/>
        <w:spacing w:after="60"/>
        <w:ind w:left="640" w:hanging="640"/>
        <w:rPr>
          <w:noProof/>
        </w:rPr>
      </w:pPr>
      <w:r w:rsidRPr="00A36ED9">
        <w:rPr>
          <w:noProof/>
        </w:rPr>
        <w:t>[9]</w:t>
      </w:r>
      <w:r w:rsidRPr="00A36ED9">
        <w:rPr>
          <w:noProof/>
        </w:rPr>
        <w:tab/>
        <w:t xml:space="preserve">A. S. Boutorine, D. S. Novopashina, O. A. Krasheninina, K. Nozeret, A. G. Venyaminova, </w:t>
      </w:r>
      <w:r w:rsidRPr="00A36ED9">
        <w:rPr>
          <w:i/>
          <w:iCs/>
          <w:noProof/>
        </w:rPr>
        <w:t>Molecules</w:t>
      </w:r>
      <w:r w:rsidRPr="00A36ED9">
        <w:rPr>
          <w:noProof/>
        </w:rPr>
        <w:t xml:space="preserve"> </w:t>
      </w:r>
      <w:r w:rsidRPr="00A36ED9">
        <w:rPr>
          <w:b/>
          <w:bCs/>
          <w:noProof/>
        </w:rPr>
        <w:t>2013</w:t>
      </w:r>
      <w:r w:rsidRPr="00A36ED9">
        <w:rPr>
          <w:noProof/>
        </w:rPr>
        <w:t xml:space="preserve">, </w:t>
      </w:r>
      <w:r w:rsidRPr="00A36ED9">
        <w:rPr>
          <w:i/>
          <w:iCs/>
          <w:noProof/>
        </w:rPr>
        <w:t>18</w:t>
      </w:r>
      <w:r w:rsidRPr="00A36ED9">
        <w:rPr>
          <w:noProof/>
        </w:rPr>
        <w:t>, 15357.</w:t>
      </w:r>
    </w:p>
    <w:p w:rsidR="003114A4" w:rsidRPr="00A42287" w:rsidRDefault="003114A4" w:rsidP="003114A4">
      <w:pPr>
        <w:widowControl w:val="0"/>
        <w:autoSpaceDE w:val="0"/>
        <w:autoSpaceDN w:val="0"/>
        <w:adjustRightInd w:val="0"/>
        <w:spacing w:after="60"/>
        <w:ind w:left="640" w:hanging="640"/>
        <w:rPr>
          <w:noProof/>
          <w:lang w:val="en-US"/>
        </w:rPr>
      </w:pPr>
      <w:r w:rsidRPr="00A36ED9">
        <w:rPr>
          <w:noProof/>
        </w:rPr>
        <w:t>[10]</w:t>
      </w:r>
      <w:r w:rsidRPr="00A36ED9">
        <w:rPr>
          <w:noProof/>
        </w:rPr>
        <w:tab/>
        <w:t xml:space="preserve">D. P. Bratu, I. E. Catrina, S. A. E. Marras, </w:t>
      </w:r>
      <w:r w:rsidRPr="00A36ED9">
        <w:rPr>
          <w:i/>
          <w:iCs/>
          <w:noProof/>
        </w:rPr>
        <w:t xml:space="preserve">Methods Mol. </w:t>
      </w:r>
      <w:r w:rsidRPr="00A42287">
        <w:rPr>
          <w:i/>
          <w:iCs/>
          <w:noProof/>
          <w:lang w:val="en-US"/>
        </w:rPr>
        <w:t>Biol.</w:t>
      </w:r>
      <w:r w:rsidRPr="00A42287">
        <w:rPr>
          <w:noProof/>
          <w:lang w:val="en-US"/>
        </w:rPr>
        <w:t xml:space="preserve"> </w:t>
      </w:r>
      <w:r w:rsidRPr="00A42287">
        <w:rPr>
          <w:b/>
          <w:bCs/>
          <w:noProof/>
          <w:lang w:val="en-US"/>
        </w:rPr>
        <w:t>2011</w:t>
      </w:r>
      <w:r w:rsidRPr="00A42287">
        <w:rPr>
          <w:noProof/>
          <w:lang w:val="en-US"/>
        </w:rPr>
        <w:t xml:space="preserve">, </w:t>
      </w:r>
      <w:r w:rsidRPr="00A42287">
        <w:rPr>
          <w:i/>
          <w:iCs/>
          <w:noProof/>
          <w:lang w:val="en-US"/>
        </w:rPr>
        <w:t>714</w:t>
      </w:r>
      <w:r w:rsidRPr="00A42287">
        <w:rPr>
          <w:noProof/>
          <w:lang w:val="en-US"/>
        </w:rPr>
        <w:t>, 141.</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[11]</w:t>
      </w:r>
      <w:r w:rsidRPr="00A42287">
        <w:rPr>
          <w:noProof/>
          <w:lang w:val="en-US"/>
        </w:rPr>
        <w:tab/>
        <w:t xml:space="preserve">W. Tan, K. Wang, T. J. Drake, </w:t>
      </w:r>
      <w:r w:rsidRPr="00A42287">
        <w:rPr>
          <w:i/>
          <w:iCs/>
          <w:noProof/>
          <w:lang w:val="en-US"/>
        </w:rPr>
        <w:t>Curr. Opin. Chem. Biol.</w:t>
      </w:r>
      <w:r w:rsidRPr="00A42287">
        <w:rPr>
          <w:noProof/>
          <w:lang w:val="en-US"/>
        </w:rPr>
        <w:t xml:space="preserve"> </w:t>
      </w:r>
      <w:r w:rsidRPr="00A42287">
        <w:rPr>
          <w:b/>
          <w:bCs/>
          <w:noProof/>
          <w:lang w:val="en-US"/>
        </w:rPr>
        <w:t>2004</w:t>
      </w:r>
      <w:r w:rsidRPr="00A42287">
        <w:rPr>
          <w:noProof/>
          <w:lang w:val="en-US"/>
        </w:rPr>
        <w:t xml:space="preserve">, </w:t>
      </w:r>
      <w:r w:rsidRPr="00A42287">
        <w:rPr>
          <w:i/>
          <w:iCs/>
          <w:noProof/>
          <w:lang w:val="en-US"/>
        </w:rPr>
        <w:t>8</w:t>
      </w:r>
      <w:r w:rsidRPr="00A42287">
        <w:rPr>
          <w:noProof/>
          <w:lang w:val="en-US"/>
        </w:rPr>
        <w:t>, 547.</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[12]</w:t>
      </w:r>
      <w:r w:rsidRPr="00A42287">
        <w:rPr>
          <w:noProof/>
          <w:lang w:val="en-US"/>
        </w:rPr>
        <w:tab/>
        <w:t xml:space="preserve">E. V. Dolgosheina, S. C. Y. Jeng, S. S. S. Panchapakesan, R. Cojocaru, P. S. K. Chen, P. D. Wilson, N. Hawkins, P. A. Wiggins, P. J. Unrau, </w:t>
      </w:r>
      <w:r w:rsidRPr="00A42287">
        <w:rPr>
          <w:i/>
          <w:iCs/>
          <w:noProof/>
          <w:lang w:val="en-US"/>
        </w:rPr>
        <w:t>ACS Chem. Biol.</w:t>
      </w:r>
      <w:r w:rsidRPr="00A42287">
        <w:rPr>
          <w:noProof/>
          <w:lang w:val="en-US"/>
        </w:rPr>
        <w:t xml:space="preserve"> </w:t>
      </w:r>
      <w:r w:rsidRPr="00A42287">
        <w:rPr>
          <w:b/>
          <w:bCs/>
          <w:noProof/>
          <w:lang w:val="en-US"/>
        </w:rPr>
        <w:t>2014</w:t>
      </w:r>
      <w:r w:rsidRPr="00A42287">
        <w:rPr>
          <w:noProof/>
          <w:lang w:val="en-US"/>
        </w:rPr>
        <w:t xml:space="preserve">, </w:t>
      </w:r>
      <w:r w:rsidRPr="00A42287">
        <w:rPr>
          <w:i/>
          <w:iCs/>
          <w:noProof/>
          <w:lang w:val="en-US"/>
        </w:rPr>
        <w:t>9</w:t>
      </w:r>
      <w:r w:rsidRPr="00A42287">
        <w:rPr>
          <w:noProof/>
          <w:lang w:val="en-US"/>
        </w:rPr>
        <w:t>, 2412.</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[13]</w:t>
      </w:r>
      <w:r w:rsidRPr="00A42287">
        <w:rPr>
          <w:noProof/>
          <w:lang w:val="en-US"/>
        </w:rPr>
        <w:tab/>
        <w:t xml:space="preserve">M. Valencia-Burton, R. M. McCullough, C. R. Cantor, N. E. Broude, </w:t>
      </w:r>
      <w:r w:rsidRPr="00A42287">
        <w:rPr>
          <w:i/>
          <w:iCs/>
          <w:noProof/>
          <w:lang w:val="en-US"/>
        </w:rPr>
        <w:t>Nat. Methods</w:t>
      </w:r>
      <w:r w:rsidRPr="00A42287">
        <w:rPr>
          <w:noProof/>
          <w:lang w:val="en-US"/>
        </w:rPr>
        <w:t xml:space="preserve"> </w:t>
      </w:r>
      <w:r w:rsidRPr="00A42287">
        <w:rPr>
          <w:b/>
          <w:bCs/>
          <w:noProof/>
          <w:lang w:val="en-US"/>
        </w:rPr>
        <w:t>2007</w:t>
      </w:r>
      <w:r w:rsidRPr="00A42287">
        <w:rPr>
          <w:noProof/>
          <w:lang w:val="en-US"/>
        </w:rPr>
        <w:t xml:space="preserve">, </w:t>
      </w:r>
      <w:r w:rsidRPr="00A42287">
        <w:rPr>
          <w:i/>
          <w:iCs/>
          <w:noProof/>
          <w:lang w:val="en-US"/>
        </w:rPr>
        <w:t>4</w:t>
      </w:r>
      <w:r w:rsidRPr="00A42287">
        <w:rPr>
          <w:noProof/>
          <w:lang w:val="en-US"/>
        </w:rPr>
        <w:t>, 421.</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[14]</w:t>
      </w:r>
      <w:r w:rsidRPr="00A42287">
        <w:rPr>
          <w:noProof/>
          <w:lang w:val="en-US"/>
        </w:rPr>
        <w:tab/>
        <w:t xml:space="preserve">Y. Wu, L. Chen, P. G. Scott, E. E. Tredget, </w:t>
      </w:r>
      <w:r w:rsidRPr="00A42287">
        <w:rPr>
          <w:i/>
          <w:iCs/>
          <w:noProof/>
          <w:lang w:val="en-US"/>
        </w:rPr>
        <w:t>Stem Cells</w:t>
      </w:r>
      <w:r w:rsidRPr="00A42287">
        <w:rPr>
          <w:noProof/>
          <w:lang w:val="en-US"/>
        </w:rPr>
        <w:t xml:space="preserve"> </w:t>
      </w:r>
      <w:r w:rsidRPr="00A42287">
        <w:rPr>
          <w:b/>
          <w:bCs/>
          <w:noProof/>
          <w:lang w:val="en-US"/>
        </w:rPr>
        <w:t>2007</w:t>
      </w:r>
      <w:r w:rsidRPr="00A42287">
        <w:rPr>
          <w:noProof/>
          <w:lang w:val="en-US"/>
        </w:rPr>
        <w:t xml:space="preserve">, </w:t>
      </w:r>
      <w:r w:rsidRPr="00A42287">
        <w:rPr>
          <w:i/>
          <w:iCs/>
          <w:noProof/>
          <w:lang w:val="en-US"/>
        </w:rPr>
        <w:t>25</w:t>
      </w:r>
      <w:r w:rsidRPr="00A42287">
        <w:rPr>
          <w:noProof/>
          <w:lang w:val="en-US"/>
        </w:rPr>
        <w:t>, 2648.</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[15]</w:t>
      </w:r>
      <w:r w:rsidRPr="00A42287">
        <w:rPr>
          <w:noProof/>
          <w:lang w:val="en-US"/>
        </w:rPr>
        <w:tab/>
        <w:t xml:space="preserve">J. Gatlin, M. W. Melkus, A. Padgett, W. M. Petroll, H. D. Cavanagh, J. V. Garcia, J. V Jester, </w:t>
      </w:r>
      <w:r w:rsidRPr="00A42287">
        <w:rPr>
          <w:i/>
          <w:iCs/>
          <w:noProof/>
          <w:lang w:val="en-US"/>
        </w:rPr>
        <w:t>Exp. Eye Res.</w:t>
      </w:r>
      <w:r w:rsidRPr="00A42287">
        <w:rPr>
          <w:noProof/>
          <w:lang w:val="en-US"/>
        </w:rPr>
        <w:t xml:space="preserve"> </w:t>
      </w:r>
      <w:r w:rsidRPr="00A42287">
        <w:rPr>
          <w:b/>
          <w:bCs/>
          <w:noProof/>
          <w:lang w:val="en-US"/>
        </w:rPr>
        <w:t>2003</w:t>
      </w:r>
      <w:r w:rsidRPr="00A42287">
        <w:rPr>
          <w:noProof/>
          <w:lang w:val="en-US"/>
        </w:rPr>
        <w:t xml:space="preserve">, </w:t>
      </w:r>
      <w:r w:rsidRPr="00A42287">
        <w:rPr>
          <w:i/>
          <w:iCs/>
          <w:noProof/>
          <w:lang w:val="en-US"/>
        </w:rPr>
        <w:t>76</w:t>
      </w:r>
      <w:r w:rsidRPr="00A42287">
        <w:rPr>
          <w:noProof/>
          <w:lang w:val="en-US"/>
        </w:rPr>
        <w:t>, 361.</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[16]</w:t>
      </w:r>
      <w:r w:rsidRPr="00A42287">
        <w:rPr>
          <w:noProof/>
          <w:lang w:val="en-US"/>
        </w:rPr>
        <w:tab/>
        <w:t xml:space="preserve">D. R. Garrod, M. Y. Berika, W. F. Bardsley, D. Holmes, L. Tabernero, </w:t>
      </w:r>
      <w:r w:rsidRPr="00A42287">
        <w:rPr>
          <w:i/>
          <w:iCs/>
          <w:noProof/>
          <w:lang w:val="en-US"/>
        </w:rPr>
        <w:t>J. Cell Sci.</w:t>
      </w:r>
      <w:r w:rsidRPr="00A42287">
        <w:rPr>
          <w:noProof/>
          <w:lang w:val="en-US"/>
        </w:rPr>
        <w:t xml:space="preserve"> </w:t>
      </w:r>
      <w:r w:rsidRPr="00A42287">
        <w:rPr>
          <w:b/>
          <w:bCs/>
          <w:noProof/>
          <w:lang w:val="en-US"/>
        </w:rPr>
        <w:t>2005</w:t>
      </w:r>
      <w:r w:rsidRPr="00A42287">
        <w:rPr>
          <w:noProof/>
          <w:lang w:val="en-US"/>
        </w:rPr>
        <w:t xml:space="preserve">, </w:t>
      </w:r>
      <w:r w:rsidRPr="00A42287">
        <w:rPr>
          <w:i/>
          <w:iCs/>
          <w:noProof/>
          <w:lang w:val="en-US"/>
        </w:rPr>
        <w:t>118</w:t>
      </w:r>
      <w:r w:rsidRPr="00A42287">
        <w:rPr>
          <w:noProof/>
          <w:lang w:val="en-US"/>
        </w:rPr>
        <w:t>.</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[17]</w:t>
      </w:r>
      <w:r w:rsidRPr="00A42287">
        <w:rPr>
          <w:noProof/>
          <w:lang w:val="en-US"/>
        </w:rPr>
        <w:tab/>
        <w:t xml:space="preserve">J. A. Sherratt, J. C. Dallon, </w:t>
      </w:r>
      <w:r w:rsidRPr="00A42287">
        <w:rPr>
          <w:i/>
          <w:iCs/>
          <w:noProof/>
          <w:lang w:val="en-US"/>
        </w:rPr>
        <w:t>Comptes Rendus - Biol.</w:t>
      </w:r>
      <w:r w:rsidRPr="00A42287">
        <w:rPr>
          <w:noProof/>
          <w:lang w:val="en-US"/>
        </w:rPr>
        <w:t xml:space="preserve"> </w:t>
      </w:r>
      <w:r w:rsidRPr="00A42287">
        <w:rPr>
          <w:b/>
          <w:bCs/>
          <w:noProof/>
          <w:lang w:val="en-US"/>
        </w:rPr>
        <w:t>2002</w:t>
      </w:r>
      <w:r w:rsidRPr="00A42287">
        <w:rPr>
          <w:noProof/>
          <w:lang w:val="en-US"/>
        </w:rPr>
        <w:t xml:space="preserve">, </w:t>
      </w:r>
      <w:r w:rsidRPr="00A42287">
        <w:rPr>
          <w:i/>
          <w:iCs/>
          <w:noProof/>
          <w:lang w:val="en-US"/>
        </w:rPr>
        <w:t>325</w:t>
      </w:r>
      <w:r w:rsidRPr="00A42287">
        <w:rPr>
          <w:noProof/>
          <w:lang w:val="en-US"/>
        </w:rPr>
        <w:t>, 557.</w:t>
      </w:r>
    </w:p>
    <w:p w:rsidR="003114A4" w:rsidRPr="003114A4" w:rsidRDefault="003114A4" w:rsidP="003114A4">
      <w:pPr>
        <w:widowControl w:val="0"/>
        <w:autoSpaceDE w:val="0"/>
        <w:autoSpaceDN w:val="0"/>
        <w:adjustRightInd w:val="0"/>
        <w:spacing w:after="60"/>
        <w:ind w:left="640" w:hanging="640"/>
        <w:rPr>
          <w:noProof/>
        </w:rPr>
      </w:pPr>
      <w:r w:rsidRPr="003114A4">
        <w:rPr>
          <w:noProof/>
        </w:rPr>
        <w:t>[18]</w:t>
      </w:r>
      <w:r w:rsidRPr="003114A4">
        <w:rPr>
          <w:noProof/>
        </w:rPr>
        <w:tab/>
        <w:t xml:space="preserve">D. S. Seferos, D. A. Giljohann, H. D. Hill, A. E. Prigodich, C. A. Mirkin, </w:t>
      </w:r>
      <w:r w:rsidRPr="003114A4">
        <w:rPr>
          <w:i/>
          <w:iCs/>
          <w:noProof/>
        </w:rPr>
        <w:t>J. Am. Chem. Soc.</w:t>
      </w:r>
      <w:r w:rsidRPr="003114A4">
        <w:rPr>
          <w:noProof/>
        </w:rPr>
        <w:t xml:space="preserve"> </w:t>
      </w:r>
      <w:r w:rsidRPr="003114A4">
        <w:rPr>
          <w:b/>
          <w:bCs/>
          <w:noProof/>
        </w:rPr>
        <w:t>2007</w:t>
      </w:r>
      <w:r w:rsidRPr="003114A4">
        <w:rPr>
          <w:noProof/>
        </w:rPr>
        <w:t xml:space="preserve">, </w:t>
      </w:r>
      <w:r w:rsidRPr="003114A4">
        <w:rPr>
          <w:i/>
          <w:iCs/>
          <w:noProof/>
        </w:rPr>
        <w:t>129</w:t>
      </w:r>
      <w:r w:rsidRPr="003114A4">
        <w:rPr>
          <w:noProof/>
        </w:rPr>
        <w:t>, 15477.</w:t>
      </w:r>
    </w:p>
    <w:p w:rsidR="003114A4" w:rsidRPr="003114A4" w:rsidRDefault="003114A4" w:rsidP="003114A4">
      <w:pPr>
        <w:widowControl w:val="0"/>
        <w:autoSpaceDE w:val="0"/>
        <w:autoSpaceDN w:val="0"/>
        <w:adjustRightInd w:val="0"/>
        <w:spacing w:after="60"/>
        <w:ind w:left="640" w:hanging="640"/>
        <w:rPr>
          <w:noProof/>
        </w:rPr>
      </w:pPr>
      <w:r w:rsidRPr="003114A4">
        <w:rPr>
          <w:noProof/>
        </w:rPr>
        <w:t>[19]</w:t>
      </w:r>
      <w:r w:rsidRPr="003114A4">
        <w:rPr>
          <w:noProof/>
        </w:rPr>
        <w:tab/>
        <w:t xml:space="preserve">D. A. Giljohann, D. S. Seferos, A. E. Prigodich, P. C. Patel, C. A. Mirkin, </w:t>
      </w:r>
      <w:r w:rsidRPr="003114A4">
        <w:rPr>
          <w:i/>
          <w:iCs/>
          <w:noProof/>
        </w:rPr>
        <w:t>J. Am. Chem. Soc.</w:t>
      </w:r>
      <w:r w:rsidRPr="003114A4">
        <w:rPr>
          <w:noProof/>
        </w:rPr>
        <w:t xml:space="preserve"> </w:t>
      </w:r>
      <w:r w:rsidRPr="003114A4">
        <w:rPr>
          <w:b/>
          <w:bCs/>
          <w:noProof/>
        </w:rPr>
        <w:t>2009</w:t>
      </w:r>
      <w:r w:rsidRPr="003114A4">
        <w:rPr>
          <w:noProof/>
        </w:rPr>
        <w:t xml:space="preserve">, </w:t>
      </w:r>
      <w:r w:rsidRPr="003114A4">
        <w:rPr>
          <w:i/>
          <w:iCs/>
          <w:noProof/>
        </w:rPr>
        <w:t>131</w:t>
      </w:r>
      <w:r w:rsidRPr="003114A4">
        <w:rPr>
          <w:noProof/>
        </w:rPr>
        <w:t>, 2072.</w:t>
      </w:r>
    </w:p>
    <w:p w:rsidR="003114A4" w:rsidRPr="003114A4" w:rsidRDefault="003114A4" w:rsidP="003114A4">
      <w:pPr>
        <w:widowControl w:val="0"/>
        <w:autoSpaceDE w:val="0"/>
        <w:autoSpaceDN w:val="0"/>
        <w:adjustRightInd w:val="0"/>
        <w:spacing w:after="60"/>
        <w:ind w:left="640" w:hanging="640"/>
        <w:rPr>
          <w:noProof/>
        </w:rPr>
      </w:pPr>
      <w:r w:rsidRPr="003114A4">
        <w:rPr>
          <w:noProof/>
        </w:rPr>
        <w:t>[20]</w:t>
      </w:r>
      <w:r w:rsidRPr="003114A4">
        <w:rPr>
          <w:noProof/>
        </w:rPr>
        <w:tab/>
        <w:t xml:space="preserve">A. E. Prigodich, P. S. Randeria, W. E. Briley, N. J. Kim, W. L. Daniel, D. A. Giljohann, C. A. Mirkin, </w:t>
      </w:r>
      <w:r w:rsidRPr="003114A4">
        <w:rPr>
          <w:i/>
          <w:iCs/>
          <w:noProof/>
        </w:rPr>
        <w:t>Anal. Chem.</w:t>
      </w:r>
      <w:r w:rsidRPr="003114A4">
        <w:rPr>
          <w:noProof/>
        </w:rPr>
        <w:t xml:space="preserve"> </w:t>
      </w:r>
      <w:r w:rsidRPr="003114A4">
        <w:rPr>
          <w:b/>
          <w:bCs/>
          <w:noProof/>
        </w:rPr>
        <w:t>2012</w:t>
      </w:r>
      <w:r w:rsidRPr="003114A4">
        <w:rPr>
          <w:noProof/>
        </w:rPr>
        <w:t xml:space="preserve">, </w:t>
      </w:r>
      <w:r w:rsidRPr="003114A4">
        <w:rPr>
          <w:i/>
          <w:iCs/>
          <w:noProof/>
        </w:rPr>
        <w:t>84</w:t>
      </w:r>
      <w:r w:rsidRPr="003114A4">
        <w:rPr>
          <w:noProof/>
        </w:rPr>
        <w:t>, 2062.</w:t>
      </w:r>
    </w:p>
    <w:p w:rsidR="003114A4" w:rsidRPr="00447C3B" w:rsidRDefault="003114A4" w:rsidP="003114A4">
      <w:pPr>
        <w:widowControl w:val="0"/>
        <w:autoSpaceDE w:val="0"/>
        <w:autoSpaceDN w:val="0"/>
        <w:adjustRightInd w:val="0"/>
        <w:spacing w:after="60"/>
        <w:ind w:left="640" w:hanging="640"/>
        <w:rPr>
          <w:noProof/>
        </w:rPr>
      </w:pPr>
      <w:r w:rsidRPr="003114A4">
        <w:rPr>
          <w:noProof/>
        </w:rPr>
        <w:t>[21]</w:t>
      </w:r>
      <w:r w:rsidRPr="003114A4">
        <w:rPr>
          <w:noProof/>
        </w:rPr>
        <w:tab/>
        <w:t xml:space="preserve">T. L. Halo, K. M. McMahon, N. L. Angeloni, Y. Xu, W. Wang, A. B. Chinen, D. Malin, E. Strekalova, V. L. Cryns, C. Cheng, C. A. Mirkin, C. S. Thaxton, </w:t>
      </w:r>
      <w:r w:rsidRPr="003114A4">
        <w:rPr>
          <w:i/>
          <w:iCs/>
          <w:noProof/>
        </w:rPr>
        <w:t xml:space="preserve">Proc. </w:t>
      </w:r>
      <w:r w:rsidRPr="00447C3B">
        <w:rPr>
          <w:i/>
          <w:iCs/>
          <w:noProof/>
        </w:rPr>
        <w:t>Natl. Acad. Sci. U. S. A.</w:t>
      </w:r>
      <w:r w:rsidRPr="00447C3B">
        <w:rPr>
          <w:noProof/>
        </w:rPr>
        <w:t xml:space="preserve"> </w:t>
      </w:r>
      <w:r w:rsidRPr="00447C3B">
        <w:rPr>
          <w:b/>
          <w:bCs/>
          <w:noProof/>
        </w:rPr>
        <w:t>2014</w:t>
      </w:r>
      <w:r w:rsidRPr="00447C3B">
        <w:rPr>
          <w:noProof/>
        </w:rPr>
        <w:t xml:space="preserve">, </w:t>
      </w:r>
      <w:r w:rsidRPr="00447C3B">
        <w:rPr>
          <w:i/>
          <w:iCs/>
          <w:noProof/>
        </w:rPr>
        <w:t>111</w:t>
      </w:r>
      <w:r w:rsidRPr="00447C3B">
        <w:rPr>
          <w:noProof/>
        </w:rPr>
        <w:t>, 17104.</w:t>
      </w:r>
    </w:p>
    <w:p w:rsidR="003114A4" w:rsidRPr="00447C3B" w:rsidRDefault="003114A4" w:rsidP="003114A4">
      <w:pPr>
        <w:widowControl w:val="0"/>
        <w:autoSpaceDE w:val="0"/>
        <w:autoSpaceDN w:val="0"/>
        <w:adjustRightInd w:val="0"/>
        <w:spacing w:after="60"/>
        <w:ind w:left="640" w:hanging="640"/>
        <w:rPr>
          <w:noProof/>
        </w:rPr>
      </w:pPr>
      <w:r w:rsidRPr="00447C3B">
        <w:rPr>
          <w:noProof/>
        </w:rPr>
        <w:t>[22]</w:t>
      </w:r>
      <w:r w:rsidRPr="00447C3B">
        <w:rPr>
          <w:noProof/>
        </w:rPr>
        <w:tab/>
        <w:t xml:space="preserve">N. Li, C. Chang, W. Pan, B. Tang, </w:t>
      </w:r>
      <w:r w:rsidRPr="00447C3B">
        <w:rPr>
          <w:i/>
          <w:iCs/>
          <w:noProof/>
        </w:rPr>
        <w:t>Angew. Chemie Int. Ed.</w:t>
      </w:r>
      <w:r w:rsidRPr="00447C3B">
        <w:rPr>
          <w:noProof/>
        </w:rPr>
        <w:t xml:space="preserve"> </w:t>
      </w:r>
      <w:r w:rsidRPr="00447C3B">
        <w:rPr>
          <w:b/>
          <w:bCs/>
          <w:noProof/>
        </w:rPr>
        <w:t>2012</w:t>
      </w:r>
      <w:r w:rsidRPr="00447C3B">
        <w:rPr>
          <w:noProof/>
        </w:rPr>
        <w:t xml:space="preserve">, </w:t>
      </w:r>
      <w:r w:rsidRPr="00447C3B">
        <w:rPr>
          <w:i/>
          <w:iCs/>
          <w:noProof/>
        </w:rPr>
        <w:t>51</w:t>
      </w:r>
      <w:r w:rsidRPr="00447C3B">
        <w:rPr>
          <w:noProof/>
        </w:rPr>
        <w:t>, 7426.</w:t>
      </w:r>
    </w:p>
    <w:p w:rsidR="003114A4" w:rsidRPr="006137DD" w:rsidRDefault="003114A4" w:rsidP="003114A4">
      <w:pPr>
        <w:widowControl w:val="0"/>
        <w:autoSpaceDE w:val="0"/>
        <w:autoSpaceDN w:val="0"/>
        <w:adjustRightInd w:val="0"/>
        <w:spacing w:after="60"/>
        <w:ind w:left="640" w:hanging="640"/>
        <w:rPr>
          <w:noProof/>
          <w:lang w:val="en-GB"/>
        </w:rPr>
      </w:pPr>
      <w:r w:rsidRPr="00447C3B">
        <w:rPr>
          <w:noProof/>
        </w:rPr>
        <w:t>[23]</w:t>
      </w:r>
      <w:r w:rsidRPr="00447C3B">
        <w:rPr>
          <w:noProof/>
        </w:rPr>
        <w:tab/>
        <w:t xml:space="preserve">W. Pan, Y. Li, M. Wang, H. Yang, N. Li, B. Tang, W. Tan, T. H. Zhou, S. R. Lin, </w:t>
      </w:r>
      <w:r w:rsidRPr="00447C3B">
        <w:rPr>
          <w:i/>
          <w:iCs/>
          <w:noProof/>
        </w:rPr>
        <w:t xml:space="preserve">Chem. </w:t>
      </w:r>
      <w:r w:rsidRPr="006137DD">
        <w:rPr>
          <w:i/>
          <w:iCs/>
          <w:noProof/>
          <w:lang w:val="en-GB"/>
        </w:rPr>
        <w:t>Commun.</w:t>
      </w:r>
      <w:r w:rsidRPr="006137DD">
        <w:rPr>
          <w:noProof/>
          <w:lang w:val="en-GB"/>
        </w:rPr>
        <w:t xml:space="preserve"> </w:t>
      </w:r>
      <w:r w:rsidRPr="006137DD">
        <w:rPr>
          <w:b/>
          <w:bCs/>
          <w:noProof/>
          <w:lang w:val="en-GB"/>
        </w:rPr>
        <w:t>2016</w:t>
      </w:r>
      <w:r w:rsidRPr="006137DD">
        <w:rPr>
          <w:noProof/>
          <w:lang w:val="en-GB"/>
        </w:rPr>
        <w:t xml:space="preserve">, </w:t>
      </w:r>
      <w:r w:rsidRPr="006137DD">
        <w:rPr>
          <w:i/>
          <w:iCs/>
          <w:noProof/>
          <w:lang w:val="en-GB"/>
        </w:rPr>
        <w:t>52</w:t>
      </w:r>
      <w:r w:rsidRPr="006137DD">
        <w:rPr>
          <w:noProof/>
          <w:lang w:val="en-GB"/>
        </w:rPr>
        <w:t>, 4569.</w:t>
      </w:r>
    </w:p>
    <w:p w:rsidR="003114A4" w:rsidRPr="006137DD" w:rsidRDefault="003114A4" w:rsidP="00BD009C">
      <w:pPr>
        <w:widowControl w:val="0"/>
        <w:autoSpaceDE w:val="0"/>
        <w:autoSpaceDN w:val="0"/>
        <w:adjustRightInd w:val="0"/>
        <w:spacing w:after="60"/>
        <w:ind w:left="640" w:hanging="640"/>
        <w:rPr>
          <w:noProof/>
          <w:lang w:val="en-GB"/>
        </w:rPr>
      </w:pPr>
      <w:r w:rsidRPr="006137DD">
        <w:rPr>
          <w:noProof/>
          <w:lang w:val="en-GB"/>
        </w:rPr>
        <w:t>[24]</w:t>
      </w:r>
      <w:r w:rsidRPr="006137DD">
        <w:rPr>
          <w:noProof/>
          <w:lang w:val="en-GB"/>
        </w:rPr>
        <w:tab/>
        <w:t xml:space="preserve">S. Ye, X. Li, M. Wang, B. Tang, </w:t>
      </w:r>
      <w:r w:rsidRPr="006137DD">
        <w:rPr>
          <w:i/>
          <w:iCs/>
          <w:noProof/>
          <w:lang w:val="en-GB"/>
        </w:rPr>
        <w:t>Anal. Chem.</w:t>
      </w:r>
      <w:r w:rsidRPr="006137DD">
        <w:rPr>
          <w:noProof/>
          <w:lang w:val="en-GB"/>
        </w:rPr>
        <w:t xml:space="preserve"> </w:t>
      </w:r>
      <w:r w:rsidRPr="006137DD">
        <w:rPr>
          <w:b/>
          <w:bCs/>
          <w:noProof/>
          <w:lang w:val="en-GB"/>
        </w:rPr>
        <w:t>2017</w:t>
      </w:r>
      <w:r w:rsidRPr="006137DD">
        <w:rPr>
          <w:noProof/>
          <w:lang w:val="en-GB"/>
        </w:rPr>
        <w:t>,</w:t>
      </w:r>
      <w:r w:rsidR="00BD009C" w:rsidRPr="006137DD">
        <w:rPr>
          <w:i/>
          <w:iCs/>
          <w:noProof/>
          <w:lang w:val="en-GB"/>
        </w:rPr>
        <w:t xml:space="preserve"> 89 (9)</w:t>
      </w:r>
    </w:p>
    <w:p w:rsidR="003114A4" w:rsidRPr="003114A4" w:rsidRDefault="003114A4" w:rsidP="003114A4">
      <w:pPr>
        <w:widowControl w:val="0"/>
        <w:autoSpaceDE w:val="0"/>
        <w:autoSpaceDN w:val="0"/>
        <w:adjustRightInd w:val="0"/>
        <w:spacing w:after="60"/>
        <w:ind w:left="640" w:hanging="640"/>
        <w:rPr>
          <w:noProof/>
        </w:rPr>
      </w:pPr>
      <w:r w:rsidRPr="003114A4">
        <w:rPr>
          <w:noProof/>
        </w:rPr>
        <w:t>[25]</w:t>
      </w:r>
      <w:r w:rsidRPr="003114A4">
        <w:rPr>
          <w:noProof/>
        </w:rPr>
        <w:tab/>
        <w:t xml:space="preserve">A. Heuer-Jungemann, A. H. El-Sagheer, P. M. Lackie, T. Brown, A. G. Kanaras, </w:t>
      </w:r>
      <w:r w:rsidRPr="003114A4">
        <w:rPr>
          <w:i/>
          <w:iCs/>
          <w:noProof/>
        </w:rPr>
        <w:t>Nanoscale</w:t>
      </w:r>
      <w:r w:rsidRPr="003114A4">
        <w:rPr>
          <w:noProof/>
        </w:rPr>
        <w:t xml:space="preserve"> </w:t>
      </w:r>
      <w:r w:rsidRPr="003114A4">
        <w:rPr>
          <w:b/>
          <w:bCs/>
          <w:noProof/>
        </w:rPr>
        <w:t>2016</w:t>
      </w:r>
      <w:r w:rsidRPr="003114A4">
        <w:rPr>
          <w:noProof/>
        </w:rPr>
        <w:t xml:space="preserve">, </w:t>
      </w:r>
      <w:r w:rsidRPr="003114A4">
        <w:rPr>
          <w:i/>
          <w:iCs/>
          <w:noProof/>
        </w:rPr>
        <w:t>8</w:t>
      </w:r>
      <w:r w:rsidRPr="003114A4">
        <w:rPr>
          <w:noProof/>
        </w:rPr>
        <w:t>, 16857.</w:t>
      </w:r>
    </w:p>
    <w:p w:rsidR="003114A4" w:rsidRPr="003114A4" w:rsidRDefault="003114A4" w:rsidP="00BD009C">
      <w:pPr>
        <w:widowControl w:val="0"/>
        <w:autoSpaceDE w:val="0"/>
        <w:autoSpaceDN w:val="0"/>
        <w:adjustRightInd w:val="0"/>
        <w:spacing w:after="60"/>
        <w:ind w:left="640" w:hanging="640"/>
        <w:rPr>
          <w:noProof/>
        </w:rPr>
      </w:pPr>
      <w:r w:rsidRPr="003114A4">
        <w:rPr>
          <w:noProof/>
        </w:rPr>
        <w:t>[26]</w:t>
      </w:r>
      <w:r w:rsidRPr="003114A4">
        <w:rPr>
          <w:noProof/>
        </w:rPr>
        <w:tab/>
        <w:t xml:space="preserve">D. Zheng, D. </w:t>
      </w:r>
      <w:r w:rsidR="00BD009C">
        <w:rPr>
          <w:noProof/>
        </w:rPr>
        <w:t>A</w:t>
      </w:r>
      <w:r w:rsidRPr="003114A4">
        <w:rPr>
          <w:noProof/>
        </w:rPr>
        <w:t xml:space="preserve">. Giljohann, D. L. Chen, M. D. Massich, X.-Q. Wang, H. Iordanov, C. </w:t>
      </w:r>
      <w:r w:rsidR="00BD009C">
        <w:rPr>
          <w:noProof/>
        </w:rPr>
        <w:t>A</w:t>
      </w:r>
      <w:r w:rsidRPr="003114A4">
        <w:rPr>
          <w:noProof/>
        </w:rPr>
        <w:t xml:space="preserve">. Mirkin,  </w:t>
      </w:r>
      <w:r w:rsidR="00BD009C">
        <w:rPr>
          <w:noProof/>
        </w:rPr>
        <w:t>A</w:t>
      </w:r>
      <w:r w:rsidRPr="003114A4">
        <w:rPr>
          <w:noProof/>
        </w:rPr>
        <w:t xml:space="preserve">. S. Paller, </w:t>
      </w:r>
      <w:r w:rsidRPr="003114A4">
        <w:rPr>
          <w:i/>
          <w:iCs/>
          <w:noProof/>
        </w:rPr>
        <w:t>Proc. Natl. Acad. Sci.</w:t>
      </w:r>
      <w:r w:rsidRPr="003114A4">
        <w:rPr>
          <w:noProof/>
        </w:rPr>
        <w:t xml:space="preserve"> </w:t>
      </w:r>
      <w:r w:rsidRPr="003114A4">
        <w:rPr>
          <w:b/>
          <w:bCs/>
          <w:noProof/>
        </w:rPr>
        <w:t>2012</w:t>
      </w:r>
      <w:r w:rsidRPr="003114A4">
        <w:rPr>
          <w:noProof/>
        </w:rPr>
        <w:t xml:space="preserve">, </w:t>
      </w:r>
      <w:r w:rsidRPr="003114A4">
        <w:rPr>
          <w:i/>
          <w:iCs/>
          <w:noProof/>
        </w:rPr>
        <w:t>109</w:t>
      </w:r>
      <w:r w:rsidRPr="003114A4">
        <w:rPr>
          <w:noProof/>
        </w:rPr>
        <w:t>, 11975.</w:t>
      </w:r>
    </w:p>
    <w:p w:rsidR="003114A4" w:rsidRPr="003114A4" w:rsidRDefault="003114A4" w:rsidP="003114A4">
      <w:pPr>
        <w:widowControl w:val="0"/>
        <w:autoSpaceDE w:val="0"/>
        <w:autoSpaceDN w:val="0"/>
        <w:adjustRightInd w:val="0"/>
        <w:spacing w:after="60"/>
        <w:ind w:left="640" w:hanging="640"/>
        <w:rPr>
          <w:noProof/>
        </w:rPr>
      </w:pPr>
      <w:r w:rsidRPr="003114A4">
        <w:rPr>
          <w:noProof/>
        </w:rPr>
        <w:t>[27]</w:t>
      </w:r>
      <w:r w:rsidRPr="003114A4">
        <w:rPr>
          <w:noProof/>
        </w:rPr>
        <w:tab/>
        <w:t xml:space="preserve">P. S. Randeria, M. A. Seeger, X.-Q. Wang, H. Wilson, D. Shipp, C. A. Mirkin, A. S. Paller, </w:t>
      </w:r>
      <w:r w:rsidRPr="003114A4">
        <w:rPr>
          <w:i/>
          <w:iCs/>
          <w:noProof/>
        </w:rPr>
        <w:t>Proc. Natl. Acad. Sci. U. S. A.</w:t>
      </w:r>
      <w:r w:rsidRPr="003114A4">
        <w:rPr>
          <w:noProof/>
        </w:rPr>
        <w:t xml:space="preserve"> </w:t>
      </w:r>
      <w:r w:rsidRPr="003114A4">
        <w:rPr>
          <w:b/>
          <w:bCs/>
          <w:noProof/>
        </w:rPr>
        <w:t>2015</w:t>
      </w:r>
      <w:r w:rsidRPr="003114A4">
        <w:rPr>
          <w:noProof/>
        </w:rPr>
        <w:t xml:space="preserve">, </w:t>
      </w:r>
      <w:r w:rsidRPr="003114A4">
        <w:rPr>
          <w:i/>
          <w:iCs/>
          <w:noProof/>
        </w:rPr>
        <w:t>112</w:t>
      </w:r>
      <w:r w:rsidRPr="003114A4">
        <w:rPr>
          <w:noProof/>
        </w:rPr>
        <w:t>, 5573.</w:t>
      </w:r>
    </w:p>
    <w:p w:rsidR="003114A4" w:rsidRPr="003114A4" w:rsidRDefault="003114A4" w:rsidP="003114A4">
      <w:pPr>
        <w:widowControl w:val="0"/>
        <w:autoSpaceDE w:val="0"/>
        <w:autoSpaceDN w:val="0"/>
        <w:adjustRightInd w:val="0"/>
        <w:spacing w:after="60"/>
        <w:ind w:left="640" w:hanging="640"/>
        <w:rPr>
          <w:noProof/>
        </w:rPr>
      </w:pPr>
      <w:r w:rsidRPr="003114A4">
        <w:rPr>
          <w:noProof/>
        </w:rPr>
        <w:t>[28]</w:t>
      </w:r>
      <w:r w:rsidRPr="003114A4">
        <w:rPr>
          <w:noProof/>
        </w:rPr>
        <w:tab/>
        <w:t xml:space="preserve">R. Fernandes, N. R. Smyth, O. L. Muskens, S. Nitti, A. Heuer-Jungemann, M. R. Ardern-Jones, A. G. Kanaras, </w:t>
      </w:r>
      <w:r w:rsidRPr="003114A4">
        <w:rPr>
          <w:i/>
          <w:iCs/>
          <w:noProof/>
        </w:rPr>
        <w:t>Small</w:t>
      </w:r>
      <w:r w:rsidRPr="003114A4">
        <w:rPr>
          <w:noProof/>
        </w:rPr>
        <w:t xml:space="preserve"> </w:t>
      </w:r>
      <w:r w:rsidRPr="003114A4">
        <w:rPr>
          <w:b/>
          <w:bCs/>
          <w:noProof/>
        </w:rPr>
        <w:t>2015</w:t>
      </w:r>
      <w:r w:rsidRPr="003114A4">
        <w:rPr>
          <w:noProof/>
        </w:rPr>
        <w:t xml:space="preserve">, </w:t>
      </w:r>
      <w:r w:rsidRPr="003114A4">
        <w:rPr>
          <w:i/>
          <w:iCs/>
          <w:noProof/>
        </w:rPr>
        <w:t>11</w:t>
      </w:r>
      <w:r w:rsidRPr="003114A4">
        <w:rPr>
          <w:noProof/>
        </w:rPr>
        <w:t>, 713.</w:t>
      </w:r>
    </w:p>
    <w:p w:rsidR="003114A4" w:rsidRPr="00A42287" w:rsidRDefault="003114A4" w:rsidP="003114A4">
      <w:pPr>
        <w:widowControl w:val="0"/>
        <w:autoSpaceDE w:val="0"/>
        <w:autoSpaceDN w:val="0"/>
        <w:adjustRightInd w:val="0"/>
        <w:spacing w:after="60"/>
        <w:ind w:left="640" w:hanging="640"/>
        <w:rPr>
          <w:noProof/>
          <w:lang w:val="it-IT"/>
        </w:rPr>
      </w:pPr>
      <w:r w:rsidRPr="00A42287">
        <w:rPr>
          <w:noProof/>
          <w:lang w:val="it-IT"/>
        </w:rPr>
        <w:t>[29]</w:t>
      </w:r>
      <w:r w:rsidRPr="00A42287">
        <w:rPr>
          <w:noProof/>
          <w:lang w:val="it-IT"/>
        </w:rPr>
        <w:tab/>
        <w:t xml:space="preserve">R. Gupta, B. Rai, </w:t>
      </w:r>
      <w:r w:rsidRPr="00A42287">
        <w:rPr>
          <w:i/>
          <w:iCs/>
          <w:noProof/>
          <w:lang w:val="it-IT"/>
        </w:rPr>
        <w:t>Sci. Rep.</w:t>
      </w:r>
      <w:r w:rsidRPr="00A42287">
        <w:rPr>
          <w:noProof/>
          <w:lang w:val="it-IT"/>
        </w:rPr>
        <w:t xml:space="preserve"> </w:t>
      </w:r>
      <w:r w:rsidRPr="00A42287">
        <w:rPr>
          <w:b/>
          <w:bCs/>
          <w:noProof/>
          <w:lang w:val="it-IT"/>
        </w:rPr>
        <w:t>2017</w:t>
      </w:r>
      <w:r w:rsidRPr="00A42287">
        <w:rPr>
          <w:noProof/>
          <w:lang w:val="it-IT"/>
        </w:rPr>
        <w:t xml:space="preserve">, </w:t>
      </w:r>
      <w:r w:rsidRPr="00A42287">
        <w:rPr>
          <w:i/>
          <w:iCs/>
          <w:noProof/>
          <w:lang w:val="it-IT"/>
        </w:rPr>
        <w:t>7</w:t>
      </w:r>
      <w:r w:rsidRPr="00A42287">
        <w:rPr>
          <w:noProof/>
          <w:lang w:val="it-IT"/>
        </w:rPr>
        <w:t>, 45292.</w:t>
      </w:r>
    </w:p>
    <w:p w:rsidR="003114A4" w:rsidRPr="00A42287" w:rsidRDefault="003114A4" w:rsidP="003114A4">
      <w:pPr>
        <w:widowControl w:val="0"/>
        <w:autoSpaceDE w:val="0"/>
        <w:autoSpaceDN w:val="0"/>
        <w:adjustRightInd w:val="0"/>
        <w:spacing w:after="60"/>
        <w:ind w:left="640" w:hanging="640"/>
        <w:rPr>
          <w:noProof/>
          <w:lang w:val="it-IT"/>
        </w:rPr>
      </w:pPr>
      <w:r w:rsidRPr="00A42287">
        <w:rPr>
          <w:noProof/>
          <w:lang w:val="it-IT"/>
        </w:rPr>
        <w:t>[30]</w:t>
      </w:r>
      <w:r w:rsidRPr="00A42287">
        <w:rPr>
          <w:noProof/>
          <w:lang w:val="it-IT"/>
        </w:rPr>
        <w:tab/>
        <w:t xml:space="preserve">K. Vuoriluoto, H. Haugen, S. Kiviluoto, J.-P. Mpindi, J. Nevo, C. Gjerdrum, C. Tiron, J. B. Lorens, J. Ivaska, </w:t>
      </w:r>
      <w:r w:rsidRPr="00A42287">
        <w:rPr>
          <w:i/>
          <w:iCs/>
          <w:noProof/>
          <w:lang w:val="it-IT"/>
        </w:rPr>
        <w:t>Oncogene</w:t>
      </w:r>
      <w:r w:rsidRPr="00A42287">
        <w:rPr>
          <w:noProof/>
          <w:lang w:val="it-IT"/>
        </w:rPr>
        <w:t xml:space="preserve"> </w:t>
      </w:r>
      <w:r w:rsidRPr="00A42287">
        <w:rPr>
          <w:b/>
          <w:bCs/>
          <w:noProof/>
          <w:lang w:val="it-IT"/>
        </w:rPr>
        <w:t>2011</w:t>
      </w:r>
      <w:r w:rsidRPr="00A42287">
        <w:rPr>
          <w:noProof/>
          <w:lang w:val="it-IT"/>
        </w:rPr>
        <w:t xml:space="preserve">, </w:t>
      </w:r>
      <w:r w:rsidRPr="00A42287">
        <w:rPr>
          <w:i/>
          <w:iCs/>
          <w:noProof/>
          <w:lang w:val="it-IT"/>
        </w:rPr>
        <w:t>30</w:t>
      </w:r>
      <w:r w:rsidRPr="00A42287">
        <w:rPr>
          <w:noProof/>
          <w:lang w:val="it-IT"/>
        </w:rPr>
        <w:t>, 1436.</w:t>
      </w:r>
    </w:p>
    <w:p w:rsidR="003114A4" w:rsidRPr="00A42287" w:rsidRDefault="003114A4" w:rsidP="003114A4">
      <w:pPr>
        <w:widowControl w:val="0"/>
        <w:autoSpaceDE w:val="0"/>
        <w:autoSpaceDN w:val="0"/>
        <w:adjustRightInd w:val="0"/>
        <w:spacing w:after="60"/>
        <w:ind w:left="640" w:hanging="640"/>
        <w:rPr>
          <w:noProof/>
          <w:lang w:val="it-IT"/>
        </w:rPr>
      </w:pPr>
      <w:r w:rsidRPr="00A42287">
        <w:rPr>
          <w:noProof/>
          <w:lang w:val="it-IT"/>
        </w:rPr>
        <w:t>[31]</w:t>
      </w:r>
      <w:r w:rsidRPr="00A42287">
        <w:rPr>
          <w:noProof/>
          <w:lang w:val="it-IT"/>
        </w:rPr>
        <w:tab/>
        <w:t xml:space="preserve">P. Laurila, I. Virtanen, V. P. Lehto, T. Vartio, S. Stenman, </w:t>
      </w:r>
      <w:r w:rsidRPr="00A42287">
        <w:rPr>
          <w:i/>
          <w:iCs/>
          <w:noProof/>
          <w:lang w:val="it-IT"/>
        </w:rPr>
        <w:t>J. Cell Biol.</w:t>
      </w:r>
      <w:r w:rsidRPr="00A42287">
        <w:rPr>
          <w:noProof/>
          <w:lang w:val="it-IT"/>
        </w:rPr>
        <w:t xml:space="preserve"> </w:t>
      </w:r>
      <w:r w:rsidRPr="00A42287">
        <w:rPr>
          <w:b/>
          <w:bCs/>
          <w:noProof/>
          <w:lang w:val="it-IT"/>
        </w:rPr>
        <w:t>1982</w:t>
      </w:r>
      <w:r w:rsidRPr="00A42287">
        <w:rPr>
          <w:noProof/>
          <w:lang w:val="it-IT"/>
        </w:rPr>
        <w:t xml:space="preserve">, </w:t>
      </w:r>
      <w:r w:rsidRPr="00A42287">
        <w:rPr>
          <w:i/>
          <w:iCs/>
          <w:noProof/>
          <w:lang w:val="it-IT"/>
        </w:rPr>
        <w:t>94</w:t>
      </w:r>
      <w:r w:rsidRPr="00A42287">
        <w:rPr>
          <w:noProof/>
          <w:lang w:val="it-IT"/>
        </w:rPr>
        <w:t>, 308.</w:t>
      </w:r>
    </w:p>
    <w:p w:rsidR="003114A4" w:rsidRPr="00A42287" w:rsidRDefault="003114A4" w:rsidP="003114A4">
      <w:pPr>
        <w:widowControl w:val="0"/>
        <w:autoSpaceDE w:val="0"/>
        <w:autoSpaceDN w:val="0"/>
        <w:adjustRightInd w:val="0"/>
        <w:spacing w:after="60"/>
        <w:ind w:left="640" w:hanging="640"/>
        <w:rPr>
          <w:noProof/>
          <w:lang w:val="it-IT"/>
        </w:rPr>
      </w:pPr>
      <w:r w:rsidRPr="00A42287">
        <w:rPr>
          <w:noProof/>
          <w:lang w:val="it-IT"/>
        </w:rPr>
        <w:t>[32]</w:t>
      </w:r>
      <w:r w:rsidRPr="00A42287">
        <w:rPr>
          <w:noProof/>
          <w:lang w:val="it-IT"/>
        </w:rPr>
        <w:tab/>
        <w:t xml:space="preserve">C. Mork, B. Van Deurs, O. W. Petersen, </w:t>
      </w:r>
      <w:r w:rsidRPr="00A42287">
        <w:rPr>
          <w:i/>
          <w:iCs/>
          <w:noProof/>
          <w:lang w:val="it-IT"/>
        </w:rPr>
        <w:t>Differentiation</w:t>
      </w:r>
      <w:r w:rsidRPr="00A42287">
        <w:rPr>
          <w:noProof/>
          <w:lang w:val="it-IT"/>
        </w:rPr>
        <w:t xml:space="preserve"> </w:t>
      </w:r>
      <w:r w:rsidRPr="00A42287">
        <w:rPr>
          <w:b/>
          <w:bCs/>
          <w:noProof/>
          <w:lang w:val="it-IT"/>
        </w:rPr>
        <w:t>1990</w:t>
      </w:r>
      <w:r w:rsidRPr="00A42287">
        <w:rPr>
          <w:noProof/>
          <w:lang w:val="it-IT"/>
        </w:rPr>
        <w:t xml:space="preserve">, </w:t>
      </w:r>
      <w:r w:rsidRPr="00A42287">
        <w:rPr>
          <w:i/>
          <w:iCs/>
          <w:noProof/>
          <w:lang w:val="it-IT"/>
        </w:rPr>
        <w:t>43</w:t>
      </w:r>
      <w:r w:rsidRPr="00A42287">
        <w:rPr>
          <w:noProof/>
          <w:lang w:val="it-IT"/>
        </w:rPr>
        <w:t>, 146.</w:t>
      </w:r>
    </w:p>
    <w:p w:rsidR="003114A4" w:rsidRPr="00A42287" w:rsidRDefault="003114A4" w:rsidP="003114A4">
      <w:pPr>
        <w:widowControl w:val="0"/>
        <w:autoSpaceDE w:val="0"/>
        <w:autoSpaceDN w:val="0"/>
        <w:adjustRightInd w:val="0"/>
        <w:spacing w:after="60"/>
        <w:ind w:left="640" w:hanging="640"/>
        <w:rPr>
          <w:noProof/>
          <w:lang w:val="it-IT"/>
        </w:rPr>
      </w:pPr>
      <w:r w:rsidRPr="00A42287">
        <w:rPr>
          <w:noProof/>
          <w:lang w:val="it-IT"/>
        </w:rPr>
        <w:lastRenderedPageBreak/>
        <w:t>[33]</w:t>
      </w:r>
      <w:r w:rsidRPr="00A42287">
        <w:rPr>
          <w:noProof/>
          <w:lang w:val="it-IT"/>
        </w:rPr>
        <w:tab/>
        <w:t xml:space="preserve">M. R. Rogel, P. N. Soni, J. R. Troken, A. Sitikov, H. E. Trejo, K. M. Ridge, </w:t>
      </w:r>
      <w:r w:rsidRPr="00A42287">
        <w:rPr>
          <w:i/>
          <w:iCs/>
          <w:noProof/>
          <w:lang w:val="it-IT"/>
        </w:rPr>
        <w:t>FASEB J.</w:t>
      </w:r>
      <w:r w:rsidRPr="00A42287">
        <w:rPr>
          <w:noProof/>
          <w:lang w:val="it-IT"/>
        </w:rPr>
        <w:t xml:space="preserve"> </w:t>
      </w:r>
      <w:r w:rsidRPr="00A42287">
        <w:rPr>
          <w:b/>
          <w:bCs/>
          <w:noProof/>
          <w:lang w:val="it-IT"/>
        </w:rPr>
        <w:t>2011</w:t>
      </w:r>
      <w:r w:rsidRPr="00A42287">
        <w:rPr>
          <w:noProof/>
          <w:lang w:val="it-IT"/>
        </w:rPr>
        <w:t xml:space="preserve">, </w:t>
      </w:r>
      <w:r w:rsidRPr="00A42287">
        <w:rPr>
          <w:i/>
          <w:iCs/>
          <w:noProof/>
          <w:lang w:val="it-IT"/>
        </w:rPr>
        <w:t>25</w:t>
      </w:r>
      <w:r w:rsidRPr="00A42287">
        <w:rPr>
          <w:noProof/>
          <w:lang w:val="it-IT"/>
        </w:rPr>
        <w:t>, 3873.</w:t>
      </w:r>
    </w:p>
    <w:p w:rsidR="003114A4" w:rsidRPr="003114A4" w:rsidRDefault="003114A4" w:rsidP="003114A4">
      <w:pPr>
        <w:widowControl w:val="0"/>
        <w:autoSpaceDE w:val="0"/>
        <w:autoSpaceDN w:val="0"/>
        <w:adjustRightInd w:val="0"/>
        <w:spacing w:after="60"/>
        <w:ind w:left="640" w:hanging="640"/>
        <w:rPr>
          <w:noProof/>
        </w:rPr>
      </w:pPr>
      <w:r w:rsidRPr="003114A4">
        <w:rPr>
          <w:noProof/>
        </w:rPr>
        <w:t>[34]</w:t>
      </w:r>
      <w:r w:rsidRPr="003114A4">
        <w:rPr>
          <w:noProof/>
        </w:rPr>
        <w:tab/>
        <w:t xml:space="preserve">C. C. Liang, A. Y. Park, J. L. Guan, </w:t>
      </w:r>
      <w:r w:rsidRPr="003114A4">
        <w:rPr>
          <w:i/>
          <w:iCs/>
          <w:noProof/>
        </w:rPr>
        <w:t>Nat</w:t>
      </w:r>
      <w:r w:rsidR="00BD009C">
        <w:rPr>
          <w:i/>
          <w:iCs/>
          <w:noProof/>
        </w:rPr>
        <w:t>.</w:t>
      </w:r>
      <w:r w:rsidRPr="003114A4">
        <w:rPr>
          <w:i/>
          <w:iCs/>
          <w:noProof/>
        </w:rPr>
        <w:t xml:space="preserve"> Protoc</w:t>
      </w:r>
      <w:r w:rsidR="00BD009C">
        <w:rPr>
          <w:i/>
          <w:iCs/>
          <w:noProof/>
        </w:rPr>
        <w:t>.</w:t>
      </w:r>
      <w:r w:rsidRPr="003114A4">
        <w:rPr>
          <w:noProof/>
        </w:rPr>
        <w:t xml:space="preserve"> </w:t>
      </w:r>
      <w:r w:rsidRPr="003114A4">
        <w:rPr>
          <w:b/>
          <w:bCs/>
          <w:noProof/>
        </w:rPr>
        <w:t>2007</w:t>
      </w:r>
      <w:r w:rsidRPr="003114A4">
        <w:rPr>
          <w:noProof/>
        </w:rPr>
        <w:t xml:space="preserve">, </w:t>
      </w:r>
      <w:r w:rsidRPr="003114A4">
        <w:rPr>
          <w:i/>
          <w:iCs/>
          <w:noProof/>
        </w:rPr>
        <w:t>2</w:t>
      </w:r>
      <w:r w:rsidRPr="003114A4">
        <w:rPr>
          <w:noProof/>
        </w:rPr>
        <w:t>, 329.</w:t>
      </w:r>
    </w:p>
    <w:p w:rsidR="003114A4" w:rsidRPr="003114A4" w:rsidRDefault="003114A4" w:rsidP="003114A4">
      <w:pPr>
        <w:widowControl w:val="0"/>
        <w:autoSpaceDE w:val="0"/>
        <w:autoSpaceDN w:val="0"/>
        <w:adjustRightInd w:val="0"/>
        <w:spacing w:after="60"/>
        <w:ind w:left="640" w:hanging="640"/>
        <w:rPr>
          <w:noProof/>
        </w:rPr>
      </w:pPr>
      <w:r w:rsidRPr="003114A4">
        <w:rPr>
          <w:noProof/>
        </w:rPr>
        <w:t>[35]</w:t>
      </w:r>
      <w:r w:rsidRPr="003114A4">
        <w:rPr>
          <w:noProof/>
        </w:rPr>
        <w:tab/>
        <w:t xml:space="preserve">C. Gilles, M. Polette, J. M. Zahm, J. M. Tournier, L. Volders, J. M. Foidart, P. Birembaut, </w:t>
      </w:r>
      <w:r w:rsidRPr="003114A4">
        <w:rPr>
          <w:i/>
          <w:iCs/>
          <w:noProof/>
        </w:rPr>
        <w:t>J. Cell Sci.</w:t>
      </w:r>
      <w:r w:rsidRPr="003114A4">
        <w:rPr>
          <w:noProof/>
        </w:rPr>
        <w:t xml:space="preserve"> </w:t>
      </w:r>
      <w:r w:rsidRPr="003114A4">
        <w:rPr>
          <w:b/>
          <w:bCs/>
          <w:noProof/>
        </w:rPr>
        <w:t>1999</w:t>
      </w:r>
      <w:r w:rsidRPr="003114A4">
        <w:rPr>
          <w:noProof/>
        </w:rPr>
        <w:t xml:space="preserve">, </w:t>
      </w:r>
      <w:r w:rsidRPr="003114A4">
        <w:rPr>
          <w:i/>
          <w:iCs/>
          <w:noProof/>
        </w:rPr>
        <w:t>112 ( Pt 2</w:t>
      </w:r>
      <w:r w:rsidRPr="003114A4">
        <w:rPr>
          <w:noProof/>
        </w:rPr>
        <w:t>, 4615.</w:t>
      </w:r>
    </w:p>
    <w:p w:rsidR="003114A4" w:rsidRPr="003114A4" w:rsidRDefault="003114A4" w:rsidP="003114A4">
      <w:pPr>
        <w:widowControl w:val="0"/>
        <w:autoSpaceDE w:val="0"/>
        <w:autoSpaceDN w:val="0"/>
        <w:adjustRightInd w:val="0"/>
        <w:spacing w:after="60"/>
        <w:ind w:left="640" w:hanging="640"/>
        <w:rPr>
          <w:noProof/>
        </w:rPr>
      </w:pPr>
      <w:r w:rsidRPr="003114A4">
        <w:rPr>
          <w:noProof/>
        </w:rPr>
        <w:t>[36]</w:t>
      </w:r>
      <w:r w:rsidRPr="003114A4">
        <w:rPr>
          <w:noProof/>
        </w:rPr>
        <w:tab/>
        <w:t xml:space="preserve">E. Bellas, M. Seiberg, J. Garlick, D. L. Kaplan, </w:t>
      </w:r>
      <w:r w:rsidRPr="003114A4">
        <w:rPr>
          <w:i/>
          <w:iCs/>
          <w:noProof/>
        </w:rPr>
        <w:t>Macromol. Biosci.</w:t>
      </w:r>
      <w:r w:rsidRPr="003114A4">
        <w:rPr>
          <w:noProof/>
        </w:rPr>
        <w:t xml:space="preserve"> </w:t>
      </w:r>
      <w:r w:rsidRPr="003114A4">
        <w:rPr>
          <w:b/>
          <w:bCs/>
          <w:noProof/>
        </w:rPr>
        <w:t>2012</w:t>
      </w:r>
      <w:r w:rsidRPr="003114A4">
        <w:rPr>
          <w:noProof/>
        </w:rPr>
        <w:t xml:space="preserve">, </w:t>
      </w:r>
      <w:r w:rsidRPr="003114A4">
        <w:rPr>
          <w:i/>
          <w:iCs/>
          <w:noProof/>
        </w:rPr>
        <w:t>12</w:t>
      </w:r>
      <w:r w:rsidRPr="003114A4">
        <w:rPr>
          <w:noProof/>
        </w:rPr>
        <w:t>, 1627.</w:t>
      </w:r>
    </w:p>
    <w:p w:rsidR="003114A4" w:rsidRPr="00A42287" w:rsidRDefault="003114A4" w:rsidP="003114A4">
      <w:pPr>
        <w:widowControl w:val="0"/>
        <w:autoSpaceDE w:val="0"/>
        <w:autoSpaceDN w:val="0"/>
        <w:adjustRightInd w:val="0"/>
        <w:spacing w:after="60"/>
        <w:ind w:left="640" w:hanging="640"/>
        <w:rPr>
          <w:noProof/>
          <w:lang w:val="en-US"/>
        </w:rPr>
      </w:pPr>
      <w:r w:rsidRPr="003114A4">
        <w:rPr>
          <w:noProof/>
        </w:rPr>
        <w:t>[37]</w:t>
      </w:r>
      <w:r w:rsidRPr="003114A4">
        <w:rPr>
          <w:noProof/>
        </w:rPr>
        <w:tab/>
        <w:t xml:space="preserve">E. A. Gantwerker, D. B. Hom, </w:t>
      </w:r>
      <w:r w:rsidRPr="003114A4">
        <w:rPr>
          <w:i/>
          <w:iCs/>
          <w:noProof/>
        </w:rPr>
        <w:t xml:space="preserve">Clin. </w:t>
      </w:r>
      <w:r w:rsidRPr="00A42287">
        <w:rPr>
          <w:i/>
          <w:iCs/>
          <w:noProof/>
          <w:lang w:val="en-US"/>
        </w:rPr>
        <w:t>Plast. Surg.</w:t>
      </w:r>
      <w:r w:rsidRPr="00A42287">
        <w:rPr>
          <w:noProof/>
          <w:lang w:val="en-US"/>
        </w:rPr>
        <w:t xml:space="preserve"> </w:t>
      </w:r>
      <w:r w:rsidRPr="00A42287">
        <w:rPr>
          <w:b/>
          <w:bCs/>
          <w:noProof/>
          <w:lang w:val="en-US"/>
        </w:rPr>
        <w:t>2012</w:t>
      </w:r>
      <w:r w:rsidRPr="00A42287">
        <w:rPr>
          <w:noProof/>
          <w:lang w:val="en-US"/>
        </w:rPr>
        <w:t xml:space="preserve">, </w:t>
      </w:r>
      <w:r w:rsidRPr="00A42287">
        <w:rPr>
          <w:i/>
          <w:iCs/>
          <w:noProof/>
          <w:lang w:val="en-US"/>
        </w:rPr>
        <w:t>39</w:t>
      </w:r>
      <w:r w:rsidRPr="00A42287">
        <w:rPr>
          <w:noProof/>
          <w:lang w:val="en-US"/>
        </w:rPr>
        <w:t>, 85.</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[38]</w:t>
      </w:r>
      <w:r w:rsidRPr="00A42287">
        <w:rPr>
          <w:noProof/>
          <w:lang w:val="en-US"/>
        </w:rPr>
        <w:tab/>
        <w:t xml:space="preserve">A. Bayat, D. A. McGrouther, M. W. J. Ferguson, </w:t>
      </w:r>
      <w:r w:rsidRPr="00A42287">
        <w:rPr>
          <w:i/>
          <w:iCs/>
          <w:noProof/>
          <w:lang w:val="en-US"/>
        </w:rPr>
        <w:t>BMJ</w:t>
      </w:r>
      <w:r w:rsidRPr="00A42287">
        <w:rPr>
          <w:noProof/>
          <w:lang w:val="en-US"/>
        </w:rPr>
        <w:t xml:space="preserve"> </w:t>
      </w:r>
      <w:r w:rsidRPr="00A42287">
        <w:rPr>
          <w:b/>
          <w:bCs/>
          <w:noProof/>
          <w:lang w:val="en-US"/>
        </w:rPr>
        <w:t>2003</w:t>
      </w:r>
      <w:r w:rsidRPr="00A42287">
        <w:rPr>
          <w:noProof/>
          <w:lang w:val="en-US"/>
        </w:rPr>
        <w:t xml:space="preserve">, </w:t>
      </w:r>
      <w:r w:rsidRPr="00A42287">
        <w:rPr>
          <w:i/>
          <w:iCs/>
          <w:noProof/>
          <w:lang w:val="en-US"/>
        </w:rPr>
        <w:t>326</w:t>
      </w:r>
      <w:r w:rsidRPr="00A42287">
        <w:rPr>
          <w:noProof/>
          <w:lang w:val="en-US"/>
        </w:rPr>
        <w:t>, 88.</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[39]</w:t>
      </w:r>
      <w:r w:rsidRPr="00A42287">
        <w:rPr>
          <w:noProof/>
          <w:lang w:val="en-US"/>
        </w:rPr>
        <w:tab/>
        <w:t xml:space="preserve">P. A. Santi, </w:t>
      </w:r>
      <w:r w:rsidRPr="00A42287">
        <w:rPr>
          <w:i/>
          <w:iCs/>
          <w:noProof/>
          <w:lang w:val="en-US"/>
        </w:rPr>
        <w:t>J. Histochem. Cytochem.</w:t>
      </w:r>
      <w:r w:rsidRPr="00A42287">
        <w:rPr>
          <w:noProof/>
          <w:lang w:val="en-US"/>
        </w:rPr>
        <w:t xml:space="preserve"> </w:t>
      </w:r>
      <w:r w:rsidRPr="00A42287">
        <w:rPr>
          <w:b/>
          <w:bCs/>
          <w:noProof/>
          <w:lang w:val="en-US"/>
        </w:rPr>
        <w:t>2011</w:t>
      </w:r>
      <w:r w:rsidRPr="00A42287">
        <w:rPr>
          <w:noProof/>
          <w:lang w:val="en-US"/>
        </w:rPr>
        <w:t xml:space="preserve">, </w:t>
      </w:r>
      <w:r w:rsidRPr="00A42287">
        <w:rPr>
          <w:i/>
          <w:iCs/>
          <w:noProof/>
          <w:lang w:val="en-US"/>
        </w:rPr>
        <w:t>59</w:t>
      </w:r>
      <w:r w:rsidRPr="00A42287">
        <w:rPr>
          <w:noProof/>
          <w:lang w:val="en-US"/>
        </w:rPr>
        <w:t>, 129.</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[40]</w:t>
      </w:r>
      <w:r w:rsidRPr="00A42287">
        <w:rPr>
          <w:noProof/>
          <w:lang w:val="en-US"/>
        </w:rPr>
        <w:tab/>
        <w:t>J. Turkevich</w:t>
      </w:r>
      <w:r w:rsidR="00BD009C" w:rsidRPr="00A42287">
        <w:rPr>
          <w:noProof/>
          <w:lang w:val="en-US"/>
        </w:rPr>
        <w:t>,</w:t>
      </w:r>
      <w:r w:rsidRPr="00A42287">
        <w:rPr>
          <w:noProof/>
          <w:lang w:val="en-US"/>
        </w:rPr>
        <w:t xml:space="preserve"> P.C. Stevenson</w:t>
      </w:r>
      <w:r w:rsidR="00BD009C" w:rsidRPr="00A42287">
        <w:rPr>
          <w:noProof/>
          <w:lang w:val="en-US"/>
        </w:rPr>
        <w:t>,</w:t>
      </w:r>
      <w:r w:rsidRPr="00A42287">
        <w:rPr>
          <w:noProof/>
          <w:lang w:val="en-US"/>
        </w:rPr>
        <w:t xml:space="preserve"> J. Hiller, </w:t>
      </w:r>
      <w:r w:rsidRPr="00A42287">
        <w:rPr>
          <w:i/>
          <w:iCs/>
          <w:noProof/>
          <w:lang w:val="en-US"/>
        </w:rPr>
        <w:t>Discuss. Faraday Soc.</w:t>
      </w:r>
      <w:r w:rsidRPr="00A42287">
        <w:rPr>
          <w:noProof/>
          <w:lang w:val="en-US"/>
        </w:rPr>
        <w:t xml:space="preserve"> </w:t>
      </w:r>
      <w:r w:rsidRPr="00A42287">
        <w:rPr>
          <w:b/>
          <w:bCs/>
          <w:noProof/>
          <w:lang w:val="en-US"/>
        </w:rPr>
        <w:t>1951</w:t>
      </w:r>
      <w:r w:rsidRPr="00A42287">
        <w:rPr>
          <w:noProof/>
          <w:lang w:val="en-US"/>
        </w:rPr>
        <w:t xml:space="preserve">, </w:t>
      </w:r>
      <w:r w:rsidRPr="00A42287">
        <w:rPr>
          <w:i/>
          <w:iCs/>
          <w:noProof/>
          <w:lang w:val="en-US"/>
        </w:rPr>
        <w:t>11</w:t>
      </w:r>
      <w:r w:rsidRPr="00A42287">
        <w:rPr>
          <w:noProof/>
          <w:lang w:val="en-US"/>
        </w:rPr>
        <w:t>, 55.</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[41]</w:t>
      </w:r>
      <w:r w:rsidRPr="00A42287">
        <w:rPr>
          <w:noProof/>
          <w:lang w:val="en-US"/>
        </w:rPr>
        <w:tab/>
        <w:t xml:space="preserve">J. Kimling, M. Maier, B. Okenve, V. Kotaidis, H. Ballot, A. Plech, </w:t>
      </w:r>
      <w:r w:rsidRPr="00A42287">
        <w:rPr>
          <w:i/>
          <w:iCs/>
          <w:noProof/>
          <w:lang w:val="en-US"/>
        </w:rPr>
        <w:t>J. Phys. Chem. B</w:t>
      </w:r>
      <w:r w:rsidRPr="00A42287">
        <w:rPr>
          <w:noProof/>
          <w:lang w:val="en-US"/>
        </w:rPr>
        <w:t xml:space="preserve"> </w:t>
      </w:r>
      <w:r w:rsidRPr="00A42287">
        <w:rPr>
          <w:b/>
          <w:bCs/>
          <w:noProof/>
          <w:lang w:val="en-US"/>
        </w:rPr>
        <w:t>2006</w:t>
      </w:r>
      <w:r w:rsidRPr="00A42287">
        <w:rPr>
          <w:noProof/>
          <w:lang w:val="en-US"/>
        </w:rPr>
        <w:t xml:space="preserve">, </w:t>
      </w:r>
      <w:r w:rsidRPr="00A42287">
        <w:rPr>
          <w:i/>
          <w:iCs/>
          <w:noProof/>
          <w:lang w:val="en-US"/>
        </w:rPr>
        <w:t>110</w:t>
      </w:r>
      <w:r w:rsidRPr="00A42287">
        <w:rPr>
          <w:noProof/>
          <w:lang w:val="en-US"/>
        </w:rPr>
        <w:t>, 15700.</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[42]</w:t>
      </w:r>
      <w:r w:rsidRPr="00A42287">
        <w:rPr>
          <w:noProof/>
          <w:lang w:val="en-US"/>
        </w:rPr>
        <w:tab/>
        <w:t xml:space="preserve">J. J. Storhoff, R. Elghanian, R. C. Mucic, C. A. Mirkin, R. L. Letsinger, </w:t>
      </w:r>
      <w:r w:rsidRPr="00A42287">
        <w:rPr>
          <w:i/>
          <w:iCs/>
          <w:noProof/>
          <w:lang w:val="en-US"/>
        </w:rPr>
        <w:t>J. Am. Chem. Soc.</w:t>
      </w:r>
      <w:r w:rsidRPr="00A42287">
        <w:rPr>
          <w:noProof/>
          <w:lang w:val="en-US"/>
        </w:rPr>
        <w:t xml:space="preserve"> </w:t>
      </w:r>
      <w:r w:rsidRPr="00A42287">
        <w:rPr>
          <w:b/>
          <w:bCs/>
          <w:noProof/>
          <w:lang w:val="en-US"/>
        </w:rPr>
        <w:t>1998</w:t>
      </w:r>
      <w:r w:rsidRPr="00A42287">
        <w:rPr>
          <w:noProof/>
          <w:lang w:val="en-US"/>
        </w:rPr>
        <w:t xml:space="preserve">, </w:t>
      </w:r>
      <w:r w:rsidRPr="00A42287">
        <w:rPr>
          <w:i/>
          <w:iCs/>
          <w:noProof/>
          <w:lang w:val="en-US"/>
        </w:rPr>
        <w:t>120</w:t>
      </w:r>
      <w:r w:rsidRPr="00A42287">
        <w:rPr>
          <w:noProof/>
          <w:lang w:val="en-US"/>
        </w:rPr>
        <w:t>, 1959.</w:t>
      </w:r>
    </w:p>
    <w:p w:rsidR="003114A4" w:rsidRPr="00447C3B" w:rsidRDefault="003114A4" w:rsidP="003114A4">
      <w:pPr>
        <w:widowControl w:val="0"/>
        <w:autoSpaceDE w:val="0"/>
        <w:autoSpaceDN w:val="0"/>
        <w:adjustRightInd w:val="0"/>
        <w:spacing w:after="60"/>
        <w:ind w:left="640" w:hanging="640"/>
        <w:rPr>
          <w:noProof/>
          <w:lang w:val="en-US"/>
        </w:rPr>
      </w:pPr>
      <w:r w:rsidRPr="00A42287">
        <w:rPr>
          <w:noProof/>
          <w:lang w:val="en-US"/>
        </w:rPr>
        <w:t>[43]</w:t>
      </w:r>
      <w:r w:rsidRPr="00A42287">
        <w:rPr>
          <w:noProof/>
          <w:lang w:val="en-US"/>
        </w:rPr>
        <w:tab/>
        <w:t xml:space="preserve">S. J. Hurst, A. K. R. Lytton-Jean, C. A. Mirkin, </w:t>
      </w:r>
      <w:r w:rsidRPr="00A42287">
        <w:rPr>
          <w:i/>
          <w:iCs/>
          <w:noProof/>
          <w:lang w:val="en-US"/>
        </w:rPr>
        <w:t xml:space="preserve">Anal. </w:t>
      </w:r>
      <w:r w:rsidRPr="00447C3B">
        <w:rPr>
          <w:i/>
          <w:iCs/>
          <w:noProof/>
          <w:lang w:val="en-US"/>
        </w:rPr>
        <w:t>Chem.</w:t>
      </w:r>
      <w:r w:rsidRPr="00447C3B">
        <w:rPr>
          <w:noProof/>
          <w:lang w:val="en-US"/>
        </w:rPr>
        <w:t xml:space="preserve"> </w:t>
      </w:r>
      <w:r w:rsidRPr="00447C3B">
        <w:rPr>
          <w:b/>
          <w:bCs/>
          <w:noProof/>
          <w:lang w:val="en-US"/>
        </w:rPr>
        <w:t>2006</w:t>
      </w:r>
      <w:r w:rsidRPr="00447C3B">
        <w:rPr>
          <w:noProof/>
          <w:lang w:val="en-US"/>
        </w:rPr>
        <w:t xml:space="preserve">, </w:t>
      </w:r>
      <w:r w:rsidRPr="00447C3B">
        <w:rPr>
          <w:i/>
          <w:iCs/>
          <w:noProof/>
          <w:lang w:val="en-US"/>
        </w:rPr>
        <w:t>78</w:t>
      </w:r>
      <w:r w:rsidRPr="00447C3B">
        <w:rPr>
          <w:noProof/>
          <w:lang w:val="en-US"/>
        </w:rPr>
        <w:t>, 8313.</w:t>
      </w:r>
    </w:p>
    <w:p w:rsidR="003114A4" w:rsidRPr="00A42287" w:rsidRDefault="003114A4" w:rsidP="003114A4">
      <w:pPr>
        <w:widowControl w:val="0"/>
        <w:autoSpaceDE w:val="0"/>
        <w:autoSpaceDN w:val="0"/>
        <w:adjustRightInd w:val="0"/>
        <w:spacing w:after="60"/>
        <w:ind w:left="640" w:hanging="640"/>
        <w:rPr>
          <w:noProof/>
          <w:lang w:val="en-US"/>
        </w:rPr>
      </w:pPr>
      <w:r w:rsidRPr="00447C3B">
        <w:rPr>
          <w:noProof/>
          <w:lang w:val="en-US"/>
        </w:rPr>
        <w:t>[44]</w:t>
      </w:r>
      <w:r w:rsidRPr="00447C3B">
        <w:rPr>
          <w:noProof/>
          <w:lang w:val="en-US"/>
        </w:rPr>
        <w:tab/>
        <w:t xml:space="preserve">C. Redi, </w:t>
      </w:r>
      <w:r w:rsidRPr="00447C3B">
        <w:rPr>
          <w:i/>
          <w:iCs/>
          <w:noProof/>
          <w:lang w:val="en-US"/>
        </w:rPr>
        <w:t>Eur. J. Histochem.</w:t>
      </w:r>
      <w:r w:rsidRPr="00447C3B">
        <w:rPr>
          <w:noProof/>
          <w:lang w:val="en-US"/>
        </w:rPr>
        <w:t xml:space="preserve"> </w:t>
      </w:r>
      <w:r w:rsidRPr="00A42287">
        <w:rPr>
          <w:b/>
          <w:bCs/>
          <w:noProof/>
          <w:lang w:val="en-US"/>
        </w:rPr>
        <w:t>2010</w:t>
      </w:r>
      <w:r w:rsidRPr="00A42287">
        <w:rPr>
          <w:noProof/>
          <w:lang w:val="en-US"/>
        </w:rPr>
        <w:t xml:space="preserve">, </w:t>
      </w:r>
      <w:r w:rsidRPr="00A42287">
        <w:rPr>
          <w:i/>
          <w:iCs/>
          <w:noProof/>
          <w:lang w:val="en-US"/>
        </w:rPr>
        <w:t>54</w:t>
      </w:r>
      <w:r w:rsidRPr="00A42287">
        <w:rPr>
          <w:noProof/>
          <w:lang w:val="en-US"/>
        </w:rPr>
        <w:t>, 211.</w:t>
      </w:r>
    </w:p>
    <w:p w:rsidR="003114A4" w:rsidRPr="00A42287" w:rsidRDefault="003114A4" w:rsidP="003114A4">
      <w:pPr>
        <w:widowControl w:val="0"/>
        <w:autoSpaceDE w:val="0"/>
        <w:autoSpaceDN w:val="0"/>
        <w:adjustRightInd w:val="0"/>
        <w:spacing w:after="60"/>
        <w:ind w:left="640" w:hanging="640"/>
        <w:rPr>
          <w:noProof/>
          <w:lang w:val="en-US"/>
        </w:rPr>
      </w:pPr>
      <w:r w:rsidRPr="00A42287">
        <w:rPr>
          <w:noProof/>
          <w:lang w:val="en-US"/>
        </w:rPr>
        <w:t>[45]</w:t>
      </w:r>
      <w:r w:rsidRPr="00A42287">
        <w:rPr>
          <w:noProof/>
          <w:lang w:val="en-US"/>
        </w:rPr>
        <w:tab/>
        <w:t xml:space="preserve">N. Renier, Z. Wu, D. J. Simon, J. Yang, P. Ariel, M. Tessier-Lavigne, </w:t>
      </w:r>
      <w:r w:rsidRPr="00A42287">
        <w:rPr>
          <w:i/>
          <w:iCs/>
          <w:noProof/>
          <w:lang w:val="en-US"/>
        </w:rPr>
        <w:t>Cell</w:t>
      </w:r>
      <w:r w:rsidRPr="00A42287">
        <w:rPr>
          <w:noProof/>
          <w:lang w:val="en-US"/>
        </w:rPr>
        <w:t xml:space="preserve"> </w:t>
      </w:r>
      <w:r w:rsidRPr="00A42287">
        <w:rPr>
          <w:b/>
          <w:bCs/>
          <w:noProof/>
          <w:lang w:val="en-US"/>
        </w:rPr>
        <w:t>2014</w:t>
      </w:r>
      <w:r w:rsidRPr="00A42287">
        <w:rPr>
          <w:noProof/>
          <w:lang w:val="en-US"/>
        </w:rPr>
        <w:t xml:space="preserve">, </w:t>
      </w:r>
      <w:r w:rsidRPr="00A42287">
        <w:rPr>
          <w:i/>
          <w:iCs/>
          <w:noProof/>
          <w:lang w:val="en-US"/>
        </w:rPr>
        <w:t>159</w:t>
      </w:r>
      <w:r w:rsidRPr="00A42287">
        <w:rPr>
          <w:noProof/>
          <w:lang w:val="en-US"/>
        </w:rPr>
        <w:t>, 896.</w:t>
      </w:r>
    </w:p>
    <w:p w:rsidR="0061118B" w:rsidRPr="0015453A" w:rsidRDefault="00234258" w:rsidP="0015453A">
      <w:pPr>
        <w:pStyle w:val="Head1"/>
        <w:jc w:val="both"/>
      </w:pPr>
      <w:r w:rsidRPr="00C03C63">
        <w:fldChar w:fldCharType="end"/>
      </w:r>
    </w:p>
    <w:sectPr w:rsidR="0061118B" w:rsidRPr="0015453A" w:rsidSect="00D15DD5">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C8A" w:rsidRDefault="00905C8A">
      <w:r>
        <w:separator/>
      </w:r>
    </w:p>
  </w:endnote>
  <w:endnote w:type="continuationSeparator" w:id="0">
    <w:p w:rsidR="00905C8A" w:rsidRDefault="00905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A09" w:rsidRDefault="00234258">
    <w:pPr>
      <w:pStyle w:val="Footer"/>
      <w:jc w:val="center"/>
    </w:pPr>
    <w:r>
      <w:fldChar w:fldCharType="begin"/>
    </w:r>
    <w:r w:rsidR="00CA1DFE">
      <w:instrText>PAGE   \* MERGEFORMAT</w:instrText>
    </w:r>
    <w:r>
      <w:fldChar w:fldCharType="separate"/>
    </w:r>
    <w:r w:rsidR="00403F5B">
      <w:rPr>
        <w:noProof/>
      </w:rPr>
      <w:t>1</w:t>
    </w:r>
    <w:r>
      <w:rPr>
        <w:noProof/>
      </w:rPr>
      <w:fldChar w:fldCharType="end"/>
    </w:r>
  </w:p>
  <w:p w:rsidR="00562E2B" w:rsidRDefault="00562E2B"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C8A" w:rsidRDefault="00905C8A">
      <w:r>
        <w:separator/>
      </w:r>
    </w:p>
  </w:footnote>
  <w:footnote w:type="continuationSeparator" w:id="0">
    <w:p w:rsidR="00905C8A" w:rsidRDefault="00905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E2B" w:rsidRPr="009B44CC" w:rsidRDefault="00562E2B" w:rsidP="009B44CC">
    <w:pPr>
      <w:pStyle w:val="Header"/>
      <w:tabs>
        <w:tab w:val="left" w:pos="5003"/>
      </w:tabs>
      <w:jc w:val="right"/>
      <w:rPr>
        <w:lang w:val="en-U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3131A"/>
    <w:multiLevelType w:val="hybridMultilevel"/>
    <w:tmpl w:val="41B64C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5E7D3D15"/>
    <w:multiLevelType w:val="hybridMultilevel"/>
    <w:tmpl w:val="A9E40D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54D"/>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50985"/>
    <w:rsid w:val="0005501E"/>
    <w:rsid w:val="00055883"/>
    <w:rsid w:val="0006044D"/>
    <w:rsid w:val="00062324"/>
    <w:rsid w:val="00063C0E"/>
    <w:rsid w:val="00066EF8"/>
    <w:rsid w:val="00072EA7"/>
    <w:rsid w:val="000758A9"/>
    <w:rsid w:val="00076EAD"/>
    <w:rsid w:val="00080312"/>
    <w:rsid w:val="000826F8"/>
    <w:rsid w:val="0008287E"/>
    <w:rsid w:val="00083031"/>
    <w:rsid w:val="0008740B"/>
    <w:rsid w:val="000904D3"/>
    <w:rsid w:val="0009309C"/>
    <w:rsid w:val="00093F1B"/>
    <w:rsid w:val="000A1F4B"/>
    <w:rsid w:val="000A21A9"/>
    <w:rsid w:val="000A3E93"/>
    <w:rsid w:val="000A472C"/>
    <w:rsid w:val="000A5773"/>
    <w:rsid w:val="000A682F"/>
    <w:rsid w:val="000B05A0"/>
    <w:rsid w:val="000B1869"/>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0F6EB0"/>
    <w:rsid w:val="001013F4"/>
    <w:rsid w:val="001054D4"/>
    <w:rsid w:val="0010686C"/>
    <w:rsid w:val="00107C5F"/>
    <w:rsid w:val="00107CCC"/>
    <w:rsid w:val="00107D09"/>
    <w:rsid w:val="00110011"/>
    <w:rsid w:val="001105BD"/>
    <w:rsid w:val="00116C82"/>
    <w:rsid w:val="00120E85"/>
    <w:rsid w:val="00123ADA"/>
    <w:rsid w:val="00125573"/>
    <w:rsid w:val="0012642A"/>
    <w:rsid w:val="00126D17"/>
    <w:rsid w:val="001305BF"/>
    <w:rsid w:val="00131D58"/>
    <w:rsid w:val="00135C97"/>
    <w:rsid w:val="001370B1"/>
    <w:rsid w:val="001377CA"/>
    <w:rsid w:val="00140B94"/>
    <w:rsid w:val="001450FB"/>
    <w:rsid w:val="0014658A"/>
    <w:rsid w:val="00147DB8"/>
    <w:rsid w:val="00151683"/>
    <w:rsid w:val="0015392F"/>
    <w:rsid w:val="0015453A"/>
    <w:rsid w:val="0015563E"/>
    <w:rsid w:val="00155F66"/>
    <w:rsid w:val="0016390D"/>
    <w:rsid w:val="00164057"/>
    <w:rsid w:val="00165B37"/>
    <w:rsid w:val="00170369"/>
    <w:rsid w:val="00173757"/>
    <w:rsid w:val="00174176"/>
    <w:rsid w:val="001749A5"/>
    <w:rsid w:val="00181D92"/>
    <w:rsid w:val="001823B6"/>
    <w:rsid w:val="001848EB"/>
    <w:rsid w:val="00187DB9"/>
    <w:rsid w:val="0019077D"/>
    <w:rsid w:val="0019194D"/>
    <w:rsid w:val="00194F62"/>
    <w:rsid w:val="001A4240"/>
    <w:rsid w:val="001A6821"/>
    <w:rsid w:val="001A734D"/>
    <w:rsid w:val="001B4224"/>
    <w:rsid w:val="001B5311"/>
    <w:rsid w:val="001B7472"/>
    <w:rsid w:val="001C10AC"/>
    <w:rsid w:val="001C55FB"/>
    <w:rsid w:val="001D12BC"/>
    <w:rsid w:val="001D561D"/>
    <w:rsid w:val="001E0755"/>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50AA"/>
    <w:rsid w:val="002072AB"/>
    <w:rsid w:val="00210140"/>
    <w:rsid w:val="00211942"/>
    <w:rsid w:val="00214D95"/>
    <w:rsid w:val="00215531"/>
    <w:rsid w:val="002162B2"/>
    <w:rsid w:val="00220933"/>
    <w:rsid w:val="00220C72"/>
    <w:rsid w:val="0022540C"/>
    <w:rsid w:val="00225FEA"/>
    <w:rsid w:val="00226AA4"/>
    <w:rsid w:val="00233C8A"/>
    <w:rsid w:val="00234258"/>
    <w:rsid w:val="00236036"/>
    <w:rsid w:val="00240D90"/>
    <w:rsid w:val="00253CB1"/>
    <w:rsid w:val="002543F9"/>
    <w:rsid w:val="002548C2"/>
    <w:rsid w:val="00254916"/>
    <w:rsid w:val="00254D57"/>
    <w:rsid w:val="00257ADD"/>
    <w:rsid w:val="00263723"/>
    <w:rsid w:val="00263CF8"/>
    <w:rsid w:val="00265635"/>
    <w:rsid w:val="00266389"/>
    <w:rsid w:val="002675F7"/>
    <w:rsid w:val="002725A5"/>
    <w:rsid w:val="0027314F"/>
    <w:rsid w:val="0028289F"/>
    <w:rsid w:val="00284157"/>
    <w:rsid w:val="00285631"/>
    <w:rsid w:val="00290D94"/>
    <w:rsid w:val="0029203C"/>
    <w:rsid w:val="00294873"/>
    <w:rsid w:val="002A4A81"/>
    <w:rsid w:val="002A6932"/>
    <w:rsid w:val="002A73A2"/>
    <w:rsid w:val="002A7CE8"/>
    <w:rsid w:val="002B0671"/>
    <w:rsid w:val="002B25DD"/>
    <w:rsid w:val="002B262F"/>
    <w:rsid w:val="002B3553"/>
    <w:rsid w:val="002B4E39"/>
    <w:rsid w:val="002B5E06"/>
    <w:rsid w:val="002C0CFF"/>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14A4"/>
    <w:rsid w:val="00317A57"/>
    <w:rsid w:val="00320A99"/>
    <w:rsid w:val="0032144B"/>
    <w:rsid w:val="00322D5B"/>
    <w:rsid w:val="00322E04"/>
    <w:rsid w:val="00325AC2"/>
    <w:rsid w:val="00326A1C"/>
    <w:rsid w:val="00327FDC"/>
    <w:rsid w:val="003360E3"/>
    <w:rsid w:val="003371D5"/>
    <w:rsid w:val="003376CD"/>
    <w:rsid w:val="003452C3"/>
    <w:rsid w:val="003501A7"/>
    <w:rsid w:val="0035048A"/>
    <w:rsid w:val="003576F0"/>
    <w:rsid w:val="0036263B"/>
    <w:rsid w:val="00363B62"/>
    <w:rsid w:val="003645B0"/>
    <w:rsid w:val="00364B2C"/>
    <w:rsid w:val="00366041"/>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34E9"/>
    <w:rsid w:val="003A4C44"/>
    <w:rsid w:val="003A5AD0"/>
    <w:rsid w:val="003A6CE3"/>
    <w:rsid w:val="003A7899"/>
    <w:rsid w:val="003B15EE"/>
    <w:rsid w:val="003B517D"/>
    <w:rsid w:val="003B60EC"/>
    <w:rsid w:val="003C00ED"/>
    <w:rsid w:val="003C1C0A"/>
    <w:rsid w:val="003C35DF"/>
    <w:rsid w:val="003C4A68"/>
    <w:rsid w:val="003C554F"/>
    <w:rsid w:val="003C61DD"/>
    <w:rsid w:val="003D1DEF"/>
    <w:rsid w:val="003D63E7"/>
    <w:rsid w:val="003E05F1"/>
    <w:rsid w:val="003E113B"/>
    <w:rsid w:val="003E5092"/>
    <w:rsid w:val="003E715D"/>
    <w:rsid w:val="003F103E"/>
    <w:rsid w:val="003F2E48"/>
    <w:rsid w:val="003F440C"/>
    <w:rsid w:val="003F525A"/>
    <w:rsid w:val="003F7BE6"/>
    <w:rsid w:val="004006A9"/>
    <w:rsid w:val="00403F5B"/>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F9D"/>
    <w:rsid w:val="00444DB4"/>
    <w:rsid w:val="00447C3B"/>
    <w:rsid w:val="004507E5"/>
    <w:rsid w:val="004519AD"/>
    <w:rsid w:val="0045459A"/>
    <w:rsid w:val="004545DB"/>
    <w:rsid w:val="0045786A"/>
    <w:rsid w:val="00460F76"/>
    <w:rsid w:val="00462F12"/>
    <w:rsid w:val="00463050"/>
    <w:rsid w:val="0046340F"/>
    <w:rsid w:val="00466168"/>
    <w:rsid w:val="004714D4"/>
    <w:rsid w:val="00475712"/>
    <w:rsid w:val="00480CCE"/>
    <w:rsid w:val="00482FAA"/>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045D"/>
    <w:rsid w:val="004F271D"/>
    <w:rsid w:val="004F5114"/>
    <w:rsid w:val="004F756C"/>
    <w:rsid w:val="005001FA"/>
    <w:rsid w:val="005019AF"/>
    <w:rsid w:val="0050488D"/>
    <w:rsid w:val="00504D12"/>
    <w:rsid w:val="0050527A"/>
    <w:rsid w:val="0050535A"/>
    <w:rsid w:val="00511192"/>
    <w:rsid w:val="005118AD"/>
    <w:rsid w:val="00512353"/>
    <w:rsid w:val="005220C2"/>
    <w:rsid w:val="00523369"/>
    <w:rsid w:val="0052398F"/>
    <w:rsid w:val="005321FA"/>
    <w:rsid w:val="00532960"/>
    <w:rsid w:val="00535CE7"/>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22D6"/>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2DF9"/>
    <w:rsid w:val="005C458D"/>
    <w:rsid w:val="005C491E"/>
    <w:rsid w:val="005C5DCB"/>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18B"/>
    <w:rsid w:val="00611649"/>
    <w:rsid w:val="00611A0E"/>
    <w:rsid w:val="006137DD"/>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57CA8"/>
    <w:rsid w:val="00660B85"/>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977"/>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1076"/>
    <w:rsid w:val="0070346C"/>
    <w:rsid w:val="007051A0"/>
    <w:rsid w:val="00706496"/>
    <w:rsid w:val="00710716"/>
    <w:rsid w:val="00711A12"/>
    <w:rsid w:val="00711F11"/>
    <w:rsid w:val="007154C4"/>
    <w:rsid w:val="00715DB9"/>
    <w:rsid w:val="007218A0"/>
    <w:rsid w:val="007238AF"/>
    <w:rsid w:val="00726908"/>
    <w:rsid w:val="007270C7"/>
    <w:rsid w:val="00730F3A"/>
    <w:rsid w:val="00735007"/>
    <w:rsid w:val="00735F34"/>
    <w:rsid w:val="00736944"/>
    <w:rsid w:val="00737DD0"/>
    <w:rsid w:val="00741200"/>
    <w:rsid w:val="00741333"/>
    <w:rsid w:val="00742FF2"/>
    <w:rsid w:val="00744D6A"/>
    <w:rsid w:val="00746138"/>
    <w:rsid w:val="0074620A"/>
    <w:rsid w:val="00747251"/>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A5046"/>
    <w:rsid w:val="007B1EEE"/>
    <w:rsid w:val="007B249B"/>
    <w:rsid w:val="007B6D4D"/>
    <w:rsid w:val="007B7A09"/>
    <w:rsid w:val="007C0F7A"/>
    <w:rsid w:val="007C4C41"/>
    <w:rsid w:val="007D24A9"/>
    <w:rsid w:val="007D27FA"/>
    <w:rsid w:val="007D30B5"/>
    <w:rsid w:val="007D6218"/>
    <w:rsid w:val="007D6699"/>
    <w:rsid w:val="007D7E30"/>
    <w:rsid w:val="007E4E13"/>
    <w:rsid w:val="007E6419"/>
    <w:rsid w:val="007F6815"/>
    <w:rsid w:val="007F6BA8"/>
    <w:rsid w:val="0080681B"/>
    <w:rsid w:val="0080738C"/>
    <w:rsid w:val="00810B77"/>
    <w:rsid w:val="00817436"/>
    <w:rsid w:val="0082542D"/>
    <w:rsid w:val="00827834"/>
    <w:rsid w:val="00832835"/>
    <w:rsid w:val="00835110"/>
    <w:rsid w:val="008351FC"/>
    <w:rsid w:val="00841F50"/>
    <w:rsid w:val="00843A0E"/>
    <w:rsid w:val="00845DFE"/>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A6FE2"/>
    <w:rsid w:val="008B1031"/>
    <w:rsid w:val="008B2303"/>
    <w:rsid w:val="008B2ACE"/>
    <w:rsid w:val="008B328C"/>
    <w:rsid w:val="008B34A0"/>
    <w:rsid w:val="008B5740"/>
    <w:rsid w:val="008C0B84"/>
    <w:rsid w:val="008C41DA"/>
    <w:rsid w:val="008C4A91"/>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05C8A"/>
    <w:rsid w:val="009109F7"/>
    <w:rsid w:val="00912137"/>
    <w:rsid w:val="00913847"/>
    <w:rsid w:val="00915BED"/>
    <w:rsid w:val="00916B64"/>
    <w:rsid w:val="0092145D"/>
    <w:rsid w:val="009245DE"/>
    <w:rsid w:val="00930762"/>
    <w:rsid w:val="00930C0C"/>
    <w:rsid w:val="00933BD4"/>
    <w:rsid w:val="00936B81"/>
    <w:rsid w:val="00944701"/>
    <w:rsid w:val="00950ED1"/>
    <w:rsid w:val="00952A7A"/>
    <w:rsid w:val="0095444E"/>
    <w:rsid w:val="00955C67"/>
    <w:rsid w:val="00957B65"/>
    <w:rsid w:val="00960AFF"/>
    <w:rsid w:val="00963F62"/>
    <w:rsid w:val="00965EFC"/>
    <w:rsid w:val="009762D2"/>
    <w:rsid w:val="009762F1"/>
    <w:rsid w:val="0097692D"/>
    <w:rsid w:val="0097766E"/>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2080"/>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36ED9"/>
    <w:rsid w:val="00A41135"/>
    <w:rsid w:val="00A41FEB"/>
    <w:rsid w:val="00A42287"/>
    <w:rsid w:val="00A44DA6"/>
    <w:rsid w:val="00A50921"/>
    <w:rsid w:val="00A5160D"/>
    <w:rsid w:val="00A56CA4"/>
    <w:rsid w:val="00A65F04"/>
    <w:rsid w:val="00A65F2E"/>
    <w:rsid w:val="00A71AD5"/>
    <w:rsid w:val="00A8073E"/>
    <w:rsid w:val="00A80883"/>
    <w:rsid w:val="00A81BED"/>
    <w:rsid w:val="00A82FC6"/>
    <w:rsid w:val="00A92270"/>
    <w:rsid w:val="00A9742E"/>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443"/>
    <w:rsid w:val="00AE7DD9"/>
    <w:rsid w:val="00AF2B38"/>
    <w:rsid w:val="00B004C1"/>
    <w:rsid w:val="00B0168B"/>
    <w:rsid w:val="00B03458"/>
    <w:rsid w:val="00B04B8E"/>
    <w:rsid w:val="00B1072F"/>
    <w:rsid w:val="00B15820"/>
    <w:rsid w:val="00B176BF"/>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69B1"/>
    <w:rsid w:val="00B5720A"/>
    <w:rsid w:val="00B604A0"/>
    <w:rsid w:val="00B60761"/>
    <w:rsid w:val="00B620A5"/>
    <w:rsid w:val="00B62BB1"/>
    <w:rsid w:val="00B63559"/>
    <w:rsid w:val="00B73979"/>
    <w:rsid w:val="00B751B0"/>
    <w:rsid w:val="00B762E0"/>
    <w:rsid w:val="00B86C54"/>
    <w:rsid w:val="00B874C4"/>
    <w:rsid w:val="00B92A6B"/>
    <w:rsid w:val="00B97AA2"/>
    <w:rsid w:val="00B97B8E"/>
    <w:rsid w:val="00BA00A8"/>
    <w:rsid w:val="00BA0378"/>
    <w:rsid w:val="00BA37A4"/>
    <w:rsid w:val="00BA4FB0"/>
    <w:rsid w:val="00BA6138"/>
    <w:rsid w:val="00BB1930"/>
    <w:rsid w:val="00BB3478"/>
    <w:rsid w:val="00BB6ABF"/>
    <w:rsid w:val="00BB77E3"/>
    <w:rsid w:val="00BC0D6D"/>
    <w:rsid w:val="00BC2247"/>
    <w:rsid w:val="00BC5572"/>
    <w:rsid w:val="00BD009C"/>
    <w:rsid w:val="00BD497C"/>
    <w:rsid w:val="00BD57EE"/>
    <w:rsid w:val="00BE4E8A"/>
    <w:rsid w:val="00BF2A79"/>
    <w:rsid w:val="00BF375F"/>
    <w:rsid w:val="00C02372"/>
    <w:rsid w:val="00C03C63"/>
    <w:rsid w:val="00C044C3"/>
    <w:rsid w:val="00C10453"/>
    <w:rsid w:val="00C13BCA"/>
    <w:rsid w:val="00C141B9"/>
    <w:rsid w:val="00C158CF"/>
    <w:rsid w:val="00C16518"/>
    <w:rsid w:val="00C1787D"/>
    <w:rsid w:val="00C20F14"/>
    <w:rsid w:val="00C22B7C"/>
    <w:rsid w:val="00C315C2"/>
    <w:rsid w:val="00C3184D"/>
    <w:rsid w:val="00C331FD"/>
    <w:rsid w:val="00C34DCB"/>
    <w:rsid w:val="00C36D0C"/>
    <w:rsid w:val="00C36D84"/>
    <w:rsid w:val="00C3708D"/>
    <w:rsid w:val="00C4138A"/>
    <w:rsid w:val="00C440B4"/>
    <w:rsid w:val="00C446F9"/>
    <w:rsid w:val="00C462CB"/>
    <w:rsid w:val="00C4692C"/>
    <w:rsid w:val="00C46F39"/>
    <w:rsid w:val="00C47AFE"/>
    <w:rsid w:val="00C5067F"/>
    <w:rsid w:val="00C515C3"/>
    <w:rsid w:val="00C51AA2"/>
    <w:rsid w:val="00C52E43"/>
    <w:rsid w:val="00C609C3"/>
    <w:rsid w:val="00C60E16"/>
    <w:rsid w:val="00C65E4E"/>
    <w:rsid w:val="00C6629B"/>
    <w:rsid w:val="00C66610"/>
    <w:rsid w:val="00C66648"/>
    <w:rsid w:val="00C66FEF"/>
    <w:rsid w:val="00C70CB4"/>
    <w:rsid w:val="00C727A7"/>
    <w:rsid w:val="00C728D5"/>
    <w:rsid w:val="00C75119"/>
    <w:rsid w:val="00C76DD6"/>
    <w:rsid w:val="00C90B62"/>
    <w:rsid w:val="00C91C08"/>
    <w:rsid w:val="00C954FD"/>
    <w:rsid w:val="00C97F0E"/>
    <w:rsid w:val="00CA06AC"/>
    <w:rsid w:val="00CA1D9E"/>
    <w:rsid w:val="00CA1DF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D0614B"/>
    <w:rsid w:val="00D06AD1"/>
    <w:rsid w:val="00D15DD5"/>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3145"/>
    <w:rsid w:val="00DF4B0E"/>
    <w:rsid w:val="00E01DE7"/>
    <w:rsid w:val="00E01E4B"/>
    <w:rsid w:val="00E062B0"/>
    <w:rsid w:val="00E0711E"/>
    <w:rsid w:val="00E0770C"/>
    <w:rsid w:val="00E12A7D"/>
    <w:rsid w:val="00E14DFA"/>
    <w:rsid w:val="00E17EA5"/>
    <w:rsid w:val="00E20332"/>
    <w:rsid w:val="00E229DB"/>
    <w:rsid w:val="00E2571A"/>
    <w:rsid w:val="00E26EDC"/>
    <w:rsid w:val="00E2713C"/>
    <w:rsid w:val="00E30B42"/>
    <w:rsid w:val="00E33B69"/>
    <w:rsid w:val="00E342D7"/>
    <w:rsid w:val="00E35C26"/>
    <w:rsid w:val="00E410EA"/>
    <w:rsid w:val="00E41D5C"/>
    <w:rsid w:val="00E437F7"/>
    <w:rsid w:val="00E529F9"/>
    <w:rsid w:val="00E55017"/>
    <w:rsid w:val="00E55416"/>
    <w:rsid w:val="00E557D1"/>
    <w:rsid w:val="00E55B56"/>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A6765"/>
    <w:rsid w:val="00EB0B4F"/>
    <w:rsid w:val="00EB1B59"/>
    <w:rsid w:val="00EB4384"/>
    <w:rsid w:val="00EB6065"/>
    <w:rsid w:val="00EC0826"/>
    <w:rsid w:val="00EC4E99"/>
    <w:rsid w:val="00ED3A21"/>
    <w:rsid w:val="00ED54F9"/>
    <w:rsid w:val="00ED6982"/>
    <w:rsid w:val="00EE0218"/>
    <w:rsid w:val="00EE0E54"/>
    <w:rsid w:val="00EE1033"/>
    <w:rsid w:val="00EE659B"/>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46AA"/>
    <w:rsid w:val="00F95ECF"/>
    <w:rsid w:val="00F9792C"/>
    <w:rsid w:val="00F97AAA"/>
    <w:rsid w:val="00FA4AD8"/>
    <w:rsid w:val="00FB3597"/>
    <w:rsid w:val="00FB53CA"/>
    <w:rsid w:val="00FC1ECC"/>
    <w:rsid w:val="00FC2F7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5:docId w15:val="{3C0EB6CC-3127-4344-A617-7AF2D891D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B176BF"/>
    <w:pPr>
      <w:jc w:val="both"/>
    </w:pPr>
    <w:rPr>
      <w:bCs/>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TDAcknowledgmentsChar">
    <w:name w:val="TD_Acknowledgments Char"/>
    <w:link w:val="TDAcknowledgments"/>
    <w:locked/>
    <w:rsid w:val="00444DB4"/>
    <w:rPr>
      <w:rFonts w:ascii="Arno Pro" w:hAnsi="Arno Pro"/>
      <w:kern w:val="20"/>
      <w:sz w:val="18"/>
    </w:rPr>
  </w:style>
  <w:style w:type="paragraph" w:customStyle="1" w:styleId="TDAcknowledgments">
    <w:name w:val="TD_Acknowledgments"/>
    <w:basedOn w:val="Normal"/>
    <w:next w:val="Normal"/>
    <w:link w:val="TDAcknowledgmentsChar"/>
    <w:autoRedefine/>
    <w:rsid w:val="00444DB4"/>
    <w:pPr>
      <w:jc w:val="both"/>
    </w:pPr>
    <w:rPr>
      <w:rFonts w:ascii="Arno Pro" w:hAnsi="Arno Pro"/>
      <w:kern w:val="20"/>
      <w:sz w:val="18"/>
      <w:szCs w:val="20"/>
      <w:lang w:val="pt-PT" w:eastAsia="pt-PT" w:bidi="he-IL"/>
    </w:rPr>
  </w:style>
  <w:style w:type="paragraph" w:customStyle="1" w:styleId="TESupportingInformation">
    <w:name w:val="TE_Supporting_Information"/>
    <w:basedOn w:val="Normal"/>
    <w:next w:val="Normal"/>
    <w:autoRedefine/>
    <w:rsid w:val="00444DB4"/>
    <w:pPr>
      <w:jc w:val="both"/>
    </w:pPr>
    <w:rPr>
      <w:rFonts w:ascii="Arno Pro" w:eastAsia="Times New Roman" w:hAnsi="Arno Pro"/>
      <w:kern w:val="20"/>
      <w:sz w:val="18"/>
      <w:szCs w:val="20"/>
      <w:lang w:val="en-US" w:eastAsia="en-US"/>
    </w:rPr>
  </w:style>
  <w:style w:type="paragraph" w:customStyle="1" w:styleId="FCChartFootnote">
    <w:name w:val="FC_Chart_Footnote"/>
    <w:basedOn w:val="Normal"/>
    <w:next w:val="Normal"/>
    <w:autoRedefine/>
    <w:rsid w:val="00444DB4"/>
    <w:pPr>
      <w:spacing w:before="60" w:after="120"/>
      <w:jc w:val="both"/>
    </w:pPr>
    <w:rPr>
      <w:rFonts w:ascii="Arno Pro" w:eastAsia="Times New Roman" w:hAnsi="Arno Pro"/>
      <w:kern w:val="21"/>
      <w:sz w:val="18"/>
      <w:szCs w:val="18"/>
      <w:lang w:val="en-GB" w:eastAsia="en-US"/>
    </w:rPr>
  </w:style>
  <w:style w:type="character" w:customStyle="1" w:styleId="StyleFACorrespondingAuthorFootnote7ptChar">
    <w:name w:val="Style FA_Corresponding_Author_Footnote + 7 pt Char"/>
    <w:link w:val="StyleFACorrespondingAuthorFootnote7pt"/>
    <w:locked/>
    <w:rsid w:val="00444DB4"/>
    <w:rPr>
      <w:rFonts w:ascii="Arno Pro" w:hAnsi="Arno Pro"/>
      <w:kern w:val="20"/>
      <w:sz w:val="18"/>
    </w:rPr>
  </w:style>
  <w:style w:type="paragraph" w:customStyle="1" w:styleId="StyleFACorrespondingAuthorFootnote7pt">
    <w:name w:val="Style FA_Corresponding_Author_Footnote + 7 pt"/>
    <w:basedOn w:val="Normal"/>
    <w:next w:val="Normal"/>
    <w:link w:val="StyleFACorrespondingAuthorFootnote7ptChar"/>
    <w:autoRedefine/>
    <w:rsid w:val="00444DB4"/>
    <w:rPr>
      <w:rFonts w:ascii="Arno Pro" w:hAnsi="Arno Pro"/>
      <w:kern w:val="20"/>
      <w:sz w:val="18"/>
      <w:szCs w:val="20"/>
      <w:lang w:val="pt-PT" w:eastAsia="pt-PT" w:bidi="he-IL"/>
    </w:rPr>
  </w:style>
  <w:style w:type="character" w:customStyle="1" w:styleId="TDAckTitleChar">
    <w:name w:val="TD_Ack_Title Char"/>
    <w:link w:val="TDAckTitle"/>
    <w:locked/>
    <w:rsid w:val="00444DB4"/>
    <w:rPr>
      <w:rFonts w:ascii="Myriad Pro Light" w:hAnsi="Myriad Pro Light"/>
      <w:b/>
      <w:kern w:val="23"/>
      <w:sz w:val="21"/>
    </w:rPr>
  </w:style>
  <w:style w:type="paragraph" w:customStyle="1" w:styleId="TDAckTitle">
    <w:name w:val="TD_Ack_Title"/>
    <w:basedOn w:val="TDAcknowledgments"/>
    <w:link w:val="TDAckTitleChar"/>
    <w:rsid w:val="00444DB4"/>
    <w:pPr>
      <w:spacing w:before="180" w:after="60"/>
    </w:pPr>
    <w:rPr>
      <w:rFonts w:ascii="Myriad Pro Light" w:hAnsi="Myriad Pro Light"/>
      <w:b/>
      <w:kern w:val="23"/>
      <w:sz w:val="21"/>
    </w:rPr>
  </w:style>
  <w:style w:type="paragraph" w:customStyle="1" w:styleId="TESupportingInfoTitle">
    <w:name w:val="TE_Supporting_Info_Title"/>
    <w:basedOn w:val="TESupportingInformation"/>
    <w:autoRedefine/>
    <w:rsid w:val="00FC2F7A"/>
    <w:pPr>
      <w:spacing w:line="360" w:lineRule="auto"/>
    </w:pPr>
    <w:rPr>
      <w:rFonts w:ascii="Times New Roman" w:hAnsi="Times New Roman"/>
      <w:color w:val="000000"/>
      <w:kern w:val="21"/>
      <w:sz w:val="24"/>
      <w:szCs w:val="24"/>
    </w:rPr>
  </w:style>
  <w:style w:type="paragraph" w:customStyle="1" w:styleId="AuthorInformationTitle">
    <w:name w:val="Author_Information_Title"/>
    <w:basedOn w:val="TDAckTitle"/>
    <w:rsid w:val="00444DB4"/>
  </w:style>
  <w:style w:type="character" w:customStyle="1" w:styleId="FAAuthorInfoSubtitleChar">
    <w:name w:val="FA_Author_Info_Subtitle Char"/>
    <w:link w:val="FAAuthorInfoSubtitle"/>
    <w:locked/>
    <w:rsid w:val="00444DB4"/>
    <w:rPr>
      <w:rFonts w:ascii="Myriad Pro Light" w:hAnsi="Myriad Pro Light"/>
      <w:b/>
      <w:kern w:val="21"/>
      <w:sz w:val="19"/>
      <w:szCs w:val="14"/>
    </w:rPr>
  </w:style>
  <w:style w:type="paragraph" w:customStyle="1" w:styleId="FAAuthorInfoSubtitle">
    <w:name w:val="FA_Author_Info_Subtitle"/>
    <w:basedOn w:val="Normal"/>
    <w:link w:val="FAAuthorInfoSubtitleChar"/>
    <w:autoRedefine/>
    <w:rsid w:val="00444DB4"/>
    <w:pPr>
      <w:spacing w:before="120" w:after="60"/>
    </w:pPr>
    <w:rPr>
      <w:rFonts w:ascii="Myriad Pro Light" w:hAnsi="Myriad Pro Light"/>
      <w:b/>
      <w:kern w:val="21"/>
      <w:sz w:val="19"/>
      <w:szCs w:val="14"/>
      <w:lang w:val="pt-PT" w:eastAsia="pt-PT" w:bidi="he-IL"/>
    </w:rPr>
  </w:style>
  <w:style w:type="paragraph" w:customStyle="1" w:styleId="FDSchemeFootnote">
    <w:name w:val="FD_Scheme_Footnote"/>
    <w:basedOn w:val="Normal"/>
    <w:next w:val="Normal"/>
    <w:autoRedefine/>
    <w:rsid w:val="0061118B"/>
    <w:pPr>
      <w:spacing w:before="60" w:after="120"/>
      <w:ind w:firstLine="187"/>
      <w:jc w:val="both"/>
    </w:pPr>
    <w:rPr>
      <w:rFonts w:ascii="Arno Pro" w:eastAsia="SimSun" w:hAnsi="Arno Pro"/>
      <w:sz w:val="18"/>
      <w:szCs w:val="20"/>
      <w:lang w:val="en-US" w:eastAsia="en-US"/>
    </w:rPr>
  </w:style>
  <w:style w:type="paragraph" w:customStyle="1" w:styleId="SNSynopsisTOC">
    <w:name w:val="SN_Synopsis_TOC"/>
    <w:basedOn w:val="Normal"/>
    <w:next w:val="Normal"/>
    <w:autoRedefine/>
    <w:rsid w:val="0061118B"/>
    <w:pPr>
      <w:spacing w:after="60"/>
      <w:jc w:val="both"/>
    </w:pPr>
    <w:rPr>
      <w:rFonts w:ascii="Arno Pro" w:eastAsia="SimSun" w:hAnsi="Arno Pro"/>
      <w:b/>
      <w:bCs/>
      <w:kern w:val="22"/>
      <w:sz w:val="20"/>
      <w:szCs w:val="20"/>
      <w:lang w:val="en-US" w:eastAsia="ko-KR"/>
    </w:rPr>
  </w:style>
  <w:style w:type="character" w:styleId="Hyperlink">
    <w:name w:val="Hyperlink"/>
    <w:uiPriority w:val="99"/>
    <w:unhideWhenUsed/>
    <w:rsid w:val="0061118B"/>
    <w:rPr>
      <w:color w:val="0563C1"/>
      <w:u w:val="single"/>
    </w:rPr>
  </w:style>
  <w:style w:type="paragraph" w:styleId="ListParagraph">
    <w:name w:val="List Paragraph"/>
    <w:basedOn w:val="Normal"/>
    <w:uiPriority w:val="99"/>
    <w:qFormat/>
    <w:rsid w:val="0061118B"/>
    <w:pPr>
      <w:spacing w:after="160" w:line="259" w:lineRule="auto"/>
      <w:ind w:left="720"/>
      <w:contextualSpacing/>
    </w:pPr>
    <w:rPr>
      <w:rFonts w:ascii="Calibri" w:eastAsia="SimSun" w:hAnsi="Calibri" w:cs="Arial"/>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76788">
      <w:bodyDiv w:val="1"/>
      <w:marLeft w:val="0"/>
      <w:marRight w:val="0"/>
      <w:marTop w:val="0"/>
      <w:marBottom w:val="0"/>
      <w:divBdr>
        <w:top w:val="none" w:sz="0" w:space="0" w:color="auto"/>
        <w:left w:val="none" w:sz="0" w:space="0" w:color="auto"/>
        <w:bottom w:val="none" w:sz="0" w:space="0" w:color="auto"/>
        <w:right w:val="none" w:sz="0" w:space="0" w:color="auto"/>
      </w:divBdr>
    </w:div>
    <w:div w:id="698705397">
      <w:bodyDiv w:val="1"/>
      <w:marLeft w:val="0"/>
      <w:marRight w:val="0"/>
      <w:marTop w:val="0"/>
      <w:marBottom w:val="0"/>
      <w:divBdr>
        <w:top w:val="none" w:sz="0" w:space="0" w:color="auto"/>
        <w:left w:val="none" w:sz="0" w:space="0" w:color="auto"/>
        <w:bottom w:val="none" w:sz="0" w:space="0" w:color="auto"/>
        <w:right w:val="none" w:sz="0" w:space="0" w:color="auto"/>
      </w:divBdr>
    </w:div>
    <w:div w:id="1872302882">
      <w:bodyDiv w:val="1"/>
      <w:marLeft w:val="0"/>
      <w:marRight w:val="0"/>
      <w:marTop w:val="0"/>
      <w:marBottom w:val="0"/>
      <w:divBdr>
        <w:top w:val="none" w:sz="0" w:space="0" w:color="auto"/>
        <w:left w:val="none" w:sz="0" w:space="0" w:color="auto"/>
        <w:bottom w:val="none" w:sz="0" w:space="0" w:color="auto"/>
        <w:right w:val="none" w:sz="0" w:space="0" w:color="auto"/>
      </w:divBdr>
      <w:divsChild>
        <w:div w:id="1018701138">
          <w:marLeft w:val="0"/>
          <w:marRight w:val="0"/>
          <w:marTop w:val="0"/>
          <w:marBottom w:val="0"/>
          <w:divBdr>
            <w:top w:val="none" w:sz="0" w:space="0" w:color="auto"/>
            <w:left w:val="none" w:sz="0" w:space="0" w:color="auto"/>
            <w:bottom w:val="none" w:sz="0" w:space="0" w:color="auto"/>
            <w:right w:val="none" w:sz="0" w:space="0" w:color="auto"/>
          </w:divBdr>
        </w:div>
        <w:div w:id="1407067606">
          <w:marLeft w:val="0"/>
          <w:marRight w:val="0"/>
          <w:marTop w:val="0"/>
          <w:marBottom w:val="0"/>
          <w:divBdr>
            <w:top w:val="none" w:sz="0" w:space="0" w:color="auto"/>
            <w:left w:val="none" w:sz="0" w:space="0" w:color="auto"/>
            <w:bottom w:val="none" w:sz="0" w:space="0" w:color="auto"/>
            <w:right w:val="none" w:sz="0" w:space="0" w:color="auto"/>
          </w:divBdr>
        </w:div>
        <w:div w:id="155341448">
          <w:marLeft w:val="0"/>
          <w:marRight w:val="0"/>
          <w:marTop w:val="0"/>
          <w:marBottom w:val="0"/>
          <w:divBdr>
            <w:top w:val="none" w:sz="0" w:space="0" w:color="auto"/>
            <w:left w:val="none" w:sz="0" w:space="0" w:color="auto"/>
            <w:bottom w:val="none" w:sz="0" w:space="0" w:color="auto"/>
            <w:right w:val="none" w:sz="0" w:space="0" w:color="auto"/>
          </w:divBdr>
        </w:div>
        <w:div w:id="1113012389">
          <w:marLeft w:val="0"/>
          <w:marRight w:val="0"/>
          <w:marTop w:val="0"/>
          <w:marBottom w:val="0"/>
          <w:divBdr>
            <w:top w:val="none" w:sz="0" w:space="0" w:color="auto"/>
            <w:left w:val="none" w:sz="0" w:space="0" w:color="auto"/>
            <w:bottom w:val="none" w:sz="0" w:space="0" w:color="auto"/>
            <w:right w:val="none" w:sz="0" w:space="0" w:color="auto"/>
          </w:divBdr>
        </w:div>
        <w:div w:id="605314304">
          <w:marLeft w:val="0"/>
          <w:marRight w:val="0"/>
          <w:marTop w:val="0"/>
          <w:marBottom w:val="0"/>
          <w:divBdr>
            <w:top w:val="none" w:sz="0" w:space="0" w:color="auto"/>
            <w:left w:val="none" w:sz="0" w:space="0" w:color="auto"/>
            <w:bottom w:val="none" w:sz="0" w:space="0" w:color="auto"/>
            <w:right w:val="none" w:sz="0" w:space="0" w:color="auto"/>
          </w:divBdr>
        </w:div>
        <w:div w:id="1748571707">
          <w:marLeft w:val="0"/>
          <w:marRight w:val="0"/>
          <w:marTop w:val="0"/>
          <w:marBottom w:val="0"/>
          <w:divBdr>
            <w:top w:val="none" w:sz="0" w:space="0" w:color="auto"/>
            <w:left w:val="none" w:sz="0" w:space="0" w:color="auto"/>
            <w:bottom w:val="none" w:sz="0" w:space="0" w:color="auto"/>
            <w:right w:val="none" w:sz="0" w:space="0" w:color="auto"/>
          </w:divBdr>
        </w:div>
        <w:div w:id="1921865100">
          <w:marLeft w:val="0"/>
          <w:marRight w:val="0"/>
          <w:marTop w:val="0"/>
          <w:marBottom w:val="0"/>
          <w:divBdr>
            <w:top w:val="none" w:sz="0" w:space="0" w:color="auto"/>
            <w:left w:val="none" w:sz="0" w:space="0" w:color="auto"/>
            <w:bottom w:val="none" w:sz="0" w:space="0" w:color="auto"/>
            <w:right w:val="none" w:sz="0" w:space="0" w:color="auto"/>
          </w:divBdr>
        </w:div>
      </w:divsChild>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AFF0890F-94DA-4BFF-867B-768A8B9FD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16</Pages>
  <Words>25577</Words>
  <Characters>145789</Characters>
  <Application>Microsoft Office Word</Application>
  <DocSecurity>0</DocSecurity>
  <Lines>1214</Lines>
  <Paragraphs>342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171024</CharactersWithSpaces>
  <SharedDoc>false</SharedDoc>
  <HLinks>
    <vt:vector size="6" baseType="variant">
      <vt:variant>
        <vt:i4>4849789</vt:i4>
      </vt:variant>
      <vt:variant>
        <vt:i4>93</vt:i4>
      </vt:variant>
      <vt:variant>
        <vt:i4>0</vt:i4>
      </vt:variant>
      <vt:variant>
        <vt:i4>5</vt:i4>
      </vt:variant>
      <vt:variant>
        <vt:lpwstr>mailto:a.kanaras@soton.ac.uk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creator>ABoeer</dc:creator>
  <cp:lastModifiedBy>Lapage K.P.</cp:lastModifiedBy>
  <cp:revision>2</cp:revision>
  <cp:lastPrinted>2010-04-21T15:22:00Z</cp:lastPrinted>
  <dcterms:created xsi:type="dcterms:W3CDTF">2018-02-27T14:49:00Z</dcterms:created>
  <dcterms:modified xsi:type="dcterms:W3CDTF">2018-02-27T14:49:00Z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13272724-c226-36d4-944c-a89ca0447edc</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http://www.zotero.org/styles/small</vt:lpwstr>
  </property>
  <property fmtid="{D5CDD505-2E9C-101B-9397-08002B2CF9AE}" pid="23" name="Mendeley Recent Style Name 9_1">
    <vt:lpwstr>Small</vt:lpwstr>
  </property>
  <property fmtid="{D5CDD505-2E9C-101B-9397-08002B2CF9AE}" pid="24" name="style">
    <vt:lpwstr>american-chemical-society</vt:lpwstr>
  </property>
  <property fmtid="{D5CDD505-2E9C-101B-9397-08002B2CF9AE}" pid="25" name="Mendeley Citation Style_1">
    <vt:lpwstr>http://www.zotero.org/styles/small</vt:lpwstr>
  </property>
</Properties>
</file>