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62A3D0" w14:textId="2F3655D3" w:rsidR="00641DE3" w:rsidRDefault="00641DE3">
      <w:pPr>
        <w:autoSpaceDE/>
        <w:autoSpaceDN/>
        <w:adjustRightInd/>
        <w:spacing w:after="0" w:line="240" w:lineRule="auto"/>
        <w:jc w:val="left"/>
        <w:rPr>
          <w:sz w:val="20"/>
          <w:szCs w:val="20"/>
        </w:rPr>
      </w:pPr>
    </w:p>
    <w:p w14:paraId="48332BB1" w14:textId="77777777" w:rsidR="00641DE3" w:rsidRPr="00B60112" w:rsidRDefault="00641DE3" w:rsidP="00641DE3">
      <w:pPr>
        <w:pStyle w:val="Title"/>
        <w:spacing w:line="240" w:lineRule="auto"/>
        <w:rPr>
          <w:b w:val="0"/>
          <w:sz w:val="36"/>
          <w:szCs w:val="36"/>
          <w:lang w:val="en-GB"/>
        </w:rPr>
      </w:pPr>
      <w:r w:rsidRPr="00B60112">
        <w:rPr>
          <w:sz w:val="36"/>
          <w:szCs w:val="36"/>
          <w:lang w:val="en-GB"/>
        </w:rPr>
        <w:t>The global evolution of travel visa regimes</w:t>
      </w:r>
    </w:p>
    <w:p w14:paraId="6E2009ED" w14:textId="693C4604" w:rsidR="00641DE3" w:rsidRPr="00B60112" w:rsidRDefault="00641DE3" w:rsidP="00641DE3">
      <w:pPr>
        <w:pStyle w:val="Subtitle"/>
        <w:rPr>
          <w:sz w:val="36"/>
          <w:szCs w:val="36"/>
        </w:rPr>
      </w:pPr>
      <w:r w:rsidRPr="00B60112">
        <w:rPr>
          <w:sz w:val="36"/>
          <w:szCs w:val="36"/>
        </w:rPr>
        <w:t xml:space="preserve">An analysis </w:t>
      </w:r>
      <w:r w:rsidR="003D60FB">
        <w:rPr>
          <w:sz w:val="36"/>
          <w:szCs w:val="36"/>
        </w:rPr>
        <w:t>of</w:t>
      </w:r>
      <w:r w:rsidRPr="00B60112">
        <w:rPr>
          <w:sz w:val="36"/>
          <w:szCs w:val="36"/>
        </w:rPr>
        <w:t xml:space="preserve"> the</w:t>
      </w:r>
      <w:r>
        <w:rPr>
          <w:sz w:val="36"/>
          <w:szCs w:val="36"/>
        </w:rPr>
        <w:t xml:space="preserve"> </w:t>
      </w:r>
      <w:r w:rsidRPr="00B60112">
        <w:rPr>
          <w:sz w:val="36"/>
          <w:szCs w:val="36"/>
        </w:rPr>
        <w:t xml:space="preserve">DEMIG VISA </w:t>
      </w:r>
      <w:r w:rsidR="003D60FB">
        <w:rPr>
          <w:sz w:val="36"/>
          <w:szCs w:val="36"/>
        </w:rPr>
        <w:t>d</w:t>
      </w:r>
      <w:r w:rsidRPr="00B60112">
        <w:rPr>
          <w:sz w:val="36"/>
          <w:szCs w:val="36"/>
        </w:rPr>
        <w:t>atabase</w:t>
      </w:r>
    </w:p>
    <w:p w14:paraId="5E29C720" w14:textId="77777777" w:rsidR="00641DE3" w:rsidRDefault="00641DE3" w:rsidP="00641DE3">
      <w:pPr>
        <w:pStyle w:val="Titleinfo"/>
      </w:pPr>
    </w:p>
    <w:p w14:paraId="51BA7480" w14:textId="77777777" w:rsidR="00641DE3" w:rsidRPr="00B60112" w:rsidRDefault="00641DE3" w:rsidP="00641DE3">
      <w:pPr>
        <w:pStyle w:val="Heading"/>
        <w:spacing w:before="240"/>
        <w:rPr>
          <w:sz w:val="24"/>
          <w:szCs w:val="24"/>
        </w:rPr>
      </w:pPr>
      <w:r w:rsidRPr="00B60112">
        <w:rPr>
          <w:sz w:val="24"/>
          <w:szCs w:val="24"/>
        </w:rPr>
        <w:t>Abstract</w:t>
      </w:r>
    </w:p>
    <w:p w14:paraId="79143C38" w14:textId="5CCAB438" w:rsidR="00641DE3" w:rsidRPr="0085295C" w:rsidRDefault="00641DE3" w:rsidP="00641DE3">
      <w:pPr>
        <w:rPr>
          <w:lang w:val="en-GB" w:eastAsia="fr-FR"/>
        </w:rPr>
      </w:pPr>
      <w:r w:rsidRPr="0085295C">
        <w:rPr>
          <w:lang w:val="en-GB" w:eastAsia="fr-FR"/>
        </w:rPr>
        <w:t xml:space="preserve">Drawing on the new DEMIG VISA database </w:t>
      </w:r>
      <w:r>
        <w:rPr>
          <w:lang w:val="en-GB" w:eastAsia="fr-FR"/>
        </w:rPr>
        <w:t>which covers</w:t>
      </w:r>
      <w:r w:rsidRPr="0085295C">
        <w:rPr>
          <w:lang w:val="en-GB" w:eastAsia="fr-FR"/>
        </w:rPr>
        <w:t xml:space="preserve"> global bilateral travel </w:t>
      </w:r>
      <w:r w:rsidR="00C94307">
        <w:rPr>
          <w:lang w:val="en-GB" w:eastAsia="fr-FR"/>
        </w:rPr>
        <w:t>regulations</w:t>
      </w:r>
      <w:r w:rsidR="00C94307" w:rsidRPr="0085295C">
        <w:rPr>
          <w:lang w:val="en-GB" w:eastAsia="fr-FR"/>
        </w:rPr>
        <w:t xml:space="preserve"> </w:t>
      </w:r>
      <w:r w:rsidRPr="0085295C">
        <w:rPr>
          <w:lang w:val="en-GB" w:eastAsia="fr-FR"/>
        </w:rPr>
        <w:t xml:space="preserve">from 1973 to 2013, this paper explores patterns and trends in international </w:t>
      </w:r>
      <w:r w:rsidR="00E6360B">
        <w:rPr>
          <w:lang w:val="en-GB" w:eastAsia="fr-FR"/>
        </w:rPr>
        <w:t xml:space="preserve">travel </w:t>
      </w:r>
      <w:r w:rsidRPr="0085295C">
        <w:rPr>
          <w:lang w:val="en-GB" w:eastAsia="fr-FR"/>
        </w:rPr>
        <w:t>visa regimes.</w:t>
      </w:r>
      <w:r w:rsidR="003D60FB">
        <w:rPr>
          <w:lang w:val="en-GB" w:eastAsia="fr-FR"/>
        </w:rPr>
        <w:t xml:space="preserve"> T</w:t>
      </w:r>
      <w:r w:rsidRPr="0085295C">
        <w:rPr>
          <w:lang w:val="en-GB" w:eastAsia="fr-FR"/>
        </w:rPr>
        <w:t>he analys</w:t>
      </w:r>
      <w:r>
        <w:rPr>
          <w:lang w:val="en-GB" w:eastAsia="fr-FR"/>
        </w:rPr>
        <w:t>is</w:t>
      </w:r>
      <w:r w:rsidRPr="0085295C">
        <w:rPr>
          <w:lang w:val="en-GB" w:eastAsia="fr-FR"/>
        </w:rPr>
        <w:t xml:space="preserve"> challenge the idea of a growing global mobility divide between ‘North’ and ‘South’</w:t>
      </w:r>
      <w:r>
        <w:rPr>
          <w:lang w:val="en-GB" w:eastAsia="fr-FR"/>
        </w:rPr>
        <w:t>,</w:t>
      </w:r>
      <w:r w:rsidRPr="0085295C">
        <w:rPr>
          <w:lang w:val="en-GB" w:eastAsia="fr-FR"/>
        </w:rPr>
        <w:t xml:space="preserve"> yield</w:t>
      </w:r>
      <w:r w:rsidR="003D60FB">
        <w:rPr>
          <w:lang w:val="en-GB" w:eastAsia="fr-FR"/>
        </w:rPr>
        <w:t>ing</w:t>
      </w:r>
      <w:r w:rsidRPr="0085295C">
        <w:rPr>
          <w:lang w:val="en-GB" w:eastAsia="fr-FR"/>
        </w:rPr>
        <w:t xml:space="preserve"> a more complex image reflecting the multi</w:t>
      </w:r>
      <w:r>
        <w:rPr>
          <w:lang w:val="en-GB" w:eastAsia="fr-FR"/>
        </w:rPr>
        <w:t>-</w:t>
      </w:r>
      <w:r w:rsidRPr="0085295C">
        <w:rPr>
          <w:lang w:val="en-GB" w:eastAsia="fr-FR"/>
        </w:rPr>
        <w:t xml:space="preserve">polar and multi-layered nature of international relations. While predominantly European and North American OECD countries </w:t>
      </w:r>
      <w:r w:rsidR="003D60FB">
        <w:rPr>
          <w:lang w:val="en-GB" w:eastAsia="fr-FR"/>
        </w:rPr>
        <w:t xml:space="preserve">have </w:t>
      </w:r>
      <w:r w:rsidRPr="0085295C">
        <w:rPr>
          <w:lang w:val="en-GB" w:eastAsia="fr-FR"/>
        </w:rPr>
        <w:t>maintain</w:t>
      </w:r>
      <w:r w:rsidR="003D60FB">
        <w:rPr>
          <w:lang w:val="en-GB" w:eastAsia="fr-FR"/>
        </w:rPr>
        <w:t>ed relatively</w:t>
      </w:r>
      <w:r w:rsidRPr="0085295C">
        <w:rPr>
          <w:lang w:val="en-GB" w:eastAsia="fr-FR"/>
        </w:rPr>
        <w:t xml:space="preserve"> high levels of entry visa restrictiveness for Africa and Asia, the latter regions have the highest levels of entry restrictions themselves. </w:t>
      </w:r>
      <w:r w:rsidR="003D60FB">
        <w:rPr>
          <w:lang w:val="en-GB" w:eastAsia="fr-FR"/>
        </w:rPr>
        <w:t xml:space="preserve">While </w:t>
      </w:r>
      <w:r w:rsidRPr="0085295C">
        <w:rPr>
          <w:lang w:val="en-GB" w:eastAsia="fr-FR"/>
        </w:rPr>
        <w:t xml:space="preserve">citizens of wealthy </w:t>
      </w:r>
      <w:r w:rsidR="003D60FB">
        <w:rPr>
          <w:lang w:val="en-GB" w:eastAsia="fr-FR"/>
        </w:rPr>
        <w:t xml:space="preserve">(mainly OECD) </w:t>
      </w:r>
      <w:r w:rsidRPr="0085295C">
        <w:rPr>
          <w:lang w:val="en-GB" w:eastAsia="fr-FR"/>
        </w:rPr>
        <w:t>countries generally enjoy greatest visa-free travel opportunities, this primarily reflects their freedom to travel to other OECD countries. Visa-free travel is mostly reali</w:t>
      </w:r>
      <w:r>
        <w:rPr>
          <w:lang w:val="en-GB" w:eastAsia="fr-FR"/>
        </w:rPr>
        <w:t>s</w:t>
      </w:r>
      <w:r w:rsidRPr="0085295C">
        <w:rPr>
          <w:lang w:val="en-GB" w:eastAsia="fr-FR"/>
        </w:rPr>
        <w:t xml:space="preserve">ed between geographically </w:t>
      </w:r>
      <w:r>
        <w:rPr>
          <w:lang w:val="en-GB" w:eastAsia="fr-FR"/>
        </w:rPr>
        <w:t>proximate</w:t>
      </w:r>
      <w:r w:rsidRPr="0085295C">
        <w:rPr>
          <w:lang w:val="en-GB" w:eastAsia="fr-FR"/>
        </w:rPr>
        <w:t xml:space="preserve"> countries of integrated regional blocs such as ECOWAS, the EU, GCC and MERCOSUR. Analyses of global dynamics in visa reciprocity show that 21 per cent of the country</w:t>
      </w:r>
      <w:r>
        <w:rPr>
          <w:lang w:val="en-GB" w:eastAsia="fr-FR"/>
        </w:rPr>
        <w:t xml:space="preserve"> </w:t>
      </w:r>
      <w:r w:rsidRPr="0085295C">
        <w:rPr>
          <w:lang w:val="en-GB" w:eastAsia="fr-FR"/>
        </w:rPr>
        <w:t>dyads have asymmetrical visa rules</w:t>
      </w:r>
      <w:r>
        <w:rPr>
          <w:lang w:val="en-GB" w:eastAsia="fr-FR"/>
        </w:rPr>
        <w:t>,</w:t>
      </w:r>
      <w:r w:rsidRPr="0085295C">
        <w:rPr>
          <w:lang w:val="en-GB" w:eastAsia="fr-FR"/>
        </w:rPr>
        <w:t xml:space="preserve"> but also show that levels of reciprocity have increased since the mid-1990s. Our analysis shows that visas are not ‘just’ instruments regulating entry of visitors and exit of citizens, but are manifestations of broader political economic trends and inequalities in international power relations. </w:t>
      </w:r>
    </w:p>
    <w:p w14:paraId="18573BDD" w14:textId="77777777" w:rsidR="00641DE3" w:rsidRDefault="00641DE3" w:rsidP="00641DE3">
      <w:pPr>
        <w:rPr>
          <w:b/>
          <w:highlight w:val="yellow"/>
          <w:lang w:val="en-GB"/>
        </w:rPr>
      </w:pPr>
    </w:p>
    <w:p w14:paraId="65A04900" w14:textId="7EB39541" w:rsidR="00641DE3" w:rsidRPr="003244AF" w:rsidRDefault="00641DE3" w:rsidP="00641DE3">
      <w:pPr>
        <w:rPr>
          <w:b/>
          <w:lang w:val="en-GB"/>
        </w:rPr>
      </w:pPr>
      <w:r w:rsidRPr="00B60112">
        <w:rPr>
          <w:b/>
          <w:lang w:val="en-GB"/>
        </w:rPr>
        <w:t>Keywords:</w:t>
      </w:r>
      <w:r w:rsidRPr="003244AF">
        <w:rPr>
          <w:b/>
          <w:lang w:val="en-GB"/>
        </w:rPr>
        <w:t xml:space="preserve"> </w:t>
      </w:r>
      <w:r w:rsidR="00207099">
        <w:rPr>
          <w:b/>
          <w:lang w:val="en-GB"/>
        </w:rPr>
        <w:t xml:space="preserve">travel </w:t>
      </w:r>
      <w:r>
        <w:rPr>
          <w:b/>
          <w:lang w:val="en-GB"/>
        </w:rPr>
        <w:t>visa policy, exit restrictions, international relations, visa database</w:t>
      </w:r>
      <w:r w:rsidR="00207099">
        <w:rPr>
          <w:b/>
          <w:lang w:val="en-GB"/>
        </w:rPr>
        <w:t>, migration</w:t>
      </w:r>
    </w:p>
    <w:p w14:paraId="653C8407" w14:textId="77777777" w:rsidR="0085295C" w:rsidRPr="003A62E3" w:rsidRDefault="0085295C" w:rsidP="0085295C">
      <w:pPr>
        <w:rPr>
          <w:sz w:val="20"/>
          <w:szCs w:val="20"/>
        </w:rPr>
      </w:pPr>
    </w:p>
    <w:p w14:paraId="555DDC75" w14:textId="77777777" w:rsidR="00B60112" w:rsidRDefault="00B60112" w:rsidP="0085295C"/>
    <w:p w14:paraId="4ADB9698" w14:textId="77777777" w:rsidR="003833B4" w:rsidRPr="003244AF" w:rsidRDefault="003833B4" w:rsidP="005934F5">
      <w:pPr>
        <w:rPr>
          <w:lang w:val="en-GB"/>
        </w:rPr>
      </w:pPr>
    </w:p>
    <w:p w14:paraId="652D1EE8" w14:textId="77777777" w:rsidR="00AC444C" w:rsidRPr="003244AF" w:rsidRDefault="003833B4" w:rsidP="009B44E9">
      <w:pPr>
        <w:pStyle w:val="Heading1"/>
      </w:pPr>
      <w:r w:rsidRPr="003244AF">
        <w:br w:type="page"/>
      </w:r>
      <w:r w:rsidR="005934F5" w:rsidRPr="003244AF">
        <w:lastRenderedPageBreak/>
        <w:t>Introduction</w:t>
      </w:r>
    </w:p>
    <w:p w14:paraId="0F079462" w14:textId="1AEC33A5" w:rsidR="0085295C" w:rsidRPr="008C4E3D" w:rsidRDefault="004A4047" w:rsidP="0085295C">
      <w:pPr>
        <w:rPr>
          <w:lang w:val="en-GB"/>
        </w:rPr>
      </w:pPr>
      <w:r>
        <w:rPr>
          <w:lang w:val="en-GB"/>
        </w:rPr>
        <w:t xml:space="preserve">Scholars </w:t>
      </w:r>
      <w:r w:rsidR="0085295C">
        <w:rPr>
          <w:lang w:val="en-GB"/>
        </w:rPr>
        <w:t>have argued that mobility is one of the key processes of globalisation (Urry</w:t>
      </w:r>
      <w:r w:rsidR="00CF1F28">
        <w:rPr>
          <w:lang w:val="en-GB"/>
        </w:rPr>
        <w:t>,</w:t>
      </w:r>
      <w:r w:rsidR="0085295C">
        <w:rPr>
          <w:lang w:val="en-GB"/>
        </w:rPr>
        <w:t xml:space="preserve"> 2002; Sassen</w:t>
      </w:r>
      <w:r w:rsidR="00CF1F28">
        <w:rPr>
          <w:lang w:val="en-GB"/>
        </w:rPr>
        <w:t>,</w:t>
      </w:r>
      <w:r w:rsidR="0085295C">
        <w:rPr>
          <w:lang w:val="en-GB"/>
        </w:rPr>
        <w:t xml:space="preserve"> 2000; Elliot and Urry</w:t>
      </w:r>
      <w:r w:rsidR="00CF1F28">
        <w:rPr>
          <w:lang w:val="en-GB"/>
        </w:rPr>
        <w:t>,</w:t>
      </w:r>
      <w:r w:rsidR="0085295C">
        <w:rPr>
          <w:lang w:val="en-GB"/>
        </w:rPr>
        <w:t xml:space="preserve"> 2010)</w:t>
      </w:r>
      <w:r w:rsidR="00CF1F28">
        <w:rPr>
          <w:lang w:val="en-GB"/>
        </w:rPr>
        <w:t>, and is</w:t>
      </w:r>
      <w:r w:rsidR="0085295C">
        <w:rPr>
          <w:lang w:val="en-GB"/>
        </w:rPr>
        <w:t xml:space="preserve"> connected to the increase in international travel.</w:t>
      </w:r>
      <w:r w:rsidR="00CF1F28">
        <w:rPr>
          <w:lang w:val="en-GB"/>
        </w:rPr>
        <w:t xml:space="preserve"> </w:t>
      </w:r>
      <w:r w:rsidR="0085295C" w:rsidRPr="008C4E3D">
        <w:rPr>
          <w:lang w:val="en-GB"/>
        </w:rPr>
        <w:t xml:space="preserve">As travellers can witness at international airports, citizenship and identification papers have a great influence on the modes and ease of travel. While people holding passports of the wealthy or ‘befriended’ countries can often breeze through custom checks, often using fully automated systems such ‘e-gates’, citizens of poor and politically fragile countries, particularly from South and South-East Asia, the Middle East and Africa, have to queue up in long rows, and generally require </w:t>
      </w:r>
      <w:r w:rsidR="007F6F77">
        <w:rPr>
          <w:lang w:val="en-GB"/>
        </w:rPr>
        <w:t xml:space="preserve">a </w:t>
      </w:r>
      <w:r w:rsidR="00930545">
        <w:rPr>
          <w:lang w:val="en-GB"/>
        </w:rPr>
        <w:t xml:space="preserve">travel </w:t>
      </w:r>
      <w:r w:rsidR="0085295C" w:rsidRPr="008C4E3D">
        <w:rPr>
          <w:lang w:val="en-GB"/>
        </w:rPr>
        <w:t>visa to enter. This seems to mirror a structural inequality in immigration and</w:t>
      </w:r>
      <w:r w:rsidR="0085295C">
        <w:rPr>
          <w:lang w:val="en-GB"/>
        </w:rPr>
        <w:t xml:space="preserve"> travel </w:t>
      </w:r>
      <w:r w:rsidR="0085295C" w:rsidRPr="008C4E3D">
        <w:rPr>
          <w:lang w:val="en-GB"/>
        </w:rPr>
        <w:t>rights</w:t>
      </w:r>
      <w:r w:rsidR="00930545">
        <w:rPr>
          <w:lang w:val="en-GB"/>
        </w:rPr>
        <w:t>:</w:t>
      </w:r>
      <w:r w:rsidR="0085295C" w:rsidRPr="008C4E3D">
        <w:rPr>
          <w:lang w:val="en-GB"/>
        </w:rPr>
        <w:t xml:space="preserve"> </w:t>
      </w:r>
      <w:r w:rsidR="00930545">
        <w:rPr>
          <w:lang w:val="en-GB"/>
        </w:rPr>
        <w:t>travel</w:t>
      </w:r>
      <w:r w:rsidR="00930545" w:rsidRPr="008C4E3D">
        <w:rPr>
          <w:lang w:val="en-GB"/>
        </w:rPr>
        <w:t xml:space="preserve"> </w:t>
      </w:r>
      <w:r w:rsidR="0085295C" w:rsidRPr="008C4E3D">
        <w:rPr>
          <w:lang w:val="en-GB"/>
        </w:rPr>
        <w:t>visas are generally required for citizens of countries in the ‘</w:t>
      </w:r>
      <w:r w:rsidR="007F6F77">
        <w:rPr>
          <w:lang w:val="en-GB"/>
        </w:rPr>
        <w:t>G</w:t>
      </w:r>
      <w:r w:rsidR="007F6F77" w:rsidRPr="008C4E3D">
        <w:rPr>
          <w:lang w:val="en-GB"/>
        </w:rPr>
        <w:t xml:space="preserve">lobal </w:t>
      </w:r>
      <w:r w:rsidR="0085295C" w:rsidRPr="008C4E3D">
        <w:rPr>
          <w:lang w:val="en-GB"/>
        </w:rPr>
        <w:t>South’ who are often perceived by government officials and policy</w:t>
      </w:r>
      <w:r w:rsidR="007F6F77">
        <w:rPr>
          <w:lang w:val="en-GB"/>
        </w:rPr>
        <w:t xml:space="preserve"> </w:t>
      </w:r>
      <w:r w:rsidR="0085295C" w:rsidRPr="008C4E3D">
        <w:rPr>
          <w:lang w:val="en-GB"/>
        </w:rPr>
        <w:t>makers in the ‘</w:t>
      </w:r>
      <w:r w:rsidR="00D838EC">
        <w:rPr>
          <w:lang w:val="en-GB"/>
        </w:rPr>
        <w:t>G</w:t>
      </w:r>
      <w:r w:rsidR="00D838EC" w:rsidRPr="008C4E3D">
        <w:rPr>
          <w:lang w:val="en-GB"/>
        </w:rPr>
        <w:t xml:space="preserve">lobal </w:t>
      </w:r>
      <w:r w:rsidR="0085295C" w:rsidRPr="008C4E3D">
        <w:rPr>
          <w:lang w:val="en-GB"/>
        </w:rPr>
        <w:t xml:space="preserve">North’ as an immigration risk in terms of their potential to be asylum seekers or to become undocumented and overstay, or </w:t>
      </w:r>
      <w:r w:rsidR="002D7A83">
        <w:rPr>
          <w:lang w:val="en-GB"/>
        </w:rPr>
        <w:t xml:space="preserve">perceived as </w:t>
      </w:r>
      <w:r w:rsidR="0085295C" w:rsidRPr="008C4E3D">
        <w:rPr>
          <w:lang w:val="en-GB"/>
        </w:rPr>
        <w:t xml:space="preserve">a security risk in terms of their potential to threaten public life as criminals or terrorists. </w:t>
      </w:r>
    </w:p>
    <w:p w14:paraId="30D42EDF" w14:textId="53CD8B3C" w:rsidR="0085295C" w:rsidRDefault="0085295C" w:rsidP="00C51AC7">
      <w:pPr>
        <w:ind w:firstLine="720"/>
        <w:rPr>
          <w:lang w:val="en-GB"/>
        </w:rPr>
      </w:pPr>
      <w:r w:rsidRPr="008C4E3D">
        <w:rPr>
          <w:lang w:val="en-GB"/>
        </w:rPr>
        <w:t>However,</w:t>
      </w:r>
      <w:r>
        <w:rPr>
          <w:lang w:val="en-GB"/>
        </w:rPr>
        <w:t xml:space="preserve"> the</w:t>
      </w:r>
      <w:r w:rsidRPr="008C4E3D">
        <w:rPr>
          <w:lang w:val="en-GB"/>
        </w:rPr>
        <w:t xml:space="preserve"> perception </w:t>
      </w:r>
      <w:r>
        <w:rPr>
          <w:lang w:val="en-GB"/>
        </w:rPr>
        <w:t>of a North</w:t>
      </w:r>
      <w:r w:rsidR="00C85AEE">
        <w:rPr>
          <w:lang w:val="en-GB"/>
        </w:rPr>
        <w:t>–</w:t>
      </w:r>
      <w:r>
        <w:rPr>
          <w:lang w:val="en-GB"/>
        </w:rPr>
        <w:t xml:space="preserve">South mobility divide </w:t>
      </w:r>
      <w:r w:rsidRPr="008C4E3D">
        <w:rPr>
          <w:lang w:val="en-GB"/>
        </w:rPr>
        <w:t xml:space="preserve">may reflect a Western or Eurocentric perspective, and a bias created by the fact </w:t>
      </w:r>
      <w:r>
        <w:rPr>
          <w:lang w:val="en-GB"/>
        </w:rPr>
        <w:t xml:space="preserve">that </w:t>
      </w:r>
      <w:r w:rsidRPr="008C4E3D">
        <w:rPr>
          <w:lang w:val="en-GB"/>
        </w:rPr>
        <w:t xml:space="preserve">Westerners mainly travel through Western airports where they may face only minor travel constraints. </w:t>
      </w:r>
      <w:r>
        <w:rPr>
          <w:lang w:val="en-GB"/>
        </w:rPr>
        <w:t>R</w:t>
      </w:r>
      <w:r w:rsidRPr="008C4E3D">
        <w:rPr>
          <w:lang w:val="en-GB"/>
        </w:rPr>
        <w:t xml:space="preserve">ealities seem to be more complex than this dichotomous representation. For instance, European citizens or North Americans travelling to sub-Saharan Africa and countries </w:t>
      </w:r>
      <w:r w:rsidR="00C85AEE">
        <w:rPr>
          <w:lang w:val="en-GB"/>
        </w:rPr>
        <w:t>including</w:t>
      </w:r>
      <w:r w:rsidRPr="008C4E3D">
        <w:rPr>
          <w:lang w:val="en-GB"/>
        </w:rPr>
        <w:t xml:space="preserve"> Russia, China and India often need visas</w:t>
      </w:r>
      <w:r w:rsidR="00C85AEE">
        <w:rPr>
          <w:lang w:val="en-GB"/>
        </w:rPr>
        <w:t xml:space="preserve"> to do so</w:t>
      </w:r>
      <w:r w:rsidRPr="008C4E3D">
        <w:rPr>
          <w:lang w:val="en-GB"/>
        </w:rPr>
        <w:t xml:space="preserve">, and may find themselves queuing at borders too. While citizens of regional blocs such as </w:t>
      </w:r>
      <w:r w:rsidR="007514E6">
        <w:rPr>
          <w:lang w:val="en-GB"/>
        </w:rPr>
        <w:t>the Economic Community of West African States (</w:t>
      </w:r>
      <w:r w:rsidRPr="008C4E3D">
        <w:rPr>
          <w:lang w:val="en-GB"/>
        </w:rPr>
        <w:t>ECOWAS</w:t>
      </w:r>
      <w:r w:rsidR="007514E6">
        <w:rPr>
          <w:lang w:val="en-GB"/>
        </w:rPr>
        <w:t>)</w:t>
      </w:r>
      <w:r>
        <w:rPr>
          <w:lang w:val="en-GB"/>
        </w:rPr>
        <w:t xml:space="preserve">, the </w:t>
      </w:r>
      <w:r w:rsidR="007514E6">
        <w:rPr>
          <w:lang w:val="en-GB"/>
        </w:rPr>
        <w:t>European Union (</w:t>
      </w:r>
      <w:r>
        <w:rPr>
          <w:lang w:val="en-GB"/>
        </w:rPr>
        <w:t>EU</w:t>
      </w:r>
      <w:r w:rsidR="007514E6">
        <w:rPr>
          <w:lang w:val="en-GB"/>
        </w:rPr>
        <w:t>)</w:t>
      </w:r>
      <w:r>
        <w:rPr>
          <w:lang w:val="en-GB"/>
        </w:rPr>
        <w:t xml:space="preserve">, </w:t>
      </w:r>
      <w:r w:rsidR="007514E6">
        <w:rPr>
          <w:lang w:val="en-GB"/>
        </w:rPr>
        <w:t>the Gulf Cooperation Council (</w:t>
      </w:r>
      <w:r>
        <w:rPr>
          <w:lang w:val="en-GB"/>
        </w:rPr>
        <w:t>GCC</w:t>
      </w:r>
      <w:r w:rsidR="007514E6">
        <w:rPr>
          <w:lang w:val="en-GB"/>
        </w:rPr>
        <w:t>)</w:t>
      </w:r>
      <w:r w:rsidRPr="008C4E3D">
        <w:rPr>
          <w:lang w:val="en-GB"/>
        </w:rPr>
        <w:t xml:space="preserve"> and </w:t>
      </w:r>
      <w:r w:rsidR="007514E6">
        <w:rPr>
          <w:lang w:val="en-GB"/>
        </w:rPr>
        <w:t>the South African Development Community (</w:t>
      </w:r>
      <w:r w:rsidRPr="008C4E3D">
        <w:rPr>
          <w:lang w:val="en-GB"/>
        </w:rPr>
        <w:t>SADC</w:t>
      </w:r>
      <w:r w:rsidR="007514E6">
        <w:rPr>
          <w:lang w:val="en-GB"/>
        </w:rPr>
        <w:t>)</w:t>
      </w:r>
      <w:r w:rsidRPr="008C4E3D">
        <w:rPr>
          <w:lang w:val="en-GB"/>
        </w:rPr>
        <w:t xml:space="preserve"> enjoy free </w:t>
      </w:r>
      <w:r w:rsidR="007A7209">
        <w:rPr>
          <w:lang w:val="en-GB"/>
        </w:rPr>
        <w:t>intra-regional</w:t>
      </w:r>
      <w:r w:rsidR="007A7209" w:rsidRPr="008C4E3D">
        <w:rPr>
          <w:lang w:val="en-GB"/>
        </w:rPr>
        <w:t xml:space="preserve"> </w:t>
      </w:r>
      <w:r w:rsidRPr="008C4E3D">
        <w:rPr>
          <w:lang w:val="en-GB"/>
        </w:rPr>
        <w:t xml:space="preserve">travel, travellers from Europe and other ‘third countries’ may well need </w:t>
      </w:r>
      <w:r w:rsidR="00B01115">
        <w:rPr>
          <w:lang w:val="en-GB"/>
        </w:rPr>
        <w:t>a</w:t>
      </w:r>
      <w:r w:rsidR="007A7209">
        <w:rPr>
          <w:lang w:val="en-GB"/>
        </w:rPr>
        <w:t xml:space="preserve">n entry </w:t>
      </w:r>
      <w:r w:rsidRPr="008C4E3D">
        <w:rPr>
          <w:lang w:val="en-GB"/>
        </w:rPr>
        <w:t>visa. This exemplifies that real-world</w:t>
      </w:r>
      <w:r w:rsidR="009361E4">
        <w:rPr>
          <w:lang w:val="en-GB"/>
        </w:rPr>
        <w:t xml:space="preserve"> travel</w:t>
      </w:r>
      <w:r w:rsidRPr="008C4E3D">
        <w:rPr>
          <w:lang w:val="en-GB"/>
        </w:rPr>
        <w:t xml:space="preserve"> visa regimes may not fit within simplistic ‘North</w:t>
      </w:r>
      <w:r w:rsidR="00B01115">
        <w:rPr>
          <w:lang w:val="en-GB"/>
        </w:rPr>
        <w:t>–</w:t>
      </w:r>
      <w:r w:rsidRPr="008C4E3D">
        <w:rPr>
          <w:lang w:val="en-GB"/>
        </w:rPr>
        <w:t>South’ schemes, and that visa regimes may partly reflect more complex geopolitical relations and multi-layered hierarchies at the regional level.</w:t>
      </w:r>
      <w:r w:rsidR="00CF1F28">
        <w:rPr>
          <w:lang w:val="en-GB"/>
        </w:rPr>
        <w:t xml:space="preserve"> </w:t>
      </w:r>
      <w:r w:rsidRPr="008C4E3D">
        <w:rPr>
          <w:lang w:val="en-GB"/>
        </w:rPr>
        <w:t>For instance,</w:t>
      </w:r>
      <w:r>
        <w:rPr>
          <w:lang w:val="en-GB"/>
        </w:rPr>
        <w:t xml:space="preserve"> </w:t>
      </w:r>
      <w:r w:rsidRPr="008C4E3D">
        <w:rPr>
          <w:lang w:val="en-GB"/>
        </w:rPr>
        <w:t>Morocco grants visa</w:t>
      </w:r>
      <w:r w:rsidR="00B01115">
        <w:rPr>
          <w:lang w:val="en-GB"/>
        </w:rPr>
        <w:t>-</w:t>
      </w:r>
      <w:r w:rsidRPr="008C4E3D">
        <w:rPr>
          <w:lang w:val="en-GB"/>
        </w:rPr>
        <w:t>free travel to citizens of particular, befriended states in Africa</w:t>
      </w:r>
      <w:r w:rsidR="00A9701F">
        <w:rPr>
          <w:lang w:val="en-GB"/>
        </w:rPr>
        <w:t>,</w:t>
      </w:r>
      <w:r w:rsidRPr="008C4E3D">
        <w:rPr>
          <w:lang w:val="en-GB"/>
        </w:rPr>
        <w:t xml:space="preserve"> such as Senegal and Mali</w:t>
      </w:r>
      <w:r w:rsidR="00A9701F">
        <w:rPr>
          <w:lang w:val="en-GB"/>
        </w:rPr>
        <w:t>,</w:t>
      </w:r>
      <w:r w:rsidRPr="008C4E3D">
        <w:rPr>
          <w:lang w:val="en-GB"/>
        </w:rPr>
        <w:t xml:space="preserve"> as well as to EU member states, but denies it to many fellow</w:t>
      </w:r>
      <w:r w:rsidR="00A9701F">
        <w:rPr>
          <w:lang w:val="en-GB"/>
        </w:rPr>
        <w:t xml:space="preserve"> </w:t>
      </w:r>
      <w:r w:rsidRPr="008C4E3D">
        <w:rPr>
          <w:lang w:val="en-GB"/>
        </w:rPr>
        <w:t xml:space="preserve">African and Arab citizens. Often </w:t>
      </w:r>
      <w:r w:rsidR="00320639">
        <w:rPr>
          <w:lang w:val="en-GB"/>
        </w:rPr>
        <w:t xml:space="preserve">travel </w:t>
      </w:r>
      <w:r w:rsidRPr="008C4E3D">
        <w:rPr>
          <w:lang w:val="en-GB"/>
        </w:rPr>
        <w:t>visa regimes are a negotiation chip in broader geopolitical games. For instance, the prospective lifting of EU visas for Turkish citizens was an important element of the March 2016 deal</w:t>
      </w:r>
      <w:r w:rsidR="00796D18">
        <w:rPr>
          <w:lang w:val="en-GB"/>
        </w:rPr>
        <w:t xml:space="preserve"> struck</w:t>
      </w:r>
      <w:r w:rsidRPr="008C4E3D">
        <w:rPr>
          <w:lang w:val="en-GB"/>
        </w:rPr>
        <w:t xml:space="preserve"> between the </w:t>
      </w:r>
      <w:r w:rsidR="00796D18">
        <w:rPr>
          <w:lang w:val="en-GB"/>
        </w:rPr>
        <w:t>EU</w:t>
      </w:r>
      <w:r w:rsidRPr="008C4E3D">
        <w:rPr>
          <w:lang w:val="en-GB"/>
        </w:rPr>
        <w:t xml:space="preserve"> and Turkey in the context of the ‘refugee crisis’</w:t>
      </w:r>
      <w:r w:rsidR="00796D18">
        <w:rPr>
          <w:lang w:val="en-GB"/>
        </w:rPr>
        <w:t>, as discussed further below</w:t>
      </w:r>
      <w:r>
        <w:rPr>
          <w:lang w:val="en-GB"/>
        </w:rPr>
        <w:t>.</w:t>
      </w:r>
    </w:p>
    <w:p w14:paraId="5716EE7D" w14:textId="0AD16BBD" w:rsidR="0085295C" w:rsidRPr="008C4E3D" w:rsidRDefault="0085295C" w:rsidP="00C51AC7">
      <w:pPr>
        <w:ind w:firstLine="720"/>
        <w:rPr>
          <w:lang w:val="en-GB"/>
        </w:rPr>
      </w:pPr>
      <w:r w:rsidRPr="008C4E3D">
        <w:rPr>
          <w:lang w:val="en-GB"/>
        </w:rPr>
        <w:t>This challenges the idea that we live in times of an increasing ‘global mobility divide’</w:t>
      </w:r>
      <w:r w:rsidRPr="008C4E3D">
        <w:rPr>
          <w:rFonts w:cs="Calibri"/>
          <w:lang w:val="en-GB"/>
        </w:rPr>
        <w:t xml:space="preserve"> </w:t>
      </w:r>
      <w:r w:rsidRPr="008C4E3D">
        <w:rPr>
          <w:rFonts w:cs="Calibri"/>
          <w:lang w:val="en-GB"/>
        </w:rPr>
        <w:fldChar w:fldCharType="begin"/>
      </w:r>
      <w:r w:rsidRPr="008C4E3D">
        <w:rPr>
          <w:rFonts w:cs="Calibri"/>
          <w:lang w:val="en-GB"/>
        </w:rPr>
        <w:instrText xml:space="preserve"> ADDIN EN.CITE &lt;EndNote&gt;&lt;Cite&gt;&lt;Author&gt;Mau&lt;/Author&gt;&lt;Year&gt;2015&lt;/Year&gt;&lt;RecNum&gt;4085&lt;/RecNum&gt;&lt;Prefix&gt;cf. &lt;/Prefix&gt;&lt;DisplayText&gt;(cf. Mau et al. 2015)&lt;/DisplayText&gt;&lt;record&gt;&lt;rec-number&gt;4085&lt;/rec-number&gt;&lt;foreign-keys&gt;&lt;key app="EN" db-id="fre0edeer05adgereeq52z5xpz9xad5s22x5" timestamp="1461917946"&gt;4085&lt;/key&gt;&lt;/foreign-keys&gt;&lt;ref-type name="Journal Article"&gt;17&lt;/ref-type&gt;&lt;contributors&gt;&lt;authors&gt;&lt;author&gt;Mau, Steffen&lt;/author&gt;&lt;author&gt;Gülzau, Fabian&lt;/author&gt;&lt;author&gt;Laube, Lena&lt;/author&gt;&lt;author&gt;Zaun, Natascha&lt;/author&gt;&lt;/authors&gt;&lt;/contributors&gt;&lt;titles&gt;&lt;title&gt;The global mobility divide: how visa policies have evolved over time&lt;/title&gt;&lt;secondary-title&gt;Journal of Ethnic and Migration Studies&lt;/secondary-title&gt;&lt;/titles&gt;&lt;periodical&gt;&lt;full-title&gt;Journal of Ethnic and Migration Studies&lt;/full-title&gt;&lt;/periodical&gt;&lt;pages&gt;1192-1213&lt;/pages&gt;&lt;volume&gt;41&lt;/volume&gt;&lt;number&gt;8&lt;/number&gt;&lt;dates&gt;&lt;year&gt;2015&lt;/year&gt;&lt;/dates&gt;&lt;isbn&gt;1369-183X&lt;/isbn&gt;&lt;urls&gt;&lt;/urls&gt;&lt;/record&gt;&lt;/Cite&gt;&lt;/EndNote&gt;</w:instrText>
      </w:r>
      <w:r w:rsidRPr="008C4E3D">
        <w:rPr>
          <w:rFonts w:cs="Calibri"/>
          <w:lang w:val="en-GB"/>
        </w:rPr>
        <w:fldChar w:fldCharType="separate"/>
      </w:r>
      <w:r w:rsidRPr="008C4E3D">
        <w:rPr>
          <w:rFonts w:cs="Calibri"/>
          <w:noProof/>
          <w:lang w:val="en-GB"/>
        </w:rPr>
        <w:t>(cf. Mau et al.</w:t>
      </w:r>
      <w:r w:rsidR="00796D18">
        <w:rPr>
          <w:rFonts w:cs="Calibri"/>
          <w:noProof/>
          <w:lang w:val="en-GB"/>
        </w:rPr>
        <w:t>,</w:t>
      </w:r>
      <w:r w:rsidRPr="008C4E3D">
        <w:rPr>
          <w:rFonts w:cs="Calibri"/>
          <w:noProof/>
          <w:lang w:val="en-GB"/>
        </w:rPr>
        <w:t xml:space="preserve"> 2015)</w:t>
      </w:r>
      <w:r w:rsidRPr="008C4E3D">
        <w:rPr>
          <w:rFonts w:cs="Calibri"/>
          <w:lang w:val="en-GB"/>
        </w:rPr>
        <w:fldChar w:fldCharType="end"/>
      </w:r>
      <w:r w:rsidRPr="008C4E3D">
        <w:rPr>
          <w:rFonts w:cs="Calibri"/>
          <w:lang w:val="en-GB"/>
        </w:rPr>
        <w:t xml:space="preserve">. In their analysis of </w:t>
      </w:r>
      <w:r w:rsidR="00320639">
        <w:rPr>
          <w:rFonts w:cs="Calibri"/>
          <w:lang w:val="en-GB"/>
        </w:rPr>
        <w:t xml:space="preserve">travel </w:t>
      </w:r>
      <w:r w:rsidRPr="008C4E3D">
        <w:rPr>
          <w:rFonts w:cs="Calibri"/>
          <w:lang w:val="en-GB"/>
        </w:rPr>
        <w:t xml:space="preserve">visa waiver policies of </w:t>
      </w:r>
      <w:r w:rsidRPr="008C4E3D">
        <w:rPr>
          <w:lang w:val="en-GB"/>
        </w:rPr>
        <w:t xml:space="preserve">over 150 countries for 1969 and 2010, </w:t>
      </w:r>
      <w:r w:rsidRPr="008C4E3D">
        <w:rPr>
          <w:rFonts w:cs="Calibri"/>
          <w:lang w:val="en-GB"/>
        </w:rPr>
        <w:fldChar w:fldCharType="begin"/>
      </w:r>
      <w:r w:rsidRPr="008C4E3D">
        <w:rPr>
          <w:rFonts w:cs="Calibri"/>
          <w:lang w:val="en-GB"/>
        </w:rPr>
        <w:instrText xml:space="preserve"> ADDIN EN.CITE &lt;EndNote&gt;&lt;Cite AuthorYear="1"&gt;&lt;Author&gt;Mau&lt;/Author&gt;&lt;Year&gt;2015&lt;/Year&gt;&lt;RecNum&gt;4085&lt;/RecNum&gt;&lt;DisplayText&gt;Mau et al. (2015)&lt;/DisplayText&gt;&lt;record&gt;&lt;rec-number&gt;4085&lt;/rec-number&gt;&lt;foreign-keys&gt;&lt;key app="EN" db-id="fre0edeer05adgereeq52z5xpz9xad5s22x5" timestamp="1461917946"&gt;4085&lt;/key&gt;&lt;/foreign-keys&gt;&lt;ref-type name="Journal Article"&gt;17&lt;/ref-type&gt;&lt;contributors&gt;&lt;authors&gt;&lt;author&gt;Mau, Steffen&lt;/author&gt;&lt;author&gt;Gülzau, Fabian&lt;/author&gt;&lt;author&gt;Laube, Lena&lt;/author&gt;&lt;author&gt;Zaun, Natascha&lt;/author&gt;&lt;/authors&gt;&lt;/contributors&gt;&lt;titles&gt;&lt;title&gt;The global mobility divide: how visa policies have evolved over time&lt;/title&gt;&lt;secondary-title&gt;Journal of Ethnic and Migration Studies&lt;/secondary-title&gt;&lt;/titles&gt;&lt;periodical&gt;&lt;full-title&gt;Journal of Ethnic and Migration Studies&lt;/full-title&gt;&lt;/periodical&gt;&lt;pages&gt;1192-1213&lt;/pages&gt;&lt;volume&gt;41&lt;/volume&gt;&lt;number&gt;8&lt;/number&gt;&lt;dates&gt;&lt;year&gt;2015&lt;/year&gt;&lt;/dates&gt;&lt;isbn&gt;1369-183X&lt;/isbn&gt;&lt;urls&gt;&lt;/urls&gt;&lt;/record&gt;&lt;/Cite&gt;&lt;/EndNote&gt;</w:instrText>
      </w:r>
      <w:r w:rsidRPr="008C4E3D">
        <w:rPr>
          <w:rFonts w:cs="Calibri"/>
          <w:lang w:val="en-GB"/>
        </w:rPr>
        <w:fldChar w:fldCharType="separate"/>
      </w:r>
      <w:r w:rsidRPr="008C4E3D">
        <w:rPr>
          <w:rFonts w:cs="Calibri"/>
          <w:noProof/>
          <w:lang w:val="en-GB"/>
        </w:rPr>
        <w:t>Mau et al. (2015)</w:t>
      </w:r>
      <w:r w:rsidRPr="008C4E3D">
        <w:rPr>
          <w:rFonts w:cs="Calibri"/>
          <w:lang w:val="en-GB"/>
        </w:rPr>
        <w:fldChar w:fldCharType="end"/>
      </w:r>
      <w:r w:rsidRPr="008C4E3D">
        <w:rPr>
          <w:rFonts w:cs="Calibri"/>
          <w:lang w:val="en-GB"/>
        </w:rPr>
        <w:t xml:space="preserve"> found </w:t>
      </w:r>
      <w:r w:rsidRPr="008C4E3D">
        <w:rPr>
          <w:lang w:val="en-GB"/>
        </w:rPr>
        <w:t xml:space="preserve">that while, at a global level, </w:t>
      </w:r>
      <w:r w:rsidR="00320639">
        <w:rPr>
          <w:lang w:val="en-GB"/>
        </w:rPr>
        <w:t xml:space="preserve">travel </w:t>
      </w:r>
      <w:r w:rsidRPr="008C4E3D">
        <w:rPr>
          <w:lang w:val="en-GB"/>
        </w:rPr>
        <w:t xml:space="preserve">visa-free mobility has increased, the inequality in visa waivers has </w:t>
      </w:r>
      <w:r w:rsidR="00796D18">
        <w:rPr>
          <w:lang w:val="en-GB"/>
        </w:rPr>
        <w:t xml:space="preserve">also </w:t>
      </w:r>
      <w:r w:rsidRPr="008C4E3D">
        <w:rPr>
          <w:lang w:val="en-GB"/>
        </w:rPr>
        <w:t xml:space="preserve">increased. They </w:t>
      </w:r>
      <w:r>
        <w:rPr>
          <w:lang w:val="en-GB"/>
        </w:rPr>
        <w:t>argue that</w:t>
      </w:r>
      <w:r w:rsidRPr="008C4E3D">
        <w:rPr>
          <w:lang w:val="en-GB"/>
        </w:rPr>
        <w:t xml:space="preserve"> while citizens of wealthy (often OECD) countries have gained mobility rights, </w:t>
      </w:r>
      <w:r w:rsidR="00796D18">
        <w:rPr>
          <w:lang w:val="en-GB"/>
        </w:rPr>
        <w:t>those</w:t>
      </w:r>
      <w:r w:rsidR="00796D18" w:rsidRPr="008C4E3D">
        <w:rPr>
          <w:lang w:val="en-GB"/>
        </w:rPr>
        <w:t xml:space="preserve"> </w:t>
      </w:r>
      <w:r w:rsidRPr="008C4E3D">
        <w:rPr>
          <w:lang w:val="en-GB"/>
        </w:rPr>
        <w:t xml:space="preserve">rights for other regions have stagnated or even diminished, in particular for citizens from African countries. </w:t>
      </w:r>
      <w:r>
        <w:rPr>
          <w:lang w:val="en-GB"/>
        </w:rPr>
        <w:t xml:space="preserve">They referred to </w:t>
      </w:r>
      <w:r w:rsidRPr="008C4E3D">
        <w:rPr>
          <w:lang w:val="en-GB"/>
        </w:rPr>
        <w:t xml:space="preserve">this </w:t>
      </w:r>
      <w:r>
        <w:rPr>
          <w:lang w:val="en-GB"/>
        </w:rPr>
        <w:t xml:space="preserve">global </w:t>
      </w:r>
      <w:r w:rsidRPr="008C4E3D">
        <w:rPr>
          <w:lang w:val="en-GB"/>
        </w:rPr>
        <w:t xml:space="preserve">bifurcation in mobility rights as the global mobility divide. While their analysis shows the considerable potential of </w:t>
      </w:r>
      <w:r w:rsidR="00320639">
        <w:rPr>
          <w:lang w:val="en-GB"/>
        </w:rPr>
        <w:t xml:space="preserve">travel </w:t>
      </w:r>
      <w:r w:rsidRPr="008C4E3D">
        <w:rPr>
          <w:lang w:val="en-GB"/>
        </w:rPr>
        <w:t>visa data as a</w:t>
      </w:r>
      <w:r w:rsidR="00796D18">
        <w:rPr>
          <w:lang w:val="en-GB"/>
        </w:rPr>
        <w:t xml:space="preserve"> means by which </w:t>
      </w:r>
      <w:r w:rsidRPr="008C4E3D">
        <w:rPr>
          <w:lang w:val="en-GB"/>
        </w:rPr>
        <w:t>to study people’s mobility rights and as a proxy of migration policies, there are also</w:t>
      </w:r>
      <w:r>
        <w:rPr>
          <w:lang w:val="en-GB"/>
        </w:rPr>
        <w:t xml:space="preserve"> a number of limitations to their</w:t>
      </w:r>
      <w:r w:rsidRPr="008C4E3D">
        <w:rPr>
          <w:lang w:val="en-GB"/>
        </w:rPr>
        <w:t xml:space="preserve"> approach. </w:t>
      </w:r>
    </w:p>
    <w:p w14:paraId="25C80435" w14:textId="01B34596" w:rsidR="0085295C" w:rsidRDefault="0085295C" w:rsidP="00C51AC7">
      <w:pPr>
        <w:ind w:firstLine="720"/>
        <w:rPr>
          <w:lang w:val="en-GB"/>
        </w:rPr>
      </w:pPr>
      <w:r w:rsidRPr="008C4E3D">
        <w:rPr>
          <w:lang w:val="en-GB"/>
        </w:rPr>
        <w:t xml:space="preserve">First, while the notion of a global mobility divide seems a useful concept to describe the </w:t>
      </w:r>
      <w:r w:rsidRPr="008C4E3D">
        <w:rPr>
          <w:i/>
          <w:lang w:val="en-GB"/>
        </w:rPr>
        <w:t>global</w:t>
      </w:r>
      <w:r w:rsidRPr="008C4E3D">
        <w:rPr>
          <w:lang w:val="en-GB"/>
        </w:rPr>
        <w:t xml:space="preserve"> pattern, this may conceal underlying complexities and patterns of ‘multi-polarity’, for instance through the emergence of regional free-mobility blocs such as ECOWAS (in West Africa) or the EU (in Europe). Second, a one-sided focus on ‘North</w:t>
      </w:r>
      <w:r w:rsidR="00796D18">
        <w:rPr>
          <w:lang w:val="en-GB"/>
        </w:rPr>
        <w:t>–</w:t>
      </w:r>
      <w:r w:rsidRPr="008C4E3D">
        <w:rPr>
          <w:lang w:val="en-GB"/>
        </w:rPr>
        <w:t xml:space="preserve">South’ </w:t>
      </w:r>
      <w:r w:rsidR="00320639">
        <w:rPr>
          <w:lang w:val="en-GB"/>
        </w:rPr>
        <w:t xml:space="preserve">travel </w:t>
      </w:r>
      <w:r w:rsidRPr="008C4E3D">
        <w:rPr>
          <w:lang w:val="en-GB"/>
        </w:rPr>
        <w:t>visa requirements is also likely to obscure considerable differences across countries within these two imaginary ‘blocs’ of ‘South’ and ‘North’</w:t>
      </w:r>
      <w:r w:rsidR="00796D18">
        <w:rPr>
          <w:lang w:val="en-GB"/>
        </w:rPr>
        <w:t>,</w:t>
      </w:r>
      <w:r w:rsidRPr="008C4E3D">
        <w:rPr>
          <w:lang w:val="en-GB"/>
        </w:rPr>
        <w:t xml:space="preserve"> both in terms of the ability of their own citizens to travel freely to other countries (</w:t>
      </w:r>
      <w:r w:rsidRPr="008C4E3D">
        <w:rPr>
          <w:i/>
          <w:lang w:val="en-GB"/>
        </w:rPr>
        <w:t xml:space="preserve">outbound </w:t>
      </w:r>
      <w:r w:rsidRPr="008C4E3D">
        <w:rPr>
          <w:i/>
          <w:lang w:val="en-GB"/>
        </w:rPr>
        <w:lastRenderedPageBreak/>
        <w:t>restrictiveness</w:t>
      </w:r>
      <w:r w:rsidRPr="008C4E3D">
        <w:rPr>
          <w:lang w:val="en-GB"/>
        </w:rPr>
        <w:t>) as well as the ability of foreign citizens to enter their territory (</w:t>
      </w:r>
      <w:r w:rsidRPr="008C4E3D">
        <w:rPr>
          <w:i/>
          <w:lang w:val="en-GB"/>
        </w:rPr>
        <w:t>inbound restrictiveness</w:t>
      </w:r>
      <w:r w:rsidRPr="008C4E3D">
        <w:rPr>
          <w:lang w:val="en-GB"/>
        </w:rPr>
        <w:t>). Third, if we wish to gain a comprehensive picture of mobility rights, we should not only look at entry requirements, but also at exit requirements in the form of</w:t>
      </w:r>
      <w:r>
        <w:rPr>
          <w:lang w:val="en-GB"/>
        </w:rPr>
        <w:t xml:space="preserve"> the</w:t>
      </w:r>
      <w:r w:rsidRPr="008C4E3D">
        <w:rPr>
          <w:lang w:val="en-GB"/>
        </w:rPr>
        <w:t xml:space="preserve"> limitations several governments have historically imposed on the international mobility of their own citizens. Fourth, to understand the nature and evolution of international visa regimes, we need to study how visa requirements are embedded into broader international relations and power asymmetries by assessing the bilateral </w:t>
      </w:r>
      <w:r>
        <w:rPr>
          <w:lang w:val="en-GB"/>
        </w:rPr>
        <w:t>(</w:t>
      </w:r>
      <w:r w:rsidRPr="008C4E3D">
        <w:rPr>
          <w:lang w:val="en-GB"/>
        </w:rPr>
        <w:t>and inter-regional</w:t>
      </w:r>
      <w:r>
        <w:rPr>
          <w:lang w:val="en-GB"/>
        </w:rPr>
        <w:t xml:space="preserve">) </w:t>
      </w:r>
      <w:r w:rsidRPr="008C4E3D">
        <w:rPr>
          <w:i/>
          <w:lang w:val="en-GB"/>
        </w:rPr>
        <w:t>reciprocity</w:t>
      </w:r>
      <w:r w:rsidRPr="008C4E3D">
        <w:rPr>
          <w:lang w:val="en-GB"/>
        </w:rPr>
        <w:t xml:space="preserve"> of visa regimes. Fifth, in order to identify intertemporal shifts in visa regimes and foreign policy priorities we require longitudinal bilateral panel on </w:t>
      </w:r>
      <w:r w:rsidR="00320639">
        <w:rPr>
          <w:lang w:val="en-GB"/>
        </w:rPr>
        <w:t xml:space="preserve">travel </w:t>
      </w:r>
      <w:r w:rsidRPr="008C4E3D">
        <w:rPr>
          <w:lang w:val="en-GB"/>
        </w:rPr>
        <w:t>visa restrictions over long periods</w:t>
      </w:r>
      <w:r>
        <w:rPr>
          <w:lang w:val="en-GB"/>
        </w:rPr>
        <w:t xml:space="preserve">, which </w:t>
      </w:r>
      <w:r w:rsidR="00D14647">
        <w:rPr>
          <w:lang w:val="en-GB"/>
        </w:rPr>
        <w:t xml:space="preserve">have </w:t>
      </w:r>
      <w:r>
        <w:rPr>
          <w:lang w:val="en-GB"/>
        </w:rPr>
        <w:t xml:space="preserve">not </w:t>
      </w:r>
      <w:r w:rsidR="00D14647">
        <w:rPr>
          <w:lang w:val="en-GB"/>
        </w:rPr>
        <w:t xml:space="preserve">been </w:t>
      </w:r>
      <w:r>
        <w:rPr>
          <w:lang w:val="en-GB"/>
        </w:rPr>
        <w:t>available so far</w:t>
      </w:r>
      <w:r w:rsidRPr="008C4E3D">
        <w:rPr>
          <w:lang w:val="en-GB"/>
        </w:rPr>
        <w:t xml:space="preserve">. </w:t>
      </w:r>
    </w:p>
    <w:p w14:paraId="2CC064BA" w14:textId="70F11D88" w:rsidR="003D60FB" w:rsidRDefault="0085295C" w:rsidP="00C51AC7">
      <w:pPr>
        <w:ind w:firstLine="720"/>
        <w:rPr>
          <w:lang w:val="en-GB"/>
        </w:rPr>
      </w:pPr>
      <w:r w:rsidRPr="008C4E3D">
        <w:rPr>
          <w:lang w:val="en-GB"/>
        </w:rPr>
        <w:t xml:space="preserve">In order to build upon the work by </w:t>
      </w:r>
      <w:r w:rsidRPr="008C4E3D">
        <w:rPr>
          <w:rFonts w:cs="Calibri"/>
          <w:lang w:val="en-GB"/>
        </w:rPr>
        <w:fldChar w:fldCharType="begin"/>
      </w:r>
      <w:r w:rsidRPr="008C4E3D">
        <w:rPr>
          <w:rFonts w:cs="Calibri"/>
          <w:lang w:val="en-GB"/>
        </w:rPr>
        <w:instrText xml:space="preserve"> ADDIN EN.CITE &lt;EndNote&gt;&lt;Cite AuthorYear="1"&gt;&lt;Author&gt;Mau&lt;/Author&gt;&lt;Year&gt;2015&lt;/Year&gt;&lt;RecNum&gt;4085&lt;/RecNum&gt;&lt;DisplayText&gt;Mau et al. (2015)&lt;/DisplayText&gt;&lt;record&gt;&lt;rec-number&gt;4085&lt;/rec-number&gt;&lt;foreign-keys&gt;&lt;key app="EN" db-id="fre0edeer05adgereeq52z5xpz9xad5s22x5" timestamp="1461917946"&gt;4085&lt;/key&gt;&lt;/foreign-keys&gt;&lt;ref-type name="Journal Article"&gt;17&lt;/ref-type&gt;&lt;contributors&gt;&lt;authors&gt;&lt;author&gt;Mau, Steffen&lt;/author&gt;&lt;author&gt;Gülzau, Fabian&lt;/author&gt;&lt;author&gt;Laube, Lena&lt;/author&gt;&lt;author&gt;Zaun, Natascha&lt;/author&gt;&lt;/authors&gt;&lt;/contributors&gt;&lt;titles&gt;&lt;title&gt;The global mobility divide: how visa policies have evolved over time&lt;/title&gt;&lt;secondary-title&gt;Journal of Ethnic and Migration Studies&lt;/secondary-title&gt;&lt;/titles&gt;&lt;periodical&gt;&lt;full-title&gt;Journal of Ethnic and Migration Studies&lt;/full-title&gt;&lt;/periodical&gt;&lt;pages&gt;1192-1213&lt;/pages&gt;&lt;volume&gt;41&lt;/volume&gt;&lt;number&gt;8&lt;/number&gt;&lt;dates&gt;&lt;year&gt;2015&lt;/year&gt;&lt;/dates&gt;&lt;isbn&gt;1369-183X&lt;/isbn&gt;&lt;urls&gt;&lt;/urls&gt;&lt;/record&gt;&lt;/Cite&gt;&lt;/EndNote&gt;</w:instrText>
      </w:r>
      <w:r w:rsidRPr="008C4E3D">
        <w:rPr>
          <w:rFonts w:cs="Calibri"/>
          <w:lang w:val="en-GB"/>
        </w:rPr>
        <w:fldChar w:fldCharType="separate"/>
      </w:r>
      <w:r w:rsidRPr="008C4E3D">
        <w:rPr>
          <w:rFonts w:cs="Calibri"/>
          <w:noProof/>
          <w:lang w:val="en-GB"/>
        </w:rPr>
        <w:t>Mau et al. (2015)</w:t>
      </w:r>
      <w:r w:rsidRPr="008C4E3D">
        <w:rPr>
          <w:rFonts w:cs="Calibri"/>
          <w:lang w:val="en-GB"/>
        </w:rPr>
        <w:fldChar w:fldCharType="end"/>
      </w:r>
      <w:r w:rsidRPr="008C4E3D">
        <w:rPr>
          <w:rFonts w:cs="Calibri"/>
          <w:lang w:val="en-GB"/>
        </w:rPr>
        <w:t xml:space="preserve">, and </w:t>
      </w:r>
      <w:r w:rsidRPr="008C4E3D">
        <w:rPr>
          <w:lang w:val="en-GB"/>
        </w:rPr>
        <w:t xml:space="preserve">further advance insights into the evolution and nature of global migration regimes, this paper aims to fill those gaps by exploring the </w:t>
      </w:r>
      <w:r w:rsidRPr="00A519AB">
        <w:rPr>
          <w:lang w:val="en-GB"/>
        </w:rPr>
        <w:t>purposes</w:t>
      </w:r>
      <w:r w:rsidRPr="008C4E3D">
        <w:rPr>
          <w:lang w:val="en-GB"/>
        </w:rPr>
        <w:t>, patterns and trends of bilateral</w:t>
      </w:r>
      <w:r w:rsidR="00754831">
        <w:rPr>
          <w:lang w:val="en-GB"/>
        </w:rPr>
        <w:t xml:space="preserve"> travel</w:t>
      </w:r>
      <w:r w:rsidRPr="008C4E3D">
        <w:rPr>
          <w:lang w:val="en-GB"/>
        </w:rPr>
        <w:t xml:space="preserve"> visa policies from 1973 to 2014, with a particular focus on the evolution of patterns of visa restrictiveness</w:t>
      </w:r>
      <w:r w:rsidR="00754831">
        <w:rPr>
          <w:lang w:val="en-GB"/>
        </w:rPr>
        <w:t>,</w:t>
      </w:r>
      <w:r w:rsidRPr="008C4E3D">
        <w:rPr>
          <w:lang w:val="en-GB"/>
        </w:rPr>
        <w:t xml:space="preserve"> and bilateral and intra-regional reciprocity. The analyses </w:t>
      </w:r>
      <w:r w:rsidR="000D4810">
        <w:rPr>
          <w:lang w:val="en-GB"/>
        </w:rPr>
        <w:t>draw</w:t>
      </w:r>
      <w:r w:rsidRPr="008C4E3D">
        <w:rPr>
          <w:lang w:val="en-GB"/>
        </w:rPr>
        <w:t xml:space="preserve"> on </w:t>
      </w:r>
      <w:r w:rsidR="009E3255">
        <w:rPr>
          <w:lang w:val="en-GB"/>
        </w:rPr>
        <w:t>the</w:t>
      </w:r>
      <w:r w:rsidR="00537463">
        <w:rPr>
          <w:lang w:val="en-GB"/>
        </w:rPr>
        <w:t xml:space="preserve"> innovative</w:t>
      </w:r>
      <w:r w:rsidR="009E3255">
        <w:rPr>
          <w:lang w:val="en-GB"/>
        </w:rPr>
        <w:t xml:space="preserve"> </w:t>
      </w:r>
      <w:r>
        <w:rPr>
          <w:lang w:val="en-GB"/>
        </w:rPr>
        <w:t xml:space="preserve">global </w:t>
      </w:r>
      <w:r w:rsidRPr="008C4E3D">
        <w:rPr>
          <w:lang w:val="en-GB"/>
        </w:rPr>
        <w:t>DEMIG VISA database, a new</w:t>
      </w:r>
      <w:r>
        <w:rPr>
          <w:lang w:val="en-GB"/>
        </w:rPr>
        <w:t xml:space="preserve"> </w:t>
      </w:r>
      <w:r w:rsidRPr="008C4E3D">
        <w:rPr>
          <w:lang w:val="en-GB"/>
        </w:rPr>
        <w:t xml:space="preserve">panel database </w:t>
      </w:r>
      <w:r>
        <w:rPr>
          <w:lang w:val="en-GB"/>
        </w:rPr>
        <w:t xml:space="preserve">that </w:t>
      </w:r>
      <w:r w:rsidRPr="008C4E3D">
        <w:rPr>
          <w:lang w:val="en-GB"/>
        </w:rPr>
        <w:t>track</w:t>
      </w:r>
      <w:r>
        <w:rPr>
          <w:lang w:val="en-GB"/>
        </w:rPr>
        <w:t>s</w:t>
      </w:r>
      <w:r w:rsidRPr="008C4E3D">
        <w:rPr>
          <w:lang w:val="en-GB"/>
        </w:rPr>
        <w:t xml:space="preserve"> annual bilateral travel visa requirements for 214*237 countries and territories over the 1973</w:t>
      </w:r>
      <w:r w:rsidR="009E3255">
        <w:rPr>
          <w:lang w:val="en-GB"/>
        </w:rPr>
        <w:t>–</w:t>
      </w:r>
      <w:r w:rsidRPr="008C4E3D">
        <w:rPr>
          <w:lang w:val="en-GB"/>
        </w:rPr>
        <w:t>2013 period. DEMIG VISA captures both entry visa and exit permit requirements according to the data reported in the Travel Information Manuals published monthly by the International Air Transport Association (IATA)</w:t>
      </w:r>
      <w:r w:rsidR="00C402E3">
        <w:rPr>
          <w:rStyle w:val="FootnoteReference"/>
          <w:lang w:val="en-GB"/>
        </w:rPr>
        <w:footnoteReference w:id="1"/>
      </w:r>
      <w:r w:rsidRPr="008C4E3D">
        <w:rPr>
          <w:lang w:val="en-GB"/>
        </w:rPr>
        <w:t xml:space="preserve">. </w:t>
      </w:r>
    </w:p>
    <w:p w14:paraId="6E954556" w14:textId="33DED119" w:rsidR="00C402E3" w:rsidRPr="009A6241" w:rsidRDefault="00C402E3" w:rsidP="00C51AC7">
      <w:pPr>
        <w:ind w:firstLine="720"/>
        <w:rPr>
          <w:color w:val="FF0000"/>
          <w:lang w:val="en-GB"/>
        </w:rPr>
      </w:pPr>
      <w:r>
        <w:rPr>
          <w:color w:val="auto"/>
          <w:lang w:val="en-GB"/>
        </w:rPr>
        <w:t xml:space="preserve">The </w:t>
      </w:r>
      <w:r w:rsidR="00BB5C96" w:rsidRPr="009A6241">
        <w:rPr>
          <w:color w:val="auto"/>
          <w:lang w:val="en-GB"/>
        </w:rPr>
        <w:t xml:space="preserve">DEMIG VISA </w:t>
      </w:r>
      <w:r>
        <w:rPr>
          <w:color w:val="auto"/>
          <w:lang w:val="en-GB"/>
        </w:rPr>
        <w:t>d</w:t>
      </w:r>
      <w:r w:rsidR="00BB5C96" w:rsidRPr="009A6241">
        <w:rPr>
          <w:color w:val="auto"/>
          <w:lang w:val="en-GB"/>
        </w:rPr>
        <w:t xml:space="preserve">atabase </w:t>
      </w:r>
      <w:r w:rsidR="004201E0" w:rsidRPr="009A6241">
        <w:rPr>
          <w:color w:val="auto"/>
          <w:lang w:val="en-GB"/>
        </w:rPr>
        <w:t xml:space="preserve">provides a unique </w:t>
      </w:r>
      <w:r>
        <w:rPr>
          <w:color w:val="auto"/>
          <w:lang w:val="en-GB"/>
        </w:rPr>
        <w:t xml:space="preserve">way </w:t>
      </w:r>
      <w:r w:rsidR="004201E0" w:rsidRPr="009A6241">
        <w:rPr>
          <w:color w:val="auto"/>
          <w:lang w:val="en-GB"/>
        </w:rPr>
        <w:t>to measure the evolution of migration policy.</w:t>
      </w:r>
      <w:r w:rsidR="0099299E" w:rsidRPr="009A6241">
        <w:rPr>
          <w:color w:val="auto"/>
          <w:lang w:val="en-GB"/>
        </w:rPr>
        <w:t xml:space="preserve"> </w:t>
      </w:r>
      <w:r>
        <w:rPr>
          <w:color w:val="auto"/>
          <w:lang w:val="en-GB"/>
        </w:rPr>
        <w:t xml:space="preserve">While  travel visa are a suitable proxy to measure the evolution of migration policies </w:t>
      </w:r>
      <w:r w:rsidR="00DB462C">
        <w:rPr>
          <w:color w:val="auto"/>
          <w:lang w:val="en-GB"/>
        </w:rPr>
        <w:t>(</w:t>
      </w:r>
      <w:r w:rsidR="002822EE">
        <w:rPr>
          <w:lang w:val="en-GB"/>
        </w:rPr>
        <w:t>Salter, 2006;</w:t>
      </w:r>
      <w:r w:rsidR="005303FF" w:rsidRPr="005303FF">
        <w:rPr>
          <w:lang w:val="en-GB"/>
        </w:rPr>
        <w:t xml:space="preserve"> </w:t>
      </w:r>
      <w:r w:rsidR="005303FF" w:rsidRPr="008C4E3D">
        <w:rPr>
          <w:lang w:val="en-GB"/>
        </w:rPr>
        <w:t>Neumayer</w:t>
      </w:r>
      <w:r w:rsidR="005303FF">
        <w:rPr>
          <w:lang w:val="en-GB"/>
        </w:rPr>
        <w:t>,</w:t>
      </w:r>
      <w:r w:rsidR="005303FF" w:rsidRPr="008C4E3D">
        <w:rPr>
          <w:lang w:val="en-GB"/>
        </w:rPr>
        <w:t xml:space="preserve"> 2006</w:t>
      </w:r>
      <w:r w:rsidR="005303FF">
        <w:rPr>
          <w:lang w:val="en-GB"/>
        </w:rPr>
        <w:t xml:space="preserve">; </w:t>
      </w:r>
      <w:r w:rsidR="002822EE">
        <w:rPr>
          <w:lang w:val="en-GB"/>
        </w:rPr>
        <w:t>Finotelli and Sciortino, 2013; Czaika and Trauner, forthcoming</w:t>
      </w:r>
      <w:r w:rsidR="00DB462C">
        <w:rPr>
          <w:color w:val="auto"/>
          <w:lang w:val="en-GB"/>
        </w:rPr>
        <w:t>)</w:t>
      </w:r>
      <w:r>
        <w:rPr>
          <w:color w:val="auto"/>
          <w:lang w:val="en-GB"/>
        </w:rPr>
        <w:t xml:space="preserve">, travel visa data can also be a useful vantage point to study </w:t>
      </w:r>
      <w:r w:rsidR="00442E2B">
        <w:rPr>
          <w:color w:val="auto"/>
          <w:lang w:val="en-GB"/>
        </w:rPr>
        <w:t>patterns of</w:t>
      </w:r>
      <w:r w:rsidR="00D575A6" w:rsidRPr="009A6241">
        <w:rPr>
          <w:color w:val="auto"/>
          <w:lang w:val="en-GB"/>
        </w:rPr>
        <w:t xml:space="preserve"> regional integration </w:t>
      </w:r>
      <w:r w:rsidR="002A7E6F">
        <w:rPr>
          <w:color w:val="auto"/>
          <w:lang w:val="en-GB"/>
        </w:rPr>
        <w:t>(</w:t>
      </w:r>
      <w:r w:rsidR="00555DC9">
        <w:t xml:space="preserve">Gülzau </w:t>
      </w:r>
      <w:r w:rsidR="002A7E6F">
        <w:rPr>
          <w:color w:val="auto"/>
          <w:lang w:val="en-GB"/>
        </w:rPr>
        <w:t>et al., 2016</w:t>
      </w:r>
      <w:r w:rsidR="00A63AE4">
        <w:rPr>
          <w:color w:val="auto"/>
          <w:lang w:val="en-GB"/>
        </w:rPr>
        <w:t xml:space="preserve">) </w:t>
      </w:r>
      <w:r w:rsidR="00D575A6" w:rsidRPr="009A6241">
        <w:rPr>
          <w:color w:val="auto"/>
          <w:lang w:val="en-GB"/>
        </w:rPr>
        <w:t>and international</w:t>
      </w:r>
      <w:r w:rsidR="00B13085">
        <w:rPr>
          <w:color w:val="auto"/>
          <w:lang w:val="en-GB"/>
        </w:rPr>
        <w:t xml:space="preserve"> power</w:t>
      </w:r>
      <w:r w:rsidR="00D575A6" w:rsidRPr="009A6241">
        <w:rPr>
          <w:color w:val="auto"/>
          <w:lang w:val="en-GB"/>
        </w:rPr>
        <w:t xml:space="preserve"> relations more broadly</w:t>
      </w:r>
      <w:r w:rsidR="00B13085">
        <w:rPr>
          <w:color w:val="auto"/>
          <w:lang w:val="en-GB"/>
        </w:rPr>
        <w:t xml:space="preserve">. </w:t>
      </w:r>
    </w:p>
    <w:p w14:paraId="5718C067" w14:textId="3BF77F99" w:rsidR="0085295C" w:rsidRPr="008C4E3D" w:rsidRDefault="0085295C" w:rsidP="00C51AC7">
      <w:pPr>
        <w:ind w:firstLine="720"/>
        <w:rPr>
          <w:rFonts w:ascii="Garamond" w:hAnsi="Garamond"/>
          <w:b/>
          <w:lang w:val="en-GB"/>
        </w:rPr>
      </w:pPr>
      <w:r w:rsidRPr="007B3F6D">
        <w:rPr>
          <w:lang w:val="en-GB"/>
        </w:rPr>
        <w:t>By constructing indices of cross-regional inbound and outbound entry as well as exit restrictiveness</w:t>
      </w:r>
      <w:r w:rsidR="00053FED">
        <w:rPr>
          <w:lang w:val="en-GB"/>
        </w:rPr>
        <w:t xml:space="preserve"> </w:t>
      </w:r>
      <w:r w:rsidRPr="008C4E3D">
        <w:rPr>
          <w:lang w:val="en-GB"/>
        </w:rPr>
        <w:t>we investigate</w:t>
      </w:r>
      <w:r w:rsidR="00053FED">
        <w:rPr>
          <w:lang w:val="en-GB"/>
        </w:rPr>
        <w:t>:</w:t>
      </w:r>
      <w:r w:rsidRPr="008C4E3D">
        <w:rPr>
          <w:lang w:val="en-GB"/>
        </w:rPr>
        <w:t xml:space="preserve"> (i) the extent to which different world regions and regional unions have opened up or closed vis-à-vis other regions; (ii) the ways in which the formation of regional unions or the disintegration of </w:t>
      </w:r>
      <w:r w:rsidR="009E3501">
        <w:rPr>
          <w:lang w:val="en-GB"/>
        </w:rPr>
        <w:t xml:space="preserve">countries or unions of </w:t>
      </w:r>
      <w:r w:rsidRPr="008C4E3D">
        <w:rPr>
          <w:lang w:val="en-GB"/>
        </w:rPr>
        <w:t xml:space="preserve">countries (e.g. </w:t>
      </w:r>
      <w:r w:rsidR="009E3501">
        <w:rPr>
          <w:lang w:val="en-GB"/>
        </w:rPr>
        <w:t xml:space="preserve">the </w:t>
      </w:r>
      <w:r w:rsidRPr="008C4E3D">
        <w:rPr>
          <w:lang w:val="en-GB"/>
        </w:rPr>
        <w:t>USSR) has affected international visa regimes, and (iii) the degree of bilateral reciprocity or ‘policy asymmetry’ of visa regimes</w:t>
      </w:r>
      <w:r>
        <w:rPr>
          <w:lang w:val="en-GB"/>
        </w:rPr>
        <w:t xml:space="preserve">, which reflects </w:t>
      </w:r>
      <w:r w:rsidRPr="008C4E3D">
        <w:rPr>
          <w:lang w:val="en-GB"/>
        </w:rPr>
        <w:t xml:space="preserve">the extent to which the introduction (or lifting) of a bilateral visa requirement by one country is mirrored by a ‘retaliating’ introduction (or ‘gratifying’ lifting) of visa requirements. This </w:t>
      </w:r>
      <w:r w:rsidR="005D45BE">
        <w:rPr>
          <w:lang w:val="en-GB"/>
        </w:rPr>
        <w:t>allows</w:t>
      </w:r>
      <w:r w:rsidRPr="008C4E3D">
        <w:rPr>
          <w:lang w:val="en-GB"/>
        </w:rPr>
        <w:t xml:space="preserve"> us to </w:t>
      </w:r>
      <w:r w:rsidR="005D45BE">
        <w:rPr>
          <w:lang w:val="en-GB"/>
        </w:rPr>
        <w:t>analyse</w:t>
      </w:r>
      <w:r w:rsidR="005D45BE" w:rsidRPr="008C4E3D">
        <w:rPr>
          <w:lang w:val="en-GB"/>
        </w:rPr>
        <w:t xml:space="preserve"> </w:t>
      </w:r>
      <w:r w:rsidRPr="008C4E3D">
        <w:rPr>
          <w:lang w:val="en-GB"/>
        </w:rPr>
        <w:t xml:space="preserve">the extent to which we can indeed speak of a growing global mobility divide, or whether this typology does not adequately reflect real-world patterns. </w:t>
      </w:r>
    </w:p>
    <w:p w14:paraId="6B9A00CA" w14:textId="20E6EF25" w:rsidR="0085295C" w:rsidRPr="0085295C" w:rsidRDefault="001415F0" w:rsidP="0085295C">
      <w:pPr>
        <w:pStyle w:val="Heading1"/>
      </w:pPr>
      <w:r>
        <w:lastRenderedPageBreak/>
        <w:t>Travel v</w:t>
      </w:r>
      <w:r w:rsidR="0085295C" w:rsidRPr="0085295C">
        <w:t>isas as population and migration control instrument</w:t>
      </w:r>
    </w:p>
    <w:p w14:paraId="0E1D2944" w14:textId="56711AC2" w:rsidR="0085295C" w:rsidRPr="008C4E3D" w:rsidRDefault="001415F0" w:rsidP="0085295C">
      <w:pPr>
        <w:rPr>
          <w:lang w:val="en-GB"/>
        </w:rPr>
      </w:pPr>
      <w:r>
        <w:rPr>
          <w:lang w:val="en-GB"/>
        </w:rPr>
        <w:t>Travel v</w:t>
      </w:r>
      <w:r w:rsidR="0085295C" w:rsidRPr="002C61FB">
        <w:rPr>
          <w:lang w:val="en-GB"/>
        </w:rPr>
        <w:t>isas</w:t>
      </w:r>
      <w:r w:rsidR="000619CA">
        <w:rPr>
          <w:lang w:val="en-GB"/>
        </w:rPr>
        <w:t>,</w:t>
      </w:r>
      <w:r w:rsidR="0085295C" w:rsidRPr="002C61FB">
        <w:rPr>
          <w:lang w:val="en-GB"/>
        </w:rPr>
        <w:t xml:space="preserve"> alongside passports</w:t>
      </w:r>
      <w:r w:rsidR="000619CA">
        <w:rPr>
          <w:lang w:val="en-GB"/>
        </w:rPr>
        <w:t>,</w:t>
      </w:r>
      <w:r w:rsidR="0085295C" w:rsidRPr="008C4E3D">
        <w:rPr>
          <w:lang w:val="en-GB"/>
        </w:rPr>
        <w:t xml:space="preserve"> have been key instruments of population movement control by modern states</w:t>
      </w:r>
      <w:r w:rsidR="0085295C">
        <w:rPr>
          <w:lang w:val="en-GB"/>
        </w:rPr>
        <w:t xml:space="preserve"> (Salter</w:t>
      </w:r>
      <w:r w:rsidR="000619CA">
        <w:rPr>
          <w:lang w:val="en-GB"/>
        </w:rPr>
        <w:t>,</w:t>
      </w:r>
      <w:r w:rsidR="0085295C">
        <w:rPr>
          <w:lang w:val="en-GB"/>
        </w:rPr>
        <w:t xml:space="preserve"> 2006; Finotelli and Sciortino</w:t>
      </w:r>
      <w:r w:rsidR="000619CA">
        <w:rPr>
          <w:lang w:val="en-GB"/>
        </w:rPr>
        <w:t>,</w:t>
      </w:r>
      <w:r w:rsidR="0085295C">
        <w:rPr>
          <w:lang w:val="en-GB"/>
        </w:rPr>
        <w:t xml:space="preserve"> 2013</w:t>
      </w:r>
      <w:r w:rsidR="00BC5A85">
        <w:rPr>
          <w:lang w:val="en-GB"/>
        </w:rPr>
        <w:t>; Czaika and Trauner, forthcoming</w:t>
      </w:r>
      <w:r w:rsidR="0085295C">
        <w:rPr>
          <w:lang w:val="en-GB"/>
        </w:rPr>
        <w:t>)</w:t>
      </w:r>
      <w:r w:rsidR="0085295C" w:rsidRPr="008C4E3D">
        <w:rPr>
          <w:lang w:val="en-GB"/>
        </w:rPr>
        <w:t xml:space="preserve">. Modern state formation coincided with an increasing desire to monitor and control population mobility, both within and across borders. Population control was essential for various purposes </w:t>
      </w:r>
      <w:r w:rsidR="000619CA">
        <w:rPr>
          <w:lang w:val="en-GB"/>
        </w:rPr>
        <w:t>rang</w:t>
      </w:r>
      <w:r w:rsidR="000619CA" w:rsidRPr="008C4E3D">
        <w:rPr>
          <w:lang w:val="en-GB"/>
        </w:rPr>
        <w:t xml:space="preserve">ing </w:t>
      </w:r>
      <w:r w:rsidR="0085295C" w:rsidRPr="008C4E3D">
        <w:rPr>
          <w:lang w:val="en-GB"/>
        </w:rPr>
        <w:t>from tax collection, education, policing and the military draft (</w:t>
      </w:r>
      <w:r w:rsidR="0085295C">
        <w:rPr>
          <w:lang w:val="en-GB"/>
        </w:rPr>
        <w:t>Tilly</w:t>
      </w:r>
      <w:r w:rsidR="000619CA">
        <w:rPr>
          <w:lang w:val="en-GB"/>
        </w:rPr>
        <w:t>,</w:t>
      </w:r>
      <w:r w:rsidR="0085295C">
        <w:rPr>
          <w:lang w:val="en-GB"/>
        </w:rPr>
        <w:t xml:space="preserve"> </w:t>
      </w:r>
      <w:r w:rsidR="0085295C" w:rsidRPr="0023707F">
        <w:rPr>
          <w:lang w:val="en-GB"/>
        </w:rPr>
        <w:t>1992</w:t>
      </w:r>
      <w:r w:rsidR="0085295C">
        <w:rPr>
          <w:lang w:val="en-GB"/>
        </w:rPr>
        <w:t xml:space="preserve">). </w:t>
      </w:r>
      <w:r w:rsidR="0085295C" w:rsidRPr="008C4E3D">
        <w:rPr>
          <w:lang w:val="en-GB"/>
        </w:rPr>
        <w:t>Until the twentieth century</w:t>
      </w:r>
      <w:r w:rsidR="0085295C">
        <w:rPr>
          <w:lang w:val="en-GB"/>
        </w:rPr>
        <w:t>,</w:t>
      </w:r>
      <w:r w:rsidR="0085295C" w:rsidRPr="008C4E3D">
        <w:rPr>
          <w:lang w:val="en-GB"/>
        </w:rPr>
        <w:t xml:space="preserve"> states were generally more preoccupied with preventing exit rather than controlling immigration (</w:t>
      </w:r>
      <w:r w:rsidR="0085295C" w:rsidRPr="008C4E3D">
        <w:t>cf. Torpey</w:t>
      </w:r>
      <w:r w:rsidR="000619CA">
        <w:t>,</w:t>
      </w:r>
      <w:r w:rsidR="0085295C" w:rsidRPr="008C4E3D">
        <w:t xml:space="preserve"> 1998</w:t>
      </w:r>
      <w:r w:rsidR="0085295C" w:rsidRPr="008C4E3D">
        <w:rPr>
          <w:lang w:val="en-GB"/>
        </w:rPr>
        <w:t xml:space="preserve">). From the sixteenth to the eighteenth century, emerging mercantilist states in northern Europe saw the population as a valuable economic resource </w:t>
      </w:r>
      <w:r w:rsidR="0085295C">
        <w:rPr>
          <w:lang w:val="en-GB"/>
        </w:rPr>
        <w:t xml:space="preserve">and </w:t>
      </w:r>
      <w:r w:rsidR="0085295C" w:rsidRPr="008C4E3D">
        <w:rPr>
          <w:lang w:val="en-GB"/>
        </w:rPr>
        <w:t>as potential recruits for the military. At the same time, state-building ideals favoured conformity, which pushed states to pursue ethnic and cultural homogeneity among the population</w:t>
      </w:r>
      <w:r w:rsidR="0085295C">
        <w:rPr>
          <w:lang w:val="en-GB"/>
        </w:rPr>
        <w:t>. This was implemented</w:t>
      </w:r>
      <w:r w:rsidR="0085295C" w:rsidRPr="008C4E3D">
        <w:rPr>
          <w:lang w:val="en-GB"/>
        </w:rPr>
        <w:t xml:space="preserve"> partly through the creation of new nationalistic foundation myths and unitary languages propagated through the education system</w:t>
      </w:r>
      <w:r w:rsidR="0085295C">
        <w:rPr>
          <w:lang w:val="en-GB"/>
        </w:rPr>
        <w:t xml:space="preserve"> as well as </w:t>
      </w:r>
      <w:r w:rsidR="0085295C" w:rsidRPr="008C4E3D">
        <w:rPr>
          <w:lang w:val="en-GB"/>
        </w:rPr>
        <w:t xml:space="preserve">the circulation and mixing of military personnel, police, and other state employees such as teachers, </w:t>
      </w:r>
      <w:r w:rsidR="0085295C">
        <w:rPr>
          <w:lang w:val="en-GB"/>
        </w:rPr>
        <w:t xml:space="preserve">and sometimes </w:t>
      </w:r>
      <w:r w:rsidR="0085295C" w:rsidRPr="008C4E3D">
        <w:rPr>
          <w:lang w:val="en-GB"/>
        </w:rPr>
        <w:t xml:space="preserve">through the </w:t>
      </w:r>
      <w:r w:rsidR="000619CA">
        <w:rPr>
          <w:lang w:val="en-GB"/>
        </w:rPr>
        <w:t>marginalisation</w:t>
      </w:r>
      <w:r w:rsidR="0085295C">
        <w:rPr>
          <w:lang w:val="en-GB"/>
        </w:rPr>
        <w:t xml:space="preserve">, murder or </w:t>
      </w:r>
      <w:r w:rsidR="0085295C" w:rsidRPr="008C4E3D">
        <w:rPr>
          <w:lang w:val="en-GB"/>
        </w:rPr>
        <w:t xml:space="preserve">expulsion of people who were physically or culturally different </w:t>
      </w:r>
      <w:r w:rsidR="0085295C" w:rsidRPr="008C4E3D">
        <w:rPr>
          <w:lang w:val="en-GB"/>
        </w:rPr>
        <w:fldChar w:fldCharType="begin"/>
      </w:r>
      <w:r w:rsidR="0085295C" w:rsidRPr="008C4E3D">
        <w:rPr>
          <w:lang w:val="en-GB"/>
        </w:rPr>
        <w:instrText xml:space="preserve"> ADDIN EN.CITE &lt;EndNote&gt;&lt;Cite&gt;&lt;Author&gt;Zolberg&lt;/Author&gt;&lt;Year&gt;1978&lt;/Year&gt;&lt;RecNum&gt;40&lt;/RecNum&gt;&lt;DisplayText&gt;(Zolberg 1978; Anderson 1983)&lt;/DisplayText&gt;&lt;record&gt;&lt;rec-number&gt;40&lt;/rec-number&gt;&lt;foreign-keys&gt;&lt;key app="EN" db-id="rax5ttrpm0ez24exr9mvpxsoev0a9v5sawfd"&gt;40&lt;/key&gt;&lt;/foreign-keys&gt;&lt;ref-type name="Edited Book"&gt;28&lt;/ref-type&gt;&lt;contributors&gt;&lt;authors&gt;&lt;author&gt;Zolberg, Aristide R.&lt;/author&gt;&lt;/authors&gt;&lt;/contributors&gt;&lt;titles&gt;&lt;title&gt;International Migration Policies in a Changing World System&lt;/title&gt;&lt;secondary-title&gt;Human Migration: Patterns and Policies&lt;/secondary-title&gt;&lt;/titles&gt;&lt;dates&gt;&lt;year&gt;1978&lt;/year&gt;&lt;/dates&gt;&lt;pub-location&gt;Bloomington and London&lt;/pub-location&gt;&lt;publisher&gt;Indiana University Press&lt;/publisher&gt;&lt;urls&gt;&lt;/urls&gt;&lt;research-notes&gt;This article, published in 1978, emphasizes that migration theories have failed to take into account the role of the state, which has been treated mainly as a residual. &lt;/research-notes&gt;&lt;/record&gt;&lt;/Cite&gt;&lt;Cite&gt;&lt;Author&gt;Anderson&lt;/Author&gt;&lt;Year&gt;1983&lt;/Year&gt;&lt;RecNum&gt;2817&lt;/RecNum&gt;&lt;record&gt;&lt;rec-number&gt;2817&lt;/rec-number&gt;&lt;foreign-keys&gt;&lt;key app="EN" db-id="fre0edeer05adgereeq52z5xpz9xad5s22x5" timestamp="1360665799"&gt;2817&lt;/key&gt;&lt;/foreign-keys&gt;&lt;ref-type name="Book"&gt;6&lt;/ref-type&gt;&lt;contributors&gt;&lt;authors&gt;&lt;author&gt;Anderson, Benedict &lt;/author&gt;&lt;/authors&gt;&lt;/contributors&gt;&lt;titles&gt;&lt;title&gt;Imagined communities : reflections on the origin and spread of nationalism&lt;/title&gt;&lt;/titles&gt;&lt;pages&gt;160 p.&lt;/pages&gt;&lt;keywords&gt;&lt;keyword&gt;Nationalism History.&lt;/keyword&gt;&lt;/keywords&gt;&lt;dates&gt;&lt;year&gt;1983&lt;/year&gt;&lt;/dates&gt;&lt;pub-location&gt;London&lt;/pub-location&gt;&lt;publisher&gt;Verso&lt;/publisher&gt;&lt;isbn&gt;0860910598&amp;#xD;0860917592 (pbk.)&lt;/isbn&gt;&lt;accession-num&gt;3321031&lt;/accession-num&gt;&lt;call-num&gt;Jefferson or Adams Building Reading Rooms JC311; .A656 1983&lt;/call-num&gt;&lt;urls&gt;&lt;/urls&gt;&lt;/record&gt;&lt;/Cite&gt;&lt;/EndNote&gt;</w:instrText>
      </w:r>
      <w:r w:rsidR="0085295C" w:rsidRPr="008C4E3D">
        <w:rPr>
          <w:lang w:val="en-GB"/>
        </w:rPr>
        <w:fldChar w:fldCharType="separate"/>
      </w:r>
      <w:r w:rsidR="0085295C" w:rsidRPr="008C4E3D">
        <w:rPr>
          <w:noProof/>
          <w:lang w:val="en-GB"/>
        </w:rPr>
        <w:t>(Zolberg</w:t>
      </w:r>
      <w:r w:rsidR="000619CA">
        <w:rPr>
          <w:noProof/>
          <w:lang w:val="en-GB"/>
        </w:rPr>
        <w:t>,</w:t>
      </w:r>
      <w:r w:rsidR="0085295C" w:rsidRPr="008C4E3D">
        <w:rPr>
          <w:noProof/>
          <w:lang w:val="en-GB"/>
        </w:rPr>
        <w:t xml:space="preserve"> 1978; Anderson</w:t>
      </w:r>
      <w:r w:rsidR="000619CA">
        <w:rPr>
          <w:noProof/>
          <w:lang w:val="en-GB"/>
        </w:rPr>
        <w:t>,</w:t>
      </w:r>
      <w:r w:rsidR="0085295C" w:rsidRPr="008C4E3D">
        <w:rPr>
          <w:noProof/>
          <w:lang w:val="en-GB"/>
        </w:rPr>
        <w:t xml:space="preserve"> 1983)</w:t>
      </w:r>
      <w:r w:rsidR="0085295C" w:rsidRPr="008C4E3D">
        <w:rPr>
          <w:lang w:val="en-GB"/>
        </w:rPr>
        <w:fldChar w:fldCharType="end"/>
      </w:r>
      <w:r w:rsidR="0085295C" w:rsidRPr="008C4E3D">
        <w:rPr>
          <w:lang w:val="en-GB"/>
        </w:rPr>
        <w:t xml:space="preserve">. </w:t>
      </w:r>
    </w:p>
    <w:p w14:paraId="0C2472DA" w14:textId="2D0602BD" w:rsidR="0085295C" w:rsidRPr="008C4E3D" w:rsidRDefault="0085295C" w:rsidP="00C51AC7">
      <w:pPr>
        <w:ind w:firstLine="720"/>
        <w:rPr>
          <w:lang w:val="en-GB"/>
        </w:rPr>
      </w:pPr>
      <w:r w:rsidRPr="008C4E3D">
        <w:rPr>
          <w:color w:val="000000" w:themeColor="text1"/>
          <w:lang w:val="en-GB"/>
        </w:rPr>
        <w:t xml:space="preserve">Torpey (1998) argued that as </w:t>
      </w:r>
      <w:r w:rsidR="008B63D1" w:rsidRPr="008C4E3D">
        <w:rPr>
          <w:color w:val="000000" w:themeColor="text1"/>
          <w:lang w:val="en-GB"/>
        </w:rPr>
        <w:t>centrali</w:t>
      </w:r>
      <w:r w:rsidR="008B63D1">
        <w:rPr>
          <w:color w:val="000000" w:themeColor="text1"/>
          <w:lang w:val="en-GB"/>
        </w:rPr>
        <w:t>s</w:t>
      </w:r>
      <w:r w:rsidR="008B63D1" w:rsidRPr="008C4E3D">
        <w:rPr>
          <w:color w:val="000000" w:themeColor="text1"/>
          <w:lang w:val="en-GB"/>
        </w:rPr>
        <w:t xml:space="preserve">ed </w:t>
      </w:r>
      <w:r w:rsidRPr="008C4E3D">
        <w:rPr>
          <w:color w:val="000000" w:themeColor="text1"/>
          <w:lang w:val="en-GB"/>
        </w:rPr>
        <w:t xml:space="preserve">national governments consolidated in the nineteenth century, they acquired the right to control the movement of their citizens. This control was </w:t>
      </w:r>
      <w:r w:rsidRPr="008C4E3D">
        <w:rPr>
          <w:lang w:val="en-GB"/>
        </w:rPr>
        <w:t xml:space="preserve">reinforced by their ability to grant permission to leave based on the issuance of identity documents, including passports. It is the increased administrative capacity </w:t>
      </w:r>
      <w:r w:rsidRPr="008C4E3D">
        <w:rPr>
          <w:color w:val="000000" w:themeColor="text1"/>
          <w:lang w:val="en-GB"/>
        </w:rPr>
        <w:t xml:space="preserve">of modern states to maintain written records of populations in order to exert ‘surveillance’ </w:t>
      </w:r>
      <w:r w:rsidRPr="008C4E3D">
        <w:rPr>
          <w:color w:val="000000" w:themeColor="text1"/>
          <w:lang w:val="en-GB"/>
        </w:rPr>
        <w:fldChar w:fldCharType="begin"/>
      </w:r>
      <w:r w:rsidRPr="008C4E3D">
        <w:rPr>
          <w:color w:val="000000" w:themeColor="text1"/>
          <w:lang w:val="en-GB"/>
        </w:rPr>
        <w:instrText xml:space="preserve"> ADDIN EN.CITE &lt;EndNote&gt;&lt;Cite&gt;&lt;Author&gt;Foucault&lt;/Author&gt;&lt;Year&gt;1975&lt;/Year&gt;&lt;RecNum&gt;4123&lt;/RecNum&gt;&lt;Prefix&gt;cf. &lt;/Prefix&gt;&lt;DisplayText&gt;(cf. Foucault 1975)&lt;/DisplayText&gt;&lt;record&gt;&lt;rec-number&gt;4123&lt;/rec-number&gt;&lt;foreign-keys&gt;&lt;key app="EN" db-id="fre0edeer05adgereeq52z5xpz9xad5s22x5" timestamp="1480413076"&gt;4123&lt;/key&gt;&lt;/foreign-keys&gt;&lt;ref-type name="Generic"&gt;13&lt;/ref-type&gt;&lt;contributors&gt;&lt;authors&gt;&lt;author&gt;Foucault, Michel&lt;/author&gt;&lt;/authors&gt;&lt;/contributors&gt;&lt;titles&gt;&lt;title&gt;Surveiller et punir&lt;/title&gt;&lt;/titles&gt;&lt;dates&gt;&lt;year&gt;1975&lt;/year&gt;&lt;/dates&gt;&lt;publisher&gt;Paris, Gallimard&lt;/publisher&gt;&lt;urls&gt;&lt;/urls&gt;&lt;/record&gt;&lt;/Cite&gt;&lt;/EndNote&gt;</w:instrText>
      </w:r>
      <w:r w:rsidRPr="008C4E3D">
        <w:rPr>
          <w:color w:val="000000" w:themeColor="text1"/>
          <w:lang w:val="en-GB"/>
        </w:rPr>
        <w:fldChar w:fldCharType="separate"/>
      </w:r>
      <w:r w:rsidRPr="008C4E3D">
        <w:rPr>
          <w:noProof/>
          <w:color w:val="000000" w:themeColor="text1"/>
          <w:lang w:val="en-GB"/>
        </w:rPr>
        <w:t>(cf. Foucault</w:t>
      </w:r>
      <w:r w:rsidR="008B63D1">
        <w:rPr>
          <w:noProof/>
          <w:color w:val="000000" w:themeColor="text1"/>
          <w:lang w:val="en-GB"/>
        </w:rPr>
        <w:t>,</w:t>
      </w:r>
      <w:r w:rsidRPr="008C4E3D">
        <w:rPr>
          <w:noProof/>
          <w:color w:val="000000" w:themeColor="text1"/>
          <w:lang w:val="en-GB"/>
        </w:rPr>
        <w:t xml:space="preserve"> 1975)</w:t>
      </w:r>
      <w:r w:rsidRPr="008C4E3D">
        <w:rPr>
          <w:color w:val="000000" w:themeColor="text1"/>
          <w:lang w:val="en-GB"/>
        </w:rPr>
        <w:fldChar w:fldCharType="end"/>
      </w:r>
      <w:r w:rsidRPr="008C4E3D">
        <w:rPr>
          <w:color w:val="000000" w:themeColor="text1"/>
          <w:lang w:val="en-GB"/>
        </w:rPr>
        <w:t xml:space="preserve"> that </w:t>
      </w:r>
      <w:r w:rsidRPr="008C4E3D">
        <w:rPr>
          <w:lang w:val="en-GB"/>
        </w:rPr>
        <w:t>has given states the power to grant their citizens permission to leave based on passport issuance</w:t>
      </w:r>
      <w:r>
        <w:rPr>
          <w:lang w:val="en-GB"/>
        </w:rPr>
        <w:t xml:space="preserve"> and</w:t>
      </w:r>
      <w:r w:rsidRPr="008C4E3D">
        <w:rPr>
          <w:lang w:val="en-GB"/>
        </w:rPr>
        <w:t>, thus</w:t>
      </w:r>
      <w:r>
        <w:rPr>
          <w:lang w:val="en-GB"/>
        </w:rPr>
        <w:t>,</w:t>
      </w:r>
      <w:r w:rsidRPr="008C4E3D">
        <w:rPr>
          <w:lang w:val="en-GB"/>
        </w:rPr>
        <w:t xml:space="preserve"> </w:t>
      </w:r>
      <w:r w:rsidRPr="008C4E3D">
        <w:rPr>
          <w:color w:val="000000" w:themeColor="text1"/>
          <w:lang w:val="en-GB"/>
        </w:rPr>
        <w:t>to control movement</w:t>
      </w:r>
      <w:r w:rsidRPr="008C4E3D">
        <w:rPr>
          <w:lang w:val="en-GB"/>
        </w:rPr>
        <w:t xml:space="preserve">. However, the spread of modern capitalism, accelerating population growth, widespread urban poverty as well as </w:t>
      </w:r>
      <w:r w:rsidR="008B63D1" w:rsidRPr="008C4E3D">
        <w:rPr>
          <w:lang w:val="en-GB"/>
        </w:rPr>
        <w:t>industriali</w:t>
      </w:r>
      <w:r w:rsidR="008B63D1">
        <w:rPr>
          <w:lang w:val="en-GB"/>
        </w:rPr>
        <w:t>s</w:t>
      </w:r>
      <w:r w:rsidR="008B63D1" w:rsidRPr="008C4E3D">
        <w:rPr>
          <w:lang w:val="en-GB"/>
        </w:rPr>
        <w:t xml:space="preserve">ation </w:t>
      </w:r>
      <w:r w:rsidRPr="008C4E3D">
        <w:rPr>
          <w:lang w:val="en-GB"/>
        </w:rPr>
        <w:t xml:space="preserve">and advances in military technology, which reduced </w:t>
      </w:r>
      <w:r w:rsidR="008B63D1">
        <w:rPr>
          <w:lang w:val="en-GB"/>
        </w:rPr>
        <w:t xml:space="preserve">the </w:t>
      </w:r>
      <w:r w:rsidRPr="008C4E3D">
        <w:rPr>
          <w:lang w:val="en-GB"/>
        </w:rPr>
        <w:t>importance of population size for economic and military power,</w:t>
      </w:r>
      <w:r>
        <w:rPr>
          <w:lang w:val="en-GB"/>
        </w:rPr>
        <w:t xml:space="preserve"> decreased importance of population size and</w:t>
      </w:r>
      <w:r w:rsidRPr="008C4E3D">
        <w:rPr>
          <w:lang w:val="en-GB"/>
        </w:rPr>
        <w:t xml:space="preserve"> brought more positive attitudes towards emigration. This sparked the so-called ‘exit revolution’ </w:t>
      </w:r>
      <w:r w:rsidRPr="008C4E3D">
        <w:rPr>
          <w:lang w:val="en-GB"/>
        </w:rPr>
        <w:fldChar w:fldCharType="begin"/>
      </w:r>
      <w:r w:rsidRPr="008C4E3D">
        <w:rPr>
          <w:lang w:val="en-GB"/>
        </w:rPr>
        <w:instrText xml:space="preserve"> ADDIN EN.CITE &lt;EndNote&gt;&lt;Cite&gt;&lt;Author&gt;Zolberg&lt;/Author&gt;&lt;Year&gt;2007&lt;/Year&gt;&lt;RecNum&gt;2571&lt;/RecNum&gt;&lt;DisplayText&gt;(Zolberg 2007)&lt;/DisplayText&gt;&lt;record&gt;&lt;rec-number&gt;2571&lt;/rec-number&gt;&lt;foreign-keys&gt;&lt;key app="EN" db-id="fre0edeer05adgereeq52z5xpz9xad5s22x5" timestamp="1350543620"&gt;2571&lt;/key&gt;&lt;/foreign-keys&gt;&lt;ref-type name="Book Section"&gt;5&lt;/ref-type&gt;&lt;contributors&gt;&lt;authors&gt;&lt;author&gt;Zolberg, A. R. &lt;/author&gt;&lt;/authors&gt;&lt;secondary-authors&gt;&lt;author&gt;Green, N. L. &lt;/author&gt;&lt;author&gt;F. Weil&lt;/author&gt;&lt;/secondary-authors&gt;&lt;/contributors&gt;&lt;titles&gt;&lt;title&gt;The exit revolution&lt;/title&gt;&lt;secondary-title&gt;Citizenship and Those Who Leave: The Politics of Emigration and Expatriation&lt;/secondary-title&gt;&lt;/titles&gt;&lt;dates&gt;&lt;year&gt;2007&lt;/year&gt;&lt;/dates&gt;&lt;pub-location&gt;Urbana and Chicago&lt;/pub-location&gt;&lt;publisher&gt;University of Illinois Press&lt;/publisher&gt;&lt;urls&gt;&lt;/urls&gt;&lt;/record&gt;&lt;/Cite&gt;&lt;/EndNote&gt;</w:instrText>
      </w:r>
      <w:r w:rsidRPr="008C4E3D">
        <w:rPr>
          <w:lang w:val="en-GB"/>
        </w:rPr>
        <w:fldChar w:fldCharType="separate"/>
      </w:r>
      <w:r w:rsidRPr="008C4E3D">
        <w:rPr>
          <w:noProof/>
          <w:lang w:val="en-GB"/>
        </w:rPr>
        <w:t>(Zolberg</w:t>
      </w:r>
      <w:r w:rsidR="001A4862">
        <w:rPr>
          <w:noProof/>
          <w:lang w:val="en-GB"/>
        </w:rPr>
        <w:t>,</w:t>
      </w:r>
      <w:r w:rsidRPr="008C4E3D">
        <w:rPr>
          <w:noProof/>
          <w:lang w:val="en-GB"/>
        </w:rPr>
        <w:t xml:space="preserve"> 2007)</w:t>
      </w:r>
      <w:r w:rsidRPr="008C4E3D">
        <w:rPr>
          <w:lang w:val="en-GB"/>
        </w:rPr>
        <w:fldChar w:fldCharType="end"/>
      </w:r>
      <w:r w:rsidRPr="008C4E3D">
        <w:rPr>
          <w:lang w:val="en-GB"/>
        </w:rPr>
        <w:t xml:space="preserve"> during the late </w:t>
      </w:r>
      <w:r w:rsidR="001A4862">
        <w:rPr>
          <w:lang w:val="en-GB"/>
        </w:rPr>
        <w:t>nineteenth</w:t>
      </w:r>
      <w:r w:rsidR="001A4862" w:rsidRPr="008C4E3D">
        <w:rPr>
          <w:lang w:val="en-GB"/>
        </w:rPr>
        <w:t xml:space="preserve"> </w:t>
      </w:r>
      <w:r w:rsidRPr="008C4E3D">
        <w:rPr>
          <w:lang w:val="en-GB"/>
        </w:rPr>
        <w:t xml:space="preserve">and early </w:t>
      </w:r>
      <w:r w:rsidR="001A4862">
        <w:rPr>
          <w:lang w:val="en-GB"/>
        </w:rPr>
        <w:t>twentieth</w:t>
      </w:r>
      <w:r w:rsidRPr="008C4E3D">
        <w:rPr>
          <w:lang w:val="en-GB"/>
        </w:rPr>
        <w:t xml:space="preserve"> century in which states have increasingly switched from emigration to immigration control. In this context, travel visas have</w:t>
      </w:r>
      <w:r>
        <w:rPr>
          <w:lang w:val="en-GB"/>
        </w:rPr>
        <w:t xml:space="preserve"> become</w:t>
      </w:r>
      <w:r w:rsidRPr="008C4E3D">
        <w:rPr>
          <w:lang w:val="en-GB"/>
        </w:rPr>
        <w:t xml:space="preserve"> an essential instrument for migration control. Although </w:t>
      </w:r>
      <w:r w:rsidR="00F57DC9">
        <w:rPr>
          <w:lang w:val="en-GB"/>
        </w:rPr>
        <w:t xml:space="preserve">travel </w:t>
      </w:r>
      <w:r w:rsidRPr="008C4E3D">
        <w:rPr>
          <w:lang w:val="en-GB"/>
        </w:rPr>
        <w:t xml:space="preserve">visa regimes primarily regulate the entry of </w:t>
      </w:r>
      <w:r w:rsidR="00BC42DE">
        <w:rPr>
          <w:lang w:val="en-GB"/>
        </w:rPr>
        <w:t>tourists</w:t>
      </w:r>
      <w:r w:rsidR="00BC42DE" w:rsidRPr="008C4E3D">
        <w:rPr>
          <w:lang w:val="en-GB"/>
        </w:rPr>
        <w:t xml:space="preserve"> </w:t>
      </w:r>
      <w:r w:rsidRPr="008C4E3D">
        <w:rPr>
          <w:lang w:val="en-GB"/>
        </w:rPr>
        <w:t>and other temporary visitors</w:t>
      </w:r>
      <w:r w:rsidR="00106EAE">
        <w:rPr>
          <w:lang w:val="en-GB"/>
        </w:rPr>
        <w:t xml:space="preserve"> (e.g. business travel, family visits, etc.)</w:t>
      </w:r>
      <w:r w:rsidRPr="008C4E3D">
        <w:rPr>
          <w:lang w:val="en-GB"/>
        </w:rPr>
        <w:t>, in practice they also function as instruments of migration control</w:t>
      </w:r>
      <w:r>
        <w:rPr>
          <w:lang w:val="en-GB"/>
        </w:rPr>
        <w:t xml:space="preserve">. In recent decades, </w:t>
      </w:r>
      <w:r w:rsidR="00106EAE">
        <w:rPr>
          <w:lang w:val="en-GB"/>
        </w:rPr>
        <w:t xml:space="preserve">travel </w:t>
      </w:r>
      <w:r>
        <w:rPr>
          <w:lang w:val="en-GB"/>
        </w:rPr>
        <w:t xml:space="preserve">visa </w:t>
      </w:r>
      <w:r w:rsidR="00106EAE">
        <w:rPr>
          <w:lang w:val="en-GB"/>
        </w:rPr>
        <w:t xml:space="preserve">regulations </w:t>
      </w:r>
      <w:r>
        <w:rPr>
          <w:lang w:val="en-GB"/>
        </w:rPr>
        <w:t xml:space="preserve">have often been used </w:t>
      </w:r>
      <w:r w:rsidRPr="008C4E3D">
        <w:rPr>
          <w:lang w:val="en-GB"/>
        </w:rPr>
        <w:t>to prevent the entry of potential asylum seekers and</w:t>
      </w:r>
      <w:r>
        <w:rPr>
          <w:lang w:val="en-GB"/>
        </w:rPr>
        <w:t xml:space="preserve"> </w:t>
      </w:r>
      <w:r w:rsidRPr="008C4E3D">
        <w:rPr>
          <w:lang w:val="en-GB"/>
        </w:rPr>
        <w:t xml:space="preserve">‘visa overstayers’, </w:t>
      </w:r>
      <w:r>
        <w:rPr>
          <w:lang w:val="en-GB"/>
        </w:rPr>
        <w:t xml:space="preserve">generally seen as a more </w:t>
      </w:r>
      <w:r w:rsidRPr="008C4E3D">
        <w:rPr>
          <w:lang w:val="en-GB"/>
        </w:rPr>
        <w:t xml:space="preserve">important source of </w:t>
      </w:r>
      <w:r w:rsidR="00F76D7B">
        <w:rPr>
          <w:lang w:val="en-GB"/>
        </w:rPr>
        <w:t xml:space="preserve">unauthorised </w:t>
      </w:r>
      <w:r w:rsidRPr="008C4E3D">
        <w:rPr>
          <w:lang w:val="en-GB"/>
        </w:rPr>
        <w:t>stay</w:t>
      </w:r>
      <w:r>
        <w:rPr>
          <w:lang w:val="en-GB"/>
        </w:rPr>
        <w:t xml:space="preserve"> than </w:t>
      </w:r>
      <w:r w:rsidR="00F76D7B">
        <w:rPr>
          <w:lang w:val="en-GB"/>
        </w:rPr>
        <w:t>unauthorised</w:t>
      </w:r>
      <w:r w:rsidR="00F76D7B" w:rsidRPr="00A519AB">
        <w:rPr>
          <w:lang w:val="en-GB"/>
        </w:rPr>
        <w:t xml:space="preserve"> </w:t>
      </w:r>
      <w:r w:rsidRPr="00A519AB">
        <w:rPr>
          <w:lang w:val="en-GB"/>
        </w:rPr>
        <w:t xml:space="preserve">entry </w:t>
      </w:r>
      <w:r w:rsidRPr="008C4E3D">
        <w:rPr>
          <w:lang w:val="en-GB"/>
        </w:rPr>
        <w:fldChar w:fldCharType="begin"/>
      </w:r>
      <w:r w:rsidRPr="008C4E3D">
        <w:rPr>
          <w:lang w:val="en-GB"/>
        </w:rPr>
        <w:instrText xml:space="preserve"> ADDIN EN.CITE &lt;EndNote&gt;&lt;Cite&gt;&lt;Author&gt;Schoorl&lt;/Author&gt;&lt;Year&gt;2000&lt;/Year&gt;&lt;RecNum&gt;1280&lt;/RecNum&gt;&lt;Prefix&gt;cf. &lt;/Prefix&gt;&lt;DisplayText&gt;(cf. Schoorl et al. 2000)&lt;/DisplayText&gt;&lt;record&gt;&lt;rec-number&gt;1280&lt;/rec-number&gt;&lt;foreign-keys&gt;&lt;key app="EN" db-id="fre0edeer05adgereeq52z5xpz9xad5s22x5" timestamp="0"&gt;1280&lt;/key&gt;&lt;/foreign-keys&gt;&lt;ref-type name="Book"&gt;6&lt;/ref-type&gt;&lt;contributors&gt;&lt;authors&gt;&lt;author&gt;Schoorl, Jeanette&lt;/author&gt;&lt;author&gt;Liesbeth Heering&lt;/author&gt;&lt;author&gt;Ingrid Esveldt&lt;/author&gt;&lt;author&gt;George Groenewold&lt;/author&gt;&lt;author&gt;Rob van der Erf&lt;/author&gt;&lt;author&gt;Alinda Bosch&lt;/author&gt;&lt;author&gt;Helga de Valk&lt;/author&gt;&lt;author&gt;Bart de Bruijn&lt;/author&gt;&lt;/authors&gt;&lt;/contributors&gt;&lt;titles&gt;&lt;title&gt;Push and Pull Factors of International Migration: A Comparative Report&lt;/title&gt;&lt;/titles&gt;&lt;keywords&gt;&lt;keyword&gt;migration&lt;/keyword&gt;&lt;keyword&gt;international&lt;/keyword&gt;&lt;keyword&gt;causes&lt;/keyword&gt;&lt;keyword&gt;morocco&lt;/keyword&gt;&lt;keyword&gt;egypt&lt;/keyword&gt;&lt;keyword&gt;ghana&lt;/keyword&gt;&lt;keyword&gt;Senegal&lt;/keyword&gt;&lt;keyword&gt;spain&lt;/keyword&gt;&lt;keyword&gt;italy&lt;/keyword&gt;&lt;keyword&gt;netherlands&lt;/keyword&gt;&lt;keyword&gt;empirical&lt;/keyword&gt;&lt;/keywords&gt;&lt;dates&gt;&lt;year&gt;2000&lt;/year&gt;&lt;/dates&gt;&lt;pub-location&gt;Luxembourg&lt;/pub-location&gt;&lt;publisher&gt;Eurostat, European Communities&lt;/publisher&gt;&lt;urls&gt;&lt;/urls&gt;&lt;/record&gt;&lt;/Cite&gt;&lt;/EndNote&gt;</w:instrText>
      </w:r>
      <w:r w:rsidRPr="008C4E3D">
        <w:rPr>
          <w:lang w:val="en-GB"/>
        </w:rPr>
        <w:fldChar w:fldCharType="separate"/>
      </w:r>
      <w:r w:rsidRPr="008C4E3D">
        <w:rPr>
          <w:noProof/>
          <w:lang w:val="en-GB"/>
        </w:rPr>
        <w:t>(cf. Schoorl et al.</w:t>
      </w:r>
      <w:r w:rsidR="00B72DB3">
        <w:rPr>
          <w:noProof/>
          <w:lang w:val="en-GB"/>
        </w:rPr>
        <w:t>,</w:t>
      </w:r>
      <w:r w:rsidRPr="008C4E3D">
        <w:rPr>
          <w:noProof/>
          <w:lang w:val="en-GB"/>
        </w:rPr>
        <w:t xml:space="preserve"> 2000)</w:t>
      </w:r>
      <w:r w:rsidRPr="008C4E3D">
        <w:rPr>
          <w:lang w:val="en-GB"/>
        </w:rPr>
        <w:fldChar w:fldCharType="end"/>
      </w:r>
      <w:r w:rsidRPr="008C4E3D">
        <w:rPr>
          <w:lang w:val="en-GB"/>
        </w:rPr>
        <w:t xml:space="preserve">. </w:t>
      </w:r>
    </w:p>
    <w:p w14:paraId="6D56C4C6" w14:textId="5CDB3F9D" w:rsidR="0085295C" w:rsidRPr="00A519AB" w:rsidRDefault="00125D02" w:rsidP="00C51AC7">
      <w:pPr>
        <w:ind w:firstLine="720"/>
        <w:rPr>
          <w:lang w:val="en-GB"/>
        </w:rPr>
      </w:pPr>
      <w:r>
        <w:rPr>
          <w:lang w:val="en-GB"/>
        </w:rPr>
        <w:t>To complement</w:t>
      </w:r>
      <w:r w:rsidR="0085295C" w:rsidRPr="008C4E3D">
        <w:rPr>
          <w:lang w:val="en-GB"/>
        </w:rPr>
        <w:t xml:space="preserve"> travel visas, destination countries introduced carrier sanctions in the 1980s and 1990s to prevent people without </w:t>
      </w:r>
      <w:r w:rsidR="0014675E">
        <w:rPr>
          <w:lang w:val="en-GB"/>
        </w:rPr>
        <w:t xml:space="preserve">a </w:t>
      </w:r>
      <w:r w:rsidR="004C5239">
        <w:rPr>
          <w:lang w:val="en-GB"/>
        </w:rPr>
        <w:t xml:space="preserve">travel </w:t>
      </w:r>
      <w:r w:rsidR="0085295C" w:rsidRPr="008C4E3D">
        <w:rPr>
          <w:lang w:val="en-GB"/>
        </w:rPr>
        <w:t>visa from boarding airplanes in the first place.</w:t>
      </w:r>
      <w:r w:rsidR="00CF1F28">
        <w:rPr>
          <w:lang w:val="en-GB"/>
        </w:rPr>
        <w:t xml:space="preserve"> </w:t>
      </w:r>
      <w:r w:rsidR="0085295C" w:rsidRPr="008C4E3D">
        <w:rPr>
          <w:lang w:val="en-GB"/>
        </w:rPr>
        <w:t xml:space="preserve">So, combined with carrier sanctions, </w:t>
      </w:r>
      <w:r w:rsidR="004C5239">
        <w:rPr>
          <w:lang w:val="en-GB"/>
        </w:rPr>
        <w:t xml:space="preserve">travel </w:t>
      </w:r>
      <w:r w:rsidR="0085295C" w:rsidRPr="008C4E3D">
        <w:rPr>
          <w:lang w:val="en-GB"/>
        </w:rPr>
        <w:t>visas</w:t>
      </w:r>
      <w:r w:rsidR="0085295C">
        <w:rPr>
          <w:lang w:val="en-GB"/>
        </w:rPr>
        <w:t xml:space="preserve"> have become</w:t>
      </w:r>
      <w:r w:rsidR="0085295C" w:rsidRPr="008C4E3D">
        <w:rPr>
          <w:lang w:val="en-GB"/>
        </w:rPr>
        <w:t xml:space="preserve"> an important </w:t>
      </w:r>
      <w:r w:rsidR="0085295C">
        <w:rPr>
          <w:lang w:val="en-GB"/>
        </w:rPr>
        <w:t>‘</w:t>
      </w:r>
      <w:r w:rsidR="0085295C" w:rsidRPr="008C4E3D">
        <w:rPr>
          <w:lang w:val="en-GB"/>
        </w:rPr>
        <w:t>extraterritoria</w:t>
      </w:r>
      <w:r w:rsidR="0085295C">
        <w:rPr>
          <w:lang w:val="en-GB"/>
        </w:rPr>
        <w:t>l’</w:t>
      </w:r>
      <w:r w:rsidR="0085295C" w:rsidRPr="008C4E3D">
        <w:rPr>
          <w:lang w:val="en-GB"/>
        </w:rPr>
        <w:t xml:space="preserve"> policy instrument to prevent people from entering and asking </w:t>
      </w:r>
      <w:r w:rsidR="0014675E">
        <w:rPr>
          <w:lang w:val="en-GB"/>
        </w:rPr>
        <w:t xml:space="preserve">for </w:t>
      </w:r>
      <w:r w:rsidR="0085295C" w:rsidRPr="008C4E3D">
        <w:rPr>
          <w:lang w:val="en-GB"/>
        </w:rPr>
        <w:t>asylum (Neumayer</w:t>
      </w:r>
      <w:r w:rsidR="0014675E">
        <w:rPr>
          <w:lang w:val="en-GB"/>
        </w:rPr>
        <w:t>,</w:t>
      </w:r>
      <w:r w:rsidR="0085295C" w:rsidRPr="008C4E3D">
        <w:rPr>
          <w:lang w:val="en-GB"/>
        </w:rPr>
        <w:t xml:space="preserve"> 2006). T</w:t>
      </w:r>
      <w:r w:rsidR="0014675E">
        <w:rPr>
          <w:lang w:val="en-GB"/>
        </w:rPr>
        <w:t>he t</w:t>
      </w:r>
      <w:r w:rsidR="0085295C" w:rsidRPr="008C4E3D">
        <w:rPr>
          <w:lang w:val="en-GB"/>
        </w:rPr>
        <w:t>ravel visa should th</w:t>
      </w:r>
      <w:r w:rsidR="0085295C">
        <w:rPr>
          <w:lang w:val="en-GB"/>
        </w:rPr>
        <w:t xml:space="preserve">erefore </w:t>
      </w:r>
      <w:r w:rsidR="0085295C" w:rsidRPr="008C4E3D">
        <w:rPr>
          <w:lang w:val="en-GB"/>
        </w:rPr>
        <w:t xml:space="preserve">be seen as a key component of the migration policy toolbox. For states, visa restrictions are considered an efficient ‘upfront’ way of preventing </w:t>
      </w:r>
      <w:r w:rsidR="0085295C">
        <w:rPr>
          <w:lang w:val="en-GB"/>
        </w:rPr>
        <w:t>‘undesir</w:t>
      </w:r>
      <w:r w:rsidR="00C42756">
        <w:rPr>
          <w:lang w:val="en-GB"/>
        </w:rPr>
        <w:t>able</w:t>
      </w:r>
      <w:r w:rsidR="0085295C">
        <w:rPr>
          <w:lang w:val="en-GB"/>
        </w:rPr>
        <w:t xml:space="preserve">’ </w:t>
      </w:r>
      <w:r w:rsidR="0085295C" w:rsidRPr="008C4E3D">
        <w:rPr>
          <w:lang w:val="en-GB"/>
        </w:rPr>
        <w:t>migrants from entering the national territory.</w:t>
      </w:r>
      <w:r w:rsidR="0085295C">
        <w:rPr>
          <w:lang w:val="en-GB"/>
        </w:rPr>
        <w:t xml:space="preserve"> </w:t>
      </w:r>
      <w:r w:rsidR="0085295C" w:rsidRPr="008C4E3D">
        <w:rPr>
          <w:lang w:val="en-GB"/>
        </w:rPr>
        <w:t xml:space="preserve">This seems particularly effective for </w:t>
      </w:r>
      <w:r w:rsidR="0085295C">
        <w:rPr>
          <w:lang w:val="en-GB"/>
        </w:rPr>
        <w:t xml:space="preserve">geographically </w:t>
      </w:r>
      <w:r w:rsidR="0085295C" w:rsidRPr="008C4E3D">
        <w:rPr>
          <w:lang w:val="en-GB"/>
        </w:rPr>
        <w:t xml:space="preserve">distant origin countries </w:t>
      </w:r>
      <w:r w:rsidR="0085295C">
        <w:rPr>
          <w:lang w:val="en-GB"/>
        </w:rPr>
        <w:t xml:space="preserve">that </w:t>
      </w:r>
      <w:r w:rsidR="0085295C" w:rsidRPr="008C4E3D">
        <w:rPr>
          <w:lang w:val="en-GB"/>
        </w:rPr>
        <w:t xml:space="preserve">are only reachable by air, since this allows focusing immigration controls on a few (air) ports </w:t>
      </w:r>
      <w:r w:rsidR="0085295C">
        <w:rPr>
          <w:lang w:val="en-GB"/>
        </w:rPr>
        <w:t>of entry, instead of surveillance of</w:t>
      </w:r>
      <w:r w:rsidR="0085295C" w:rsidRPr="008C4E3D">
        <w:rPr>
          <w:lang w:val="en-GB"/>
        </w:rPr>
        <w:t xml:space="preserve"> long land and sea borders. What makes </w:t>
      </w:r>
      <w:r w:rsidR="0085295C">
        <w:rPr>
          <w:lang w:val="en-GB"/>
        </w:rPr>
        <w:t xml:space="preserve">visas </w:t>
      </w:r>
      <w:r w:rsidR="0085295C" w:rsidRPr="008C4E3D">
        <w:rPr>
          <w:lang w:val="en-GB"/>
        </w:rPr>
        <w:t>even more attractive is that</w:t>
      </w:r>
      <w:r w:rsidR="0085295C">
        <w:rPr>
          <w:lang w:val="en-GB"/>
        </w:rPr>
        <w:t xml:space="preserve"> they </w:t>
      </w:r>
      <w:r w:rsidR="0085295C" w:rsidRPr="008C4E3D">
        <w:rPr>
          <w:lang w:val="en-GB"/>
        </w:rPr>
        <w:t>can generally be imposed through directives, decrees or other administrative measures, and generally do not require cumbersome legal changes and, hence, parliamentary and judiciary procedures</w:t>
      </w:r>
      <w:r w:rsidR="0085295C">
        <w:rPr>
          <w:lang w:val="en-GB"/>
        </w:rPr>
        <w:t>. They</w:t>
      </w:r>
      <w:r w:rsidR="0085295C" w:rsidRPr="008C4E3D">
        <w:rPr>
          <w:lang w:val="en-GB"/>
        </w:rPr>
        <w:t xml:space="preserve"> can therefore be implemented rather quickly, and discretely</w:t>
      </w:r>
      <w:r w:rsidR="0085295C">
        <w:rPr>
          <w:lang w:val="en-GB"/>
        </w:rPr>
        <w:t>,</w:t>
      </w:r>
      <w:r w:rsidR="0085295C" w:rsidRPr="008C4E3D">
        <w:rPr>
          <w:lang w:val="en-GB"/>
        </w:rPr>
        <w:t xml:space="preserve"> by </w:t>
      </w:r>
      <w:r w:rsidR="00C42756">
        <w:rPr>
          <w:lang w:val="en-GB"/>
        </w:rPr>
        <w:t>imposing restrictions on</w:t>
      </w:r>
      <w:r w:rsidR="0085295C" w:rsidRPr="008C4E3D">
        <w:rPr>
          <w:lang w:val="en-GB"/>
        </w:rPr>
        <w:t xml:space="preserve"> selected nationalities</w:t>
      </w:r>
      <w:r w:rsidR="0085295C">
        <w:rPr>
          <w:lang w:val="en-GB"/>
        </w:rPr>
        <w:t xml:space="preserve"> </w:t>
      </w:r>
      <w:r w:rsidR="0085295C" w:rsidRPr="008C4E3D">
        <w:rPr>
          <w:lang w:val="en-GB"/>
        </w:rPr>
        <w:fldChar w:fldCharType="begin"/>
      </w:r>
      <w:r w:rsidR="0085295C" w:rsidRPr="008C4E3D">
        <w:rPr>
          <w:lang w:val="en-GB"/>
        </w:rPr>
        <w:instrText xml:space="preserve"> ADDIN EN.CITE &lt;EndNote&gt;&lt;Cite&gt;&lt;Author&gt;Czaika&lt;/Author&gt;&lt;Year&gt;2014&lt;/Year&gt;&lt;RecNum&gt;3158&lt;/RecNum&gt;&lt;Prefix&gt;cf. &lt;/Prefix&gt;&lt;DisplayText&gt;(cf. Czaika and de Haas 2014)&lt;/DisplayText&gt;&lt;record&gt;&lt;rec-number&gt;3158&lt;/rec-number&gt;&lt;foreign-keys&gt;&lt;key app="EN" db-id="fre0edeer05adgereeq52z5xpz9xad5s22x5" timestamp="1378283803"&gt;3158&lt;/key&gt;&lt;/foreign-keys&gt;&lt;ref-type name="Book"&gt;6&lt;/ref-type&gt;&lt;contributors&gt;&lt;authors&gt;&lt;author&gt;Czaika, Mathias&lt;/author&gt;&lt;author&gt;de Haas, Hein&lt;/author&gt;&lt;/authors&gt;&lt;/contributors&gt;&lt;titles&gt;&lt;title&gt;The Effect of Visa Policy on International Migration Dynamics&lt;/title&gt;&lt;/titles&gt;&lt;dates&gt;&lt;year&gt;2014&lt;/year&gt;&lt;/dates&gt;&lt;pub-location&gt;Working Paper, Oxford&lt;/pub-location&gt;&lt;publisher&gt;University of Oxford: International Migration Institute&lt;/publisher&gt;&lt;urls&gt;&lt;/urls&gt;&lt;/record&gt;&lt;/Cite&gt;&lt;/EndNote&gt;</w:instrText>
      </w:r>
      <w:r w:rsidR="0085295C" w:rsidRPr="008C4E3D">
        <w:rPr>
          <w:lang w:val="en-GB"/>
        </w:rPr>
        <w:fldChar w:fldCharType="separate"/>
      </w:r>
      <w:r w:rsidR="0085295C" w:rsidRPr="008C4E3D">
        <w:rPr>
          <w:noProof/>
          <w:lang w:val="en-GB"/>
        </w:rPr>
        <w:t>(cf. Czaika and de Haas</w:t>
      </w:r>
      <w:r w:rsidR="00C42756">
        <w:rPr>
          <w:noProof/>
          <w:lang w:val="en-GB"/>
        </w:rPr>
        <w:t>,</w:t>
      </w:r>
      <w:r w:rsidR="0085295C" w:rsidRPr="008C4E3D">
        <w:rPr>
          <w:noProof/>
          <w:lang w:val="en-GB"/>
        </w:rPr>
        <w:t xml:space="preserve"> 201</w:t>
      </w:r>
      <w:r w:rsidR="0085295C">
        <w:rPr>
          <w:noProof/>
          <w:lang w:val="en-GB"/>
        </w:rPr>
        <w:t>6</w:t>
      </w:r>
      <w:r w:rsidR="0085295C" w:rsidRPr="008C4E3D">
        <w:rPr>
          <w:noProof/>
          <w:lang w:val="en-GB"/>
        </w:rPr>
        <w:t>)</w:t>
      </w:r>
      <w:r w:rsidR="0085295C" w:rsidRPr="008C4E3D">
        <w:rPr>
          <w:lang w:val="en-GB"/>
        </w:rPr>
        <w:fldChar w:fldCharType="end"/>
      </w:r>
      <w:r w:rsidR="0085295C" w:rsidRPr="008C4E3D">
        <w:rPr>
          <w:lang w:val="en-GB"/>
        </w:rPr>
        <w:t xml:space="preserve">. </w:t>
      </w:r>
    </w:p>
    <w:p w14:paraId="34C7C6E2" w14:textId="2F937757" w:rsidR="0085295C" w:rsidRPr="008C4E3D" w:rsidRDefault="0085295C" w:rsidP="00C51AC7">
      <w:pPr>
        <w:ind w:firstLine="720"/>
        <w:rPr>
          <w:lang w:val="en-GB"/>
        </w:rPr>
      </w:pPr>
      <w:r>
        <w:rPr>
          <w:lang w:val="en-GB"/>
        </w:rPr>
        <w:lastRenderedPageBreak/>
        <w:t>In addition to</w:t>
      </w:r>
      <w:r w:rsidRPr="008C4E3D">
        <w:rPr>
          <w:lang w:val="en-GB"/>
        </w:rPr>
        <w:t xml:space="preserve"> crucial instruments used by states to control and monitor the entry of foreign visitors and migrants and the exit of nationals, </w:t>
      </w:r>
      <w:r w:rsidR="004F5800">
        <w:rPr>
          <w:lang w:val="en-GB"/>
        </w:rPr>
        <w:t>travel visas</w:t>
      </w:r>
      <w:r w:rsidRPr="008C4E3D">
        <w:rPr>
          <w:lang w:val="en-GB"/>
        </w:rPr>
        <w:t xml:space="preserve"> also have an important function </w:t>
      </w:r>
      <w:r w:rsidR="00150FE3">
        <w:rPr>
          <w:lang w:val="en-GB"/>
        </w:rPr>
        <w:t>at</w:t>
      </w:r>
      <w:r w:rsidR="00150FE3" w:rsidRPr="008C4E3D">
        <w:rPr>
          <w:lang w:val="en-GB"/>
        </w:rPr>
        <w:t xml:space="preserve"> </w:t>
      </w:r>
      <w:r w:rsidRPr="008C4E3D">
        <w:rPr>
          <w:lang w:val="en-GB"/>
        </w:rPr>
        <w:t xml:space="preserve">the symbolic level. After all, visas are a powerful expression of modern states’ sovereignty in </w:t>
      </w:r>
      <w:r w:rsidR="00150FE3" w:rsidRPr="008C4E3D">
        <w:rPr>
          <w:lang w:val="en-GB"/>
        </w:rPr>
        <w:t>monopoli</w:t>
      </w:r>
      <w:r w:rsidR="00150FE3">
        <w:rPr>
          <w:lang w:val="en-GB"/>
        </w:rPr>
        <w:t>s</w:t>
      </w:r>
      <w:r w:rsidR="00150FE3" w:rsidRPr="008C4E3D">
        <w:rPr>
          <w:lang w:val="en-GB"/>
        </w:rPr>
        <w:t xml:space="preserve">ing </w:t>
      </w:r>
      <w:r w:rsidRPr="008C4E3D">
        <w:rPr>
          <w:lang w:val="en-GB"/>
        </w:rPr>
        <w:t xml:space="preserve">the ‘legitimate means of movement’ </w:t>
      </w:r>
      <w:r w:rsidRPr="008C4E3D">
        <w:rPr>
          <w:lang w:val="en-GB"/>
        </w:rPr>
        <w:fldChar w:fldCharType="begin"/>
      </w:r>
      <w:r w:rsidRPr="008C4E3D">
        <w:rPr>
          <w:lang w:val="en-GB"/>
        </w:rPr>
        <w:instrText xml:space="preserve"> ADDIN EN.CITE &lt;EndNote&gt;&lt;Cite&gt;&lt;Author&gt;Torpey&lt;/Author&gt;&lt;Year&gt;1998&lt;/Year&gt;&lt;RecNum&gt;2814&lt;/RecNum&gt;&lt;Prefix&gt;cf. &lt;/Prefix&gt;&lt;DisplayText&gt;(cf. Torpey 1998)&lt;/DisplayText&gt;&lt;record&gt;&lt;rec-number&gt;2814&lt;/rec-number&gt;&lt;foreign-keys&gt;&lt;key app="EN" db-id="fre0edeer05adgereeq52z5xpz9xad5s22x5" timestamp="1360663103"&gt;2814&lt;/key&gt;&lt;/foreign-keys&gt;&lt;ref-type name="Journal Article"&gt;17&lt;/ref-type&gt;&lt;contributors&gt;&lt;authors&gt;&lt;author&gt;Torpey, J.&lt;/author&gt;&lt;/authors&gt;&lt;/contributors&gt;&lt;auth-address&gt;Torpey, J&amp;#xD;Univ Calif Irvine, 3151 Social Sci Plaza, Irvine, CA 92697 USA&amp;#xD;Univ Calif Irvine, 3151 Social Sci Plaza, Irvine, CA 92697 USA&amp;#xD;Univ Calif Irvine, Irvine, CA 92697 USA&lt;/auth-address&gt;&lt;titles&gt;&lt;title&gt;Coming and going: On the state monopolization of the legitimate &amp;quot;means of movement&amp;quot;&lt;/title&gt;&lt;secondary-title&gt;Sociological Theory&lt;/secondary-title&gt;&lt;alt-title&gt;Sociol Theor&lt;/alt-title&gt;&lt;/titles&gt;&lt;pages&gt;239-259&lt;/pages&gt;&lt;volume&gt;16&lt;/volume&gt;&lt;number&gt;3&lt;/number&gt;&lt;dates&gt;&lt;year&gt;1998&lt;/year&gt;&lt;pub-dates&gt;&lt;date&gt;Nov&lt;/date&gt;&lt;/pub-dates&gt;&lt;/dates&gt;&lt;isbn&gt;0735-2751&lt;/isbn&gt;&lt;accession-num&gt;ISI:000081800500002&lt;/accession-num&gt;&lt;urls&gt;&lt;related-urls&gt;&lt;url&gt;&amp;lt;Go to ISI&amp;gt;://000081800500002&lt;/url&gt;&lt;/related-urls&gt;&lt;/urls&gt;&lt;electronic-resource-num&gt;Doi 10.1111/0735-2751.00055&lt;/electronic-resource-num&gt;&lt;language&gt;English&lt;/language&gt;&lt;/record&gt;&lt;/Cite&gt;&lt;/EndNote&gt;</w:instrText>
      </w:r>
      <w:r w:rsidRPr="008C4E3D">
        <w:rPr>
          <w:lang w:val="en-GB"/>
        </w:rPr>
        <w:fldChar w:fldCharType="separate"/>
      </w:r>
      <w:r w:rsidRPr="008C4E3D">
        <w:rPr>
          <w:noProof/>
          <w:lang w:val="en-GB"/>
        </w:rPr>
        <w:t>(cf. Torpey</w:t>
      </w:r>
      <w:r w:rsidR="00150FE3">
        <w:rPr>
          <w:noProof/>
          <w:lang w:val="en-GB"/>
        </w:rPr>
        <w:t>,</w:t>
      </w:r>
      <w:r w:rsidRPr="008C4E3D">
        <w:rPr>
          <w:noProof/>
          <w:lang w:val="en-GB"/>
        </w:rPr>
        <w:t xml:space="preserve"> 1998)</w:t>
      </w:r>
      <w:r w:rsidRPr="008C4E3D">
        <w:rPr>
          <w:lang w:val="en-GB"/>
        </w:rPr>
        <w:fldChar w:fldCharType="end"/>
      </w:r>
      <w:r w:rsidRPr="008C4E3D">
        <w:rPr>
          <w:lang w:val="en-GB"/>
        </w:rPr>
        <w:t xml:space="preserve">. This usually pertains to the sovereignty states have in limiting the movement of their own citizens (either internally or abroad) or in controlling the immigration of foreign citizens. </w:t>
      </w:r>
      <w:r w:rsidR="005C3F09">
        <w:rPr>
          <w:lang w:val="en-GB"/>
        </w:rPr>
        <w:t>Travel v</w:t>
      </w:r>
      <w:r w:rsidRPr="008C4E3D">
        <w:rPr>
          <w:lang w:val="en-GB"/>
        </w:rPr>
        <w:t xml:space="preserve">isas are visible expressions of this power, as can be witnessed by travellers at airports and other border crossing points. Besides </w:t>
      </w:r>
      <w:r w:rsidR="008F5616">
        <w:rPr>
          <w:lang w:val="en-GB"/>
        </w:rPr>
        <w:t xml:space="preserve">being </w:t>
      </w:r>
      <w:r w:rsidRPr="008C4E3D">
        <w:rPr>
          <w:lang w:val="en-GB"/>
        </w:rPr>
        <w:t xml:space="preserve">a rather effective instrument for regulating entry and ‘managing’ population mobility more generally, the highly visible </w:t>
      </w:r>
      <w:r w:rsidR="008F5616" w:rsidRPr="008C4E3D">
        <w:rPr>
          <w:lang w:val="en-GB"/>
        </w:rPr>
        <w:t>prioriti</w:t>
      </w:r>
      <w:r w:rsidR="008F5616">
        <w:rPr>
          <w:lang w:val="en-GB"/>
        </w:rPr>
        <w:t>s</w:t>
      </w:r>
      <w:r w:rsidR="008F5616" w:rsidRPr="008C4E3D">
        <w:rPr>
          <w:lang w:val="en-GB"/>
        </w:rPr>
        <w:t xml:space="preserve">ation </w:t>
      </w:r>
      <w:r w:rsidRPr="008C4E3D">
        <w:rPr>
          <w:lang w:val="en-GB"/>
        </w:rPr>
        <w:t>of ‘own citizens’ and citizens of befriended nations and the concomitant discrimination vis-à-vis traveller</w:t>
      </w:r>
      <w:r w:rsidR="008F5616">
        <w:rPr>
          <w:lang w:val="en-GB"/>
        </w:rPr>
        <w:t>s</w:t>
      </w:r>
      <w:r w:rsidRPr="008C4E3D">
        <w:rPr>
          <w:lang w:val="en-GB"/>
        </w:rPr>
        <w:t xml:space="preserve"> in need of a visa (who usually have to queue </w:t>
      </w:r>
      <w:r w:rsidR="008F5616">
        <w:rPr>
          <w:lang w:val="en-GB"/>
        </w:rPr>
        <w:t>for</w:t>
      </w:r>
      <w:r w:rsidR="008F5616" w:rsidRPr="008C4E3D">
        <w:rPr>
          <w:lang w:val="en-GB"/>
        </w:rPr>
        <w:t xml:space="preserve"> </w:t>
      </w:r>
      <w:r w:rsidRPr="008C4E3D">
        <w:rPr>
          <w:lang w:val="en-GB"/>
        </w:rPr>
        <w:t>longer and are subject to more stringent checks)</w:t>
      </w:r>
      <w:r>
        <w:rPr>
          <w:lang w:val="en-GB"/>
        </w:rPr>
        <w:t xml:space="preserve"> </w:t>
      </w:r>
      <w:r w:rsidRPr="008C4E3D">
        <w:rPr>
          <w:lang w:val="en-GB"/>
        </w:rPr>
        <w:t>are an important dimension of the ‘performative’</w:t>
      </w:r>
      <w:r>
        <w:rPr>
          <w:lang w:val="en-GB"/>
        </w:rPr>
        <w:t xml:space="preserve">, symbolic </w:t>
      </w:r>
      <w:r w:rsidRPr="008C4E3D">
        <w:rPr>
          <w:lang w:val="en-GB"/>
        </w:rPr>
        <w:t>dimension of border controls</w:t>
      </w:r>
      <w:r w:rsidR="008F5616">
        <w:rPr>
          <w:lang w:val="en-GB"/>
        </w:rPr>
        <w:t>. These checks are</w:t>
      </w:r>
      <w:r w:rsidRPr="008C4E3D">
        <w:rPr>
          <w:lang w:val="en-GB"/>
        </w:rPr>
        <w:t xml:space="preserve"> one of the most visible means of migration control, through which states exert their sovereignty and reassure citizens that borders are indeed under control. </w:t>
      </w:r>
      <w:r>
        <w:rPr>
          <w:lang w:val="en-GB"/>
        </w:rPr>
        <w:t xml:space="preserve">This is reflected in </w:t>
      </w:r>
      <w:r w:rsidR="00E50A8D">
        <w:rPr>
          <w:lang w:val="en-GB"/>
        </w:rPr>
        <w:t xml:space="preserve">the </w:t>
      </w:r>
      <w:r>
        <w:rPr>
          <w:lang w:val="en-GB"/>
        </w:rPr>
        <w:t>US</w:t>
      </w:r>
      <w:r w:rsidR="00E50A8D">
        <w:rPr>
          <w:lang w:val="en-GB"/>
        </w:rPr>
        <w:t xml:space="preserve"> through</w:t>
      </w:r>
      <w:r>
        <w:rPr>
          <w:lang w:val="en-GB"/>
        </w:rPr>
        <w:t xml:space="preserve"> </w:t>
      </w:r>
      <w:r w:rsidR="00E50A8D">
        <w:rPr>
          <w:lang w:val="en-GB"/>
        </w:rPr>
        <w:t>P</w:t>
      </w:r>
      <w:r w:rsidR="00E50A8D" w:rsidRPr="00130D03">
        <w:rPr>
          <w:lang w:val="en-GB"/>
        </w:rPr>
        <w:t xml:space="preserve">resident </w:t>
      </w:r>
      <w:r>
        <w:rPr>
          <w:lang w:val="en-GB"/>
        </w:rPr>
        <w:t>Trump’s executive order (</w:t>
      </w:r>
      <w:r w:rsidR="00E50A8D">
        <w:rPr>
          <w:lang w:val="en-GB"/>
        </w:rPr>
        <w:t xml:space="preserve">issued on </w:t>
      </w:r>
      <w:r>
        <w:rPr>
          <w:lang w:val="en-GB"/>
        </w:rPr>
        <w:t xml:space="preserve">27 January 2017) </w:t>
      </w:r>
      <w:r>
        <w:t>banning the</w:t>
      </w:r>
      <w:r w:rsidRPr="00340263">
        <w:t xml:space="preserve"> entry </w:t>
      </w:r>
      <w:r>
        <w:t>of passport holders</w:t>
      </w:r>
      <w:r w:rsidRPr="00340263">
        <w:t xml:space="preserve"> </w:t>
      </w:r>
      <w:r>
        <w:t xml:space="preserve">from </w:t>
      </w:r>
      <w:r w:rsidRPr="00340263">
        <w:t>seven countries</w:t>
      </w:r>
      <w:r>
        <w:t xml:space="preserve"> </w:t>
      </w:r>
      <w:r w:rsidR="00E50A8D">
        <w:t xml:space="preserve">for 90 days </w:t>
      </w:r>
      <w:r>
        <w:t>(including dual nationals) from</w:t>
      </w:r>
      <w:r w:rsidRPr="00340263">
        <w:t xml:space="preserve"> Iran, Iraq, Libya, Somalia, Sudan</w:t>
      </w:r>
      <w:r>
        <w:t>, Syria and Yemen. These travel visa regulations reflect his campaign promise on a so-called ‘Muslim ban’</w:t>
      </w:r>
      <w:r w:rsidR="00E50A8D">
        <w:t>,</w:t>
      </w:r>
      <w:r>
        <w:t xml:space="preserve"> based on reducing </w:t>
      </w:r>
      <w:r w:rsidR="00E50A8D">
        <w:t xml:space="preserve">perceived </w:t>
      </w:r>
      <w:r>
        <w:t>security risks and decreasing</w:t>
      </w:r>
      <w:r w:rsidR="00E50A8D">
        <w:t xml:space="preserve"> applications for asylum on</w:t>
      </w:r>
      <w:r>
        <w:t xml:space="preserve"> US soil (Guardian</w:t>
      </w:r>
      <w:r w:rsidR="00E675B8">
        <w:t>,</w:t>
      </w:r>
      <w:r>
        <w:t xml:space="preserve"> 2017).</w:t>
      </w:r>
      <w:r w:rsidR="00CF1F28">
        <w:t xml:space="preserve"> </w:t>
      </w:r>
      <w:r>
        <w:t xml:space="preserve">The domestic and global reaction to this blacklisting attempt </w:t>
      </w:r>
      <w:r w:rsidR="00DA7DEC">
        <w:t>denounced</w:t>
      </w:r>
      <w:r>
        <w:t xml:space="preserve"> the anti-Islam undertones of Trump’s ban, and </w:t>
      </w:r>
      <w:r w:rsidR="00B66297">
        <w:t xml:space="preserve">revealed </w:t>
      </w:r>
      <w:r>
        <w:t xml:space="preserve">the legal problems attached to it, given that federal judges </w:t>
      </w:r>
      <w:r w:rsidR="00DA7DEC">
        <w:t xml:space="preserve">subsequently </w:t>
      </w:r>
      <w:r>
        <w:t>overturned the executive order (Al</w:t>
      </w:r>
      <w:r w:rsidR="00DA7DEC">
        <w:t xml:space="preserve"> J</w:t>
      </w:r>
      <w:r>
        <w:t>azeera</w:t>
      </w:r>
      <w:r w:rsidR="00DA7DEC">
        <w:t>,</w:t>
      </w:r>
      <w:r>
        <w:t xml:space="preserve"> 2017). However, it also illustrates </w:t>
      </w:r>
      <w:r w:rsidR="00B66297">
        <w:t>the ways in which</w:t>
      </w:r>
      <w:r>
        <w:t xml:space="preserve"> travel visa regulations </w:t>
      </w:r>
      <w:r w:rsidR="00B66297">
        <w:t xml:space="preserve">can be used </w:t>
      </w:r>
      <w:r w:rsidR="00D26060">
        <w:t xml:space="preserve">as a </w:t>
      </w:r>
      <w:r w:rsidR="00B66297">
        <w:t xml:space="preserve">convenient </w:t>
      </w:r>
      <w:r w:rsidR="00D26060">
        <w:t xml:space="preserve">means by which </w:t>
      </w:r>
      <w:r>
        <w:t>to back up migration rhetoric and regulations</w:t>
      </w:r>
      <w:r w:rsidR="00B66297">
        <w:t>. This is particularly the case when compared</w:t>
      </w:r>
      <w:r>
        <w:t xml:space="preserve"> with other legislative instruments such as migration acts, since </w:t>
      </w:r>
      <w:r w:rsidR="00673A30">
        <w:t>travel visa regulations</w:t>
      </w:r>
      <w:r>
        <w:t xml:space="preserve"> </w:t>
      </w:r>
      <w:r w:rsidR="003D3DEB">
        <w:t>often fall under</w:t>
      </w:r>
      <w:r>
        <w:t xml:space="preserve"> executive powers which do not require legal changes, </w:t>
      </w:r>
      <w:r w:rsidR="00953E30">
        <w:t xml:space="preserve">thus </w:t>
      </w:r>
      <w:r>
        <w:t xml:space="preserve">allowing politicians to </w:t>
      </w:r>
      <w:r w:rsidR="00953E30">
        <w:t xml:space="preserve">make changes while </w:t>
      </w:r>
      <w:r>
        <w:t>avoid</w:t>
      </w:r>
      <w:r w:rsidR="00953E30">
        <w:t>ing</w:t>
      </w:r>
      <w:r>
        <w:t xml:space="preserve"> lengthy debates in congress or parliament. Moreover, their effects transcend implications for migration control, but also shape the direction of foreign policy and international relations more broadly (Foreign Policy, 2017). Reactions </w:t>
      </w:r>
      <w:r w:rsidR="00953E30">
        <w:t>from those in countries targeted by the recent US ban</w:t>
      </w:r>
      <w:r>
        <w:t xml:space="preserve"> reflect how entry visa regulations (in this case of US citizens) are potentially used as retaliatory measures to balance power asymmetries (Independent</w:t>
      </w:r>
      <w:r w:rsidR="00953E30">
        <w:t>,</w:t>
      </w:r>
      <w:r>
        <w:t xml:space="preserve"> 2017; Al</w:t>
      </w:r>
      <w:r w:rsidR="00953E30">
        <w:t xml:space="preserve"> J</w:t>
      </w:r>
      <w:r>
        <w:t>azeera</w:t>
      </w:r>
      <w:r w:rsidR="00953E30">
        <w:t>,</w:t>
      </w:r>
      <w:r>
        <w:t xml:space="preserve"> 2017). Such practices to regulate mobility and the underpinning intricate power relations are at the core of this paper. </w:t>
      </w:r>
    </w:p>
    <w:p w14:paraId="6F2595C1" w14:textId="4A799403" w:rsidR="0085295C" w:rsidRPr="008C4E3D" w:rsidRDefault="0085295C" w:rsidP="00C51AC7">
      <w:pPr>
        <w:ind w:firstLine="720"/>
        <w:rPr>
          <w:b/>
          <w:lang w:val="en-GB"/>
        </w:rPr>
      </w:pPr>
      <w:r w:rsidRPr="008C4E3D">
        <w:rPr>
          <w:lang w:val="en-GB"/>
        </w:rPr>
        <w:t xml:space="preserve">Visa regimes are thus a key expression of the ways in which states </w:t>
      </w:r>
      <w:r w:rsidR="00F50840" w:rsidRPr="008C4E3D">
        <w:rPr>
          <w:lang w:val="en-GB"/>
        </w:rPr>
        <w:t>monopoli</w:t>
      </w:r>
      <w:r w:rsidR="00F50840">
        <w:rPr>
          <w:lang w:val="en-GB"/>
        </w:rPr>
        <w:t>s</w:t>
      </w:r>
      <w:r w:rsidR="00F50840" w:rsidRPr="008C4E3D">
        <w:rPr>
          <w:lang w:val="en-GB"/>
        </w:rPr>
        <w:t xml:space="preserve">e </w:t>
      </w:r>
      <w:r w:rsidRPr="008C4E3D">
        <w:rPr>
          <w:lang w:val="en-GB"/>
        </w:rPr>
        <w:t xml:space="preserve">the ‘legitimate means of movement’. Because of their relation to the crossing of state borders, this also implies that visa policies cannot be seen in isolation from international relations. </w:t>
      </w:r>
      <w:r>
        <w:rPr>
          <w:lang w:val="en-GB"/>
        </w:rPr>
        <w:t xml:space="preserve">As Finotelli and Sciortino (2013) point out for the </w:t>
      </w:r>
      <w:r w:rsidR="00F50840">
        <w:rPr>
          <w:lang w:val="en-GB"/>
        </w:rPr>
        <w:t>EU</w:t>
      </w:r>
      <w:r>
        <w:rPr>
          <w:lang w:val="en-GB"/>
        </w:rPr>
        <w:t xml:space="preserve"> visa system, ‘the prevention of irregular migration is only one state interest out of many […] it must also be acknowledged that, in the creation of the EU visa regime, geopolitical considerations have often played a liberalising role’ (2013: 97).</w:t>
      </w:r>
      <w:r w:rsidR="00CF1F28">
        <w:rPr>
          <w:lang w:val="en-GB"/>
        </w:rPr>
        <w:t xml:space="preserve"> </w:t>
      </w:r>
      <w:r w:rsidRPr="008C4E3D">
        <w:rPr>
          <w:lang w:val="en-GB"/>
        </w:rPr>
        <w:t xml:space="preserve">After all, the imposition of immigration controls implies </w:t>
      </w:r>
      <w:r w:rsidR="00F50840">
        <w:rPr>
          <w:lang w:val="en-GB"/>
        </w:rPr>
        <w:t>an infringement of</w:t>
      </w:r>
      <w:r w:rsidRPr="008C4E3D">
        <w:rPr>
          <w:lang w:val="en-GB"/>
        </w:rPr>
        <w:t xml:space="preserve"> the liberties enjoyed by citizens of other states. In the first place, this helps us to explain why exit </w:t>
      </w:r>
      <w:r>
        <w:rPr>
          <w:lang w:val="en-GB"/>
        </w:rPr>
        <w:t>restrictions</w:t>
      </w:r>
      <w:r w:rsidRPr="008C4E3D">
        <w:rPr>
          <w:lang w:val="en-GB"/>
        </w:rPr>
        <w:t xml:space="preserve"> are increasingly seen as untenable in a context of increasing emphasis on human rights, which first and foremost apply to </w:t>
      </w:r>
      <w:r w:rsidR="00006488">
        <w:rPr>
          <w:lang w:val="en-GB"/>
        </w:rPr>
        <w:t xml:space="preserve">a country’s </w:t>
      </w:r>
      <w:r w:rsidRPr="008C4E3D">
        <w:rPr>
          <w:lang w:val="en-GB"/>
        </w:rPr>
        <w:t xml:space="preserve">own citizens. For states that perceive </w:t>
      </w:r>
      <w:r w:rsidR="00006488">
        <w:rPr>
          <w:lang w:val="en-GB"/>
        </w:rPr>
        <w:t xml:space="preserve">themselves to be, </w:t>
      </w:r>
      <w:r w:rsidRPr="008C4E3D">
        <w:rPr>
          <w:lang w:val="en-GB"/>
        </w:rPr>
        <w:t xml:space="preserve">or </w:t>
      </w:r>
      <w:r w:rsidR="00006488">
        <w:rPr>
          <w:lang w:val="en-GB"/>
        </w:rPr>
        <w:t xml:space="preserve">would </w:t>
      </w:r>
      <w:r w:rsidRPr="008C4E3D">
        <w:rPr>
          <w:lang w:val="en-GB"/>
        </w:rPr>
        <w:t xml:space="preserve">at least like to portray themselves as democratic, infringing the mobility rights of their own people, either through controlling internal mobility, such as </w:t>
      </w:r>
      <w:r w:rsidR="00006488">
        <w:rPr>
          <w:lang w:val="en-GB"/>
        </w:rPr>
        <w:t xml:space="preserve">in </w:t>
      </w:r>
      <w:r w:rsidRPr="008C4E3D">
        <w:rPr>
          <w:lang w:val="en-GB"/>
        </w:rPr>
        <w:t xml:space="preserve">the Chinese </w:t>
      </w:r>
      <w:r w:rsidRPr="008C4E3D">
        <w:rPr>
          <w:i/>
          <w:lang w:val="en-GB"/>
        </w:rPr>
        <w:t>hukou</w:t>
      </w:r>
      <w:r w:rsidRPr="008C4E3D">
        <w:rPr>
          <w:lang w:val="en-GB"/>
        </w:rPr>
        <w:t xml:space="preserve"> system </w:t>
      </w:r>
      <w:r w:rsidRPr="008C4E3D">
        <w:rPr>
          <w:lang w:val="en-GB"/>
        </w:rPr>
        <w:fldChar w:fldCharType="begin"/>
      </w:r>
      <w:r w:rsidRPr="008C4E3D">
        <w:rPr>
          <w:lang w:val="en-GB"/>
        </w:rPr>
        <w:instrText xml:space="preserve"> ADDIN EN.CITE &lt;EndNote&gt;&lt;Cite&gt;&lt;Author&gt;Liu&lt;/Author&gt;&lt;Year&gt;2005&lt;/Year&gt;&lt;RecNum&gt;4125&lt;/RecNum&gt;&lt;DisplayText&gt;(Liu 2005)&lt;/DisplayText&gt;&lt;record&gt;&lt;rec-number&gt;4125&lt;/rec-number&gt;&lt;foreign-keys&gt;&lt;key app="EN" db-id="fre0edeer05adgereeq52z5xpz9xad5s22x5" timestamp="1480415623"&gt;4125&lt;/key&gt;&lt;/foreign-keys&gt;&lt;ref-type name="Journal Article"&gt;17&lt;/ref-type&gt;&lt;contributors&gt;&lt;authors&gt;&lt;author&gt;Liu, Zhiqiang&lt;/author&gt;&lt;/authors&gt;&lt;/contributors&gt;&lt;titles&gt;&lt;title&gt;Institution and inequality: the hukou system in China&lt;/title&gt;&lt;secondary-title&gt;Journal of comparative economics&lt;/secondary-title&gt;&lt;/titles&gt;&lt;periodical&gt;&lt;full-title&gt;Journal of comparative economics&lt;/full-title&gt;&lt;/periodical&gt;&lt;pages&gt;133-157&lt;/pages&gt;&lt;volume&gt;33&lt;/volume&gt;&lt;number&gt;1&lt;/number&gt;&lt;dates&gt;&lt;year&gt;2005&lt;/year&gt;&lt;/dates&gt;&lt;isbn&gt;0147-5967&lt;/isbn&gt;&lt;urls&gt;&lt;/urls&gt;&lt;/record&gt;&lt;/Cite&gt;&lt;/EndNote&gt;</w:instrText>
      </w:r>
      <w:r w:rsidRPr="008C4E3D">
        <w:rPr>
          <w:lang w:val="en-GB"/>
        </w:rPr>
        <w:fldChar w:fldCharType="separate"/>
      </w:r>
      <w:r w:rsidRPr="008C4E3D">
        <w:rPr>
          <w:noProof/>
          <w:lang w:val="en-GB"/>
        </w:rPr>
        <w:t>(Liu</w:t>
      </w:r>
      <w:r w:rsidR="00006488">
        <w:rPr>
          <w:noProof/>
          <w:lang w:val="en-GB"/>
        </w:rPr>
        <w:t>,</w:t>
      </w:r>
      <w:r w:rsidRPr="008C4E3D">
        <w:rPr>
          <w:noProof/>
          <w:lang w:val="en-GB"/>
        </w:rPr>
        <w:t xml:space="preserve"> 2005)</w:t>
      </w:r>
      <w:r w:rsidRPr="008C4E3D">
        <w:rPr>
          <w:lang w:val="en-GB"/>
        </w:rPr>
        <w:fldChar w:fldCharType="end"/>
      </w:r>
      <w:r w:rsidRPr="008C4E3D">
        <w:rPr>
          <w:lang w:val="en-GB"/>
        </w:rPr>
        <w:t>, or through exit visas, such as was for instance common in Communist and Fascist states, has therefore become increasingly unacceptable, since this</w:t>
      </w:r>
      <w:r w:rsidR="00006488">
        <w:rPr>
          <w:lang w:val="en-GB"/>
        </w:rPr>
        <w:t xml:space="preserve"> kind of restriction</w:t>
      </w:r>
      <w:r w:rsidRPr="008C4E3D">
        <w:rPr>
          <w:lang w:val="en-GB"/>
        </w:rPr>
        <w:t xml:space="preserve"> is </w:t>
      </w:r>
      <w:r w:rsidR="00006488">
        <w:rPr>
          <w:lang w:val="en-GB"/>
        </w:rPr>
        <w:t>more and more</w:t>
      </w:r>
      <w:r w:rsidRPr="008C4E3D">
        <w:rPr>
          <w:lang w:val="en-GB"/>
        </w:rPr>
        <w:t xml:space="preserve"> seen as </w:t>
      </w:r>
      <w:r w:rsidR="00006488">
        <w:rPr>
          <w:lang w:val="en-GB"/>
        </w:rPr>
        <w:t>not compatible with observation of</w:t>
      </w:r>
      <w:r w:rsidRPr="008C4E3D">
        <w:rPr>
          <w:lang w:val="en-GB"/>
        </w:rPr>
        <w:t xml:space="preserve"> fundamental human rights as stated in article 13 of the Universal Declaration of Human Rights</w:t>
      </w:r>
      <w:r>
        <w:rPr>
          <w:lang w:val="en-GB"/>
        </w:rPr>
        <w:t xml:space="preserve"> (UN, 1948)</w:t>
      </w:r>
      <w:r w:rsidRPr="008C4E3D">
        <w:rPr>
          <w:lang w:val="en-GB"/>
        </w:rPr>
        <w:t xml:space="preserve">. Yet the granting of mobility rights to citizens has coincided with a continued </w:t>
      </w:r>
      <w:r w:rsidR="00006488">
        <w:rPr>
          <w:lang w:val="en-GB"/>
        </w:rPr>
        <w:t>legitimation</w:t>
      </w:r>
      <w:r w:rsidR="00006488" w:rsidRPr="008C4E3D">
        <w:rPr>
          <w:lang w:val="en-GB"/>
        </w:rPr>
        <w:t xml:space="preserve"> </w:t>
      </w:r>
      <w:r w:rsidRPr="008C4E3D">
        <w:rPr>
          <w:lang w:val="en-GB"/>
        </w:rPr>
        <w:t xml:space="preserve">of subjecting foreign citizens to </w:t>
      </w:r>
      <w:r w:rsidRPr="008C4E3D">
        <w:rPr>
          <w:lang w:val="en-GB"/>
        </w:rPr>
        <w:lastRenderedPageBreak/>
        <w:t xml:space="preserve">visa requirements at the </w:t>
      </w:r>
      <w:r>
        <w:rPr>
          <w:lang w:val="en-GB"/>
        </w:rPr>
        <w:t xml:space="preserve">will of the </w:t>
      </w:r>
      <w:r w:rsidRPr="008C4E3D">
        <w:rPr>
          <w:lang w:val="en-GB"/>
        </w:rPr>
        <w:t>state</w:t>
      </w:r>
      <w:r>
        <w:rPr>
          <w:lang w:val="en-GB"/>
        </w:rPr>
        <w:t xml:space="preserve"> of travel destination</w:t>
      </w:r>
      <w:r w:rsidRPr="008C4E3D">
        <w:rPr>
          <w:lang w:val="en-GB"/>
        </w:rPr>
        <w:t>.</w:t>
      </w:r>
      <w:r>
        <w:rPr>
          <w:lang w:val="en-GB"/>
        </w:rPr>
        <w:t xml:space="preserve"> </w:t>
      </w:r>
      <w:r w:rsidR="00D2672C">
        <w:rPr>
          <w:lang w:val="en-GB"/>
        </w:rPr>
        <w:t>Travel v</w:t>
      </w:r>
      <w:r>
        <w:rPr>
          <w:lang w:val="en-GB"/>
        </w:rPr>
        <w:t xml:space="preserve">isa </w:t>
      </w:r>
      <w:r w:rsidR="00D2672C">
        <w:rPr>
          <w:lang w:val="en-GB"/>
        </w:rPr>
        <w:t xml:space="preserve">regulations </w:t>
      </w:r>
      <w:r>
        <w:rPr>
          <w:lang w:val="en-GB"/>
        </w:rPr>
        <w:t>are legitimate</w:t>
      </w:r>
      <w:r w:rsidR="00006488">
        <w:rPr>
          <w:lang w:val="en-GB"/>
        </w:rPr>
        <w:t>d</w:t>
      </w:r>
      <w:r>
        <w:rPr>
          <w:lang w:val="en-GB"/>
        </w:rPr>
        <w:t xml:space="preserve"> by the virtue of modern </w:t>
      </w:r>
      <w:r w:rsidRPr="00C51AC7">
        <w:rPr>
          <w:lang w:val="en-GB"/>
        </w:rPr>
        <w:t>citizenship</w:t>
      </w:r>
      <w:r>
        <w:rPr>
          <w:lang w:val="en-GB"/>
        </w:rPr>
        <w:t>:</w:t>
      </w:r>
      <w:r>
        <w:rPr>
          <w:i/>
          <w:lang w:val="en-GB"/>
        </w:rPr>
        <w:t xml:space="preserve"> </w:t>
      </w:r>
      <w:r>
        <w:rPr>
          <w:lang w:val="en-GB"/>
        </w:rPr>
        <w:t xml:space="preserve">we can therefore see visa regimes as systems of </w:t>
      </w:r>
      <w:r w:rsidR="00006488">
        <w:rPr>
          <w:lang w:val="en-GB"/>
        </w:rPr>
        <w:t xml:space="preserve">institutionalised </w:t>
      </w:r>
      <w:r>
        <w:rPr>
          <w:lang w:val="en-GB"/>
        </w:rPr>
        <w:t xml:space="preserve">discrimination based on nationality, which can be justified from the logic of protecting the exclusive residency and political rights of citizens. </w:t>
      </w:r>
    </w:p>
    <w:p w14:paraId="0FEEFC29" w14:textId="77777777" w:rsidR="0085295C" w:rsidRPr="008C4E3D" w:rsidRDefault="0085295C" w:rsidP="0085295C">
      <w:pPr>
        <w:widowControl w:val="0"/>
        <w:spacing w:line="360" w:lineRule="auto"/>
        <w:rPr>
          <w:rFonts w:ascii="Garamond" w:hAnsi="Garamond"/>
          <w:b/>
          <w:lang w:val="en-GB"/>
        </w:rPr>
      </w:pPr>
    </w:p>
    <w:p w14:paraId="5E4C6BDD" w14:textId="35301D4B" w:rsidR="0085295C" w:rsidRPr="008C4E3D" w:rsidRDefault="00632060" w:rsidP="0085295C">
      <w:pPr>
        <w:pStyle w:val="Heading1"/>
        <w:rPr>
          <w:i/>
        </w:rPr>
      </w:pPr>
      <w:r>
        <w:t>Travel v</w:t>
      </w:r>
      <w:r w:rsidR="0085295C" w:rsidRPr="008C4E3D">
        <w:t xml:space="preserve">isas as </w:t>
      </w:r>
      <w:r w:rsidR="0085295C">
        <w:t xml:space="preserve">a </w:t>
      </w:r>
      <w:r w:rsidR="0085295C" w:rsidRPr="008C4E3D">
        <w:t xml:space="preserve">foreign policy </w:t>
      </w:r>
      <w:r w:rsidR="0085295C">
        <w:t>instrument</w:t>
      </w:r>
    </w:p>
    <w:p w14:paraId="34D2D541" w14:textId="11E096CC" w:rsidR="0085295C" w:rsidRDefault="005D5ACC" w:rsidP="0085295C">
      <w:pPr>
        <w:rPr>
          <w:lang w:val="en-GB"/>
        </w:rPr>
      </w:pPr>
      <w:r>
        <w:rPr>
          <w:lang w:val="en-GB"/>
        </w:rPr>
        <w:t>As discussed above, travel v</w:t>
      </w:r>
      <w:r w:rsidR="0085295C" w:rsidRPr="008C4E3D">
        <w:rPr>
          <w:lang w:val="en-GB"/>
        </w:rPr>
        <w:t xml:space="preserve">isa regimes should also be seen as an inherent part of foreign policy, as the curtailing or lifting of entry restrictions for citizens of particular countries is also a political statement and can therefore only be understood by taking into consideration the broader context of bilateral or multilateral relations. In this context, we distinguish a number of bilateral and multilateral </w:t>
      </w:r>
      <w:r w:rsidR="007E6DAC">
        <w:rPr>
          <w:lang w:val="en-GB"/>
        </w:rPr>
        <w:t xml:space="preserve">travel </w:t>
      </w:r>
      <w:r w:rsidR="0085295C" w:rsidRPr="008C4E3D">
        <w:rPr>
          <w:lang w:val="en-GB"/>
        </w:rPr>
        <w:t>visa dynamics or interactions.</w:t>
      </w:r>
      <w:r w:rsidR="00CF1F28">
        <w:rPr>
          <w:lang w:val="en-GB"/>
        </w:rPr>
        <w:t xml:space="preserve"> </w:t>
      </w:r>
      <w:r w:rsidR="0085295C" w:rsidRPr="008C4E3D">
        <w:rPr>
          <w:lang w:val="en-GB"/>
        </w:rPr>
        <w:t xml:space="preserve">The first is </w:t>
      </w:r>
      <w:r w:rsidR="0085295C" w:rsidRPr="008C4E3D">
        <w:rPr>
          <w:i/>
          <w:lang w:val="en-GB"/>
        </w:rPr>
        <w:t>visa retaliation</w:t>
      </w:r>
      <w:r w:rsidR="0085295C" w:rsidRPr="008C4E3D">
        <w:rPr>
          <w:lang w:val="en-GB"/>
        </w:rPr>
        <w:t xml:space="preserve">, in which the introduction of a visa by country X for citizens of country Y leads to punitive, antagonistic retaliation by the reciprocal introduction of visa requirements for citizens by country Y for citizens of country X. The unilateral imposition of visa regimes can be seen as a diplomatic affront, particularly when this happens outside of the context of broader diplomatic deals. For instance, when the Netherlands introduced a visa for Moroccan citizens in 1984, the Moroccan government took offence </w:t>
      </w:r>
      <w:r w:rsidR="0066744A">
        <w:rPr>
          <w:lang w:val="en-GB"/>
        </w:rPr>
        <w:t>and introduced</w:t>
      </w:r>
      <w:r w:rsidR="0085295C" w:rsidRPr="008C4E3D">
        <w:rPr>
          <w:lang w:val="en-GB"/>
        </w:rPr>
        <w:t xml:space="preserve"> visa requirements for Dutch citizens wishing to travel to Morocco (DEMIG VISA, 2015). </w:t>
      </w:r>
    </w:p>
    <w:p w14:paraId="174BDB88" w14:textId="7A9FDF9F" w:rsidR="0085295C" w:rsidRDefault="0085295C" w:rsidP="00C51AC7">
      <w:pPr>
        <w:ind w:firstLine="720"/>
        <w:rPr>
          <w:lang w:val="en-GB"/>
        </w:rPr>
      </w:pPr>
      <w:r w:rsidRPr="008C4E3D">
        <w:rPr>
          <w:lang w:val="en-GB"/>
        </w:rPr>
        <w:t>However, the extent to which such visa retaliation happens also seems to depend on the geopolitical clout of the target country.</w:t>
      </w:r>
      <w:r w:rsidR="00CF1F28">
        <w:rPr>
          <w:lang w:val="en-GB"/>
        </w:rPr>
        <w:t xml:space="preserve"> </w:t>
      </w:r>
      <w:r>
        <w:rPr>
          <w:lang w:val="en-GB"/>
        </w:rPr>
        <w:t xml:space="preserve">For instance, </w:t>
      </w:r>
      <w:r w:rsidRPr="008C4E3D">
        <w:rPr>
          <w:lang w:val="en-GB"/>
        </w:rPr>
        <w:t xml:space="preserve">citizens from France continued to enjoy visa-free travel to Morocco despite the fact that France </w:t>
      </w:r>
      <w:r w:rsidR="00C463CF" w:rsidRPr="008C4E3D">
        <w:rPr>
          <w:lang w:val="en-GB"/>
        </w:rPr>
        <w:t xml:space="preserve">also </w:t>
      </w:r>
      <w:r w:rsidRPr="008C4E3D">
        <w:rPr>
          <w:lang w:val="en-GB"/>
        </w:rPr>
        <w:t>introduced visas for Moroccans</w:t>
      </w:r>
      <w:r w:rsidR="00E43F2B">
        <w:rPr>
          <w:lang w:val="en-GB"/>
        </w:rPr>
        <w:t>,</w:t>
      </w:r>
      <w:r w:rsidRPr="008C4E3D">
        <w:rPr>
          <w:lang w:val="en-GB"/>
        </w:rPr>
        <w:t xml:space="preserve"> in 1986 (DEMIG VISA, 2015). The existence of close diplomatic, political and economic ties with France </w:t>
      </w:r>
      <w:r>
        <w:rPr>
          <w:lang w:val="en-GB"/>
        </w:rPr>
        <w:t xml:space="preserve">arguably </w:t>
      </w:r>
      <w:r w:rsidRPr="008C4E3D">
        <w:rPr>
          <w:lang w:val="en-GB"/>
        </w:rPr>
        <w:t xml:space="preserve">explain why Morocco was not in the position to impose </w:t>
      </w:r>
      <w:r w:rsidR="00036950">
        <w:rPr>
          <w:lang w:val="en-GB"/>
        </w:rPr>
        <w:t xml:space="preserve">travel </w:t>
      </w:r>
      <w:r w:rsidRPr="008C4E3D">
        <w:rPr>
          <w:lang w:val="en-GB"/>
        </w:rPr>
        <w:t>visas for French citizens</w:t>
      </w:r>
      <w:r>
        <w:rPr>
          <w:lang w:val="en-GB"/>
        </w:rPr>
        <w:t xml:space="preserve">, because this could have </w:t>
      </w:r>
      <w:r w:rsidRPr="008C4E3D">
        <w:rPr>
          <w:lang w:val="en-GB"/>
        </w:rPr>
        <w:t xml:space="preserve">negative repercussions for Moroccan businesses and elite interests. While diplomatic relations between Morocco and the Netherlands have always been </w:t>
      </w:r>
      <w:r w:rsidR="007B2975">
        <w:rPr>
          <w:lang w:val="en-GB"/>
        </w:rPr>
        <w:t>less stable,</w:t>
      </w:r>
      <w:r w:rsidRPr="008C4E3D">
        <w:rPr>
          <w:lang w:val="en-GB"/>
        </w:rPr>
        <w:t xml:space="preserve"> and at times antagonistic</w:t>
      </w:r>
      <w:r w:rsidR="007B2975">
        <w:rPr>
          <w:lang w:val="en-GB"/>
        </w:rPr>
        <w:t>,</w:t>
      </w:r>
      <w:r w:rsidRPr="008C4E3D">
        <w:rPr>
          <w:lang w:val="en-GB"/>
        </w:rPr>
        <w:t xml:space="preserve"> </w:t>
      </w:r>
      <w:r w:rsidRPr="008C4E3D">
        <w:rPr>
          <w:lang w:val="en-GB"/>
        </w:rPr>
        <w:fldChar w:fldCharType="begin"/>
      </w:r>
      <w:r w:rsidRPr="008C4E3D">
        <w:rPr>
          <w:lang w:val="en-GB"/>
        </w:rPr>
        <w:instrText xml:space="preserve"> ADDIN EN.CITE &lt;EndNote&gt;&lt;Cite&gt;&lt;Author&gt;Kahmann&lt;/Author&gt;&lt;Year&gt;2014&lt;/Year&gt;&lt;RecNum&gt;4126&lt;/RecNum&gt;&lt;Prefix&gt;cf. &lt;/Prefix&gt;&lt;DisplayText&gt;(cf. Kahmann 2014)&lt;/DisplayText&gt;&lt;record&gt;&lt;rec-number&gt;4126&lt;/rec-number&gt;&lt;foreign-keys&gt;&lt;key app="EN" db-id="fre0edeer05adgereeq52z5xpz9xad5s22x5" timestamp="1480418097"&gt;4126&lt;/key&gt;&lt;/foreign-keys&gt;&lt;ref-type name="Thesis"&gt;32&lt;/ref-type&gt;&lt;contributors&gt;&lt;authors&gt;&lt;author&gt;Kahmann, Merel Josephine&lt;/author&gt;&lt;/authors&gt;&lt;/contributors&gt;&lt;titles&gt;&lt;title&gt;Ontmoetingen tussen Marokkaanse Nederlanders en de Marokkaanse overheid: een antropologisch perspectief&lt;/title&gt;&lt;/titles&gt;&lt;dates&gt;&lt;year&gt;2014&lt;/year&gt;&lt;/dates&gt;&lt;publisher&gt;Leiden University Institute for Religious Studies, Faculty of the Humanities&lt;/publisher&gt;&lt;urls&gt;&lt;/urls&gt;&lt;/record&gt;&lt;/Cite&gt;&lt;/EndNote&gt;</w:instrText>
      </w:r>
      <w:r w:rsidRPr="008C4E3D">
        <w:rPr>
          <w:lang w:val="en-GB"/>
        </w:rPr>
        <w:fldChar w:fldCharType="separate"/>
      </w:r>
      <w:r w:rsidRPr="008C4E3D">
        <w:rPr>
          <w:noProof/>
          <w:lang w:val="en-GB"/>
        </w:rPr>
        <w:t>(cf. Kahmann</w:t>
      </w:r>
      <w:r w:rsidR="007B2975">
        <w:rPr>
          <w:noProof/>
          <w:lang w:val="en-GB"/>
        </w:rPr>
        <w:t>,</w:t>
      </w:r>
      <w:r w:rsidRPr="008C4E3D">
        <w:rPr>
          <w:noProof/>
          <w:lang w:val="en-GB"/>
        </w:rPr>
        <w:t xml:space="preserve"> 2014)</w:t>
      </w:r>
      <w:r w:rsidRPr="008C4E3D">
        <w:rPr>
          <w:lang w:val="en-GB"/>
        </w:rPr>
        <w:fldChar w:fldCharType="end"/>
      </w:r>
      <w:r w:rsidRPr="008C4E3D">
        <w:rPr>
          <w:lang w:val="en-GB"/>
        </w:rPr>
        <w:t>, the Netherlands is also of relative</w:t>
      </w:r>
      <w:r w:rsidR="007B2975">
        <w:rPr>
          <w:lang w:val="en-GB"/>
        </w:rPr>
        <w:t>ly</w:t>
      </w:r>
      <w:r w:rsidRPr="008C4E3D">
        <w:rPr>
          <w:lang w:val="en-GB"/>
        </w:rPr>
        <w:t xml:space="preserve"> minor economic and political importance </w:t>
      </w:r>
      <w:r w:rsidR="007B2975">
        <w:rPr>
          <w:lang w:val="en-GB"/>
        </w:rPr>
        <w:t>to</w:t>
      </w:r>
      <w:r w:rsidR="007B2975" w:rsidRPr="008C4E3D">
        <w:rPr>
          <w:lang w:val="en-GB"/>
        </w:rPr>
        <w:t xml:space="preserve"> </w:t>
      </w:r>
      <w:r w:rsidRPr="008C4E3D">
        <w:rPr>
          <w:lang w:val="en-GB"/>
        </w:rPr>
        <w:t>the Moroccan state. In other words, the Moroccan state could afford to impose travel restrictions for Dutch citizens, but not for French citizens</w:t>
      </w:r>
      <w:r w:rsidRPr="008C4E3D">
        <w:rPr>
          <w:rStyle w:val="FootnoteReference"/>
          <w:rFonts w:ascii="Garamond" w:hAnsi="Garamond"/>
          <w:lang w:val="en-GB"/>
        </w:rPr>
        <w:footnoteReference w:id="2"/>
      </w:r>
      <w:r w:rsidRPr="008C4E3D">
        <w:rPr>
          <w:lang w:val="en-GB"/>
        </w:rPr>
        <w:t xml:space="preserve">. This suggests that </w:t>
      </w:r>
      <w:r>
        <w:rPr>
          <w:lang w:val="en-GB"/>
        </w:rPr>
        <w:t xml:space="preserve">analysing </w:t>
      </w:r>
      <w:r w:rsidRPr="008C4E3D">
        <w:rPr>
          <w:lang w:val="en-GB"/>
        </w:rPr>
        <w:t xml:space="preserve">the evolution of reciprocal visa regimes </w:t>
      </w:r>
      <w:r>
        <w:rPr>
          <w:lang w:val="en-GB"/>
        </w:rPr>
        <w:t xml:space="preserve">can </w:t>
      </w:r>
      <w:r w:rsidRPr="008C4E3D">
        <w:rPr>
          <w:lang w:val="en-GB"/>
        </w:rPr>
        <w:t>provide a unique window for study</w:t>
      </w:r>
      <w:r>
        <w:rPr>
          <w:lang w:val="en-GB"/>
        </w:rPr>
        <w:t>ing</w:t>
      </w:r>
      <w:r w:rsidRPr="008C4E3D">
        <w:rPr>
          <w:lang w:val="en-GB"/>
        </w:rPr>
        <w:t xml:space="preserve"> power asymmetries between countries. Based on th</w:t>
      </w:r>
      <w:r>
        <w:rPr>
          <w:lang w:val="en-GB"/>
        </w:rPr>
        <w:t>e Moroccan</w:t>
      </w:r>
      <w:r w:rsidRPr="008C4E3D">
        <w:rPr>
          <w:lang w:val="en-GB"/>
        </w:rPr>
        <w:t xml:space="preserve"> example, we could hypothesize that more powerful states (in terms of population, wealth and military power) have a higher ability to unilaterally impose visa conditions while securing visa-free travel for their own citizens.</w:t>
      </w:r>
    </w:p>
    <w:p w14:paraId="5431BDBB" w14:textId="29B131B5" w:rsidR="0085295C" w:rsidRPr="008C4E3D" w:rsidRDefault="0085295C" w:rsidP="00C51AC7">
      <w:pPr>
        <w:ind w:firstLine="720"/>
        <w:rPr>
          <w:lang w:val="en-GB"/>
        </w:rPr>
      </w:pPr>
      <w:r w:rsidRPr="008C4E3D">
        <w:rPr>
          <w:lang w:val="en-GB"/>
        </w:rPr>
        <w:t xml:space="preserve">This has also been the case for many Latin American countries, which did not </w:t>
      </w:r>
      <w:r>
        <w:rPr>
          <w:lang w:val="en-GB"/>
        </w:rPr>
        <w:t xml:space="preserve">reciprocally </w:t>
      </w:r>
      <w:r w:rsidRPr="008C4E3D">
        <w:rPr>
          <w:lang w:val="en-GB"/>
        </w:rPr>
        <w:t xml:space="preserve">impose visa requirements </w:t>
      </w:r>
      <w:r w:rsidR="00E43F2B">
        <w:rPr>
          <w:lang w:val="en-GB"/>
        </w:rPr>
        <w:t>on</w:t>
      </w:r>
      <w:r w:rsidR="00E43F2B" w:rsidRPr="008C4E3D">
        <w:rPr>
          <w:lang w:val="en-GB"/>
        </w:rPr>
        <w:t xml:space="preserve"> </w:t>
      </w:r>
      <w:r w:rsidRPr="008C4E3D">
        <w:rPr>
          <w:lang w:val="en-GB"/>
        </w:rPr>
        <w:t xml:space="preserve">Spanish citizens when visas were introduced for their citizens in 1991 amid Spain becoming part of the Schengen area. Equally, the recent openness of the Schengen area to countries </w:t>
      </w:r>
      <w:r w:rsidR="00E43F2B">
        <w:rPr>
          <w:lang w:val="en-GB"/>
        </w:rPr>
        <w:t>including</w:t>
      </w:r>
      <w:r w:rsidRPr="008C4E3D">
        <w:rPr>
          <w:lang w:val="en-GB"/>
        </w:rPr>
        <w:t xml:space="preserve"> Colombia and Peru (</w:t>
      </w:r>
      <w:r>
        <w:rPr>
          <w:lang w:val="en-GB"/>
        </w:rPr>
        <w:t xml:space="preserve">which became </w:t>
      </w:r>
      <w:r w:rsidRPr="008C4E3D">
        <w:rPr>
          <w:lang w:val="en-GB"/>
        </w:rPr>
        <w:t>visa</w:t>
      </w:r>
      <w:r>
        <w:rPr>
          <w:lang w:val="en-GB"/>
        </w:rPr>
        <w:t>-</w:t>
      </w:r>
      <w:r w:rsidRPr="008C4E3D">
        <w:rPr>
          <w:lang w:val="en-GB"/>
        </w:rPr>
        <w:t>exempt in 2015 and 2016</w:t>
      </w:r>
      <w:r>
        <w:rPr>
          <w:lang w:val="en-GB"/>
        </w:rPr>
        <w:t>,</w:t>
      </w:r>
      <w:r w:rsidRPr="008C4E3D">
        <w:rPr>
          <w:lang w:val="en-GB"/>
        </w:rPr>
        <w:t xml:space="preserve"> respectively) reflect the Spanish and European strategic economic interests in the region in the aftermath of the global financial crisis, accompanied by the increase in</w:t>
      </w:r>
      <w:r>
        <w:rPr>
          <w:lang w:val="en-GB"/>
        </w:rPr>
        <w:t xml:space="preserve"> migration</w:t>
      </w:r>
      <w:r w:rsidRPr="008C4E3D">
        <w:rPr>
          <w:lang w:val="en-GB"/>
        </w:rPr>
        <w:t xml:space="preserve"> </w:t>
      </w:r>
      <w:r w:rsidR="00E43F2B">
        <w:rPr>
          <w:lang w:val="en-GB"/>
        </w:rPr>
        <w:t>of</w:t>
      </w:r>
      <w:r w:rsidR="00E43F2B" w:rsidRPr="008C4E3D">
        <w:rPr>
          <w:lang w:val="en-GB"/>
        </w:rPr>
        <w:t xml:space="preserve"> </w:t>
      </w:r>
      <w:r w:rsidR="0038692A">
        <w:rPr>
          <w:lang w:val="en-GB"/>
        </w:rPr>
        <w:t>Spanish citizens</w:t>
      </w:r>
      <w:r w:rsidR="0038692A" w:rsidRPr="008C4E3D">
        <w:rPr>
          <w:lang w:val="en-GB"/>
        </w:rPr>
        <w:t xml:space="preserve"> </w:t>
      </w:r>
      <w:r w:rsidRPr="008C4E3D">
        <w:rPr>
          <w:lang w:val="en-GB"/>
        </w:rPr>
        <w:t>to Latin American countries. This renewed openness was welcome</w:t>
      </w:r>
      <w:r w:rsidR="0038692A">
        <w:rPr>
          <w:lang w:val="en-GB"/>
        </w:rPr>
        <w:t>d</w:t>
      </w:r>
      <w:r w:rsidRPr="008C4E3D">
        <w:rPr>
          <w:lang w:val="en-GB"/>
        </w:rPr>
        <w:t xml:space="preserve"> by Peruvian president Ollanta Humala by indicating unequal postcolonial relations</w:t>
      </w:r>
      <w:r w:rsidR="0038692A">
        <w:rPr>
          <w:lang w:val="en-GB"/>
        </w:rPr>
        <w:t>:</w:t>
      </w:r>
      <w:r w:rsidRPr="008C4E3D">
        <w:rPr>
          <w:lang w:val="en-GB"/>
        </w:rPr>
        <w:t xml:space="preserve"> </w:t>
      </w:r>
      <w:r w:rsidR="0038692A">
        <w:rPr>
          <w:lang w:val="en-GB"/>
        </w:rPr>
        <w:t>‘</w:t>
      </w:r>
      <w:r w:rsidRPr="008C4E3D">
        <w:rPr>
          <w:lang w:val="en-GB"/>
        </w:rPr>
        <w:t>in 1492 the first European mission arrived to America and we did not request a visa. Since that time, we have always welcome</w:t>
      </w:r>
      <w:r w:rsidR="007F7E9E">
        <w:rPr>
          <w:lang w:val="en-GB"/>
        </w:rPr>
        <w:t>d</w:t>
      </w:r>
      <w:r w:rsidRPr="008C4E3D">
        <w:rPr>
          <w:lang w:val="en-GB"/>
        </w:rPr>
        <w:t xml:space="preserve"> them with open doors</w:t>
      </w:r>
      <w:r w:rsidR="007F7E9E">
        <w:rPr>
          <w:lang w:val="en-GB"/>
        </w:rPr>
        <w:t>’</w:t>
      </w:r>
      <w:r w:rsidRPr="008C4E3D">
        <w:rPr>
          <w:lang w:val="en-GB"/>
        </w:rPr>
        <w:t xml:space="preserve"> (El Pa</w:t>
      </w:r>
      <w:r>
        <w:rPr>
          <w:lang w:val="en-GB"/>
        </w:rPr>
        <w:t>í</w:t>
      </w:r>
      <w:r w:rsidRPr="008C4E3D">
        <w:rPr>
          <w:lang w:val="en-GB"/>
        </w:rPr>
        <w:t>s, 2016).</w:t>
      </w:r>
      <w:r w:rsidR="00CF1F28">
        <w:rPr>
          <w:lang w:val="en-GB"/>
        </w:rPr>
        <w:t xml:space="preserve"> </w:t>
      </w:r>
      <w:r w:rsidRPr="008C4E3D">
        <w:rPr>
          <w:lang w:val="en-GB"/>
        </w:rPr>
        <w:t xml:space="preserve">In sum, international visa regimes seem to mirror </w:t>
      </w:r>
      <w:r>
        <w:rPr>
          <w:lang w:val="en-GB"/>
        </w:rPr>
        <w:t xml:space="preserve">not only </w:t>
      </w:r>
      <w:r w:rsidRPr="008C4E3D">
        <w:rPr>
          <w:lang w:val="en-GB"/>
        </w:rPr>
        <w:t>global geopolitical inequalities</w:t>
      </w:r>
      <w:r>
        <w:rPr>
          <w:lang w:val="en-GB"/>
        </w:rPr>
        <w:t xml:space="preserve"> but </w:t>
      </w:r>
      <w:r>
        <w:rPr>
          <w:lang w:val="en-GB"/>
        </w:rPr>
        <w:lastRenderedPageBreak/>
        <w:t xml:space="preserve">also foreign relations and international alliances, either in the form of regional blocs or the existence of </w:t>
      </w:r>
      <w:r w:rsidR="004C13EB">
        <w:rPr>
          <w:lang w:val="en-GB"/>
        </w:rPr>
        <w:t xml:space="preserve">postcolonial, </w:t>
      </w:r>
      <w:r>
        <w:rPr>
          <w:lang w:val="en-GB"/>
        </w:rPr>
        <w:t>historical, cultural and linguistic ties</w:t>
      </w:r>
      <w:r w:rsidR="004C13EB">
        <w:rPr>
          <w:lang w:val="en-GB"/>
        </w:rPr>
        <w:t>.</w:t>
      </w:r>
    </w:p>
    <w:p w14:paraId="13489A29" w14:textId="52421B67" w:rsidR="0085295C" w:rsidRDefault="0085295C" w:rsidP="00C51AC7">
      <w:pPr>
        <w:ind w:firstLine="720"/>
        <w:rPr>
          <w:lang w:val="en-GB"/>
        </w:rPr>
      </w:pPr>
      <w:r>
        <w:rPr>
          <w:lang w:val="en-GB"/>
        </w:rPr>
        <w:t>S</w:t>
      </w:r>
      <w:r w:rsidRPr="008C4E3D">
        <w:rPr>
          <w:lang w:val="en-GB"/>
        </w:rPr>
        <w:t xml:space="preserve">uch inequalities and asymmetries should not necessarily be </w:t>
      </w:r>
      <w:r w:rsidR="007F7E9E" w:rsidRPr="008C4E3D">
        <w:rPr>
          <w:lang w:val="en-GB"/>
        </w:rPr>
        <w:t>conceptuali</w:t>
      </w:r>
      <w:r w:rsidR="007F7E9E">
        <w:rPr>
          <w:lang w:val="en-GB"/>
        </w:rPr>
        <w:t>s</w:t>
      </w:r>
      <w:r w:rsidR="007F7E9E" w:rsidRPr="008C4E3D">
        <w:rPr>
          <w:lang w:val="en-GB"/>
        </w:rPr>
        <w:t xml:space="preserve">ed </w:t>
      </w:r>
      <w:r w:rsidRPr="008C4E3D">
        <w:rPr>
          <w:lang w:val="en-GB"/>
        </w:rPr>
        <w:t>as a global ‘North</w:t>
      </w:r>
      <w:r w:rsidR="007F7E9E">
        <w:rPr>
          <w:lang w:val="en-GB"/>
        </w:rPr>
        <w:t>–</w:t>
      </w:r>
      <w:r w:rsidRPr="008C4E3D">
        <w:rPr>
          <w:lang w:val="en-GB"/>
        </w:rPr>
        <w:t xml:space="preserve">South’ divide as </w:t>
      </w:r>
      <w:r w:rsidRPr="008C4E3D">
        <w:rPr>
          <w:rFonts w:cs="Calibri"/>
          <w:lang w:val="en-GB"/>
        </w:rPr>
        <w:fldChar w:fldCharType="begin"/>
      </w:r>
      <w:r w:rsidRPr="008C4E3D">
        <w:rPr>
          <w:rFonts w:cs="Calibri"/>
          <w:lang w:val="en-GB"/>
        </w:rPr>
        <w:instrText xml:space="preserve"> ADDIN EN.CITE &lt;EndNote&gt;&lt;Cite AuthorYear="1"&gt;&lt;Author&gt;Mau&lt;/Author&gt;&lt;Year&gt;2015&lt;/Year&gt;&lt;RecNum&gt;4085&lt;/RecNum&gt;&lt;DisplayText&gt;Mau et al. (2015)&lt;/DisplayText&gt;&lt;record&gt;&lt;rec-number&gt;4085&lt;/rec-number&gt;&lt;foreign-keys&gt;&lt;key app="EN" db-id="fre0edeer05adgereeq52z5xpz9xad5s22x5" timestamp="1461917946"&gt;4085&lt;/key&gt;&lt;/foreign-keys&gt;&lt;ref-type name="Journal Article"&gt;17&lt;/ref-type&gt;&lt;contributors&gt;&lt;authors&gt;&lt;author&gt;Mau, Steffen&lt;/author&gt;&lt;author&gt;Gülzau, Fabian&lt;/author&gt;&lt;author&gt;Laube, Lena&lt;/author&gt;&lt;author&gt;Zaun, Natascha&lt;/author&gt;&lt;/authors&gt;&lt;/contributors&gt;&lt;titles&gt;&lt;title&gt;The global mobility divide: how visa policies have evolved over time&lt;/title&gt;&lt;secondary-title&gt;Journal of Ethnic and Migration Studies&lt;/secondary-title&gt;&lt;/titles&gt;&lt;periodical&gt;&lt;full-title&gt;Journal of Ethnic and Migration Studies&lt;/full-title&gt;&lt;/periodical&gt;&lt;pages&gt;1192-1213&lt;/pages&gt;&lt;volume&gt;41&lt;/volume&gt;&lt;number&gt;8&lt;/number&gt;&lt;dates&gt;&lt;year&gt;2015&lt;/year&gt;&lt;/dates&gt;&lt;isbn&gt;1369-183X&lt;/isbn&gt;&lt;urls&gt;&lt;/urls&gt;&lt;/record&gt;&lt;/Cite&gt;&lt;/EndNote&gt;</w:instrText>
      </w:r>
      <w:r w:rsidRPr="008C4E3D">
        <w:rPr>
          <w:rFonts w:cs="Calibri"/>
          <w:lang w:val="en-GB"/>
        </w:rPr>
        <w:fldChar w:fldCharType="separate"/>
      </w:r>
      <w:r w:rsidRPr="008C4E3D">
        <w:rPr>
          <w:rFonts w:cs="Calibri"/>
          <w:noProof/>
          <w:lang w:val="en-GB"/>
        </w:rPr>
        <w:t>Mau et al. (2015)</w:t>
      </w:r>
      <w:r w:rsidRPr="008C4E3D">
        <w:rPr>
          <w:rFonts w:cs="Calibri"/>
          <w:lang w:val="en-GB"/>
        </w:rPr>
        <w:fldChar w:fldCharType="end"/>
      </w:r>
      <w:r w:rsidRPr="008C4E3D">
        <w:rPr>
          <w:rFonts w:cs="Calibri"/>
          <w:lang w:val="en-GB"/>
        </w:rPr>
        <w:t xml:space="preserve"> have </w:t>
      </w:r>
      <w:r>
        <w:rPr>
          <w:rFonts w:cs="Calibri"/>
          <w:lang w:val="en-GB"/>
        </w:rPr>
        <w:t>argued</w:t>
      </w:r>
      <w:r w:rsidRPr="008C4E3D">
        <w:rPr>
          <w:rFonts w:cs="Calibri"/>
          <w:lang w:val="en-GB"/>
        </w:rPr>
        <w:t xml:space="preserve">. </w:t>
      </w:r>
      <w:r w:rsidRPr="008C4E3D">
        <w:rPr>
          <w:lang w:val="en-GB"/>
        </w:rPr>
        <w:t>The example of the Morocco</w:t>
      </w:r>
      <w:r w:rsidR="007F7E9E">
        <w:rPr>
          <w:lang w:val="en-GB"/>
        </w:rPr>
        <w:t>–</w:t>
      </w:r>
      <w:r w:rsidRPr="008C4E3D">
        <w:rPr>
          <w:lang w:val="en-GB"/>
        </w:rPr>
        <w:t>France</w:t>
      </w:r>
      <w:r w:rsidR="007F7E9E">
        <w:rPr>
          <w:lang w:val="en-GB"/>
        </w:rPr>
        <w:t>–</w:t>
      </w:r>
      <w:r w:rsidRPr="008C4E3D">
        <w:rPr>
          <w:lang w:val="en-GB"/>
        </w:rPr>
        <w:t xml:space="preserve">Netherlands triad, in which Morocco retaliated </w:t>
      </w:r>
      <w:r w:rsidR="007F7E9E">
        <w:rPr>
          <w:lang w:val="en-GB"/>
        </w:rPr>
        <w:t xml:space="preserve">against </w:t>
      </w:r>
      <w:r w:rsidRPr="008C4E3D">
        <w:rPr>
          <w:lang w:val="en-GB"/>
        </w:rPr>
        <w:t xml:space="preserve">the imposition of visas in the case of the Netherlands, but not </w:t>
      </w:r>
      <w:r w:rsidR="007F7E9E">
        <w:rPr>
          <w:lang w:val="en-GB"/>
        </w:rPr>
        <w:t xml:space="preserve">of </w:t>
      </w:r>
      <w:r w:rsidRPr="008C4E3D">
        <w:rPr>
          <w:lang w:val="en-GB"/>
        </w:rPr>
        <w:t>France, already illustrates that realities may be more complex</w:t>
      </w:r>
      <w:r>
        <w:rPr>
          <w:lang w:val="en-GB"/>
        </w:rPr>
        <w:t xml:space="preserve">. This shows </w:t>
      </w:r>
      <w:r w:rsidRPr="008C4E3D">
        <w:rPr>
          <w:lang w:val="en-GB"/>
        </w:rPr>
        <w:t xml:space="preserve">the </w:t>
      </w:r>
      <w:r>
        <w:rPr>
          <w:lang w:val="en-GB"/>
        </w:rPr>
        <w:t xml:space="preserve">need </w:t>
      </w:r>
      <w:r w:rsidRPr="008C4E3D">
        <w:rPr>
          <w:lang w:val="en-GB"/>
        </w:rPr>
        <w:t xml:space="preserve">to study visa regimes at the regional and sub-regional levels. ‘Southern’ countries cannot be </w:t>
      </w:r>
      <w:r w:rsidR="007F7E9E" w:rsidRPr="008C4E3D">
        <w:rPr>
          <w:lang w:val="en-GB"/>
        </w:rPr>
        <w:t>conceptuali</w:t>
      </w:r>
      <w:r w:rsidR="007F7E9E">
        <w:rPr>
          <w:lang w:val="en-GB"/>
        </w:rPr>
        <w:t>s</w:t>
      </w:r>
      <w:r w:rsidR="007F7E9E" w:rsidRPr="008C4E3D">
        <w:rPr>
          <w:lang w:val="en-GB"/>
        </w:rPr>
        <w:t xml:space="preserve">ed </w:t>
      </w:r>
      <w:r w:rsidRPr="008C4E3D">
        <w:rPr>
          <w:lang w:val="en-GB"/>
        </w:rPr>
        <w:t xml:space="preserve">as victims of unilaterally imposed visa requirements by ‘Northern’ countries. This is also </w:t>
      </w:r>
      <w:r>
        <w:rPr>
          <w:lang w:val="en-GB"/>
        </w:rPr>
        <w:t xml:space="preserve">shown </w:t>
      </w:r>
      <w:r w:rsidRPr="008C4E3D">
        <w:rPr>
          <w:lang w:val="en-GB"/>
        </w:rPr>
        <w:t>by the example</w:t>
      </w:r>
      <w:r w:rsidR="007F7E9E">
        <w:rPr>
          <w:lang w:val="en-GB"/>
        </w:rPr>
        <w:t>s</w:t>
      </w:r>
      <w:r w:rsidRPr="008C4E3D">
        <w:rPr>
          <w:lang w:val="en-GB"/>
        </w:rPr>
        <w:t xml:space="preserve"> of many African countries, which, after independence, imposed visa regimes for citizens of former </w:t>
      </w:r>
      <w:r>
        <w:rPr>
          <w:lang w:val="en-GB"/>
        </w:rPr>
        <w:t>colonial powers</w:t>
      </w:r>
      <w:r w:rsidRPr="008C4E3D">
        <w:rPr>
          <w:lang w:val="en-GB"/>
        </w:rPr>
        <w:t xml:space="preserve"> and other foreigners. </w:t>
      </w:r>
      <w:r>
        <w:rPr>
          <w:lang w:val="en-GB"/>
        </w:rPr>
        <w:t>For instance,</w:t>
      </w:r>
      <w:r w:rsidRPr="008C4E3D">
        <w:rPr>
          <w:lang w:val="en-GB"/>
        </w:rPr>
        <w:t xml:space="preserve"> </w:t>
      </w:r>
      <w:r>
        <w:rPr>
          <w:lang w:val="en-GB"/>
        </w:rPr>
        <w:t>a</w:t>
      </w:r>
      <w:r w:rsidRPr="008C4E3D">
        <w:rPr>
          <w:lang w:val="en-GB"/>
        </w:rPr>
        <w:t xml:space="preserve">fter independence in 1962, the </w:t>
      </w:r>
      <w:r>
        <w:rPr>
          <w:lang w:val="en-GB"/>
        </w:rPr>
        <w:t xml:space="preserve">left wing factions in the post-Revolutionary, socialist </w:t>
      </w:r>
      <w:r w:rsidRPr="008C4E3D">
        <w:rPr>
          <w:lang w:val="en-GB"/>
        </w:rPr>
        <w:t>Algerian government tried – but ultimately</w:t>
      </w:r>
      <w:r>
        <w:rPr>
          <w:lang w:val="en-GB"/>
        </w:rPr>
        <w:t xml:space="preserve"> failed</w:t>
      </w:r>
      <w:r w:rsidRPr="008C4E3D">
        <w:rPr>
          <w:lang w:val="en-GB"/>
        </w:rPr>
        <w:t xml:space="preserve"> – to impose an emigration ban to France</w:t>
      </w:r>
      <w:r>
        <w:rPr>
          <w:lang w:val="en-GB"/>
        </w:rPr>
        <w:t xml:space="preserve"> because they saw emigration as a continuation of the colonial exploitation of labour and </w:t>
      </w:r>
      <w:r w:rsidR="00047A28">
        <w:rPr>
          <w:lang w:val="en-GB"/>
        </w:rPr>
        <w:t xml:space="preserve">as </w:t>
      </w:r>
      <w:r>
        <w:rPr>
          <w:lang w:val="en-GB"/>
        </w:rPr>
        <w:t xml:space="preserve">detrimental to the long-term interest of workers. Although pragmatist factions, who saw temporary emigration as a way to relieve unemployment, generate remittances and </w:t>
      </w:r>
      <w:r w:rsidR="00047A28">
        <w:rPr>
          <w:lang w:val="en-GB"/>
        </w:rPr>
        <w:t xml:space="preserve">develop workers’ </w:t>
      </w:r>
      <w:r>
        <w:rPr>
          <w:lang w:val="en-GB"/>
        </w:rPr>
        <w:t>skill</w:t>
      </w:r>
      <w:r w:rsidR="00047A28">
        <w:rPr>
          <w:lang w:val="en-GB"/>
        </w:rPr>
        <w:t>s</w:t>
      </w:r>
      <w:r>
        <w:rPr>
          <w:lang w:val="en-GB"/>
        </w:rPr>
        <w:t xml:space="preserve"> abroad, eventually gained the upper hand, the government only accepted this grudgingly (Miller</w:t>
      </w:r>
      <w:r w:rsidR="00D51323">
        <w:rPr>
          <w:lang w:val="en-GB"/>
        </w:rPr>
        <w:t>,</w:t>
      </w:r>
      <w:r>
        <w:rPr>
          <w:lang w:val="en-GB"/>
        </w:rPr>
        <w:t xml:space="preserve"> 1979). </w:t>
      </w:r>
      <w:r w:rsidRPr="008C4E3D">
        <w:rPr>
          <w:lang w:val="en-GB"/>
        </w:rPr>
        <w:t xml:space="preserve">This </w:t>
      </w:r>
      <w:r>
        <w:rPr>
          <w:lang w:val="en-GB"/>
        </w:rPr>
        <w:t xml:space="preserve">anti-emigration attitude </w:t>
      </w:r>
      <w:r w:rsidR="00D51323">
        <w:rPr>
          <w:lang w:val="en-GB"/>
        </w:rPr>
        <w:t>must further be seen in the context of</w:t>
      </w:r>
      <w:r w:rsidRPr="008C4E3D">
        <w:rPr>
          <w:lang w:val="en-GB"/>
        </w:rPr>
        <w:t xml:space="preserve"> the extremely </w:t>
      </w:r>
      <w:r>
        <w:rPr>
          <w:lang w:val="en-GB"/>
        </w:rPr>
        <w:t xml:space="preserve">violent Algerian </w:t>
      </w:r>
      <w:r w:rsidRPr="008C4E3D">
        <w:rPr>
          <w:lang w:val="en-GB"/>
        </w:rPr>
        <w:t>war of independence</w:t>
      </w:r>
      <w:r w:rsidR="004706A3">
        <w:rPr>
          <w:lang w:val="en-GB"/>
        </w:rPr>
        <w:t xml:space="preserve"> (</w:t>
      </w:r>
      <w:r w:rsidR="004706A3">
        <w:t>1954 to 1962)</w:t>
      </w:r>
      <w:r w:rsidR="00D51323">
        <w:rPr>
          <w:lang w:val="en-GB"/>
        </w:rPr>
        <w:t xml:space="preserve">, </w:t>
      </w:r>
      <w:r>
        <w:rPr>
          <w:lang w:val="en-GB"/>
        </w:rPr>
        <w:t xml:space="preserve">during which about 1 </w:t>
      </w:r>
      <w:r w:rsidR="00D51323">
        <w:rPr>
          <w:lang w:val="en-GB"/>
        </w:rPr>
        <w:t>million Algerians died, of a population</w:t>
      </w:r>
      <w:r>
        <w:rPr>
          <w:lang w:val="en-GB"/>
        </w:rPr>
        <w:t xml:space="preserve"> of 9 million)</w:t>
      </w:r>
      <w:r w:rsidRPr="008C4E3D">
        <w:rPr>
          <w:lang w:val="en-GB"/>
        </w:rPr>
        <w:t>, which reinforced anti-French sentiment</w:t>
      </w:r>
      <w:r>
        <w:rPr>
          <w:lang w:val="en-GB"/>
        </w:rPr>
        <w:t xml:space="preserve"> (Miller</w:t>
      </w:r>
      <w:r w:rsidR="00D51323">
        <w:rPr>
          <w:lang w:val="en-GB"/>
        </w:rPr>
        <w:t>,</w:t>
      </w:r>
      <w:r>
        <w:rPr>
          <w:lang w:val="en-GB"/>
        </w:rPr>
        <w:t xml:space="preserve"> 1979)</w:t>
      </w:r>
      <w:r w:rsidRPr="008C4E3D">
        <w:rPr>
          <w:lang w:val="en-GB"/>
        </w:rPr>
        <w:t xml:space="preserve">. </w:t>
      </w:r>
    </w:p>
    <w:p w14:paraId="634EC799" w14:textId="5B21C2CD" w:rsidR="0085295C" w:rsidRPr="008C4E3D" w:rsidRDefault="0085295C" w:rsidP="00C51AC7">
      <w:pPr>
        <w:ind w:firstLine="720"/>
        <w:rPr>
          <w:lang w:val="en-GB"/>
        </w:rPr>
      </w:pPr>
      <w:r w:rsidRPr="008C4E3D">
        <w:rPr>
          <w:lang w:val="en-GB"/>
        </w:rPr>
        <w:t xml:space="preserve">After the Cuban revolution in 1959, the </w:t>
      </w:r>
      <w:r w:rsidR="004706A3">
        <w:rPr>
          <w:lang w:val="en-GB"/>
        </w:rPr>
        <w:t>C</w:t>
      </w:r>
      <w:r w:rsidR="004706A3" w:rsidRPr="008C4E3D">
        <w:rPr>
          <w:lang w:val="en-GB"/>
        </w:rPr>
        <w:t xml:space="preserve">ommunist </w:t>
      </w:r>
      <w:r w:rsidRPr="008C4E3D">
        <w:rPr>
          <w:lang w:val="en-GB"/>
        </w:rPr>
        <w:t xml:space="preserve">government enforced strict </w:t>
      </w:r>
      <w:r w:rsidR="00C20A83">
        <w:rPr>
          <w:lang w:val="en-GB"/>
        </w:rPr>
        <w:t xml:space="preserve">travel </w:t>
      </w:r>
      <w:r w:rsidRPr="008C4E3D">
        <w:rPr>
          <w:lang w:val="en-GB"/>
        </w:rPr>
        <w:t xml:space="preserve">visa </w:t>
      </w:r>
      <w:r w:rsidR="00C20A83">
        <w:rPr>
          <w:lang w:val="en-GB"/>
        </w:rPr>
        <w:t>regulations</w:t>
      </w:r>
      <w:r w:rsidR="00C20A83" w:rsidRPr="008C4E3D">
        <w:rPr>
          <w:lang w:val="en-GB"/>
        </w:rPr>
        <w:t xml:space="preserve"> </w:t>
      </w:r>
      <w:r w:rsidRPr="008C4E3D">
        <w:rPr>
          <w:lang w:val="en-GB"/>
        </w:rPr>
        <w:t xml:space="preserve">for travellers as well as exit visas for Cubans </w:t>
      </w:r>
      <w:r>
        <w:rPr>
          <w:lang w:val="en-GB"/>
        </w:rPr>
        <w:t>which were not lifted until 2013 (Betancourt</w:t>
      </w:r>
      <w:r w:rsidR="004706A3">
        <w:rPr>
          <w:lang w:val="en-GB"/>
        </w:rPr>
        <w:t>,</w:t>
      </w:r>
      <w:r>
        <w:rPr>
          <w:lang w:val="en-GB"/>
        </w:rPr>
        <w:t xml:space="preserve"> 2014)</w:t>
      </w:r>
      <w:r w:rsidRPr="008C4E3D">
        <w:rPr>
          <w:lang w:val="en-GB"/>
        </w:rPr>
        <w:t>. After Suriname bec</w:t>
      </w:r>
      <w:r w:rsidR="004706A3">
        <w:rPr>
          <w:lang w:val="en-GB"/>
        </w:rPr>
        <w:t>a</w:t>
      </w:r>
      <w:r w:rsidRPr="008C4E3D">
        <w:rPr>
          <w:lang w:val="en-GB"/>
        </w:rPr>
        <w:t xml:space="preserve">me independent in 1975, the Dutch government introduced </w:t>
      </w:r>
      <w:r w:rsidR="004706A3">
        <w:rPr>
          <w:lang w:val="en-GB"/>
        </w:rPr>
        <w:t xml:space="preserve">a </w:t>
      </w:r>
      <w:r w:rsidR="00C20A83">
        <w:rPr>
          <w:lang w:val="en-GB"/>
        </w:rPr>
        <w:t xml:space="preserve">travel </w:t>
      </w:r>
      <w:r w:rsidRPr="008C4E3D">
        <w:rPr>
          <w:lang w:val="en-GB"/>
        </w:rPr>
        <w:t>visa</w:t>
      </w:r>
      <w:r w:rsidR="004706A3">
        <w:rPr>
          <w:lang w:val="en-GB"/>
        </w:rPr>
        <w:t xml:space="preserve"> requirement</w:t>
      </w:r>
      <w:r w:rsidRPr="008C4E3D">
        <w:rPr>
          <w:lang w:val="en-GB"/>
        </w:rPr>
        <w:t xml:space="preserve"> </w:t>
      </w:r>
      <w:r>
        <w:rPr>
          <w:lang w:val="en-GB"/>
        </w:rPr>
        <w:t xml:space="preserve">for Surinamese citizens </w:t>
      </w:r>
      <w:r w:rsidRPr="008C4E3D">
        <w:rPr>
          <w:lang w:val="en-GB"/>
        </w:rPr>
        <w:t>in 1980, which was followed</w:t>
      </w:r>
      <w:r>
        <w:rPr>
          <w:lang w:val="en-GB"/>
        </w:rPr>
        <w:t xml:space="preserve"> </w:t>
      </w:r>
      <w:r w:rsidR="004032B7">
        <w:rPr>
          <w:lang w:val="en-GB"/>
        </w:rPr>
        <w:t xml:space="preserve">– </w:t>
      </w:r>
      <w:r>
        <w:rPr>
          <w:lang w:val="en-GB"/>
        </w:rPr>
        <w:t xml:space="preserve">and </w:t>
      </w:r>
      <w:r w:rsidRPr="008C4E3D">
        <w:rPr>
          <w:lang w:val="en-GB"/>
        </w:rPr>
        <w:t>mirrored</w:t>
      </w:r>
      <w:r w:rsidR="004032B7">
        <w:rPr>
          <w:lang w:val="en-GB"/>
        </w:rPr>
        <w:t xml:space="preserve"> –</w:t>
      </w:r>
      <w:r w:rsidRPr="008C4E3D">
        <w:rPr>
          <w:lang w:val="en-GB"/>
        </w:rPr>
        <w:t xml:space="preserve"> by a reciprocal </w:t>
      </w:r>
      <w:r>
        <w:rPr>
          <w:lang w:val="en-GB"/>
        </w:rPr>
        <w:t xml:space="preserve">retaliatory </w:t>
      </w:r>
      <w:r w:rsidRPr="008C4E3D">
        <w:rPr>
          <w:lang w:val="en-GB"/>
        </w:rPr>
        <w:t xml:space="preserve">introduction of Surinamese </w:t>
      </w:r>
      <w:r w:rsidR="00C20A83">
        <w:rPr>
          <w:lang w:val="en-GB"/>
        </w:rPr>
        <w:t xml:space="preserve">entry </w:t>
      </w:r>
      <w:r w:rsidR="004706A3">
        <w:rPr>
          <w:lang w:val="en-GB"/>
        </w:rPr>
        <w:t>requirement</w:t>
      </w:r>
      <w:r w:rsidRPr="008C4E3D">
        <w:rPr>
          <w:lang w:val="en-GB"/>
        </w:rPr>
        <w:t xml:space="preserve">s for Dutch </w:t>
      </w:r>
      <w:r>
        <w:rPr>
          <w:lang w:val="en-GB"/>
        </w:rPr>
        <w:t xml:space="preserve">citizens </w:t>
      </w:r>
      <w:r w:rsidRPr="008C4E3D">
        <w:rPr>
          <w:lang w:val="en-GB"/>
        </w:rPr>
        <w:t xml:space="preserve">in 1982. Such measures cannot be seen </w:t>
      </w:r>
      <w:r w:rsidR="008E0215">
        <w:rPr>
          <w:lang w:val="en-GB"/>
        </w:rPr>
        <w:t xml:space="preserve">as </w:t>
      </w:r>
      <w:r w:rsidRPr="008C4E3D">
        <w:rPr>
          <w:lang w:val="en-GB"/>
        </w:rPr>
        <w:t xml:space="preserve">disconnected from more general anti-imperialist and protectionist policies, which were </w:t>
      </w:r>
      <w:r>
        <w:rPr>
          <w:lang w:val="en-GB"/>
        </w:rPr>
        <w:t xml:space="preserve">particularly </w:t>
      </w:r>
      <w:r w:rsidRPr="008C4E3D">
        <w:rPr>
          <w:lang w:val="en-GB"/>
        </w:rPr>
        <w:t>strong in communist</w:t>
      </w:r>
      <w:r>
        <w:rPr>
          <w:lang w:val="en-GB"/>
        </w:rPr>
        <w:t>,</w:t>
      </w:r>
      <w:r w:rsidRPr="008C4E3D">
        <w:rPr>
          <w:lang w:val="en-GB"/>
        </w:rPr>
        <w:t xml:space="preserve"> socialist </w:t>
      </w:r>
      <w:r>
        <w:rPr>
          <w:lang w:val="en-GB"/>
        </w:rPr>
        <w:t>and ‘non-aligned’ former</w:t>
      </w:r>
      <w:r w:rsidRPr="008C4E3D">
        <w:rPr>
          <w:lang w:val="en-GB"/>
        </w:rPr>
        <w:t xml:space="preserve"> colonies. </w:t>
      </w:r>
      <w:r w:rsidR="00C20A83" w:rsidRPr="008C4E3D">
        <w:rPr>
          <w:lang w:val="en-GB"/>
        </w:rPr>
        <w:t>In addition,</w:t>
      </w:r>
      <w:r w:rsidRPr="008C4E3D">
        <w:rPr>
          <w:lang w:val="en-GB"/>
        </w:rPr>
        <w:t xml:space="preserve"> </w:t>
      </w:r>
      <w:r w:rsidR="00C20A83">
        <w:rPr>
          <w:lang w:val="en-GB"/>
        </w:rPr>
        <w:t xml:space="preserve">travel </w:t>
      </w:r>
      <w:r w:rsidRPr="008C4E3D">
        <w:rPr>
          <w:lang w:val="en-GB"/>
        </w:rPr>
        <w:t>visa</w:t>
      </w:r>
      <w:r w:rsidR="00C20A83">
        <w:rPr>
          <w:lang w:val="en-GB"/>
        </w:rPr>
        <w:t xml:space="preserve"> requirements</w:t>
      </w:r>
      <w:r w:rsidRPr="008C4E3D">
        <w:rPr>
          <w:lang w:val="en-GB"/>
        </w:rPr>
        <w:t xml:space="preserve"> should be seen as a practical measure aimed at controlling mobility and, hence, limiting the unwanted intrusion of foreign, colonial or capitalist influences, </w:t>
      </w:r>
      <w:r>
        <w:rPr>
          <w:lang w:val="en-GB"/>
        </w:rPr>
        <w:t xml:space="preserve">as well as </w:t>
      </w:r>
      <w:r w:rsidRPr="008C4E3D">
        <w:rPr>
          <w:lang w:val="en-GB"/>
        </w:rPr>
        <w:t>a symbolic measure that asserted the newly won independence</w:t>
      </w:r>
      <w:r>
        <w:rPr>
          <w:lang w:val="en-GB"/>
        </w:rPr>
        <w:t xml:space="preserve"> and sovereignty of </w:t>
      </w:r>
      <w:r w:rsidR="008E0215">
        <w:rPr>
          <w:lang w:val="en-GB"/>
        </w:rPr>
        <w:t xml:space="preserve">a </w:t>
      </w:r>
      <w:r>
        <w:rPr>
          <w:lang w:val="en-GB"/>
        </w:rPr>
        <w:t xml:space="preserve">new state. </w:t>
      </w:r>
    </w:p>
    <w:p w14:paraId="604C14F8" w14:textId="5B336A76" w:rsidR="0085295C" w:rsidRPr="008C4E3D" w:rsidRDefault="00337AF6" w:rsidP="00C51AC7">
      <w:pPr>
        <w:ind w:firstLine="720"/>
        <w:rPr>
          <w:lang w:val="en-GB"/>
        </w:rPr>
      </w:pPr>
      <w:r>
        <w:rPr>
          <w:lang w:val="en-GB"/>
        </w:rPr>
        <w:t>A government whose citizens are targeted by t</w:t>
      </w:r>
      <w:r w:rsidR="0085295C">
        <w:rPr>
          <w:lang w:val="en-GB"/>
        </w:rPr>
        <w:t xml:space="preserve">he removal or introduction of a </w:t>
      </w:r>
      <w:r w:rsidR="00736416">
        <w:rPr>
          <w:lang w:val="en-GB"/>
        </w:rPr>
        <w:t xml:space="preserve">travel </w:t>
      </w:r>
      <w:r w:rsidR="0085295C">
        <w:rPr>
          <w:lang w:val="en-GB"/>
        </w:rPr>
        <w:t xml:space="preserve">visa </w:t>
      </w:r>
      <w:r>
        <w:rPr>
          <w:lang w:val="en-GB"/>
        </w:rPr>
        <w:t xml:space="preserve">requirement </w:t>
      </w:r>
      <w:r w:rsidR="0085295C">
        <w:rPr>
          <w:lang w:val="en-GB"/>
        </w:rPr>
        <w:t xml:space="preserve">can </w:t>
      </w:r>
      <w:r>
        <w:rPr>
          <w:lang w:val="en-GB"/>
        </w:rPr>
        <w:t>react in what we identify as four different ways</w:t>
      </w:r>
      <w:r w:rsidR="0085295C">
        <w:rPr>
          <w:lang w:val="en-GB"/>
        </w:rPr>
        <w:t xml:space="preserve">, resulting </w:t>
      </w:r>
      <w:r w:rsidR="0085295C" w:rsidRPr="008C4E3D">
        <w:rPr>
          <w:lang w:val="en-GB"/>
        </w:rPr>
        <w:t>in eight different types of bilatera</w:t>
      </w:r>
      <w:r w:rsidR="0085295C">
        <w:rPr>
          <w:lang w:val="en-GB"/>
        </w:rPr>
        <w:t>l visa dynamics</w:t>
      </w:r>
      <w:r>
        <w:rPr>
          <w:lang w:val="en-GB"/>
        </w:rPr>
        <w:t>, as</w:t>
      </w:r>
      <w:r w:rsidR="0085295C">
        <w:rPr>
          <w:lang w:val="en-GB"/>
        </w:rPr>
        <w:t xml:space="preserve"> represented in T</w:t>
      </w:r>
      <w:r w:rsidR="0085295C" w:rsidRPr="008C4E3D">
        <w:rPr>
          <w:lang w:val="en-GB"/>
        </w:rPr>
        <w:t>able 1.</w:t>
      </w:r>
      <w:r w:rsidR="0085295C">
        <w:rPr>
          <w:lang w:val="en-GB"/>
        </w:rPr>
        <w:t xml:space="preserve"> Besides </w:t>
      </w:r>
      <w:r w:rsidR="0085295C" w:rsidRPr="00C51AC7">
        <w:rPr>
          <w:i/>
          <w:lang w:val="en-GB"/>
        </w:rPr>
        <w:t>visa</w:t>
      </w:r>
      <w:r w:rsidR="0085295C">
        <w:rPr>
          <w:lang w:val="en-GB"/>
        </w:rPr>
        <w:t xml:space="preserve"> </w:t>
      </w:r>
      <w:r w:rsidR="0085295C" w:rsidRPr="006A20B9">
        <w:rPr>
          <w:i/>
          <w:lang w:val="en-GB"/>
        </w:rPr>
        <w:t>retaliation</w:t>
      </w:r>
      <w:r w:rsidR="0085295C">
        <w:rPr>
          <w:lang w:val="en-GB"/>
        </w:rPr>
        <w:t xml:space="preserve"> as in the Surinamese</w:t>
      </w:r>
      <w:r>
        <w:rPr>
          <w:lang w:val="en-GB"/>
        </w:rPr>
        <w:t>–</w:t>
      </w:r>
      <w:r w:rsidR="0085295C">
        <w:rPr>
          <w:lang w:val="en-GB"/>
        </w:rPr>
        <w:t>Dutch case, t</w:t>
      </w:r>
      <w:r w:rsidR="0085295C" w:rsidRPr="006A20B9">
        <w:rPr>
          <w:lang w:val="en-GB"/>
        </w:rPr>
        <w:t>he</w:t>
      </w:r>
      <w:r w:rsidR="0085295C" w:rsidRPr="008C4E3D">
        <w:rPr>
          <w:lang w:val="en-GB"/>
        </w:rPr>
        <w:t xml:space="preserve"> second type of bilateral visa interaction is </w:t>
      </w:r>
      <w:r w:rsidR="0085295C" w:rsidRPr="008C4E3D">
        <w:rPr>
          <w:i/>
          <w:lang w:val="en-GB"/>
        </w:rPr>
        <w:t>visa rapprochement</w:t>
      </w:r>
      <w:r w:rsidR="0085295C" w:rsidRPr="008C4E3D">
        <w:rPr>
          <w:lang w:val="en-GB"/>
        </w:rPr>
        <w:t xml:space="preserve">. In this case, which is the </w:t>
      </w:r>
      <w:r w:rsidR="0085295C">
        <w:rPr>
          <w:lang w:val="en-GB"/>
        </w:rPr>
        <w:t xml:space="preserve">opposite </w:t>
      </w:r>
      <w:r w:rsidR="0085295C" w:rsidRPr="008C4E3D">
        <w:rPr>
          <w:lang w:val="en-GB"/>
        </w:rPr>
        <w:t xml:space="preserve">of visa retaliation, </w:t>
      </w:r>
      <w:r w:rsidR="0085295C">
        <w:rPr>
          <w:lang w:val="en-GB"/>
        </w:rPr>
        <w:t xml:space="preserve">governments </w:t>
      </w:r>
      <w:r w:rsidR="0085295C" w:rsidRPr="008C4E3D">
        <w:rPr>
          <w:lang w:val="en-GB"/>
        </w:rPr>
        <w:t>mutually lift visa requirements for each other’s citizens,</w:t>
      </w:r>
      <w:r w:rsidR="0085295C">
        <w:rPr>
          <w:lang w:val="en-GB"/>
        </w:rPr>
        <w:t xml:space="preserve"> often, but not necessarily,</w:t>
      </w:r>
      <w:r w:rsidR="0085295C" w:rsidRPr="008C4E3D">
        <w:rPr>
          <w:lang w:val="en-GB"/>
        </w:rPr>
        <w:t xml:space="preserve"> as part of diplomatic agreements. For instance, Indonesia lifted </w:t>
      </w:r>
      <w:r w:rsidR="005102BC">
        <w:rPr>
          <w:lang w:val="en-GB"/>
        </w:rPr>
        <w:t xml:space="preserve">travel </w:t>
      </w:r>
      <w:r w:rsidR="0085295C" w:rsidRPr="008C4E3D">
        <w:rPr>
          <w:lang w:val="en-GB"/>
        </w:rPr>
        <w:t>visa requirements for Suriname (</w:t>
      </w:r>
      <w:r>
        <w:rPr>
          <w:lang w:val="en-GB"/>
        </w:rPr>
        <w:t>along with</w:t>
      </w:r>
      <w:r w:rsidRPr="008C4E3D">
        <w:rPr>
          <w:lang w:val="en-GB"/>
        </w:rPr>
        <w:t xml:space="preserve"> </w:t>
      </w:r>
      <w:r w:rsidR="0085295C" w:rsidRPr="008C4E3D">
        <w:rPr>
          <w:lang w:val="en-GB"/>
        </w:rPr>
        <w:t xml:space="preserve">74 other countries) in September 2015 and Suriname lifted </w:t>
      </w:r>
      <w:r w:rsidR="005102BC">
        <w:rPr>
          <w:lang w:val="en-GB"/>
        </w:rPr>
        <w:t>entry requirements</w:t>
      </w:r>
      <w:r w:rsidR="0085295C" w:rsidRPr="008C4E3D">
        <w:rPr>
          <w:lang w:val="en-GB"/>
        </w:rPr>
        <w:t xml:space="preserve"> for Indonesia (</w:t>
      </w:r>
      <w:r>
        <w:rPr>
          <w:lang w:val="en-GB"/>
        </w:rPr>
        <w:t>along with</w:t>
      </w:r>
      <w:r w:rsidRPr="008C4E3D">
        <w:rPr>
          <w:lang w:val="en-GB"/>
        </w:rPr>
        <w:t xml:space="preserve"> </w:t>
      </w:r>
      <w:r w:rsidR="0085295C" w:rsidRPr="008C4E3D">
        <w:rPr>
          <w:lang w:val="en-GB"/>
        </w:rPr>
        <w:t>12 other countries) in March 2016</w:t>
      </w:r>
      <w:r w:rsidR="0085295C" w:rsidRPr="008C4E3D">
        <w:rPr>
          <w:rStyle w:val="FootnoteReference"/>
          <w:rFonts w:ascii="Garamond" w:hAnsi="Garamond"/>
          <w:lang w:val="en-GB"/>
        </w:rPr>
        <w:footnoteReference w:id="3"/>
      </w:r>
      <w:r w:rsidR="0085295C" w:rsidRPr="008C4E3D">
        <w:rPr>
          <w:lang w:val="en-GB"/>
        </w:rPr>
        <w:t>. This ‘mutual gratification’ was strongly related to the wish to stimulate tourism, trade and investment on both sides, but can</w:t>
      </w:r>
      <w:r w:rsidR="007820A7">
        <w:rPr>
          <w:lang w:val="en-GB"/>
        </w:rPr>
        <w:t>not be seen in isolation</w:t>
      </w:r>
      <w:r w:rsidR="0085295C" w:rsidRPr="008C4E3D">
        <w:rPr>
          <w:lang w:val="en-GB"/>
        </w:rPr>
        <w:t xml:space="preserve"> from broader policies of economic </w:t>
      </w:r>
      <w:r w:rsidR="007820A7" w:rsidRPr="008C4E3D">
        <w:rPr>
          <w:lang w:val="en-GB"/>
        </w:rPr>
        <w:t>liberali</w:t>
      </w:r>
      <w:r w:rsidR="007820A7">
        <w:rPr>
          <w:lang w:val="en-GB"/>
        </w:rPr>
        <w:t>s</w:t>
      </w:r>
      <w:r w:rsidR="007820A7" w:rsidRPr="008C4E3D">
        <w:rPr>
          <w:lang w:val="en-GB"/>
        </w:rPr>
        <w:t>ation</w:t>
      </w:r>
      <w:r w:rsidR="0085295C" w:rsidRPr="008C4E3D">
        <w:rPr>
          <w:lang w:val="en-GB"/>
        </w:rPr>
        <w:t xml:space="preserve">. In 2016, the government of Saudi Arabia indicated it would be open to </w:t>
      </w:r>
      <w:r w:rsidR="005102BC">
        <w:rPr>
          <w:lang w:val="en-GB"/>
        </w:rPr>
        <w:t xml:space="preserve">travel </w:t>
      </w:r>
      <w:r w:rsidR="0085295C" w:rsidRPr="008C4E3D">
        <w:rPr>
          <w:lang w:val="en-GB"/>
        </w:rPr>
        <w:t xml:space="preserve">visa removal for </w:t>
      </w:r>
      <w:r w:rsidR="0085295C">
        <w:rPr>
          <w:lang w:val="en-GB"/>
        </w:rPr>
        <w:t xml:space="preserve">foreign citizens </w:t>
      </w:r>
      <w:r w:rsidR="007820A7">
        <w:rPr>
          <w:lang w:val="en-GB"/>
        </w:rPr>
        <w:t>where</w:t>
      </w:r>
      <w:r w:rsidR="0085295C">
        <w:rPr>
          <w:lang w:val="en-GB"/>
        </w:rPr>
        <w:t xml:space="preserve"> their governments </w:t>
      </w:r>
      <w:r w:rsidR="0085295C" w:rsidRPr="008C4E3D">
        <w:rPr>
          <w:lang w:val="en-GB"/>
        </w:rPr>
        <w:t>also lift</w:t>
      </w:r>
      <w:r w:rsidR="007820A7">
        <w:rPr>
          <w:lang w:val="en-GB"/>
        </w:rPr>
        <w:t>ed</w:t>
      </w:r>
      <w:r w:rsidR="0085295C" w:rsidRPr="008C4E3D">
        <w:rPr>
          <w:lang w:val="en-GB"/>
        </w:rPr>
        <w:t xml:space="preserve"> visas for Saudi citizens. This happened </w:t>
      </w:r>
      <w:r w:rsidR="0085295C">
        <w:rPr>
          <w:lang w:val="en-GB"/>
        </w:rPr>
        <w:t xml:space="preserve">as part of </w:t>
      </w:r>
      <w:r w:rsidR="0085295C" w:rsidRPr="008C4E3D">
        <w:rPr>
          <w:lang w:val="en-GB"/>
        </w:rPr>
        <w:t xml:space="preserve">a discussion of the negative economic effects of </w:t>
      </w:r>
      <w:r w:rsidR="002A324F">
        <w:rPr>
          <w:lang w:val="en-GB"/>
        </w:rPr>
        <w:t xml:space="preserve">high travel visa restrictions </w:t>
      </w:r>
      <w:r w:rsidR="0085295C" w:rsidRPr="008C4E3D">
        <w:rPr>
          <w:lang w:val="en-GB"/>
        </w:rPr>
        <w:t>in a broader context of falling oil revenues</w:t>
      </w:r>
      <w:r w:rsidR="002A324F">
        <w:rPr>
          <w:lang w:val="en-GB"/>
        </w:rPr>
        <w:t>,</w:t>
      </w:r>
      <w:r w:rsidR="0085295C" w:rsidRPr="008C4E3D">
        <w:rPr>
          <w:lang w:val="en-GB"/>
        </w:rPr>
        <w:t xml:space="preserve"> and the Saudi government’s aim </w:t>
      </w:r>
      <w:r w:rsidR="007820A7">
        <w:rPr>
          <w:lang w:val="en-GB"/>
        </w:rPr>
        <w:t>of</w:t>
      </w:r>
      <w:r w:rsidR="007820A7" w:rsidRPr="008C4E3D">
        <w:rPr>
          <w:lang w:val="en-GB"/>
        </w:rPr>
        <w:t xml:space="preserve"> </w:t>
      </w:r>
      <w:r w:rsidR="0085295C">
        <w:rPr>
          <w:lang w:val="en-GB"/>
        </w:rPr>
        <w:t>diversify</w:t>
      </w:r>
      <w:r w:rsidR="007820A7">
        <w:rPr>
          <w:lang w:val="en-GB"/>
        </w:rPr>
        <w:t>ing</w:t>
      </w:r>
      <w:r w:rsidR="0085295C">
        <w:rPr>
          <w:lang w:val="en-GB"/>
        </w:rPr>
        <w:t xml:space="preserve"> and </w:t>
      </w:r>
      <w:r w:rsidR="0085295C" w:rsidRPr="008C4E3D">
        <w:rPr>
          <w:lang w:val="en-GB"/>
        </w:rPr>
        <w:t>stimulat</w:t>
      </w:r>
      <w:r w:rsidR="007820A7">
        <w:rPr>
          <w:lang w:val="en-GB"/>
        </w:rPr>
        <w:t>ing</w:t>
      </w:r>
      <w:r w:rsidR="0085295C" w:rsidRPr="008C4E3D">
        <w:rPr>
          <w:lang w:val="en-GB"/>
        </w:rPr>
        <w:t xml:space="preserve"> economic growth and </w:t>
      </w:r>
      <w:r w:rsidR="0085295C" w:rsidRPr="008C4E3D">
        <w:rPr>
          <w:lang w:val="en-GB"/>
        </w:rPr>
        <w:lastRenderedPageBreak/>
        <w:t xml:space="preserve">foreign investment </w:t>
      </w:r>
      <w:r w:rsidR="0085295C">
        <w:rPr>
          <w:lang w:val="en-GB"/>
        </w:rPr>
        <w:t>(cf. Samaa</w:t>
      </w:r>
      <w:r w:rsidR="00A06468">
        <w:rPr>
          <w:lang w:val="en-GB"/>
        </w:rPr>
        <w:t>,</w:t>
      </w:r>
      <w:r w:rsidR="0085295C">
        <w:rPr>
          <w:lang w:val="en-GB"/>
        </w:rPr>
        <w:t xml:space="preserve"> 2016)</w:t>
      </w:r>
      <w:r w:rsidR="0085295C" w:rsidRPr="008C4E3D">
        <w:rPr>
          <w:lang w:val="en-GB"/>
        </w:rPr>
        <w:t xml:space="preserve">. </w:t>
      </w:r>
      <w:r w:rsidR="002A324F">
        <w:rPr>
          <w:lang w:val="en-GB"/>
        </w:rPr>
        <w:t>These examples</w:t>
      </w:r>
      <w:r w:rsidR="002A324F" w:rsidRPr="008C4E3D">
        <w:rPr>
          <w:lang w:val="en-GB"/>
        </w:rPr>
        <w:t xml:space="preserve"> </w:t>
      </w:r>
      <w:r w:rsidR="0085295C" w:rsidRPr="008C4E3D">
        <w:rPr>
          <w:lang w:val="en-GB"/>
        </w:rPr>
        <w:t xml:space="preserve">illustrate that </w:t>
      </w:r>
      <w:r w:rsidR="00523EC9">
        <w:rPr>
          <w:lang w:val="en-GB"/>
        </w:rPr>
        <w:t xml:space="preserve">travel </w:t>
      </w:r>
      <w:r w:rsidR="0085295C" w:rsidRPr="008C4E3D">
        <w:rPr>
          <w:lang w:val="en-GB"/>
        </w:rPr>
        <w:t xml:space="preserve">visa policies need to be understood in the context of general economic policies and geopolitical </w:t>
      </w:r>
      <w:r w:rsidR="0085295C">
        <w:rPr>
          <w:lang w:val="en-GB"/>
        </w:rPr>
        <w:t>shifts</w:t>
      </w:r>
      <w:r w:rsidR="0085295C" w:rsidRPr="008C4E3D">
        <w:rPr>
          <w:lang w:val="en-GB"/>
        </w:rPr>
        <w:t xml:space="preserve">. </w:t>
      </w:r>
    </w:p>
    <w:p w14:paraId="61CD4682" w14:textId="3134A4A8" w:rsidR="0085295C" w:rsidRPr="008C4E3D" w:rsidRDefault="0085295C" w:rsidP="00C51AC7">
      <w:pPr>
        <w:ind w:firstLine="720"/>
        <w:rPr>
          <w:lang w:val="en-GB"/>
        </w:rPr>
      </w:pPr>
      <w:r w:rsidRPr="008C4E3D">
        <w:rPr>
          <w:lang w:val="en-GB"/>
        </w:rPr>
        <w:t xml:space="preserve">The introduction </w:t>
      </w:r>
      <w:r w:rsidR="00E434B7">
        <w:rPr>
          <w:lang w:val="en-GB"/>
        </w:rPr>
        <w:t xml:space="preserve">of </w:t>
      </w:r>
      <w:r w:rsidRPr="008C4E3D">
        <w:rPr>
          <w:lang w:val="en-GB"/>
        </w:rPr>
        <w:t xml:space="preserve">or lifting of </w:t>
      </w:r>
      <w:r w:rsidR="002D44FC">
        <w:rPr>
          <w:lang w:val="en-GB"/>
        </w:rPr>
        <w:t xml:space="preserve">travel </w:t>
      </w:r>
      <w:r w:rsidRPr="008C4E3D">
        <w:rPr>
          <w:lang w:val="en-GB"/>
        </w:rPr>
        <w:t>visa</w:t>
      </w:r>
      <w:r w:rsidR="00E434B7">
        <w:rPr>
          <w:lang w:val="en-GB"/>
        </w:rPr>
        <w:t xml:space="preserve"> requirement</w:t>
      </w:r>
      <w:r w:rsidRPr="008C4E3D">
        <w:rPr>
          <w:lang w:val="en-GB"/>
        </w:rPr>
        <w:t xml:space="preserve">s by pairs or groups of countries can thus not be seen in isolation from one another as they </w:t>
      </w:r>
      <w:r>
        <w:rPr>
          <w:lang w:val="en-GB"/>
        </w:rPr>
        <w:t>are often</w:t>
      </w:r>
      <w:r w:rsidRPr="008C4E3D">
        <w:rPr>
          <w:lang w:val="en-GB"/>
        </w:rPr>
        <w:t xml:space="preserve"> reciprocally related</w:t>
      </w:r>
      <w:r>
        <w:rPr>
          <w:lang w:val="en-GB"/>
        </w:rPr>
        <w:t xml:space="preserve"> and </w:t>
      </w:r>
      <w:r w:rsidR="00E434B7">
        <w:rPr>
          <w:lang w:val="en-GB"/>
        </w:rPr>
        <w:t xml:space="preserve">form a </w:t>
      </w:r>
      <w:r w:rsidRPr="008C4E3D">
        <w:rPr>
          <w:lang w:val="en-GB"/>
        </w:rPr>
        <w:t xml:space="preserve">part of broader diplomatic positioning and geopolitical games. </w:t>
      </w:r>
      <w:r>
        <w:rPr>
          <w:lang w:val="en-GB"/>
        </w:rPr>
        <w:t>T</w:t>
      </w:r>
      <w:r w:rsidRPr="008C4E3D">
        <w:rPr>
          <w:lang w:val="en-GB"/>
        </w:rPr>
        <w:t xml:space="preserve">he lifting or introduction of </w:t>
      </w:r>
      <w:r w:rsidR="002D44FC">
        <w:rPr>
          <w:lang w:val="en-GB"/>
        </w:rPr>
        <w:t xml:space="preserve">travel </w:t>
      </w:r>
      <w:r w:rsidRPr="008C4E3D">
        <w:rPr>
          <w:lang w:val="en-GB"/>
        </w:rPr>
        <w:t xml:space="preserve">visas does not necessarily provoke a retaliating or conciliatory reaction; in which case the measure remains unilateral. </w:t>
      </w:r>
      <w:r>
        <w:rPr>
          <w:lang w:val="en-GB"/>
        </w:rPr>
        <w:t xml:space="preserve">It seems safe to argue that </w:t>
      </w:r>
      <w:r w:rsidRPr="008C4E3D">
        <w:rPr>
          <w:lang w:val="en-GB"/>
        </w:rPr>
        <w:t xml:space="preserve">such ‘unilateral visa imposition’ </w:t>
      </w:r>
      <w:r>
        <w:rPr>
          <w:lang w:val="en-GB"/>
        </w:rPr>
        <w:t xml:space="preserve">often </w:t>
      </w:r>
      <w:r w:rsidRPr="008C4E3D">
        <w:rPr>
          <w:lang w:val="en-GB"/>
        </w:rPr>
        <w:t>reflect</w:t>
      </w:r>
      <w:r>
        <w:rPr>
          <w:lang w:val="en-GB"/>
        </w:rPr>
        <w:t>s</w:t>
      </w:r>
      <w:r w:rsidRPr="008C4E3D">
        <w:rPr>
          <w:lang w:val="en-GB"/>
        </w:rPr>
        <w:t xml:space="preserve"> power a</w:t>
      </w:r>
      <w:r>
        <w:rPr>
          <w:lang w:val="en-GB"/>
        </w:rPr>
        <w:t>symmetries, although we cannot assume</w:t>
      </w:r>
      <w:r w:rsidRPr="008C4E3D">
        <w:rPr>
          <w:lang w:val="en-GB"/>
        </w:rPr>
        <w:t xml:space="preserve"> that these follow a simple global ‘North</w:t>
      </w:r>
      <w:r w:rsidR="00463B94">
        <w:rPr>
          <w:lang w:val="en-GB"/>
        </w:rPr>
        <w:t>–</w:t>
      </w:r>
      <w:r w:rsidRPr="008C4E3D">
        <w:rPr>
          <w:lang w:val="en-GB"/>
        </w:rPr>
        <w:t xml:space="preserve">South’ divide, but rather reflect more complex, multi-layered regional relations. </w:t>
      </w:r>
      <w:r>
        <w:rPr>
          <w:lang w:val="en-GB"/>
        </w:rPr>
        <w:t>A</w:t>
      </w:r>
      <w:r w:rsidRPr="008C4E3D">
        <w:rPr>
          <w:lang w:val="en-GB"/>
        </w:rPr>
        <w:t xml:space="preserve"> unilateral visa opening </w:t>
      </w:r>
      <w:r w:rsidR="00463B94">
        <w:rPr>
          <w:lang w:val="en-GB"/>
        </w:rPr>
        <w:t>may</w:t>
      </w:r>
      <w:r w:rsidR="00463B94" w:rsidRPr="008C4E3D">
        <w:rPr>
          <w:lang w:val="en-GB"/>
        </w:rPr>
        <w:t xml:space="preserve"> </w:t>
      </w:r>
      <w:r w:rsidRPr="008C4E3D">
        <w:rPr>
          <w:lang w:val="en-GB"/>
        </w:rPr>
        <w:t xml:space="preserve">also be followed by a </w:t>
      </w:r>
      <w:r w:rsidR="00463B94">
        <w:rPr>
          <w:lang w:val="en-GB"/>
        </w:rPr>
        <w:t xml:space="preserve">visa </w:t>
      </w:r>
      <w:r w:rsidRPr="008C4E3D">
        <w:rPr>
          <w:lang w:val="en-GB"/>
        </w:rPr>
        <w:t>closing, and the other way around</w:t>
      </w:r>
      <w:r>
        <w:rPr>
          <w:lang w:val="en-GB"/>
        </w:rPr>
        <w:t>, although this seems less common</w:t>
      </w:r>
      <w:r w:rsidRPr="008C4E3D">
        <w:rPr>
          <w:lang w:val="en-GB"/>
        </w:rPr>
        <w:t xml:space="preserve">. </w:t>
      </w:r>
    </w:p>
    <w:p w14:paraId="1B16CFF5" w14:textId="77777777" w:rsidR="0085295C" w:rsidRDefault="0085295C" w:rsidP="0085295C">
      <w:pPr>
        <w:widowControl w:val="0"/>
        <w:spacing w:line="360" w:lineRule="auto"/>
        <w:rPr>
          <w:rFonts w:ascii="Garamond" w:hAnsi="Garamond"/>
          <w:b/>
          <w:lang w:val="en-GB"/>
        </w:rPr>
      </w:pPr>
    </w:p>
    <w:p w14:paraId="75C8A7E5" w14:textId="22CC062F" w:rsidR="00B60112" w:rsidRDefault="008D2A36" w:rsidP="00302A03">
      <w:pPr>
        <w:widowControl w:val="0"/>
        <w:spacing w:line="360" w:lineRule="auto"/>
        <w:jc w:val="center"/>
        <w:rPr>
          <w:rFonts w:ascii="Garamond" w:hAnsi="Garamond"/>
          <w:b/>
          <w:lang w:val="en-GB"/>
        </w:rPr>
      </w:pPr>
      <w:r>
        <w:rPr>
          <w:rFonts w:ascii="Garamond" w:hAnsi="Garamond"/>
          <w:b/>
          <w:lang w:val="en-GB"/>
        </w:rPr>
        <w:t>&lt;Table 1 about here&gt;</w:t>
      </w:r>
    </w:p>
    <w:p w14:paraId="61854A91" w14:textId="77777777" w:rsidR="0085295C" w:rsidRDefault="0085295C" w:rsidP="0085295C">
      <w:pPr>
        <w:widowControl w:val="0"/>
        <w:spacing w:line="360" w:lineRule="auto"/>
        <w:rPr>
          <w:rFonts w:ascii="Garamond" w:hAnsi="Garamond"/>
          <w:lang w:val="en-GB"/>
        </w:rPr>
      </w:pPr>
    </w:p>
    <w:p w14:paraId="518A7A69" w14:textId="286AE140" w:rsidR="0085295C" w:rsidRPr="008C4E3D" w:rsidRDefault="0085295C" w:rsidP="0085295C">
      <w:pPr>
        <w:rPr>
          <w:lang w:val="en-GB"/>
        </w:rPr>
      </w:pPr>
      <w:r w:rsidRPr="008C4E3D">
        <w:rPr>
          <w:lang w:val="en-GB"/>
        </w:rPr>
        <w:t>International</w:t>
      </w:r>
      <w:r w:rsidR="002D44FC">
        <w:rPr>
          <w:lang w:val="en-GB"/>
        </w:rPr>
        <w:t xml:space="preserve"> travel</w:t>
      </w:r>
      <w:r w:rsidRPr="008C4E3D">
        <w:rPr>
          <w:lang w:val="en-GB"/>
        </w:rPr>
        <w:t xml:space="preserve"> visa dynamics often </w:t>
      </w:r>
      <w:r>
        <w:rPr>
          <w:lang w:val="en-GB"/>
        </w:rPr>
        <w:t xml:space="preserve">extend beyond </w:t>
      </w:r>
      <w:r w:rsidRPr="008C4E3D">
        <w:rPr>
          <w:lang w:val="en-GB"/>
        </w:rPr>
        <w:t>the bilateral level. This is particularly important in the context of the formation of regional economic unions or ‘blocs’</w:t>
      </w:r>
      <w:r>
        <w:rPr>
          <w:lang w:val="en-GB"/>
        </w:rPr>
        <w:t xml:space="preserve">. While </w:t>
      </w:r>
      <w:r w:rsidRPr="008C4E3D">
        <w:rPr>
          <w:lang w:val="en-GB"/>
        </w:rPr>
        <w:t xml:space="preserve">the </w:t>
      </w:r>
      <w:r w:rsidR="00612760">
        <w:rPr>
          <w:lang w:val="en-GB"/>
        </w:rPr>
        <w:t>EU’s</w:t>
      </w:r>
      <w:r w:rsidRPr="008C4E3D">
        <w:rPr>
          <w:lang w:val="en-GB"/>
        </w:rPr>
        <w:t xml:space="preserve"> free migration zone and Schengen border check-free travel zone (largely, but not entirely</w:t>
      </w:r>
      <w:r w:rsidR="00612760">
        <w:rPr>
          <w:lang w:val="en-GB"/>
        </w:rPr>
        <w:t>,</w:t>
      </w:r>
      <w:r w:rsidRPr="008C4E3D">
        <w:rPr>
          <w:lang w:val="en-GB"/>
        </w:rPr>
        <w:t xml:space="preserve"> overlapping with the EU)</w:t>
      </w:r>
      <w:r>
        <w:rPr>
          <w:lang w:val="en-GB"/>
        </w:rPr>
        <w:t xml:space="preserve"> are the best-known examples, </w:t>
      </w:r>
      <w:r w:rsidRPr="008C4E3D">
        <w:rPr>
          <w:lang w:val="en-GB"/>
        </w:rPr>
        <w:t xml:space="preserve">there are currently at least 20 other regional economic unions </w:t>
      </w:r>
      <w:r>
        <w:rPr>
          <w:lang w:val="en-GB"/>
        </w:rPr>
        <w:t xml:space="preserve">and communities </w:t>
      </w:r>
      <w:r w:rsidRPr="008C4E3D">
        <w:rPr>
          <w:lang w:val="en-GB"/>
        </w:rPr>
        <w:t xml:space="preserve">in the world (see </w:t>
      </w:r>
      <w:r w:rsidR="00D56D45">
        <w:rPr>
          <w:lang w:val="en-GB"/>
        </w:rPr>
        <w:t>section 6</w:t>
      </w:r>
      <w:r w:rsidRPr="008C4E3D">
        <w:rPr>
          <w:lang w:val="en-GB"/>
        </w:rPr>
        <w:t xml:space="preserve">), such as the </w:t>
      </w:r>
      <w:r w:rsidRPr="0057543C">
        <w:rPr>
          <w:lang w:val="en-GB"/>
        </w:rPr>
        <w:t>Associat</w:t>
      </w:r>
      <w:r>
        <w:rPr>
          <w:lang w:val="en-GB"/>
        </w:rPr>
        <w:t>ion of Southeast Asian Nations (</w:t>
      </w:r>
      <w:r w:rsidRPr="008C4E3D">
        <w:rPr>
          <w:lang w:val="en-GB"/>
        </w:rPr>
        <w:t>ASEAN</w:t>
      </w:r>
      <w:r>
        <w:rPr>
          <w:lang w:val="en-GB"/>
        </w:rPr>
        <w:t>)</w:t>
      </w:r>
      <w:r w:rsidRPr="008C4E3D">
        <w:rPr>
          <w:lang w:val="en-GB"/>
        </w:rPr>
        <w:t xml:space="preserve"> free trade area, the North America Free Trade Agreement (NAFTA), the GCC, Mercado Común del Sur (MERCOSUR) and ECOWAS. Usually, but not exclusively or necessarily, such regional communities, unions or agreements aim to </w:t>
      </w:r>
      <w:r w:rsidR="000E5998" w:rsidRPr="008C4E3D">
        <w:rPr>
          <w:lang w:val="en-GB"/>
        </w:rPr>
        <w:t>liberali</w:t>
      </w:r>
      <w:r w:rsidR="000E5998">
        <w:rPr>
          <w:lang w:val="en-GB"/>
        </w:rPr>
        <w:t xml:space="preserve">se </w:t>
      </w:r>
      <w:r>
        <w:rPr>
          <w:lang w:val="en-GB"/>
        </w:rPr>
        <w:t>trade, investment, travel and</w:t>
      </w:r>
      <w:r w:rsidRPr="008C4E3D">
        <w:rPr>
          <w:lang w:val="en-GB"/>
        </w:rPr>
        <w:t xml:space="preserve"> migration among member states. Depending on the type of agreements and the degree to which these are enforced on the ground, this may coincide with a multilateral coordination of </w:t>
      </w:r>
      <w:r w:rsidR="001C15C3">
        <w:rPr>
          <w:lang w:val="en-GB"/>
        </w:rPr>
        <w:t xml:space="preserve">travel </w:t>
      </w:r>
      <w:r w:rsidRPr="008C4E3D">
        <w:rPr>
          <w:lang w:val="en-GB"/>
        </w:rPr>
        <w:t xml:space="preserve">visa and other migration policies. For instance, an internal opening </w:t>
      </w:r>
      <w:r>
        <w:rPr>
          <w:lang w:val="en-GB"/>
        </w:rPr>
        <w:t xml:space="preserve">of travel and closure </w:t>
      </w:r>
      <w:r w:rsidRPr="008C4E3D">
        <w:rPr>
          <w:lang w:val="en-GB"/>
        </w:rPr>
        <w:t>may go along with</w:t>
      </w:r>
      <w:r>
        <w:rPr>
          <w:lang w:val="en-GB"/>
        </w:rPr>
        <w:t>, or even require,</w:t>
      </w:r>
      <w:r w:rsidRPr="008C4E3D">
        <w:rPr>
          <w:lang w:val="en-GB"/>
        </w:rPr>
        <w:t xml:space="preserve"> </w:t>
      </w:r>
      <w:r>
        <w:rPr>
          <w:lang w:val="en-GB"/>
        </w:rPr>
        <w:t xml:space="preserve">common </w:t>
      </w:r>
      <w:r w:rsidRPr="008C4E3D">
        <w:rPr>
          <w:lang w:val="en-GB"/>
        </w:rPr>
        <w:t xml:space="preserve">external </w:t>
      </w:r>
      <w:r>
        <w:rPr>
          <w:lang w:val="en-GB"/>
        </w:rPr>
        <w:t>border policies. For example, when</w:t>
      </w:r>
      <w:r w:rsidRPr="00A519AB">
        <w:rPr>
          <w:lang w:val="en-GB"/>
        </w:rPr>
        <w:t xml:space="preserve"> </w:t>
      </w:r>
      <w:r w:rsidRPr="008C4E3D">
        <w:rPr>
          <w:lang w:val="en-GB"/>
        </w:rPr>
        <w:t>most EU countries started to remove their internal boundaries with the signature of the Schengen agreement in 1985 and its full implementation in 1995,</w:t>
      </w:r>
      <w:r>
        <w:rPr>
          <w:lang w:val="en-GB"/>
        </w:rPr>
        <w:t xml:space="preserve"> they became increasingly concerned about controlling external borders.</w:t>
      </w:r>
      <w:r w:rsidRPr="008C4E3D">
        <w:rPr>
          <w:lang w:val="en-GB"/>
        </w:rPr>
        <w:t xml:space="preserve"> </w:t>
      </w:r>
      <w:r>
        <w:rPr>
          <w:lang w:val="en-GB"/>
        </w:rPr>
        <w:t>T</w:t>
      </w:r>
      <w:r w:rsidRPr="008C4E3D">
        <w:rPr>
          <w:lang w:val="en-GB"/>
        </w:rPr>
        <w:t xml:space="preserve">he </w:t>
      </w:r>
      <w:r w:rsidR="00C402E3">
        <w:rPr>
          <w:lang w:val="en-GB"/>
        </w:rPr>
        <w:t>suspension</w:t>
      </w:r>
      <w:r w:rsidR="00105997" w:rsidRPr="008C4E3D">
        <w:rPr>
          <w:lang w:val="en-GB"/>
        </w:rPr>
        <w:t xml:space="preserve"> </w:t>
      </w:r>
      <w:r w:rsidRPr="008C4E3D">
        <w:rPr>
          <w:lang w:val="en-GB"/>
        </w:rPr>
        <w:t xml:space="preserve">of internal border controls (internal opening) created </w:t>
      </w:r>
      <w:r>
        <w:rPr>
          <w:lang w:val="en-GB"/>
        </w:rPr>
        <w:t xml:space="preserve">an intrinsic </w:t>
      </w:r>
      <w:r w:rsidRPr="008C4E3D">
        <w:rPr>
          <w:lang w:val="en-GB"/>
        </w:rPr>
        <w:t xml:space="preserve">need for common rules on </w:t>
      </w:r>
      <w:r w:rsidR="001373DF">
        <w:rPr>
          <w:lang w:val="en-GB"/>
        </w:rPr>
        <w:t xml:space="preserve">travel </w:t>
      </w:r>
      <w:r w:rsidRPr="008C4E3D">
        <w:rPr>
          <w:lang w:val="en-GB"/>
        </w:rPr>
        <w:t xml:space="preserve">visa requirements (external closure) and, </w:t>
      </w:r>
      <w:r>
        <w:rPr>
          <w:lang w:val="en-GB"/>
        </w:rPr>
        <w:t xml:space="preserve">hence, </w:t>
      </w:r>
      <w:r w:rsidRPr="008C4E3D">
        <w:rPr>
          <w:lang w:val="en-GB"/>
        </w:rPr>
        <w:t>the creation of a</w:t>
      </w:r>
      <w:r>
        <w:rPr>
          <w:lang w:val="en-GB"/>
        </w:rPr>
        <w:t xml:space="preserve"> common</w:t>
      </w:r>
      <w:r w:rsidRPr="008C4E3D">
        <w:rPr>
          <w:lang w:val="en-GB"/>
        </w:rPr>
        <w:t xml:space="preserve"> ‘Schengen visa’. This coincided with the coordinated introduction of </w:t>
      </w:r>
      <w:r w:rsidR="001373DF">
        <w:rPr>
          <w:lang w:val="en-GB"/>
        </w:rPr>
        <w:t xml:space="preserve">travel </w:t>
      </w:r>
      <w:r w:rsidRPr="008C4E3D">
        <w:rPr>
          <w:lang w:val="en-GB"/>
        </w:rPr>
        <w:t>visa requirements for a range of non-European, particularly African and Asian nationalities.</w:t>
      </w:r>
      <w:r w:rsidR="00CF1F28">
        <w:rPr>
          <w:lang w:val="en-GB"/>
        </w:rPr>
        <w:t xml:space="preserve"> </w:t>
      </w:r>
      <w:r>
        <w:rPr>
          <w:lang w:val="en-GB"/>
        </w:rPr>
        <w:t xml:space="preserve">Although most Asian and African nationals already needed visas to travel to Europe before, the difference was now that Schengen countries needed to align themselves by collectively deciding on which citizens needed visas </w:t>
      </w:r>
      <w:r w:rsidR="00522F7E">
        <w:rPr>
          <w:lang w:val="en-GB"/>
        </w:rPr>
        <w:t xml:space="preserve">in order </w:t>
      </w:r>
      <w:r>
        <w:rPr>
          <w:lang w:val="en-GB"/>
        </w:rPr>
        <w:t xml:space="preserve">to prevent them travelling into the Schengen area through countries that did not require visas. In this way ‘unwanted’ foreigners would be </w:t>
      </w:r>
      <w:r w:rsidR="00522F7E">
        <w:rPr>
          <w:lang w:val="en-GB"/>
        </w:rPr>
        <w:t>prevented from entering</w:t>
      </w:r>
      <w:r>
        <w:rPr>
          <w:lang w:val="en-GB"/>
        </w:rPr>
        <w:t xml:space="preserve"> the entire Schengen area </w:t>
      </w:r>
      <w:r w:rsidR="00522F7E">
        <w:rPr>
          <w:lang w:val="en-GB"/>
        </w:rPr>
        <w:t xml:space="preserve">via the </w:t>
      </w:r>
      <w:r>
        <w:rPr>
          <w:lang w:val="en-GB"/>
        </w:rPr>
        <w:t xml:space="preserve">one or two countries that would not require </w:t>
      </w:r>
      <w:r w:rsidR="001373DF">
        <w:rPr>
          <w:lang w:val="en-GB"/>
        </w:rPr>
        <w:t xml:space="preserve">travel </w:t>
      </w:r>
      <w:r>
        <w:rPr>
          <w:lang w:val="en-GB"/>
        </w:rPr>
        <w:t xml:space="preserve">visas. </w:t>
      </w:r>
    </w:p>
    <w:p w14:paraId="4886F0E6" w14:textId="6CE46475" w:rsidR="0085295C" w:rsidRPr="008C4E3D" w:rsidRDefault="0085295C" w:rsidP="00C51AC7">
      <w:pPr>
        <w:ind w:firstLine="720"/>
        <w:rPr>
          <w:lang w:val="en-GB"/>
        </w:rPr>
      </w:pPr>
      <w:r w:rsidRPr="008C4E3D">
        <w:rPr>
          <w:lang w:val="en-GB"/>
        </w:rPr>
        <w:t xml:space="preserve">This </w:t>
      </w:r>
      <w:r>
        <w:rPr>
          <w:lang w:val="en-GB"/>
        </w:rPr>
        <w:t xml:space="preserve">process </w:t>
      </w:r>
      <w:r w:rsidRPr="008C4E3D">
        <w:rPr>
          <w:lang w:val="en-GB"/>
        </w:rPr>
        <w:t xml:space="preserve">compelled some member countries to </w:t>
      </w:r>
      <w:r w:rsidR="001373DF">
        <w:rPr>
          <w:lang w:val="en-GB"/>
        </w:rPr>
        <w:t>reluctantly</w:t>
      </w:r>
      <w:r>
        <w:rPr>
          <w:lang w:val="en-GB"/>
        </w:rPr>
        <w:t xml:space="preserve"> </w:t>
      </w:r>
      <w:r w:rsidRPr="008C4E3D">
        <w:rPr>
          <w:lang w:val="en-GB"/>
        </w:rPr>
        <w:t>introduce visa</w:t>
      </w:r>
      <w:r w:rsidR="008F26E8">
        <w:rPr>
          <w:lang w:val="en-GB"/>
        </w:rPr>
        <w:t xml:space="preserve"> requirements disrupting the</w:t>
      </w:r>
      <w:r w:rsidRPr="008C4E3D">
        <w:rPr>
          <w:lang w:val="en-GB"/>
        </w:rPr>
        <w:t xml:space="preserve"> long tradition of barrier-free travel. For instance, in 1990 and 1991, Italy and Spain introduced </w:t>
      </w:r>
      <w:r w:rsidR="001373DF">
        <w:rPr>
          <w:lang w:val="en-GB"/>
        </w:rPr>
        <w:t>travel visas</w:t>
      </w:r>
      <w:r w:rsidRPr="008C4E3D">
        <w:rPr>
          <w:lang w:val="en-GB"/>
        </w:rPr>
        <w:t xml:space="preserve"> for citizens of countries </w:t>
      </w:r>
      <w:r w:rsidR="006D379B">
        <w:rPr>
          <w:lang w:val="en-GB"/>
        </w:rPr>
        <w:t>including</w:t>
      </w:r>
      <w:r w:rsidRPr="008C4E3D">
        <w:rPr>
          <w:lang w:val="en-GB"/>
        </w:rPr>
        <w:t xml:space="preserve"> Algeria, Morocco, Senegal, Tunisia and Turkey as part of a move to </w:t>
      </w:r>
      <w:r w:rsidR="006D379B">
        <w:rPr>
          <w:lang w:val="en-GB"/>
        </w:rPr>
        <w:t>align</w:t>
      </w:r>
      <w:r w:rsidR="006D379B" w:rsidRPr="008C4E3D">
        <w:rPr>
          <w:lang w:val="en-GB"/>
        </w:rPr>
        <w:t xml:space="preserve"> </w:t>
      </w:r>
      <w:r w:rsidRPr="008C4E3D">
        <w:rPr>
          <w:lang w:val="en-GB"/>
        </w:rPr>
        <w:t xml:space="preserve">regulations </w:t>
      </w:r>
      <w:r w:rsidR="006D379B">
        <w:rPr>
          <w:lang w:val="en-GB"/>
        </w:rPr>
        <w:t>with</w:t>
      </w:r>
      <w:r w:rsidRPr="008C4E3D">
        <w:rPr>
          <w:lang w:val="en-GB"/>
        </w:rPr>
        <w:t xml:space="preserve"> ‘European community norms’ </w:t>
      </w:r>
      <w:r w:rsidRPr="008C4E3D">
        <w:rPr>
          <w:lang w:val="en-GB"/>
        </w:rPr>
        <w:fldChar w:fldCharType="begin"/>
      </w:r>
      <w:r w:rsidRPr="008C4E3D">
        <w:rPr>
          <w:lang w:val="en-GB"/>
        </w:rPr>
        <w:instrText xml:space="preserve"> ADDIN EN.CITE &lt;EndNote&gt;&lt;Cite&gt;&lt;Author&gt;FocusMigration&lt;/Author&gt;&lt;Year&gt;2012&lt;/Year&gt;&lt;RecNum&gt;3700&lt;/RecNum&gt;&lt;Suffix&gt;: 3&lt;/Suffix&gt;&lt;DisplayText&gt;(FocusMigration 2012: 3; OECD 1992: 77)&lt;/DisplayText&gt;&lt;record&gt;&lt;rec-number&gt;3700&lt;/rec-number&gt;&lt;foreign-keys&gt;&lt;key app="EN" db-id="fre0edeer05adgereeq52z5xpz9xad5s22x5" timestamp="1394699758"&gt;3700&lt;/key&gt;&lt;/foreign-keys&gt;&lt;ref-type name="Journal Article"&gt;17&lt;/ref-type&gt;&lt;contributors&gt;&lt;authors&gt;&lt;author&gt;FocusMigration&lt;/author&gt;&lt;/authors&gt;&lt;/contributors&gt;&lt;titles&gt;&lt;title&gt;Länderprofil Italien&lt;/title&gt;&lt;secondary-title&gt;Focus Migration&lt;/secondary-title&gt;&lt;/titles&gt;&lt;periodical&gt;&lt;full-title&gt;Focus Migration&lt;/full-title&gt;&lt;/periodical&gt;&lt;volume&gt;Nr. 23, October 2012&lt;/volume&gt;&lt;dates&gt;&lt;year&gt;2012&lt;/year&gt;&lt;/dates&gt;&lt;urls&gt;&lt;/urls&gt;&lt;/record&gt;&lt;/Cite&gt;&lt;Cite&gt;&lt;Author&gt;OECD&lt;/Author&gt;&lt;Year&gt;1992&lt;/Year&gt;&lt;RecNum&gt;1081&lt;/RecNum&gt;&lt;Suffix&gt;: 77&lt;/Suffix&gt;&lt;record&gt;&lt;rec-number&gt;1081&lt;/rec-number&gt;&lt;foreign-keys&gt;&lt;key app="EN" db-id="fre0edeer05adgereeq52z5xpz9xad5s22x5" timestamp="0"&gt;1081&lt;/key&gt;&lt;/foreign-keys&gt;&lt;ref-type name="Book"&gt;6&lt;/ref-type&gt;&lt;contributors&gt;&lt;authors&gt;&lt;author&gt;OECD&lt;/author&gt;&lt;/authors&gt;&lt;/contributors&gt;&lt;titles&gt;&lt;title&gt;Trends in International Migration&lt;/title&gt;&lt;secondary-title&gt;SOPEMI, Continuous Reporting System&lt;/secondary-title&gt;&lt;/titles&gt;&lt;dates&gt;&lt;year&gt;1992&lt;/year&gt;&lt;/dates&gt;&lt;pub-location&gt;Paris&lt;/pub-location&gt;&lt;urls&gt;&lt;/urls&gt;&lt;/record&gt;&lt;/Cite&gt;&lt;/EndNote&gt;</w:instrText>
      </w:r>
      <w:r w:rsidRPr="008C4E3D">
        <w:rPr>
          <w:lang w:val="en-GB"/>
        </w:rPr>
        <w:fldChar w:fldCharType="separate"/>
      </w:r>
      <w:r w:rsidRPr="008C4E3D">
        <w:rPr>
          <w:noProof/>
          <w:lang w:val="en-GB"/>
        </w:rPr>
        <w:t>(FocusMigration</w:t>
      </w:r>
      <w:r w:rsidR="006D379B">
        <w:rPr>
          <w:noProof/>
          <w:lang w:val="en-GB"/>
        </w:rPr>
        <w:t>,</w:t>
      </w:r>
      <w:r w:rsidRPr="008C4E3D">
        <w:rPr>
          <w:noProof/>
          <w:lang w:val="en-GB"/>
        </w:rPr>
        <w:t xml:space="preserve"> 2012: 3; OECD</w:t>
      </w:r>
      <w:r w:rsidR="006D379B">
        <w:rPr>
          <w:noProof/>
          <w:lang w:val="en-GB"/>
        </w:rPr>
        <w:t>,</w:t>
      </w:r>
      <w:r w:rsidRPr="008C4E3D">
        <w:rPr>
          <w:noProof/>
          <w:lang w:val="en-GB"/>
        </w:rPr>
        <w:t xml:space="preserve"> 1992: 77)</w:t>
      </w:r>
      <w:r w:rsidRPr="008C4E3D">
        <w:rPr>
          <w:lang w:val="en-GB"/>
        </w:rPr>
        <w:fldChar w:fldCharType="end"/>
      </w:r>
      <w:r w:rsidRPr="008C4E3D">
        <w:rPr>
          <w:lang w:val="en-GB"/>
        </w:rPr>
        <w:t>. This move particularly upset close Moroccan</w:t>
      </w:r>
      <w:r w:rsidR="006D379B">
        <w:rPr>
          <w:lang w:val="en-GB"/>
        </w:rPr>
        <w:t>–</w:t>
      </w:r>
      <w:r w:rsidRPr="008C4E3D">
        <w:rPr>
          <w:lang w:val="en-GB"/>
        </w:rPr>
        <w:t xml:space="preserve">Spanish relations. While the Moroccan government saw this as a diplomatic affront, and left the Spanish government </w:t>
      </w:r>
      <w:r w:rsidR="006D379B">
        <w:rPr>
          <w:lang w:val="en-GB"/>
        </w:rPr>
        <w:t>deeply embarrassed,</w:t>
      </w:r>
      <w:r w:rsidRPr="008C4E3D">
        <w:rPr>
          <w:lang w:val="en-GB"/>
        </w:rPr>
        <w:t xml:space="preserve"> given the strong post-colonial, historical, economic and social ties between northern Moroccan and southern Spain </w:t>
      </w:r>
      <w:r w:rsidRPr="008C4E3D">
        <w:rPr>
          <w:lang w:val="en-GB"/>
        </w:rPr>
        <w:fldChar w:fldCharType="begin"/>
      </w:r>
      <w:r w:rsidRPr="008C4E3D">
        <w:rPr>
          <w:lang w:val="en-GB"/>
        </w:rPr>
        <w:instrText xml:space="preserve"> ADDIN EN.CITE &lt;EndNote&gt;&lt;Cite&gt;&lt;Author&gt;Zaragoza-Cristiani&lt;/Author&gt;&lt;Year&gt;2016&lt;/Year&gt;&lt;RecNum&gt;4127&lt;/RecNum&gt;&lt;DisplayText&gt;(Zaragoza-Cristiani 2016)&lt;/DisplayText&gt;&lt;record&gt;&lt;rec-number&gt;4127&lt;/rec-number&gt;&lt;foreign-keys&gt;&lt;key app="EN" db-id="fre0edeer05adgereeq52z5xpz9xad5s22x5" timestamp="1480491530"&gt;4127&lt;/key&gt;&lt;/foreign-keys&gt;&lt;ref-type name="Thesis"&gt;32&lt;/ref-type&gt;&lt;contributors&gt;&lt;authors&gt;&lt;author&gt;Zaragoza-Cristiani, The Spanish-Moroccan case&lt;/author&gt;&lt;/authors&gt;&lt;/contributors&gt;&lt;titles&gt;&lt;title&gt;Empowerment through migration control cooperation&lt;/title&gt;&lt;/titles&gt;&lt;dates&gt;&lt;year&gt;2016&lt;/year&gt;&lt;/dates&gt;&lt;publisher&gt;PhD thesis. Florence: European University Institute. &lt;/publisher&gt;&lt;urls&gt;&lt;/urls&gt;&lt;/record&gt;&lt;/Cite&gt;&lt;/EndNote&gt;</w:instrText>
      </w:r>
      <w:r w:rsidRPr="008C4E3D">
        <w:rPr>
          <w:lang w:val="en-GB"/>
        </w:rPr>
        <w:fldChar w:fldCharType="separate"/>
      </w:r>
      <w:r w:rsidRPr="008C4E3D">
        <w:rPr>
          <w:noProof/>
          <w:lang w:val="en-GB"/>
        </w:rPr>
        <w:t>(Zaragoza-Cristiani</w:t>
      </w:r>
      <w:r w:rsidR="006D379B">
        <w:rPr>
          <w:noProof/>
          <w:lang w:val="en-GB"/>
        </w:rPr>
        <w:t>,</w:t>
      </w:r>
      <w:r w:rsidRPr="008C4E3D">
        <w:rPr>
          <w:noProof/>
          <w:lang w:val="en-GB"/>
        </w:rPr>
        <w:t xml:space="preserve"> 2016)</w:t>
      </w:r>
      <w:r w:rsidRPr="008C4E3D">
        <w:rPr>
          <w:lang w:val="en-GB"/>
        </w:rPr>
        <w:fldChar w:fldCharType="end"/>
      </w:r>
      <w:r w:rsidRPr="008C4E3D">
        <w:rPr>
          <w:lang w:val="en-GB"/>
        </w:rPr>
        <w:t xml:space="preserve">, the perceived benefits of joining the </w:t>
      </w:r>
      <w:r w:rsidRPr="008C4E3D">
        <w:rPr>
          <w:lang w:val="en-GB"/>
        </w:rPr>
        <w:lastRenderedPageBreak/>
        <w:t xml:space="preserve">Schengen zone were </w:t>
      </w:r>
      <w:r w:rsidR="006D379B">
        <w:rPr>
          <w:lang w:val="en-GB"/>
        </w:rPr>
        <w:t>clearly</w:t>
      </w:r>
      <w:r w:rsidR="006D379B" w:rsidRPr="008C4E3D">
        <w:rPr>
          <w:lang w:val="en-GB"/>
        </w:rPr>
        <w:t xml:space="preserve"> </w:t>
      </w:r>
      <w:r w:rsidRPr="008C4E3D">
        <w:rPr>
          <w:lang w:val="en-GB"/>
        </w:rPr>
        <w:t xml:space="preserve">seen as </w:t>
      </w:r>
      <w:r w:rsidR="00732F63">
        <w:rPr>
          <w:lang w:val="en-GB"/>
        </w:rPr>
        <w:t>outweighing</w:t>
      </w:r>
      <w:r w:rsidRPr="008C4E3D">
        <w:rPr>
          <w:lang w:val="en-GB"/>
        </w:rPr>
        <w:t xml:space="preserve"> the economic and political damage of border closure with Morocco. </w:t>
      </w:r>
    </w:p>
    <w:p w14:paraId="7BD490D3" w14:textId="10EEBD9D" w:rsidR="0085295C" w:rsidRPr="008C4E3D" w:rsidRDefault="0085295C" w:rsidP="00C51AC7">
      <w:pPr>
        <w:ind w:firstLine="720"/>
        <w:rPr>
          <w:lang w:val="en-GB"/>
        </w:rPr>
      </w:pPr>
      <w:r w:rsidRPr="008C4E3D">
        <w:rPr>
          <w:lang w:val="en-GB"/>
        </w:rPr>
        <w:t>The need to create common rules inevitably leads to a certain degree of internal horse-trading in which countries secured visa-free travel for citizens of countries of strategic importance. Strong Portuguese</w:t>
      </w:r>
      <w:r w:rsidR="003E4C35">
        <w:rPr>
          <w:lang w:val="en-GB"/>
        </w:rPr>
        <w:t>–</w:t>
      </w:r>
      <w:r w:rsidRPr="008C4E3D">
        <w:rPr>
          <w:lang w:val="en-GB"/>
        </w:rPr>
        <w:t xml:space="preserve">Brazilian relations </w:t>
      </w:r>
      <w:r w:rsidR="006C6FBF">
        <w:rPr>
          <w:lang w:val="en-GB"/>
        </w:rPr>
        <w:t>were</w:t>
      </w:r>
      <w:r w:rsidR="006C6FBF" w:rsidRPr="008C4E3D">
        <w:rPr>
          <w:lang w:val="en-GB"/>
        </w:rPr>
        <w:t xml:space="preserve"> </w:t>
      </w:r>
      <w:r w:rsidRPr="008C4E3D">
        <w:rPr>
          <w:lang w:val="en-GB"/>
        </w:rPr>
        <w:t xml:space="preserve">for instance likely to play a role in explaining why Brazilians </w:t>
      </w:r>
      <w:r>
        <w:rPr>
          <w:lang w:val="en-GB"/>
        </w:rPr>
        <w:t xml:space="preserve">have continued to </w:t>
      </w:r>
      <w:r w:rsidRPr="008C4E3D">
        <w:rPr>
          <w:lang w:val="en-GB"/>
        </w:rPr>
        <w:t>enjoy visa-free travel into the</w:t>
      </w:r>
      <w:r>
        <w:rPr>
          <w:lang w:val="en-GB"/>
        </w:rPr>
        <w:t xml:space="preserve"> Schengen zone</w:t>
      </w:r>
      <w:r w:rsidRPr="008C4E3D">
        <w:rPr>
          <w:lang w:val="en-GB"/>
        </w:rPr>
        <w:t>. In fact, given its population and</w:t>
      </w:r>
      <w:r>
        <w:rPr>
          <w:lang w:val="en-GB"/>
        </w:rPr>
        <w:t xml:space="preserve"> size of its economy</w:t>
      </w:r>
      <w:r w:rsidRPr="008C4E3D">
        <w:rPr>
          <w:lang w:val="en-GB"/>
        </w:rPr>
        <w:t xml:space="preserve">, Brazil </w:t>
      </w:r>
      <w:r>
        <w:rPr>
          <w:lang w:val="en-GB"/>
        </w:rPr>
        <w:t xml:space="preserve">is now a much </w:t>
      </w:r>
      <w:r w:rsidRPr="008C4E3D">
        <w:rPr>
          <w:lang w:val="en-GB"/>
        </w:rPr>
        <w:t xml:space="preserve">more powerful </w:t>
      </w:r>
      <w:r>
        <w:rPr>
          <w:lang w:val="en-GB"/>
        </w:rPr>
        <w:t xml:space="preserve">country than </w:t>
      </w:r>
      <w:r w:rsidRPr="008C4E3D">
        <w:rPr>
          <w:lang w:val="en-GB"/>
        </w:rPr>
        <w:t>Portugal. This further adds doubts to the idea that we can describe global visa dynamics in terms of a growing North</w:t>
      </w:r>
      <w:r w:rsidR="003E4C35">
        <w:rPr>
          <w:lang w:val="en-GB"/>
        </w:rPr>
        <w:t>–</w:t>
      </w:r>
      <w:r w:rsidRPr="008C4E3D">
        <w:rPr>
          <w:lang w:val="en-GB"/>
        </w:rPr>
        <w:t>South divide</w:t>
      </w:r>
      <w:r>
        <w:rPr>
          <w:lang w:val="en-GB"/>
        </w:rPr>
        <w:t xml:space="preserve">. </w:t>
      </w:r>
      <w:r w:rsidRPr="008C4E3D">
        <w:rPr>
          <w:lang w:val="en-GB"/>
        </w:rPr>
        <w:t xml:space="preserve">More generally, the whole notion of </w:t>
      </w:r>
      <w:r w:rsidR="003E4C35">
        <w:rPr>
          <w:lang w:val="en-GB"/>
        </w:rPr>
        <w:t>‘South’</w:t>
      </w:r>
      <w:r w:rsidRPr="008C4E3D">
        <w:rPr>
          <w:lang w:val="en-GB"/>
        </w:rPr>
        <w:t xml:space="preserve"> and </w:t>
      </w:r>
      <w:r w:rsidR="003E4C35">
        <w:rPr>
          <w:lang w:val="en-GB"/>
        </w:rPr>
        <w:t>‘North’</w:t>
      </w:r>
      <w:r w:rsidRPr="008C4E3D">
        <w:rPr>
          <w:lang w:val="en-GB"/>
        </w:rPr>
        <w:t xml:space="preserve"> has been heavily </w:t>
      </w:r>
      <w:r w:rsidR="00F01CE0" w:rsidRPr="008C4E3D">
        <w:rPr>
          <w:lang w:val="en-GB"/>
        </w:rPr>
        <w:t>critici</w:t>
      </w:r>
      <w:r w:rsidR="00F01CE0">
        <w:rPr>
          <w:lang w:val="en-GB"/>
        </w:rPr>
        <w:t>s</w:t>
      </w:r>
      <w:r w:rsidR="00F01CE0" w:rsidRPr="008C4E3D">
        <w:rPr>
          <w:lang w:val="en-GB"/>
        </w:rPr>
        <w:t xml:space="preserve">ed </w:t>
      </w:r>
      <w:r w:rsidRPr="008C4E3D">
        <w:rPr>
          <w:lang w:val="en-GB"/>
        </w:rPr>
        <w:t>not only because of its colonial overtones, but also because of its failure to acknowledge the huge diversity and lack of political unity within these two imaginary blocs, to the point of becoming rather meaningless.</w:t>
      </w:r>
      <w:r w:rsidR="00CF1F28">
        <w:rPr>
          <w:lang w:val="en-GB"/>
        </w:rPr>
        <w:t xml:space="preserve"> </w:t>
      </w:r>
    </w:p>
    <w:p w14:paraId="24C4F6B9" w14:textId="10A2AB93" w:rsidR="0085295C" w:rsidRPr="008C4E3D" w:rsidRDefault="0085295C" w:rsidP="00C51AC7">
      <w:pPr>
        <w:ind w:firstLine="720"/>
        <w:rPr>
          <w:lang w:val="en-GB"/>
        </w:rPr>
      </w:pPr>
      <w:r w:rsidRPr="008C4E3D">
        <w:rPr>
          <w:lang w:val="en-GB"/>
        </w:rPr>
        <w:t xml:space="preserve">Visa regimes are also an important negotiation chip in international relations. For instance, the fact that Turkish citizens need </w:t>
      </w:r>
      <w:r w:rsidR="00F01CE0">
        <w:rPr>
          <w:lang w:val="en-GB"/>
        </w:rPr>
        <w:t xml:space="preserve">a </w:t>
      </w:r>
      <w:r w:rsidRPr="008C4E3D">
        <w:rPr>
          <w:lang w:val="en-GB"/>
        </w:rPr>
        <w:t xml:space="preserve">visa to get into the EU, but EU citizens enjoy </w:t>
      </w:r>
      <w:r w:rsidRPr="008C4E3D">
        <w:rPr>
          <w:i/>
          <w:lang w:val="en-GB"/>
        </w:rPr>
        <w:t>de facto</w:t>
      </w:r>
      <w:r w:rsidRPr="008C4E3D">
        <w:rPr>
          <w:lang w:val="en-GB"/>
        </w:rPr>
        <w:t xml:space="preserve"> visa-free entry into Turkey</w:t>
      </w:r>
      <w:r w:rsidRPr="008C4E3D">
        <w:rPr>
          <w:rStyle w:val="FootnoteReference"/>
          <w:rFonts w:ascii="Garamond" w:hAnsi="Garamond"/>
          <w:lang w:val="en-GB"/>
        </w:rPr>
        <w:footnoteReference w:id="4"/>
      </w:r>
      <w:r w:rsidRPr="008C4E3D">
        <w:rPr>
          <w:lang w:val="en-GB"/>
        </w:rPr>
        <w:t xml:space="preserve">, creates some pressure on the EU to lift such requirement, particularly given Turkey’s official status as an accession state. In fact, the lifting of </w:t>
      </w:r>
      <w:r w:rsidR="00845711">
        <w:rPr>
          <w:lang w:val="en-GB"/>
        </w:rPr>
        <w:t xml:space="preserve">travel </w:t>
      </w:r>
      <w:r w:rsidRPr="008C4E3D">
        <w:rPr>
          <w:lang w:val="en-GB"/>
        </w:rPr>
        <w:t xml:space="preserve">visa requirements for its citizens has been one of the central long-term goals of Turkish diplomacy, and one of the main </w:t>
      </w:r>
      <w:r w:rsidRPr="008C4E3D">
        <w:rPr>
          <w:i/>
          <w:lang w:val="en-GB"/>
        </w:rPr>
        <w:t>quid pro quos</w:t>
      </w:r>
      <w:r w:rsidRPr="008C4E3D">
        <w:rPr>
          <w:lang w:val="en-GB"/>
        </w:rPr>
        <w:t xml:space="preserve"> in exchange for full collaboration with EU’s border policies, and, particularly</w:t>
      </w:r>
      <w:r w:rsidR="000A154E">
        <w:rPr>
          <w:lang w:val="en-GB"/>
        </w:rPr>
        <w:t>,</w:t>
      </w:r>
      <w:r w:rsidRPr="008C4E3D">
        <w:rPr>
          <w:lang w:val="en-GB"/>
        </w:rPr>
        <w:t xml:space="preserve"> the prevention of migrants crossing </w:t>
      </w:r>
      <w:r w:rsidR="000A154E">
        <w:rPr>
          <w:lang w:val="en-GB"/>
        </w:rPr>
        <w:t>the EU’s</w:t>
      </w:r>
      <w:r w:rsidRPr="008C4E3D">
        <w:rPr>
          <w:lang w:val="en-GB"/>
        </w:rPr>
        <w:t xml:space="preserve"> external border</w:t>
      </w:r>
      <w:r w:rsidR="000A154E">
        <w:rPr>
          <w:lang w:val="en-GB"/>
        </w:rPr>
        <w:t>s</w:t>
      </w:r>
      <w:r w:rsidRPr="008C4E3D">
        <w:rPr>
          <w:lang w:val="en-GB"/>
        </w:rPr>
        <w:t xml:space="preserve"> illegally. It was therefore no surprise that the prime conditions of collaboration with the so-called ‘refugee deal’ </w:t>
      </w:r>
      <w:r w:rsidR="00F22F64">
        <w:rPr>
          <w:lang w:val="en-GB"/>
        </w:rPr>
        <w:t xml:space="preserve">of 2016 </w:t>
      </w:r>
      <w:r w:rsidRPr="008C4E3D">
        <w:rPr>
          <w:lang w:val="en-GB"/>
        </w:rPr>
        <w:t xml:space="preserve">was that </w:t>
      </w:r>
      <w:r w:rsidR="00F22F64">
        <w:rPr>
          <w:lang w:val="en-GB"/>
        </w:rPr>
        <w:t xml:space="preserve">the </w:t>
      </w:r>
      <w:r w:rsidRPr="008C4E3D">
        <w:rPr>
          <w:lang w:val="en-GB"/>
        </w:rPr>
        <w:t xml:space="preserve">EU would </w:t>
      </w:r>
      <w:r>
        <w:rPr>
          <w:lang w:val="en-GB"/>
        </w:rPr>
        <w:t>commit to eventually l</w:t>
      </w:r>
      <w:r w:rsidRPr="008C4E3D">
        <w:rPr>
          <w:lang w:val="en-GB"/>
        </w:rPr>
        <w:t>ift</w:t>
      </w:r>
      <w:r>
        <w:rPr>
          <w:lang w:val="en-GB"/>
        </w:rPr>
        <w:t>ing</w:t>
      </w:r>
      <w:r w:rsidR="00995DBA">
        <w:rPr>
          <w:lang w:val="en-GB"/>
        </w:rPr>
        <w:t xml:space="preserve"> travel</w:t>
      </w:r>
      <w:r w:rsidRPr="008C4E3D">
        <w:rPr>
          <w:lang w:val="en-GB"/>
        </w:rPr>
        <w:t xml:space="preserve"> visas for Turkish citizens in exchange for Turkish collaboration in increasing border controls and accepting the repatriation of asylum seekers. </w:t>
      </w:r>
    </w:p>
    <w:p w14:paraId="3339EBA7" w14:textId="47E1F390" w:rsidR="0085295C" w:rsidRPr="008C4E3D" w:rsidRDefault="0085295C" w:rsidP="00C51AC7">
      <w:pPr>
        <w:ind w:firstLine="720"/>
        <w:rPr>
          <w:lang w:val="en-GB"/>
        </w:rPr>
      </w:pPr>
      <w:r>
        <w:rPr>
          <w:lang w:val="en-GB"/>
        </w:rPr>
        <w:t>However, Turkey and other ‘labour frontier’ state</w:t>
      </w:r>
      <w:r w:rsidR="00F22F64">
        <w:rPr>
          <w:lang w:val="en-GB"/>
        </w:rPr>
        <w:t>s</w:t>
      </w:r>
      <w:r>
        <w:rPr>
          <w:lang w:val="en-GB"/>
        </w:rPr>
        <w:t xml:space="preserve"> (cf. Skeldon </w:t>
      </w:r>
      <w:r w:rsidR="00F22F64">
        <w:rPr>
          <w:lang w:val="en-GB"/>
        </w:rPr>
        <w:t>,</w:t>
      </w:r>
      <w:r>
        <w:rPr>
          <w:lang w:val="en-GB"/>
        </w:rPr>
        <w:t>1997)</w:t>
      </w:r>
      <w:r w:rsidR="00F22F64">
        <w:rPr>
          <w:lang w:val="en-GB"/>
        </w:rPr>
        <w:t>,</w:t>
      </w:r>
      <w:r w:rsidRPr="008C4E3D">
        <w:rPr>
          <w:lang w:val="en-GB"/>
        </w:rPr>
        <w:t xml:space="preserve"> such as Morocco and Tunisia</w:t>
      </w:r>
      <w:r w:rsidR="00F22F64">
        <w:rPr>
          <w:lang w:val="en-GB"/>
        </w:rPr>
        <w:t>,</w:t>
      </w:r>
      <w:r w:rsidRPr="008C4E3D">
        <w:rPr>
          <w:lang w:val="en-GB"/>
        </w:rPr>
        <w:t xml:space="preserve"> have only limited incentive to fully </w:t>
      </w:r>
      <w:r w:rsidR="00F22F64">
        <w:rPr>
          <w:lang w:val="en-GB"/>
        </w:rPr>
        <w:t>accede</w:t>
      </w:r>
      <w:r w:rsidRPr="008C4E3D">
        <w:rPr>
          <w:lang w:val="en-GB"/>
        </w:rPr>
        <w:t xml:space="preserve"> to the EU’s wish to outsource</w:t>
      </w:r>
      <w:r>
        <w:rPr>
          <w:lang w:val="en-GB"/>
        </w:rPr>
        <w:t xml:space="preserve"> or ‘</w:t>
      </w:r>
      <w:r w:rsidR="00F22F64">
        <w:rPr>
          <w:lang w:val="en-GB"/>
        </w:rPr>
        <w:t>externalise’</w:t>
      </w:r>
      <w:r w:rsidR="00F22F64" w:rsidRPr="008C4E3D">
        <w:rPr>
          <w:lang w:val="en-GB"/>
        </w:rPr>
        <w:t xml:space="preserve"> </w:t>
      </w:r>
      <w:r w:rsidRPr="008C4E3D">
        <w:rPr>
          <w:lang w:val="en-GB"/>
        </w:rPr>
        <w:t xml:space="preserve">migration controls and act as the EU’s border guards unless these countries </w:t>
      </w:r>
      <w:r w:rsidRPr="00C51AC7">
        <w:rPr>
          <w:lang w:val="en-GB"/>
        </w:rPr>
        <w:t>themselves</w:t>
      </w:r>
      <w:r w:rsidRPr="008C4E3D">
        <w:rPr>
          <w:lang w:val="en-GB"/>
        </w:rPr>
        <w:t xml:space="preserve"> </w:t>
      </w:r>
      <w:r w:rsidR="00D656D4">
        <w:rPr>
          <w:lang w:val="en-GB"/>
        </w:rPr>
        <w:t>are</w:t>
      </w:r>
      <w:r w:rsidRPr="008C4E3D">
        <w:rPr>
          <w:lang w:val="en-GB"/>
        </w:rPr>
        <w:t xml:space="preserve"> </w:t>
      </w:r>
      <w:r>
        <w:rPr>
          <w:lang w:val="en-GB"/>
        </w:rPr>
        <w:t xml:space="preserve">fully </w:t>
      </w:r>
      <w:r w:rsidRPr="008C4E3D">
        <w:rPr>
          <w:lang w:val="en-GB"/>
        </w:rPr>
        <w:t>included in the greater European free mobility space</w:t>
      </w:r>
      <w:r w:rsidR="00D656D4">
        <w:rPr>
          <w:lang w:val="en-GB"/>
        </w:rPr>
        <w:t>,</w:t>
      </w:r>
      <w:r w:rsidRPr="008C4E3D">
        <w:rPr>
          <w:lang w:val="en-GB"/>
        </w:rPr>
        <w:t xml:space="preserve"> through the lifting of visa requirements. After all, if illegal border crossings </w:t>
      </w:r>
      <w:r w:rsidR="00D656D4">
        <w:rPr>
          <w:lang w:val="en-GB"/>
        </w:rPr>
        <w:t>were to</w:t>
      </w:r>
      <w:r w:rsidR="00D656D4" w:rsidRPr="008C4E3D">
        <w:rPr>
          <w:lang w:val="en-GB"/>
        </w:rPr>
        <w:t xml:space="preserve"> </w:t>
      </w:r>
      <w:r w:rsidRPr="008C4E3D">
        <w:rPr>
          <w:lang w:val="en-GB"/>
        </w:rPr>
        <w:t>largely</w:t>
      </w:r>
      <w:r w:rsidR="00D656D4">
        <w:rPr>
          <w:lang w:val="en-GB"/>
        </w:rPr>
        <w:t xml:space="preserve"> </w:t>
      </w:r>
      <w:r w:rsidR="00D656D4" w:rsidRPr="008C4E3D">
        <w:rPr>
          <w:lang w:val="en-GB"/>
        </w:rPr>
        <w:t>cease</w:t>
      </w:r>
      <w:r w:rsidRPr="008C4E3D">
        <w:rPr>
          <w:lang w:val="en-GB"/>
        </w:rPr>
        <w:t>, these countries would give away an important negotiation tool to extract concessions</w:t>
      </w:r>
      <w:r w:rsidR="00973494">
        <w:rPr>
          <w:lang w:val="en-GB"/>
        </w:rPr>
        <w:t xml:space="preserve"> in their own interests</w:t>
      </w:r>
      <w:r w:rsidRPr="008C4E3D">
        <w:rPr>
          <w:lang w:val="en-GB"/>
        </w:rPr>
        <w:t>. This explains why these states have generally refused to sign</w:t>
      </w:r>
      <w:r>
        <w:rPr>
          <w:lang w:val="en-GB"/>
        </w:rPr>
        <w:t xml:space="preserve">, or </w:t>
      </w:r>
      <w:r w:rsidR="0035576D">
        <w:rPr>
          <w:lang w:val="en-GB"/>
        </w:rPr>
        <w:t xml:space="preserve">to </w:t>
      </w:r>
      <w:r>
        <w:rPr>
          <w:lang w:val="en-GB"/>
        </w:rPr>
        <w:t>fully im</w:t>
      </w:r>
      <w:r w:rsidRPr="008C4E3D">
        <w:rPr>
          <w:lang w:val="en-GB"/>
        </w:rPr>
        <w:t>plement</w:t>
      </w:r>
      <w:r>
        <w:rPr>
          <w:lang w:val="en-GB"/>
        </w:rPr>
        <w:t>,</w:t>
      </w:r>
      <w:r w:rsidRPr="008C4E3D">
        <w:rPr>
          <w:lang w:val="en-GB"/>
        </w:rPr>
        <w:t xml:space="preserve"> agreements for the readmission of third country nationals, which </w:t>
      </w:r>
      <w:r>
        <w:rPr>
          <w:lang w:val="en-GB"/>
        </w:rPr>
        <w:t xml:space="preserve">is </w:t>
      </w:r>
      <w:r w:rsidRPr="008C4E3D">
        <w:rPr>
          <w:lang w:val="en-GB"/>
        </w:rPr>
        <w:t xml:space="preserve">a key element </w:t>
      </w:r>
      <w:r>
        <w:rPr>
          <w:lang w:val="en-GB"/>
        </w:rPr>
        <w:t xml:space="preserve">to the success of </w:t>
      </w:r>
      <w:r w:rsidR="00B807B3">
        <w:rPr>
          <w:lang w:val="en-GB"/>
        </w:rPr>
        <w:t xml:space="preserve">the </w:t>
      </w:r>
      <w:r>
        <w:rPr>
          <w:lang w:val="en-GB"/>
        </w:rPr>
        <w:t>EU’s externali</w:t>
      </w:r>
      <w:r w:rsidR="00B807B3">
        <w:rPr>
          <w:lang w:val="en-GB"/>
        </w:rPr>
        <w:t>s</w:t>
      </w:r>
      <w:r>
        <w:rPr>
          <w:lang w:val="en-GB"/>
        </w:rPr>
        <w:t xml:space="preserve">ation policies. </w:t>
      </w:r>
    </w:p>
    <w:p w14:paraId="50123458" w14:textId="31ECF319" w:rsidR="0085295C" w:rsidRDefault="0085295C" w:rsidP="00C51AC7">
      <w:pPr>
        <w:ind w:firstLine="720"/>
        <w:rPr>
          <w:lang w:val="en-GB"/>
        </w:rPr>
      </w:pPr>
      <w:r w:rsidRPr="008C4E3D">
        <w:rPr>
          <w:lang w:val="en-GB"/>
        </w:rPr>
        <w:t>These examples suggest that the degree of bilateral reciprocity in</w:t>
      </w:r>
      <w:r w:rsidR="004201E0">
        <w:rPr>
          <w:lang w:val="en-GB"/>
        </w:rPr>
        <w:t xml:space="preserve"> travel</w:t>
      </w:r>
      <w:r w:rsidRPr="008C4E3D">
        <w:rPr>
          <w:lang w:val="en-GB"/>
        </w:rPr>
        <w:t xml:space="preserve"> visa </w:t>
      </w:r>
      <w:r w:rsidR="004201E0">
        <w:rPr>
          <w:lang w:val="en-GB"/>
        </w:rPr>
        <w:t>regulations</w:t>
      </w:r>
      <w:r w:rsidR="004201E0" w:rsidRPr="008C4E3D">
        <w:rPr>
          <w:lang w:val="en-GB"/>
        </w:rPr>
        <w:t xml:space="preserve"> </w:t>
      </w:r>
      <w:r w:rsidRPr="008C4E3D">
        <w:rPr>
          <w:lang w:val="en-GB"/>
        </w:rPr>
        <w:t xml:space="preserve">can provide a unique </w:t>
      </w:r>
      <w:r>
        <w:rPr>
          <w:lang w:val="en-GB"/>
        </w:rPr>
        <w:t xml:space="preserve">empirical tool </w:t>
      </w:r>
      <w:r w:rsidR="00E3165C">
        <w:rPr>
          <w:lang w:val="en-GB"/>
        </w:rPr>
        <w:t xml:space="preserve">with which </w:t>
      </w:r>
      <w:r w:rsidRPr="008C4E3D">
        <w:rPr>
          <w:lang w:val="en-GB"/>
        </w:rPr>
        <w:t xml:space="preserve">to </w:t>
      </w:r>
      <w:r>
        <w:rPr>
          <w:lang w:val="en-GB"/>
        </w:rPr>
        <w:t xml:space="preserve">study </w:t>
      </w:r>
      <w:r w:rsidR="004201E0">
        <w:rPr>
          <w:lang w:val="en-GB"/>
        </w:rPr>
        <w:t xml:space="preserve">migration control, </w:t>
      </w:r>
      <w:r w:rsidRPr="008C4E3D">
        <w:rPr>
          <w:lang w:val="en-GB"/>
        </w:rPr>
        <w:t>international power relations and inequalities</w:t>
      </w:r>
      <w:r>
        <w:rPr>
          <w:lang w:val="en-GB"/>
        </w:rPr>
        <w:t xml:space="preserve">. This is particularly important because the concept of power is so difficult to measure quantitatively. </w:t>
      </w:r>
      <w:r w:rsidRPr="008C4E3D">
        <w:rPr>
          <w:lang w:val="en-GB"/>
        </w:rPr>
        <w:t xml:space="preserve">The DEMIG VISA database can therefore not only function as a unique proxy to measure the evolution of migration policy, but, more </w:t>
      </w:r>
      <w:r w:rsidR="00B70C47">
        <w:rPr>
          <w:lang w:val="en-GB"/>
        </w:rPr>
        <w:t>generally</w:t>
      </w:r>
      <w:r w:rsidRPr="008C4E3D">
        <w:rPr>
          <w:lang w:val="en-GB"/>
        </w:rPr>
        <w:t xml:space="preserve">, provides a powerful vantage point </w:t>
      </w:r>
      <w:r w:rsidR="008D2CF9">
        <w:rPr>
          <w:lang w:val="en-GB"/>
        </w:rPr>
        <w:t>from which to study</w:t>
      </w:r>
      <w:r w:rsidRPr="008C4E3D">
        <w:rPr>
          <w:lang w:val="en-GB"/>
        </w:rPr>
        <w:t xml:space="preserve"> patterns and shifts in int</w:t>
      </w:r>
      <w:r>
        <w:rPr>
          <w:lang w:val="en-GB"/>
        </w:rPr>
        <w:t>er</w:t>
      </w:r>
      <w:r w:rsidRPr="008C4E3D">
        <w:rPr>
          <w:lang w:val="en-GB"/>
        </w:rPr>
        <w:t>-state power relations.</w:t>
      </w:r>
    </w:p>
    <w:p w14:paraId="656EE32A" w14:textId="53BDEEFD" w:rsidR="0085295C" w:rsidRPr="008C4E3D" w:rsidRDefault="00BF74D4" w:rsidP="0085295C">
      <w:pPr>
        <w:pStyle w:val="Heading1"/>
      </w:pPr>
      <w:r>
        <w:t>The DEMIG VISA Database</w:t>
      </w:r>
      <w:r w:rsidRPr="008C4E3D">
        <w:t xml:space="preserve"> </w:t>
      </w:r>
      <w:r w:rsidR="0049214A">
        <w:t>and methods</w:t>
      </w:r>
    </w:p>
    <w:p w14:paraId="6A0DC23C" w14:textId="2D0EB1DC" w:rsidR="0085295C" w:rsidRPr="008C4E3D" w:rsidRDefault="0085295C" w:rsidP="0085295C">
      <w:pPr>
        <w:rPr>
          <w:lang w:val="en-GB"/>
        </w:rPr>
      </w:pPr>
      <w:r w:rsidRPr="008C4E3D">
        <w:rPr>
          <w:lang w:val="en-GB"/>
        </w:rPr>
        <w:t xml:space="preserve">In order to address the aforementioned objectives, </w:t>
      </w:r>
      <w:r>
        <w:rPr>
          <w:lang w:val="en-GB"/>
        </w:rPr>
        <w:t>between 2010 and 2014 as part of the Determinants of International Migration</w:t>
      </w:r>
      <w:r w:rsidR="008D2CF9">
        <w:rPr>
          <w:lang w:val="en-GB"/>
        </w:rPr>
        <w:t xml:space="preserve"> (DEMIG</w:t>
      </w:r>
      <w:r>
        <w:rPr>
          <w:lang w:val="en-GB"/>
        </w:rPr>
        <w:t xml:space="preserve">) project at </w:t>
      </w:r>
      <w:r w:rsidR="008351BC">
        <w:rPr>
          <w:lang w:val="en-GB"/>
        </w:rPr>
        <w:t>the</w:t>
      </w:r>
      <w:r>
        <w:rPr>
          <w:lang w:val="en-GB"/>
        </w:rPr>
        <w:t xml:space="preserve"> International Migration Institute (IMI),</w:t>
      </w:r>
      <w:r w:rsidR="008351BC">
        <w:rPr>
          <w:lang w:val="en-GB"/>
        </w:rPr>
        <w:t xml:space="preserve"> University of Oxford,</w:t>
      </w:r>
      <w:r>
        <w:rPr>
          <w:lang w:val="en-GB"/>
        </w:rPr>
        <w:t xml:space="preserve"> </w:t>
      </w:r>
      <w:r w:rsidRPr="008C4E3D">
        <w:rPr>
          <w:lang w:val="en-GB"/>
        </w:rPr>
        <w:t xml:space="preserve">we compiled the DEMIG VISA </w:t>
      </w:r>
      <w:r w:rsidR="008351BC">
        <w:rPr>
          <w:lang w:val="en-GB"/>
        </w:rPr>
        <w:t>d</w:t>
      </w:r>
      <w:r w:rsidR="008351BC" w:rsidRPr="008C4E3D">
        <w:rPr>
          <w:lang w:val="en-GB"/>
        </w:rPr>
        <w:t>atabase</w:t>
      </w:r>
      <w:r w:rsidRPr="008C4E3D">
        <w:rPr>
          <w:lang w:val="en-GB"/>
        </w:rPr>
        <w:t xml:space="preserve">. This database tracks visa requirements and </w:t>
      </w:r>
      <w:r w:rsidRPr="008C4E3D">
        <w:rPr>
          <w:lang w:val="en-GB"/>
        </w:rPr>
        <w:lastRenderedPageBreak/>
        <w:t xml:space="preserve">exceptions, as well as exit permit requirements of 214 countries for travellers </w:t>
      </w:r>
      <w:r w:rsidR="0026224F">
        <w:rPr>
          <w:lang w:val="en-GB"/>
        </w:rPr>
        <w:t>from</w:t>
      </w:r>
      <w:r w:rsidR="0026224F" w:rsidRPr="008C4E3D">
        <w:rPr>
          <w:lang w:val="en-GB"/>
        </w:rPr>
        <w:t xml:space="preserve"> </w:t>
      </w:r>
      <w:r w:rsidRPr="008C4E3D">
        <w:rPr>
          <w:lang w:val="en-GB"/>
        </w:rPr>
        <w:t>237</w:t>
      </w:r>
      <w:r w:rsidR="00C26E55">
        <w:rPr>
          <w:rStyle w:val="FootnoteReference"/>
          <w:lang w:val="en-GB"/>
        </w:rPr>
        <w:footnoteReference w:id="5"/>
      </w:r>
      <w:r w:rsidRPr="008C4E3D">
        <w:rPr>
          <w:lang w:val="en-GB"/>
        </w:rPr>
        <w:t xml:space="preserve"> countries and territories over the 1973</w:t>
      </w:r>
      <w:r w:rsidR="0026224F">
        <w:rPr>
          <w:lang w:val="en-GB"/>
        </w:rPr>
        <w:t>–</w:t>
      </w:r>
      <w:r w:rsidRPr="008C4E3D">
        <w:rPr>
          <w:lang w:val="en-GB"/>
        </w:rPr>
        <w:t xml:space="preserve">2013 period. Our primary data are based on the regulations provided by the Travel Information Manuals (TIM) of the International Air Transport Association (IATA). The manuals published by IATA are released on a monthly basis. </w:t>
      </w:r>
      <w:r w:rsidR="000D09FA">
        <w:rPr>
          <w:lang w:val="en-GB"/>
        </w:rPr>
        <w:t>These manuals contain information on the travel visa requirements for travellers entering the country</w:t>
      </w:r>
      <w:r w:rsidR="00C26E55">
        <w:rPr>
          <w:lang w:val="en-GB"/>
        </w:rPr>
        <w:t xml:space="preserve"> according to the passport they hold</w:t>
      </w:r>
      <w:r w:rsidR="00A40AC2">
        <w:rPr>
          <w:lang w:val="en-GB"/>
        </w:rPr>
        <w:t xml:space="preserve">, as well as exit requirements for </w:t>
      </w:r>
      <w:r w:rsidR="00C402E3">
        <w:rPr>
          <w:lang w:val="en-GB"/>
        </w:rPr>
        <w:t xml:space="preserve">their </w:t>
      </w:r>
      <w:r w:rsidR="00A40AC2">
        <w:rPr>
          <w:lang w:val="en-GB"/>
        </w:rPr>
        <w:t>own citizens</w:t>
      </w:r>
      <w:r w:rsidR="00C26E55">
        <w:rPr>
          <w:lang w:val="en-GB"/>
        </w:rPr>
        <w:t xml:space="preserve">. </w:t>
      </w:r>
      <w:r w:rsidRPr="008C4E3D">
        <w:rPr>
          <w:lang w:val="en-GB"/>
        </w:rPr>
        <w:t>We have selected all manuals from January of each year</w:t>
      </w:r>
      <w:r w:rsidRPr="008C4E3D">
        <w:rPr>
          <w:rStyle w:val="FootnoteReference"/>
          <w:rFonts w:ascii="Garamond" w:hAnsi="Garamond"/>
          <w:lang w:val="en-GB"/>
        </w:rPr>
        <w:footnoteReference w:id="6"/>
      </w:r>
      <w:r w:rsidRPr="008C4E3D">
        <w:rPr>
          <w:lang w:val="en-GB"/>
        </w:rPr>
        <w:t xml:space="preserve"> to provide consistency in relation to the time </w:t>
      </w:r>
      <w:r w:rsidR="0026224F">
        <w:rPr>
          <w:lang w:val="en-GB"/>
        </w:rPr>
        <w:t xml:space="preserve">at which </w:t>
      </w:r>
      <w:r w:rsidRPr="008C4E3D">
        <w:rPr>
          <w:lang w:val="en-GB"/>
        </w:rPr>
        <w:t xml:space="preserve">visa changes might occur during the year. </w:t>
      </w:r>
    </w:p>
    <w:p w14:paraId="2CE15AEE" w14:textId="155385E4" w:rsidR="0085295C" w:rsidRPr="008C4E3D" w:rsidRDefault="0085295C" w:rsidP="00C51AC7">
      <w:pPr>
        <w:ind w:firstLine="720"/>
        <w:rPr>
          <w:lang w:val="en-GB"/>
        </w:rPr>
      </w:pPr>
      <w:r>
        <w:rPr>
          <w:lang w:val="en-GB"/>
        </w:rPr>
        <w:t xml:space="preserve">A few other studies have already used </w:t>
      </w:r>
      <w:r w:rsidRPr="008C4E3D">
        <w:rPr>
          <w:lang w:val="en-GB"/>
        </w:rPr>
        <w:t xml:space="preserve">travel visa data to </w:t>
      </w:r>
      <w:r>
        <w:rPr>
          <w:lang w:val="en-GB"/>
        </w:rPr>
        <w:t xml:space="preserve">study the usefulness of these policy tools and their impact on migration and border regimes </w:t>
      </w:r>
      <w:r w:rsidRPr="008C4E3D">
        <w:rPr>
          <w:lang w:val="en-GB"/>
        </w:rPr>
        <w:t xml:space="preserve">(see Neumayer, 2006; Hobolth, 2014; Mau et al., 2015). However, the </w:t>
      </w:r>
      <w:r w:rsidRPr="008C4E3D">
        <w:rPr>
          <w:i/>
          <w:lang w:val="en-GB"/>
        </w:rPr>
        <w:t xml:space="preserve">depth </w:t>
      </w:r>
      <w:r w:rsidRPr="00BC60A9">
        <w:rPr>
          <w:lang w:val="en-GB"/>
        </w:rPr>
        <w:t>and</w:t>
      </w:r>
      <w:r w:rsidRPr="008C4E3D">
        <w:rPr>
          <w:i/>
          <w:lang w:val="en-GB"/>
        </w:rPr>
        <w:t xml:space="preserve"> breadth</w:t>
      </w:r>
      <w:r w:rsidRPr="008C4E3D">
        <w:rPr>
          <w:lang w:val="en-GB"/>
        </w:rPr>
        <w:t xml:space="preserve"> of these databases is more limited than the DEMIG VISA </w:t>
      </w:r>
      <w:r>
        <w:rPr>
          <w:lang w:val="en-GB"/>
        </w:rPr>
        <w:t>d</w:t>
      </w:r>
      <w:r w:rsidRPr="008C4E3D">
        <w:rPr>
          <w:lang w:val="en-GB"/>
        </w:rPr>
        <w:t xml:space="preserve">atabase. For example, Hobolth (2014) utilises a European Visa Database </w:t>
      </w:r>
      <w:r>
        <w:rPr>
          <w:lang w:val="en-GB"/>
        </w:rPr>
        <w:t xml:space="preserve">of bilateral </w:t>
      </w:r>
      <w:r w:rsidRPr="008C4E3D">
        <w:rPr>
          <w:lang w:val="en-GB"/>
        </w:rPr>
        <w:t>pairs of receiving and sending countries for the period 2005</w:t>
      </w:r>
      <w:r w:rsidR="006C6207">
        <w:rPr>
          <w:lang w:val="en-GB"/>
        </w:rPr>
        <w:t>–</w:t>
      </w:r>
      <w:r w:rsidRPr="008C4E3D">
        <w:rPr>
          <w:lang w:val="en-GB"/>
        </w:rPr>
        <w:t>2012</w:t>
      </w:r>
      <w:r w:rsidR="00A24E39">
        <w:rPr>
          <w:lang w:val="en-GB"/>
        </w:rPr>
        <w:t>,</w:t>
      </w:r>
      <w:r w:rsidRPr="008C4E3D">
        <w:rPr>
          <w:lang w:val="en-GB"/>
        </w:rPr>
        <w:t xml:space="preserve"> using legal documents and white papers </w:t>
      </w:r>
      <w:r w:rsidR="00A24E39">
        <w:rPr>
          <w:lang w:val="en-GB"/>
        </w:rPr>
        <w:t xml:space="preserve">from </w:t>
      </w:r>
      <w:r w:rsidRPr="008C4E3D">
        <w:rPr>
          <w:lang w:val="en-GB"/>
        </w:rPr>
        <w:t>different European governments (2015: 427). Neumayer (2006) takes a global approach by capturing information on visa restrictions for 189 countries taken from the TIM manuals from November 2004 (</w:t>
      </w:r>
      <w:r>
        <w:rPr>
          <w:lang w:val="en-GB"/>
        </w:rPr>
        <w:t>Neumayer</w:t>
      </w:r>
      <w:r w:rsidR="004F036A">
        <w:rPr>
          <w:lang w:val="en-GB"/>
        </w:rPr>
        <w:t>,</w:t>
      </w:r>
      <w:r>
        <w:rPr>
          <w:lang w:val="en-GB"/>
        </w:rPr>
        <w:t xml:space="preserve"> </w:t>
      </w:r>
      <w:r w:rsidRPr="008C4E3D">
        <w:rPr>
          <w:lang w:val="en-GB"/>
        </w:rPr>
        <w:t>2006:</w:t>
      </w:r>
      <w:r w:rsidR="004F036A">
        <w:rPr>
          <w:lang w:val="en-GB"/>
        </w:rPr>
        <w:t xml:space="preserve"> </w:t>
      </w:r>
      <w:r w:rsidRPr="008C4E3D">
        <w:rPr>
          <w:lang w:val="en-GB"/>
        </w:rPr>
        <w:t>77)</w:t>
      </w:r>
      <w:r>
        <w:rPr>
          <w:lang w:val="en-GB"/>
        </w:rPr>
        <w:t xml:space="preserve">. </w:t>
      </w:r>
      <w:r w:rsidRPr="008C4E3D">
        <w:rPr>
          <w:lang w:val="en-GB"/>
        </w:rPr>
        <w:t>Mau et al. (2015) also rel</w:t>
      </w:r>
      <w:r>
        <w:rPr>
          <w:lang w:val="en-GB"/>
        </w:rPr>
        <w:t xml:space="preserve">y </w:t>
      </w:r>
      <w:r w:rsidRPr="008C4E3D">
        <w:rPr>
          <w:lang w:val="en-GB"/>
        </w:rPr>
        <w:t>on the TIM manuals from IATA by compiling</w:t>
      </w:r>
      <w:r>
        <w:rPr>
          <w:lang w:val="en-GB"/>
        </w:rPr>
        <w:t xml:space="preserve"> bilateral for two years: </w:t>
      </w:r>
      <w:r w:rsidRPr="008C4E3D">
        <w:rPr>
          <w:lang w:val="en-GB"/>
        </w:rPr>
        <w:t>1969 and 2010. DEMIG VISA</w:t>
      </w:r>
      <w:r>
        <w:rPr>
          <w:lang w:val="en-GB"/>
        </w:rPr>
        <w:t xml:space="preserve"> drastically expands the coverage of previous databases by </w:t>
      </w:r>
      <w:r w:rsidRPr="008C4E3D">
        <w:rPr>
          <w:lang w:val="en-GB"/>
        </w:rPr>
        <w:t xml:space="preserve">providing a </w:t>
      </w:r>
      <w:r>
        <w:rPr>
          <w:lang w:val="en-GB"/>
        </w:rPr>
        <w:t xml:space="preserve">year-to-year </w:t>
      </w:r>
      <w:r w:rsidRPr="008C4E3D">
        <w:rPr>
          <w:lang w:val="en-GB"/>
        </w:rPr>
        <w:t xml:space="preserve">longitudinal </w:t>
      </w:r>
      <w:r>
        <w:rPr>
          <w:lang w:val="en-GB"/>
        </w:rPr>
        <w:t xml:space="preserve">bilateral travel visa </w:t>
      </w:r>
      <w:r w:rsidRPr="008C4E3D">
        <w:rPr>
          <w:lang w:val="en-GB"/>
        </w:rPr>
        <w:t>database</w:t>
      </w:r>
      <w:r>
        <w:rPr>
          <w:lang w:val="en-GB"/>
        </w:rPr>
        <w:t xml:space="preserve"> </w:t>
      </w:r>
      <w:r w:rsidRPr="008C4E3D">
        <w:rPr>
          <w:lang w:val="en-GB"/>
        </w:rPr>
        <w:t>captur</w:t>
      </w:r>
      <w:r>
        <w:rPr>
          <w:lang w:val="en-GB"/>
        </w:rPr>
        <w:t>ing the entire period</w:t>
      </w:r>
      <w:r w:rsidRPr="008C4E3D">
        <w:rPr>
          <w:lang w:val="en-GB"/>
        </w:rPr>
        <w:t xml:space="preserve"> between 1973 and 2013</w:t>
      </w:r>
      <w:r>
        <w:rPr>
          <w:lang w:val="en-GB"/>
        </w:rPr>
        <w:t xml:space="preserve"> with full global coverage. Besides entry visas, DEMIG VISA also </w:t>
      </w:r>
      <w:r w:rsidRPr="008C4E3D">
        <w:rPr>
          <w:lang w:val="en-GB"/>
        </w:rPr>
        <w:t>captur</w:t>
      </w:r>
      <w:r>
        <w:rPr>
          <w:lang w:val="en-GB"/>
        </w:rPr>
        <w:t>es</w:t>
      </w:r>
      <w:r w:rsidRPr="008C4E3D">
        <w:rPr>
          <w:lang w:val="en-GB"/>
        </w:rPr>
        <w:t xml:space="preserve"> exit permits</w:t>
      </w:r>
      <w:r>
        <w:rPr>
          <w:rStyle w:val="FootnoteReference"/>
          <w:rFonts w:ascii="Garamond" w:hAnsi="Garamond"/>
          <w:lang w:val="en-GB"/>
        </w:rPr>
        <w:footnoteReference w:id="7"/>
      </w:r>
      <w:r>
        <w:rPr>
          <w:lang w:val="en-GB"/>
        </w:rPr>
        <w:t xml:space="preserve"> </w:t>
      </w:r>
      <w:r w:rsidRPr="008C4E3D">
        <w:rPr>
          <w:lang w:val="en-GB"/>
        </w:rPr>
        <w:t xml:space="preserve">which </w:t>
      </w:r>
      <w:r>
        <w:rPr>
          <w:lang w:val="en-GB"/>
        </w:rPr>
        <w:t xml:space="preserve">have </w:t>
      </w:r>
      <w:r w:rsidRPr="008C4E3D">
        <w:rPr>
          <w:lang w:val="en-GB"/>
        </w:rPr>
        <w:t xml:space="preserve">not </w:t>
      </w:r>
      <w:r>
        <w:rPr>
          <w:lang w:val="en-GB"/>
        </w:rPr>
        <w:t xml:space="preserve">been previously </w:t>
      </w:r>
      <w:r w:rsidRPr="008C4E3D">
        <w:rPr>
          <w:lang w:val="en-GB"/>
        </w:rPr>
        <w:t xml:space="preserve">compiled, </w:t>
      </w:r>
      <w:r>
        <w:rPr>
          <w:lang w:val="en-GB"/>
        </w:rPr>
        <w:t>to the best of our knowledge, by</w:t>
      </w:r>
      <w:r w:rsidRPr="008C4E3D">
        <w:rPr>
          <w:lang w:val="en-GB"/>
        </w:rPr>
        <w:t xml:space="preserve"> any other database. </w:t>
      </w:r>
    </w:p>
    <w:p w14:paraId="5C6A1BD9" w14:textId="38862F56" w:rsidR="0085295C" w:rsidRPr="008C4E3D" w:rsidRDefault="0085295C" w:rsidP="00C51AC7">
      <w:pPr>
        <w:ind w:firstLine="720"/>
        <w:rPr>
          <w:lang w:val="en-GB"/>
        </w:rPr>
      </w:pPr>
      <w:r>
        <w:rPr>
          <w:lang w:val="en-GB"/>
        </w:rPr>
        <w:t xml:space="preserve">The DEMIG VISA </w:t>
      </w:r>
      <w:r w:rsidRPr="008C4E3D">
        <w:rPr>
          <w:lang w:val="en-GB"/>
        </w:rPr>
        <w:t xml:space="preserve">database </w:t>
      </w:r>
      <w:r>
        <w:rPr>
          <w:lang w:val="en-GB"/>
        </w:rPr>
        <w:t xml:space="preserve">captures </w:t>
      </w:r>
      <w:r w:rsidRPr="008C4E3D">
        <w:rPr>
          <w:i/>
          <w:lang w:val="en-GB"/>
        </w:rPr>
        <w:t>bilateral</w:t>
      </w:r>
      <w:r w:rsidRPr="008C4E3D">
        <w:rPr>
          <w:lang w:val="en-GB"/>
        </w:rPr>
        <w:t xml:space="preserve"> (country-to-country)</w:t>
      </w:r>
      <w:r>
        <w:rPr>
          <w:lang w:val="en-GB"/>
        </w:rPr>
        <w:t xml:space="preserve"> </w:t>
      </w:r>
      <w:r w:rsidR="00637F5C">
        <w:rPr>
          <w:lang w:val="en-GB"/>
        </w:rPr>
        <w:t xml:space="preserve">travel </w:t>
      </w:r>
      <w:r>
        <w:rPr>
          <w:lang w:val="en-GB"/>
        </w:rPr>
        <w:t>visa requirements</w:t>
      </w:r>
      <w:r w:rsidRPr="008C4E3D">
        <w:rPr>
          <w:lang w:val="en-GB"/>
        </w:rPr>
        <w:t xml:space="preserve"> </w:t>
      </w:r>
      <w:r>
        <w:rPr>
          <w:lang w:val="en-GB"/>
        </w:rPr>
        <w:t xml:space="preserve">with regards to </w:t>
      </w:r>
      <w:r w:rsidR="004F036A">
        <w:rPr>
          <w:lang w:val="en-GB"/>
        </w:rPr>
        <w:t xml:space="preserve">both </w:t>
      </w:r>
      <w:r w:rsidRPr="008C4E3D">
        <w:rPr>
          <w:lang w:val="en-GB"/>
        </w:rPr>
        <w:t>entry and exit requirements</w:t>
      </w:r>
      <w:r w:rsidR="00637F5C">
        <w:rPr>
          <w:rStyle w:val="FootnoteReference"/>
          <w:lang w:val="en-GB"/>
        </w:rPr>
        <w:footnoteReference w:id="8"/>
      </w:r>
      <w:r>
        <w:rPr>
          <w:lang w:val="en-GB"/>
        </w:rPr>
        <w:t>. Because of its full bilateral coverage, it does not introduce an artificial (and bias-creating) distinction between origin and destination countries,</w:t>
      </w:r>
      <w:r w:rsidRPr="008C4E3D">
        <w:rPr>
          <w:lang w:val="en-GB"/>
        </w:rPr>
        <w:t xml:space="preserve"> </w:t>
      </w:r>
      <w:r>
        <w:rPr>
          <w:lang w:val="en-GB"/>
        </w:rPr>
        <w:t xml:space="preserve">but treats all countries as both. </w:t>
      </w:r>
      <w:r w:rsidRPr="008C4E3D">
        <w:rPr>
          <w:lang w:val="en-GB"/>
        </w:rPr>
        <w:t xml:space="preserve">The </w:t>
      </w:r>
      <w:r>
        <w:rPr>
          <w:lang w:val="en-GB"/>
        </w:rPr>
        <w:t xml:space="preserve">variables of </w:t>
      </w:r>
      <w:r w:rsidRPr="008C4E3D">
        <w:rPr>
          <w:lang w:val="en-GB"/>
        </w:rPr>
        <w:t xml:space="preserve">the DEMIG VISA database </w:t>
      </w:r>
      <w:r>
        <w:rPr>
          <w:lang w:val="en-GB"/>
        </w:rPr>
        <w:t xml:space="preserve">include </w:t>
      </w:r>
      <w:r w:rsidRPr="008C4E3D">
        <w:rPr>
          <w:lang w:val="en-GB"/>
        </w:rPr>
        <w:t xml:space="preserve">(i) countries reporting </w:t>
      </w:r>
      <w:r w:rsidR="0001572C">
        <w:rPr>
          <w:lang w:val="en-GB"/>
        </w:rPr>
        <w:t xml:space="preserve">travel </w:t>
      </w:r>
      <w:r w:rsidRPr="008C4E3D">
        <w:rPr>
          <w:lang w:val="en-GB"/>
        </w:rPr>
        <w:t>visa issuance or exit permit requirement</w:t>
      </w:r>
      <w:r w:rsidR="004F036A">
        <w:rPr>
          <w:lang w:val="en-GB"/>
        </w:rPr>
        <w:t>s</w:t>
      </w:r>
      <w:r w:rsidRPr="008C4E3D">
        <w:rPr>
          <w:lang w:val="en-GB"/>
        </w:rPr>
        <w:t xml:space="preserve"> for travellers entering and leaving the country; (ii) the nationality of the traveller</w:t>
      </w:r>
      <w:r w:rsidR="004F036A">
        <w:rPr>
          <w:lang w:val="en-GB"/>
        </w:rPr>
        <w:t>s</w:t>
      </w:r>
      <w:r w:rsidRPr="008C4E3D">
        <w:rPr>
          <w:lang w:val="en-GB"/>
        </w:rPr>
        <w:t xml:space="preserve"> who are visa exempt or </w:t>
      </w:r>
      <w:r w:rsidR="004F036A">
        <w:rPr>
          <w:lang w:val="en-GB"/>
        </w:rPr>
        <w:t xml:space="preserve">who </w:t>
      </w:r>
      <w:r w:rsidRPr="008C4E3D">
        <w:rPr>
          <w:lang w:val="en-GB"/>
        </w:rPr>
        <w:t>require a visa; (iii) the policy measure (</w:t>
      </w:r>
      <w:r w:rsidR="0001572C">
        <w:rPr>
          <w:lang w:val="en-GB"/>
        </w:rPr>
        <w:t xml:space="preserve">travel </w:t>
      </w:r>
      <w:r w:rsidRPr="008C4E3D">
        <w:rPr>
          <w:lang w:val="en-GB"/>
        </w:rPr>
        <w:t xml:space="preserve">visa or exit permit). The values entered are: 0 if </w:t>
      </w:r>
      <w:r w:rsidR="0001572C">
        <w:rPr>
          <w:lang w:val="en-GB"/>
        </w:rPr>
        <w:t xml:space="preserve">travel </w:t>
      </w:r>
      <w:r w:rsidRPr="008C4E3D">
        <w:rPr>
          <w:lang w:val="en-GB"/>
        </w:rPr>
        <w:t xml:space="preserve">visa/exit permit not needed; 1 if </w:t>
      </w:r>
      <w:r w:rsidR="0001572C">
        <w:rPr>
          <w:lang w:val="en-GB"/>
        </w:rPr>
        <w:t xml:space="preserve">travel </w:t>
      </w:r>
      <w:r w:rsidRPr="008C4E3D">
        <w:rPr>
          <w:lang w:val="en-GB"/>
        </w:rPr>
        <w:t>visa/exit permit needed</w:t>
      </w:r>
      <w:r>
        <w:rPr>
          <w:lang w:val="en-GB"/>
        </w:rPr>
        <w:t xml:space="preserve">. The value </w:t>
      </w:r>
      <w:r w:rsidRPr="008C4E3D">
        <w:rPr>
          <w:lang w:val="en-GB"/>
        </w:rPr>
        <w:t xml:space="preserve">2 </w:t>
      </w:r>
      <w:r>
        <w:rPr>
          <w:lang w:val="en-GB"/>
        </w:rPr>
        <w:t xml:space="preserve">is assigned </w:t>
      </w:r>
      <w:r w:rsidR="00B03A62">
        <w:rPr>
          <w:lang w:val="en-GB"/>
        </w:rPr>
        <w:t xml:space="preserve">if </w:t>
      </w:r>
      <w:r>
        <w:rPr>
          <w:lang w:val="en-GB"/>
        </w:rPr>
        <w:t xml:space="preserve">nationals of a particular country </w:t>
      </w:r>
      <w:r w:rsidRPr="008C4E3D">
        <w:rPr>
          <w:lang w:val="en-GB"/>
        </w:rPr>
        <w:t>are not allowed to travel to this country of destination</w:t>
      </w:r>
      <w:r>
        <w:rPr>
          <w:lang w:val="en-GB"/>
        </w:rPr>
        <w:t>, with such travel bans only applying to ent</w:t>
      </w:r>
      <w:r w:rsidRPr="008C4E3D">
        <w:rPr>
          <w:lang w:val="en-GB"/>
        </w:rPr>
        <w:t xml:space="preserve">ry visa (so-called </w:t>
      </w:r>
      <w:r>
        <w:rPr>
          <w:lang w:val="en-GB"/>
        </w:rPr>
        <w:t>‘</w:t>
      </w:r>
      <w:r w:rsidRPr="008C4E3D">
        <w:rPr>
          <w:lang w:val="en-GB"/>
        </w:rPr>
        <w:t>blacklisted</w:t>
      </w:r>
      <w:r>
        <w:rPr>
          <w:lang w:val="en-GB"/>
        </w:rPr>
        <w:t>’</w:t>
      </w:r>
      <w:r w:rsidRPr="008C4E3D">
        <w:rPr>
          <w:lang w:val="en-GB"/>
        </w:rPr>
        <w:t xml:space="preserve"> nationalities). We have accounted for changes in country configurations (unification and dissolution) </w:t>
      </w:r>
      <w:r w:rsidR="00D775C2">
        <w:rPr>
          <w:lang w:val="en-GB"/>
        </w:rPr>
        <w:t>over</w:t>
      </w:r>
      <w:r w:rsidR="00D775C2" w:rsidRPr="008C4E3D">
        <w:rPr>
          <w:lang w:val="en-GB"/>
        </w:rPr>
        <w:t xml:space="preserve"> </w:t>
      </w:r>
      <w:r w:rsidRPr="008C4E3D">
        <w:rPr>
          <w:lang w:val="en-GB"/>
        </w:rPr>
        <w:t>time by leaving respective cells blank</w:t>
      </w:r>
      <w:r>
        <w:rPr>
          <w:lang w:val="en-GB"/>
        </w:rPr>
        <w:t xml:space="preserve"> when these countries did not </w:t>
      </w:r>
      <w:r w:rsidR="00D775C2">
        <w:rPr>
          <w:lang w:val="en-GB"/>
        </w:rPr>
        <w:t xml:space="preserve">yet </w:t>
      </w:r>
      <w:r>
        <w:rPr>
          <w:lang w:val="en-GB"/>
        </w:rPr>
        <w:t>exist or ceased to exist</w:t>
      </w:r>
      <w:r w:rsidRPr="008C4E3D">
        <w:rPr>
          <w:lang w:val="en-GB"/>
        </w:rPr>
        <w:t xml:space="preserve">. </w:t>
      </w:r>
      <w:r w:rsidR="0001572C">
        <w:rPr>
          <w:lang w:val="en-GB"/>
        </w:rPr>
        <w:t xml:space="preserve">These are reported as missing data. </w:t>
      </w:r>
      <w:r w:rsidRPr="008C4E3D">
        <w:rPr>
          <w:lang w:val="en-GB"/>
        </w:rPr>
        <w:t>For countries with dependent territories, unless stated otherwise, we assum</w:t>
      </w:r>
      <w:r>
        <w:rPr>
          <w:lang w:val="en-GB"/>
        </w:rPr>
        <w:t xml:space="preserve">e a visa exemption applies </w:t>
      </w:r>
      <w:r w:rsidRPr="008C4E3D">
        <w:rPr>
          <w:lang w:val="en-GB"/>
        </w:rPr>
        <w:t>to all the dependent territories</w:t>
      </w:r>
      <w:r w:rsidR="0001572C">
        <w:rPr>
          <w:rStyle w:val="FootnoteReference"/>
          <w:lang w:val="en-GB"/>
        </w:rPr>
        <w:footnoteReference w:id="9"/>
      </w:r>
      <w:r w:rsidRPr="008C4E3D">
        <w:rPr>
          <w:lang w:val="en-GB"/>
        </w:rPr>
        <w:t xml:space="preserve">. </w:t>
      </w:r>
    </w:p>
    <w:p w14:paraId="6DBB474B" w14:textId="0188CE38" w:rsidR="0085295C" w:rsidRPr="008C4E3D" w:rsidRDefault="0085295C" w:rsidP="00C51AC7">
      <w:pPr>
        <w:ind w:firstLine="720"/>
        <w:rPr>
          <w:lang w:val="en-GB"/>
        </w:rPr>
      </w:pPr>
      <w:r w:rsidRPr="008C4E3D">
        <w:rPr>
          <w:lang w:val="en-GB"/>
        </w:rPr>
        <w:lastRenderedPageBreak/>
        <w:t xml:space="preserve">Although the IATA manuals offer detailed information about the length of time travellers can stay in the country </w:t>
      </w:r>
      <w:r w:rsidR="00D775C2">
        <w:rPr>
          <w:lang w:val="en-GB"/>
        </w:rPr>
        <w:t>of</w:t>
      </w:r>
      <w:r w:rsidR="00D775C2" w:rsidRPr="008C4E3D">
        <w:rPr>
          <w:lang w:val="en-GB"/>
        </w:rPr>
        <w:t xml:space="preserve"> </w:t>
      </w:r>
      <w:r w:rsidRPr="008C4E3D">
        <w:rPr>
          <w:lang w:val="en-GB"/>
        </w:rPr>
        <w:t xml:space="preserve">entry, DEMIG VISA does not distinguish between </w:t>
      </w:r>
      <w:r w:rsidR="009722DA">
        <w:rPr>
          <w:lang w:val="en-GB"/>
        </w:rPr>
        <w:t xml:space="preserve">travel </w:t>
      </w:r>
      <w:r w:rsidRPr="008C4E3D">
        <w:rPr>
          <w:lang w:val="en-GB"/>
        </w:rPr>
        <w:t xml:space="preserve">visa exemptions for different lengths of stay. In relation to the types of passports tracked, this database only records visa and exit requirements that applied to </w:t>
      </w:r>
      <w:r>
        <w:rPr>
          <w:lang w:val="en-GB"/>
        </w:rPr>
        <w:t xml:space="preserve">regular </w:t>
      </w:r>
      <w:r w:rsidRPr="008C4E3D">
        <w:rPr>
          <w:lang w:val="en-GB"/>
        </w:rPr>
        <w:t>travel. Hence, exemptions for diplomatic, any other official passports or travelling for business purposes have</w:t>
      </w:r>
      <w:r>
        <w:rPr>
          <w:lang w:val="en-GB"/>
        </w:rPr>
        <w:t xml:space="preserve"> not been recorded</w:t>
      </w:r>
      <w:r w:rsidRPr="008C4E3D">
        <w:rPr>
          <w:lang w:val="en-GB"/>
        </w:rPr>
        <w:t>. We have also not considered visa exemptions for holders of residence permits in the country of visa issuance</w:t>
      </w:r>
      <w:r>
        <w:rPr>
          <w:lang w:val="en-GB"/>
        </w:rPr>
        <w:t xml:space="preserve">, such as for instance </w:t>
      </w:r>
      <w:r w:rsidR="009722DA">
        <w:rPr>
          <w:lang w:val="en-GB"/>
        </w:rPr>
        <w:t xml:space="preserve">might </w:t>
      </w:r>
      <w:r>
        <w:rPr>
          <w:lang w:val="en-GB"/>
        </w:rPr>
        <w:t xml:space="preserve">apply to </w:t>
      </w:r>
      <w:r w:rsidRPr="008C4E3D">
        <w:rPr>
          <w:lang w:val="en-GB"/>
        </w:rPr>
        <w:t xml:space="preserve">holders of residence permits in the Schengen area </w:t>
      </w:r>
      <w:r w:rsidR="00C05892">
        <w:rPr>
          <w:lang w:val="en-GB"/>
        </w:rPr>
        <w:t xml:space="preserve">who </w:t>
      </w:r>
      <w:r w:rsidRPr="008C4E3D">
        <w:rPr>
          <w:lang w:val="en-GB"/>
        </w:rPr>
        <w:t xml:space="preserve">are allowed to travel within </w:t>
      </w:r>
      <w:r>
        <w:rPr>
          <w:lang w:val="en-GB"/>
        </w:rPr>
        <w:t xml:space="preserve">the </w:t>
      </w:r>
      <w:r w:rsidRPr="008C4E3D">
        <w:rPr>
          <w:lang w:val="en-GB"/>
        </w:rPr>
        <w:t>Schengen</w:t>
      </w:r>
      <w:r>
        <w:rPr>
          <w:lang w:val="en-GB"/>
        </w:rPr>
        <w:t xml:space="preserve"> area.</w:t>
      </w:r>
    </w:p>
    <w:p w14:paraId="4BCB6121" w14:textId="0ED2BE67" w:rsidR="0049214A" w:rsidRDefault="0085295C" w:rsidP="0049214A">
      <w:pPr>
        <w:ind w:firstLine="720"/>
        <w:rPr>
          <w:lang w:val="en-GB"/>
        </w:rPr>
      </w:pPr>
      <w:r>
        <w:rPr>
          <w:lang w:val="en-GB"/>
        </w:rPr>
        <w:t xml:space="preserve">With </w:t>
      </w:r>
      <w:r w:rsidRPr="007A188C">
        <w:rPr>
          <w:lang w:val="en-GB"/>
        </w:rPr>
        <w:t xml:space="preserve">regards to exit permit data, we have tracked the exit regulations for both citizens of the reporting countries and foreign nationals as 0 (no exit permit required), and 1 (exit permit required). </w:t>
      </w:r>
      <w:r w:rsidRPr="007A188C">
        <w:t xml:space="preserve">Exit permits entail a wide range of regulations and comparability across countries is challenging to capture with a binary code. Exit regulations can relate to a travel clearance document acquired at the border indicating that the foreign </w:t>
      </w:r>
      <w:r w:rsidR="0049214A" w:rsidRPr="007A188C">
        <w:t>traveler</w:t>
      </w:r>
      <w:r w:rsidRPr="007A188C">
        <w:t xml:space="preserve"> has not overstayed the entry visa; or </w:t>
      </w:r>
      <w:r w:rsidR="006655E7" w:rsidRPr="007A188C">
        <w:t xml:space="preserve">for nationals </w:t>
      </w:r>
      <w:r w:rsidRPr="007A188C">
        <w:t xml:space="preserve">to a permit to leave the country after </w:t>
      </w:r>
      <w:r w:rsidR="006655E7">
        <w:t>being cleared by</w:t>
      </w:r>
      <w:r w:rsidRPr="007A188C">
        <w:t xml:space="preserve"> government institution</w:t>
      </w:r>
      <w:r>
        <w:t>s</w:t>
      </w:r>
      <w:r w:rsidRPr="007A188C">
        <w:t xml:space="preserve"> regulating the exit of citizens.</w:t>
      </w:r>
      <w:r>
        <w:rPr>
          <w:color w:val="C0504D" w:themeColor="accent2"/>
        </w:rPr>
        <w:t xml:space="preserve"> </w:t>
      </w:r>
      <w:r>
        <w:rPr>
          <w:lang w:val="en-GB"/>
        </w:rPr>
        <w:t>Moreover, w</w:t>
      </w:r>
      <w:r w:rsidRPr="008C4E3D">
        <w:rPr>
          <w:lang w:val="en-GB"/>
        </w:rPr>
        <w:t xml:space="preserve">hen an exit permit is requested for foreign nationals it is sometimes restricted to specific passports, or when visitors have stayed </w:t>
      </w:r>
      <w:r w:rsidR="006655E7">
        <w:rPr>
          <w:lang w:val="en-GB"/>
        </w:rPr>
        <w:t>beyond</w:t>
      </w:r>
      <w:r w:rsidR="006655E7" w:rsidRPr="008C4E3D">
        <w:rPr>
          <w:lang w:val="en-GB"/>
        </w:rPr>
        <w:t xml:space="preserve"> </w:t>
      </w:r>
      <w:r w:rsidRPr="008C4E3D">
        <w:rPr>
          <w:lang w:val="en-GB"/>
        </w:rPr>
        <w:t xml:space="preserve">a particular period of time. </w:t>
      </w:r>
      <w:r>
        <w:rPr>
          <w:lang w:val="en-GB"/>
        </w:rPr>
        <w:t>As</w:t>
      </w:r>
      <w:r w:rsidRPr="008C4E3D">
        <w:rPr>
          <w:lang w:val="en-GB"/>
        </w:rPr>
        <w:t xml:space="preserve"> with the </w:t>
      </w:r>
      <w:r>
        <w:rPr>
          <w:lang w:val="en-GB"/>
        </w:rPr>
        <w:t xml:space="preserve">entry </w:t>
      </w:r>
      <w:r w:rsidRPr="008C4E3D">
        <w:rPr>
          <w:lang w:val="en-GB"/>
        </w:rPr>
        <w:t>visa</w:t>
      </w:r>
      <w:r>
        <w:rPr>
          <w:lang w:val="en-GB"/>
        </w:rPr>
        <w:t>s</w:t>
      </w:r>
      <w:r w:rsidRPr="008C4E3D">
        <w:rPr>
          <w:lang w:val="en-GB"/>
        </w:rPr>
        <w:t xml:space="preserve">, </w:t>
      </w:r>
      <w:r>
        <w:rPr>
          <w:lang w:val="en-GB"/>
        </w:rPr>
        <w:t>we coded the exit permit variable when applied to regular passport holders</w:t>
      </w:r>
      <w:r w:rsidRPr="008C4E3D">
        <w:rPr>
          <w:lang w:val="en-GB"/>
        </w:rPr>
        <w:t>, irrespective of time</w:t>
      </w:r>
      <w:r>
        <w:rPr>
          <w:lang w:val="en-GB"/>
        </w:rPr>
        <w:t xml:space="preserve"> of validity</w:t>
      </w:r>
      <w:r w:rsidRPr="008C4E3D">
        <w:rPr>
          <w:lang w:val="en-GB"/>
        </w:rPr>
        <w:t xml:space="preserve"> </w:t>
      </w:r>
      <w:r>
        <w:rPr>
          <w:lang w:val="en-GB"/>
        </w:rPr>
        <w:t>and other specific conditions</w:t>
      </w:r>
      <w:r w:rsidRPr="008C4E3D">
        <w:rPr>
          <w:lang w:val="en-GB"/>
        </w:rPr>
        <w:t>.</w:t>
      </w:r>
      <w:r w:rsidRPr="008C4E3D">
        <w:rPr>
          <w:rStyle w:val="FootnoteReference"/>
          <w:rFonts w:ascii="Garamond" w:hAnsi="Garamond"/>
          <w:lang w:val="en-GB"/>
        </w:rPr>
        <w:footnoteReference w:id="10"/>
      </w:r>
      <w:r w:rsidRPr="008C4E3D">
        <w:rPr>
          <w:lang w:val="en-GB"/>
        </w:rPr>
        <w:t xml:space="preserve"> </w:t>
      </w:r>
    </w:p>
    <w:p w14:paraId="7A43E5B2" w14:textId="77777777" w:rsidR="006C624B" w:rsidRPr="008C4E3D" w:rsidRDefault="0049214A" w:rsidP="006C624B">
      <w:pPr>
        <w:rPr>
          <w:lang w:val="en-GB"/>
        </w:rPr>
      </w:pPr>
      <w:r>
        <w:rPr>
          <w:lang w:val="en-GB"/>
        </w:rPr>
        <w:t xml:space="preserve">We have used the DEMIG VISA Database to construct </w:t>
      </w:r>
      <w:r w:rsidRPr="008C4E3D">
        <w:rPr>
          <w:lang w:val="en-GB"/>
        </w:rPr>
        <w:t>indices of cross-regional inbound and outbound entry as well as exit restrictiveness</w:t>
      </w:r>
      <w:r w:rsidR="006C624B">
        <w:rPr>
          <w:lang w:val="en-GB"/>
        </w:rPr>
        <w:t xml:space="preserve">. </w:t>
      </w:r>
      <w:r w:rsidR="006C624B" w:rsidRPr="008C4E3D">
        <w:rPr>
          <w:lang w:val="en-GB"/>
        </w:rPr>
        <w:t xml:space="preserve">In order to measure the extent to which different countries, world regions and regional unions have opened or closed to other countries and regions, we constructed indices of regional inbound and outbound entry visa as well as exit restrictiveness. As a first step, we calculated country-level visa restrictiveness indices. For the </w:t>
      </w:r>
      <w:r w:rsidR="006C624B" w:rsidRPr="008C4E3D">
        <w:rPr>
          <w:i/>
          <w:lang w:val="en-GB"/>
        </w:rPr>
        <w:t>inbound entry visa restrictiveness index</w:t>
      </w:r>
      <w:r w:rsidR="006C624B" w:rsidRPr="008C4E3D">
        <w:rPr>
          <w:lang w:val="en-GB"/>
        </w:rPr>
        <w:t xml:space="preserve"> we computed the percentage of origin countries (all countries except the country for which the index was calculated) </w:t>
      </w:r>
      <w:r w:rsidR="006C624B">
        <w:rPr>
          <w:lang w:val="en-GB"/>
        </w:rPr>
        <w:t>whose citizens</w:t>
      </w:r>
      <w:r w:rsidR="006C624B" w:rsidRPr="008C4E3D">
        <w:rPr>
          <w:lang w:val="en-GB"/>
        </w:rPr>
        <w:t xml:space="preserve"> need a travel visa to enter </w:t>
      </w:r>
      <w:r w:rsidR="006C624B">
        <w:rPr>
          <w:lang w:val="en-GB"/>
        </w:rPr>
        <w:t xml:space="preserve">a </w:t>
      </w:r>
      <w:r w:rsidR="006C624B" w:rsidRPr="008C4E3D">
        <w:rPr>
          <w:lang w:val="en-GB"/>
        </w:rPr>
        <w:t>destination country for every year.</w:t>
      </w:r>
      <w:r w:rsidR="006C624B" w:rsidRPr="008C4E3D">
        <w:rPr>
          <w:rStyle w:val="FootnoteReference"/>
          <w:rFonts w:ascii="Garamond" w:hAnsi="Garamond"/>
          <w:lang w:val="en-GB"/>
        </w:rPr>
        <w:footnoteReference w:id="11"/>
      </w:r>
      <w:r w:rsidR="006C624B" w:rsidRPr="008C4E3D">
        <w:rPr>
          <w:lang w:val="en-GB"/>
        </w:rPr>
        <w:t xml:space="preserve"> For the </w:t>
      </w:r>
      <w:r w:rsidR="006C624B" w:rsidRPr="008C4E3D">
        <w:rPr>
          <w:i/>
          <w:lang w:val="en-GB"/>
        </w:rPr>
        <w:t xml:space="preserve">outbound entry visa restrictiveness index </w:t>
      </w:r>
      <w:r w:rsidR="006C624B" w:rsidRPr="008C4E3D">
        <w:rPr>
          <w:lang w:val="en-GB"/>
        </w:rPr>
        <w:t xml:space="preserve">we </w:t>
      </w:r>
      <w:r w:rsidR="006C624B">
        <w:rPr>
          <w:lang w:val="en-GB"/>
        </w:rPr>
        <w:t>reversed the procedure</w:t>
      </w:r>
      <w:r w:rsidR="006C624B" w:rsidRPr="008C4E3D">
        <w:rPr>
          <w:lang w:val="en-GB"/>
        </w:rPr>
        <w:t xml:space="preserve">, calculating for each country the percentage of destination countries for which </w:t>
      </w:r>
      <w:r w:rsidR="006C624B">
        <w:rPr>
          <w:lang w:val="en-GB"/>
        </w:rPr>
        <w:t>its citizens would need a</w:t>
      </w:r>
      <w:r w:rsidR="006C624B" w:rsidRPr="008C4E3D">
        <w:rPr>
          <w:lang w:val="en-GB"/>
        </w:rPr>
        <w:t xml:space="preserve"> visa. We repeated this procedure for every year of the 1973</w:t>
      </w:r>
      <w:r w:rsidR="006C624B">
        <w:rPr>
          <w:lang w:val="en-GB"/>
        </w:rPr>
        <w:t>–</w:t>
      </w:r>
      <w:r w:rsidR="006C624B" w:rsidRPr="008C4E3D">
        <w:rPr>
          <w:lang w:val="en-GB"/>
        </w:rPr>
        <w:t xml:space="preserve">2014 period covered by the DEMIG VISA database. As a last step, we calculated visa indices </w:t>
      </w:r>
      <w:r w:rsidR="006C624B">
        <w:rPr>
          <w:lang w:val="en-GB"/>
        </w:rPr>
        <w:t>at</w:t>
      </w:r>
      <w:r w:rsidR="006C624B" w:rsidRPr="008C4E3D">
        <w:rPr>
          <w:lang w:val="en-GB"/>
        </w:rPr>
        <w:t xml:space="preserve"> the levels of continents (Africa, </w:t>
      </w:r>
      <w:r w:rsidR="006C624B">
        <w:rPr>
          <w:lang w:val="en-GB"/>
        </w:rPr>
        <w:t xml:space="preserve">the </w:t>
      </w:r>
      <w:r w:rsidR="006C624B" w:rsidRPr="008C4E3D">
        <w:rPr>
          <w:lang w:val="en-GB"/>
        </w:rPr>
        <w:t xml:space="preserve">Americas, Asia, Europe, Oceania, as well as world regions, and other aggregates such as OECD countries) by calculating the average value of inbound and outbound visa restrictiveness for all countries within the regional aggregates for every year. </w:t>
      </w:r>
    </w:p>
    <w:p w14:paraId="6FE8DB86" w14:textId="77777777" w:rsidR="0085295C" w:rsidRPr="008C4E3D" w:rsidRDefault="0085295C" w:rsidP="0085295C">
      <w:pPr>
        <w:pStyle w:val="Heading1"/>
      </w:pPr>
      <w:r w:rsidRPr="008C4E3D">
        <w:t xml:space="preserve">The evolution of entry visa regimes </w:t>
      </w:r>
    </w:p>
    <w:p w14:paraId="58BAAEFB" w14:textId="696A34FE" w:rsidR="0085295C" w:rsidRPr="008C4E3D" w:rsidRDefault="0085295C" w:rsidP="00C51AC7">
      <w:pPr>
        <w:ind w:firstLine="720"/>
        <w:rPr>
          <w:lang w:val="en-GB"/>
        </w:rPr>
      </w:pPr>
      <w:r w:rsidRPr="008C4E3D">
        <w:rPr>
          <w:lang w:val="en-GB"/>
        </w:rPr>
        <w:t xml:space="preserve">Figure 1 depicts the evolution of global </w:t>
      </w:r>
      <w:r w:rsidR="00C402E3">
        <w:rPr>
          <w:lang w:val="en-GB"/>
        </w:rPr>
        <w:t xml:space="preserve">inbound </w:t>
      </w:r>
      <w:r w:rsidRPr="008C4E3D">
        <w:rPr>
          <w:lang w:val="en-GB"/>
        </w:rPr>
        <w:t xml:space="preserve">visa </w:t>
      </w:r>
      <w:r w:rsidR="00B053D6">
        <w:rPr>
          <w:lang w:val="en-GB"/>
        </w:rPr>
        <w:t xml:space="preserve"> </w:t>
      </w:r>
      <w:r w:rsidRPr="008C4E3D">
        <w:rPr>
          <w:lang w:val="en-GB"/>
        </w:rPr>
        <w:t>restrictiveness over 1973</w:t>
      </w:r>
      <w:r w:rsidR="005F2B3F">
        <w:rPr>
          <w:lang w:val="en-GB"/>
        </w:rPr>
        <w:t>–</w:t>
      </w:r>
      <w:r w:rsidRPr="008C4E3D">
        <w:rPr>
          <w:lang w:val="en-GB"/>
        </w:rPr>
        <w:t xml:space="preserve">2013. It </w:t>
      </w:r>
      <w:r>
        <w:rPr>
          <w:lang w:val="en-GB"/>
        </w:rPr>
        <w:t xml:space="preserve">shows </w:t>
      </w:r>
      <w:r w:rsidRPr="008C4E3D">
        <w:rPr>
          <w:lang w:val="en-GB"/>
        </w:rPr>
        <w:t xml:space="preserve">that </w:t>
      </w:r>
      <w:r w:rsidR="00B4182F">
        <w:rPr>
          <w:lang w:val="en-GB"/>
        </w:rPr>
        <w:t xml:space="preserve">travel </w:t>
      </w:r>
      <w:r w:rsidRPr="008C4E3D">
        <w:rPr>
          <w:lang w:val="en-GB"/>
        </w:rPr>
        <w:t xml:space="preserve">visas are the rule rather than the exception: over the past four decades, less than a third of all bilateral corridors are visa-free, that is about three quarters of all bilateral dyads in the world are visa-restricted. However, the data also show that there has not been a steady increase in </w:t>
      </w:r>
      <w:r w:rsidRPr="008C4E3D">
        <w:rPr>
          <w:lang w:val="en-GB"/>
        </w:rPr>
        <w:lastRenderedPageBreak/>
        <w:t xml:space="preserve">global trends of </w:t>
      </w:r>
      <w:r w:rsidR="00B4182F">
        <w:rPr>
          <w:lang w:val="en-GB"/>
        </w:rPr>
        <w:t xml:space="preserve">travel </w:t>
      </w:r>
      <w:r w:rsidRPr="008C4E3D">
        <w:rPr>
          <w:lang w:val="en-GB"/>
        </w:rPr>
        <w:t>visa restrictiveness</w:t>
      </w:r>
      <w:r>
        <w:rPr>
          <w:lang w:val="en-GB"/>
        </w:rPr>
        <w:t>, which may defy common perceptions that visas barriers have been on the rise.</w:t>
      </w:r>
      <w:r w:rsidRPr="008C4E3D">
        <w:rPr>
          <w:lang w:val="en-GB"/>
        </w:rPr>
        <w:t xml:space="preserve"> Instead, we see a</w:t>
      </w:r>
      <w:r w:rsidR="00860F8C">
        <w:rPr>
          <w:lang w:val="en-GB"/>
        </w:rPr>
        <w:t xml:space="preserve"> slight</w:t>
      </w:r>
      <w:r w:rsidR="00284C7C">
        <w:rPr>
          <w:lang w:val="en-GB"/>
        </w:rPr>
        <w:t>ly</w:t>
      </w:r>
      <w:r w:rsidRPr="008C4E3D">
        <w:rPr>
          <w:lang w:val="en-GB"/>
        </w:rPr>
        <w:t xml:space="preserve"> hump-shaped pattern in which the proportion of visa-</w:t>
      </w:r>
      <w:r w:rsidR="006C65E3">
        <w:rPr>
          <w:lang w:val="en-GB"/>
        </w:rPr>
        <w:t>constrained</w:t>
      </w:r>
      <w:r w:rsidR="006C65E3" w:rsidRPr="008C4E3D">
        <w:rPr>
          <w:lang w:val="en-GB"/>
        </w:rPr>
        <w:t xml:space="preserve"> </w:t>
      </w:r>
      <w:r w:rsidRPr="008C4E3D">
        <w:rPr>
          <w:lang w:val="en-GB"/>
        </w:rPr>
        <w:t xml:space="preserve">dyads </w:t>
      </w:r>
      <w:r w:rsidR="006C65E3">
        <w:rPr>
          <w:lang w:val="en-GB"/>
        </w:rPr>
        <w:t>in</w:t>
      </w:r>
      <w:r w:rsidRPr="008C4E3D">
        <w:rPr>
          <w:lang w:val="en-GB"/>
        </w:rPr>
        <w:t xml:space="preserve">creased between 1980 and the mid-1990s, but started to </w:t>
      </w:r>
      <w:r w:rsidR="006C65E3">
        <w:rPr>
          <w:lang w:val="en-GB"/>
        </w:rPr>
        <w:t>slowly decrease</w:t>
      </w:r>
      <w:r w:rsidR="006C65E3" w:rsidRPr="008C4E3D">
        <w:rPr>
          <w:lang w:val="en-GB"/>
        </w:rPr>
        <w:t xml:space="preserve"> </w:t>
      </w:r>
      <w:r w:rsidRPr="008C4E3D">
        <w:rPr>
          <w:lang w:val="en-GB"/>
        </w:rPr>
        <w:t xml:space="preserve">after 2000. </w:t>
      </w:r>
    </w:p>
    <w:p w14:paraId="0CD7C6A7" w14:textId="77777777" w:rsidR="0085295C" w:rsidRPr="008C4E3D" w:rsidRDefault="0085295C" w:rsidP="0085295C">
      <w:pPr>
        <w:rPr>
          <w:b/>
          <w:lang w:val="en-GB"/>
        </w:rPr>
      </w:pPr>
    </w:p>
    <w:p w14:paraId="2D744B31" w14:textId="1127472A" w:rsidR="0085295C" w:rsidRPr="008D2A36" w:rsidRDefault="008D2A36" w:rsidP="008D2A36">
      <w:pPr>
        <w:widowControl w:val="0"/>
        <w:jc w:val="center"/>
        <w:rPr>
          <w:rFonts w:ascii="Garamond" w:hAnsi="Garamond"/>
          <w:b/>
          <w:lang w:val="en-GB"/>
        </w:rPr>
      </w:pPr>
      <w:r w:rsidRPr="008D2A36">
        <w:rPr>
          <w:rFonts w:ascii="Garamond" w:hAnsi="Garamond"/>
          <w:b/>
          <w:lang w:val="en-GB"/>
        </w:rPr>
        <w:t>&lt;Figure 1 about here&gt;</w:t>
      </w:r>
    </w:p>
    <w:p w14:paraId="2886B2FA" w14:textId="04D23E92" w:rsidR="0080759C" w:rsidRPr="008D2A36" w:rsidRDefault="0085295C" w:rsidP="0080759C">
      <w:pPr>
        <w:widowControl w:val="0"/>
        <w:jc w:val="center"/>
        <w:rPr>
          <w:rFonts w:ascii="Garamond" w:hAnsi="Garamond"/>
          <w:b/>
          <w:lang w:val="en-GB"/>
        </w:rPr>
      </w:pPr>
      <w:r>
        <w:rPr>
          <w:rFonts w:ascii="Garamond" w:hAnsi="Garamond"/>
          <w:lang w:val="en-GB"/>
        </w:rPr>
        <w:br w:type="textWrapping" w:clear="all"/>
      </w:r>
      <w:r w:rsidR="0080759C">
        <w:rPr>
          <w:rFonts w:ascii="Garamond" w:hAnsi="Garamond"/>
          <w:b/>
          <w:lang w:val="en-GB"/>
        </w:rPr>
        <w:t>&lt;Figure 2</w:t>
      </w:r>
      <w:r w:rsidR="0080759C" w:rsidRPr="008D2A36">
        <w:rPr>
          <w:rFonts w:ascii="Garamond" w:hAnsi="Garamond"/>
          <w:b/>
          <w:lang w:val="en-GB"/>
        </w:rPr>
        <w:t xml:space="preserve"> about here&gt;</w:t>
      </w:r>
    </w:p>
    <w:p w14:paraId="61757210" w14:textId="77777777" w:rsidR="0085295C" w:rsidRPr="008C4E3D" w:rsidRDefault="0085295C" w:rsidP="0085295C">
      <w:pPr>
        <w:widowControl w:val="0"/>
        <w:rPr>
          <w:rFonts w:ascii="Garamond" w:hAnsi="Garamond"/>
          <w:lang w:val="en-GB"/>
        </w:rPr>
      </w:pPr>
    </w:p>
    <w:p w14:paraId="71A5B2CA" w14:textId="13646099" w:rsidR="0085295C" w:rsidRPr="008C4E3D" w:rsidRDefault="0085295C" w:rsidP="0085295C">
      <w:pPr>
        <w:rPr>
          <w:lang w:val="en-GB"/>
        </w:rPr>
      </w:pPr>
      <w:r w:rsidRPr="008C4E3D">
        <w:rPr>
          <w:lang w:val="en-GB"/>
        </w:rPr>
        <w:t>Figure 1 also reports a population</w:t>
      </w:r>
      <w:r w:rsidR="00D56D45">
        <w:rPr>
          <w:lang w:val="en-GB"/>
        </w:rPr>
        <w:t>-weighted</w:t>
      </w:r>
      <w:r w:rsidRPr="008C4E3D">
        <w:rPr>
          <w:lang w:val="en-GB"/>
        </w:rPr>
        <w:t xml:space="preserve"> </w:t>
      </w:r>
      <w:r w:rsidR="00D56D45">
        <w:rPr>
          <w:lang w:val="en-GB"/>
        </w:rPr>
        <w:t xml:space="preserve">index of </w:t>
      </w:r>
      <w:r w:rsidR="00DC0E02">
        <w:rPr>
          <w:lang w:val="en-GB"/>
        </w:rPr>
        <w:t xml:space="preserve">(inbound) </w:t>
      </w:r>
      <w:r w:rsidR="0092451B">
        <w:rPr>
          <w:lang w:val="en-GB"/>
        </w:rPr>
        <w:t xml:space="preserve">travel </w:t>
      </w:r>
      <w:r w:rsidR="00D56D45">
        <w:rPr>
          <w:lang w:val="en-GB"/>
        </w:rPr>
        <w:t xml:space="preserve">visa </w:t>
      </w:r>
      <w:r w:rsidR="000A65DC">
        <w:rPr>
          <w:lang w:val="en-GB"/>
        </w:rPr>
        <w:t>restrictiveness</w:t>
      </w:r>
      <w:r w:rsidRPr="008C4E3D">
        <w:rPr>
          <w:lang w:val="en-GB"/>
        </w:rPr>
        <w:t xml:space="preserve"> which takes into account the population sizes of both the visa-implementing destination d and the target country o.</w:t>
      </w:r>
      <w:r w:rsidRPr="008C4E3D">
        <w:rPr>
          <w:rStyle w:val="FootnoteReference"/>
          <w:rFonts w:ascii="Garamond" w:hAnsi="Garamond"/>
          <w:lang w:val="en-GB"/>
        </w:rPr>
        <w:footnoteReference w:id="12"/>
      </w:r>
      <w:r w:rsidRPr="008C4E3D">
        <w:rPr>
          <w:lang w:val="en-GB"/>
        </w:rPr>
        <w:t xml:space="preserve"> It</w:t>
      </w:r>
      <w:r w:rsidR="000A65DC">
        <w:rPr>
          <w:lang w:val="en-GB"/>
        </w:rPr>
        <w:t xml:space="preserve"> shows that that </w:t>
      </w:r>
      <w:r w:rsidRPr="008C4E3D">
        <w:rPr>
          <w:lang w:val="en-GB"/>
        </w:rPr>
        <w:t>the level of visa restrictiveness is higher when we take population sizes into account</w:t>
      </w:r>
      <w:r w:rsidR="000A65DC">
        <w:rPr>
          <w:lang w:val="en-GB"/>
        </w:rPr>
        <w:t>.</w:t>
      </w:r>
      <w:r w:rsidRPr="008C4E3D">
        <w:rPr>
          <w:lang w:val="en-GB"/>
        </w:rPr>
        <w:t xml:space="preserve"> </w:t>
      </w:r>
      <w:r w:rsidR="000A65DC">
        <w:rPr>
          <w:lang w:val="en-GB"/>
        </w:rPr>
        <w:t>W</w:t>
      </w:r>
      <w:r w:rsidR="000A65DC" w:rsidRPr="008C4E3D">
        <w:rPr>
          <w:lang w:val="en-GB"/>
        </w:rPr>
        <w:t xml:space="preserve">hile </w:t>
      </w:r>
      <w:r w:rsidRPr="008C4E3D">
        <w:rPr>
          <w:lang w:val="en-GB"/>
        </w:rPr>
        <w:t>approximately 30 per</w:t>
      </w:r>
      <w:r>
        <w:rPr>
          <w:lang w:val="en-GB"/>
        </w:rPr>
        <w:t xml:space="preserve"> </w:t>
      </w:r>
      <w:r w:rsidRPr="008C4E3D">
        <w:rPr>
          <w:lang w:val="en-GB"/>
        </w:rPr>
        <w:t>cent of all bilateral dyads are visa-waived corridors, only about 15 per</w:t>
      </w:r>
      <w:r>
        <w:rPr>
          <w:lang w:val="en-GB"/>
        </w:rPr>
        <w:t xml:space="preserve"> </w:t>
      </w:r>
      <w:r w:rsidRPr="008C4E3D">
        <w:rPr>
          <w:lang w:val="en-GB"/>
        </w:rPr>
        <w:t xml:space="preserve">cent or less of </w:t>
      </w:r>
      <w:r w:rsidR="00BC1317">
        <w:rPr>
          <w:lang w:val="en-GB"/>
        </w:rPr>
        <w:t xml:space="preserve">the </w:t>
      </w:r>
      <w:r w:rsidRPr="008C4E3D">
        <w:rPr>
          <w:lang w:val="en-GB"/>
        </w:rPr>
        <w:t>world population is benefiting from liberal visa policies. This implies that larger countries</w:t>
      </w:r>
      <w:r>
        <w:rPr>
          <w:lang w:val="en-GB"/>
        </w:rPr>
        <w:t xml:space="preserve"> (such as China, India or Nigeria)</w:t>
      </w:r>
      <w:r w:rsidRPr="008C4E3D">
        <w:rPr>
          <w:lang w:val="en-GB"/>
        </w:rPr>
        <w:t xml:space="preserve"> are relatively more restrictive</w:t>
      </w:r>
      <w:r>
        <w:rPr>
          <w:lang w:val="en-GB"/>
        </w:rPr>
        <w:t xml:space="preserve"> for incoming foreign travellers</w:t>
      </w:r>
      <w:r w:rsidRPr="008C4E3D">
        <w:rPr>
          <w:lang w:val="en-GB"/>
        </w:rPr>
        <w:t xml:space="preserve"> and/or face </w:t>
      </w:r>
      <w:r w:rsidR="0092451B" w:rsidRPr="008C4E3D">
        <w:rPr>
          <w:lang w:val="en-GB"/>
        </w:rPr>
        <w:t>entry that is more restrictive</w:t>
      </w:r>
      <w:r>
        <w:rPr>
          <w:lang w:val="en-GB"/>
        </w:rPr>
        <w:t xml:space="preserve"> for their own citizens travelling abroad</w:t>
      </w:r>
      <w:r w:rsidRPr="008C4E3D">
        <w:rPr>
          <w:lang w:val="en-GB"/>
        </w:rPr>
        <w:t xml:space="preserve">. </w:t>
      </w:r>
      <w:r>
        <w:rPr>
          <w:lang w:val="en-GB"/>
        </w:rPr>
        <w:t>T</w:t>
      </w:r>
      <w:r w:rsidRPr="008C4E3D">
        <w:rPr>
          <w:lang w:val="en-GB"/>
        </w:rPr>
        <w:t xml:space="preserve">his trend seems only to reverse slightly over the past decade. </w:t>
      </w:r>
    </w:p>
    <w:p w14:paraId="7CC8ED8F" w14:textId="0CDA9165" w:rsidR="0085295C" w:rsidRPr="008C4E3D" w:rsidRDefault="00AC45AF" w:rsidP="00C51AC7">
      <w:pPr>
        <w:ind w:firstLine="720"/>
        <w:rPr>
          <w:rFonts w:cs="Calibri"/>
          <w:noProof/>
          <w:color w:val="000000" w:themeColor="text1"/>
          <w:lang w:val="en-GB"/>
        </w:rPr>
      </w:pPr>
      <w:r>
        <w:rPr>
          <w:lang w:val="en-GB"/>
        </w:rPr>
        <w:t xml:space="preserve">Foreshadowing </w:t>
      </w:r>
      <w:r w:rsidR="0085295C" w:rsidRPr="008C4E3D">
        <w:rPr>
          <w:lang w:val="en-GB"/>
        </w:rPr>
        <w:t xml:space="preserve">our later discussion on regional integration and its implications </w:t>
      </w:r>
      <w:r>
        <w:rPr>
          <w:lang w:val="en-GB"/>
        </w:rPr>
        <w:t>for</w:t>
      </w:r>
      <w:r w:rsidRPr="008C4E3D">
        <w:rPr>
          <w:lang w:val="en-GB"/>
        </w:rPr>
        <w:t xml:space="preserve"> </w:t>
      </w:r>
      <w:r w:rsidR="0085295C" w:rsidRPr="008C4E3D">
        <w:rPr>
          <w:lang w:val="en-GB"/>
        </w:rPr>
        <w:t xml:space="preserve">visa policy coordination, </w:t>
      </w:r>
      <w:r w:rsidR="0080759C">
        <w:rPr>
          <w:lang w:val="en-GB"/>
        </w:rPr>
        <w:t>Figure 2</w:t>
      </w:r>
      <w:r w:rsidR="0085295C">
        <w:rPr>
          <w:lang w:val="en-GB"/>
        </w:rPr>
        <w:t xml:space="preserve"> show</w:t>
      </w:r>
      <w:r w:rsidR="0080759C">
        <w:rPr>
          <w:lang w:val="en-GB"/>
        </w:rPr>
        <w:t>s</w:t>
      </w:r>
      <w:r w:rsidR="0085295C">
        <w:rPr>
          <w:lang w:val="en-GB"/>
        </w:rPr>
        <w:t xml:space="preserve"> </w:t>
      </w:r>
      <w:r w:rsidR="0085295C" w:rsidRPr="008C4E3D">
        <w:rPr>
          <w:lang w:val="en-GB"/>
        </w:rPr>
        <w:t xml:space="preserve">that </w:t>
      </w:r>
      <w:r w:rsidR="0092451B">
        <w:rPr>
          <w:lang w:val="en-GB"/>
        </w:rPr>
        <w:t xml:space="preserve">travel </w:t>
      </w:r>
      <w:r w:rsidR="0085295C" w:rsidRPr="008C4E3D">
        <w:rPr>
          <w:lang w:val="en-GB"/>
        </w:rPr>
        <w:t>visas are more likely to be wa</w:t>
      </w:r>
      <w:r>
        <w:rPr>
          <w:lang w:val="en-GB"/>
        </w:rPr>
        <w:t>i</w:t>
      </w:r>
      <w:r w:rsidR="0085295C" w:rsidRPr="008C4E3D">
        <w:rPr>
          <w:lang w:val="en-GB"/>
        </w:rPr>
        <w:t>ved for nationals of geographically proximate countries. Average distance between (visa-waiving) destination and origin countries of visa-free corridors is less than half (approx. 2</w:t>
      </w:r>
      <w:r>
        <w:rPr>
          <w:lang w:val="en-GB"/>
        </w:rPr>
        <w:t>,</w:t>
      </w:r>
      <w:r w:rsidR="0085295C" w:rsidRPr="008C4E3D">
        <w:rPr>
          <w:lang w:val="en-GB"/>
        </w:rPr>
        <w:t>500</w:t>
      </w:r>
      <w:r w:rsidR="0085295C">
        <w:rPr>
          <w:lang w:val="en-GB"/>
        </w:rPr>
        <w:t xml:space="preserve"> </w:t>
      </w:r>
      <w:r w:rsidR="0085295C" w:rsidRPr="008C4E3D">
        <w:rPr>
          <w:lang w:val="en-GB"/>
        </w:rPr>
        <w:t>km) respective distances within visa-constrained corridors (about 6</w:t>
      </w:r>
      <w:r>
        <w:rPr>
          <w:lang w:val="en-GB"/>
        </w:rPr>
        <w:t>,</w:t>
      </w:r>
      <w:r w:rsidR="0085295C" w:rsidRPr="008C4E3D">
        <w:rPr>
          <w:lang w:val="en-GB"/>
        </w:rPr>
        <w:t>200</w:t>
      </w:r>
      <w:r w:rsidR="0085295C">
        <w:rPr>
          <w:lang w:val="en-GB"/>
        </w:rPr>
        <w:t xml:space="preserve"> </w:t>
      </w:r>
      <w:r w:rsidR="0085295C" w:rsidRPr="008C4E3D">
        <w:rPr>
          <w:lang w:val="en-GB"/>
        </w:rPr>
        <w:t xml:space="preserve">km). This gap </w:t>
      </w:r>
      <w:r w:rsidR="0085295C">
        <w:rPr>
          <w:lang w:val="en-GB"/>
        </w:rPr>
        <w:t xml:space="preserve">between within-dyad distances </w:t>
      </w:r>
      <w:r w:rsidR="0085295C" w:rsidRPr="008C4E3D">
        <w:rPr>
          <w:lang w:val="en-GB"/>
        </w:rPr>
        <w:t xml:space="preserve">has </w:t>
      </w:r>
      <w:r w:rsidR="0085295C">
        <w:rPr>
          <w:lang w:val="en-GB"/>
        </w:rPr>
        <w:t xml:space="preserve">slightly </w:t>
      </w:r>
      <w:r w:rsidR="0085295C" w:rsidRPr="008C4E3D">
        <w:rPr>
          <w:lang w:val="en-GB"/>
        </w:rPr>
        <w:t xml:space="preserve">increased over time and the </w:t>
      </w:r>
      <w:r w:rsidR="0085295C" w:rsidRPr="008C4E3D">
        <w:rPr>
          <w:rFonts w:cs="Calibri"/>
          <w:noProof/>
          <w:color w:val="000000" w:themeColor="text1"/>
          <w:lang w:val="en-GB"/>
        </w:rPr>
        <w:t xml:space="preserve">increase in visa restrictiveness in the 1980s and early 1990s was </w:t>
      </w:r>
      <w:r w:rsidR="0085295C">
        <w:rPr>
          <w:rFonts w:cs="Calibri"/>
          <w:noProof/>
          <w:color w:val="000000" w:themeColor="text1"/>
          <w:lang w:val="en-GB"/>
        </w:rPr>
        <w:t>predominantly</w:t>
      </w:r>
      <w:r w:rsidR="0085295C" w:rsidRPr="008C4E3D">
        <w:rPr>
          <w:rFonts w:cs="Calibri"/>
          <w:noProof/>
          <w:color w:val="000000" w:themeColor="text1"/>
          <w:lang w:val="en-GB"/>
        </w:rPr>
        <w:t xml:space="preserve"> directed towards citizens of more distant countries.</w:t>
      </w:r>
      <w:r w:rsidR="00CF1F28">
        <w:rPr>
          <w:rFonts w:cs="Calibri"/>
          <w:noProof/>
          <w:color w:val="000000" w:themeColor="text1"/>
          <w:lang w:val="en-GB"/>
        </w:rPr>
        <w:t xml:space="preserve">  </w:t>
      </w:r>
    </w:p>
    <w:p w14:paraId="434E82A8" w14:textId="77777777" w:rsidR="0085295C" w:rsidRPr="008D2A36" w:rsidRDefault="0085295C" w:rsidP="0085295C">
      <w:pPr>
        <w:rPr>
          <w:b/>
          <w:color w:val="auto"/>
          <w:sz w:val="24"/>
          <w:lang w:val="en-GB"/>
        </w:rPr>
      </w:pPr>
    </w:p>
    <w:p w14:paraId="674BBE2D" w14:textId="26A7CDC0" w:rsidR="008D2A36" w:rsidRDefault="008D2A36" w:rsidP="0080759C">
      <w:pPr>
        <w:jc w:val="center"/>
        <w:rPr>
          <w:b/>
          <w:lang w:val="en-GB"/>
        </w:rPr>
      </w:pPr>
      <w:r w:rsidRPr="008D2A36">
        <w:rPr>
          <w:b/>
          <w:lang w:val="en-GB"/>
        </w:rPr>
        <w:t>&lt;Table 2 about here&gt;</w:t>
      </w:r>
    </w:p>
    <w:p w14:paraId="2AA99939" w14:textId="77777777" w:rsidR="0080759C" w:rsidRPr="008D2A36" w:rsidRDefault="0080759C" w:rsidP="0080759C">
      <w:pPr>
        <w:jc w:val="center"/>
        <w:rPr>
          <w:b/>
          <w:lang w:val="en-GB"/>
        </w:rPr>
      </w:pPr>
    </w:p>
    <w:p w14:paraId="4C00D223" w14:textId="056A870D" w:rsidR="0085295C" w:rsidRPr="008C4E3D" w:rsidRDefault="0085295C" w:rsidP="0085295C">
      <w:pPr>
        <w:rPr>
          <w:lang w:val="en-GB"/>
        </w:rPr>
      </w:pPr>
      <w:r w:rsidRPr="008C4E3D">
        <w:rPr>
          <w:lang w:val="en-GB"/>
        </w:rPr>
        <w:t>Table 2 further documents the relatively high degree of stability in global visa regimes. On average, 71.5</w:t>
      </w:r>
      <w:r w:rsidR="003D14B0">
        <w:rPr>
          <w:lang w:val="en-GB"/>
        </w:rPr>
        <w:t xml:space="preserve"> per cent</w:t>
      </w:r>
      <w:r w:rsidR="003D14B0" w:rsidRPr="008C4E3D">
        <w:rPr>
          <w:lang w:val="en-GB"/>
        </w:rPr>
        <w:t xml:space="preserve"> </w:t>
      </w:r>
      <w:r w:rsidRPr="008C4E3D">
        <w:rPr>
          <w:lang w:val="en-GB"/>
        </w:rPr>
        <w:t>of all 1,631,701 bilateral year cases measured over the 1973</w:t>
      </w:r>
      <w:r w:rsidR="00BE630A">
        <w:rPr>
          <w:lang w:val="en-GB"/>
        </w:rPr>
        <w:t>–</w:t>
      </w:r>
      <w:r w:rsidRPr="008C4E3D">
        <w:rPr>
          <w:lang w:val="en-GB"/>
        </w:rPr>
        <w:t xml:space="preserve">2013 period were visa-constrained. </w:t>
      </w:r>
      <w:r>
        <w:rPr>
          <w:lang w:val="en-GB"/>
        </w:rPr>
        <w:t xml:space="preserve">Blacklisted corridors – </w:t>
      </w:r>
      <w:r w:rsidRPr="008C4E3D">
        <w:rPr>
          <w:lang w:val="en-GB"/>
        </w:rPr>
        <w:t>where visas are systematically denied</w:t>
      </w:r>
      <w:r>
        <w:rPr>
          <w:lang w:val="en-GB"/>
        </w:rPr>
        <w:t xml:space="preserve"> and travel is banned – are a</w:t>
      </w:r>
      <w:r w:rsidRPr="008C4E3D">
        <w:rPr>
          <w:lang w:val="en-GB"/>
        </w:rPr>
        <w:t xml:space="preserve"> special category</w:t>
      </w:r>
      <w:r>
        <w:rPr>
          <w:lang w:val="en-GB"/>
        </w:rPr>
        <w:t xml:space="preserve">, representing </w:t>
      </w:r>
      <w:r w:rsidRPr="008C4E3D">
        <w:rPr>
          <w:lang w:val="en-GB"/>
        </w:rPr>
        <w:t xml:space="preserve">3,074 visa corridor year cases, </w:t>
      </w:r>
      <w:r>
        <w:rPr>
          <w:lang w:val="en-GB"/>
        </w:rPr>
        <w:t xml:space="preserve">or </w:t>
      </w:r>
      <w:r w:rsidRPr="008C4E3D">
        <w:rPr>
          <w:lang w:val="en-GB"/>
        </w:rPr>
        <w:t>0.19</w:t>
      </w:r>
      <w:r w:rsidR="00BE630A">
        <w:rPr>
          <w:lang w:val="en-GB"/>
        </w:rPr>
        <w:t xml:space="preserve"> per cent</w:t>
      </w:r>
      <w:r w:rsidR="00BE630A" w:rsidRPr="008C4E3D">
        <w:rPr>
          <w:lang w:val="en-GB"/>
        </w:rPr>
        <w:t xml:space="preserve"> </w:t>
      </w:r>
      <w:r w:rsidRPr="008C4E3D">
        <w:rPr>
          <w:lang w:val="en-GB"/>
        </w:rPr>
        <w:t xml:space="preserve">of all corridors included in the database. Examples include travel </w:t>
      </w:r>
      <w:r w:rsidR="00A80C72">
        <w:rPr>
          <w:lang w:val="en-GB"/>
        </w:rPr>
        <w:t xml:space="preserve">restriction </w:t>
      </w:r>
      <w:r w:rsidRPr="008C4E3D">
        <w:rPr>
          <w:lang w:val="en-GB"/>
        </w:rPr>
        <w:t xml:space="preserve">for Cubans to the US, travel bans for Israelis to various countries in the world, or travel bans by Japan to nationals of </w:t>
      </w:r>
      <w:r w:rsidR="00FC6F4D">
        <w:rPr>
          <w:lang w:val="en-GB"/>
        </w:rPr>
        <w:t xml:space="preserve">the </w:t>
      </w:r>
      <w:r w:rsidRPr="008C4E3D">
        <w:rPr>
          <w:lang w:val="en-GB"/>
        </w:rPr>
        <w:t>Democratic People’s Republic of Korea</w:t>
      </w:r>
      <w:r>
        <w:rPr>
          <w:lang w:val="en-GB"/>
        </w:rPr>
        <w:t xml:space="preserve">. </w:t>
      </w:r>
      <w:r w:rsidRPr="008C4E3D">
        <w:rPr>
          <w:lang w:val="en-GB"/>
        </w:rPr>
        <w:t>Over the entire period only 1.42</w:t>
      </w:r>
      <w:r w:rsidR="00E672B9">
        <w:rPr>
          <w:lang w:val="en-GB"/>
        </w:rPr>
        <w:t xml:space="preserve"> per cent </w:t>
      </w:r>
      <w:r w:rsidRPr="008C4E3D">
        <w:rPr>
          <w:lang w:val="en-GB"/>
        </w:rPr>
        <w:t>of the visa corridors witnessed a change, of which 0.81</w:t>
      </w:r>
      <w:r w:rsidR="00093EA9">
        <w:rPr>
          <w:lang w:val="en-GB"/>
        </w:rPr>
        <w:t xml:space="preserve"> per cent</w:t>
      </w:r>
      <w:r w:rsidR="00093EA9" w:rsidRPr="008C4E3D">
        <w:rPr>
          <w:lang w:val="en-GB"/>
        </w:rPr>
        <w:t xml:space="preserve"> </w:t>
      </w:r>
      <w:r w:rsidRPr="008C4E3D">
        <w:rPr>
          <w:lang w:val="en-GB"/>
        </w:rPr>
        <w:t>(</w:t>
      </w:r>
      <w:r>
        <w:rPr>
          <w:lang w:val="en-GB"/>
        </w:rPr>
        <w:t xml:space="preserve">or </w:t>
      </w:r>
      <w:r w:rsidRPr="008C4E3D">
        <w:rPr>
          <w:lang w:val="en-GB"/>
        </w:rPr>
        <w:t xml:space="preserve">13,204 cases), </w:t>
      </w:r>
      <w:r>
        <w:rPr>
          <w:lang w:val="en-GB"/>
        </w:rPr>
        <w:t xml:space="preserve">were </w:t>
      </w:r>
      <w:r w:rsidRPr="008C4E3D">
        <w:rPr>
          <w:lang w:val="en-GB"/>
        </w:rPr>
        <w:t xml:space="preserve">a </w:t>
      </w:r>
      <w:r w:rsidR="005A5BCD">
        <w:rPr>
          <w:lang w:val="en-GB"/>
        </w:rPr>
        <w:t xml:space="preserve">travel </w:t>
      </w:r>
      <w:r w:rsidRPr="008C4E3D">
        <w:rPr>
          <w:lang w:val="en-GB"/>
        </w:rPr>
        <w:t>visa removal and 0.61</w:t>
      </w:r>
      <w:r w:rsidR="00093EA9">
        <w:rPr>
          <w:lang w:val="en-GB"/>
        </w:rPr>
        <w:t xml:space="preserve"> per cent</w:t>
      </w:r>
      <w:r w:rsidR="00093EA9" w:rsidRPr="008C4E3D">
        <w:rPr>
          <w:lang w:val="en-GB"/>
        </w:rPr>
        <w:t xml:space="preserve"> </w:t>
      </w:r>
      <w:r w:rsidRPr="008C4E3D">
        <w:rPr>
          <w:lang w:val="en-GB"/>
        </w:rPr>
        <w:t>(</w:t>
      </w:r>
      <w:r>
        <w:rPr>
          <w:lang w:val="en-GB"/>
        </w:rPr>
        <w:t xml:space="preserve">or </w:t>
      </w:r>
      <w:r w:rsidRPr="008C4E3D">
        <w:rPr>
          <w:lang w:val="en-GB"/>
        </w:rPr>
        <w:t>9,992 cases)</w:t>
      </w:r>
      <w:r>
        <w:rPr>
          <w:lang w:val="en-GB"/>
        </w:rPr>
        <w:t xml:space="preserve"> </w:t>
      </w:r>
      <w:r w:rsidRPr="008C4E3D">
        <w:rPr>
          <w:lang w:val="en-GB"/>
        </w:rPr>
        <w:t xml:space="preserve">a visa introduction. </w:t>
      </w:r>
    </w:p>
    <w:p w14:paraId="568A5631" w14:textId="380891EE" w:rsidR="0085295C" w:rsidRPr="008C4E3D" w:rsidRDefault="0085295C" w:rsidP="00C51AC7">
      <w:pPr>
        <w:ind w:firstLine="720"/>
        <w:rPr>
          <w:lang w:val="en-GB"/>
        </w:rPr>
      </w:pPr>
      <w:r>
        <w:rPr>
          <w:lang w:val="en-GB"/>
        </w:rPr>
        <w:t xml:space="preserve">Figure </w:t>
      </w:r>
      <w:r w:rsidR="0080759C">
        <w:rPr>
          <w:lang w:val="en-GB"/>
        </w:rPr>
        <w:t>3</w:t>
      </w:r>
      <w:r w:rsidRPr="008C4E3D">
        <w:rPr>
          <w:lang w:val="en-GB"/>
        </w:rPr>
        <w:t xml:space="preserve"> shows that </w:t>
      </w:r>
      <w:r w:rsidR="005A5BCD">
        <w:rPr>
          <w:lang w:val="en-GB"/>
        </w:rPr>
        <w:t xml:space="preserve">travel </w:t>
      </w:r>
      <w:r w:rsidRPr="008C4E3D">
        <w:rPr>
          <w:lang w:val="en-GB"/>
        </w:rPr>
        <w:t>visa policy changes in both directions are prevalent at any period of time</w:t>
      </w:r>
      <w:r>
        <w:rPr>
          <w:lang w:val="en-GB"/>
        </w:rPr>
        <w:t>,</w:t>
      </w:r>
      <w:r w:rsidRPr="008C4E3D">
        <w:rPr>
          <w:lang w:val="en-GB"/>
        </w:rPr>
        <w:t xml:space="preserve"> but</w:t>
      </w:r>
      <w:r>
        <w:rPr>
          <w:lang w:val="en-GB"/>
        </w:rPr>
        <w:t xml:space="preserve"> it also shows clear trends: while </w:t>
      </w:r>
      <w:r w:rsidRPr="008C4E3D">
        <w:rPr>
          <w:lang w:val="en-GB"/>
        </w:rPr>
        <w:t xml:space="preserve">during the 1980s visa introductions </w:t>
      </w:r>
      <w:r>
        <w:rPr>
          <w:lang w:val="en-GB"/>
        </w:rPr>
        <w:t xml:space="preserve">outnumbered </w:t>
      </w:r>
      <w:r w:rsidRPr="008C4E3D">
        <w:rPr>
          <w:lang w:val="en-GB"/>
        </w:rPr>
        <w:t xml:space="preserve">visa </w:t>
      </w:r>
      <w:r w:rsidRPr="008C4E3D">
        <w:rPr>
          <w:lang w:val="en-GB"/>
        </w:rPr>
        <w:lastRenderedPageBreak/>
        <w:t>waivers</w:t>
      </w:r>
      <w:r>
        <w:rPr>
          <w:lang w:val="en-GB"/>
        </w:rPr>
        <w:t>,</w:t>
      </w:r>
      <w:r w:rsidRPr="008C4E3D">
        <w:rPr>
          <w:lang w:val="en-GB"/>
        </w:rPr>
        <w:t xml:space="preserve"> </w:t>
      </w:r>
      <w:r w:rsidR="00BE27C5">
        <w:rPr>
          <w:lang w:val="en-GB"/>
        </w:rPr>
        <w:t xml:space="preserve">during </w:t>
      </w:r>
      <w:r>
        <w:rPr>
          <w:lang w:val="en-GB"/>
        </w:rPr>
        <w:t xml:space="preserve">the 1990s and </w:t>
      </w:r>
      <w:r w:rsidR="00BE27C5">
        <w:rPr>
          <w:lang w:val="en-GB"/>
        </w:rPr>
        <w:t xml:space="preserve">again </w:t>
      </w:r>
      <w:r w:rsidRPr="008C4E3D">
        <w:rPr>
          <w:lang w:val="en-GB"/>
        </w:rPr>
        <w:t xml:space="preserve">since the </w:t>
      </w:r>
      <w:r>
        <w:rPr>
          <w:lang w:val="en-GB"/>
        </w:rPr>
        <w:t>mid-</w:t>
      </w:r>
      <w:r w:rsidRPr="008C4E3D">
        <w:rPr>
          <w:lang w:val="en-GB"/>
        </w:rPr>
        <w:t xml:space="preserve">2000s visa removals </w:t>
      </w:r>
      <w:r>
        <w:rPr>
          <w:lang w:val="en-GB"/>
        </w:rPr>
        <w:t xml:space="preserve">have </w:t>
      </w:r>
      <w:r w:rsidRPr="008C4E3D">
        <w:rPr>
          <w:lang w:val="en-GB"/>
        </w:rPr>
        <w:t>outnumber</w:t>
      </w:r>
      <w:r>
        <w:rPr>
          <w:lang w:val="en-GB"/>
        </w:rPr>
        <w:t>ed</w:t>
      </w:r>
      <w:r w:rsidRPr="008C4E3D">
        <w:rPr>
          <w:lang w:val="en-GB"/>
        </w:rPr>
        <w:t xml:space="preserve"> </w:t>
      </w:r>
      <w:r>
        <w:rPr>
          <w:lang w:val="en-GB"/>
        </w:rPr>
        <w:t>visa introductions</w:t>
      </w:r>
      <w:r w:rsidRPr="008C4E3D">
        <w:rPr>
          <w:lang w:val="en-GB"/>
        </w:rPr>
        <w:t xml:space="preserve">. </w:t>
      </w:r>
    </w:p>
    <w:p w14:paraId="7CF60EE0" w14:textId="77777777" w:rsidR="008D2A36" w:rsidRDefault="008D2A36" w:rsidP="0085295C">
      <w:pPr>
        <w:rPr>
          <w:lang w:val="en-GB"/>
        </w:rPr>
      </w:pPr>
    </w:p>
    <w:p w14:paraId="1B79B1C2" w14:textId="3BD320D1" w:rsidR="008D2A36" w:rsidRPr="008D2A36" w:rsidRDefault="008D2A36" w:rsidP="008D2A36">
      <w:pPr>
        <w:jc w:val="center"/>
        <w:rPr>
          <w:b/>
          <w:lang w:val="en-GB"/>
        </w:rPr>
      </w:pPr>
      <w:r w:rsidRPr="008D2A36">
        <w:rPr>
          <w:b/>
          <w:lang w:val="en-GB"/>
        </w:rPr>
        <w:t xml:space="preserve">&lt;Figure </w:t>
      </w:r>
      <w:r w:rsidR="0080759C">
        <w:rPr>
          <w:b/>
          <w:lang w:val="en-GB"/>
        </w:rPr>
        <w:t>3</w:t>
      </w:r>
      <w:r w:rsidRPr="008D2A36">
        <w:rPr>
          <w:b/>
          <w:lang w:val="en-GB"/>
        </w:rPr>
        <w:t xml:space="preserve"> about here&gt;</w:t>
      </w:r>
    </w:p>
    <w:p w14:paraId="06A5A363" w14:textId="77777777" w:rsidR="008D2A36" w:rsidRDefault="008D2A36" w:rsidP="0085295C">
      <w:pPr>
        <w:rPr>
          <w:lang w:val="en-GB"/>
        </w:rPr>
      </w:pPr>
    </w:p>
    <w:p w14:paraId="4B99A0BE" w14:textId="2D9EC519" w:rsidR="0085295C" w:rsidRDefault="0085295C" w:rsidP="008D2A36">
      <w:pPr>
        <w:rPr>
          <w:lang w:val="en-GB"/>
        </w:rPr>
      </w:pPr>
      <w:r w:rsidRPr="008C4E3D">
        <w:rPr>
          <w:lang w:val="en-GB"/>
        </w:rPr>
        <w:t xml:space="preserve">However, to </w:t>
      </w:r>
      <w:r>
        <w:rPr>
          <w:lang w:val="en-GB"/>
        </w:rPr>
        <w:t xml:space="preserve">understand the underlying political dynamics that can explain </w:t>
      </w:r>
      <w:r w:rsidRPr="008C4E3D">
        <w:rPr>
          <w:lang w:val="en-GB"/>
        </w:rPr>
        <w:t>th</w:t>
      </w:r>
      <w:r>
        <w:rPr>
          <w:lang w:val="en-GB"/>
        </w:rPr>
        <w:t>ese</w:t>
      </w:r>
      <w:r w:rsidRPr="008C4E3D">
        <w:rPr>
          <w:lang w:val="en-GB"/>
        </w:rPr>
        <w:t xml:space="preserve"> </w:t>
      </w:r>
      <w:r>
        <w:rPr>
          <w:lang w:val="en-GB"/>
        </w:rPr>
        <w:t>trends and patterns</w:t>
      </w:r>
      <w:r w:rsidRPr="008C4E3D">
        <w:rPr>
          <w:lang w:val="en-GB"/>
        </w:rPr>
        <w:t xml:space="preserve">, we need to </w:t>
      </w:r>
      <w:r>
        <w:rPr>
          <w:lang w:val="en-GB"/>
        </w:rPr>
        <w:t xml:space="preserve">look below the radar of global trends through an analysis </w:t>
      </w:r>
      <w:r w:rsidRPr="008C4E3D">
        <w:rPr>
          <w:lang w:val="en-GB"/>
        </w:rPr>
        <w:t xml:space="preserve">of inbound and outbound </w:t>
      </w:r>
      <w:r w:rsidR="00906B66">
        <w:rPr>
          <w:lang w:val="en-GB"/>
        </w:rPr>
        <w:t xml:space="preserve">travel </w:t>
      </w:r>
      <w:r w:rsidRPr="008C4E3D">
        <w:rPr>
          <w:lang w:val="en-GB"/>
        </w:rPr>
        <w:t xml:space="preserve">visa regimes </w:t>
      </w:r>
      <w:r w:rsidR="00BE27C5">
        <w:rPr>
          <w:lang w:val="en-GB"/>
        </w:rPr>
        <w:t>at</w:t>
      </w:r>
      <w:r w:rsidR="00BE27C5" w:rsidRPr="008C4E3D">
        <w:rPr>
          <w:lang w:val="en-GB"/>
        </w:rPr>
        <w:t xml:space="preserve"> </w:t>
      </w:r>
      <w:r w:rsidRPr="008C4E3D">
        <w:rPr>
          <w:lang w:val="en-GB"/>
        </w:rPr>
        <w:t xml:space="preserve">the regional and country level. </w:t>
      </w:r>
      <w:r>
        <w:rPr>
          <w:lang w:val="en-GB"/>
        </w:rPr>
        <w:t xml:space="preserve">Figure </w:t>
      </w:r>
      <w:r w:rsidR="0080759C">
        <w:rPr>
          <w:lang w:val="en-GB"/>
        </w:rPr>
        <w:t>4</w:t>
      </w:r>
      <w:r w:rsidRPr="008C4E3D">
        <w:rPr>
          <w:lang w:val="en-GB"/>
        </w:rPr>
        <w:t xml:space="preserve"> show</w:t>
      </w:r>
      <w:r>
        <w:rPr>
          <w:lang w:val="en-GB"/>
        </w:rPr>
        <w:t>s</w:t>
      </w:r>
      <w:r w:rsidRPr="008C4E3D">
        <w:rPr>
          <w:lang w:val="en-GB"/>
        </w:rPr>
        <w:t xml:space="preserve"> that the levels of inbound </w:t>
      </w:r>
      <w:r w:rsidR="00906B66">
        <w:rPr>
          <w:lang w:val="en-GB"/>
        </w:rPr>
        <w:t xml:space="preserve">travel </w:t>
      </w:r>
      <w:r w:rsidRPr="008C4E3D">
        <w:rPr>
          <w:lang w:val="en-GB"/>
        </w:rPr>
        <w:t xml:space="preserve">visa restrictiveness </w:t>
      </w:r>
      <w:r>
        <w:rPr>
          <w:lang w:val="en-GB"/>
        </w:rPr>
        <w:t xml:space="preserve">display </w:t>
      </w:r>
      <w:r w:rsidRPr="008C4E3D">
        <w:rPr>
          <w:lang w:val="en-GB"/>
        </w:rPr>
        <w:t xml:space="preserve">striking variations at the regional level. Perhaps surprisingly, Africa </w:t>
      </w:r>
      <w:r>
        <w:rPr>
          <w:lang w:val="en-GB"/>
        </w:rPr>
        <w:t xml:space="preserve">turns out to be </w:t>
      </w:r>
      <w:r w:rsidRPr="008C4E3D">
        <w:rPr>
          <w:lang w:val="en-GB"/>
        </w:rPr>
        <w:t xml:space="preserve">the </w:t>
      </w:r>
      <w:r>
        <w:rPr>
          <w:lang w:val="en-GB"/>
        </w:rPr>
        <w:t>continent</w:t>
      </w:r>
      <w:r w:rsidRPr="008C4E3D">
        <w:rPr>
          <w:lang w:val="en-GB"/>
        </w:rPr>
        <w:t xml:space="preserve"> with the highest levels of inbound visa restrictiveness,</w:t>
      </w:r>
      <w:r>
        <w:rPr>
          <w:lang w:val="en-GB"/>
        </w:rPr>
        <w:t xml:space="preserve"> which has been</w:t>
      </w:r>
      <w:r w:rsidRPr="008C4E3D">
        <w:rPr>
          <w:lang w:val="en-GB"/>
        </w:rPr>
        <w:t xml:space="preserve"> </w:t>
      </w:r>
      <w:r>
        <w:rPr>
          <w:lang w:val="en-GB"/>
        </w:rPr>
        <w:t>particularly</w:t>
      </w:r>
      <w:r w:rsidRPr="008C4E3D">
        <w:rPr>
          <w:lang w:val="en-GB"/>
        </w:rPr>
        <w:t xml:space="preserve"> increasing in West Africa, East Africa and Central Africa. Southern Africa (Namibia, Botswana, South Africa) is the only region </w:t>
      </w:r>
      <w:r w:rsidR="00DC2AB9">
        <w:rPr>
          <w:lang w:val="en-GB"/>
        </w:rPr>
        <w:t>in which</w:t>
      </w:r>
      <w:r w:rsidR="00DC2AB9" w:rsidRPr="008C4E3D">
        <w:rPr>
          <w:lang w:val="en-GB"/>
        </w:rPr>
        <w:t xml:space="preserve"> </w:t>
      </w:r>
      <w:r w:rsidRPr="008C4E3D">
        <w:rPr>
          <w:lang w:val="en-GB"/>
        </w:rPr>
        <w:t xml:space="preserve">levels of visa restrictiveness have decreased since the 1990s, which seems to be related to the end of the </w:t>
      </w:r>
      <w:r w:rsidRPr="008C4E3D">
        <w:rPr>
          <w:i/>
          <w:lang w:val="en-GB"/>
        </w:rPr>
        <w:t>apartheid</w:t>
      </w:r>
      <w:r w:rsidRPr="008C4E3D">
        <w:rPr>
          <w:lang w:val="en-GB"/>
        </w:rPr>
        <w:t xml:space="preserve"> regime, the end of liberation wars from colonial rule, and the relaxation </w:t>
      </w:r>
      <w:r w:rsidR="00AB79CC">
        <w:rPr>
          <w:lang w:val="en-GB"/>
        </w:rPr>
        <w:t>of</w:t>
      </w:r>
      <w:r w:rsidR="00AB79CC" w:rsidRPr="008C4E3D">
        <w:rPr>
          <w:lang w:val="en-GB"/>
        </w:rPr>
        <w:t xml:space="preserve"> </w:t>
      </w:r>
      <w:r w:rsidRPr="008C4E3D">
        <w:rPr>
          <w:lang w:val="en-GB"/>
        </w:rPr>
        <w:t>previously strained relation</w:t>
      </w:r>
      <w:r w:rsidR="00AB79CC">
        <w:rPr>
          <w:lang w:val="en-GB"/>
        </w:rPr>
        <w:t>s</w:t>
      </w:r>
      <w:r w:rsidRPr="008C4E3D">
        <w:rPr>
          <w:lang w:val="en-GB"/>
        </w:rPr>
        <w:t xml:space="preserve"> with the Frontline States</w:t>
      </w:r>
      <w:r w:rsidR="00AB79CC">
        <w:rPr>
          <w:lang w:val="en-GB"/>
        </w:rPr>
        <w:t xml:space="preserve"> (Angola, Botswana, Mozambique, Tanzania, Zambia and Zimbabwe)</w:t>
      </w:r>
      <w:r w:rsidRPr="008C4E3D">
        <w:rPr>
          <w:lang w:val="en-GB"/>
        </w:rPr>
        <w:t xml:space="preserve">. North Africa shows a mixed pattern, with Libya and Algeria showing increasing restrictions, and Morocco and Egypt relatively stable regimes at comparatively </w:t>
      </w:r>
      <w:r>
        <w:rPr>
          <w:lang w:val="en-GB"/>
        </w:rPr>
        <w:t xml:space="preserve">liberal inbound </w:t>
      </w:r>
      <w:r w:rsidR="00906B66">
        <w:rPr>
          <w:lang w:val="en-GB"/>
        </w:rPr>
        <w:t xml:space="preserve">travel </w:t>
      </w:r>
      <w:r>
        <w:rPr>
          <w:lang w:val="en-GB"/>
        </w:rPr>
        <w:t>visa regimes</w:t>
      </w:r>
      <w:r w:rsidRPr="008C4E3D">
        <w:rPr>
          <w:lang w:val="en-GB"/>
        </w:rPr>
        <w:t>. Also countries in the Middle East and large parts of Asia (except</w:t>
      </w:r>
      <w:r w:rsidR="00644CDC">
        <w:rPr>
          <w:lang w:val="en-GB"/>
        </w:rPr>
        <w:t>ing</w:t>
      </w:r>
      <w:r w:rsidRPr="008C4E3D">
        <w:rPr>
          <w:lang w:val="en-GB"/>
        </w:rPr>
        <w:t xml:space="preserve"> a few countries </w:t>
      </w:r>
      <w:r w:rsidR="00644CDC">
        <w:rPr>
          <w:lang w:val="en-GB"/>
        </w:rPr>
        <w:t>including</w:t>
      </w:r>
      <w:r w:rsidR="00644CDC" w:rsidRPr="008C4E3D">
        <w:rPr>
          <w:lang w:val="en-GB"/>
        </w:rPr>
        <w:t xml:space="preserve"> </w:t>
      </w:r>
      <w:r w:rsidRPr="008C4E3D">
        <w:rPr>
          <w:lang w:val="en-GB"/>
        </w:rPr>
        <w:t xml:space="preserve">Bangladesh, Thailand, Malaysia and the Philippines) tend to have highly restrictive visa regimes, and levels have increased rather than decreased, particularly in Iraq, Pakistan and India. Some countries show non-linear trends, like Indonesia, where levels of visa restrictiveness first decreased and then increased. Iran stands out for a sudden and striking drop in restrictiveness </w:t>
      </w:r>
      <w:r w:rsidR="00644CDC">
        <w:rPr>
          <w:lang w:val="en-GB"/>
        </w:rPr>
        <w:t>during</w:t>
      </w:r>
      <w:r w:rsidR="00644CDC" w:rsidRPr="008C4E3D">
        <w:rPr>
          <w:lang w:val="en-GB"/>
        </w:rPr>
        <w:t xml:space="preserve"> </w:t>
      </w:r>
      <w:r w:rsidRPr="008C4E3D">
        <w:rPr>
          <w:lang w:val="en-GB"/>
        </w:rPr>
        <w:t xml:space="preserve">the </w:t>
      </w:r>
      <w:r w:rsidR="00644CDC">
        <w:rPr>
          <w:lang w:val="en-GB"/>
        </w:rPr>
        <w:t xml:space="preserve">decade between </w:t>
      </w:r>
      <w:r w:rsidRPr="008C4E3D">
        <w:rPr>
          <w:lang w:val="en-GB"/>
        </w:rPr>
        <w:t>2003</w:t>
      </w:r>
      <w:r w:rsidR="00644CDC">
        <w:rPr>
          <w:lang w:val="en-GB"/>
        </w:rPr>
        <w:t xml:space="preserve"> and </w:t>
      </w:r>
      <w:r w:rsidRPr="008C4E3D">
        <w:rPr>
          <w:lang w:val="en-GB"/>
        </w:rPr>
        <w:t xml:space="preserve">2013. Visa restrictiveness levels have been consistently high in countries such as China, Vietnam, Laos, Cambodia, Myanmar, and Nepal. </w:t>
      </w:r>
    </w:p>
    <w:p w14:paraId="02FA8C47" w14:textId="77777777" w:rsidR="008D2A36" w:rsidRDefault="008D2A36" w:rsidP="008D2A36">
      <w:pPr>
        <w:rPr>
          <w:lang w:val="en-GB"/>
        </w:rPr>
      </w:pPr>
    </w:p>
    <w:p w14:paraId="07D9749B" w14:textId="68B36D7E" w:rsidR="00B5282B" w:rsidRDefault="008D2A36" w:rsidP="009A6241">
      <w:pPr>
        <w:jc w:val="center"/>
        <w:rPr>
          <w:lang w:val="en-GB"/>
        </w:rPr>
      </w:pPr>
      <w:r w:rsidRPr="008D2A36">
        <w:rPr>
          <w:b/>
          <w:lang w:val="en-GB"/>
        </w:rPr>
        <w:t xml:space="preserve">&lt;Figure </w:t>
      </w:r>
      <w:r w:rsidR="0080759C">
        <w:rPr>
          <w:b/>
          <w:lang w:val="en-GB"/>
        </w:rPr>
        <w:t>4</w:t>
      </w:r>
      <w:r w:rsidRPr="008D2A36">
        <w:rPr>
          <w:b/>
          <w:lang w:val="en-GB"/>
        </w:rPr>
        <w:t xml:space="preserve"> about here&gt;</w:t>
      </w:r>
    </w:p>
    <w:p w14:paraId="77E44030" w14:textId="7A83BD89" w:rsidR="0085295C" w:rsidRPr="008C4E3D" w:rsidRDefault="0085295C" w:rsidP="009A6241">
      <w:pPr>
        <w:ind w:firstLine="720"/>
        <w:jc w:val="left"/>
        <w:rPr>
          <w:lang w:val="en-GB"/>
        </w:rPr>
      </w:pPr>
      <w:r>
        <w:rPr>
          <w:lang w:val="en-GB"/>
        </w:rPr>
        <w:t xml:space="preserve">Inbound visa restrictiveness in </w:t>
      </w:r>
      <w:r w:rsidRPr="008C4E3D">
        <w:rPr>
          <w:lang w:val="en-GB"/>
        </w:rPr>
        <w:t>Russia and other</w:t>
      </w:r>
      <w:r w:rsidR="00EE3E44">
        <w:rPr>
          <w:lang w:val="en-GB"/>
        </w:rPr>
        <w:t xml:space="preserve"> Commonwealth of Independent States</w:t>
      </w:r>
      <w:r w:rsidRPr="008C4E3D">
        <w:rPr>
          <w:lang w:val="en-GB"/>
        </w:rPr>
        <w:t xml:space="preserve"> </w:t>
      </w:r>
      <w:r w:rsidR="00EE3E44">
        <w:rPr>
          <w:lang w:val="en-GB"/>
        </w:rPr>
        <w:t>(</w:t>
      </w:r>
      <w:r w:rsidRPr="008C4E3D">
        <w:rPr>
          <w:lang w:val="en-GB"/>
        </w:rPr>
        <w:t>CIS</w:t>
      </w:r>
      <w:r w:rsidR="00EE3E44">
        <w:rPr>
          <w:lang w:val="en-GB"/>
        </w:rPr>
        <w:t>)</w:t>
      </w:r>
      <w:r w:rsidRPr="008C4E3D">
        <w:rPr>
          <w:lang w:val="en-GB"/>
        </w:rPr>
        <w:t xml:space="preserve"> countries ha</w:t>
      </w:r>
      <w:r>
        <w:rPr>
          <w:lang w:val="en-GB"/>
        </w:rPr>
        <w:t>s</w:t>
      </w:r>
      <w:r w:rsidRPr="008C4E3D">
        <w:rPr>
          <w:lang w:val="en-GB"/>
        </w:rPr>
        <w:t xml:space="preserve"> remained remarkably stable at moderately high levels, although </w:t>
      </w:r>
      <w:r>
        <w:rPr>
          <w:lang w:val="en-GB"/>
        </w:rPr>
        <w:t>visa restrictions have further tightened</w:t>
      </w:r>
      <w:r w:rsidRPr="008C4E3D">
        <w:rPr>
          <w:lang w:val="en-GB"/>
        </w:rPr>
        <w:t xml:space="preserve"> in a few countries such as Turkmenistan, Uzbekistan and Tajikistan. Europe shows a mixed picture, more or less along the lines of the former East</w:t>
      </w:r>
      <w:r w:rsidR="00AE7452">
        <w:rPr>
          <w:lang w:val="en-GB"/>
        </w:rPr>
        <w:t>–</w:t>
      </w:r>
      <w:r w:rsidRPr="008C4E3D">
        <w:rPr>
          <w:lang w:val="en-GB"/>
        </w:rPr>
        <w:t xml:space="preserve">West divide on either side of the Iron Curtain. While in the 1970s Western Europe had some of the lowest levels of visa restrictiveness </w:t>
      </w:r>
      <w:r w:rsidR="00AE7452">
        <w:rPr>
          <w:lang w:val="en-GB"/>
        </w:rPr>
        <w:t>in</w:t>
      </w:r>
      <w:r w:rsidR="00AE7452" w:rsidRPr="008C4E3D">
        <w:rPr>
          <w:lang w:val="en-GB"/>
        </w:rPr>
        <w:t xml:space="preserve"> </w:t>
      </w:r>
      <w:r w:rsidRPr="008C4E3D">
        <w:rPr>
          <w:lang w:val="en-GB"/>
        </w:rPr>
        <w:t xml:space="preserve">the world (also compared to </w:t>
      </w:r>
      <w:r>
        <w:rPr>
          <w:lang w:val="en-GB"/>
        </w:rPr>
        <w:t>other liberal democracies</w:t>
      </w:r>
      <w:r w:rsidRPr="008C4E3D">
        <w:rPr>
          <w:lang w:val="en-GB"/>
        </w:rPr>
        <w:t xml:space="preserve"> such as the US)</w:t>
      </w:r>
      <w:r>
        <w:rPr>
          <w:lang w:val="en-GB"/>
        </w:rPr>
        <w:t>,</w:t>
      </w:r>
      <w:r w:rsidRPr="008C4E3D">
        <w:rPr>
          <w:lang w:val="en-GB"/>
        </w:rPr>
        <w:t xml:space="preserve"> levels have increased since the 1980s to moderate</w:t>
      </w:r>
      <w:r>
        <w:rPr>
          <w:lang w:val="en-GB"/>
        </w:rPr>
        <w:t xml:space="preserve"> but still relatively</w:t>
      </w:r>
      <w:r w:rsidRPr="008C4E3D">
        <w:rPr>
          <w:lang w:val="en-GB"/>
        </w:rPr>
        <w:t xml:space="preserve"> low levels. However, for Eastern Europe</w:t>
      </w:r>
      <w:r>
        <w:rPr>
          <w:lang w:val="en-GB"/>
        </w:rPr>
        <w:t>,</w:t>
      </w:r>
      <w:r w:rsidRPr="008C4E3D">
        <w:rPr>
          <w:lang w:val="en-GB"/>
        </w:rPr>
        <w:t xml:space="preserve"> the trend has rather been the </w:t>
      </w:r>
      <w:r>
        <w:rPr>
          <w:lang w:val="en-GB"/>
        </w:rPr>
        <w:t>opposite</w:t>
      </w:r>
      <w:r w:rsidRPr="008C4E3D">
        <w:rPr>
          <w:lang w:val="en-GB"/>
        </w:rPr>
        <w:t>, particularly in new EU accession states like Poland and Romania, where the end of communist rule coincided with a decrease in visa restrictiveness.</w:t>
      </w:r>
      <w:r w:rsidR="00CF1F28">
        <w:rPr>
          <w:lang w:val="en-GB"/>
        </w:rPr>
        <w:t xml:space="preserve"> </w:t>
      </w:r>
    </w:p>
    <w:p w14:paraId="0A7F7A2F" w14:textId="2F89A5E0" w:rsidR="0085295C" w:rsidRPr="008C4E3D" w:rsidRDefault="0085295C" w:rsidP="00C51AC7">
      <w:pPr>
        <w:ind w:firstLine="720"/>
        <w:rPr>
          <w:lang w:val="en-GB"/>
        </w:rPr>
      </w:pPr>
      <w:r w:rsidRPr="008C4E3D">
        <w:rPr>
          <w:lang w:val="en-GB"/>
        </w:rPr>
        <w:t xml:space="preserve">In Latin America </w:t>
      </w:r>
      <w:r w:rsidR="00E43FD4">
        <w:rPr>
          <w:lang w:val="en-GB"/>
        </w:rPr>
        <w:t xml:space="preserve">travel </w:t>
      </w:r>
      <w:r w:rsidRPr="008C4E3D">
        <w:rPr>
          <w:lang w:val="en-GB"/>
        </w:rPr>
        <w:t xml:space="preserve">visa </w:t>
      </w:r>
      <w:r w:rsidR="00E43FD4">
        <w:rPr>
          <w:lang w:val="en-GB"/>
        </w:rPr>
        <w:t>regulations</w:t>
      </w:r>
      <w:r w:rsidR="00E43FD4" w:rsidRPr="008C4E3D">
        <w:rPr>
          <w:lang w:val="en-GB"/>
        </w:rPr>
        <w:t xml:space="preserve"> </w:t>
      </w:r>
      <w:r w:rsidRPr="008C4E3D">
        <w:rPr>
          <w:lang w:val="en-GB"/>
        </w:rPr>
        <w:t>have become</w:t>
      </w:r>
      <w:r>
        <w:rPr>
          <w:lang w:val="en-GB"/>
        </w:rPr>
        <w:t xml:space="preserve"> even</w:t>
      </w:r>
      <w:r w:rsidRPr="008C4E3D">
        <w:rPr>
          <w:lang w:val="en-GB"/>
        </w:rPr>
        <w:t xml:space="preserve"> more liberal</w:t>
      </w:r>
      <w:r>
        <w:rPr>
          <w:lang w:val="en-GB"/>
        </w:rPr>
        <w:t xml:space="preserve"> over recent decades</w:t>
      </w:r>
      <w:r w:rsidRPr="008C4E3D">
        <w:rPr>
          <w:lang w:val="en-GB"/>
        </w:rPr>
        <w:t xml:space="preserve">, particularly in some Andean countries (Colombia, Venezuela, Ecuador), as well as other countries in </w:t>
      </w:r>
      <w:r>
        <w:rPr>
          <w:lang w:val="en-GB"/>
        </w:rPr>
        <w:t>South</w:t>
      </w:r>
      <w:r w:rsidRPr="008C4E3D">
        <w:rPr>
          <w:lang w:val="en-GB"/>
        </w:rPr>
        <w:t xml:space="preserve"> </w:t>
      </w:r>
      <w:r>
        <w:rPr>
          <w:lang w:val="en-GB"/>
        </w:rPr>
        <w:t xml:space="preserve">and Central </w:t>
      </w:r>
      <w:r w:rsidRPr="008C4E3D">
        <w:rPr>
          <w:lang w:val="en-GB"/>
        </w:rPr>
        <w:t xml:space="preserve">America (such as Chile). This coincides with the ending of authoritarian regimes in the region, which has led to a relaxation of visa rules, as well as the opening </w:t>
      </w:r>
      <w:r w:rsidR="00262279">
        <w:rPr>
          <w:lang w:val="en-GB"/>
        </w:rPr>
        <w:t xml:space="preserve">up </w:t>
      </w:r>
      <w:r w:rsidRPr="008C4E3D">
        <w:rPr>
          <w:lang w:val="en-GB"/>
        </w:rPr>
        <w:t>to neighb</w:t>
      </w:r>
      <w:r w:rsidRPr="0030523B">
        <w:rPr>
          <w:lang w:val="en-GB"/>
        </w:rPr>
        <w:t>ouring</w:t>
      </w:r>
      <w:r w:rsidRPr="008C4E3D">
        <w:rPr>
          <w:lang w:val="en-GB"/>
        </w:rPr>
        <w:t xml:space="preserve"> countries. Some countries show non-linear trends. For </w:t>
      </w:r>
      <w:r w:rsidRPr="0072571F">
        <w:rPr>
          <w:lang w:val="en-GB"/>
        </w:rPr>
        <w:t xml:space="preserve">post-independence </w:t>
      </w:r>
      <w:r>
        <w:rPr>
          <w:lang w:val="en-GB"/>
        </w:rPr>
        <w:t xml:space="preserve">Suriname, for </w:t>
      </w:r>
      <w:r w:rsidRPr="008C4E3D">
        <w:rPr>
          <w:lang w:val="en-GB"/>
        </w:rPr>
        <w:t xml:space="preserve">instance, visa restrictiveness first increased and then decreased. The US has had </w:t>
      </w:r>
      <w:r>
        <w:rPr>
          <w:lang w:val="en-GB"/>
        </w:rPr>
        <w:t xml:space="preserve">rather </w:t>
      </w:r>
      <w:r w:rsidRPr="008C4E3D">
        <w:rPr>
          <w:lang w:val="en-GB"/>
        </w:rPr>
        <w:t>consist</w:t>
      </w:r>
      <w:r>
        <w:rPr>
          <w:lang w:val="en-GB"/>
        </w:rPr>
        <w:t>ent</w:t>
      </w:r>
      <w:r w:rsidRPr="008C4E3D">
        <w:rPr>
          <w:lang w:val="en-GB"/>
        </w:rPr>
        <w:t xml:space="preserve"> levels of moderately high visa restrictiveness, while Canada shows an increase from low to moderately low levels in the 2000s. In Australia, levels of restrictiveness first increased, but then dropped over the 2000s, while New Zealand has shown a </w:t>
      </w:r>
      <w:r w:rsidR="00262279" w:rsidRPr="008C4E3D">
        <w:rPr>
          <w:lang w:val="en-GB"/>
        </w:rPr>
        <w:t>liberali</w:t>
      </w:r>
      <w:r w:rsidR="00262279">
        <w:rPr>
          <w:lang w:val="en-GB"/>
        </w:rPr>
        <w:t>s</w:t>
      </w:r>
      <w:r w:rsidR="00262279" w:rsidRPr="008C4E3D">
        <w:rPr>
          <w:lang w:val="en-GB"/>
        </w:rPr>
        <w:t xml:space="preserve">ing </w:t>
      </w:r>
      <w:r w:rsidRPr="008C4E3D">
        <w:rPr>
          <w:lang w:val="en-GB"/>
        </w:rPr>
        <w:t>trend.</w:t>
      </w:r>
      <w:r w:rsidR="00CF1F28">
        <w:rPr>
          <w:lang w:val="en-GB"/>
        </w:rPr>
        <w:t xml:space="preserve"> </w:t>
      </w:r>
    </w:p>
    <w:p w14:paraId="577F2395" w14:textId="688160A3" w:rsidR="0085295C" w:rsidRPr="008C4E3D" w:rsidRDefault="0085295C" w:rsidP="00C51AC7">
      <w:pPr>
        <w:ind w:firstLine="720"/>
        <w:rPr>
          <w:lang w:val="en-GB"/>
        </w:rPr>
      </w:pPr>
      <w:r w:rsidRPr="008C4E3D">
        <w:rPr>
          <w:lang w:val="en-GB"/>
        </w:rPr>
        <w:lastRenderedPageBreak/>
        <w:t xml:space="preserve">Turning </w:t>
      </w:r>
      <w:r>
        <w:rPr>
          <w:lang w:val="en-GB"/>
        </w:rPr>
        <w:t>the perspective</w:t>
      </w:r>
      <w:r w:rsidRPr="008C4E3D">
        <w:rPr>
          <w:lang w:val="en-GB"/>
        </w:rPr>
        <w:t xml:space="preserve"> around, Figure </w:t>
      </w:r>
      <w:r w:rsidR="0080759C">
        <w:rPr>
          <w:lang w:val="en-GB"/>
        </w:rPr>
        <w:t>5</w:t>
      </w:r>
      <w:r w:rsidRPr="008C4E3D">
        <w:rPr>
          <w:lang w:val="en-GB"/>
        </w:rPr>
        <w:t xml:space="preserve"> portrays the levels of </w:t>
      </w:r>
      <w:r w:rsidRPr="008C4E3D">
        <w:rPr>
          <w:i/>
          <w:lang w:val="en-GB"/>
        </w:rPr>
        <w:t xml:space="preserve">outbound </w:t>
      </w:r>
      <w:r w:rsidR="004C4F11">
        <w:rPr>
          <w:lang w:val="en-GB"/>
        </w:rPr>
        <w:t>travel v</w:t>
      </w:r>
      <w:r w:rsidRPr="008C4E3D">
        <w:rPr>
          <w:lang w:val="en-GB"/>
        </w:rPr>
        <w:t xml:space="preserve">isa restrictiveness, which </w:t>
      </w:r>
      <w:r>
        <w:rPr>
          <w:lang w:val="en-GB"/>
        </w:rPr>
        <w:t xml:space="preserve">measures </w:t>
      </w:r>
      <w:r w:rsidRPr="008C4E3D">
        <w:rPr>
          <w:lang w:val="en-GB"/>
        </w:rPr>
        <w:t>the degree to which citizens of each country require visas to enter other countries. This yields a more clear-cut patter</w:t>
      </w:r>
      <w:r>
        <w:rPr>
          <w:lang w:val="en-GB"/>
        </w:rPr>
        <w:t>n</w:t>
      </w:r>
      <w:r w:rsidRPr="008C4E3D">
        <w:rPr>
          <w:lang w:val="en-GB"/>
        </w:rPr>
        <w:t xml:space="preserve"> compared to </w:t>
      </w:r>
      <w:r>
        <w:rPr>
          <w:lang w:val="en-GB"/>
        </w:rPr>
        <w:t>those</w:t>
      </w:r>
      <w:r w:rsidRPr="008C4E3D">
        <w:rPr>
          <w:lang w:val="en-GB"/>
        </w:rPr>
        <w:t xml:space="preserve"> of inbound visa restrictiveness. Clearly, citizens of Western Europe and the former West</w:t>
      </w:r>
      <w:r w:rsidR="00262279">
        <w:rPr>
          <w:lang w:val="en-GB"/>
        </w:rPr>
        <w:t>ern</w:t>
      </w:r>
      <w:r w:rsidRPr="008C4E3D">
        <w:rPr>
          <w:lang w:val="en-GB"/>
        </w:rPr>
        <w:t>-European settler colonies of the U</w:t>
      </w:r>
      <w:r w:rsidR="00262279">
        <w:rPr>
          <w:lang w:val="en-GB"/>
        </w:rPr>
        <w:t>S</w:t>
      </w:r>
      <w:r w:rsidRPr="008C4E3D">
        <w:rPr>
          <w:lang w:val="en-GB"/>
        </w:rPr>
        <w:t xml:space="preserve">, Canada, Australia and New Zealand have the highest degree of visa-free travel liberties. While citizens of the </w:t>
      </w:r>
      <w:r>
        <w:rPr>
          <w:lang w:val="en-GB"/>
        </w:rPr>
        <w:t xml:space="preserve">former </w:t>
      </w:r>
      <w:r w:rsidRPr="008C4E3D">
        <w:rPr>
          <w:lang w:val="en-GB"/>
        </w:rPr>
        <w:t xml:space="preserve">Soviet Union and communist Eastern European countries used to face high levels of outbound visa restrictiveness, these levels have </w:t>
      </w:r>
      <w:r w:rsidR="00262279">
        <w:rPr>
          <w:lang w:val="en-GB"/>
        </w:rPr>
        <w:t>receded</w:t>
      </w:r>
      <w:r w:rsidR="00262279" w:rsidRPr="008C4E3D">
        <w:rPr>
          <w:lang w:val="en-GB"/>
        </w:rPr>
        <w:t xml:space="preserve"> </w:t>
      </w:r>
      <w:r w:rsidRPr="008C4E3D">
        <w:rPr>
          <w:lang w:val="en-GB"/>
        </w:rPr>
        <w:t>remarkably</w:t>
      </w:r>
      <w:r>
        <w:rPr>
          <w:lang w:val="en-GB"/>
        </w:rPr>
        <w:t xml:space="preserve"> since the fall of the Berlin Wall and the dissolution of the Soviet Union</w:t>
      </w:r>
      <w:r w:rsidRPr="008C4E3D">
        <w:rPr>
          <w:lang w:val="en-GB"/>
        </w:rPr>
        <w:t>, particularly in new East</w:t>
      </w:r>
      <w:r w:rsidR="00262279">
        <w:rPr>
          <w:lang w:val="en-GB"/>
        </w:rPr>
        <w:t>ern</w:t>
      </w:r>
      <w:r w:rsidRPr="008C4E3D">
        <w:rPr>
          <w:lang w:val="en-GB"/>
        </w:rPr>
        <w:t xml:space="preserve"> European EU member states and also Russia. Also Latin America</w:t>
      </w:r>
      <w:r>
        <w:rPr>
          <w:lang w:val="en-GB"/>
        </w:rPr>
        <w:t>n</w:t>
      </w:r>
      <w:r w:rsidRPr="008C4E3D">
        <w:rPr>
          <w:lang w:val="en-GB"/>
        </w:rPr>
        <w:t>s face comparatively low visa barriers</w:t>
      </w:r>
      <w:r>
        <w:rPr>
          <w:lang w:val="en-GB"/>
        </w:rPr>
        <w:t xml:space="preserve"> to enter other countries,</w:t>
      </w:r>
      <w:r w:rsidRPr="008C4E3D">
        <w:rPr>
          <w:lang w:val="en-GB"/>
        </w:rPr>
        <w:t xml:space="preserve"> and trends have been downward, particularly for Argentina, Brazil and Chile and several Central American countries, although they have been high or increasing in Colombia</w:t>
      </w:r>
      <w:r>
        <w:rPr>
          <w:lang w:val="en-GB"/>
        </w:rPr>
        <w:t xml:space="preserve"> and</w:t>
      </w:r>
      <w:r w:rsidRPr="008C4E3D">
        <w:rPr>
          <w:lang w:val="en-GB"/>
        </w:rPr>
        <w:t xml:space="preserve"> the former British and Dutch colonies of Guyana and Suriname. </w:t>
      </w:r>
    </w:p>
    <w:p w14:paraId="4384E20C" w14:textId="77777777" w:rsidR="0085295C" w:rsidRPr="008C4E3D" w:rsidRDefault="0085295C" w:rsidP="0085295C">
      <w:pPr>
        <w:rPr>
          <w:lang w:val="en-GB"/>
        </w:rPr>
      </w:pPr>
    </w:p>
    <w:p w14:paraId="0885DD40" w14:textId="46654254" w:rsidR="0085295C" w:rsidRPr="008D2A36" w:rsidRDefault="008D2A36" w:rsidP="0080759C">
      <w:pPr>
        <w:widowControl w:val="0"/>
        <w:spacing w:line="360" w:lineRule="auto"/>
        <w:jc w:val="center"/>
        <w:rPr>
          <w:rFonts w:ascii="Garamond" w:hAnsi="Garamond"/>
          <w:b/>
          <w:lang w:val="en-GB"/>
        </w:rPr>
      </w:pPr>
      <w:r w:rsidRPr="008D2A36">
        <w:rPr>
          <w:rFonts w:ascii="Garamond" w:hAnsi="Garamond"/>
          <w:b/>
          <w:lang w:val="en-GB"/>
        </w:rPr>
        <w:t xml:space="preserve">&lt;Figure </w:t>
      </w:r>
      <w:r w:rsidR="0080759C">
        <w:rPr>
          <w:rFonts w:ascii="Garamond" w:hAnsi="Garamond"/>
          <w:b/>
          <w:lang w:val="en-GB"/>
        </w:rPr>
        <w:t>5</w:t>
      </w:r>
      <w:r w:rsidRPr="008D2A36">
        <w:rPr>
          <w:rFonts w:ascii="Garamond" w:hAnsi="Garamond"/>
          <w:b/>
          <w:lang w:val="en-GB"/>
        </w:rPr>
        <w:t xml:space="preserve"> about here&gt;</w:t>
      </w:r>
    </w:p>
    <w:p w14:paraId="2B1C25C0" w14:textId="6847BC9D" w:rsidR="0085295C" w:rsidRDefault="0085295C" w:rsidP="00D23F98">
      <w:pPr>
        <w:rPr>
          <w:lang w:val="en-GB"/>
        </w:rPr>
      </w:pPr>
      <w:r w:rsidRPr="008C4E3D">
        <w:rPr>
          <w:lang w:val="en-GB"/>
        </w:rPr>
        <w:t xml:space="preserve">By contrast, levels of outbound </w:t>
      </w:r>
      <w:r w:rsidR="00DC4301">
        <w:rPr>
          <w:lang w:val="en-GB"/>
        </w:rPr>
        <w:t xml:space="preserve">travel </w:t>
      </w:r>
      <w:r w:rsidRPr="008C4E3D">
        <w:rPr>
          <w:lang w:val="en-GB"/>
        </w:rPr>
        <w:t xml:space="preserve">visa restrictiveness have been comparatively high in Africa and clearly increasing in most countries that enjoyed relatively high degrees of visa-free travel opportunities in the 1970s, such as Kenya, Uganda, Namibia, Botswana and Tunisia, and to a certain degree also countries such as Morocco, Egypt, Ghana and Senegal. South Africa is one of the few exceptions where visa-restrictiveness </w:t>
      </w:r>
      <w:r w:rsidR="00B8452B">
        <w:rPr>
          <w:lang w:val="en-GB"/>
        </w:rPr>
        <w:t>for</w:t>
      </w:r>
      <w:r w:rsidR="00B8452B" w:rsidRPr="008C4E3D">
        <w:rPr>
          <w:lang w:val="en-GB"/>
        </w:rPr>
        <w:t xml:space="preserve"> </w:t>
      </w:r>
      <w:r w:rsidRPr="008C4E3D">
        <w:rPr>
          <w:lang w:val="en-GB"/>
        </w:rPr>
        <w:t>travel abroad has actually decreased. Also for countries in the Middle East</w:t>
      </w:r>
      <w:r>
        <w:rPr>
          <w:lang w:val="en-GB"/>
        </w:rPr>
        <w:t>,</w:t>
      </w:r>
      <w:r w:rsidRPr="008C4E3D">
        <w:rPr>
          <w:lang w:val="en-GB"/>
        </w:rPr>
        <w:t xml:space="preserve"> including Turkey and Iran</w:t>
      </w:r>
      <w:r>
        <w:rPr>
          <w:lang w:val="en-GB"/>
        </w:rPr>
        <w:t>,</w:t>
      </w:r>
      <w:r w:rsidRPr="008C4E3D">
        <w:rPr>
          <w:lang w:val="en-GB"/>
        </w:rPr>
        <w:t xml:space="preserve"> outbound travel restrictiveness has clearly increased</w:t>
      </w:r>
      <w:r w:rsidR="00B8452B">
        <w:rPr>
          <w:lang w:val="en-GB"/>
        </w:rPr>
        <w:t>. This restrictiveness has also</w:t>
      </w:r>
      <w:r w:rsidRPr="008C4E3D">
        <w:rPr>
          <w:lang w:val="en-GB"/>
        </w:rPr>
        <w:t xml:space="preserve"> been consistently high for most South, East and South-East Asian countries</w:t>
      </w:r>
      <w:r>
        <w:rPr>
          <w:lang w:val="en-GB"/>
        </w:rPr>
        <w:t>, despite</w:t>
      </w:r>
      <w:r w:rsidRPr="008C4E3D">
        <w:rPr>
          <w:lang w:val="en-GB"/>
        </w:rPr>
        <w:t xml:space="preserve"> a few </w:t>
      </w:r>
      <w:r>
        <w:rPr>
          <w:lang w:val="en-GB"/>
        </w:rPr>
        <w:t xml:space="preserve">exceptions </w:t>
      </w:r>
      <w:r w:rsidRPr="008C4E3D">
        <w:rPr>
          <w:lang w:val="en-GB"/>
        </w:rPr>
        <w:t xml:space="preserve">such as Japan, South Korea and Malaysia. </w:t>
      </w:r>
      <w:r>
        <w:rPr>
          <w:lang w:val="en-GB"/>
        </w:rPr>
        <w:t>O</w:t>
      </w:r>
      <w:r w:rsidRPr="008C4E3D">
        <w:rPr>
          <w:lang w:val="en-GB"/>
        </w:rPr>
        <w:t xml:space="preserve">utbound visa restrictiveness </w:t>
      </w:r>
      <w:r>
        <w:rPr>
          <w:lang w:val="en-GB"/>
        </w:rPr>
        <w:t xml:space="preserve">for Chinese citizens </w:t>
      </w:r>
      <w:r w:rsidRPr="008C4E3D">
        <w:rPr>
          <w:lang w:val="en-GB"/>
        </w:rPr>
        <w:t>have been consistently high</w:t>
      </w:r>
      <w:r w:rsidR="00B8452B">
        <w:rPr>
          <w:lang w:val="en-GB"/>
        </w:rPr>
        <w:t>,</w:t>
      </w:r>
      <w:r w:rsidRPr="008C4E3D">
        <w:rPr>
          <w:lang w:val="en-GB"/>
        </w:rPr>
        <w:t xml:space="preserve"> while for India and Pakistan levels have been increasing.</w:t>
      </w:r>
    </w:p>
    <w:p w14:paraId="2965558A" w14:textId="35AE66AF" w:rsidR="0085295C" w:rsidRPr="008D2A36" w:rsidRDefault="008D2A36" w:rsidP="0080759C">
      <w:pPr>
        <w:widowControl w:val="0"/>
        <w:spacing w:line="360" w:lineRule="auto"/>
        <w:jc w:val="center"/>
        <w:rPr>
          <w:rFonts w:ascii="Garamond" w:hAnsi="Garamond"/>
          <w:b/>
          <w:lang w:val="en-GB"/>
        </w:rPr>
      </w:pPr>
      <w:r w:rsidRPr="008D2A36">
        <w:rPr>
          <w:rFonts w:ascii="Garamond" w:hAnsi="Garamond"/>
          <w:b/>
          <w:lang w:val="en-GB"/>
        </w:rPr>
        <w:t xml:space="preserve">&lt;Figure </w:t>
      </w:r>
      <w:r w:rsidR="0080759C">
        <w:rPr>
          <w:rFonts w:ascii="Garamond" w:hAnsi="Garamond"/>
          <w:b/>
          <w:lang w:val="en-GB"/>
        </w:rPr>
        <w:t>6</w:t>
      </w:r>
      <w:r w:rsidRPr="008D2A36">
        <w:rPr>
          <w:rFonts w:ascii="Garamond" w:hAnsi="Garamond"/>
          <w:b/>
          <w:lang w:val="en-GB"/>
        </w:rPr>
        <w:t xml:space="preserve"> about here&gt;</w:t>
      </w:r>
    </w:p>
    <w:p w14:paraId="2F8F599D" w14:textId="5C9A86E9" w:rsidR="0085295C" w:rsidRDefault="0085295C" w:rsidP="00D23F98">
      <w:pPr>
        <w:rPr>
          <w:lang w:val="en-GB"/>
        </w:rPr>
      </w:pPr>
      <w:r>
        <w:rPr>
          <w:lang w:val="en-GB"/>
        </w:rPr>
        <w:t xml:space="preserve">Figure </w:t>
      </w:r>
      <w:r w:rsidR="0080759C">
        <w:rPr>
          <w:lang w:val="en-GB"/>
        </w:rPr>
        <w:t>6</w:t>
      </w:r>
      <w:r>
        <w:rPr>
          <w:lang w:val="en-GB"/>
        </w:rPr>
        <w:t xml:space="preserve"> reports a measure identifying the degree of reciprocity</w:t>
      </w:r>
      <w:r w:rsidDel="00FB27D3">
        <w:rPr>
          <w:lang w:val="en-GB"/>
        </w:rPr>
        <w:t xml:space="preserve"> </w:t>
      </w:r>
      <w:r>
        <w:rPr>
          <w:lang w:val="en-GB"/>
        </w:rPr>
        <w:t xml:space="preserve">(or simultaneity) of outbound and inbound </w:t>
      </w:r>
      <w:r w:rsidR="00FF301A">
        <w:rPr>
          <w:lang w:val="en-GB"/>
        </w:rPr>
        <w:t xml:space="preserve">travel </w:t>
      </w:r>
      <w:r>
        <w:rPr>
          <w:lang w:val="en-GB"/>
        </w:rPr>
        <w:t>visa policies at the bilateral (i.e. country-to-country) level</w:t>
      </w:r>
      <w:r w:rsidR="00C450BE">
        <w:rPr>
          <w:rStyle w:val="FootnoteReference"/>
          <w:lang w:val="en-GB"/>
        </w:rPr>
        <w:footnoteReference w:id="13"/>
      </w:r>
      <w:r w:rsidR="00FF301A">
        <w:rPr>
          <w:lang w:val="en-GB"/>
        </w:rPr>
        <w:t>.  Travel v</w:t>
      </w:r>
      <w:r>
        <w:rPr>
          <w:lang w:val="en-GB"/>
        </w:rPr>
        <w:t>isa reciprocity has been relatively stable over the last four decades at rather high levels, as it has only fluctuated between 78 and 81 per cent over the entire period. Nevertheless, since the mid-1990s we see a remarkable trend towards higher level</w:t>
      </w:r>
      <w:r w:rsidR="00766B15">
        <w:rPr>
          <w:lang w:val="en-GB"/>
        </w:rPr>
        <w:t>s</w:t>
      </w:r>
      <w:r>
        <w:rPr>
          <w:lang w:val="en-GB"/>
        </w:rPr>
        <w:t xml:space="preserve"> of visa reciprocity </w:t>
      </w:r>
      <w:r w:rsidR="00766B15">
        <w:rPr>
          <w:lang w:val="en-GB"/>
        </w:rPr>
        <w:t>under which terms</w:t>
      </w:r>
      <w:r>
        <w:rPr>
          <w:lang w:val="en-GB"/>
        </w:rPr>
        <w:t xml:space="preserve"> visa waivers or visa restrictions mirror each other on either side of migration corridors (see Table 1). This seems</w:t>
      </w:r>
      <w:r w:rsidR="00766B15" w:rsidRPr="00766B15">
        <w:rPr>
          <w:lang w:val="en-GB"/>
        </w:rPr>
        <w:t xml:space="preserve"> </w:t>
      </w:r>
      <w:r w:rsidR="00766B15">
        <w:rPr>
          <w:lang w:val="en-GB"/>
        </w:rPr>
        <w:t>likely</w:t>
      </w:r>
      <w:r>
        <w:rPr>
          <w:lang w:val="en-GB"/>
        </w:rPr>
        <w:t xml:space="preserve"> to reflect geopolitical shifts after the end of the Cold War and a ‘resorting’ of foreign policy priorities and relations as well as processes of </w:t>
      </w:r>
      <w:r w:rsidR="00766B15">
        <w:rPr>
          <w:lang w:val="en-GB"/>
        </w:rPr>
        <w:t xml:space="preserve">regionalisation, </w:t>
      </w:r>
      <w:r>
        <w:rPr>
          <w:lang w:val="en-GB"/>
        </w:rPr>
        <w:t xml:space="preserve">such as the enlargement of the European Union. Asymmetric, non-reciprocal bilateral </w:t>
      </w:r>
      <w:r w:rsidR="006215C1">
        <w:rPr>
          <w:lang w:val="en-GB"/>
        </w:rPr>
        <w:t xml:space="preserve">travel </w:t>
      </w:r>
      <w:r>
        <w:rPr>
          <w:lang w:val="en-GB"/>
        </w:rPr>
        <w:t xml:space="preserve">visa policies are often only temporary as either retaliation or gratification is the most common response to a (positive or negative) visa policy change. But in some cases, bilateral corridors remain open </w:t>
      </w:r>
      <w:r w:rsidR="00766B15">
        <w:rPr>
          <w:lang w:val="en-GB"/>
        </w:rPr>
        <w:t xml:space="preserve">only </w:t>
      </w:r>
      <w:r>
        <w:rPr>
          <w:lang w:val="en-GB"/>
        </w:rPr>
        <w:t xml:space="preserve">in one direction and it is mostly to the disadvantage of those countries that are in an economically and/or politically weaker and </w:t>
      </w:r>
      <w:r w:rsidR="00766B15">
        <w:rPr>
          <w:lang w:val="en-GB"/>
        </w:rPr>
        <w:t xml:space="preserve">thus </w:t>
      </w:r>
      <w:r>
        <w:rPr>
          <w:lang w:val="en-GB"/>
        </w:rPr>
        <w:t xml:space="preserve">more dependent position. </w:t>
      </w:r>
    </w:p>
    <w:p w14:paraId="296DA4A4" w14:textId="2C313536" w:rsidR="0085295C" w:rsidRPr="00240131" w:rsidRDefault="0085295C" w:rsidP="00D23F98">
      <w:pPr>
        <w:pStyle w:val="Heading1"/>
      </w:pPr>
      <w:r>
        <w:lastRenderedPageBreak/>
        <w:t>Regionalisation of</w:t>
      </w:r>
      <w:r w:rsidRPr="00240131">
        <w:t xml:space="preserve"> </w:t>
      </w:r>
      <w:r w:rsidR="007250A0">
        <w:t xml:space="preserve">travel </w:t>
      </w:r>
      <w:r w:rsidRPr="00240131">
        <w:t xml:space="preserve">visa </w:t>
      </w:r>
      <w:r>
        <w:t>policy priorities</w:t>
      </w:r>
      <w:r w:rsidRPr="00240131">
        <w:t>: patterns of closure and opening</w:t>
      </w:r>
    </w:p>
    <w:p w14:paraId="6E5201CA" w14:textId="2F3670FD" w:rsidR="0085295C" w:rsidRPr="008C4E3D" w:rsidRDefault="0085295C" w:rsidP="00D23F98">
      <w:pPr>
        <w:rPr>
          <w:lang w:val="en-GB"/>
        </w:rPr>
      </w:pPr>
      <w:r w:rsidRPr="008C4E3D">
        <w:rPr>
          <w:lang w:val="en-GB"/>
        </w:rPr>
        <w:t xml:space="preserve">So far, the analysis has showed that, although citizens of </w:t>
      </w:r>
      <w:r>
        <w:rPr>
          <w:lang w:val="en-GB"/>
        </w:rPr>
        <w:t>poorer regions</w:t>
      </w:r>
      <w:r w:rsidRPr="008C4E3D">
        <w:rPr>
          <w:lang w:val="en-GB"/>
        </w:rPr>
        <w:t xml:space="preserve"> generally face </w:t>
      </w:r>
      <w:r w:rsidR="00802AD2">
        <w:rPr>
          <w:lang w:val="en-GB"/>
        </w:rPr>
        <w:t>greater</w:t>
      </w:r>
      <w:r w:rsidR="00802AD2" w:rsidRPr="008C4E3D">
        <w:rPr>
          <w:lang w:val="en-GB"/>
        </w:rPr>
        <w:t xml:space="preserve"> </w:t>
      </w:r>
      <w:r w:rsidRPr="008C4E3D">
        <w:rPr>
          <w:lang w:val="en-GB"/>
        </w:rPr>
        <w:t xml:space="preserve">barriers to travel abroad than citizens of European countries and </w:t>
      </w:r>
      <w:r>
        <w:rPr>
          <w:lang w:val="en-GB"/>
        </w:rPr>
        <w:t xml:space="preserve">former </w:t>
      </w:r>
      <w:r w:rsidRPr="008C4E3D">
        <w:rPr>
          <w:lang w:val="en-GB"/>
        </w:rPr>
        <w:t xml:space="preserve">countries of </w:t>
      </w:r>
      <w:r>
        <w:rPr>
          <w:lang w:val="en-GB"/>
        </w:rPr>
        <w:t xml:space="preserve">colonial </w:t>
      </w:r>
      <w:r w:rsidRPr="008C4E3D">
        <w:rPr>
          <w:lang w:val="en-GB"/>
        </w:rPr>
        <w:t xml:space="preserve">European settlement, the degree of variation is </w:t>
      </w:r>
      <w:r>
        <w:rPr>
          <w:lang w:val="en-GB"/>
        </w:rPr>
        <w:t xml:space="preserve">rather </w:t>
      </w:r>
      <w:r w:rsidRPr="008C4E3D">
        <w:rPr>
          <w:lang w:val="en-GB"/>
        </w:rPr>
        <w:t xml:space="preserve">high, and trends over time on regional and country level </w:t>
      </w:r>
      <w:r>
        <w:rPr>
          <w:lang w:val="en-GB"/>
        </w:rPr>
        <w:t xml:space="preserve">can </w:t>
      </w:r>
      <w:r w:rsidRPr="008C4E3D">
        <w:rPr>
          <w:lang w:val="en-GB"/>
        </w:rPr>
        <w:t xml:space="preserve">vary considerably and be divergent. The contrast between trends in Latin America on the one hand and Africa and the Middle East on the other is particularly remarkable. We have also seen that there is no clear-cut relation between levels of inbound and outbound restrictiveness. For instance, while most Latin American countries have low levels of inbound </w:t>
      </w:r>
      <w:r w:rsidRPr="008C4E3D">
        <w:rPr>
          <w:i/>
          <w:lang w:val="en-GB"/>
        </w:rPr>
        <w:t>and</w:t>
      </w:r>
      <w:r w:rsidRPr="008C4E3D">
        <w:rPr>
          <w:lang w:val="en-GB"/>
        </w:rPr>
        <w:t xml:space="preserve"> outbound restrictiveness, sub-Saharan Africa and some Asian countries like China ha</w:t>
      </w:r>
      <w:r>
        <w:rPr>
          <w:lang w:val="en-GB"/>
        </w:rPr>
        <w:t>ve</w:t>
      </w:r>
      <w:r w:rsidRPr="008C4E3D">
        <w:rPr>
          <w:lang w:val="en-GB"/>
        </w:rPr>
        <w:t xml:space="preserve"> remarkably high levels on </w:t>
      </w:r>
      <w:r w:rsidRPr="00A519AB">
        <w:rPr>
          <w:i/>
          <w:lang w:val="en-GB"/>
        </w:rPr>
        <w:t>both</w:t>
      </w:r>
      <w:r w:rsidRPr="008C4E3D">
        <w:rPr>
          <w:lang w:val="en-GB"/>
        </w:rPr>
        <w:t xml:space="preserve"> measures. While Iranians require visas for the vast majority of countries, inbound restrictiveness is relatively low. Europeans, Brazilians, Indians and Saudi</w:t>
      </w:r>
      <w:r>
        <w:rPr>
          <w:lang w:val="en-GB"/>
        </w:rPr>
        <w:t>s</w:t>
      </w:r>
      <w:r w:rsidRPr="008C4E3D">
        <w:rPr>
          <w:lang w:val="en-GB"/>
        </w:rPr>
        <w:t xml:space="preserve"> face </w:t>
      </w:r>
      <w:r w:rsidR="00802AD2">
        <w:rPr>
          <w:lang w:val="en-GB"/>
        </w:rPr>
        <w:t>fewer</w:t>
      </w:r>
      <w:r w:rsidR="00802AD2" w:rsidRPr="008C4E3D">
        <w:rPr>
          <w:lang w:val="en-GB"/>
        </w:rPr>
        <w:t xml:space="preserve"> </w:t>
      </w:r>
      <w:r w:rsidRPr="008C4E3D">
        <w:rPr>
          <w:lang w:val="en-GB"/>
        </w:rPr>
        <w:t xml:space="preserve">visa obstacles when travelling abroad than </w:t>
      </w:r>
      <w:r w:rsidR="00802AD2">
        <w:rPr>
          <w:lang w:val="en-GB"/>
        </w:rPr>
        <w:t>do</w:t>
      </w:r>
      <w:r w:rsidRPr="008C4E3D">
        <w:rPr>
          <w:lang w:val="en-GB"/>
        </w:rPr>
        <w:t xml:space="preserve"> visitors to their own countries. </w:t>
      </w:r>
    </w:p>
    <w:p w14:paraId="5B1B96E5" w14:textId="5699534E" w:rsidR="0085295C" w:rsidRPr="008C4E3D" w:rsidRDefault="0085295C" w:rsidP="00C51AC7">
      <w:pPr>
        <w:ind w:firstLine="720"/>
        <w:rPr>
          <w:lang w:val="en-GB"/>
        </w:rPr>
      </w:pPr>
      <w:r w:rsidRPr="008C4E3D">
        <w:rPr>
          <w:lang w:val="en-GB"/>
        </w:rPr>
        <w:t xml:space="preserve">To investigate the degree to which world regions are relatively open or closed </w:t>
      </w:r>
      <w:r>
        <w:rPr>
          <w:lang w:val="en-GB"/>
        </w:rPr>
        <w:t>vis-à-vis other world regions, F</w:t>
      </w:r>
      <w:r w:rsidRPr="008C4E3D">
        <w:rPr>
          <w:lang w:val="en-GB"/>
        </w:rPr>
        <w:t xml:space="preserve">igure </w:t>
      </w:r>
      <w:r w:rsidR="0080759C">
        <w:rPr>
          <w:lang w:val="en-GB"/>
        </w:rPr>
        <w:t>7</w:t>
      </w:r>
      <w:r w:rsidRPr="008C4E3D">
        <w:rPr>
          <w:lang w:val="en-GB"/>
        </w:rPr>
        <w:t xml:space="preserve"> plots average levels of inter- and intra-continental visa restrictiveness over the entire 1973</w:t>
      </w:r>
      <w:r w:rsidR="00802AD2">
        <w:rPr>
          <w:lang w:val="en-GB"/>
        </w:rPr>
        <w:t>–</w:t>
      </w:r>
      <w:r w:rsidRPr="008C4E3D">
        <w:rPr>
          <w:lang w:val="en-GB"/>
        </w:rPr>
        <w:t xml:space="preserve">2013 period. It shows some striking patterns. For instance, Africa and Asia appear to be the most restrictive regions in the world with regards to the restrictions they impose </w:t>
      </w:r>
      <w:r w:rsidR="00802AD2">
        <w:rPr>
          <w:lang w:val="en-GB"/>
        </w:rPr>
        <w:t>on</w:t>
      </w:r>
      <w:r w:rsidR="00802AD2" w:rsidRPr="008C4E3D">
        <w:rPr>
          <w:lang w:val="en-GB"/>
        </w:rPr>
        <w:t xml:space="preserve"> </w:t>
      </w:r>
      <w:r w:rsidRPr="008C4E3D">
        <w:rPr>
          <w:lang w:val="en-GB"/>
        </w:rPr>
        <w:t xml:space="preserve">travellers from other world regions </w:t>
      </w:r>
      <w:r w:rsidRPr="008C4E3D">
        <w:rPr>
          <w:i/>
          <w:lang w:val="en-GB"/>
        </w:rPr>
        <w:t xml:space="preserve">as well as </w:t>
      </w:r>
      <w:r w:rsidRPr="008C4E3D">
        <w:rPr>
          <w:lang w:val="en-GB"/>
        </w:rPr>
        <w:t xml:space="preserve">from their own regions. </w:t>
      </w:r>
      <w:r>
        <w:rPr>
          <w:lang w:val="en-GB"/>
        </w:rPr>
        <w:t>Countries in t</w:t>
      </w:r>
      <w:r w:rsidRPr="008C4E3D">
        <w:rPr>
          <w:lang w:val="en-GB"/>
        </w:rPr>
        <w:t xml:space="preserve">he Americas impose high restrictions for Africans and Asians, but relatively low restrictions for other Americans and Europeans, which seems to clearly reflect their immigration histories. We find similar patterns for European countries. Intra-European travel is the least visa-restricted in the world, which </w:t>
      </w:r>
      <w:r>
        <w:rPr>
          <w:lang w:val="en-GB"/>
        </w:rPr>
        <w:t>largely</w:t>
      </w:r>
      <w:r w:rsidRPr="008C4E3D">
        <w:rPr>
          <w:lang w:val="en-GB"/>
        </w:rPr>
        <w:t xml:space="preserve"> reflects EU </w:t>
      </w:r>
      <w:r>
        <w:rPr>
          <w:lang w:val="en-GB"/>
        </w:rPr>
        <w:t>integration and enlargement</w:t>
      </w:r>
      <w:r w:rsidRPr="008C4E3D">
        <w:rPr>
          <w:lang w:val="en-GB"/>
        </w:rPr>
        <w:t xml:space="preserve">. </w:t>
      </w:r>
    </w:p>
    <w:p w14:paraId="4D4EF3B4" w14:textId="77777777" w:rsidR="0085295C" w:rsidRDefault="0085295C" w:rsidP="0085295C">
      <w:pPr>
        <w:widowControl w:val="0"/>
        <w:rPr>
          <w:rFonts w:ascii="Calibri" w:hAnsi="Calibri" w:cs="Calibri"/>
          <w:color w:val="18376A"/>
          <w:szCs w:val="30"/>
          <w:highlight w:val="yellow"/>
          <w:lang w:val="en-GB"/>
        </w:rPr>
      </w:pPr>
    </w:p>
    <w:p w14:paraId="500F9F98" w14:textId="531DB66B" w:rsidR="00B36D7A" w:rsidRPr="000868C5" w:rsidRDefault="000868C5" w:rsidP="0080759C">
      <w:pPr>
        <w:widowControl w:val="0"/>
        <w:jc w:val="center"/>
        <w:rPr>
          <w:rFonts w:ascii="Calibri" w:hAnsi="Calibri" w:cs="Calibri"/>
          <w:b/>
          <w:color w:val="auto"/>
          <w:szCs w:val="30"/>
          <w:lang w:val="en-GB"/>
        </w:rPr>
      </w:pPr>
      <w:r w:rsidRPr="000868C5">
        <w:rPr>
          <w:rFonts w:ascii="Calibri" w:hAnsi="Calibri" w:cs="Calibri"/>
          <w:b/>
          <w:color w:val="auto"/>
          <w:szCs w:val="30"/>
          <w:lang w:val="en-GB"/>
        </w:rPr>
        <w:t xml:space="preserve">&lt;Figure </w:t>
      </w:r>
      <w:r w:rsidR="0080759C">
        <w:rPr>
          <w:rFonts w:ascii="Calibri" w:hAnsi="Calibri" w:cs="Calibri"/>
          <w:b/>
          <w:color w:val="auto"/>
          <w:szCs w:val="30"/>
          <w:lang w:val="en-GB"/>
        </w:rPr>
        <w:t>7</w:t>
      </w:r>
      <w:r w:rsidRPr="000868C5">
        <w:rPr>
          <w:rFonts w:ascii="Calibri" w:hAnsi="Calibri" w:cs="Calibri"/>
          <w:b/>
          <w:color w:val="auto"/>
          <w:szCs w:val="30"/>
          <w:lang w:val="en-GB"/>
        </w:rPr>
        <w:t xml:space="preserve"> about here&gt;</w:t>
      </w:r>
    </w:p>
    <w:p w14:paraId="026A609D" w14:textId="08E86ACA" w:rsidR="00B36D7A" w:rsidRPr="008C4E3D" w:rsidRDefault="00B36D7A" w:rsidP="0085295C">
      <w:pPr>
        <w:widowControl w:val="0"/>
        <w:rPr>
          <w:rFonts w:ascii="Calibri" w:hAnsi="Calibri" w:cs="Calibri"/>
          <w:color w:val="18376A"/>
          <w:szCs w:val="30"/>
          <w:highlight w:val="yellow"/>
          <w:lang w:val="en-GB"/>
        </w:rPr>
      </w:pPr>
    </w:p>
    <w:p w14:paraId="68E82DDC" w14:textId="3CC6D68E" w:rsidR="0085295C" w:rsidRDefault="0085295C" w:rsidP="00D23F98">
      <w:pPr>
        <w:rPr>
          <w:lang w:val="en-GB"/>
        </w:rPr>
      </w:pPr>
      <w:r w:rsidRPr="008C4E3D">
        <w:rPr>
          <w:lang w:val="en-GB"/>
        </w:rPr>
        <w:t xml:space="preserve">Figures </w:t>
      </w:r>
      <w:r w:rsidR="0080759C">
        <w:rPr>
          <w:lang w:val="en-GB"/>
        </w:rPr>
        <w:t>8</w:t>
      </w:r>
      <w:r w:rsidRPr="008C4E3D">
        <w:rPr>
          <w:lang w:val="en-GB"/>
        </w:rPr>
        <w:t xml:space="preserve"> and </w:t>
      </w:r>
      <w:r w:rsidR="0080759C">
        <w:rPr>
          <w:lang w:val="en-GB"/>
        </w:rPr>
        <w:t>9</w:t>
      </w:r>
      <w:r w:rsidRPr="008C4E3D">
        <w:rPr>
          <w:lang w:val="en-GB"/>
        </w:rPr>
        <w:t xml:space="preserve"> show how the levels of inbound and outbound visa restrictiveness evolved over the 1973</w:t>
      </w:r>
      <w:r w:rsidR="00DC6838">
        <w:rPr>
          <w:lang w:val="en-GB"/>
        </w:rPr>
        <w:t>–</w:t>
      </w:r>
      <w:r w:rsidRPr="008C4E3D">
        <w:rPr>
          <w:lang w:val="en-GB"/>
        </w:rPr>
        <w:t xml:space="preserve">2013 period. It highlights the overall finding that visa regimes have been rather restrictive and stable. It confirms that levels of inbound restrictiveness are highest and </w:t>
      </w:r>
      <w:r>
        <w:rPr>
          <w:lang w:val="en-GB"/>
        </w:rPr>
        <w:t xml:space="preserve">comparatively </w:t>
      </w:r>
      <w:r w:rsidRPr="008C4E3D">
        <w:rPr>
          <w:lang w:val="en-GB"/>
        </w:rPr>
        <w:t>stable in Africa, Asia and Oceania. For the Americas and Europe these are significantly lower, and show an increasing trend up to the mid</w:t>
      </w:r>
      <w:r>
        <w:rPr>
          <w:lang w:val="en-GB"/>
        </w:rPr>
        <w:t>-</w:t>
      </w:r>
      <w:r w:rsidRPr="008C4E3D">
        <w:rPr>
          <w:lang w:val="en-GB"/>
        </w:rPr>
        <w:t>1990s</w:t>
      </w:r>
      <w:r w:rsidR="00DC6838">
        <w:rPr>
          <w:lang w:val="en-GB"/>
        </w:rPr>
        <w:t>,</w:t>
      </w:r>
      <w:r w:rsidRPr="008C4E3D">
        <w:rPr>
          <w:lang w:val="en-GB"/>
        </w:rPr>
        <w:t xml:space="preserve"> after which they have started to decrease. This overall trend cannot solely be explained by the fall of the Berlin Wall and/or EU </w:t>
      </w:r>
      <w:r>
        <w:rPr>
          <w:lang w:val="en-GB"/>
        </w:rPr>
        <w:t>enlargement</w:t>
      </w:r>
      <w:r w:rsidRPr="008C4E3D">
        <w:rPr>
          <w:lang w:val="en-GB"/>
        </w:rPr>
        <w:t xml:space="preserve">, but also by the striking </w:t>
      </w:r>
      <w:r w:rsidR="00DC6838" w:rsidRPr="008C4E3D">
        <w:rPr>
          <w:lang w:val="en-GB"/>
        </w:rPr>
        <w:t>liberali</w:t>
      </w:r>
      <w:r w:rsidR="00DC6838">
        <w:rPr>
          <w:lang w:val="en-GB"/>
        </w:rPr>
        <w:t>s</w:t>
      </w:r>
      <w:r w:rsidR="00DC6838" w:rsidRPr="008C4E3D">
        <w:rPr>
          <w:lang w:val="en-GB"/>
        </w:rPr>
        <w:t xml:space="preserve">ation </w:t>
      </w:r>
      <w:r w:rsidRPr="008C4E3D">
        <w:rPr>
          <w:lang w:val="en-GB"/>
        </w:rPr>
        <w:t>of Latin American visa regimes. Unsurprisingly, levels of outbound restrictiveness are highest for Asian</w:t>
      </w:r>
      <w:r w:rsidR="00DC6838">
        <w:rPr>
          <w:lang w:val="en-GB"/>
        </w:rPr>
        <w:t>s</w:t>
      </w:r>
      <w:r w:rsidRPr="008C4E3D">
        <w:rPr>
          <w:lang w:val="en-GB"/>
        </w:rPr>
        <w:t xml:space="preserve"> and Africans, where they have </w:t>
      </w:r>
      <w:r w:rsidR="00DC6838">
        <w:rPr>
          <w:lang w:val="en-GB"/>
        </w:rPr>
        <w:t xml:space="preserve">also </w:t>
      </w:r>
      <w:r w:rsidRPr="008C4E3D">
        <w:rPr>
          <w:lang w:val="en-GB"/>
        </w:rPr>
        <w:t>been increasing for Africans. Visa barriers are lower for citizens from other world regions and</w:t>
      </w:r>
      <w:r w:rsidR="00DC6838">
        <w:rPr>
          <w:lang w:val="en-GB"/>
        </w:rPr>
        <w:t>,</w:t>
      </w:r>
      <w:r w:rsidRPr="008C4E3D">
        <w:rPr>
          <w:lang w:val="en-GB"/>
        </w:rPr>
        <w:t xml:space="preserve"> particularly for Europeans</w:t>
      </w:r>
      <w:r w:rsidR="00DC6838">
        <w:rPr>
          <w:lang w:val="en-GB"/>
        </w:rPr>
        <w:t>,</w:t>
      </w:r>
      <w:r w:rsidRPr="008C4E3D">
        <w:rPr>
          <w:lang w:val="en-GB"/>
        </w:rPr>
        <w:t xml:space="preserve"> </w:t>
      </w:r>
      <w:r w:rsidR="00DC6838">
        <w:rPr>
          <w:lang w:val="en-GB"/>
        </w:rPr>
        <w:t>have been decreasing</w:t>
      </w:r>
      <w:r w:rsidRPr="008C4E3D">
        <w:rPr>
          <w:lang w:val="en-GB"/>
        </w:rPr>
        <w:t xml:space="preserve">. </w:t>
      </w:r>
    </w:p>
    <w:p w14:paraId="48641285" w14:textId="77777777" w:rsidR="000868C5" w:rsidRPr="008C4E3D" w:rsidRDefault="000868C5" w:rsidP="00D23F98">
      <w:pPr>
        <w:rPr>
          <w:lang w:val="en-GB"/>
        </w:rPr>
      </w:pPr>
    </w:p>
    <w:p w14:paraId="2A28AF1E" w14:textId="31F5F344" w:rsidR="000868C5" w:rsidRPr="000868C5" w:rsidRDefault="000868C5" w:rsidP="0080759C">
      <w:pPr>
        <w:jc w:val="center"/>
        <w:rPr>
          <w:b/>
          <w:lang w:val="en-GB"/>
        </w:rPr>
      </w:pPr>
      <w:r w:rsidRPr="000868C5">
        <w:rPr>
          <w:b/>
          <w:lang w:val="en-GB"/>
        </w:rPr>
        <w:t xml:space="preserve">&lt;Figures </w:t>
      </w:r>
      <w:r w:rsidR="0080759C">
        <w:rPr>
          <w:b/>
          <w:lang w:val="en-GB"/>
        </w:rPr>
        <w:t>8</w:t>
      </w:r>
      <w:r w:rsidRPr="000868C5">
        <w:rPr>
          <w:b/>
          <w:lang w:val="en-GB"/>
        </w:rPr>
        <w:t xml:space="preserve"> and </w:t>
      </w:r>
      <w:r w:rsidR="0080759C">
        <w:rPr>
          <w:b/>
          <w:lang w:val="en-GB"/>
        </w:rPr>
        <w:t>9</w:t>
      </w:r>
      <w:r w:rsidRPr="000868C5">
        <w:rPr>
          <w:b/>
          <w:lang w:val="en-GB"/>
        </w:rPr>
        <w:t xml:space="preserve"> about here&gt;</w:t>
      </w:r>
    </w:p>
    <w:p w14:paraId="61D10138" w14:textId="77777777" w:rsidR="000868C5" w:rsidRDefault="000868C5" w:rsidP="00D23F98">
      <w:pPr>
        <w:rPr>
          <w:lang w:val="en-GB"/>
        </w:rPr>
      </w:pPr>
    </w:p>
    <w:p w14:paraId="07045ABC" w14:textId="7CB3850C" w:rsidR="0085295C" w:rsidRPr="008C4E3D" w:rsidRDefault="0085295C" w:rsidP="00D23F98">
      <w:pPr>
        <w:rPr>
          <w:lang w:val="en-GB"/>
        </w:rPr>
      </w:pPr>
      <w:r>
        <w:rPr>
          <w:lang w:val="en-GB"/>
        </w:rPr>
        <w:t xml:space="preserve">The results </w:t>
      </w:r>
      <w:r w:rsidRPr="008C4E3D">
        <w:rPr>
          <w:lang w:val="en-GB"/>
        </w:rPr>
        <w:t>confirm the overall patterns observed so far but also show significant intra-regional variation.</w:t>
      </w:r>
      <w:r>
        <w:rPr>
          <w:rStyle w:val="FootnoteReference"/>
          <w:rFonts w:ascii="Garamond" w:hAnsi="Garamond"/>
          <w:lang w:val="en-GB"/>
        </w:rPr>
        <w:footnoteReference w:id="14"/>
      </w:r>
      <w:r w:rsidRPr="008C4E3D">
        <w:rPr>
          <w:lang w:val="en-GB"/>
        </w:rPr>
        <w:t xml:space="preserve"> For the 2000s, within Africa, particularly Western (88</w:t>
      </w:r>
      <w:r w:rsidR="00946FCC">
        <w:rPr>
          <w:lang w:val="en-GB"/>
        </w:rPr>
        <w:t xml:space="preserve"> per cent</w:t>
      </w:r>
      <w:r w:rsidR="00946FCC" w:rsidRPr="008C4E3D">
        <w:rPr>
          <w:lang w:val="en-GB"/>
        </w:rPr>
        <w:t xml:space="preserve">) </w:t>
      </w:r>
      <w:r w:rsidRPr="008C4E3D">
        <w:rPr>
          <w:lang w:val="en-GB"/>
        </w:rPr>
        <w:t>and Central Africa (93</w:t>
      </w:r>
      <w:r w:rsidR="00946FCC">
        <w:rPr>
          <w:lang w:val="en-GB"/>
        </w:rPr>
        <w:t xml:space="preserve"> per </w:t>
      </w:r>
      <w:r w:rsidR="00946FCC">
        <w:rPr>
          <w:lang w:val="en-GB"/>
        </w:rPr>
        <w:lastRenderedPageBreak/>
        <w:t>cent</w:t>
      </w:r>
      <w:r w:rsidR="00946FCC" w:rsidRPr="008C4E3D">
        <w:rPr>
          <w:lang w:val="en-GB"/>
        </w:rPr>
        <w:t xml:space="preserve">) </w:t>
      </w:r>
      <w:r w:rsidRPr="008C4E3D">
        <w:rPr>
          <w:lang w:val="en-GB"/>
        </w:rPr>
        <w:t xml:space="preserve">have extremely </w:t>
      </w:r>
      <w:r w:rsidR="00946FCC">
        <w:rPr>
          <w:lang w:val="en-GB"/>
        </w:rPr>
        <w:t xml:space="preserve">high </w:t>
      </w:r>
      <w:r w:rsidRPr="008C4E3D">
        <w:rPr>
          <w:lang w:val="en-GB"/>
        </w:rPr>
        <w:t>levels of inbound visa restrictiveness, and within Oceania</w:t>
      </w:r>
      <w:r>
        <w:rPr>
          <w:lang w:val="en-GB"/>
        </w:rPr>
        <w:t>,</w:t>
      </w:r>
      <w:r w:rsidRPr="008C4E3D">
        <w:rPr>
          <w:lang w:val="en-GB"/>
        </w:rPr>
        <w:t xml:space="preserve"> Melanesia (86</w:t>
      </w:r>
      <w:r w:rsidR="00946FCC">
        <w:rPr>
          <w:lang w:val="en-GB"/>
        </w:rPr>
        <w:t xml:space="preserve"> per cent</w:t>
      </w:r>
      <w:r w:rsidR="00946FCC" w:rsidRPr="008C4E3D">
        <w:rPr>
          <w:lang w:val="en-GB"/>
        </w:rPr>
        <w:t xml:space="preserve">) </w:t>
      </w:r>
      <w:r w:rsidRPr="008C4E3D">
        <w:rPr>
          <w:lang w:val="en-GB"/>
        </w:rPr>
        <w:t>show high levels of restrictiveness, whereas those levels are lower in Australia and New Zealand. It is remarkable that such contrasting regions as Northern Europe and the Caribbean are the regions with the lowest levels of inbound restrictiveness</w:t>
      </w:r>
      <w:r w:rsidR="00E47581">
        <w:rPr>
          <w:lang w:val="en-GB"/>
        </w:rPr>
        <w:t>,</w:t>
      </w:r>
      <w:r w:rsidRPr="008C4E3D">
        <w:rPr>
          <w:lang w:val="en-GB"/>
        </w:rPr>
        <w:t xml:space="preserve"> of 42</w:t>
      </w:r>
      <w:r w:rsidR="00E47581">
        <w:rPr>
          <w:lang w:val="en-GB"/>
        </w:rPr>
        <w:t xml:space="preserve"> per cent</w:t>
      </w:r>
      <w:r w:rsidR="00E47581" w:rsidRPr="008C4E3D">
        <w:rPr>
          <w:lang w:val="en-GB"/>
        </w:rPr>
        <w:t xml:space="preserve"> </w:t>
      </w:r>
      <w:r w:rsidRPr="008C4E3D">
        <w:rPr>
          <w:lang w:val="en-GB"/>
        </w:rPr>
        <w:t>and 45</w:t>
      </w:r>
      <w:r w:rsidR="00E47581">
        <w:rPr>
          <w:lang w:val="en-GB"/>
        </w:rPr>
        <w:t xml:space="preserve"> per cent</w:t>
      </w:r>
      <w:r w:rsidR="00E47581" w:rsidRPr="008C4E3D">
        <w:rPr>
          <w:lang w:val="en-GB"/>
        </w:rPr>
        <w:t xml:space="preserve">, </w:t>
      </w:r>
      <w:r w:rsidRPr="008C4E3D">
        <w:rPr>
          <w:lang w:val="en-GB"/>
        </w:rPr>
        <w:t>respectively. With regards to outbound restrictiveness, Northern Europeans and North Americans have the lowest levels of outbound visa restrictiveness at levels of 45</w:t>
      </w:r>
      <w:r w:rsidR="003179F8">
        <w:rPr>
          <w:lang w:val="en-GB"/>
        </w:rPr>
        <w:t xml:space="preserve"> per cent</w:t>
      </w:r>
      <w:r w:rsidR="003179F8" w:rsidRPr="008C4E3D">
        <w:rPr>
          <w:lang w:val="en-GB"/>
        </w:rPr>
        <w:t xml:space="preserve"> </w:t>
      </w:r>
      <w:r w:rsidRPr="008C4E3D">
        <w:rPr>
          <w:lang w:val="en-GB"/>
        </w:rPr>
        <w:t>and 44</w:t>
      </w:r>
      <w:r w:rsidR="003179F8">
        <w:rPr>
          <w:lang w:val="en-GB"/>
        </w:rPr>
        <w:t xml:space="preserve"> per cent</w:t>
      </w:r>
      <w:r w:rsidRPr="008C4E3D">
        <w:rPr>
          <w:lang w:val="en-GB"/>
        </w:rPr>
        <w:t xml:space="preserve"> respectively. North and Central Africans and South Asians face the highest </w:t>
      </w:r>
      <w:r w:rsidR="00CE0B8C">
        <w:rPr>
          <w:lang w:val="en-GB"/>
        </w:rPr>
        <w:t xml:space="preserve">travel </w:t>
      </w:r>
      <w:r w:rsidRPr="008C4E3D">
        <w:rPr>
          <w:lang w:val="en-GB"/>
        </w:rPr>
        <w:t>visa barriers with restrictiveness levels hovering around 91</w:t>
      </w:r>
      <w:r w:rsidR="00A44B75">
        <w:rPr>
          <w:lang w:val="en-GB"/>
        </w:rPr>
        <w:t>–</w:t>
      </w:r>
      <w:r w:rsidRPr="008C4E3D">
        <w:rPr>
          <w:lang w:val="en-GB"/>
        </w:rPr>
        <w:t>92</w:t>
      </w:r>
      <w:r w:rsidR="00A44B75">
        <w:rPr>
          <w:lang w:val="en-GB"/>
        </w:rPr>
        <w:t xml:space="preserve"> per cent</w:t>
      </w:r>
      <w:r w:rsidRPr="008C4E3D">
        <w:rPr>
          <w:lang w:val="en-GB"/>
        </w:rPr>
        <w:t xml:space="preserve">. In terms of </w:t>
      </w:r>
      <w:r>
        <w:rPr>
          <w:lang w:val="en-GB"/>
        </w:rPr>
        <w:t xml:space="preserve">the </w:t>
      </w:r>
      <w:r w:rsidRPr="008C4E3D">
        <w:rPr>
          <w:lang w:val="en-GB"/>
        </w:rPr>
        <w:t xml:space="preserve">evolution </w:t>
      </w:r>
      <w:r>
        <w:rPr>
          <w:lang w:val="en-GB"/>
        </w:rPr>
        <w:t xml:space="preserve">of visa regimes </w:t>
      </w:r>
      <w:r w:rsidRPr="008C4E3D">
        <w:rPr>
          <w:lang w:val="en-GB"/>
        </w:rPr>
        <w:t xml:space="preserve">over time, we see </w:t>
      </w:r>
      <w:r>
        <w:rPr>
          <w:lang w:val="en-GB"/>
        </w:rPr>
        <w:t xml:space="preserve">varying </w:t>
      </w:r>
      <w:r w:rsidRPr="008C4E3D">
        <w:rPr>
          <w:lang w:val="en-GB"/>
        </w:rPr>
        <w:t xml:space="preserve">trends, with some regions showing linear </w:t>
      </w:r>
      <w:r w:rsidR="00594C0C">
        <w:rPr>
          <w:lang w:val="en-GB"/>
        </w:rPr>
        <w:t xml:space="preserve">trends </w:t>
      </w:r>
      <w:r w:rsidRPr="008C4E3D">
        <w:rPr>
          <w:lang w:val="en-GB"/>
        </w:rPr>
        <w:t xml:space="preserve">towards opening or closure and other regions showing non-linear trends, such as Southern Asia, Central America and Eastern Europe becoming more restrictive initially and </w:t>
      </w:r>
      <w:r w:rsidR="00594C0C" w:rsidRPr="008C4E3D">
        <w:rPr>
          <w:lang w:val="en-GB"/>
        </w:rPr>
        <w:t>liberali</w:t>
      </w:r>
      <w:r w:rsidR="00594C0C">
        <w:rPr>
          <w:lang w:val="en-GB"/>
        </w:rPr>
        <w:t>s</w:t>
      </w:r>
      <w:r w:rsidR="00594C0C" w:rsidRPr="008C4E3D">
        <w:rPr>
          <w:lang w:val="en-GB"/>
        </w:rPr>
        <w:t xml:space="preserve">ing </w:t>
      </w:r>
      <w:r w:rsidRPr="008C4E3D">
        <w:rPr>
          <w:lang w:val="en-GB"/>
        </w:rPr>
        <w:t xml:space="preserve">in </w:t>
      </w:r>
      <w:r w:rsidR="00594C0C">
        <w:rPr>
          <w:lang w:val="en-GB"/>
        </w:rPr>
        <w:t xml:space="preserve">more </w:t>
      </w:r>
      <w:r w:rsidRPr="008C4E3D">
        <w:rPr>
          <w:lang w:val="en-GB"/>
        </w:rPr>
        <w:t>recent decades.</w:t>
      </w:r>
      <w:r w:rsidR="00CF1F28">
        <w:rPr>
          <w:lang w:val="en-GB"/>
        </w:rPr>
        <w:t xml:space="preserve"> </w:t>
      </w:r>
    </w:p>
    <w:p w14:paraId="4D1993CC" w14:textId="77777777" w:rsidR="0085295C" w:rsidRPr="008C4E3D" w:rsidRDefault="0085295C" w:rsidP="0085295C">
      <w:pPr>
        <w:widowControl w:val="0"/>
        <w:ind w:left="720" w:hanging="720"/>
        <w:rPr>
          <w:rFonts w:ascii="Garamond" w:hAnsi="Garamond"/>
          <w:lang w:val="en-GB"/>
        </w:rPr>
      </w:pPr>
    </w:p>
    <w:p w14:paraId="1D0BE1F2" w14:textId="2CD8D509" w:rsidR="0085295C" w:rsidRPr="000868C5" w:rsidRDefault="000868C5" w:rsidP="0080759C">
      <w:pPr>
        <w:jc w:val="center"/>
        <w:rPr>
          <w:b/>
          <w:lang w:val="en-GB"/>
        </w:rPr>
      </w:pPr>
      <w:r w:rsidRPr="000868C5">
        <w:rPr>
          <w:b/>
          <w:lang w:val="en-GB"/>
        </w:rPr>
        <w:t>&lt;Table 3 about here&gt;</w:t>
      </w:r>
    </w:p>
    <w:p w14:paraId="7CB6397E" w14:textId="77777777" w:rsidR="000868C5" w:rsidRPr="008C4E3D" w:rsidRDefault="000868C5" w:rsidP="00D23F98">
      <w:pPr>
        <w:rPr>
          <w:lang w:val="en-GB"/>
        </w:rPr>
      </w:pPr>
    </w:p>
    <w:p w14:paraId="6BE7B07E" w14:textId="4382531E" w:rsidR="0085295C" w:rsidRPr="008C4E3D" w:rsidRDefault="0085295C" w:rsidP="00D23F98">
      <w:pPr>
        <w:rPr>
          <w:lang w:val="en-GB"/>
        </w:rPr>
      </w:pPr>
      <w:r w:rsidRPr="008C4E3D">
        <w:rPr>
          <w:lang w:val="en-GB"/>
        </w:rPr>
        <w:t xml:space="preserve">Table 3 displays </w:t>
      </w:r>
      <w:r>
        <w:rPr>
          <w:lang w:val="en-GB"/>
        </w:rPr>
        <w:t xml:space="preserve">a typology of </w:t>
      </w:r>
      <w:r w:rsidRPr="008C4E3D">
        <w:rPr>
          <w:lang w:val="en-GB"/>
        </w:rPr>
        <w:t xml:space="preserve">four categories </w:t>
      </w:r>
      <w:r>
        <w:rPr>
          <w:lang w:val="en-GB"/>
        </w:rPr>
        <w:t>combining</w:t>
      </w:r>
      <w:r w:rsidRPr="008C4E3D">
        <w:rPr>
          <w:lang w:val="en-GB"/>
        </w:rPr>
        <w:t xml:space="preserve"> in</w:t>
      </w:r>
      <w:r w:rsidR="00030B6C">
        <w:rPr>
          <w:lang w:val="en-GB"/>
        </w:rPr>
        <w:t>bound</w:t>
      </w:r>
      <w:r w:rsidR="00030B6C" w:rsidRPr="008C4E3D">
        <w:rPr>
          <w:lang w:val="en-GB"/>
        </w:rPr>
        <w:t xml:space="preserve"> </w:t>
      </w:r>
      <w:r w:rsidRPr="008C4E3D">
        <w:rPr>
          <w:lang w:val="en-GB"/>
        </w:rPr>
        <w:t xml:space="preserve">and outbound </w:t>
      </w:r>
      <w:r w:rsidR="00550815">
        <w:rPr>
          <w:lang w:val="en-GB"/>
        </w:rPr>
        <w:t xml:space="preserve">travel </w:t>
      </w:r>
      <w:r w:rsidRPr="008C4E3D">
        <w:rPr>
          <w:lang w:val="en-GB"/>
        </w:rPr>
        <w:t>restrictiveness for 20 world regions. Interestingly, most ‘Western’ world regions</w:t>
      </w:r>
      <w:r>
        <w:rPr>
          <w:lang w:val="en-GB"/>
        </w:rPr>
        <w:t>,</w:t>
      </w:r>
      <w:r w:rsidRPr="008C4E3D">
        <w:rPr>
          <w:lang w:val="en-GB"/>
        </w:rPr>
        <w:t xml:space="preserve"> including the Caribbean</w:t>
      </w:r>
      <w:r>
        <w:rPr>
          <w:lang w:val="en-GB"/>
        </w:rPr>
        <w:t>,</w:t>
      </w:r>
      <w:r w:rsidRPr="008C4E3D">
        <w:rPr>
          <w:lang w:val="en-GB"/>
        </w:rPr>
        <w:t xml:space="preserve"> are </w:t>
      </w:r>
      <w:r w:rsidR="00030B6C" w:rsidRPr="008C4E3D">
        <w:rPr>
          <w:lang w:val="en-GB"/>
        </w:rPr>
        <w:t>characteri</w:t>
      </w:r>
      <w:r w:rsidR="00030B6C">
        <w:rPr>
          <w:lang w:val="en-GB"/>
        </w:rPr>
        <w:t>s</w:t>
      </w:r>
      <w:r w:rsidR="00030B6C" w:rsidRPr="008C4E3D">
        <w:rPr>
          <w:lang w:val="en-GB"/>
        </w:rPr>
        <w:t xml:space="preserve">ed </w:t>
      </w:r>
      <w:r w:rsidRPr="008C4E3D">
        <w:rPr>
          <w:lang w:val="en-GB"/>
        </w:rPr>
        <w:t>by relatively low overall levels of visa restrictiveness</w:t>
      </w:r>
      <w:r>
        <w:rPr>
          <w:lang w:val="en-GB"/>
        </w:rPr>
        <w:t xml:space="preserve">, </w:t>
      </w:r>
      <w:r w:rsidRPr="008C4E3D">
        <w:rPr>
          <w:lang w:val="en-GB"/>
        </w:rPr>
        <w:t>with levels</w:t>
      </w:r>
      <w:r>
        <w:rPr>
          <w:lang w:val="en-GB"/>
        </w:rPr>
        <w:t xml:space="preserve"> of both inbound and outbound</w:t>
      </w:r>
      <w:r w:rsidR="00CF1F28">
        <w:rPr>
          <w:lang w:val="en-GB"/>
        </w:rPr>
        <w:t xml:space="preserve"> </w:t>
      </w:r>
      <w:r>
        <w:rPr>
          <w:lang w:val="en-GB"/>
        </w:rPr>
        <w:t>visa restrictiveness</w:t>
      </w:r>
      <w:r w:rsidRPr="008C4E3D">
        <w:rPr>
          <w:lang w:val="en-GB"/>
        </w:rPr>
        <w:t xml:space="preserve"> significantly below global averages</w:t>
      </w:r>
      <w:r>
        <w:rPr>
          <w:lang w:val="en-GB"/>
        </w:rPr>
        <w:t xml:space="preserve">. </w:t>
      </w:r>
      <w:r w:rsidRPr="008C4E3D">
        <w:rPr>
          <w:lang w:val="en-GB"/>
        </w:rPr>
        <w:t xml:space="preserve">While various African and Asian regions ‘respond’ to high levels of outbound restrictiveness with equally restrictive levels of inbound policies, South and Central American regions are rather </w:t>
      </w:r>
      <w:r w:rsidR="00030B6C" w:rsidRPr="008C4E3D">
        <w:rPr>
          <w:lang w:val="en-GB"/>
        </w:rPr>
        <w:t>characteri</w:t>
      </w:r>
      <w:r w:rsidR="00030B6C">
        <w:rPr>
          <w:lang w:val="en-GB"/>
        </w:rPr>
        <w:t>s</w:t>
      </w:r>
      <w:r w:rsidR="00030B6C" w:rsidRPr="008C4E3D">
        <w:rPr>
          <w:lang w:val="en-GB"/>
        </w:rPr>
        <w:t xml:space="preserve">ed </w:t>
      </w:r>
      <w:r w:rsidRPr="008C4E3D">
        <w:rPr>
          <w:lang w:val="en-GB"/>
        </w:rPr>
        <w:t xml:space="preserve">by high levels of inbound restrictiveness (mostly towards non-Western citizens) while enjoying relatively low levels of outbound restrictiveness. </w:t>
      </w:r>
      <w:r w:rsidRPr="008C4E3D">
        <w:rPr>
          <w:rFonts w:cs="Calibri"/>
          <w:lang w:val="en-GB"/>
        </w:rPr>
        <w:t xml:space="preserve">Finally, citizens of North and East Africa, South-East and South Asia face relatively high visa obstacles </w:t>
      </w:r>
      <w:r w:rsidR="00030B6C">
        <w:rPr>
          <w:rFonts w:cs="Calibri"/>
          <w:lang w:val="en-GB"/>
        </w:rPr>
        <w:t>to</w:t>
      </w:r>
      <w:r w:rsidR="00030B6C" w:rsidRPr="008C4E3D">
        <w:rPr>
          <w:rFonts w:cs="Calibri"/>
          <w:lang w:val="en-GB"/>
        </w:rPr>
        <w:t xml:space="preserve"> </w:t>
      </w:r>
      <w:r w:rsidRPr="008C4E3D">
        <w:rPr>
          <w:rFonts w:cs="Calibri"/>
          <w:lang w:val="en-GB"/>
        </w:rPr>
        <w:t xml:space="preserve">travelling abroad, but these </w:t>
      </w:r>
      <w:r w:rsidR="00B64C32">
        <w:rPr>
          <w:rFonts w:cs="Calibri"/>
          <w:lang w:val="en-GB"/>
        </w:rPr>
        <w:t xml:space="preserve">regions </w:t>
      </w:r>
      <w:r w:rsidRPr="008C4E3D">
        <w:rPr>
          <w:rFonts w:cs="Calibri"/>
          <w:lang w:val="en-GB"/>
        </w:rPr>
        <w:t xml:space="preserve">are comparatively open to </w:t>
      </w:r>
      <w:r w:rsidR="00B64C32">
        <w:rPr>
          <w:rFonts w:cs="Calibri"/>
          <w:lang w:val="en-GB"/>
        </w:rPr>
        <w:t xml:space="preserve">the </w:t>
      </w:r>
      <w:r w:rsidRPr="008C4E3D">
        <w:rPr>
          <w:rFonts w:cs="Calibri"/>
          <w:lang w:val="en-GB"/>
        </w:rPr>
        <w:t xml:space="preserve">inbound visa-free travel of foreigners. </w:t>
      </w:r>
    </w:p>
    <w:p w14:paraId="326AB8BA" w14:textId="7640FFB8" w:rsidR="0085295C" w:rsidRPr="008C4E3D" w:rsidRDefault="0085295C" w:rsidP="00C51AC7">
      <w:pPr>
        <w:ind w:firstLine="720"/>
        <w:rPr>
          <w:lang w:val="en-GB"/>
        </w:rPr>
      </w:pPr>
      <w:r>
        <w:rPr>
          <w:lang w:val="en-GB"/>
        </w:rPr>
        <w:t>F</w:t>
      </w:r>
      <w:r w:rsidRPr="008C4E3D">
        <w:rPr>
          <w:lang w:val="en-GB"/>
        </w:rPr>
        <w:t>urther challeng</w:t>
      </w:r>
      <w:r>
        <w:rPr>
          <w:lang w:val="en-GB"/>
        </w:rPr>
        <w:t xml:space="preserve">ing </w:t>
      </w:r>
      <w:r w:rsidRPr="008C4E3D">
        <w:rPr>
          <w:lang w:val="en-GB"/>
        </w:rPr>
        <w:t>the idea that there is a clear-cut ‘global mobility divide’ between citizens of comparative</w:t>
      </w:r>
      <w:r>
        <w:rPr>
          <w:lang w:val="en-GB"/>
        </w:rPr>
        <w:t>ly wealthy and poor countries, F</w:t>
      </w:r>
      <w:r w:rsidRPr="008C4E3D">
        <w:rPr>
          <w:lang w:val="en-GB"/>
        </w:rPr>
        <w:t>igure</w:t>
      </w:r>
      <w:r>
        <w:rPr>
          <w:lang w:val="en-GB"/>
        </w:rPr>
        <w:t>s</w:t>
      </w:r>
      <w:r w:rsidRPr="008C4E3D">
        <w:rPr>
          <w:lang w:val="en-GB"/>
        </w:rPr>
        <w:t xml:space="preserve"> </w:t>
      </w:r>
      <w:r w:rsidR="0080759C">
        <w:rPr>
          <w:lang w:val="en-GB"/>
        </w:rPr>
        <w:t>10</w:t>
      </w:r>
      <w:r w:rsidRPr="008C4E3D">
        <w:rPr>
          <w:lang w:val="en-GB"/>
        </w:rPr>
        <w:t xml:space="preserve"> and </w:t>
      </w:r>
      <w:r>
        <w:rPr>
          <w:lang w:val="en-GB"/>
        </w:rPr>
        <w:t>1</w:t>
      </w:r>
      <w:r w:rsidR="0080759C">
        <w:rPr>
          <w:lang w:val="en-GB"/>
        </w:rPr>
        <w:t>1</w:t>
      </w:r>
      <w:r w:rsidRPr="008C4E3D">
        <w:rPr>
          <w:lang w:val="en-GB"/>
        </w:rPr>
        <w:t xml:space="preserve"> show trends of visa restrictiveness for citizens of OECD countries taken together. Figure </w:t>
      </w:r>
      <w:r w:rsidR="0080759C">
        <w:rPr>
          <w:lang w:val="en-GB"/>
        </w:rPr>
        <w:t>10</w:t>
      </w:r>
      <w:r w:rsidRPr="008C4E3D">
        <w:rPr>
          <w:lang w:val="en-GB"/>
        </w:rPr>
        <w:t xml:space="preserve"> shows that OECD citizens barely need visas to travel to either the Americas or Europe</w:t>
      </w:r>
      <w:r>
        <w:rPr>
          <w:lang w:val="en-GB"/>
        </w:rPr>
        <w:t xml:space="preserve">, with </w:t>
      </w:r>
      <w:r w:rsidRPr="008C4E3D">
        <w:rPr>
          <w:lang w:val="en-GB"/>
        </w:rPr>
        <w:t xml:space="preserve">restrictiveness levels </w:t>
      </w:r>
      <w:r>
        <w:rPr>
          <w:lang w:val="en-GB"/>
        </w:rPr>
        <w:t xml:space="preserve">dropping </w:t>
      </w:r>
      <w:r w:rsidRPr="008C4E3D">
        <w:rPr>
          <w:lang w:val="en-GB"/>
        </w:rPr>
        <w:t xml:space="preserve">from </w:t>
      </w:r>
      <w:r>
        <w:rPr>
          <w:lang w:val="en-GB"/>
        </w:rPr>
        <w:t xml:space="preserve">an already low level of </w:t>
      </w:r>
      <w:r w:rsidRPr="008C4E3D">
        <w:rPr>
          <w:lang w:val="en-GB"/>
        </w:rPr>
        <w:t>20</w:t>
      </w:r>
      <w:r w:rsidR="00B64C32">
        <w:rPr>
          <w:lang w:val="en-GB"/>
        </w:rPr>
        <w:t>–</w:t>
      </w:r>
      <w:r w:rsidRPr="008C4E3D">
        <w:rPr>
          <w:lang w:val="en-GB"/>
        </w:rPr>
        <w:t>30</w:t>
      </w:r>
      <w:r w:rsidR="00B64C32">
        <w:rPr>
          <w:lang w:val="en-GB"/>
        </w:rPr>
        <w:t xml:space="preserve"> per cent</w:t>
      </w:r>
      <w:r w:rsidRPr="008C4E3D">
        <w:rPr>
          <w:lang w:val="en-GB"/>
        </w:rPr>
        <w:t xml:space="preserve"> in 1973 to below 10</w:t>
      </w:r>
      <w:r w:rsidR="00B64C32">
        <w:rPr>
          <w:lang w:val="en-GB"/>
        </w:rPr>
        <w:t xml:space="preserve"> per cent</w:t>
      </w:r>
      <w:r w:rsidRPr="008C4E3D">
        <w:rPr>
          <w:lang w:val="en-GB"/>
        </w:rPr>
        <w:t xml:space="preserve"> in 2013. This </w:t>
      </w:r>
      <w:r>
        <w:rPr>
          <w:lang w:val="en-GB"/>
        </w:rPr>
        <w:t xml:space="preserve">reflects the fact </w:t>
      </w:r>
      <w:r w:rsidRPr="008C4E3D">
        <w:rPr>
          <w:lang w:val="en-GB"/>
        </w:rPr>
        <w:t xml:space="preserve">that OECD countries have </w:t>
      </w:r>
      <w:r w:rsidR="00197CC8">
        <w:rPr>
          <w:lang w:val="en-GB"/>
        </w:rPr>
        <w:t>removed</w:t>
      </w:r>
      <w:r w:rsidR="00197CC8" w:rsidRPr="008C4E3D">
        <w:rPr>
          <w:lang w:val="en-GB"/>
        </w:rPr>
        <w:t xml:space="preserve"> </w:t>
      </w:r>
      <w:r w:rsidRPr="008C4E3D">
        <w:rPr>
          <w:lang w:val="en-GB"/>
        </w:rPr>
        <w:t>visa barriers amongst each other in the first place</w:t>
      </w:r>
      <w:r>
        <w:rPr>
          <w:lang w:val="en-GB"/>
        </w:rPr>
        <w:t>. At the same time,</w:t>
      </w:r>
      <w:r w:rsidRPr="008C4E3D">
        <w:rPr>
          <w:lang w:val="en-GB"/>
        </w:rPr>
        <w:t xml:space="preserve"> visa-constrained entry of OECD citizens into African and Asian countries has remained invariably high at levels of at least 65</w:t>
      </w:r>
      <w:r w:rsidR="00197CC8">
        <w:rPr>
          <w:lang w:val="en-GB"/>
        </w:rPr>
        <w:t xml:space="preserve"> per cent, </w:t>
      </w:r>
      <w:r>
        <w:rPr>
          <w:lang w:val="en-GB"/>
        </w:rPr>
        <w:t xml:space="preserve">while </w:t>
      </w:r>
      <w:r w:rsidRPr="008C4E3D">
        <w:rPr>
          <w:lang w:val="en-GB"/>
        </w:rPr>
        <w:t>this level has been even increasing, particularly in Africa, reaching levels of around 80</w:t>
      </w:r>
      <w:r w:rsidR="00197CC8">
        <w:rPr>
          <w:lang w:val="en-GB"/>
        </w:rPr>
        <w:t xml:space="preserve"> per cent</w:t>
      </w:r>
      <w:r w:rsidR="00197CC8" w:rsidRPr="008C4E3D">
        <w:rPr>
          <w:lang w:val="en-GB"/>
        </w:rPr>
        <w:t xml:space="preserve">. </w:t>
      </w:r>
      <w:r w:rsidRPr="008C4E3D">
        <w:rPr>
          <w:lang w:val="en-GB"/>
        </w:rPr>
        <w:t>Consequently, the assumption that citizens of wealthy countries can travel freely over the world is indeed</w:t>
      </w:r>
      <w:r>
        <w:rPr>
          <w:lang w:val="en-GB"/>
        </w:rPr>
        <w:t xml:space="preserve"> flawed </w:t>
      </w:r>
      <w:r w:rsidRPr="008C4E3D">
        <w:rPr>
          <w:lang w:val="en-GB"/>
        </w:rPr>
        <w:t>as suggested in the introduction of this paper</w:t>
      </w:r>
      <w:r>
        <w:rPr>
          <w:lang w:val="en-GB"/>
        </w:rPr>
        <w:t>, although one can say that they can travel freely to most countries they tend to travel to.</w:t>
      </w:r>
    </w:p>
    <w:p w14:paraId="1828A31B" w14:textId="77777777" w:rsidR="000868C5" w:rsidRDefault="000868C5" w:rsidP="00D23F98">
      <w:pPr>
        <w:rPr>
          <w:lang w:val="en-GB"/>
        </w:rPr>
      </w:pPr>
    </w:p>
    <w:p w14:paraId="6A0606B1" w14:textId="369F38AB" w:rsidR="000868C5" w:rsidRPr="000868C5" w:rsidRDefault="000868C5" w:rsidP="0080759C">
      <w:pPr>
        <w:jc w:val="center"/>
        <w:rPr>
          <w:b/>
          <w:lang w:val="en-GB"/>
        </w:rPr>
      </w:pPr>
      <w:r w:rsidRPr="000868C5">
        <w:rPr>
          <w:b/>
          <w:lang w:val="en-GB"/>
        </w:rPr>
        <w:t xml:space="preserve">&lt;Figure </w:t>
      </w:r>
      <w:r w:rsidR="0080759C">
        <w:rPr>
          <w:b/>
          <w:lang w:val="en-GB"/>
        </w:rPr>
        <w:t>10</w:t>
      </w:r>
      <w:r w:rsidRPr="000868C5">
        <w:rPr>
          <w:b/>
          <w:lang w:val="en-GB"/>
        </w:rPr>
        <w:t xml:space="preserve"> about here&gt;</w:t>
      </w:r>
    </w:p>
    <w:p w14:paraId="1473E4EF" w14:textId="154DD7A8" w:rsidR="0085295C" w:rsidRDefault="00D23F98" w:rsidP="00D23F98">
      <w:pPr>
        <w:rPr>
          <w:lang w:val="en-GB"/>
        </w:rPr>
      </w:pPr>
      <w:r>
        <w:rPr>
          <w:lang w:val="en-GB"/>
        </w:rPr>
        <w:br/>
      </w:r>
      <w:r w:rsidR="0085295C" w:rsidRPr="008C4E3D">
        <w:rPr>
          <w:lang w:val="en-GB"/>
        </w:rPr>
        <w:t xml:space="preserve">Figure </w:t>
      </w:r>
      <w:r w:rsidR="0085295C">
        <w:rPr>
          <w:lang w:val="en-GB"/>
        </w:rPr>
        <w:t>1</w:t>
      </w:r>
      <w:r w:rsidR="0080759C">
        <w:rPr>
          <w:lang w:val="en-GB"/>
        </w:rPr>
        <w:t>1</w:t>
      </w:r>
      <w:r w:rsidR="0085295C" w:rsidRPr="008C4E3D">
        <w:rPr>
          <w:lang w:val="en-GB"/>
        </w:rPr>
        <w:t xml:space="preserve"> assesses at the evolution of the level of visa constraints for people travelling to OECD countries. It replicates earlier findings that Asians and Africans face the highest constraints of entering OECD countries. Trends for Asians have been relatively stable (varying around 82</w:t>
      </w:r>
      <w:r w:rsidR="00BB5AFD">
        <w:rPr>
          <w:lang w:val="en-GB"/>
        </w:rPr>
        <w:t xml:space="preserve"> per cent</w:t>
      </w:r>
      <w:r w:rsidR="00BB5AFD" w:rsidRPr="008C4E3D">
        <w:rPr>
          <w:lang w:val="en-GB"/>
        </w:rPr>
        <w:t>)</w:t>
      </w:r>
      <w:r w:rsidR="00BB5AFD">
        <w:rPr>
          <w:lang w:val="en-GB"/>
        </w:rPr>
        <w:t xml:space="preserve">. </w:t>
      </w:r>
      <w:r w:rsidR="0085295C">
        <w:rPr>
          <w:lang w:val="en-GB"/>
        </w:rPr>
        <w:t xml:space="preserve">Trends for African citizens are </w:t>
      </w:r>
      <w:r w:rsidR="0085295C" w:rsidRPr="008C4E3D">
        <w:rPr>
          <w:lang w:val="en-GB"/>
        </w:rPr>
        <w:t xml:space="preserve">slightly hump-shaped, </w:t>
      </w:r>
      <w:r w:rsidR="0085295C">
        <w:rPr>
          <w:lang w:val="en-GB"/>
        </w:rPr>
        <w:t xml:space="preserve">with </w:t>
      </w:r>
      <w:r w:rsidR="0085295C" w:rsidRPr="008C4E3D">
        <w:rPr>
          <w:lang w:val="en-GB"/>
        </w:rPr>
        <w:t xml:space="preserve">visa-restrictiveness </w:t>
      </w:r>
      <w:r w:rsidR="0085295C">
        <w:rPr>
          <w:lang w:val="en-GB"/>
        </w:rPr>
        <w:t xml:space="preserve">levels </w:t>
      </w:r>
      <w:r w:rsidR="0085295C" w:rsidRPr="008C4E3D">
        <w:rPr>
          <w:lang w:val="en-GB"/>
        </w:rPr>
        <w:t>increasing from 73</w:t>
      </w:r>
      <w:r w:rsidR="00114E3C">
        <w:rPr>
          <w:lang w:val="en-GB"/>
        </w:rPr>
        <w:t xml:space="preserve"> per cent</w:t>
      </w:r>
      <w:r w:rsidR="00114E3C" w:rsidRPr="008C4E3D">
        <w:rPr>
          <w:lang w:val="en-GB"/>
        </w:rPr>
        <w:t xml:space="preserve"> </w:t>
      </w:r>
      <w:r w:rsidR="0085295C" w:rsidRPr="008C4E3D">
        <w:rPr>
          <w:lang w:val="en-GB"/>
        </w:rPr>
        <w:t>in 1973 before plateauing at levels of around 93</w:t>
      </w:r>
      <w:r w:rsidR="00114E3C">
        <w:rPr>
          <w:lang w:val="en-GB"/>
        </w:rPr>
        <w:t xml:space="preserve"> per cent</w:t>
      </w:r>
      <w:r w:rsidR="00114E3C" w:rsidRPr="008C4E3D">
        <w:rPr>
          <w:lang w:val="en-GB"/>
        </w:rPr>
        <w:t xml:space="preserve"> </w:t>
      </w:r>
      <w:r w:rsidR="0085295C" w:rsidRPr="008C4E3D">
        <w:rPr>
          <w:lang w:val="en-GB"/>
        </w:rPr>
        <w:t xml:space="preserve">in the early 1990s, with only a minor decrease since 2010. As expected, Europeans and Americans have greatest ease of travel to (other) </w:t>
      </w:r>
      <w:r w:rsidR="0085295C" w:rsidRPr="008C4E3D">
        <w:rPr>
          <w:lang w:val="en-GB"/>
        </w:rPr>
        <w:lastRenderedPageBreak/>
        <w:t xml:space="preserve">OECD countries, reflecting the idea that the visa </w:t>
      </w:r>
      <w:r w:rsidR="00114E3C" w:rsidRPr="008C4E3D">
        <w:rPr>
          <w:lang w:val="en-GB"/>
        </w:rPr>
        <w:t>liberali</w:t>
      </w:r>
      <w:r w:rsidR="00114E3C">
        <w:rPr>
          <w:lang w:val="en-GB"/>
        </w:rPr>
        <w:t>s</w:t>
      </w:r>
      <w:r w:rsidR="00114E3C" w:rsidRPr="008C4E3D">
        <w:rPr>
          <w:lang w:val="en-GB"/>
        </w:rPr>
        <w:t xml:space="preserve">ation </w:t>
      </w:r>
      <w:r w:rsidR="0085295C" w:rsidRPr="008C4E3D">
        <w:rPr>
          <w:lang w:val="en-GB"/>
        </w:rPr>
        <w:t xml:space="preserve">has been to a significant extent an intra-American, intra-European and intra-OECD affair. In fact, </w:t>
      </w:r>
      <w:r w:rsidR="0085295C">
        <w:rPr>
          <w:lang w:val="en-GB"/>
        </w:rPr>
        <w:t xml:space="preserve">citizens from most </w:t>
      </w:r>
      <w:r w:rsidR="0085295C" w:rsidRPr="008C4E3D">
        <w:rPr>
          <w:lang w:val="en-GB"/>
        </w:rPr>
        <w:t>Asian and African countries have remained</w:t>
      </w:r>
      <w:r w:rsidR="0085295C">
        <w:rPr>
          <w:lang w:val="en-GB"/>
        </w:rPr>
        <w:t xml:space="preserve"> </w:t>
      </w:r>
      <w:r w:rsidR="0085295C" w:rsidRPr="008C4E3D">
        <w:rPr>
          <w:lang w:val="en-GB"/>
        </w:rPr>
        <w:t xml:space="preserve">excluded </w:t>
      </w:r>
      <w:r w:rsidR="0085295C">
        <w:rPr>
          <w:lang w:val="en-GB"/>
        </w:rPr>
        <w:t>from free travel at comparatively high levels.</w:t>
      </w:r>
      <w:r w:rsidR="00CF1F28">
        <w:rPr>
          <w:lang w:val="en-GB"/>
        </w:rPr>
        <w:t xml:space="preserve"> </w:t>
      </w:r>
    </w:p>
    <w:p w14:paraId="03C6C3F6" w14:textId="77777777" w:rsidR="000868C5" w:rsidRDefault="000868C5" w:rsidP="00D23F98">
      <w:pPr>
        <w:rPr>
          <w:lang w:val="en-GB"/>
        </w:rPr>
      </w:pPr>
    </w:p>
    <w:p w14:paraId="44589A50" w14:textId="66571235" w:rsidR="000868C5" w:rsidRPr="000868C5" w:rsidRDefault="000868C5" w:rsidP="0080759C">
      <w:pPr>
        <w:jc w:val="center"/>
        <w:rPr>
          <w:b/>
          <w:lang w:val="en-GB"/>
        </w:rPr>
      </w:pPr>
      <w:r w:rsidRPr="000868C5">
        <w:rPr>
          <w:b/>
          <w:lang w:val="en-GB"/>
        </w:rPr>
        <w:t>&lt;Figure 1</w:t>
      </w:r>
      <w:r w:rsidR="0080759C">
        <w:rPr>
          <w:b/>
          <w:lang w:val="en-GB"/>
        </w:rPr>
        <w:t>1</w:t>
      </w:r>
      <w:r w:rsidRPr="000868C5">
        <w:rPr>
          <w:b/>
          <w:lang w:val="en-GB"/>
        </w:rPr>
        <w:t xml:space="preserve"> about here&gt;</w:t>
      </w:r>
    </w:p>
    <w:p w14:paraId="7B5870E8" w14:textId="77777777" w:rsidR="000868C5" w:rsidRDefault="000868C5" w:rsidP="00D23F98">
      <w:pPr>
        <w:rPr>
          <w:lang w:val="en-GB"/>
        </w:rPr>
      </w:pPr>
    </w:p>
    <w:p w14:paraId="0AF06B7F" w14:textId="77777777" w:rsidR="000868C5" w:rsidRPr="008C4E3D" w:rsidRDefault="000868C5" w:rsidP="00D23F98">
      <w:pPr>
        <w:rPr>
          <w:lang w:val="en-GB"/>
        </w:rPr>
      </w:pPr>
    </w:p>
    <w:p w14:paraId="21066A4A" w14:textId="77777777" w:rsidR="0085295C" w:rsidRPr="008C4E3D" w:rsidRDefault="0085295C" w:rsidP="00D23F98">
      <w:pPr>
        <w:pStyle w:val="Heading1"/>
      </w:pPr>
      <w:r w:rsidRPr="008C4E3D">
        <w:t xml:space="preserve">Regional free mobility clusters </w:t>
      </w:r>
    </w:p>
    <w:p w14:paraId="0E285A60" w14:textId="356274B7" w:rsidR="0085295C" w:rsidRPr="008C4E3D" w:rsidRDefault="0085295C" w:rsidP="00D23F98">
      <w:pPr>
        <w:rPr>
          <w:lang w:val="en-GB"/>
        </w:rPr>
      </w:pPr>
      <w:r w:rsidRPr="008C4E3D">
        <w:rPr>
          <w:lang w:val="en-GB"/>
        </w:rPr>
        <w:t>In order to further a</w:t>
      </w:r>
      <w:r>
        <w:rPr>
          <w:lang w:val="en-GB"/>
        </w:rPr>
        <w:t>nalyse regional visa dynamics, F</w:t>
      </w:r>
      <w:r w:rsidRPr="008C4E3D">
        <w:rPr>
          <w:lang w:val="en-GB"/>
        </w:rPr>
        <w:t xml:space="preserve">igure </w:t>
      </w:r>
      <w:r>
        <w:rPr>
          <w:lang w:val="en-GB"/>
        </w:rPr>
        <w:t>1</w:t>
      </w:r>
      <w:r w:rsidR="0080759C">
        <w:rPr>
          <w:lang w:val="en-GB"/>
        </w:rPr>
        <w:t>2</w:t>
      </w:r>
      <w:r w:rsidRPr="008C4E3D">
        <w:rPr>
          <w:lang w:val="en-GB"/>
        </w:rPr>
        <w:t xml:space="preserve"> compares average levels</w:t>
      </w:r>
      <w:r w:rsidR="00114E3C">
        <w:rPr>
          <w:lang w:val="en-GB"/>
        </w:rPr>
        <w:t xml:space="preserve"> of</w:t>
      </w:r>
      <w:r w:rsidRPr="008C4E3D">
        <w:rPr>
          <w:lang w:val="en-GB"/>
        </w:rPr>
        <w:t xml:space="preserve"> </w:t>
      </w:r>
      <w:r w:rsidRPr="008C4E3D">
        <w:rPr>
          <w:i/>
          <w:lang w:val="en-GB"/>
        </w:rPr>
        <w:t>internal</w:t>
      </w:r>
      <w:r w:rsidRPr="008C4E3D">
        <w:rPr>
          <w:lang w:val="en-GB"/>
        </w:rPr>
        <w:t xml:space="preserve"> and </w:t>
      </w:r>
      <w:r w:rsidRPr="008C4E3D">
        <w:rPr>
          <w:i/>
          <w:lang w:val="en-GB"/>
        </w:rPr>
        <w:t>external</w:t>
      </w:r>
      <w:r w:rsidRPr="008C4E3D">
        <w:rPr>
          <w:lang w:val="en-GB"/>
        </w:rPr>
        <w:t xml:space="preserve"> inbound visa restrictiveness for 20 regional economic blocs over the 1973</w:t>
      </w:r>
      <w:r w:rsidR="00114E3C">
        <w:rPr>
          <w:lang w:val="en-GB"/>
        </w:rPr>
        <w:t>–</w:t>
      </w:r>
      <w:r w:rsidRPr="008C4E3D">
        <w:rPr>
          <w:lang w:val="en-GB"/>
        </w:rPr>
        <w:t>2013 period. Internal visa restrictiveness measure</w:t>
      </w:r>
      <w:r w:rsidR="00114E3C">
        <w:rPr>
          <w:lang w:val="en-GB"/>
        </w:rPr>
        <w:t>s</w:t>
      </w:r>
      <w:r w:rsidRPr="008C4E3D">
        <w:rPr>
          <w:lang w:val="en-GB"/>
        </w:rPr>
        <w:t xml:space="preserve"> the extent to which citizens from other member countries need travel visa</w:t>
      </w:r>
      <w:r w:rsidR="00114E3C">
        <w:rPr>
          <w:lang w:val="en-GB"/>
        </w:rPr>
        <w:t>s</w:t>
      </w:r>
      <w:r w:rsidRPr="008C4E3D">
        <w:rPr>
          <w:lang w:val="en-GB"/>
        </w:rPr>
        <w:t>, and external visa restrictiveness applies to visa requirements for citizens from non-member or so-called ‘third’ countries. The economic blocs have been ordered by level of internal restrictiveness. It shows that the most ‘advanced’ or ‘integrated’ regional unions in terms of implementation of visa-free travel are the EU/</w:t>
      </w:r>
      <w:r w:rsidR="00114E3C">
        <w:rPr>
          <w:lang w:val="en-GB"/>
        </w:rPr>
        <w:t>European Free Trade Association (EFTA)</w:t>
      </w:r>
      <w:r w:rsidRPr="008C4E3D">
        <w:rPr>
          <w:lang w:val="en-GB"/>
        </w:rPr>
        <w:t xml:space="preserve"> and the GCC, but also </w:t>
      </w:r>
      <w:r w:rsidR="00114E3C">
        <w:rPr>
          <w:lang w:val="en-GB"/>
        </w:rPr>
        <w:t>the Caribbean Community (</w:t>
      </w:r>
      <w:r w:rsidRPr="008C4E3D">
        <w:rPr>
          <w:lang w:val="en-GB"/>
        </w:rPr>
        <w:t>CARICOM</w:t>
      </w:r>
      <w:r w:rsidR="00114E3C">
        <w:rPr>
          <w:lang w:val="en-GB"/>
        </w:rPr>
        <w:t>)</w:t>
      </w:r>
      <w:r w:rsidRPr="008C4E3D">
        <w:rPr>
          <w:lang w:val="en-GB"/>
        </w:rPr>
        <w:t xml:space="preserve">, </w:t>
      </w:r>
      <w:r w:rsidR="00114E3C">
        <w:rPr>
          <w:lang w:val="en-GB"/>
        </w:rPr>
        <w:t xml:space="preserve">the </w:t>
      </w:r>
      <w:r w:rsidRPr="008C4E3D">
        <w:rPr>
          <w:lang w:val="en-GB"/>
        </w:rPr>
        <w:t>Southern African Customs Union</w:t>
      </w:r>
      <w:r w:rsidR="00114E3C">
        <w:rPr>
          <w:lang w:val="en-GB"/>
        </w:rPr>
        <w:t xml:space="preserve"> (SACU</w:t>
      </w:r>
      <w:r w:rsidRPr="008C4E3D">
        <w:rPr>
          <w:lang w:val="en-GB"/>
        </w:rPr>
        <w:t xml:space="preserve">), MERCOSUR, CIS, </w:t>
      </w:r>
      <w:r w:rsidR="00114E3C">
        <w:rPr>
          <w:lang w:val="en-GB"/>
        </w:rPr>
        <w:t xml:space="preserve">the </w:t>
      </w:r>
      <w:r w:rsidRPr="008C4E3D">
        <w:rPr>
          <w:lang w:val="en-GB"/>
        </w:rPr>
        <w:t>Central American Common Market</w:t>
      </w:r>
      <w:r w:rsidR="00114E3C">
        <w:rPr>
          <w:lang w:val="en-GB"/>
        </w:rPr>
        <w:t xml:space="preserve"> (CACM</w:t>
      </w:r>
      <w:r w:rsidRPr="008C4E3D">
        <w:rPr>
          <w:lang w:val="en-GB"/>
        </w:rPr>
        <w:t xml:space="preserve">), ECOWAS and </w:t>
      </w:r>
      <w:r w:rsidR="00114E3C">
        <w:rPr>
          <w:lang w:val="en-GB"/>
        </w:rPr>
        <w:t xml:space="preserve">the </w:t>
      </w:r>
      <w:r w:rsidRPr="008C4E3D">
        <w:rPr>
          <w:lang w:val="en-GB"/>
        </w:rPr>
        <w:t>Central European Free Trade Agreement</w:t>
      </w:r>
      <w:r w:rsidR="00114E3C">
        <w:rPr>
          <w:lang w:val="en-GB"/>
        </w:rPr>
        <w:t xml:space="preserve"> (CEFTA</w:t>
      </w:r>
      <w:r w:rsidRPr="008C4E3D">
        <w:rPr>
          <w:lang w:val="en-GB"/>
        </w:rPr>
        <w:t>) have low levels of internal visa restrictiveness below 20</w:t>
      </w:r>
      <w:r w:rsidR="00114E3C">
        <w:rPr>
          <w:lang w:val="en-GB"/>
        </w:rPr>
        <w:t xml:space="preserve"> per cent</w:t>
      </w:r>
      <w:r w:rsidR="00114E3C" w:rsidRPr="008C4E3D">
        <w:rPr>
          <w:lang w:val="en-GB"/>
        </w:rPr>
        <w:t>.</w:t>
      </w:r>
      <w:r w:rsidR="00114E3C">
        <w:rPr>
          <w:rStyle w:val="FootnoteReference"/>
          <w:rFonts w:ascii="Garamond" w:hAnsi="Garamond"/>
          <w:lang w:val="en-GB"/>
        </w:rPr>
        <w:footnoteReference w:id="15"/>
      </w:r>
      <w:r w:rsidR="00114E3C" w:rsidRPr="008C4E3D">
        <w:rPr>
          <w:lang w:val="en-GB"/>
        </w:rPr>
        <w:t xml:space="preserve"> </w:t>
      </w:r>
    </w:p>
    <w:p w14:paraId="3D1FBEE9" w14:textId="18DF7BD5" w:rsidR="0085295C" w:rsidRPr="008C4E3D" w:rsidRDefault="0085295C" w:rsidP="00C51AC7">
      <w:pPr>
        <w:ind w:firstLine="720"/>
        <w:rPr>
          <w:lang w:val="en-GB"/>
        </w:rPr>
      </w:pPr>
      <w:r w:rsidRPr="008C4E3D">
        <w:rPr>
          <w:lang w:val="en-GB"/>
        </w:rPr>
        <w:t xml:space="preserve">By contrast, some other regional economic blocs show very high levels of internal </w:t>
      </w:r>
      <w:r w:rsidR="00550815">
        <w:rPr>
          <w:lang w:val="en-GB"/>
        </w:rPr>
        <w:t xml:space="preserve">travel </w:t>
      </w:r>
      <w:r w:rsidRPr="008C4E3D">
        <w:rPr>
          <w:lang w:val="en-GB"/>
        </w:rPr>
        <w:t>restrictiveness exceeding 60</w:t>
      </w:r>
      <w:r w:rsidR="006B06C5">
        <w:rPr>
          <w:lang w:val="en-GB"/>
        </w:rPr>
        <w:t xml:space="preserve"> per cent</w:t>
      </w:r>
      <w:r w:rsidR="006B06C5" w:rsidRPr="008C4E3D">
        <w:rPr>
          <w:lang w:val="en-GB"/>
        </w:rPr>
        <w:t xml:space="preserve"> </w:t>
      </w:r>
      <w:r w:rsidRPr="008C4E3D">
        <w:rPr>
          <w:lang w:val="en-GB"/>
        </w:rPr>
        <w:t>including</w:t>
      </w:r>
      <w:r w:rsidR="005A13ED">
        <w:rPr>
          <w:lang w:val="en-GB"/>
        </w:rPr>
        <w:t xml:space="preserve"> the</w:t>
      </w:r>
      <w:r w:rsidRPr="008C4E3D">
        <w:rPr>
          <w:lang w:val="en-GB"/>
        </w:rPr>
        <w:t xml:space="preserve"> Pan-Arab Free Trade Area</w:t>
      </w:r>
      <w:r w:rsidR="005A13ED">
        <w:rPr>
          <w:lang w:val="en-GB"/>
        </w:rPr>
        <w:t xml:space="preserve"> (PAFTA</w:t>
      </w:r>
      <w:r w:rsidRPr="008C4E3D">
        <w:rPr>
          <w:lang w:val="en-GB"/>
        </w:rPr>
        <w:t xml:space="preserve">), </w:t>
      </w:r>
      <w:r w:rsidR="005A13ED">
        <w:rPr>
          <w:lang w:val="en-GB"/>
        </w:rPr>
        <w:t xml:space="preserve">the </w:t>
      </w:r>
      <w:r w:rsidRPr="008C4E3D">
        <w:rPr>
          <w:lang w:val="en-GB"/>
        </w:rPr>
        <w:t>South Asian Free Trade Agreement</w:t>
      </w:r>
      <w:r w:rsidR="005A13ED">
        <w:rPr>
          <w:lang w:val="en-GB"/>
        </w:rPr>
        <w:t xml:space="preserve"> (SAFTA</w:t>
      </w:r>
      <w:r w:rsidRPr="008C4E3D">
        <w:rPr>
          <w:lang w:val="en-GB"/>
        </w:rPr>
        <w:t xml:space="preserve">), </w:t>
      </w:r>
      <w:r w:rsidR="005A13ED">
        <w:rPr>
          <w:lang w:val="en-GB"/>
        </w:rPr>
        <w:t xml:space="preserve">the </w:t>
      </w:r>
      <w:r w:rsidRPr="008C4E3D">
        <w:rPr>
          <w:lang w:val="en-GB"/>
        </w:rPr>
        <w:t>Asia Pacific Trade Agreement</w:t>
      </w:r>
      <w:r w:rsidR="005A13ED">
        <w:rPr>
          <w:lang w:val="en-GB"/>
        </w:rPr>
        <w:t xml:space="preserve"> (APTA</w:t>
      </w:r>
      <w:r w:rsidRPr="008C4E3D">
        <w:rPr>
          <w:lang w:val="en-GB"/>
        </w:rPr>
        <w:t xml:space="preserve">) and </w:t>
      </w:r>
      <w:r w:rsidR="005A13ED">
        <w:rPr>
          <w:lang w:val="en-GB"/>
        </w:rPr>
        <w:t xml:space="preserve">the </w:t>
      </w:r>
      <w:r w:rsidRPr="008C4E3D">
        <w:rPr>
          <w:lang w:val="en-GB"/>
        </w:rPr>
        <w:t>Common Market for Eastern and Southern Africa</w:t>
      </w:r>
      <w:r w:rsidR="005A13ED">
        <w:rPr>
          <w:lang w:val="en-GB"/>
        </w:rPr>
        <w:t xml:space="preserve"> (COMESA</w:t>
      </w:r>
      <w:r w:rsidRPr="008C4E3D">
        <w:rPr>
          <w:lang w:val="en-GB"/>
        </w:rPr>
        <w:t xml:space="preserve">). </w:t>
      </w:r>
      <w:r w:rsidR="005A13ED">
        <w:rPr>
          <w:lang w:val="en-GB"/>
        </w:rPr>
        <w:t>T</w:t>
      </w:r>
      <w:r w:rsidRPr="008C4E3D">
        <w:rPr>
          <w:lang w:val="en-GB"/>
        </w:rPr>
        <w:t xml:space="preserve">hese unions </w:t>
      </w:r>
      <w:r w:rsidR="005A13ED">
        <w:rPr>
          <w:lang w:val="en-GB"/>
        </w:rPr>
        <w:t xml:space="preserve">either </w:t>
      </w:r>
      <w:r w:rsidRPr="008C4E3D">
        <w:rPr>
          <w:lang w:val="en-GB"/>
        </w:rPr>
        <w:t xml:space="preserve">do not aim </w:t>
      </w:r>
      <w:r w:rsidR="005A13ED">
        <w:rPr>
          <w:lang w:val="en-GB"/>
        </w:rPr>
        <w:t xml:space="preserve">to </w:t>
      </w:r>
      <w:r w:rsidRPr="008C4E3D">
        <w:rPr>
          <w:lang w:val="en-GB"/>
        </w:rPr>
        <w:t xml:space="preserve">or are yet to implement free mobility, as is also exemplified by the small differences with external restrictiveness. This shows a clear pattern, with the stronger and more successful regional blocs showing </w:t>
      </w:r>
      <w:r w:rsidR="005A13ED">
        <w:rPr>
          <w:lang w:val="en-GB"/>
        </w:rPr>
        <w:t xml:space="preserve">considerable </w:t>
      </w:r>
      <w:r w:rsidRPr="008C4E3D">
        <w:rPr>
          <w:lang w:val="en-GB"/>
        </w:rPr>
        <w:t xml:space="preserve">differences between internal and external restrictiveness. We could perhaps say that the contrast between internal opening and external closure shows the strength of such clustering and regional unions, as internal </w:t>
      </w:r>
      <w:r w:rsidR="005A13ED">
        <w:rPr>
          <w:lang w:val="en-GB"/>
        </w:rPr>
        <w:t>freedom</w:t>
      </w:r>
      <w:r w:rsidR="005A13ED" w:rsidRPr="008C4E3D">
        <w:rPr>
          <w:lang w:val="en-GB"/>
        </w:rPr>
        <w:t xml:space="preserve"> </w:t>
      </w:r>
      <w:r w:rsidRPr="008C4E3D">
        <w:rPr>
          <w:lang w:val="en-GB"/>
        </w:rPr>
        <w:t>of mobility indeed requires common rules and restrictions on external mobility. This demonstrates the multi-polarity of the global visa regime which cannot be reduced to a simple contrast between ‘North’ and ‘South’, but need</w:t>
      </w:r>
      <w:r w:rsidR="005A13ED">
        <w:rPr>
          <w:lang w:val="en-GB"/>
        </w:rPr>
        <w:t>s</w:t>
      </w:r>
      <w:r w:rsidRPr="008C4E3D">
        <w:rPr>
          <w:lang w:val="en-GB"/>
        </w:rPr>
        <w:t xml:space="preserve"> to be understood </w:t>
      </w:r>
      <w:r w:rsidR="005A13ED">
        <w:rPr>
          <w:lang w:val="en-GB"/>
        </w:rPr>
        <w:t>at</w:t>
      </w:r>
      <w:r w:rsidR="005A13ED" w:rsidRPr="008C4E3D">
        <w:rPr>
          <w:lang w:val="en-GB"/>
        </w:rPr>
        <w:t xml:space="preserve"> </w:t>
      </w:r>
      <w:r w:rsidRPr="008C4E3D">
        <w:rPr>
          <w:lang w:val="en-GB"/>
        </w:rPr>
        <w:t>the regional and sub-regional level, where we see clear free mobility clusters showing strong trends of external closure.</w:t>
      </w:r>
      <w:r w:rsidR="00CF1F28">
        <w:rPr>
          <w:lang w:val="en-GB"/>
        </w:rPr>
        <w:t xml:space="preserve"> </w:t>
      </w:r>
    </w:p>
    <w:p w14:paraId="77AC28D6" w14:textId="77777777" w:rsidR="000868C5" w:rsidRDefault="000868C5" w:rsidP="00D23F98">
      <w:pPr>
        <w:rPr>
          <w:lang w:val="en-GB"/>
        </w:rPr>
      </w:pPr>
    </w:p>
    <w:p w14:paraId="0EB9197B" w14:textId="1D2454D1" w:rsidR="000868C5" w:rsidRPr="000868C5" w:rsidRDefault="000868C5" w:rsidP="0080759C">
      <w:pPr>
        <w:jc w:val="center"/>
        <w:rPr>
          <w:b/>
          <w:lang w:val="en-GB"/>
        </w:rPr>
      </w:pPr>
      <w:r w:rsidRPr="000868C5">
        <w:rPr>
          <w:b/>
          <w:lang w:val="en-GB"/>
        </w:rPr>
        <w:t>&lt;Figure 1</w:t>
      </w:r>
      <w:r w:rsidR="0080759C">
        <w:rPr>
          <w:b/>
          <w:lang w:val="en-GB"/>
        </w:rPr>
        <w:t>2</w:t>
      </w:r>
      <w:r w:rsidRPr="000868C5">
        <w:rPr>
          <w:b/>
          <w:lang w:val="en-GB"/>
        </w:rPr>
        <w:t xml:space="preserve"> about here&gt;</w:t>
      </w:r>
    </w:p>
    <w:p w14:paraId="22A77ED3" w14:textId="77777777" w:rsidR="000868C5" w:rsidRDefault="000868C5" w:rsidP="00D23F98">
      <w:pPr>
        <w:rPr>
          <w:lang w:val="en-GB"/>
        </w:rPr>
      </w:pPr>
    </w:p>
    <w:p w14:paraId="31422593" w14:textId="15D6A295" w:rsidR="0085295C" w:rsidRPr="008C4E3D" w:rsidRDefault="0085295C" w:rsidP="00D23F98">
      <w:pPr>
        <w:rPr>
          <w:rFonts w:cs="Calibri"/>
          <w:b/>
          <w:lang w:val="en-GB"/>
        </w:rPr>
      </w:pPr>
      <w:r w:rsidRPr="008C4E3D">
        <w:rPr>
          <w:lang w:val="en-GB"/>
        </w:rPr>
        <w:t xml:space="preserve">In order to </w:t>
      </w:r>
      <w:r>
        <w:rPr>
          <w:lang w:val="en-GB"/>
        </w:rPr>
        <w:t xml:space="preserve">further investigate </w:t>
      </w:r>
      <w:r w:rsidRPr="008C4E3D">
        <w:rPr>
          <w:lang w:val="en-GB"/>
        </w:rPr>
        <w:t>the evolution of the</w:t>
      </w:r>
      <w:r>
        <w:rPr>
          <w:lang w:val="en-GB"/>
        </w:rPr>
        <w:t xml:space="preserve"> interrelated processes of</w:t>
      </w:r>
      <w:r w:rsidRPr="008C4E3D">
        <w:rPr>
          <w:lang w:val="en-GB"/>
        </w:rPr>
        <w:t xml:space="preserve"> </w:t>
      </w:r>
      <w:r>
        <w:rPr>
          <w:lang w:val="en-GB"/>
        </w:rPr>
        <w:t xml:space="preserve">internal </w:t>
      </w:r>
      <w:r w:rsidRPr="008C4E3D">
        <w:rPr>
          <w:lang w:val="en-GB"/>
        </w:rPr>
        <w:t xml:space="preserve">opening and </w:t>
      </w:r>
      <w:r>
        <w:rPr>
          <w:lang w:val="en-GB"/>
        </w:rPr>
        <w:t xml:space="preserve">external closure </w:t>
      </w:r>
      <w:r w:rsidRPr="008C4E3D">
        <w:rPr>
          <w:lang w:val="en-GB"/>
        </w:rPr>
        <w:t xml:space="preserve">of </w:t>
      </w:r>
      <w:r>
        <w:rPr>
          <w:lang w:val="en-GB"/>
        </w:rPr>
        <w:t xml:space="preserve">such </w:t>
      </w:r>
      <w:r w:rsidRPr="008C4E3D">
        <w:rPr>
          <w:lang w:val="en-GB"/>
        </w:rPr>
        <w:t>regional</w:t>
      </w:r>
      <w:r>
        <w:rPr>
          <w:lang w:val="en-GB"/>
        </w:rPr>
        <w:t xml:space="preserve"> clusters</w:t>
      </w:r>
      <w:r w:rsidRPr="008C4E3D">
        <w:rPr>
          <w:lang w:val="en-GB"/>
        </w:rPr>
        <w:t>, we have zoomed in</w:t>
      </w:r>
      <w:r>
        <w:rPr>
          <w:lang w:val="en-GB"/>
        </w:rPr>
        <w:t xml:space="preserve"> on</w:t>
      </w:r>
      <w:r w:rsidRPr="008C4E3D">
        <w:rPr>
          <w:lang w:val="en-GB"/>
        </w:rPr>
        <w:t xml:space="preserve"> the dynamics in the EU, ASEAN and ECOWAS regions. Figure </w:t>
      </w:r>
      <w:r>
        <w:rPr>
          <w:lang w:val="en-GB"/>
        </w:rPr>
        <w:t>1</w:t>
      </w:r>
      <w:r w:rsidR="0080759C">
        <w:rPr>
          <w:lang w:val="en-GB"/>
        </w:rPr>
        <w:t>3</w:t>
      </w:r>
      <w:r w:rsidRPr="008C4E3D">
        <w:rPr>
          <w:lang w:val="en-GB"/>
        </w:rPr>
        <w:t xml:space="preserve"> shows how internal </w:t>
      </w:r>
      <w:r>
        <w:rPr>
          <w:lang w:val="en-GB"/>
        </w:rPr>
        <w:t xml:space="preserve">visa openness </w:t>
      </w:r>
      <w:r w:rsidRPr="008C4E3D">
        <w:rPr>
          <w:lang w:val="en-GB"/>
        </w:rPr>
        <w:t>among member</w:t>
      </w:r>
      <w:r>
        <w:rPr>
          <w:lang w:val="en-GB"/>
        </w:rPr>
        <w:t xml:space="preserve"> state</w:t>
      </w:r>
      <w:r w:rsidRPr="008C4E3D">
        <w:rPr>
          <w:lang w:val="en-GB"/>
        </w:rPr>
        <w:t>s does not necessarily</w:t>
      </w:r>
      <w:r>
        <w:rPr>
          <w:lang w:val="en-GB"/>
        </w:rPr>
        <w:t xml:space="preserve"> coincide</w:t>
      </w:r>
      <w:r w:rsidRPr="008C4E3D">
        <w:rPr>
          <w:lang w:val="en-GB"/>
        </w:rPr>
        <w:t xml:space="preserve"> </w:t>
      </w:r>
      <w:r>
        <w:rPr>
          <w:lang w:val="en-GB"/>
        </w:rPr>
        <w:t>with an</w:t>
      </w:r>
      <w:r w:rsidRPr="0023707F">
        <w:rPr>
          <w:i/>
          <w:lang w:val="en-GB"/>
        </w:rPr>
        <w:t xml:space="preserve"> increasing</w:t>
      </w:r>
      <w:r w:rsidRPr="008C4E3D">
        <w:rPr>
          <w:lang w:val="en-GB"/>
        </w:rPr>
        <w:t xml:space="preserve"> external closure towards non-members</w:t>
      </w:r>
      <w:r>
        <w:rPr>
          <w:lang w:val="en-GB"/>
        </w:rPr>
        <w:t>, mainly because this external closure was already very high</w:t>
      </w:r>
      <w:r w:rsidRPr="008C4E3D">
        <w:rPr>
          <w:lang w:val="en-GB"/>
        </w:rPr>
        <w:t xml:space="preserve">. </w:t>
      </w:r>
      <w:r>
        <w:rPr>
          <w:lang w:val="en-GB"/>
        </w:rPr>
        <w:t xml:space="preserve">Thus, regional integration is mainly expressed through </w:t>
      </w:r>
      <w:r>
        <w:rPr>
          <w:lang w:val="en-GB"/>
        </w:rPr>
        <w:lastRenderedPageBreak/>
        <w:t xml:space="preserve">internal opening through free travel while external closure is maintained at high levels. </w:t>
      </w:r>
      <w:r w:rsidRPr="008C4E3D">
        <w:rPr>
          <w:lang w:val="en-GB"/>
        </w:rPr>
        <w:t xml:space="preserve">For example, the case of the EU shows that </w:t>
      </w:r>
      <w:r>
        <w:rPr>
          <w:lang w:val="en-GB"/>
        </w:rPr>
        <w:t xml:space="preserve">inbound visa restrictiveness </w:t>
      </w:r>
      <w:r w:rsidRPr="008C4E3D">
        <w:rPr>
          <w:lang w:val="en-GB"/>
        </w:rPr>
        <w:t xml:space="preserve">towards </w:t>
      </w:r>
      <w:r>
        <w:rPr>
          <w:lang w:val="en-GB"/>
        </w:rPr>
        <w:t xml:space="preserve">citizens of </w:t>
      </w:r>
      <w:r w:rsidRPr="008C4E3D">
        <w:rPr>
          <w:lang w:val="en-GB"/>
        </w:rPr>
        <w:t>non-member</w:t>
      </w:r>
      <w:r>
        <w:rPr>
          <w:lang w:val="en-GB"/>
        </w:rPr>
        <w:t xml:space="preserve"> state</w:t>
      </w:r>
      <w:r w:rsidRPr="008C4E3D">
        <w:rPr>
          <w:lang w:val="en-GB"/>
        </w:rPr>
        <w:t>s have remained relatively stable over</w:t>
      </w:r>
      <w:r>
        <w:rPr>
          <w:lang w:val="en-GB"/>
        </w:rPr>
        <w:t xml:space="preserve"> </w:t>
      </w:r>
      <w:r w:rsidRPr="008C4E3D">
        <w:rPr>
          <w:lang w:val="en-GB"/>
        </w:rPr>
        <w:t xml:space="preserve">time, </w:t>
      </w:r>
      <w:r>
        <w:rPr>
          <w:lang w:val="en-GB"/>
        </w:rPr>
        <w:t xml:space="preserve">both before and after EU enlargement and </w:t>
      </w:r>
      <w:r w:rsidRPr="008C4E3D">
        <w:rPr>
          <w:lang w:val="en-GB"/>
        </w:rPr>
        <w:t xml:space="preserve">internal opening. A similar pattern occurs for ECOWAS (although with a </w:t>
      </w:r>
      <w:r>
        <w:rPr>
          <w:lang w:val="en-GB"/>
        </w:rPr>
        <w:t xml:space="preserve">more sudden </w:t>
      </w:r>
      <w:r w:rsidRPr="008C4E3D">
        <w:rPr>
          <w:lang w:val="en-GB"/>
        </w:rPr>
        <w:t xml:space="preserve">shift in openness for its members than in the </w:t>
      </w:r>
      <w:r>
        <w:rPr>
          <w:lang w:val="en-GB"/>
        </w:rPr>
        <w:t xml:space="preserve">case of the </w:t>
      </w:r>
      <w:r w:rsidRPr="008C4E3D">
        <w:rPr>
          <w:lang w:val="en-GB"/>
        </w:rPr>
        <w:t>EU</w:t>
      </w:r>
      <w:r>
        <w:rPr>
          <w:lang w:val="en-GB"/>
        </w:rPr>
        <w:t>, where the enlargement process was a more stretched-out process</w:t>
      </w:r>
      <w:r w:rsidRPr="008C4E3D">
        <w:rPr>
          <w:lang w:val="en-GB"/>
        </w:rPr>
        <w:t xml:space="preserve">); and for ASEAN, where external closure </w:t>
      </w:r>
      <w:r>
        <w:rPr>
          <w:lang w:val="en-GB"/>
        </w:rPr>
        <w:t xml:space="preserve">has not further increased </w:t>
      </w:r>
      <w:r w:rsidRPr="008C4E3D">
        <w:rPr>
          <w:lang w:val="en-GB"/>
        </w:rPr>
        <w:t>with internal open</w:t>
      </w:r>
      <w:r>
        <w:rPr>
          <w:lang w:val="en-GB"/>
        </w:rPr>
        <w:t>ing, but has rather been maintained at high levels</w:t>
      </w:r>
      <w:r w:rsidRPr="008C4E3D">
        <w:rPr>
          <w:lang w:val="en-GB"/>
        </w:rPr>
        <w:t xml:space="preserve">. </w:t>
      </w:r>
    </w:p>
    <w:p w14:paraId="51A8467A" w14:textId="77777777" w:rsidR="0085295C" w:rsidRPr="008C4E3D" w:rsidRDefault="0085295C" w:rsidP="0085295C">
      <w:pPr>
        <w:widowControl w:val="0"/>
        <w:ind w:left="720" w:hanging="720"/>
        <w:rPr>
          <w:rFonts w:ascii="Garamond" w:hAnsi="Garamond" w:cs="Calibri"/>
          <w:b/>
          <w:lang w:val="en-GB"/>
        </w:rPr>
      </w:pPr>
    </w:p>
    <w:p w14:paraId="50029817" w14:textId="6627DAA2" w:rsidR="0085295C" w:rsidRPr="000868C5" w:rsidRDefault="000868C5" w:rsidP="0080759C">
      <w:pPr>
        <w:widowControl w:val="0"/>
        <w:ind w:left="720" w:hanging="720"/>
        <w:jc w:val="center"/>
        <w:rPr>
          <w:rFonts w:ascii="Garamond" w:hAnsi="Garamond"/>
          <w:b/>
          <w:lang w:val="en-GB"/>
        </w:rPr>
      </w:pPr>
      <w:r w:rsidRPr="000868C5">
        <w:rPr>
          <w:rFonts w:ascii="Garamond" w:hAnsi="Garamond"/>
          <w:b/>
          <w:lang w:val="en-GB"/>
        </w:rPr>
        <w:t>&lt;Figure 1</w:t>
      </w:r>
      <w:r w:rsidR="0080759C">
        <w:rPr>
          <w:rFonts w:ascii="Garamond" w:hAnsi="Garamond"/>
          <w:b/>
          <w:lang w:val="en-GB"/>
        </w:rPr>
        <w:t>3</w:t>
      </w:r>
      <w:r w:rsidRPr="000868C5">
        <w:rPr>
          <w:rFonts w:ascii="Garamond" w:hAnsi="Garamond"/>
          <w:b/>
          <w:lang w:val="en-GB"/>
        </w:rPr>
        <w:t xml:space="preserve"> about here&gt;</w:t>
      </w:r>
    </w:p>
    <w:p w14:paraId="779CBE17" w14:textId="77777777" w:rsidR="000868C5" w:rsidRPr="008C4E3D" w:rsidRDefault="000868C5" w:rsidP="0085295C">
      <w:pPr>
        <w:widowControl w:val="0"/>
        <w:ind w:left="720" w:hanging="720"/>
        <w:rPr>
          <w:rFonts w:ascii="Garamond" w:hAnsi="Garamond"/>
          <w:lang w:val="en-GB"/>
        </w:rPr>
      </w:pPr>
    </w:p>
    <w:p w14:paraId="0E91980E" w14:textId="46C4A6BE" w:rsidR="0085295C" w:rsidRPr="008C4E3D" w:rsidRDefault="0085295C" w:rsidP="00D23F98">
      <w:pPr>
        <w:rPr>
          <w:lang w:val="en-GB"/>
        </w:rPr>
      </w:pPr>
      <w:r w:rsidRPr="008C4E3D">
        <w:rPr>
          <w:lang w:val="en-GB"/>
        </w:rPr>
        <w:t>The idea that global visa regimes, instead of following a dichotomous global North</w:t>
      </w:r>
      <w:r w:rsidR="00BA6F2F">
        <w:rPr>
          <w:lang w:val="en-GB"/>
        </w:rPr>
        <w:t>–</w:t>
      </w:r>
      <w:r w:rsidRPr="008C4E3D">
        <w:rPr>
          <w:lang w:val="en-GB"/>
        </w:rPr>
        <w:t xml:space="preserve">South mobility divide, should rather be </w:t>
      </w:r>
      <w:r w:rsidR="00BA6F2F" w:rsidRPr="008C4E3D">
        <w:rPr>
          <w:lang w:val="en-GB"/>
        </w:rPr>
        <w:t>conceptuali</w:t>
      </w:r>
      <w:r w:rsidR="00BA6F2F">
        <w:rPr>
          <w:lang w:val="en-GB"/>
        </w:rPr>
        <w:t>s</w:t>
      </w:r>
      <w:r w:rsidR="00BA6F2F" w:rsidRPr="008C4E3D">
        <w:rPr>
          <w:lang w:val="en-GB"/>
        </w:rPr>
        <w:t xml:space="preserve">ed </w:t>
      </w:r>
      <w:r w:rsidRPr="008C4E3D">
        <w:rPr>
          <w:lang w:val="en-GB"/>
        </w:rPr>
        <w:t>as a pattern of partly geographically separate (e.g. GCC, ECOWAS), partly geographically overlapping (e.g. EC with OECD), regional clusters where internal opening coexists</w:t>
      </w:r>
      <w:r>
        <w:rPr>
          <w:lang w:val="en-GB"/>
        </w:rPr>
        <w:t xml:space="preserve"> with,</w:t>
      </w:r>
      <w:r w:rsidRPr="008C4E3D">
        <w:rPr>
          <w:lang w:val="en-GB"/>
        </w:rPr>
        <w:t xml:space="preserve"> and is partly functionally contingent on, external clos</w:t>
      </w:r>
      <w:r>
        <w:rPr>
          <w:lang w:val="en-GB"/>
        </w:rPr>
        <w:t>ure</w:t>
      </w:r>
      <w:r w:rsidRPr="008C4E3D">
        <w:rPr>
          <w:lang w:val="en-GB"/>
        </w:rPr>
        <w:t>, is further reinf</w:t>
      </w:r>
      <w:r>
        <w:rPr>
          <w:lang w:val="en-GB"/>
        </w:rPr>
        <w:t>orced by the data presented in T</w:t>
      </w:r>
      <w:r w:rsidRPr="008C4E3D">
        <w:rPr>
          <w:lang w:val="en-GB"/>
        </w:rPr>
        <w:t xml:space="preserve">able </w:t>
      </w:r>
      <w:r>
        <w:rPr>
          <w:lang w:val="en-GB"/>
        </w:rPr>
        <w:t>4</w:t>
      </w:r>
      <w:r w:rsidRPr="008C4E3D">
        <w:rPr>
          <w:lang w:val="en-GB"/>
        </w:rPr>
        <w:t>, which show that only 40.1</w:t>
      </w:r>
      <w:r w:rsidR="00BA6F2F">
        <w:rPr>
          <w:lang w:val="en-GB"/>
        </w:rPr>
        <w:t xml:space="preserve"> per cent</w:t>
      </w:r>
      <w:r w:rsidRPr="008C4E3D">
        <w:rPr>
          <w:lang w:val="en-GB"/>
        </w:rPr>
        <w:t xml:space="preserve"> of geographically contiguous countr</w:t>
      </w:r>
      <w:r w:rsidR="00030755">
        <w:rPr>
          <w:lang w:val="en-GB"/>
        </w:rPr>
        <w:t>y-dyads</w:t>
      </w:r>
      <w:r w:rsidRPr="008C4E3D">
        <w:rPr>
          <w:lang w:val="en-GB"/>
        </w:rPr>
        <w:t xml:space="preserve"> are visa constrained, compared to 72.2</w:t>
      </w:r>
      <w:r w:rsidR="00BA6F2F">
        <w:rPr>
          <w:lang w:val="en-GB"/>
        </w:rPr>
        <w:t xml:space="preserve"> per cent</w:t>
      </w:r>
      <w:r w:rsidR="00BA6F2F" w:rsidRPr="008C4E3D">
        <w:rPr>
          <w:lang w:val="en-GB"/>
        </w:rPr>
        <w:t xml:space="preserve"> </w:t>
      </w:r>
      <w:r w:rsidRPr="008C4E3D">
        <w:rPr>
          <w:lang w:val="en-GB"/>
        </w:rPr>
        <w:t>of the non-geographically contiguous countr</w:t>
      </w:r>
      <w:r w:rsidR="00030755">
        <w:rPr>
          <w:lang w:val="en-GB"/>
        </w:rPr>
        <w:t>y dyads</w:t>
      </w:r>
      <w:r w:rsidRPr="008C4E3D">
        <w:rPr>
          <w:lang w:val="en-GB"/>
        </w:rPr>
        <w:t>.</w:t>
      </w:r>
      <w:r w:rsidR="00575707">
        <w:rPr>
          <w:rStyle w:val="FootnoteReference"/>
          <w:lang w:val="en-GB"/>
        </w:rPr>
        <w:footnoteReference w:id="16"/>
      </w:r>
      <w:r w:rsidRPr="008C4E3D">
        <w:rPr>
          <w:lang w:val="en-GB"/>
        </w:rPr>
        <w:t xml:space="preserve"> </w:t>
      </w:r>
    </w:p>
    <w:p w14:paraId="02830192" w14:textId="77777777" w:rsidR="0085295C" w:rsidRPr="000868C5" w:rsidRDefault="0085295C" w:rsidP="0085295C">
      <w:pPr>
        <w:rPr>
          <w:rFonts w:ascii="Garamond" w:hAnsi="Garamond"/>
          <w:b/>
          <w:color w:val="auto"/>
          <w:sz w:val="20"/>
          <w:szCs w:val="20"/>
          <w:lang w:val="en-GB"/>
        </w:rPr>
      </w:pPr>
    </w:p>
    <w:p w14:paraId="5D3EDEC4" w14:textId="130118E7" w:rsidR="0085295C" w:rsidRPr="005516E3" w:rsidRDefault="000868C5" w:rsidP="0080759C">
      <w:pPr>
        <w:widowControl w:val="0"/>
        <w:jc w:val="center"/>
        <w:rPr>
          <w:rFonts w:ascii="Garamond" w:hAnsi="Garamond" w:cs="Calibri"/>
          <w:b/>
          <w:color w:val="auto"/>
          <w:sz w:val="24"/>
          <w:lang w:val="en-GB"/>
        </w:rPr>
      </w:pPr>
      <w:r w:rsidRPr="005516E3">
        <w:rPr>
          <w:rFonts w:ascii="Garamond" w:hAnsi="Garamond" w:cs="Calibri"/>
          <w:b/>
          <w:color w:val="auto"/>
          <w:sz w:val="24"/>
          <w:lang w:val="en-GB"/>
        </w:rPr>
        <w:t>&lt;Table 4 about here&gt;</w:t>
      </w:r>
    </w:p>
    <w:p w14:paraId="5BDC1296" w14:textId="77777777" w:rsidR="00E61D4F" w:rsidRDefault="00E61D4F">
      <w:pPr>
        <w:autoSpaceDE/>
        <w:autoSpaceDN/>
        <w:adjustRightInd/>
        <w:spacing w:after="0" w:line="240" w:lineRule="auto"/>
        <w:jc w:val="left"/>
        <w:rPr>
          <w:rFonts w:ascii="FoundrySterling-Bold" w:hAnsi="FoundrySterling-Bold"/>
          <w:sz w:val="32"/>
          <w:szCs w:val="32"/>
          <w:lang w:val="en-GB"/>
        </w:rPr>
      </w:pPr>
      <w:r>
        <w:br w:type="page"/>
      </w:r>
    </w:p>
    <w:p w14:paraId="4FF4DE11" w14:textId="72344F88" w:rsidR="0085295C" w:rsidRPr="008C4E3D" w:rsidRDefault="0085295C" w:rsidP="00D23F98">
      <w:pPr>
        <w:pStyle w:val="Heading1"/>
      </w:pPr>
      <w:r>
        <w:lastRenderedPageBreak/>
        <w:t xml:space="preserve">Evolution and patterns of exit controls </w:t>
      </w:r>
    </w:p>
    <w:p w14:paraId="7FF81C58" w14:textId="063229D2" w:rsidR="0085295C" w:rsidRDefault="0085295C" w:rsidP="00D23F98">
      <w:pPr>
        <w:rPr>
          <w:lang w:val="en-GB"/>
        </w:rPr>
      </w:pPr>
      <w:r w:rsidRPr="008C4E3D">
        <w:rPr>
          <w:lang w:val="en-GB"/>
        </w:rPr>
        <w:t>The DEMIG VISA</w:t>
      </w:r>
      <w:r>
        <w:rPr>
          <w:lang w:val="en-GB"/>
        </w:rPr>
        <w:t xml:space="preserve"> data </w:t>
      </w:r>
      <w:r w:rsidRPr="008C4E3D">
        <w:rPr>
          <w:lang w:val="en-GB"/>
        </w:rPr>
        <w:t xml:space="preserve">on exit permits </w:t>
      </w:r>
      <w:r>
        <w:rPr>
          <w:lang w:val="en-GB"/>
        </w:rPr>
        <w:t>track restrictions</w:t>
      </w:r>
      <w:r w:rsidR="00550815">
        <w:rPr>
          <w:lang w:val="en-GB"/>
        </w:rPr>
        <w:t xml:space="preserve"> that</w:t>
      </w:r>
      <w:r>
        <w:rPr>
          <w:lang w:val="en-GB"/>
        </w:rPr>
        <w:t xml:space="preserve"> states put on the </w:t>
      </w:r>
      <w:r w:rsidRPr="008C4E3D">
        <w:rPr>
          <w:lang w:val="en-GB"/>
        </w:rPr>
        <w:t>mobility of the</w:t>
      </w:r>
      <w:r>
        <w:rPr>
          <w:lang w:val="en-GB"/>
        </w:rPr>
        <w:t>ir own</w:t>
      </w:r>
      <w:r w:rsidRPr="008C4E3D">
        <w:rPr>
          <w:lang w:val="en-GB"/>
        </w:rPr>
        <w:t xml:space="preserve"> citizens</w:t>
      </w:r>
      <w:r>
        <w:rPr>
          <w:lang w:val="en-GB"/>
        </w:rPr>
        <w:t xml:space="preserve"> as well as </w:t>
      </w:r>
      <w:r w:rsidRPr="008C4E3D">
        <w:rPr>
          <w:lang w:val="en-GB"/>
        </w:rPr>
        <w:t>of</w:t>
      </w:r>
      <w:r>
        <w:rPr>
          <w:lang w:val="en-GB"/>
        </w:rPr>
        <w:t xml:space="preserve"> foreign</w:t>
      </w:r>
      <w:r w:rsidRPr="008C4E3D">
        <w:rPr>
          <w:lang w:val="en-GB"/>
        </w:rPr>
        <w:t xml:space="preserve"> nationals in their territory</w:t>
      </w:r>
      <w:r w:rsidR="00550815">
        <w:rPr>
          <w:rStyle w:val="FootnoteReference"/>
          <w:lang w:val="en-GB"/>
        </w:rPr>
        <w:footnoteReference w:id="17"/>
      </w:r>
      <w:r w:rsidR="00420429">
        <w:rPr>
          <w:lang w:val="en-GB"/>
        </w:rPr>
        <w:t xml:space="preserve">. </w:t>
      </w:r>
      <w:r>
        <w:rPr>
          <w:lang w:val="en-GB"/>
        </w:rPr>
        <w:t xml:space="preserve">Figure 13 shows that while 26 per cent of all countries regulated the exit of their own citizens in 1973, this had gone down to 16 per cent in 1998, after which the IATA manuals stopped systematic recording of exit restrictions. While DEMIG VISA includes </w:t>
      </w:r>
      <w:r w:rsidRPr="008C4E3D">
        <w:rPr>
          <w:lang w:val="en-GB"/>
        </w:rPr>
        <w:t xml:space="preserve">a </w:t>
      </w:r>
      <w:r w:rsidRPr="008C4E3D">
        <w:rPr>
          <w:i/>
          <w:lang w:val="en-GB"/>
        </w:rPr>
        <w:t>bilateral</w:t>
      </w:r>
      <w:r w:rsidRPr="008C4E3D">
        <w:rPr>
          <w:lang w:val="en-GB"/>
        </w:rPr>
        <w:t xml:space="preserve"> (country-to-country)</w:t>
      </w:r>
      <w:r>
        <w:rPr>
          <w:lang w:val="en-GB"/>
        </w:rPr>
        <w:t xml:space="preserve"> variable</w:t>
      </w:r>
      <w:r w:rsidRPr="008C4E3D">
        <w:rPr>
          <w:lang w:val="en-GB"/>
        </w:rPr>
        <w:t xml:space="preserve"> to measure exit requirements, the regulation of exit of foreigners is</w:t>
      </w:r>
      <w:r>
        <w:rPr>
          <w:lang w:val="en-GB"/>
        </w:rPr>
        <w:t xml:space="preserve"> relatively less </w:t>
      </w:r>
      <w:r w:rsidRPr="008C4E3D">
        <w:rPr>
          <w:lang w:val="en-GB"/>
        </w:rPr>
        <w:t>frequent</w:t>
      </w:r>
      <w:r>
        <w:rPr>
          <w:lang w:val="en-GB"/>
        </w:rPr>
        <w:t xml:space="preserve">, </w:t>
      </w:r>
      <w:r w:rsidR="00420429">
        <w:rPr>
          <w:lang w:val="en-GB"/>
        </w:rPr>
        <w:t xml:space="preserve">and </w:t>
      </w:r>
      <w:r>
        <w:rPr>
          <w:lang w:val="en-GB"/>
        </w:rPr>
        <w:t>in recent decades global prevalence of exit restrictions on both groups has been converging to similar levels (see Figure 1</w:t>
      </w:r>
      <w:r w:rsidR="0080759C">
        <w:rPr>
          <w:lang w:val="en-GB"/>
        </w:rPr>
        <w:t>4</w:t>
      </w:r>
      <w:r>
        <w:rPr>
          <w:lang w:val="en-GB"/>
        </w:rPr>
        <w:t xml:space="preserve">). </w:t>
      </w:r>
    </w:p>
    <w:p w14:paraId="2945D461" w14:textId="77777777" w:rsidR="000868C5" w:rsidRDefault="000868C5" w:rsidP="00D23F98">
      <w:pPr>
        <w:rPr>
          <w:lang w:val="en-GB"/>
        </w:rPr>
      </w:pPr>
    </w:p>
    <w:p w14:paraId="2365DA76" w14:textId="4D7B1E2D" w:rsidR="000868C5" w:rsidRPr="000868C5" w:rsidRDefault="000868C5" w:rsidP="0080759C">
      <w:pPr>
        <w:jc w:val="center"/>
        <w:rPr>
          <w:b/>
          <w:lang w:val="en-GB"/>
        </w:rPr>
      </w:pPr>
      <w:r w:rsidRPr="000868C5">
        <w:rPr>
          <w:b/>
          <w:lang w:val="en-GB"/>
        </w:rPr>
        <w:t>&lt;Figure 1</w:t>
      </w:r>
      <w:r w:rsidR="0080759C">
        <w:rPr>
          <w:b/>
          <w:lang w:val="en-GB"/>
        </w:rPr>
        <w:t>4</w:t>
      </w:r>
      <w:r w:rsidRPr="000868C5">
        <w:rPr>
          <w:b/>
          <w:lang w:val="en-GB"/>
        </w:rPr>
        <w:t xml:space="preserve"> about here&gt;</w:t>
      </w:r>
    </w:p>
    <w:p w14:paraId="76F15564" w14:textId="77777777" w:rsidR="000868C5" w:rsidRDefault="000868C5" w:rsidP="00D23F98">
      <w:pPr>
        <w:rPr>
          <w:lang w:val="en-GB"/>
        </w:rPr>
      </w:pPr>
    </w:p>
    <w:p w14:paraId="42E56834" w14:textId="4E95C3B9" w:rsidR="0085295C" w:rsidRDefault="0085295C" w:rsidP="00D23F98">
      <w:r w:rsidRPr="008C4E3D">
        <w:rPr>
          <w:lang w:val="en-GB"/>
        </w:rPr>
        <w:t>As de Haas and Vezzoli (2011)</w:t>
      </w:r>
      <w:r>
        <w:rPr>
          <w:lang w:val="en-GB"/>
        </w:rPr>
        <w:t xml:space="preserve"> argued,</w:t>
      </w:r>
      <w:r w:rsidRPr="008C4E3D">
        <w:rPr>
          <w:lang w:val="en-GB"/>
        </w:rPr>
        <w:t xml:space="preserve"> the regulation of exit</w:t>
      </w:r>
      <w:r>
        <w:rPr>
          <w:lang w:val="en-GB"/>
        </w:rPr>
        <w:t xml:space="preserve"> ha</w:t>
      </w:r>
      <w:r w:rsidR="00BA6F2F">
        <w:rPr>
          <w:lang w:val="en-GB"/>
        </w:rPr>
        <w:t>s</w:t>
      </w:r>
      <w:r>
        <w:rPr>
          <w:lang w:val="en-GB"/>
        </w:rPr>
        <w:t xml:space="preserve"> become less frequent over the past few decades. </w:t>
      </w:r>
      <w:r w:rsidRPr="005318E5">
        <w:t xml:space="preserve">When states move towards more democratic forms of governments and more liberal economic systems and </w:t>
      </w:r>
      <w:r w:rsidR="00BA6F2F" w:rsidRPr="005318E5">
        <w:t>liberali</w:t>
      </w:r>
      <w:r w:rsidR="00BA6F2F">
        <w:t>s</w:t>
      </w:r>
      <w:r w:rsidR="00BA6F2F" w:rsidRPr="005318E5">
        <w:t xml:space="preserve">e </w:t>
      </w:r>
      <w:r w:rsidRPr="005318E5">
        <w:t>labo</w:t>
      </w:r>
      <w:r w:rsidR="00BA6F2F">
        <w:t>u</w:t>
      </w:r>
      <w:r w:rsidRPr="005318E5">
        <w:t>r market polices,</w:t>
      </w:r>
      <w:r>
        <w:t xml:space="preserve"> they also become less willing </w:t>
      </w:r>
      <w:r>
        <w:rPr>
          <w:i/>
        </w:rPr>
        <w:t xml:space="preserve">and </w:t>
      </w:r>
      <w:r>
        <w:t>able (mainly in terms of the legal limits put on executive power – cf. Joppke</w:t>
      </w:r>
      <w:r w:rsidR="00BA6F2F">
        <w:t>,</w:t>
      </w:r>
      <w:r>
        <w:t xml:space="preserve"> 2001 for a parallel case on the legal limits on </w:t>
      </w:r>
      <w:r>
        <w:rPr>
          <w:i/>
        </w:rPr>
        <w:t xml:space="preserve">immigration </w:t>
      </w:r>
      <w:r>
        <w:t>controls)</w:t>
      </w:r>
      <w:r w:rsidRPr="005318E5">
        <w:t xml:space="preserve"> to exert direct control of movement</w:t>
      </w:r>
      <w:r>
        <w:t xml:space="preserve"> on their own </w:t>
      </w:r>
      <w:r w:rsidRPr="00A44FCF">
        <w:t xml:space="preserve">citizens. Beside the difficulty of </w:t>
      </w:r>
      <w:r w:rsidR="002D4D8E" w:rsidRPr="00A44FCF">
        <w:t>legitimi</w:t>
      </w:r>
      <w:r w:rsidR="002D4D8E">
        <w:t>s</w:t>
      </w:r>
      <w:r w:rsidR="002D4D8E" w:rsidRPr="00A44FCF">
        <w:t>ing</w:t>
      </w:r>
      <w:r w:rsidR="00BA6F2F" w:rsidRPr="00A44FCF">
        <w:t xml:space="preserve"> </w:t>
      </w:r>
      <w:r w:rsidRPr="00A44FCF">
        <w:t>exit controls in more democratic political systems, Bourguignon (1977) argued that this shift coincided with a growing conviction that immigration policies are much more effective in regulating population movement</w:t>
      </w:r>
      <w:r w:rsidR="00EE3451">
        <w:t xml:space="preserve"> than</w:t>
      </w:r>
      <w:r w:rsidRPr="00A44FCF">
        <w:t xml:space="preserve"> emigration policies. </w:t>
      </w:r>
      <w:r w:rsidR="00BA6F2F" w:rsidRPr="00A44FCF">
        <w:t>Democra</w:t>
      </w:r>
      <w:r w:rsidR="00BA6F2F" w:rsidRPr="005318E5">
        <w:t>ti</w:t>
      </w:r>
      <w:r w:rsidR="00BA6F2F">
        <w:t>s</w:t>
      </w:r>
      <w:r w:rsidR="00BA6F2F" w:rsidRPr="005318E5">
        <w:t xml:space="preserve">ation </w:t>
      </w:r>
      <w:r w:rsidRPr="005318E5">
        <w:t xml:space="preserve">and a concomitant greater respect for the human rights of their own citizens is another important factor explaining the declining powers of states to directly control emigration. Autocratic states have generally a higher ability to control emigration, and they have historically tended to impose exit controls if they have closed economic systems and wish to protect the country from foreign economic or political influences. </w:t>
      </w:r>
      <w:r w:rsidRPr="009636F0">
        <w:t>Starting in the 1920s emerging F</w:t>
      </w:r>
      <w:r w:rsidRPr="00A44FCF">
        <w:t>ascist and Communist states therefore introduc</w:t>
      </w:r>
      <w:r>
        <w:t>ed policies to regulate exit</w:t>
      </w:r>
      <w:r w:rsidRPr="00A44FCF">
        <w:t xml:space="preserve"> (Dowty</w:t>
      </w:r>
      <w:r w:rsidR="00BA6F2F">
        <w:t>,</w:t>
      </w:r>
      <w:r w:rsidRPr="00A44FCF">
        <w:t xml:space="preserve"> 1987, McKenzie</w:t>
      </w:r>
      <w:r w:rsidR="00BA6F2F">
        <w:t>,</w:t>
      </w:r>
      <w:r w:rsidRPr="00A44FCF">
        <w:t xml:space="preserve"> 2005). This is why countries such as the former Soviet Union, China, Egypt (under the</w:t>
      </w:r>
      <w:r>
        <w:t xml:space="preserve"> Arab nationalist socialist regime of Nasser)</w:t>
      </w:r>
      <w:r w:rsidRPr="005318E5">
        <w:t xml:space="preserve"> and Cuba have </w:t>
      </w:r>
      <w:r>
        <w:t xml:space="preserve">traditionally </w:t>
      </w:r>
      <w:r w:rsidRPr="005318E5">
        <w:t>imposed exit visa</w:t>
      </w:r>
      <w:r w:rsidR="00BA6F2F">
        <w:t>s</w:t>
      </w:r>
      <w:r w:rsidRPr="005318E5">
        <w:t xml:space="preserve">. </w:t>
      </w:r>
      <w:r>
        <w:t xml:space="preserve">Authoritarian regimes with </w:t>
      </w:r>
      <w:r w:rsidR="00BA6F2F">
        <w:t xml:space="preserve">liberalised </w:t>
      </w:r>
      <w:r>
        <w:t xml:space="preserve">capitalist economic systems (such as the Philippines under the Marcos dictatorship, or Fascist Italy under </w:t>
      </w:r>
      <w:r w:rsidRPr="00220E94">
        <w:t>Mussolini (cf. Cometti</w:t>
      </w:r>
      <w:r w:rsidR="00BA6F2F">
        <w:t>,</w:t>
      </w:r>
      <w:r w:rsidRPr="00220E94">
        <w:t xml:space="preserve"> 1958), or a Western-realigned Egypt under Sadat and Mubarak) tend to</w:t>
      </w:r>
      <w:r>
        <w:t xml:space="preserve"> </w:t>
      </w:r>
      <w:r w:rsidR="00BA6F2F">
        <w:t xml:space="preserve">be </w:t>
      </w:r>
      <w:r>
        <w:t>more ambiguous toward emigration and may even stimulate emigration as a political-economic “safety valve”, diminishing the pressure for political reforms (see de Haas</w:t>
      </w:r>
      <w:r w:rsidR="00BA6F2F">
        <w:t>,</w:t>
      </w:r>
      <w:r>
        <w:t xml:space="preserve"> 2012; Gammage</w:t>
      </w:r>
      <w:r w:rsidR="00BA6F2F">
        <w:t>,</w:t>
      </w:r>
      <w:r>
        <w:t xml:space="preserve"> 2006; Kireyev</w:t>
      </w:r>
      <w:r w:rsidR="00BA6F2F">
        <w:t>,</w:t>
      </w:r>
      <w:r>
        <w:t xml:space="preserve"> 2006). </w:t>
      </w:r>
      <w:r w:rsidRPr="005318E5">
        <w:t xml:space="preserve">Nationalism and a determination to shed foreign influence </w:t>
      </w:r>
      <w:r>
        <w:t xml:space="preserve">partly </w:t>
      </w:r>
      <w:r w:rsidRPr="005318E5">
        <w:t xml:space="preserve">explains why </w:t>
      </w:r>
      <w:r w:rsidR="00BA6F2F">
        <w:t>newly</w:t>
      </w:r>
      <w:r w:rsidR="00BA6F2F" w:rsidRPr="005318E5">
        <w:t xml:space="preserve"> </w:t>
      </w:r>
      <w:r w:rsidRPr="005318E5">
        <w:t>decoloni</w:t>
      </w:r>
      <w:r w:rsidR="00BA6F2F">
        <w:t>s</w:t>
      </w:r>
      <w:r w:rsidRPr="005318E5">
        <w:t xml:space="preserve">ed countries </w:t>
      </w:r>
      <w:r>
        <w:t xml:space="preserve">in Africa </w:t>
      </w:r>
      <w:r w:rsidRPr="005318E5">
        <w:t>such as Algeria often tried to curt</w:t>
      </w:r>
      <w:r>
        <w:t>ail emigration (and immigration</w:t>
      </w:r>
      <w:r w:rsidRPr="005318E5">
        <w:t>) after they gained independence</w:t>
      </w:r>
      <w:r>
        <w:t>.</w:t>
      </w:r>
      <w:r w:rsidRPr="005318E5">
        <w:t xml:space="preserve"> </w:t>
      </w:r>
    </w:p>
    <w:p w14:paraId="75DB6695" w14:textId="628271D6" w:rsidR="0085295C" w:rsidRPr="008C4E3D" w:rsidRDefault="0085295C" w:rsidP="00C51AC7">
      <w:pPr>
        <w:ind w:firstLine="720"/>
        <w:rPr>
          <w:lang w:val="en-GB"/>
        </w:rPr>
      </w:pPr>
      <w:r>
        <w:rPr>
          <w:lang w:val="en-GB"/>
        </w:rPr>
        <w:t xml:space="preserve">Nowadays, only </w:t>
      </w:r>
      <w:r w:rsidRPr="008C4E3D">
        <w:rPr>
          <w:lang w:val="en-GB"/>
        </w:rPr>
        <w:t xml:space="preserve">a limited number of </w:t>
      </w:r>
      <w:r>
        <w:rPr>
          <w:lang w:val="en-GB"/>
        </w:rPr>
        <w:t>generally authoritarian</w:t>
      </w:r>
      <w:r w:rsidRPr="008C4E3D">
        <w:rPr>
          <w:lang w:val="en-GB"/>
        </w:rPr>
        <w:t xml:space="preserve"> states </w:t>
      </w:r>
      <w:r>
        <w:rPr>
          <w:lang w:val="en-GB"/>
        </w:rPr>
        <w:t xml:space="preserve">are </w:t>
      </w:r>
      <w:r w:rsidRPr="008C4E3D">
        <w:rPr>
          <w:lang w:val="en-GB"/>
        </w:rPr>
        <w:t xml:space="preserve">in a position to impose </w:t>
      </w:r>
      <w:r>
        <w:rPr>
          <w:lang w:val="en-GB"/>
        </w:rPr>
        <w:t xml:space="preserve">exit </w:t>
      </w:r>
      <w:r w:rsidRPr="008C4E3D">
        <w:rPr>
          <w:lang w:val="en-GB"/>
        </w:rPr>
        <w:t>restrictions. For liberal</w:t>
      </w:r>
      <w:r>
        <w:rPr>
          <w:lang w:val="en-GB"/>
        </w:rPr>
        <w:t xml:space="preserve"> democracies</w:t>
      </w:r>
      <w:r w:rsidRPr="008C4E3D">
        <w:rPr>
          <w:lang w:val="en-GB"/>
        </w:rPr>
        <w:t xml:space="preserve">, the restriction of the freedom to exit your </w:t>
      </w:r>
      <w:r>
        <w:rPr>
          <w:lang w:val="en-GB"/>
        </w:rPr>
        <w:t xml:space="preserve">own </w:t>
      </w:r>
      <w:r w:rsidRPr="008C4E3D">
        <w:rPr>
          <w:lang w:val="en-GB"/>
        </w:rPr>
        <w:t xml:space="preserve">country of citizenship </w:t>
      </w:r>
      <w:r>
        <w:rPr>
          <w:lang w:val="en-GB"/>
        </w:rPr>
        <w:t xml:space="preserve">is </w:t>
      </w:r>
      <w:r w:rsidRPr="008C4E3D">
        <w:rPr>
          <w:lang w:val="en-GB"/>
        </w:rPr>
        <w:t xml:space="preserve">seen as an infringement of </w:t>
      </w:r>
      <w:r>
        <w:rPr>
          <w:lang w:val="en-GB"/>
        </w:rPr>
        <w:t xml:space="preserve">fundamental </w:t>
      </w:r>
      <w:r w:rsidRPr="008C4E3D">
        <w:rPr>
          <w:lang w:val="en-GB"/>
        </w:rPr>
        <w:t xml:space="preserve">human </w:t>
      </w:r>
      <w:r>
        <w:rPr>
          <w:lang w:val="en-GB"/>
        </w:rPr>
        <w:t xml:space="preserve">and constitutional </w:t>
      </w:r>
      <w:r w:rsidRPr="008C4E3D">
        <w:rPr>
          <w:lang w:val="en-GB"/>
        </w:rPr>
        <w:t>right</w:t>
      </w:r>
      <w:r>
        <w:rPr>
          <w:lang w:val="en-GB"/>
        </w:rPr>
        <w:t>s</w:t>
      </w:r>
      <w:r w:rsidRPr="008C4E3D">
        <w:rPr>
          <w:lang w:val="en-GB"/>
        </w:rPr>
        <w:t xml:space="preserve">. </w:t>
      </w:r>
      <w:r>
        <w:rPr>
          <w:lang w:val="en-GB"/>
        </w:rPr>
        <w:t xml:space="preserve">As part of a general process of </w:t>
      </w:r>
      <w:r w:rsidR="00BA6F2F">
        <w:rPr>
          <w:lang w:val="en-GB"/>
        </w:rPr>
        <w:t xml:space="preserve">liberalisation </w:t>
      </w:r>
      <w:r>
        <w:rPr>
          <w:lang w:val="en-GB"/>
        </w:rPr>
        <w:t xml:space="preserve">and (partial) </w:t>
      </w:r>
      <w:r w:rsidR="00BA6F2F">
        <w:rPr>
          <w:lang w:val="en-GB"/>
        </w:rPr>
        <w:t>democratisation</w:t>
      </w:r>
      <w:r>
        <w:rPr>
          <w:lang w:val="en-GB"/>
        </w:rPr>
        <w:t xml:space="preserve">, many </w:t>
      </w:r>
      <w:r w:rsidRPr="008C4E3D">
        <w:rPr>
          <w:lang w:val="en-GB"/>
        </w:rPr>
        <w:t xml:space="preserve">countries that </w:t>
      </w:r>
      <w:r>
        <w:rPr>
          <w:lang w:val="en-GB"/>
        </w:rPr>
        <w:t xml:space="preserve">used to impose </w:t>
      </w:r>
      <w:r w:rsidRPr="008C4E3D">
        <w:rPr>
          <w:lang w:val="en-GB"/>
        </w:rPr>
        <w:t>exit</w:t>
      </w:r>
      <w:r>
        <w:rPr>
          <w:lang w:val="en-GB"/>
        </w:rPr>
        <w:t xml:space="preserve"> restrictions </w:t>
      </w:r>
      <w:r w:rsidRPr="008C4E3D">
        <w:rPr>
          <w:lang w:val="en-GB"/>
        </w:rPr>
        <w:t xml:space="preserve">have been progressively lifting these requirements over the past 40 years. Not surprisingly, exit restrictiveness is very low in Europe, Oceania and the Americas, where liberal states have </w:t>
      </w:r>
      <w:r>
        <w:rPr>
          <w:lang w:val="en-GB"/>
        </w:rPr>
        <w:t>lifted the</w:t>
      </w:r>
      <w:r w:rsidRPr="008C4E3D">
        <w:rPr>
          <w:lang w:val="en-GB"/>
        </w:rPr>
        <w:t xml:space="preserve"> regulations to exit. The sharper decrease of exit restrictiveness in the Americas compared to Europe</w:t>
      </w:r>
      <w:r>
        <w:rPr>
          <w:lang w:val="en-GB"/>
        </w:rPr>
        <w:t xml:space="preserve"> reflects </w:t>
      </w:r>
      <w:r w:rsidRPr="008C4E3D">
        <w:rPr>
          <w:lang w:val="en-GB"/>
        </w:rPr>
        <w:t>the liberalisation of exit control</w:t>
      </w:r>
      <w:r>
        <w:rPr>
          <w:lang w:val="en-GB"/>
        </w:rPr>
        <w:t>s in South and Central America</w:t>
      </w:r>
      <w:r w:rsidRPr="008C4E3D">
        <w:rPr>
          <w:lang w:val="en-GB"/>
        </w:rPr>
        <w:t xml:space="preserve"> during </w:t>
      </w:r>
      <w:r w:rsidRPr="008C4E3D">
        <w:rPr>
          <w:lang w:val="en-GB"/>
        </w:rPr>
        <w:lastRenderedPageBreak/>
        <w:t xml:space="preserve">the 1980s and 1990s. </w:t>
      </w:r>
      <w:r>
        <w:rPr>
          <w:lang w:val="en-GB"/>
        </w:rPr>
        <w:t xml:space="preserve">As tends to be the case with entry </w:t>
      </w:r>
      <w:r w:rsidRPr="008C4E3D">
        <w:rPr>
          <w:lang w:val="en-GB"/>
        </w:rPr>
        <w:t>visa restrictions, Africa</w:t>
      </w:r>
      <w:r>
        <w:rPr>
          <w:lang w:val="en-GB"/>
        </w:rPr>
        <w:t>n</w:t>
      </w:r>
      <w:r w:rsidRPr="008C4E3D">
        <w:rPr>
          <w:lang w:val="en-GB"/>
        </w:rPr>
        <w:t xml:space="preserve"> and Asia</w:t>
      </w:r>
      <w:r>
        <w:rPr>
          <w:lang w:val="en-GB"/>
        </w:rPr>
        <w:t>n states</w:t>
      </w:r>
      <w:r w:rsidRPr="008C4E3D">
        <w:rPr>
          <w:lang w:val="en-GB"/>
        </w:rPr>
        <w:t xml:space="preserve"> impose exit restrictions</w:t>
      </w:r>
      <w:r>
        <w:rPr>
          <w:lang w:val="en-GB"/>
        </w:rPr>
        <w:t xml:space="preserve"> relatively more frequently</w:t>
      </w:r>
      <w:r w:rsidRPr="008C4E3D">
        <w:rPr>
          <w:lang w:val="en-GB"/>
        </w:rPr>
        <w:t xml:space="preserve">, although </w:t>
      </w:r>
      <w:r>
        <w:rPr>
          <w:lang w:val="en-GB"/>
        </w:rPr>
        <w:t xml:space="preserve">also in these regions </w:t>
      </w:r>
      <w:r w:rsidRPr="008C4E3D">
        <w:rPr>
          <w:lang w:val="en-GB"/>
        </w:rPr>
        <w:t xml:space="preserve">there has been a steady reduction </w:t>
      </w:r>
      <w:r w:rsidR="00BA6F2F">
        <w:rPr>
          <w:lang w:val="en-GB"/>
        </w:rPr>
        <w:t xml:space="preserve">in </w:t>
      </w:r>
      <w:r>
        <w:rPr>
          <w:lang w:val="en-GB"/>
        </w:rPr>
        <w:t xml:space="preserve">exit restrictiveness </w:t>
      </w:r>
      <w:r w:rsidRPr="008C4E3D">
        <w:rPr>
          <w:lang w:val="en-GB"/>
        </w:rPr>
        <w:t>since the mid-1990s</w:t>
      </w:r>
      <w:r>
        <w:rPr>
          <w:lang w:val="en-GB"/>
        </w:rPr>
        <w:t xml:space="preserve"> (Figure 1</w:t>
      </w:r>
      <w:r w:rsidR="0080759C">
        <w:rPr>
          <w:lang w:val="en-GB"/>
        </w:rPr>
        <w:t>5</w:t>
      </w:r>
      <w:r>
        <w:rPr>
          <w:lang w:val="en-GB"/>
        </w:rPr>
        <w:t>)</w:t>
      </w:r>
      <w:r w:rsidRPr="008C4E3D">
        <w:rPr>
          <w:lang w:val="en-GB"/>
        </w:rPr>
        <w:t xml:space="preserve">. </w:t>
      </w:r>
    </w:p>
    <w:p w14:paraId="7CFB5E35" w14:textId="77777777" w:rsidR="0085295C" w:rsidRPr="008C4E3D" w:rsidRDefault="0085295C" w:rsidP="00D23F98">
      <w:pPr>
        <w:rPr>
          <w:lang w:val="en-GB"/>
        </w:rPr>
      </w:pPr>
    </w:p>
    <w:p w14:paraId="3CF7EDB0" w14:textId="41561295" w:rsidR="0085295C" w:rsidRDefault="000868C5" w:rsidP="0080759C">
      <w:pPr>
        <w:jc w:val="center"/>
        <w:rPr>
          <w:rFonts w:ascii="Garamond" w:hAnsi="Garamond"/>
          <w:b/>
          <w:lang w:val="en-GB"/>
        </w:rPr>
      </w:pPr>
      <w:r>
        <w:rPr>
          <w:rFonts w:ascii="Garamond" w:hAnsi="Garamond"/>
          <w:b/>
          <w:lang w:val="en-GB"/>
        </w:rPr>
        <w:t>&lt;Figure 1</w:t>
      </w:r>
      <w:r w:rsidR="0080759C">
        <w:rPr>
          <w:rFonts w:ascii="Garamond" w:hAnsi="Garamond"/>
          <w:b/>
          <w:lang w:val="en-GB"/>
        </w:rPr>
        <w:t>5</w:t>
      </w:r>
      <w:r>
        <w:rPr>
          <w:rFonts w:ascii="Garamond" w:hAnsi="Garamond"/>
          <w:b/>
          <w:lang w:val="en-GB"/>
        </w:rPr>
        <w:t xml:space="preserve"> about here&gt;</w:t>
      </w:r>
    </w:p>
    <w:p w14:paraId="1E9FEB33" w14:textId="77777777" w:rsidR="000868C5" w:rsidRPr="008C4E3D" w:rsidRDefault="000868C5" w:rsidP="0085295C">
      <w:pPr>
        <w:rPr>
          <w:rFonts w:ascii="Garamond" w:hAnsi="Garamond"/>
          <w:b/>
          <w:lang w:val="en-GB"/>
        </w:rPr>
      </w:pPr>
    </w:p>
    <w:p w14:paraId="0E665A1F" w14:textId="1E13B0ED" w:rsidR="0085295C" w:rsidRDefault="0085295C" w:rsidP="00D23F98">
      <w:pPr>
        <w:rPr>
          <w:lang w:val="en-GB"/>
        </w:rPr>
      </w:pPr>
      <w:r>
        <w:rPr>
          <w:lang w:val="en-GB"/>
        </w:rPr>
        <w:t>Figure 1</w:t>
      </w:r>
      <w:r w:rsidR="005516E3">
        <w:rPr>
          <w:lang w:val="en-GB"/>
        </w:rPr>
        <w:t>6</w:t>
      </w:r>
      <w:r>
        <w:rPr>
          <w:lang w:val="en-GB"/>
        </w:rPr>
        <w:t xml:space="preserve"> illustrates geographical and temporal </w:t>
      </w:r>
      <w:r w:rsidRPr="008C4E3D">
        <w:rPr>
          <w:lang w:val="en-GB"/>
        </w:rPr>
        <w:t>variat</w:t>
      </w:r>
      <w:r w:rsidRPr="00062CBB">
        <w:rPr>
          <w:lang w:val="en-GB"/>
        </w:rPr>
        <w:t>ions of ex</w:t>
      </w:r>
      <w:r>
        <w:rPr>
          <w:lang w:val="en-GB"/>
        </w:rPr>
        <w:t xml:space="preserve">it restrictions. The data show </w:t>
      </w:r>
      <w:r w:rsidRPr="008C4E3D">
        <w:rPr>
          <w:lang w:val="en-GB"/>
        </w:rPr>
        <w:t xml:space="preserve">how from 1972 to 1983, most countries in the Americas and Europe did not </w:t>
      </w:r>
      <w:r>
        <w:rPr>
          <w:lang w:val="en-GB"/>
        </w:rPr>
        <w:t>impose</w:t>
      </w:r>
      <w:r w:rsidRPr="008C4E3D">
        <w:rPr>
          <w:lang w:val="en-GB"/>
        </w:rPr>
        <w:t xml:space="preserve"> any exit restrictions</w:t>
      </w:r>
      <w:r>
        <w:rPr>
          <w:lang w:val="en-GB"/>
        </w:rPr>
        <w:t xml:space="preserve">, with the </w:t>
      </w:r>
      <w:r w:rsidRPr="008C4E3D">
        <w:rPr>
          <w:lang w:val="en-GB"/>
        </w:rPr>
        <w:t xml:space="preserve">USSR </w:t>
      </w:r>
      <w:r>
        <w:rPr>
          <w:lang w:val="en-GB"/>
        </w:rPr>
        <w:t xml:space="preserve">being </w:t>
      </w:r>
      <w:r w:rsidRPr="008C4E3D">
        <w:rPr>
          <w:lang w:val="en-GB"/>
        </w:rPr>
        <w:t xml:space="preserve">the main exception in Europe. In the Americas, </w:t>
      </w:r>
      <w:r>
        <w:rPr>
          <w:lang w:val="en-GB"/>
        </w:rPr>
        <w:t xml:space="preserve">several </w:t>
      </w:r>
      <w:r w:rsidRPr="008C4E3D">
        <w:rPr>
          <w:lang w:val="en-GB"/>
        </w:rPr>
        <w:t xml:space="preserve">countries </w:t>
      </w:r>
      <w:r>
        <w:rPr>
          <w:lang w:val="en-GB"/>
        </w:rPr>
        <w:t xml:space="preserve">including </w:t>
      </w:r>
      <w:r w:rsidRPr="008C4E3D">
        <w:rPr>
          <w:lang w:val="en-GB"/>
        </w:rPr>
        <w:t xml:space="preserve">Bolivia, Brazil, </w:t>
      </w:r>
      <w:r w:rsidR="00FE0818">
        <w:rPr>
          <w:lang w:val="en-GB"/>
        </w:rPr>
        <w:t xml:space="preserve">the </w:t>
      </w:r>
      <w:r w:rsidRPr="008C4E3D">
        <w:rPr>
          <w:lang w:val="en-GB"/>
        </w:rPr>
        <w:t xml:space="preserve">Dominican Republic </w:t>
      </w:r>
      <w:r>
        <w:rPr>
          <w:lang w:val="en-GB"/>
        </w:rPr>
        <w:t xml:space="preserve">and </w:t>
      </w:r>
      <w:r w:rsidRPr="008C4E3D">
        <w:rPr>
          <w:lang w:val="en-GB"/>
        </w:rPr>
        <w:t xml:space="preserve">Haiti </w:t>
      </w:r>
      <w:r>
        <w:rPr>
          <w:lang w:val="en-GB"/>
        </w:rPr>
        <w:t xml:space="preserve">imposed </w:t>
      </w:r>
      <w:r w:rsidRPr="008C4E3D">
        <w:rPr>
          <w:lang w:val="en-GB"/>
        </w:rPr>
        <w:t>exit restrictions</w:t>
      </w:r>
      <w:r>
        <w:rPr>
          <w:lang w:val="en-GB"/>
        </w:rPr>
        <w:t xml:space="preserve"> on</w:t>
      </w:r>
      <w:r w:rsidRPr="008C4E3D">
        <w:rPr>
          <w:lang w:val="en-GB"/>
        </w:rPr>
        <w:t xml:space="preserve"> </w:t>
      </w:r>
      <w:r>
        <w:rPr>
          <w:lang w:val="en-GB"/>
        </w:rPr>
        <w:t>their</w:t>
      </w:r>
      <w:r w:rsidRPr="008C4E3D">
        <w:rPr>
          <w:lang w:val="en-GB"/>
        </w:rPr>
        <w:t xml:space="preserve"> own citizens</w:t>
      </w:r>
      <w:r>
        <w:rPr>
          <w:lang w:val="en-GB"/>
        </w:rPr>
        <w:t xml:space="preserve">, while </w:t>
      </w:r>
      <w:r w:rsidRPr="008C4E3D">
        <w:rPr>
          <w:lang w:val="en-GB"/>
        </w:rPr>
        <w:t xml:space="preserve">El Salvador </w:t>
      </w:r>
      <w:r>
        <w:rPr>
          <w:lang w:val="en-GB"/>
        </w:rPr>
        <w:t>and</w:t>
      </w:r>
      <w:r w:rsidRPr="008C4E3D">
        <w:rPr>
          <w:lang w:val="en-GB"/>
        </w:rPr>
        <w:t xml:space="preserve"> Peru </w:t>
      </w:r>
      <w:r>
        <w:rPr>
          <w:lang w:val="en-GB"/>
        </w:rPr>
        <w:t xml:space="preserve">selectively </w:t>
      </w:r>
      <w:r w:rsidRPr="008C4E3D">
        <w:rPr>
          <w:lang w:val="en-GB"/>
        </w:rPr>
        <w:t>regulated the exit of travellers</w:t>
      </w:r>
      <w:r>
        <w:rPr>
          <w:lang w:val="en-GB"/>
        </w:rPr>
        <w:t xml:space="preserve"> of various </w:t>
      </w:r>
      <w:r w:rsidRPr="008C4E3D">
        <w:rPr>
          <w:lang w:val="en-GB"/>
        </w:rPr>
        <w:t>nationalities</w:t>
      </w:r>
      <w:r>
        <w:rPr>
          <w:lang w:val="en-GB"/>
        </w:rPr>
        <w:t>,</w:t>
      </w:r>
      <w:r w:rsidRPr="008C4E3D">
        <w:rPr>
          <w:lang w:val="en-GB"/>
        </w:rPr>
        <w:t xml:space="preserve"> Nicaragua </w:t>
      </w:r>
      <w:r>
        <w:rPr>
          <w:lang w:val="en-GB"/>
        </w:rPr>
        <w:t xml:space="preserve">controlled predominantly the exit of </w:t>
      </w:r>
      <w:r w:rsidRPr="008C4E3D">
        <w:rPr>
          <w:lang w:val="en-GB"/>
        </w:rPr>
        <w:t xml:space="preserve">nationals of USSR </w:t>
      </w:r>
      <w:r>
        <w:rPr>
          <w:lang w:val="en-GB"/>
        </w:rPr>
        <w:t xml:space="preserve">and other Warsaw </w:t>
      </w:r>
      <w:r w:rsidR="00FE0818">
        <w:rPr>
          <w:lang w:val="en-GB"/>
        </w:rPr>
        <w:t xml:space="preserve">Pact </w:t>
      </w:r>
      <w:r w:rsidRPr="008C4E3D">
        <w:rPr>
          <w:lang w:val="en-GB"/>
        </w:rPr>
        <w:t xml:space="preserve">countries, </w:t>
      </w:r>
      <w:r>
        <w:rPr>
          <w:lang w:val="en-GB"/>
        </w:rPr>
        <w:t>while</w:t>
      </w:r>
      <w:r w:rsidRPr="008C4E3D">
        <w:rPr>
          <w:lang w:val="en-GB"/>
        </w:rPr>
        <w:t xml:space="preserve"> Cuba </w:t>
      </w:r>
      <w:r>
        <w:rPr>
          <w:lang w:val="en-GB"/>
        </w:rPr>
        <w:t xml:space="preserve">controlled </w:t>
      </w:r>
      <w:r w:rsidR="00FE0818">
        <w:rPr>
          <w:lang w:val="en-GB"/>
        </w:rPr>
        <w:t xml:space="preserve">the </w:t>
      </w:r>
      <w:r>
        <w:rPr>
          <w:lang w:val="en-GB"/>
        </w:rPr>
        <w:t xml:space="preserve">exit of </w:t>
      </w:r>
      <w:r w:rsidRPr="008C4E3D">
        <w:rPr>
          <w:lang w:val="en-GB"/>
        </w:rPr>
        <w:t>citizens</w:t>
      </w:r>
      <w:r>
        <w:rPr>
          <w:lang w:val="en-GB"/>
        </w:rPr>
        <w:t xml:space="preserve"> and all foreign national</w:t>
      </w:r>
      <w:r w:rsidR="00FE0818">
        <w:rPr>
          <w:lang w:val="en-GB"/>
        </w:rPr>
        <w:t>s</w:t>
      </w:r>
      <w:r w:rsidRPr="008C4E3D">
        <w:rPr>
          <w:lang w:val="en-GB"/>
        </w:rPr>
        <w:t xml:space="preserve"> (reported until 1975).</w:t>
      </w:r>
      <w:r>
        <w:rPr>
          <w:rStyle w:val="FootnoteReference"/>
          <w:rFonts w:ascii="Garamond" w:hAnsi="Garamond"/>
          <w:lang w:val="en-GB"/>
        </w:rPr>
        <w:footnoteReference w:id="18"/>
      </w:r>
    </w:p>
    <w:p w14:paraId="079C214B" w14:textId="747742EB" w:rsidR="0085295C" w:rsidRDefault="0085295C" w:rsidP="00C51AC7">
      <w:pPr>
        <w:ind w:firstLine="720"/>
        <w:rPr>
          <w:lang w:val="en-GB"/>
        </w:rPr>
      </w:pPr>
      <w:r>
        <w:rPr>
          <w:lang w:val="en-GB"/>
        </w:rPr>
        <w:t xml:space="preserve">In the 1970s, </w:t>
      </w:r>
      <w:r w:rsidRPr="008C4E3D">
        <w:rPr>
          <w:lang w:val="en-GB"/>
        </w:rPr>
        <w:t xml:space="preserve">Asian countries </w:t>
      </w:r>
      <w:r>
        <w:rPr>
          <w:lang w:val="en-GB"/>
        </w:rPr>
        <w:t xml:space="preserve">had the </w:t>
      </w:r>
      <w:r w:rsidRPr="008C4E3D">
        <w:rPr>
          <w:lang w:val="en-GB"/>
        </w:rPr>
        <w:t xml:space="preserve">highest </w:t>
      </w:r>
      <w:r>
        <w:rPr>
          <w:lang w:val="en-GB"/>
        </w:rPr>
        <w:t xml:space="preserve">level of </w:t>
      </w:r>
      <w:r w:rsidRPr="008C4E3D">
        <w:rPr>
          <w:lang w:val="en-GB"/>
        </w:rPr>
        <w:t>exit restr</w:t>
      </w:r>
      <w:r>
        <w:rPr>
          <w:lang w:val="en-GB"/>
        </w:rPr>
        <w:t>ictiveness in the world</w:t>
      </w:r>
      <w:r w:rsidRPr="008C4E3D">
        <w:rPr>
          <w:lang w:val="en-GB"/>
        </w:rPr>
        <w:t xml:space="preserve">. </w:t>
      </w:r>
      <w:r>
        <w:rPr>
          <w:lang w:val="en-GB"/>
        </w:rPr>
        <w:t>At that time, c</w:t>
      </w:r>
      <w:r w:rsidRPr="008C4E3D">
        <w:rPr>
          <w:lang w:val="en-GB"/>
        </w:rPr>
        <w:t>ountries such as Afghanistan, China, Jordan, Kuwait, Lao People’s Democratic Republic, Myanmar; Iraq, Iran and Pakistan restrict</w:t>
      </w:r>
      <w:r>
        <w:rPr>
          <w:lang w:val="en-GB"/>
        </w:rPr>
        <w:t>ed</w:t>
      </w:r>
      <w:r w:rsidRPr="008C4E3D">
        <w:rPr>
          <w:lang w:val="en-GB"/>
        </w:rPr>
        <w:t xml:space="preserve"> the exit of most </w:t>
      </w:r>
      <w:r>
        <w:rPr>
          <w:lang w:val="en-GB"/>
        </w:rPr>
        <w:t xml:space="preserve">foreign </w:t>
      </w:r>
      <w:r w:rsidRPr="008C4E3D">
        <w:rPr>
          <w:lang w:val="en-GB"/>
        </w:rPr>
        <w:t>national</w:t>
      </w:r>
      <w:r w:rsidR="00AE5BED">
        <w:rPr>
          <w:lang w:val="en-GB"/>
        </w:rPr>
        <w:t>s</w:t>
      </w:r>
      <w:r>
        <w:rPr>
          <w:lang w:val="en-GB"/>
        </w:rPr>
        <w:t xml:space="preserve">. Until the late 1970s, </w:t>
      </w:r>
      <w:r w:rsidRPr="008C4E3D">
        <w:rPr>
          <w:lang w:val="en-GB"/>
        </w:rPr>
        <w:t xml:space="preserve">Bangladesh </w:t>
      </w:r>
      <w:r w:rsidR="00AE5BED" w:rsidRPr="008C4E3D">
        <w:rPr>
          <w:lang w:val="en-GB"/>
        </w:rPr>
        <w:t>regulate</w:t>
      </w:r>
      <w:r w:rsidR="00AE5BED">
        <w:rPr>
          <w:lang w:val="en-GB"/>
        </w:rPr>
        <w:t>d</w:t>
      </w:r>
      <w:r w:rsidR="00AE5BED" w:rsidRPr="008C4E3D">
        <w:rPr>
          <w:lang w:val="en-GB"/>
        </w:rPr>
        <w:t xml:space="preserve"> </w:t>
      </w:r>
      <w:r w:rsidRPr="008C4E3D">
        <w:rPr>
          <w:lang w:val="en-GB"/>
        </w:rPr>
        <w:t>the exit of</w:t>
      </w:r>
      <w:r w:rsidR="00AE5BED">
        <w:rPr>
          <w:lang w:val="en-GB"/>
        </w:rPr>
        <w:t xml:space="preserve"> foreign nationals from several countries</w:t>
      </w:r>
      <w:r>
        <w:rPr>
          <w:lang w:val="en-GB"/>
        </w:rPr>
        <w:t>,</w:t>
      </w:r>
      <w:r w:rsidRPr="008C4E3D">
        <w:rPr>
          <w:lang w:val="en-GB"/>
        </w:rPr>
        <w:t xml:space="preserve"> and Sri Lanka </w:t>
      </w:r>
      <w:r>
        <w:rPr>
          <w:lang w:val="en-GB"/>
        </w:rPr>
        <w:t xml:space="preserve">only regulated </w:t>
      </w:r>
      <w:r w:rsidR="000A6AE2">
        <w:rPr>
          <w:lang w:val="en-GB"/>
        </w:rPr>
        <w:t xml:space="preserve">the </w:t>
      </w:r>
      <w:r w:rsidRPr="008C4E3D">
        <w:rPr>
          <w:lang w:val="en-GB"/>
        </w:rPr>
        <w:t xml:space="preserve">exit of its own nationals. </w:t>
      </w:r>
      <w:r>
        <w:rPr>
          <w:lang w:val="en-GB"/>
        </w:rPr>
        <w:t xml:space="preserve">In the 1970s, </w:t>
      </w:r>
      <w:r w:rsidRPr="00062CBB">
        <w:rPr>
          <w:lang w:val="en-GB"/>
        </w:rPr>
        <w:t>African countries</w:t>
      </w:r>
      <w:r>
        <w:rPr>
          <w:lang w:val="en-GB"/>
        </w:rPr>
        <w:t xml:space="preserve"> such as </w:t>
      </w:r>
      <w:r w:rsidR="000A6AE2">
        <w:rPr>
          <w:lang w:val="en-GB"/>
        </w:rPr>
        <w:t xml:space="preserve">the </w:t>
      </w:r>
      <w:r w:rsidRPr="008C4E3D">
        <w:rPr>
          <w:lang w:val="en-GB"/>
        </w:rPr>
        <w:t>Central African Republic, Chad, C</w:t>
      </w:r>
      <w:r w:rsidR="000A6AE2">
        <w:rPr>
          <w:lang w:val="en-GB"/>
        </w:rPr>
        <w:t>ô</w:t>
      </w:r>
      <w:r w:rsidRPr="008C4E3D">
        <w:rPr>
          <w:lang w:val="en-GB"/>
        </w:rPr>
        <w:t xml:space="preserve">te d’Ivoire, Liberia, Libya, </w:t>
      </w:r>
      <w:r>
        <w:rPr>
          <w:lang w:val="en-GB"/>
        </w:rPr>
        <w:t>Mozambique, Niger and</w:t>
      </w:r>
      <w:r w:rsidRPr="008C4E3D">
        <w:rPr>
          <w:lang w:val="en-GB"/>
        </w:rPr>
        <w:t xml:space="preserve"> Cameroon </w:t>
      </w:r>
      <w:r w:rsidR="000A6AE2">
        <w:rPr>
          <w:lang w:val="en-GB"/>
        </w:rPr>
        <w:t xml:space="preserve">also </w:t>
      </w:r>
      <w:r w:rsidRPr="00062CBB">
        <w:rPr>
          <w:lang w:val="en-GB"/>
        </w:rPr>
        <w:t>ha</w:t>
      </w:r>
      <w:r>
        <w:rPr>
          <w:lang w:val="en-GB"/>
        </w:rPr>
        <w:t xml:space="preserve">d </w:t>
      </w:r>
      <w:r w:rsidRPr="00062CBB">
        <w:rPr>
          <w:lang w:val="en-GB"/>
        </w:rPr>
        <w:t>high</w:t>
      </w:r>
      <w:r>
        <w:rPr>
          <w:lang w:val="en-GB"/>
        </w:rPr>
        <w:t xml:space="preserve"> and increasing</w:t>
      </w:r>
      <w:r w:rsidRPr="00062CBB">
        <w:rPr>
          <w:lang w:val="en-GB"/>
        </w:rPr>
        <w:t xml:space="preserve"> </w:t>
      </w:r>
      <w:r>
        <w:rPr>
          <w:lang w:val="en-GB"/>
        </w:rPr>
        <w:t xml:space="preserve">levels of </w:t>
      </w:r>
      <w:r w:rsidRPr="00062CBB">
        <w:rPr>
          <w:lang w:val="en-GB"/>
        </w:rPr>
        <w:t>exit restrict</w:t>
      </w:r>
      <w:r>
        <w:rPr>
          <w:lang w:val="en-GB"/>
        </w:rPr>
        <w:t xml:space="preserve">iveness </w:t>
      </w:r>
      <w:r w:rsidRPr="008C4E3D">
        <w:rPr>
          <w:lang w:val="en-GB"/>
        </w:rPr>
        <w:t>for many</w:t>
      </w:r>
      <w:r>
        <w:rPr>
          <w:lang w:val="en-GB"/>
        </w:rPr>
        <w:t xml:space="preserve"> foreign</w:t>
      </w:r>
      <w:r w:rsidRPr="008C4E3D">
        <w:rPr>
          <w:lang w:val="en-GB"/>
        </w:rPr>
        <w:t xml:space="preserve"> travellers.</w:t>
      </w:r>
      <w:r>
        <w:rPr>
          <w:lang w:val="en-GB"/>
        </w:rPr>
        <w:t xml:space="preserve"> These restrictions might relate to the domestic issues related </w:t>
      </w:r>
      <w:r w:rsidR="00240D1F">
        <w:rPr>
          <w:lang w:val="en-GB"/>
        </w:rPr>
        <w:t xml:space="preserve">to </w:t>
      </w:r>
      <w:r>
        <w:rPr>
          <w:lang w:val="en-GB"/>
        </w:rPr>
        <w:t xml:space="preserve">the post-colonial wars stabilisation of the region, and the control of openness to internationalisation processes, which are beyond the scope of this paper. </w:t>
      </w:r>
      <w:r w:rsidRPr="008C4E3D">
        <w:rPr>
          <w:lang w:val="en-GB"/>
        </w:rPr>
        <w:t xml:space="preserve">Other countries </w:t>
      </w:r>
      <w:r>
        <w:rPr>
          <w:lang w:val="en-GB"/>
        </w:rPr>
        <w:t>such as Sudan and</w:t>
      </w:r>
      <w:r w:rsidRPr="008C4E3D">
        <w:rPr>
          <w:lang w:val="en-GB"/>
        </w:rPr>
        <w:t xml:space="preserve"> Tanzania only impose</w:t>
      </w:r>
      <w:r>
        <w:rPr>
          <w:lang w:val="en-GB"/>
        </w:rPr>
        <w:t>d</w:t>
      </w:r>
      <w:r w:rsidRPr="008C4E3D">
        <w:rPr>
          <w:lang w:val="en-GB"/>
        </w:rPr>
        <w:t xml:space="preserve"> exit</w:t>
      </w:r>
      <w:r w:rsidR="00240D1F">
        <w:rPr>
          <w:lang w:val="en-GB"/>
        </w:rPr>
        <w:t xml:space="preserve"> restrictions</w:t>
      </w:r>
      <w:r w:rsidRPr="008C4E3D">
        <w:rPr>
          <w:lang w:val="en-GB"/>
        </w:rPr>
        <w:t xml:space="preserve"> on their </w:t>
      </w:r>
      <w:r>
        <w:rPr>
          <w:lang w:val="en-GB"/>
        </w:rPr>
        <w:t xml:space="preserve">own </w:t>
      </w:r>
      <w:r w:rsidRPr="008C4E3D">
        <w:rPr>
          <w:lang w:val="en-GB"/>
        </w:rPr>
        <w:t xml:space="preserve">citizens. As with the regulation of </w:t>
      </w:r>
      <w:r>
        <w:rPr>
          <w:lang w:val="en-GB"/>
        </w:rPr>
        <w:t xml:space="preserve">entry </w:t>
      </w:r>
      <w:r w:rsidRPr="008C4E3D">
        <w:rPr>
          <w:lang w:val="en-GB"/>
        </w:rPr>
        <w:t>visas, geopoli</w:t>
      </w:r>
      <w:r>
        <w:rPr>
          <w:lang w:val="en-GB"/>
        </w:rPr>
        <w:t xml:space="preserve">tical shifts and processes of </w:t>
      </w:r>
      <w:r w:rsidR="00240D1F">
        <w:rPr>
          <w:lang w:val="en-GB"/>
        </w:rPr>
        <w:t xml:space="preserve">liberalisation </w:t>
      </w:r>
      <w:r>
        <w:rPr>
          <w:lang w:val="en-GB"/>
        </w:rPr>
        <w:t xml:space="preserve">and, to some extent, </w:t>
      </w:r>
      <w:r w:rsidR="00240D1F">
        <w:rPr>
          <w:lang w:val="en-GB"/>
        </w:rPr>
        <w:t xml:space="preserve">democratisation </w:t>
      </w:r>
      <w:r>
        <w:rPr>
          <w:lang w:val="en-GB"/>
        </w:rPr>
        <w:t>in</w:t>
      </w:r>
      <w:r w:rsidRPr="008C4E3D">
        <w:rPr>
          <w:lang w:val="en-GB"/>
        </w:rPr>
        <w:t xml:space="preserve"> these different countries led to </w:t>
      </w:r>
      <w:r>
        <w:rPr>
          <w:lang w:val="en-GB"/>
        </w:rPr>
        <w:t xml:space="preserve">a gradual lifting </w:t>
      </w:r>
      <w:r w:rsidRPr="008C4E3D">
        <w:rPr>
          <w:lang w:val="en-GB"/>
        </w:rPr>
        <w:t>of their exit controls</w:t>
      </w:r>
      <w:r>
        <w:rPr>
          <w:lang w:val="en-GB"/>
        </w:rPr>
        <w:t>, although this has not been a uniform development, with some countries moving in the opposite direction</w:t>
      </w:r>
      <w:r w:rsidRPr="008C4E3D">
        <w:rPr>
          <w:lang w:val="en-GB"/>
        </w:rPr>
        <w:t>.</w:t>
      </w:r>
      <w:r>
        <w:rPr>
          <w:lang w:val="en-GB"/>
        </w:rPr>
        <w:t xml:space="preserve"> This defies the idea of a general </w:t>
      </w:r>
      <w:r w:rsidR="006514A6">
        <w:rPr>
          <w:lang w:val="en-GB"/>
        </w:rPr>
        <w:t xml:space="preserve">abolition </w:t>
      </w:r>
      <w:r>
        <w:rPr>
          <w:lang w:val="en-GB"/>
        </w:rPr>
        <w:t xml:space="preserve">of exit restrictions, and shows that such trends can </w:t>
      </w:r>
      <w:r w:rsidR="00240D1F">
        <w:rPr>
          <w:lang w:val="en-GB"/>
        </w:rPr>
        <w:t xml:space="preserve">also </w:t>
      </w:r>
      <w:r>
        <w:rPr>
          <w:lang w:val="en-GB"/>
        </w:rPr>
        <w:t xml:space="preserve">be reversed, depending on the (autocratic or democratic) nature of governments. </w:t>
      </w:r>
      <w:r w:rsidRPr="008C4E3D">
        <w:rPr>
          <w:lang w:val="en-GB"/>
        </w:rPr>
        <w:t xml:space="preserve">We can see on the map how in the 1980s, exit restrictions </w:t>
      </w:r>
      <w:r w:rsidR="00B86599">
        <w:rPr>
          <w:lang w:val="en-GB"/>
        </w:rPr>
        <w:t>were</w:t>
      </w:r>
      <w:r w:rsidR="00B86599" w:rsidRPr="008C4E3D">
        <w:rPr>
          <w:lang w:val="en-GB"/>
        </w:rPr>
        <w:t xml:space="preserve"> </w:t>
      </w:r>
      <w:r w:rsidRPr="008C4E3D">
        <w:rPr>
          <w:lang w:val="en-GB"/>
        </w:rPr>
        <w:t xml:space="preserve">progressively lifted in many countries, but </w:t>
      </w:r>
      <w:r>
        <w:rPr>
          <w:lang w:val="en-GB"/>
        </w:rPr>
        <w:t xml:space="preserve">we </w:t>
      </w:r>
      <w:r w:rsidRPr="008C4E3D">
        <w:rPr>
          <w:lang w:val="en-GB"/>
        </w:rPr>
        <w:t xml:space="preserve">also </w:t>
      </w:r>
      <w:r>
        <w:rPr>
          <w:lang w:val="en-GB"/>
        </w:rPr>
        <w:t xml:space="preserve">see that other </w:t>
      </w:r>
      <w:r w:rsidRPr="008C4E3D">
        <w:rPr>
          <w:lang w:val="en-GB"/>
        </w:rPr>
        <w:t>countries which did not apply exit permits in the 1970s start</w:t>
      </w:r>
      <w:r w:rsidR="00B86599">
        <w:rPr>
          <w:lang w:val="en-GB"/>
        </w:rPr>
        <w:t>ed</w:t>
      </w:r>
      <w:r w:rsidRPr="008C4E3D">
        <w:rPr>
          <w:lang w:val="en-GB"/>
        </w:rPr>
        <w:t xml:space="preserve"> to regulate exit. For example, Angola </w:t>
      </w:r>
      <w:r w:rsidR="00B86599" w:rsidRPr="008C4E3D">
        <w:rPr>
          <w:lang w:val="en-GB"/>
        </w:rPr>
        <w:t>start</w:t>
      </w:r>
      <w:r w:rsidR="00B86599">
        <w:rPr>
          <w:lang w:val="en-GB"/>
        </w:rPr>
        <w:t>ed</w:t>
      </w:r>
      <w:r w:rsidR="00B86599" w:rsidRPr="008C4E3D">
        <w:rPr>
          <w:lang w:val="en-GB"/>
        </w:rPr>
        <w:t xml:space="preserve"> </w:t>
      </w:r>
      <w:r w:rsidRPr="008C4E3D">
        <w:rPr>
          <w:lang w:val="en-GB"/>
        </w:rPr>
        <w:t>imposing exit restrictions for most nationals from 1980 to the early 1990s</w:t>
      </w:r>
      <w:r>
        <w:rPr>
          <w:lang w:val="en-GB"/>
        </w:rPr>
        <w:t>, which might relate to the ongoing war in the country until the peace process in the 1990s</w:t>
      </w:r>
      <w:r w:rsidRPr="008C4E3D">
        <w:rPr>
          <w:lang w:val="en-GB"/>
        </w:rPr>
        <w:t xml:space="preserve">. </w:t>
      </w:r>
      <w:r>
        <w:rPr>
          <w:lang w:val="en-GB"/>
        </w:rPr>
        <w:t xml:space="preserve">In this period, </w:t>
      </w:r>
      <w:r w:rsidRPr="008C4E3D">
        <w:rPr>
          <w:lang w:val="en-GB"/>
        </w:rPr>
        <w:t>Asian countries</w:t>
      </w:r>
      <w:r>
        <w:rPr>
          <w:lang w:val="en-GB"/>
        </w:rPr>
        <w:t xml:space="preserve"> experience</w:t>
      </w:r>
      <w:r w:rsidR="00B86599">
        <w:rPr>
          <w:lang w:val="en-GB"/>
        </w:rPr>
        <w:t>d</w:t>
      </w:r>
      <w:r w:rsidRPr="008C4E3D">
        <w:rPr>
          <w:lang w:val="en-GB"/>
        </w:rPr>
        <w:t xml:space="preserve"> a</w:t>
      </w:r>
      <w:r>
        <w:rPr>
          <w:lang w:val="en-GB"/>
        </w:rPr>
        <w:t xml:space="preserve">n exit </w:t>
      </w:r>
      <w:r w:rsidRPr="008C4E3D">
        <w:rPr>
          <w:lang w:val="en-GB"/>
        </w:rPr>
        <w:t>liberalisation</w:t>
      </w:r>
      <w:r>
        <w:rPr>
          <w:lang w:val="en-GB"/>
        </w:rPr>
        <w:t xml:space="preserve"> wave</w:t>
      </w:r>
      <w:r w:rsidRPr="008C4E3D">
        <w:rPr>
          <w:lang w:val="en-GB"/>
        </w:rPr>
        <w:t xml:space="preserve">, with countries such as Jordan lifting exit permits </w:t>
      </w:r>
      <w:r>
        <w:rPr>
          <w:lang w:val="en-GB"/>
        </w:rPr>
        <w:t xml:space="preserve">also </w:t>
      </w:r>
      <w:r w:rsidRPr="008C4E3D">
        <w:rPr>
          <w:lang w:val="en-GB"/>
        </w:rPr>
        <w:t xml:space="preserve">for </w:t>
      </w:r>
      <w:r>
        <w:rPr>
          <w:lang w:val="en-GB"/>
        </w:rPr>
        <w:t xml:space="preserve">their </w:t>
      </w:r>
      <w:r w:rsidRPr="008C4E3D">
        <w:rPr>
          <w:lang w:val="en-GB"/>
        </w:rPr>
        <w:t xml:space="preserve">own citizens. </w:t>
      </w:r>
      <w:r>
        <w:rPr>
          <w:lang w:val="en-GB"/>
        </w:rPr>
        <w:t>In t</w:t>
      </w:r>
      <w:r w:rsidRPr="008C4E3D">
        <w:rPr>
          <w:lang w:val="en-GB"/>
        </w:rPr>
        <w:t xml:space="preserve">he 1990s and 2000s exit </w:t>
      </w:r>
      <w:r>
        <w:rPr>
          <w:lang w:val="en-GB"/>
        </w:rPr>
        <w:t xml:space="preserve">restrictions </w:t>
      </w:r>
      <w:r w:rsidR="00B86599">
        <w:rPr>
          <w:lang w:val="en-GB"/>
        </w:rPr>
        <w:t xml:space="preserve">stabilised </w:t>
      </w:r>
      <w:r>
        <w:rPr>
          <w:lang w:val="en-GB"/>
        </w:rPr>
        <w:t xml:space="preserve">at generally lower levels of restrictiveness, </w:t>
      </w:r>
      <w:r w:rsidRPr="008C4E3D">
        <w:rPr>
          <w:lang w:val="en-GB"/>
        </w:rPr>
        <w:t xml:space="preserve">with </w:t>
      </w:r>
      <w:r>
        <w:rPr>
          <w:lang w:val="en-GB"/>
        </w:rPr>
        <w:t xml:space="preserve">only </w:t>
      </w:r>
      <w:r w:rsidR="00B86599">
        <w:rPr>
          <w:lang w:val="en-GB"/>
        </w:rPr>
        <w:t xml:space="preserve">a </w:t>
      </w:r>
      <w:r>
        <w:rPr>
          <w:lang w:val="en-GB"/>
        </w:rPr>
        <w:t xml:space="preserve">few </w:t>
      </w:r>
      <w:r w:rsidRPr="008C4E3D">
        <w:rPr>
          <w:lang w:val="en-GB"/>
        </w:rPr>
        <w:t>exception</w:t>
      </w:r>
      <w:r>
        <w:rPr>
          <w:lang w:val="en-GB"/>
        </w:rPr>
        <w:t>s</w:t>
      </w:r>
      <w:r w:rsidRPr="008C4E3D">
        <w:rPr>
          <w:lang w:val="en-GB"/>
        </w:rPr>
        <w:t xml:space="preserve"> in Europe</w:t>
      </w:r>
      <w:r>
        <w:rPr>
          <w:lang w:val="en-GB"/>
        </w:rPr>
        <w:t xml:space="preserve">. Most countries that still impose exit </w:t>
      </w:r>
      <w:r w:rsidRPr="008C4E3D">
        <w:rPr>
          <w:lang w:val="en-GB"/>
        </w:rPr>
        <w:t xml:space="preserve">restrictions </w:t>
      </w:r>
      <w:r>
        <w:rPr>
          <w:lang w:val="en-GB"/>
        </w:rPr>
        <w:t xml:space="preserve">are located </w:t>
      </w:r>
      <w:r w:rsidRPr="008C4E3D">
        <w:rPr>
          <w:lang w:val="en-GB"/>
        </w:rPr>
        <w:t>in Asia (such as Afghanistan and China</w:t>
      </w:r>
      <w:r w:rsidR="00B86599">
        <w:rPr>
          <w:lang w:val="en-GB"/>
        </w:rPr>
        <w:t>,</w:t>
      </w:r>
      <w:r w:rsidRPr="008C4E3D">
        <w:rPr>
          <w:lang w:val="en-GB"/>
        </w:rPr>
        <w:t xml:space="preserve"> with requirements tracked in the IATA manuals until the mid-2000s) Africa (such as Benin, Cameroon, </w:t>
      </w:r>
      <w:r w:rsidR="00B86599">
        <w:rPr>
          <w:lang w:val="en-GB"/>
        </w:rPr>
        <w:t xml:space="preserve">the </w:t>
      </w:r>
      <w:r w:rsidRPr="008C4E3D">
        <w:rPr>
          <w:lang w:val="en-GB"/>
        </w:rPr>
        <w:t xml:space="preserve">Central African Republic, Chad, Lebanon, Liberia, </w:t>
      </w:r>
      <w:r w:rsidR="00B86599">
        <w:rPr>
          <w:lang w:val="en-GB"/>
        </w:rPr>
        <w:t>and</w:t>
      </w:r>
      <w:r w:rsidR="00B86599" w:rsidRPr="008C4E3D">
        <w:rPr>
          <w:lang w:val="en-GB"/>
        </w:rPr>
        <w:t xml:space="preserve"> </w:t>
      </w:r>
      <w:r w:rsidRPr="008C4E3D">
        <w:rPr>
          <w:lang w:val="en-GB"/>
        </w:rPr>
        <w:t>Niger)</w:t>
      </w:r>
      <w:r>
        <w:rPr>
          <w:lang w:val="en-GB"/>
        </w:rPr>
        <w:t xml:space="preserve"> and Cuba in the Americas (until 2013)</w:t>
      </w:r>
      <w:r w:rsidRPr="008C4E3D">
        <w:rPr>
          <w:lang w:val="en-GB"/>
        </w:rPr>
        <w:t xml:space="preserve">. </w:t>
      </w:r>
    </w:p>
    <w:p w14:paraId="0BB5FF69" w14:textId="1E4F34DF" w:rsidR="0085295C" w:rsidRPr="000868C5" w:rsidRDefault="000868C5" w:rsidP="005516E3">
      <w:pPr>
        <w:jc w:val="center"/>
        <w:rPr>
          <w:b/>
          <w:lang w:val="en-GB"/>
        </w:rPr>
      </w:pPr>
      <w:r w:rsidRPr="000868C5">
        <w:rPr>
          <w:b/>
          <w:lang w:val="en-GB"/>
        </w:rPr>
        <w:t>&lt;Figure 1</w:t>
      </w:r>
      <w:r w:rsidR="005516E3">
        <w:rPr>
          <w:b/>
          <w:lang w:val="en-GB"/>
        </w:rPr>
        <w:t>6</w:t>
      </w:r>
      <w:r w:rsidRPr="000868C5">
        <w:rPr>
          <w:b/>
          <w:lang w:val="en-GB"/>
        </w:rPr>
        <w:t xml:space="preserve"> about here&gt;</w:t>
      </w:r>
    </w:p>
    <w:p w14:paraId="05FBB3C5" w14:textId="77777777" w:rsidR="0085295C" w:rsidRPr="00D23F98" w:rsidRDefault="0085295C" w:rsidP="00D23F98">
      <w:pPr>
        <w:pStyle w:val="Heading1"/>
      </w:pPr>
      <w:r w:rsidRPr="00D23F98">
        <w:lastRenderedPageBreak/>
        <w:t xml:space="preserve">Conclusion </w:t>
      </w:r>
    </w:p>
    <w:p w14:paraId="0F7F649A" w14:textId="7769E947" w:rsidR="007E18CA" w:rsidRDefault="0085295C" w:rsidP="00D23F98">
      <w:pPr>
        <w:rPr>
          <w:rFonts w:ascii="Garamond" w:hAnsi="Garamond"/>
          <w:b/>
          <w:lang w:val="en-GB"/>
        </w:rPr>
      </w:pPr>
      <w:r w:rsidRPr="005F7C2F">
        <w:rPr>
          <w:lang w:val="en-GB"/>
        </w:rPr>
        <w:t xml:space="preserve">Drawing on </w:t>
      </w:r>
      <w:r>
        <w:rPr>
          <w:lang w:val="en-GB"/>
        </w:rPr>
        <w:t xml:space="preserve">DEMIG VISA, </w:t>
      </w:r>
      <w:r w:rsidRPr="005F7C2F">
        <w:rPr>
          <w:lang w:val="en-GB"/>
        </w:rPr>
        <w:t>a new</w:t>
      </w:r>
      <w:r>
        <w:rPr>
          <w:lang w:val="en-GB"/>
        </w:rPr>
        <w:t xml:space="preserve"> </w:t>
      </w:r>
      <w:r w:rsidRPr="005F7C2F">
        <w:rPr>
          <w:lang w:val="en-GB"/>
        </w:rPr>
        <w:t xml:space="preserve">database of bilateral travel restrictions from 1973 to </w:t>
      </w:r>
      <w:r w:rsidR="00493631" w:rsidRPr="005F7C2F">
        <w:rPr>
          <w:lang w:val="en-GB"/>
        </w:rPr>
        <w:t>201</w:t>
      </w:r>
      <w:r w:rsidR="00493631">
        <w:rPr>
          <w:lang w:val="en-GB"/>
        </w:rPr>
        <w:t>3, which offers unprecedented full global coverage, this paper</w:t>
      </w:r>
      <w:r w:rsidRPr="005F7C2F">
        <w:rPr>
          <w:lang w:val="en-GB"/>
        </w:rPr>
        <w:t xml:space="preserve"> </w:t>
      </w:r>
      <w:r w:rsidR="00493631">
        <w:rPr>
          <w:lang w:val="en-GB"/>
        </w:rPr>
        <w:t>investigates</w:t>
      </w:r>
      <w:r w:rsidRPr="005F7C2F">
        <w:rPr>
          <w:lang w:val="en-GB"/>
        </w:rPr>
        <w:t xml:space="preserve"> patterns and trends in international visa regimes</w:t>
      </w:r>
      <w:r w:rsidR="0027050A">
        <w:rPr>
          <w:lang w:val="en-GB"/>
        </w:rPr>
        <w:t xml:space="preserve"> </w:t>
      </w:r>
    </w:p>
    <w:p w14:paraId="4DFE360F" w14:textId="25450AE1" w:rsidR="0085295C" w:rsidRPr="0023707F" w:rsidRDefault="0027050A">
      <w:pPr>
        <w:ind w:firstLine="720"/>
        <w:rPr>
          <w:lang w:val="en-GB"/>
        </w:rPr>
      </w:pPr>
      <w:r>
        <w:rPr>
          <w:lang w:val="en-GB"/>
        </w:rPr>
        <w:t xml:space="preserve">Our findings </w:t>
      </w:r>
      <w:r w:rsidR="0085295C">
        <w:rPr>
          <w:lang w:val="en-GB"/>
        </w:rPr>
        <w:t xml:space="preserve">show the considerable potential of DEMIG VISA not only in terms of analysing visa regimes as such, but also in providing a unique lens through which to study and measure </w:t>
      </w:r>
      <w:r w:rsidR="0085295C" w:rsidRPr="0023707F">
        <w:rPr>
          <w:lang w:val="en-GB"/>
        </w:rPr>
        <w:t xml:space="preserve">the evolution of complex, multi-layered power </w:t>
      </w:r>
      <w:r w:rsidR="0085295C">
        <w:rPr>
          <w:lang w:val="en-GB"/>
        </w:rPr>
        <w:t>inequalities and symmetric</w:t>
      </w:r>
      <w:r w:rsidR="003C3500">
        <w:rPr>
          <w:lang w:val="en-GB"/>
        </w:rPr>
        <w:t>al</w:t>
      </w:r>
      <w:r w:rsidR="0085295C">
        <w:rPr>
          <w:lang w:val="en-GB"/>
        </w:rPr>
        <w:t xml:space="preserve"> and asymmetric</w:t>
      </w:r>
      <w:r w:rsidR="003C3500">
        <w:rPr>
          <w:lang w:val="en-GB"/>
        </w:rPr>
        <w:t>al</w:t>
      </w:r>
      <w:r w:rsidR="0085295C">
        <w:rPr>
          <w:lang w:val="en-GB"/>
        </w:rPr>
        <w:t xml:space="preserve"> alliances </w:t>
      </w:r>
      <w:r w:rsidR="0085295C" w:rsidRPr="0023707F">
        <w:rPr>
          <w:lang w:val="en-GB"/>
        </w:rPr>
        <w:t>between states</w:t>
      </w:r>
      <w:r w:rsidR="0085295C">
        <w:rPr>
          <w:lang w:val="en-GB"/>
        </w:rPr>
        <w:t xml:space="preserve"> as well as the dissolution and formation of states and regional blocs. Openness and closure of mobility </w:t>
      </w:r>
      <w:r w:rsidR="0085295C" w:rsidRPr="008C4E3D">
        <w:rPr>
          <w:lang w:val="en-GB"/>
        </w:rPr>
        <w:t>through</w:t>
      </w:r>
      <w:r w:rsidR="0085295C">
        <w:rPr>
          <w:lang w:val="en-GB"/>
        </w:rPr>
        <w:t xml:space="preserve"> travel </w:t>
      </w:r>
      <w:r w:rsidR="003C3500">
        <w:rPr>
          <w:lang w:val="en-GB"/>
        </w:rPr>
        <w:t xml:space="preserve">restrictions </w:t>
      </w:r>
      <w:r w:rsidR="0085295C">
        <w:rPr>
          <w:lang w:val="en-GB"/>
        </w:rPr>
        <w:t xml:space="preserve">do not only reflect the direction of migration policy regulations but also the broader context of bilateral and multilateral foreign policy relations. For instance, the paper </w:t>
      </w:r>
      <w:r w:rsidR="003C3500">
        <w:rPr>
          <w:lang w:val="en-GB"/>
        </w:rPr>
        <w:t xml:space="preserve">has </w:t>
      </w:r>
      <w:r w:rsidR="0085295C">
        <w:rPr>
          <w:lang w:val="en-GB"/>
        </w:rPr>
        <w:t xml:space="preserve">showed that the degree of visa reciprocity (which is the degree to which state A can impose a visa requirement on citizens from state B without state A having to fear a retaliating measure by state B for their own citizens) can be a valuable indicator of power asymmetries. </w:t>
      </w:r>
      <w:r w:rsidR="0085295C" w:rsidRPr="0023707F">
        <w:rPr>
          <w:lang w:val="en-GB"/>
        </w:rPr>
        <w:t>This allows us to go beyond simplified</w:t>
      </w:r>
      <w:r w:rsidR="003C3500">
        <w:rPr>
          <w:lang w:val="en-GB"/>
        </w:rPr>
        <w:t>,</w:t>
      </w:r>
      <w:r w:rsidR="0085295C" w:rsidRPr="0023707F">
        <w:rPr>
          <w:lang w:val="en-GB"/>
        </w:rPr>
        <w:t xml:space="preserve"> reductionist accounts of a global North</w:t>
      </w:r>
      <w:r w:rsidR="003C3500">
        <w:rPr>
          <w:lang w:val="en-GB"/>
        </w:rPr>
        <w:t>–</w:t>
      </w:r>
      <w:r w:rsidR="0085295C" w:rsidRPr="0023707F">
        <w:rPr>
          <w:lang w:val="en-GB"/>
        </w:rPr>
        <w:t xml:space="preserve">South divide and map continuities and discontinuities in complex inter-state relations as well as to study processes of </w:t>
      </w:r>
      <w:r w:rsidR="003C3500" w:rsidRPr="0023707F">
        <w:rPr>
          <w:lang w:val="en-GB"/>
        </w:rPr>
        <w:t>globali</w:t>
      </w:r>
      <w:r w:rsidR="003C3500">
        <w:rPr>
          <w:lang w:val="en-GB"/>
        </w:rPr>
        <w:t>s</w:t>
      </w:r>
      <w:r w:rsidR="003C3500" w:rsidRPr="0023707F">
        <w:rPr>
          <w:lang w:val="en-GB"/>
        </w:rPr>
        <w:t>ation</w:t>
      </w:r>
      <w:r w:rsidR="0085295C" w:rsidRPr="0023707F">
        <w:rPr>
          <w:lang w:val="en-GB"/>
        </w:rPr>
        <w:t>, regional</w:t>
      </w:r>
      <w:r w:rsidR="0085295C">
        <w:rPr>
          <w:lang w:val="en-GB"/>
        </w:rPr>
        <w:t xml:space="preserve"> opening</w:t>
      </w:r>
      <w:r w:rsidR="0085295C" w:rsidRPr="0023707F">
        <w:rPr>
          <w:lang w:val="en-GB"/>
        </w:rPr>
        <w:t xml:space="preserve"> and external closur</w:t>
      </w:r>
      <w:r w:rsidR="0085295C">
        <w:rPr>
          <w:lang w:val="en-GB"/>
        </w:rPr>
        <w:t xml:space="preserve">e. After all, visa regimes can be seen as an indicator that reflects the general closeness as well as political, social, cultural and economic ties between states and societies. </w:t>
      </w:r>
    </w:p>
    <w:p w14:paraId="2C6CC035" w14:textId="64A94820" w:rsidR="0085295C" w:rsidRDefault="0085295C" w:rsidP="00C51AC7">
      <w:pPr>
        <w:ind w:firstLine="720"/>
        <w:rPr>
          <w:lang w:val="en-GB"/>
        </w:rPr>
      </w:pPr>
      <w:r w:rsidRPr="005F7C2F">
        <w:rPr>
          <w:lang w:val="en-GB"/>
        </w:rPr>
        <w:t xml:space="preserve">While the </w:t>
      </w:r>
      <w:r>
        <w:rPr>
          <w:lang w:val="en-GB"/>
        </w:rPr>
        <w:t xml:space="preserve">clearest trend </w:t>
      </w:r>
      <w:r w:rsidRPr="005F7C2F">
        <w:rPr>
          <w:lang w:val="en-GB"/>
        </w:rPr>
        <w:t xml:space="preserve">has been </w:t>
      </w:r>
      <w:r>
        <w:rPr>
          <w:lang w:val="en-GB"/>
        </w:rPr>
        <w:t xml:space="preserve">an increased lifting </w:t>
      </w:r>
      <w:r w:rsidRPr="005F7C2F">
        <w:rPr>
          <w:lang w:val="en-GB"/>
        </w:rPr>
        <w:t xml:space="preserve">of exit </w:t>
      </w:r>
      <w:r>
        <w:rPr>
          <w:lang w:val="en-GB"/>
        </w:rPr>
        <w:t>restrictions (down from 26 to 16 per cent between 1973 and 2008)</w:t>
      </w:r>
      <w:r w:rsidRPr="005F7C2F">
        <w:rPr>
          <w:lang w:val="en-GB"/>
        </w:rPr>
        <w:t xml:space="preserve">, </w:t>
      </w:r>
      <w:r>
        <w:rPr>
          <w:lang w:val="en-GB"/>
        </w:rPr>
        <w:t xml:space="preserve">levels of </w:t>
      </w:r>
      <w:r w:rsidRPr="005F7C2F">
        <w:rPr>
          <w:lang w:val="en-GB"/>
        </w:rPr>
        <w:t>entry visa restricti</w:t>
      </w:r>
      <w:r>
        <w:rPr>
          <w:lang w:val="en-GB"/>
        </w:rPr>
        <w:t xml:space="preserve">veness </w:t>
      </w:r>
      <w:r w:rsidRPr="005F7C2F">
        <w:rPr>
          <w:lang w:val="en-GB"/>
        </w:rPr>
        <w:t xml:space="preserve">have remained remarkably stable at high levels of around </w:t>
      </w:r>
      <w:r>
        <w:rPr>
          <w:lang w:val="en-GB"/>
        </w:rPr>
        <w:t>73 per cent</w:t>
      </w:r>
      <w:r w:rsidRPr="005F7C2F">
        <w:rPr>
          <w:lang w:val="en-GB"/>
        </w:rPr>
        <w:t xml:space="preserve">. While predominantly European and North American OECD countries maintain high levels of entry visa restrictiveness for </w:t>
      </w:r>
      <w:r w:rsidR="00634A1D">
        <w:rPr>
          <w:lang w:val="en-GB"/>
        </w:rPr>
        <w:t xml:space="preserve">citizens from </w:t>
      </w:r>
      <w:r w:rsidRPr="005F7C2F">
        <w:rPr>
          <w:lang w:val="en-GB"/>
        </w:rPr>
        <w:t xml:space="preserve">regions like Africa and Asia, the latter regions have the highest overall levels of entry restrictions. Although citizens of wealthy countries generally enjoy </w:t>
      </w:r>
      <w:r w:rsidR="00634A1D">
        <w:rPr>
          <w:lang w:val="en-GB"/>
        </w:rPr>
        <w:t xml:space="preserve">the </w:t>
      </w:r>
      <w:r w:rsidRPr="005F7C2F">
        <w:rPr>
          <w:lang w:val="en-GB"/>
        </w:rPr>
        <w:t xml:space="preserve">greatest visa-free travel opportunities, this primarily reflects their freedom to travel to other OECD countries. </w:t>
      </w:r>
      <w:r w:rsidRPr="00CD554A">
        <w:rPr>
          <w:lang w:val="en-GB"/>
        </w:rPr>
        <w:t xml:space="preserve">The analysis highlights that </w:t>
      </w:r>
      <w:r>
        <w:rPr>
          <w:lang w:val="en-GB"/>
        </w:rPr>
        <w:t>v</w:t>
      </w:r>
      <w:r w:rsidRPr="005F7C2F">
        <w:rPr>
          <w:lang w:val="en-GB"/>
        </w:rPr>
        <w:t xml:space="preserve">isa-free travel is mostly </w:t>
      </w:r>
      <w:r w:rsidR="00634A1D" w:rsidRPr="005F7C2F">
        <w:rPr>
          <w:lang w:val="en-GB"/>
        </w:rPr>
        <w:t>reali</w:t>
      </w:r>
      <w:r w:rsidR="00634A1D">
        <w:rPr>
          <w:lang w:val="en-GB"/>
        </w:rPr>
        <w:t>s</w:t>
      </w:r>
      <w:r w:rsidR="00634A1D" w:rsidRPr="005F7C2F">
        <w:rPr>
          <w:lang w:val="en-GB"/>
        </w:rPr>
        <w:t xml:space="preserve">ed </w:t>
      </w:r>
      <w:r w:rsidRPr="005F7C2F">
        <w:rPr>
          <w:lang w:val="en-GB"/>
        </w:rPr>
        <w:t xml:space="preserve">between geographically </w:t>
      </w:r>
      <w:r w:rsidR="00634A1D">
        <w:rPr>
          <w:lang w:val="en-GB"/>
        </w:rPr>
        <w:t>contiguous</w:t>
      </w:r>
      <w:r w:rsidRPr="005F7C2F">
        <w:rPr>
          <w:lang w:val="en-GB"/>
        </w:rPr>
        <w:t xml:space="preserve"> countries of integrated </w:t>
      </w:r>
      <w:r>
        <w:rPr>
          <w:lang w:val="en-GB"/>
        </w:rPr>
        <w:t xml:space="preserve">regional </w:t>
      </w:r>
      <w:r w:rsidRPr="005F7C2F">
        <w:rPr>
          <w:lang w:val="en-GB"/>
        </w:rPr>
        <w:t xml:space="preserve">blocs such as the EU, GCC, MERCOSUR and ECOWAS. </w:t>
      </w:r>
      <w:r w:rsidRPr="00CD554A">
        <w:rPr>
          <w:lang w:val="en-GB"/>
        </w:rPr>
        <w:t xml:space="preserve">Such intra-regional opening up also explains the slightly decreasing trend of global visa restrictiveness since </w:t>
      </w:r>
      <w:r w:rsidR="00634A1D">
        <w:rPr>
          <w:lang w:val="en-GB"/>
        </w:rPr>
        <w:t xml:space="preserve">the </w:t>
      </w:r>
      <w:r w:rsidRPr="00CD554A">
        <w:rPr>
          <w:lang w:val="en-GB"/>
        </w:rPr>
        <w:t>2000s.</w:t>
      </w:r>
      <w:r w:rsidR="00CF1F28">
        <w:rPr>
          <w:lang w:val="en-GB"/>
        </w:rPr>
        <w:t xml:space="preserve"> </w:t>
      </w:r>
    </w:p>
    <w:p w14:paraId="6316742A" w14:textId="78B28A4A" w:rsidR="0085295C" w:rsidRPr="00C425D2" w:rsidRDefault="0085295C" w:rsidP="00C51AC7">
      <w:pPr>
        <w:ind w:firstLine="720"/>
        <w:rPr>
          <w:lang w:val="en-GB"/>
        </w:rPr>
      </w:pPr>
      <w:r w:rsidRPr="005F7C2F">
        <w:rPr>
          <w:lang w:val="en-GB"/>
        </w:rPr>
        <w:t>Analyses of global dynamics in visa reciprocity show that 21 per cent of the country</w:t>
      </w:r>
      <w:r w:rsidR="00FC5A84">
        <w:rPr>
          <w:lang w:val="en-GB"/>
        </w:rPr>
        <w:t xml:space="preserve"> </w:t>
      </w:r>
      <w:r w:rsidRPr="005F7C2F">
        <w:rPr>
          <w:lang w:val="en-GB"/>
        </w:rPr>
        <w:t>dyads have asymmetrical visa rules (e.g. France</w:t>
      </w:r>
      <w:r w:rsidR="000C472B">
        <w:rPr>
          <w:lang w:val="en-GB"/>
        </w:rPr>
        <w:t>–</w:t>
      </w:r>
      <w:r w:rsidRPr="005F7C2F">
        <w:rPr>
          <w:lang w:val="en-GB"/>
        </w:rPr>
        <w:t>Senegal or Cameroon</w:t>
      </w:r>
      <w:r w:rsidR="000C472B">
        <w:rPr>
          <w:lang w:val="en-GB"/>
        </w:rPr>
        <w:t>–</w:t>
      </w:r>
      <w:r w:rsidRPr="005F7C2F">
        <w:rPr>
          <w:lang w:val="en-GB"/>
        </w:rPr>
        <w:t>Botswana) but also show that levels of reciprocity have increased since the mid-</w:t>
      </w:r>
      <w:r>
        <w:rPr>
          <w:lang w:val="en-GB"/>
        </w:rPr>
        <w:t>19</w:t>
      </w:r>
      <w:r w:rsidRPr="005F7C2F">
        <w:rPr>
          <w:lang w:val="en-GB"/>
        </w:rPr>
        <w:t>90s</w:t>
      </w:r>
      <w:r>
        <w:rPr>
          <w:lang w:val="en-GB"/>
        </w:rPr>
        <w:t>, which seems to mainly reflect the formation of regional free-travel blocs</w:t>
      </w:r>
      <w:r w:rsidRPr="005F7C2F">
        <w:rPr>
          <w:lang w:val="en-GB"/>
        </w:rPr>
        <w:t xml:space="preserve">. </w:t>
      </w:r>
      <w:r w:rsidRPr="00C425D2">
        <w:rPr>
          <w:lang w:val="en-GB"/>
        </w:rPr>
        <w:t>We have argued that regional conglomerates have formed clusters of visa openness and external closure to satisfy requirements that privilege citizens of the regional group for internal mobility. This demonstrates the complexities of global visa regime</w:t>
      </w:r>
      <w:r w:rsidR="00262E6B">
        <w:rPr>
          <w:lang w:val="en-GB"/>
        </w:rPr>
        <w:t>s</w:t>
      </w:r>
      <w:r w:rsidRPr="00C425D2">
        <w:rPr>
          <w:lang w:val="en-GB"/>
        </w:rPr>
        <w:t xml:space="preserve">, </w:t>
      </w:r>
      <w:r w:rsidR="00262E6B">
        <w:rPr>
          <w:lang w:val="en-GB"/>
        </w:rPr>
        <w:t xml:space="preserve">challenging </w:t>
      </w:r>
      <w:r>
        <w:rPr>
          <w:lang w:val="en-GB"/>
        </w:rPr>
        <w:t xml:space="preserve">the idea of </w:t>
      </w:r>
      <w:r w:rsidRPr="00C425D2">
        <w:rPr>
          <w:lang w:val="en-GB"/>
        </w:rPr>
        <w:t>a North</w:t>
      </w:r>
      <w:r w:rsidR="009A058C">
        <w:rPr>
          <w:lang w:val="en-GB"/>
        </w:rPr>
        <w:t>–</w:t>
      </w:r>
      <w:r w:rsidRPr="00C425D2">
        <w:rPr>
          <w:lang w:val="en-GB"/>
        </w:rPr>
        <w:t>South divide. When looking at time</w:t>
      </w:r>
      <w:r>
        <w:rPr>
          <w:lang w:val="en-GB"/>
        </w:rPr>
        <w:t>s</w:t>
      </w:r>
      <w:r w:rsidRPr="00C425D2">
        <w:rPr>
          <w:lang w:val="en-GB"/>
        </w:rPr>
        <w:t xml:space="preserve"> </w:t>
      </w:r>
      <w:r>
        <w:rPr>
          <w:lang w:val="en-GB"/>
        </w:rPr>
        <w:t xml:space="preserve">when </w:t>
      </w:r>
      <w:r w:rsidRPr="00C425D2">
        <w:rPr>
          <w:lang w:val="en-GB"/>
        </w:rPr>
        <w:t>opening</w:t>
      </w:r>
      <w:r w:rsidR="009A058C">
        <w:rPr>
          <w:lang w:val="en-GB"/>
        </w:rPr>
        <w:t>–</w:t>
      </w:r>
      <w:r w:rsidRPr="00C425D2">
        <w:rPr>
          <w:lang w:val="en-GB"/>
        </w:rPr>
        <w:t xml:space="preserve">closure dynamics take place we have observed that </w:t>
      </w:r>
      <w:r>
        <w:rPr>
          <w:lang w:val="en-GB"/>
        </w:rPr>
        <w:t xml:space="preserve">entry </w:t>
      </w:r>
      <w:r w:rsidRPr="00C425D2">
        <w:rPr>
          <w:lang w:val="en-GB"/>
        </w:rPr>
        <w:t xml:space="preserve">regulations might have </w:t>
      </w:r>
      <w:r w:rsidR="009A058C">
        <w:rPr>
          <w:lang w:val="en-GB"/>
        </w:rPr>
        <w:t>been established</w:t>
      </w:r>
      <w:r w:rsidRPr="00C425D2">
        <w:rPr>
          <w:lang w:val="en-GB"/>
        </w:rPr>
        <w:t xml:space="preserve"> before the consolidation of the blocs due to similar geopol</w:t>
      </w:r>
      <w:r>
        <w:rPr>
          <w:lang w:val="en-GB"/>
        </w:rPr>
        <w:t xml:space="preserve">itical and economic interests. </w:t>
      </w:r>
      <w:r w:rsidRPr="00C425D2">
        <w:rPr>
          <w:lang w:val="en-GB"/>
        </w:rPr>
        <w:t>The paper also shows</w:t>
      </w:r>
      <w:r>
        <w:rPr>
          <w:lang w:val="en-GB"/>
        </w:rPr>
        <w:t xml:space="preserve"> </w:t>
      </w:r>
      <w:r w:rsidRPr="00C425D2">
        <w:rPr>
          <w:lang w:val="en-GB"/>
        </w:rPr>
        <w:t xml:space="preserve">the </w:t>
      </w:r>
      <w:r>
        <w:rPr>
          <w:lang w:val="en-GB"/>
        </w:rPr>
        <w:t xml:space="preserve">decreasing popularity </w:t>
      </w:r>
      <w:r w:rsidRPr="00C425D2">
        <w:rPr>
          <w:lang w:val="en-GB"/>
        </w:rPr>
        <w:t>of exit permits in the last decades, particula</w:t>
      </w:r>
      <w:r>
        <w:rPr>
          <w:lang w:val="en-GB"/>
        </w:rPr>
        <w:t xml:space="preserve">rly for Europe and the Americas, although this trend has not been linear and the quality of exit permit data is less consistent then entry visa data. </w:t>
      </w:r>
    </w:p>
    <w:p w14:paraId="6F7350F6" w14:textId="74517145" w:rsidR="0085295C" w:rsidRDefault="0085295C" w:rsidP="00C51AC7">
      <w:pPr>
        <w:ind w:firstLine="720"/>
        <w:rPr>
          <w:lang w:val="en-GB"/>
        </w:rPr>
      </w:pPr>
      <w:r>
        <w:rPr>
          <w:lang w:val="en-GB"/>
        </w:rPr>
        <w:t>The analysis also highlights</w:t>
      </w:r>
      <w:r w:rsidRPr="005F7C2F">
        <w:rPr>
          <w:lang w:val="en-GB"/>
        </w:rPr>
        <w:t xml:space="preserve"> that </w:t>
      </w:r>
      <w:r w:rsidR="003E14F8">
        <w:rPr>
          <w:lang w:val="en-GB"/>
        </w:rPr>
        <w:t xml:space="preserve">travel </w:t>
      </w:r>
      <w:r w:rsidRPr="005F7C2F">
        <w:rPr>
          <w:lang w:val="en-GB"/>
        </w:rPr>
        <w:t xml:space="preserve">visas are not ‘just’ instruments regulating </w:t>
      </w:r>
      <w:r w:rsidR="009A058C">
        <w:rPr>
          <w:lang w:val="en-GB"/>
        </w:rPr>
        <w:t xml:space="preserve">the </w:t>
      </w:r>
      <w:r w:rsidRPr="005F7C2F">
        <w:rPr>
          <w:lang w:val="en-GB"/>
        </w:rPr>
        <w:t>entry of visitors, but are manifestations of inequalities i</w:t>
      </w:r>
      <w:r>
        <w:rPr>
          <w:lang w:val="en-GB"/>
        </w:rPr>
        <w:t>n international power relations.</w:t>
      </w:r>
      <w:r w:rsidR="00262E6B">
        <w:rPr>
          <w:lang w:val="en-GB"/>
        </w:rPr>
        <w:t>T</w:t>
      </w:r>
      <w:r>
        <w:rPr>
          <w:lang w:val="en-GB"/>
        </w:rPr>
        <w:t xml:space="preserve">he </w:t>
      </w:r>
      <w:r w:rsidR="00262E6B">
        <w:rPr>
          <w:lang w:val="en-GB"/>
        </w:rPr>
        <w:t xml:space="preserve">most important </w:t>
      </w:r>
      <w:r>
        <w:rPr>
          <w:lang w:val="en-GB"/>
        </w:rPr>
        <w:t xml:space="preserve">observation is that the visa-free travel is primarily </w:t>
      </w:r>
      <w:r w:rsidR="009A058C">
        <w:rPr>
          <w:lang w:val="en-GB"/>
        </w:rPr>
        <w:t xml:space="preserve">realised </w:t>
      </w:r>
      <w:r>
        <w:rPr>
          <w:lang w:val="en-GB"/>
        </w:rPr>
        <w:t xml:space="preserve">within regional blocs as well as amongst OECD citizens. This challenges simplistic narratives according to which the ‘global North’ has increasingly closed its borders towards citizens of the ‘global South’. First, levels of visa restrictiveness were already high back in the 1970s, and the general pattern has been one of </w:t>
      </w:r>
      <w:r w:rsidR="009A058C">
        <w:rPr>
          <w:lang w:val="en-GB"/>
        </w:rPr>
        <w:lastRenderedPageBreak/>
        <w:t xml:space="preserve">stabilisation </w:t>
      </w:r>
      <w:r>
        <w:rPr>
          <w:lang w:val="en-GB"/>
        </w:rPr>
        <w:t xml:space="preserve">and slight decrease rather than increase, with the exception of parts of Africa. Second, the analysis showed that regional integration is primarily manifested through </w:t>
      </w:r>
      <w:r w:rsidRPr="0035673A">
        <w:rPr>
          <w:i/>
          <w:lang w:val="en-GB"/>
        </w:rPr>
        <w:t>internal</w:t>
      </w:r>
      <w:r>
        <w:rPr>
          <w:lang w:val="en-GB"/>
        </w:rPr>
        <w:t xml:space="preserve"> </w:t>
      </w:r>
      <w:r w:rsidR="009A058C">
        <w:rPr>
          <w:lang w:val="en-GB"/>
        </w:rPr>
        <w:t xml:space="preserve">liberalisation </w:t>
      </w:r>
      <w:r>
        <w:rPr>
          <w:lang w:val="en-GB"/>
        </w:rPr>
        <w:t xml:space="preserve">of visa regimes, and not through external closure, as visa restrictiveness was already high previously. This challenges the idea that internal </w:t>
      </w:r>
      <w:r w:rsidR="009A058C">
        <w:rPr>
          <w:lang w:val="en-GB"/>
        </w:rPr>
        <w:t xml:space="preserve">closure </w:t>
      </w:r>
      <w:r>
        <w:rPr>
          <w:lang w:val="en-GB"/>
        </w:rPr>
        <w:t xml:space="preserve">has coincided with increasing external closure. Third, developing countries in sub-Saharan Africa and South and South-East Asia are among the nations with the highest levels of inbound visa restrictiveness of the world. Thus, visa </w:t>
      </w:r>
      <w:r w:rsidR="009A058C">
        <w:rPr>
          <w:lang w:val="en-GB"/>
        </w:rPr>
        <w:t xml:space="preserve">liberalisation </w:t>
      </w:r>
      <w:r>
        <w:rPr>
          <w:lang w:val="en-GB"/>
        </w:rPr>
        <w:t xml:space="preserve">primarily reflects the integration and/or enlargement of regional blocs such as ECOWAS, the EU and the GCC. </w:t>
      </w:r>
    </w:p>
    <w:p w14:paraId="35F5E82D" w14:textId="29AA218B" w:rsidR="0085295C" w:rsidRDefault="0085295C" w:rsidP="00C51AC7">
      <w:pPr>
        <w:ind w:firstLine="720"/>
        <w:rPr>
          <w:lang w:val="en-GB"/>
        </w:rPr>
      </w:pPr>
      <w:r>
        <w:rPr>
          <w:lang w:val="en-GB"/>
        </w:rPr>
        <w:t>All of this exposes the deceiving nature of the North</w:t>
      </w:r>
      <w:r w:rsidR="009A058C">
        <w:rPr>
          <w:lang w:val="en-GB"/>
        </w:rPr>
        <w:t>–</w:t>
      </w:r>
      <w:r>
        <w:rPr>
          <w:lang w:val="en-GB"/>
        </w:rPr>
        <w:t xml:space="preserve">South framing of debates around mobility and migration, according to which the global North </w:t>
      </w:r>
      <w:r w:rsidR="009A058C">
        <w:rPr>
          <w:lang w:val="en-GB"/>
        </w:rPr>
        <w:t>closes</w:t>
      </w:r>
      <w:r>
        <w:rPr>
          <w:lang w:val="en-GB"/>
        </w:rPr>
        <w:t xml:space="preserve"> its doors to the global South. More generally, it corroborates more general criticism about the lack of meaningfulness of the ‘North’ and ‘South’ categories (cf. Bakewell</w:t>
      </w:r>
      <w:r w:rsidR="000C4DA4">
        <w:rPr>
          <w:lang w:val="en-GB"/>
        </w:rPr>
        <w:t>,</w:t>
      </w:r>
      <w:r>
        <w:rPr>
          <w:lang w:val="en-GB"/>
        </w:rPr>
        <w:t xml:space="preserve"> 2009). The analysis also defies the idea that overall levels of travel and visa restrictiveness are increasing. At the global level, visa </w:t>
      </w:r>
      <w:r w:rsidR="00D91F0D">
        <w:rPr>
          <w:lang w:val="en-GB"/>
        </w:rPr>
        <w:t xml:space="preserve">restrictions </w:t>
      </w:r>
      <w:r>
        <w:rPr>
          <w:lang w:val="en-GB"/>
        </w:rPr>
        <w:t>are rather</w:t>
      </w:r>
      <w:r w:rsidR="00D91F0D">
        <w:rPr>
          <w:lang w:val="en-GB"/>
        </w:rPr>
        <w:t xml:space="preserve"> slightly decreasing</w:t>
      </w:r>
      <w:r w:rsidR="00262E6B">
        <w:rPr>
          <w:lang w:val="en-GB"/>
        </w:rPr>
        <w:t xml:space="preserve">. Yet our </w:t>
      </w:r>
      <w:r>
        <w:rPr>
          <w:lang w:val="en-GB"/>
        </w:rPr>
        <w:t xml:space="preserve">most important observation </w:t>
      </w:r>
      <w:r w:rsidR="00262E6B">
        <w:rPr>
          <w:lang w:val="en-GB"/>
        </w:rPr>
        <w:t xml:space="preserve">remains </w:t>
      </w:r>
      <w:r>
        <w:rPr>
          <w:lang w:val="en-GB"/>
        </w:rPr>
        <w:t xml:space="preserve">that international configuration of visa regimes </w:t>
      </w:r>
      <w:r w:rsidR="00E61D4F">
        <w:rPr>
          <w:lang w:val="en-GB"/>
        </w:rPr>
        <w:t xml:space="preserve">is </w:t>
      </w:r>
      <w:r>
        <w:rPr>
          <w:lang w:val="en-GB"/>
        </w:rPr>
        <w:t xml:space="preserve">primarily </w:t>
      </w:r>
      <w:r w:rsidR="00E61D4F">
        <w:rPr>
          <w:lang w:val="en-GB"/>
        </w:rPr>
        <w:t xml:space="preserve">realised </w:t>
      </w:r>
      <w:r>
        <w:rPr>
          <w:lang w:val="en-GB"/>
        </w:rPr>
        <w:t>as part of regional alliances and the formation of regional blocs. Instead of a global mobility divide, it is therefore perhaps more appropriate to speak of multiple regional mobility divides in an increasingly multi</w:t>
      </w:r>
      <w:r w:rsidR="00E61D4F">
        <w:rPr>
          <w:lang w:val="en-GB"/>
        </w:rPr>
        <w:t>-</w:t>
      </w:r>
      <w:r>
        <w:rPr>
          <w:lang w:val="en-GB"/>
        </w:rPr>
        <w:t xml:space="preserve">polar world. </w:t>
      </w:r>
    </w:p>
    <w:p w14:paraId="5F961237" w14:textId="73847D81" w:rsidR="00C4779E" w:rsidRDefault="00C4779E" w:rsidP="00C51AC7">
      <w:pPr>
        <w:ind w:firstLine="720"/>
        <w:rPr>
          <w:lang w:val="en-GB"/>
        </w:rPr>
      </w:pPr>
      <w:r>
        <w:rPr>
          <w:lang w:val="en-GB"/>
        </w:rPr>
        <w:t xml:space="preserve">Overall, the analysis shows that visa barriers remain the rule rather than the exception. In general, only states that are part of regional alliances or that share strong cultural and historical bonds tend to grant visa-free travel. As an important and relatively effective instrument of migration control and, the analysis in this paper that states are generally unwilling to give up their sovereignty in terms of controlling the entry of real and potential migrants as well as refugees. In this context visa regimes – and migration policy more generally – should not necessarily be seen as an instrument to restrict entry per se, but as instruments that allow states to control the selection of migrants in terms of their characteristics  such as education, wealth, age, ethnicity and gender. This exemplifies that modern migration regimes work as ‘filters’ than as ‘barriers’, and that visa regimes play a key role in implementing such migration policies. </w:t>
      </w:r>
    </w:p>
    <w:p w14:paraId="67FB62FC" w14:textId="77777777" w:rsidR="00C4779E" w:rsidRPr="008C4E3D" w:rsidRDefault="00C4779E" w:rsidP="00C51AC7">
      <w:pPr>
        <w:ind w:firstLine="720"/>
        <w:rPr>
          <w:lang w:val="en-GB"/>
        </w:rPr>
      </w:pPr>
    </w:p>
    <w:p w14:paraId="35D8D519" w14:textId="72CACAFB" w:rsidR="0085295C" w:rsidRDefault="0085295C" w:rsidP="00D23F98">
      <w:pPr>
        <w:pStyle w:val="Heading1"/>
      </w:pPr>
      <w:r w:rsidRPr="009A6513">
        <w:t>Appendix </w:t>
      </w:r>
    </w:p>
    <w:p w14:paraId="1E5109F2" w14:textId="77777777" w:rsidR="000868C5" w:rsidRDefault="000868C5" w:rsidP="00641DE3">
      <w:pPr>
        <w:jc w:val="left"/>
        <w:rPr>
          <w:b/>
          <w:lang w:val="en-GB"/>
        </w:rPr>
      </w:pPr>
    </w:p>
    <w:p w14:paraId="0D8D2894" w14:textId="77777777" w:rsidR="000868C5" w:rsidRDefault="000868C5" w:rsidP="00641DE3">
      <w:pPr>
        <w:jc w:val="left"/>
        <w:rPr>
          <w:b/>
          <w:lang w:val="en-GB"/>
        </w:rPr>
      </w:pPr>
      <w:r>
        <w:rPr>
          <w:b/>
          <w:lang w:val="en-GB"/>
        </w:rPr>
        <w:t>&lt;Figures A1 and A2 about here&gt;</w:t>
      </w:r>
    </w:p>
    <w:p w14:paraId="25F74B14" w14:textId="7B5A7141" w:rsidR="000868C5" w:rsidRDefault="000868C5" w:rsidP="00641DE3">
      <w:pPr>
        <w:jc w:val="left"/>
        <w:rPr>
          <w:b/>
          <w:lang w:val="en-GB"/>
        </w:rPr>
      </w:pPr>
      <w:r>
        <w:rPr>
          <w:b/>
          <w:lang w:val="en-GB"/>
        </w:rPr>
        <w:t>&lt;Table A1 about here&gt;</w:t>
      </w:r>
    </w:p>
    <w:p w14:paraId="1B0800A8" w14:textId="77777777" w:rsidR="000868C5" w:rsidRDefault="000868C5" w:rsidP="00641DE3">
      <w:pPr>
        <w:jc w:val="left"/>
        <w:rPr>
          <w:b/>
          <w:lang w:val="en-GB"/>
        </w:rPr>
      </w:pPr>
    </w:p>
    <w:p w14:paraId="4CAB2E9E" w14:textId="262293F2" w:rsidR="000868C5" w:rsidRDefault="000868C5">
      <w:pPr>
        <w:autoSpaceDE/>
        <w:autoSpaceDN/>
        <w:adjustRightInd/>
        <w:spacing w:after="0" w:line="240" w:lineRule="auto"/>
        <w:jc w:val="left"/>
        <w:rPr>
          <w:lang w:val="en-GB"/>
        </w:rPr>
      </w:pPr>
    </w:p>
    <w:p w14:paraId="303C4D48" w14:textId="1301181F" w:rsidR="000868C5" w:rsidRDefault="000868C5" w:rsidP="0085295C">
      <w:pPr>
        <w:rPr>
          <w:lang w:val="en-GB"/>
        </w:rPr>
      </w:pPr>
    </w:p>
    <w:p w14:paraId="2C0710F7" w14:textId="77777777" w:rsidR="000868C5" w:rsidRDefault="000868C5">
      <w:pPr>
        <w:autoSpaceDE/>
        <w:autoSpaceDN/>
        <w:adjustRightInd/>
        <w:spacing w:after="0" w:line="240" w:lineRule="auto"/>
        <w:jc w:val="left"/>
        <w:rPr>
          <w:lang w:val="en-GB"/>
        </w:rPr>
      </w:pPr>
      <w:r>
        <w:rPr>
          <w:lang w:val="en-GB"/>
        </w:rPr>
        <w:br w:type="page"/>
      </w:r>
    </w:p>
    <w:p w14:paraId="11C383B7" w14:textId="77777777" w:rsidR="0085295C" w:rsidRPr="00A519AB" w:rsidRDefault="0085295C" w:rsidP="00D23F98">
      <w:pPr>
        <w:pStyle w:val="Heading1"/>
      </w:pPr>
      <w:r w:rsidRPr="00A519AB">
        <w:lastRenderedPageBreak/>
        <w:t>References</w:t>
      </w:r>
    </w:p>
    <w:p w14:paraId="14A0AE44" w14:textId="77777777" w:rsidR="0085295C" w:rsidRPr="00A519AB" w:rsidRDefault="0085295C" w:rsidP="0085295C">
      <w:pPr>
        <w:pStyle w:val="EndNoteBibliography"/>
        <w:ind w:left="720" w:hanging="720"/>
        <w:rPr>
          <w:rFonts w:ascii="Garamond" w:hAnsi="Garamond" w:cs="Times New Roman"/>
          <w:lang w:val="en-GB"/>
        </w:rPr>
      </w:pPr>
    </w:p>
    <w:p w14:paraId="734A35AD" w14:textId="54ACE09E" w:rsidR="0085295C" w:rsidRDefault="0085295C" w:rsidP="002D3F61">
      <w:pPr>
        <w:rPr>
          <w:lang w:eastAsia="en-GB"/>
        </w:rPr>
      </w:pPr>
      <w:r>
        <w:rPr>
          <w:lang w:eastAsia="en-GB"/>
        </w:rPr>
        <w:t>Al</w:t>
      </w:r>
      <w:r w:rsidR="002D3F61">
        <w:rPr>
          <w:lang w:eastAsia="en-GB"/>
        </w:rPr>
        <w:t xml:space="preserve"> </w:t>
      </w:r>
      <w:r>
        <w:rPr>
          <w:lang w:eastAsia="en-GB"/>
        </w:rPr>
        <w:t xml:space="preserve">Jazeera </w:t>
      </w:r>
      <w:r w:rsidR="002D3F61">
        <w:rPr>
          <w:lang w:eastAsia="en-GB"/>
        </w:rPr>
        <w:t>(</w:t>
      </w:r>
      <w:r>
        <w:rPr>
          <w:lang w:eastAsia="en-GB"/>
        </w:rPr>
        <w:t>2017</w:t>
      </w:r>
      <w:r w:rsidR="002D3F61">
        <w:rPr>
          <w:lang w:eastAsia="en-GB"/>
        </w:rPr>
        <w:t>a)</w:t>
      </w:r>
      <w:r>
        <w:rPr>
          <w:lang w:eastAsia="en-GB"/>
        </w:rPr>
        <w:t xml:space="preserve"> </w:t>
      </w:r>
      <w:r w:rsidR="002D3F61">
        <w:rPr>
          <w:lang w:eastAsia="en-GB"/>
        </w:rPr>
        <w:t>‘</w:t>
      </w:r>
      <w:r w:rsidRPr="008A2845">
        <w:rPr>
          <w:lang w:eastAsia="en-GB"/>
        </w:rPr>
        <w:t>Federal judge blocks Donald Trump's immigration ban</w:t>
      </w:r>
      <w:r w:rsidR="002D3F61">
        <w:rPr>
          <w:lang w:eastAsia="en-GB"/>
        </w:rPr>
        <w:t>’</w:t>
      </w:r>
      <w:r>
        <w:rPr>
          <w:lang w:eastAsia="en-GB"/>
        </w:rPr>
        <w:t>,</w:t>
      </w:r>
      <w:r w:rsidR="002D3F61">
        <w:rPr>
          <w:lang w:eastAsia="en-GB"/>
        </w:rPr>
        <w:t xml:space="preserve"> Available at:</w:t>
      </w:r>
      <w:r>
        <w:rPr>
          <w:lang w:eastAsia="en-GB"/>
        </w:rPr>
        <w:t xml:space="preserve"> </w:t>
      </w:r>
      <w:hyperlink r:id="rId9" w:history="1">
        <w:r w:rsidRPr="00047F66">
          <w:rPr>
            <w:rStyle w:val="Hyperlink"/>
            <w:rFonts w:ascii="Garamond" w:eastAsia="Times New Roman" w:hAnsi="Garamond"/>
            <w:bCs/>
            <w:lang w:eastAsia="en-GB"/>
          </w:rPr>
          <w:t>http://www.aljazeera.com/news/2017/02/federal-judge-blocks-donald-trump-immigration-ban-170204032306765.html</w:t>
        </w:r>
      </w:hyperlink>
      <w:r>
        <w:rPr>
          <w:lang w:eastAsia="en-GB"/>
        </w:rPr>
        <w:t xml:space="preserve">; retrieved 20 March 2017. </w:t>
      </w:r>
    </w:p>
    <w:p w14:paraId="00FA18ED" w14:textId="22190E78" w:rsidR="0085295C" w:rsidRPr="00A519AB" w:rsidRDefault="0085295C" w:rsidP="002D3F61">
      <w:pPr>
        <w:rPr>
          <w:lang w:val="en-GB" w:eastAsia="en-GB"/>
        </w:rPr>
      </w:pPr>
      <w:r w:rsidRPr="00A519AB">
        <w:rPr>
          <w:lang w:eastAsia="en-GB"/>
        </w:rPr>
        <w:t>Al</w:t>
      </w:r>
      <w:r w:rsidR="002D3F61">
        <w:rPr>
          <w:lang w:eastAsia="en-GB"/>
        </w:rPr>
        <w:t xml:space="preserve"> </w:t>
      </w:r>
      <w:r w:rsidRPr="00A519AB">
        <w:rPr>
          <w:lang w:eastAsia="en-GB"/>
        </w:rPr>
        <w:t xml:space="preserve">Jazeera </w:t>
      </w:r>
      <w:r w:rsidR="002D3F61">
        <w:rPr>
          <w:lang w:eastAsia="en-GB"/>
        </w:rPr>
        <w:t>(</w:t>
      </w:r>
      <w:r w:rsidRPr="00A519AB">
        <w:rPr>
          <w:lang w:eastAsia="en-GB"/>
        </w:rPr>
        <w:t>2017</w:t>
      </w:r>
      <w:r w:rsidR="002D3F61">
        <w:rPr>
          <w:lang w:eastAsia="en-GB"/>
        </w:rPr>
        <w:t>b)</w:t>
      </w:r>
      <w:r w:rsidRPr="00A519AB">
        <w:rPr>
          <w:lang w:eastAsia="en-GB"/>
        </w:rPr>
        <w:t xml:space="preserve"> </w:t>
      </w:r>
      <w:r w:rsidR="002D3F61">
        <w:rPr>
          <w:lang w:eastAsia="en-GB"/>
        </w:rPr>
        <w:t>‘</w:t>
      </w:r>
      <w:r w:rsidRPr="00A519AB">
        <w:rPr>
          <w:lang w:eastAsia="en-GB"/>
        </w:rPr>
        <w:t>Abadi: Iraq will not retaliate against US travel ban</w:t>
      </w:r>
      <w:r w:rsidR="002D3F61">
        <w:rPr>
          <w:lang w:eastAsia="en-GB"/>
        </w:rPr>
        <w:t>’,</w:t>
      </w:r>
      <w:r w:rsidRPr="00A519AB">
        <w:rPr>
          <w:lang w:eastAsia="en-GB"/>
        </w:rPr>
        <w:t xml:space="preserve"> </w:t>
      </w:r>
      <w:hyperlink r:id="rId10" w:history="1">
        <w:r w:rsidRPr="00A519AB">
          <w:rPr>
            <w:rStyle w:val="Hyperlink"/>
            <w:rFonts w:ascii="Garamond" w:eastAsia="Times New Roman" w:hAnsi="Garamond"/>
            <w:lang w:val="en-GB" w:eastAsia="en-GB"/>
          </w:rPr>
          <w:t>http://www.aljazeera.com/news/2017/01/abadi-iraq-retaliate-travel-ban-170131140713723.html</w:t>
        </w:r>
      </w:hyperlink>
      <w:r w:rsidRPr="00A519AB">
        <w:rPr>
          <w:lang w:val="en-GB" w:eastAsia="en-GB"/>
        </w:rPr>
        <w:t xml:space="preserve">; retrieved 4 February 2017. </w:t>
      </w:r>
    </w:p>
    <w:p w14:paraId="159ADEF1" w14:textId="3E69E496" w:rsidR="0085295C" w:rsidRPr="006E6184" w:rsidRDefault="0085295C" w:rsidP="002D3F61">
      <w:pPr>
        <w:rPr>
          <w:lang w:val="en-GB"/>
        </w:rPr>
      </w:pPr>
      <w:r w:rsidRPr="006E6184">
        <w:rPr>
          <w:lang w:val="en-GB"/>
        </w:rPr>
        <w:t>Anderson, B</w:t>
      </w:r>
      <w:r w:rsidR="002D3F61">
        <w:rPr>
          <w:lang w:val="en-GB"/>
        </w:rPr>
        <w:t>.</w:t>
      </w:r>
      <w:r w:rsidRPr="006E6184">
        <w:rPr>
          <w:lang w:val="en-GB"/>
        </w:rPr>
        <w:t xml:space="preserve"> </w:t>
      </w:r>
      <w:r w:rsidR="002D3F61">
        <w:rPr>
          <w:lang w:val="en-GB"/>
        </w:rPr>
        <w:t>(</w:t>
      </w:r>
      <w:r w:rsidRPr="006E6184">
        <w:rPr>
          <w:lang w:val="en-GB"/>
        </w:rPr>
        <w:t>1983</w:t>
      </w:r>
      <w:r w:rsidR="002D3F61">
        <w:rPr>
          <w:lang w:val="en-GB"/>
        </w:rPr>
        <w:t>)</w:t>
      </w:r>
      <w:r w:rsidRPr="006E6184">
        <w:rPr>
          <w:lang w:val="en-GB"/>
        </w:rPr>
        <w:t xml:space="preserve"> </w:t>
      </w:r>
      <w:r w:rsidRPr="00A519AB">
        <w:rPr>
          <w:i/>
          <w:lang w:val="en-GB"/>
        </w:rPr>
        <w:t>Imagined communities: reflections on the origin and spread of nationalism.</w:t>
      </w:r>
      <w:r w:rsidRPr="006E6184">
        <w:rPr>
          <w:lang w:val="en-GB"/>
        </w:rPr>
        <w:t xml:space="preserve"> London: Verso.</w:t>
      </w:r>
    </w:p>
    <w:p w14:paraId="716788C8" w14:textId="6FC7C322" w:rsidR="0085295C" w:rsidRPr="00FB6AFE" w:rsidRDefault="0085295C" w:rsidP="002D3F61">
      <w:pPr>
        <w:rPr>
          <w:lang w:val="en-GB"/>
        </w:rPr>
      </w:pPr>
      <w:r>
        <w:rPr>
          <w:lang w:val="en-GB"/>
        </w:rPr>
        <w:t>Bakewell, O</w:t>
      </w:r>
      <w:r w:rsidR="002D3F61">
        <w:rPr>
          <w:lang w:val="en-GB"/>
        </w:rPr>
        <w:t>.</w:t>
      </w:r>
      <w:r w:rsidRPr="00FB6AFE">
        <w:rPr>
          <w:lang w:val="en-GB"/>
        </w:rPr>
        <w:t xml:space="preserve"> </w:t>
      </w:r>
      <w:r w:rsidR="002D3F61">
        <w:rPr>
          <w:lang w:val="en-GB"/>
        </w:rPr>
        <w:t>(</w:t>
      </w:r>
      <w:r w:rsidRPr="00FB6AFE">
        <w:rPr>
          <w:lang w:val="en-GB"/>
        </w:rPr>
        <w:t>2009</w:t>
      </w:r>
      <w:r w:rsidR="002D3F61">
        <w:rPr>
          <w:lang w:val="en-GB"/>
        </w:rPr>
        <w:t>)</w:t>
      </w:r>
      <w:r w:rsidR="00CF1F28">
        <w:rPr>
          <w:lang w:val="en-GB"/>
        </w:rPr>
        <w:t xml:space="preserve"> </w:t>
      </w:r>
      <w:r w:rsidR="002D3F61">
        <w:rPr>
          <w:lang w:val="en-GB"/>
        </w:rPr>
        <w:t>‘</w:t>
      </w:r>
      <w:r w:rsidRPr="00C51AC7">
        <w:rPr>
          <w:lang w:val="en-GB"/>
        </w:rPr>
        <w:t>South</w:t>
      </w:r>
      <w:r w:rsidR="002D3F61">
        <w:rPr>
          <w:lang w:val="en-GB"/>
        </w:rPr>
        <w:t>–</w:t>
      </w:r>
      <w:r w:rsidRPr="00C51AC7">
        <w:rPr>
          <w:lang w:val="en-GB"/>
        </w:rPr>
        <w:t>South Migration and Human Development: Reflections on African Experiences</w:t>
      </w:r>
      <w:r w:rsidR="002D3F61">
        <w:rPr>
          <w:lang w:val="en-GB"/>
        </w:rPr>
        <w:t>’</w:t>
      </w:r>
      <w:r w:rsidRPr="00A519AB">
        <w:rPr>
          <w:i/>
          <w:lang w:val="en-GB"/>
        </w:rPr>
        <w:t>.</w:t>
      </w:r>
      <w:r w:rsidRPr="00FB6AFE">
        <w:rPr>
          <w:lang w:val="en-GB"/>
        </w:rPr>
        <w:t xml:space="preserve"> New York: UNDP</w:t>
      </w:r>
      <w:r w:rsidR="002D3F61">
        <w:rPr>
          <w:lang w:val="en-GB"/>
        </w:rPr>
        <w:t>.</w:t>
      </w:r>
      <w:r w:rsidRPr="00FB6AFE">
        <w:rPr>
          <w:lang w:val="en-GB"/>
        </w:rPr>
        <w:t xml:space="preserve"> </w:t>
      </w:r>
    </w:p>
    <w:p w14:paraId="2BF76611" w14:textId="45E022D2" w:rsidR="0085295C" w:rsidRDefault="0085295C" w:rsidP="002D3F61">
      <w:pPr>
        <w:rPr>
          <w:lang w:val="en-GB"/>
        </w:rPr>
      </w:pPr>
      <w:r>
        <w:rPr>
          <w:lang w:val="en-GB"/>
        </w:rPr>
        <w:t>Betancourt, R</w:t>
      </w:r>
      <w:r w:rsidR="002D3F61">
        <w:rPr>
          <w:lang w:val="en-GB"/>
        </w:rPr>
        <w:t>.</w:t>
      </w:r>
      <w:r>
        <w:rPr>
          <w:lang w:val="en-GB"/>
        </w:rPr>
        <w:t xml:space="preserve"> </w:t>
      </w:r>
      <w:r w:rsidRPr="009B2719">
        <w:rPr>
          <w:lang w:val="en-GB"/>
        </w:rPr>
        <w:t xml:space="preserve">R. </w:t>
      </w:r>
      <w:r w:rsidR="002D3F61">
        <w:rPr>
          <w:lang w:val="en-GB"/>
        </w:rPr>
        <w:t>(</w:t>
      </w:r>
      <w:r w:rsidRPr="009B2719">
        <w:rPr>
          <w:lang w:val="en-GB"/>
        </w:rPr>
        <w:t>2014</w:t>
      </w:r>
      <w:r w:rsidR="002D3F61">
        <w:rPr>
          <w:lang w:val="en-GB"/>
        </w:rPr>
        <w:t>)</w:t>
      </w:r>
      <w:r w:rsidRPr="009B2719">
        <w:rPr>
          <w:lang w:val="en-GB"/>
        </w:rPr>
        <w:t xml:space="preserve"> </w:t>
      </w:r>
      <w:r w:rsidR="002D3F61">
        <w:rPr>
          <w:lang w:val="en-GB"/>
        </w:rPr>
        <w:t>‘</w:t>
      </w:r>
      <w:r w:rsidRPr="009B2719">
        <w:rPr>
          <w:lang w:val="en-GB"/>
        </w:rPr>
        <w:t xml:space="preserve">Should the US lift the Cuban embargo? Yes; </w:t>
      </w:r>
      <w:r>
        <w:rPr>
          <w:lang w:val="en-GB"/>
        </w:rPr>
        <w:t>it already has; and it depends!</w:t>
      </w:r>
      <w:r w:rsidR="002D3F61">
        <w:rPr>
          <w:lang w:val="en-GB"/>
        </w:rPr>
        <w:t>’</w:t>
      </w:r>
      <w:r w:rsidRPr="009B2719">
        <w:rPr>
          <w:lang w:val="en-GB"/>
        </w:rPr>
        <w:t xml:space="preserve"> </w:t>
      </w:r>
      <w:r w:rsidRPr="00A519AB">
        <w:rPr>
          <w:i/>
          <w:lang w:val="en-GB"/>
        </w:rPr>
        <w:t>Cuba in Transition</w:t>
      </w:r>
      <w:r w:rsidRPr="009B2719">
        <w:rPr>
          <w:lang w:val="en-GB"/>
        </w:rPr>
        <w:t>, 23</w:t>
      </w:r>
      <w:r>
        <w:rPr>
          <w:lang w:val="en-GB"/>
        </w:rPr>
        <w:t>: 175</w:t>
      </w:r>
      <w:r w:rsidR="002D3F61">
        <w:rPr>
          <w:lang w:val="en-GB"/>
        </w:rPr>
        <w:t>–</w:t>
      </w:r>
      <w:r>
        <w:rPr>
          <w:lang w:val="en-GB"/>
        </w:rPr>
        <w:t>185</w:t>
      </w:r>
      <w:r w:rsidRPr="009B2719">
        <w:rPr>
          <w:lang w:val="en-GB"/>
        </w:rPr>
        <w:t>.</w:t>
      </w:r>
    </w:p>
    <w:p w14:paraId="4D1370B8" w14:textId="0969A31F" w:rsidR="0085295C" w:rsidRPr="00FB6AFE" w:rsidRDefault="0085295C" w:rsidP="002D3F61">
      <w:pPr>
        <w:rPr>
          <w:lang w:val="en-GB"/>
        </w:rPr>
      </w:pPr>
      <w:r w:rsidRPr="00FB6AFE">
        <w:rPr>
          <w:lang w:val="en-GB"/>
        </w:rPr>
        <w:t xml:space="preserve">Bourguignon, F. </w:t>
      </w:r>
      <w:r w:rsidR="002D3F61">
        <w:rPr>
          <w:lang w:val="en-GB"/>
        </w:rPr>
        <w:t>(</w:t>
      </w:r>
      <w:r w:rsidRPr="00FB6AFE">
        <w:rPr>
          <w:lang w:val="en-GB"/>
        </w:rPr>
        <w:t>1977</w:t>
      </w:r>
      <w:r w:rsidR="002D3F61">
        <w:rPr>
          <w:lang w:val="en-GB"/>
        </w:rPr>
        <w:t>) ‘</w:t>
      </w:r>
      <w:r w:rsidRPr="00FB6AFE">
        <w:rPr>
          <w:lang w:val="en-GB"/>
        </w:rPr>
        <w:t>Migration of Labour and Capital: General Considerations</w:t>
      </w:r>
      <w:r w:rsidR="002D3F61">
        <w:rPr>
          <w:lang w:val="en-GB"/>
        </w:rPr>
        <w:t>’,I I</w:t>
      </w:r>
      <w:r w:rsidRPr="00FB6AFE">
        <w:rPr>
          <w:lang w:val="en-GB"/>
        </w:rPr>
        <w:t>n</w:t>
      </w:r>
      <w:r w:rsidR="002D3F61">
        <w:rPr>
          <w:lang w:val="en-GB"/>
        </w:rPr>
        <w:t xml:space="preserve">: </w:t>
      </w:r>
      <w:r w:rsidR="002D3F61" w:rsidRPr="00FB6AFE">
        <w:rPr>
          <w:lang w:val="en-GB"/>
        </w:rPr>
        <w:t xml:space="preserve">Bourguignon, </w:t>
      </w:r>
      <w:r w:rsidR="002D3F61">
        <w:rPr>
          <w:lang w:val="en-GB"/>
        </w:rPr>
        <w:t xml:space="preserve">F., </w:t>
      </w:r>
      <w:r w:rsidR="002D3F61" w:rsidRPr="00FB6AFE">
        <w:rPr>
          <w:lang w:val="en-GB"/>
        </w:rPr>
        <w:t>Gallais-Hamonno</w:t>
      </w:r>
      <w:r w:rsidR="002D3F61">
        <w:rPr>
          <w:lang w:val="en-GB"/>
        </w:rPr>
        <w:t>, G.</w:t>
      </w:r>
      <w:r w:rsidR="002D3F61" w:rsidRPr="00FB6AFE">
        <w:rPr>
          <w:lang w:val="en-GB"/>
        </w:rPr>
        <w:t xml:space="preserve"> and Fernet</w:t>
      </w:r>
      <w:r w:rsidR="002D3F61">
        <w:rPr>
          <w:lang w:val="en-GB"/>
        </w:rPr>
        <w:t>, B. (eds.)</w:t>
      </w:r>
      <w:r w:rsidRPr="00FB6AFE">
        <w:rPr>
          <w:lang w:val="en-GB"/>
        </w:rPr>
        <w:t xml:space="preserve"> </w:t>
      </w:r>
      <w:r w:rsidRPr="00A519AB">
        <w:rPr>
          <w:i/>
          <w:lang w:val="en-GB"/>
        </w:rPr>
        <w:t>International Labour Migrations and Economic Choices: The European Case</w:t>
      </w:r>
      <w:r w:rsidR="002D3F61">
        <w:rPr>
          <w:lang w:val="en-GB"/>
        </w:rPr>
        <w:t>.</w:t>
      </w:r>
      <w:r w:rsidRPr="00FB6AFE">
        <w:rPr>
          <w:lang w:val="en-GB"/>
        </w:rPr>
        <w:t>. Paris: OECD.</w:t>
      </w:r>
    </w:p>
    <w:p w14:paraId="7DD814D0" w14:textId="35CF55F2" w:rsidR="0085295C" w:rsidRDefault="0085295C" w:rsidP="002D3F61">
      <w:pPr>
        <w:rPr>
          <w:lang w:val="en-GB"/>
        </w:rPr>
      </w:pPr>
      <w:r w:rsidRPr="00E146E6">
        <w:rPr>
          <w:lang w:val="en-GB"/>
        </w:rPr>
        <w:t xml:space="preserve">Cometti, E. </w:t>
      </w:r>
      <w:r w:rsidR="002D3F61">
        <w:rPr>
          <w:lang w:val="en-GB"/>
        </w:rPr>
        <w:t>(</w:t>
      </w:r>
      <w:r w:rsidRPr="00E146E6">
        <w:rPr>
          <w:lang w:val="en-GB"/>
        </w:rPr>
        <w:t>1958</w:t>
      </w:r>
      <w:r w:rsidR="002D3F61">
        <w:rPr>
          <w:lang w:val="en-GB"/>
        </w:rPr>
        <w:t>) ‘</w:t>
      </w:r>
      <w:r w:rsidRPr="00E146E6">
        <w:rPr>
          <w:lang w:val="en-GB"/>
        </w:rPr>
        <w:t>Trends in Italian Emigration</w:t>
      </w:r>
      <w:r w:rsidR="002D3F61">
        <w:rPr>
          <w:lang w:val="en-GB"/>
        </w:rPr>
        <w:t>’</w:t>
      </w:r>
      <w:r w:rsidRPr="00E146E6">
        <w:rPr>
          <w:lang w:val="en-GB"/>
        </w:rPr>
        <w:t xml:space="preserve">. </w:t>
      </w:r>
      <w:r w:rsidRPr="00E146E6">
        <w:rPr>
          <w:i/>
          <w:lang w:val="en-GB"/>
        </w:rPr>
        <w:t>The Western Political Quarterly</w:t>
      </w:r>
      <w:r w:rsidR="002D3F61">
        <w:rPr>
          <w:lang w:val="en-GB"/>
        </w:rPr>
        <w:t>,</w:t>
      </w:r>
      <w:r w:rsidRPr="00E146E6">
        <w:rPr>
          <w:i/>
          <w:lang w:val="en-GB"/>
        </w:rPr>
        <w:t xml:space="preserve"> </w:t>
      </w:r>
      <w:r w:rsidRPr="00E146E6">
        <w:rPr>
          <w:lang w:val="en-GB"/>
        </w:rPr>
        <w:t>11(4):</w:t>
      </w:r>
      <w:r w:rsidR="002D3F61">
        <w:rPr>
          <w:lang w:val="en-GB"/>
        </w:rPr>
        <w:t xml:space="preserve"> </w:t>
      </w:r>
      <w:r w:rsidRPr="00E146E6">
        <w:rPr>
          <w:lang w:val="en-GB"/>
        </w:rPr>
        <w:t>820</w:t>
      </w:r>
      <w:r w:rsidR="002D3F61">
        <w:rPr>
          <w:lang w:val="en-GB"/>
        </w:rPr>
        <w:t>–</w:t>
      </w:r>
      <w:r w:rsidRPr="00E146E6">
        <w:rPr>
          <w:lang w:val="en-GB"/>
        </w:rPr>
        <w:t>34.</w:t>
      </w:r>
    </w:p>
    <w:p w14:paraId="65A364D3" w14:textId="6C4D7536" w:rsidR="0085295C" w:rsidRDefault="0085295C" w:rsidP="002D3F61">
      <w:r w:rsidRPr="00E146E6">
        <w:t>Czaika, M</w:t>
      </w:r>
      <w:r w:rsidR="002D3F61">
        <w:t>.</w:t>
      </w:r>
      <w:r w:rsidRPr="00E146E6">
        <w:t xml:space="preserve">, and </w:t>
      </w:r>
      <w:r w:rsidR="002D3F61">
        <w:t xml:space="preserve">de </w:t>
      </w:r>
      <w:r w:rsidRPr="00E146E6">
        <w:t>Haas</w:t>
      </w:r>
      <w:r w:rsidR="002D3F61">
        <w:t>, H</w:t>
      </w:r>
      <w:r w:rsidRPr="00E146E6">
        <w:t xml:space="preserve">. </w:t>
      </w:r>
      <w:r w:rsidR="002D3F61">
        <w:t>(</w:t>
      </w:r>
      <w:r>
        <w:t>2016</w:t>
      </w:r>
      <w:r w:rsidR="002D3F61">
        <w:t>) ‘</w:t>
      </w:r>
      <w:r w:rsidRPr="00E146E6">
        <w:t>The effect of visas on migration processes</w:t>
      </w:r>
      <w:r w:rsidR="002D3F61">
        <w:t>’</w:t>
      </w:r>
      <w:r w:rsidRPr="00E146E6">
        <w:t xml:space="preserve">. </w:t>
      </w:r>
      <w:r w:rsidRPr="00E146E6">
        <w:rPr>
          <w:i/>
          <w:iCs/>
        </w:rPr>
        <w:t>International Migration Review</w:t>
      </w:r>
      <w:r w:rsidR="002D3F61">
        <w:rPr>
          <w:iCs/>
        </w:rPr>
        <w:t xml:space="preserve">, doi: </w:t>
      </w:r>
      <w:r w:rsidR="002D3F61">
        <w:rPr>
          <w:rStyle w:val="article-headermeta-info-data"/>
        </w:rPr>
        <w:t>10.1111/imre.12261</w:t>
      </w:r>
      <w:r w:rsidRPr="00E146E6">
        <w:t>.</w:t>
      </w:r>
    </w:p>
    <w:p w14:paraId="05F99E25" w14:textId="1AB0698D" w:rsidR="007F0280" w:rsidRPr="00E146E6" w:rsidRDefault="007F0280" w:rsidP="002D3F61">
      <w:r w:rsidRPr="007363D4">
        <w:t>Czaika, M., and Trauner, F. (forthcoming) ‘EU Visa Policy. Decision-making dynamics and effe</w:t>
      </w:r>
      <w:r w:rsidR="009A6241" w:rsidRPr="007363D4">
        <w:t xml:space="preserve">cts on migratory processes’. </w:t>
      </w:r>
    </w:p>
    <w:p w14:paraId="485FD6D5" w14:textId="476C8991" w:rsidR="0085295C" w:rsidRDefault="002D3F61" w:rsidP="002D3F61">
      <w:pPr>
        <w:rPr>
          <w:lang w:val="en-GB"/>
        </w:rPr>
      </w:pPr>
      <w:r>
        <w:rPr>
          <w:lang w:val="en-GB"/>
        </w:rPr>
        <w:t>d</w:t>
      </w:r>
      <w:r w:rsidRPr="00E146E6">
        <w:rPr>
          <w:lang w:val="en-GB"/>
        </w:rPr>
        <w:t xml:space="preserve">e </w:t>
      </w:r>
      <w:r w:rsidR="0085295C" w:rsidRPr="00E146E6">
        <w:rPr>
          <w:lang w:val="en-GB"/>
        </w:rPr>
        <w:t>Haas, H.</w:t>
      </w:r>
      <w:r w:rsidR="00CF1F28">
        <w:rPr>
          <w:lang w:val="en-GB"/>
        </w:rPr>
        <w:t xml:space="preserve"> </w:t>
      </w:r>
      <w:r>
        <w:rPr>
          <w:lang w:val="en-GB"/>
        </w:rPr>
        <w:t>(</w:t>
      </w:r>
      <w:r w:rsidR="0085295C" w:rsidRPr="00E146E6">
        <w:rPr>
          <w:lang w:val="en-GB"/>
        </w:rPr>
        <w:t>2012</w:t>
      </w:r>
      <w:r>
        <w:rPr>
          <w:lang w:val="en-GB"/>
        </w:rPr>
        <w:t>)</w:t>
      </w:r>
      <w:r w:rsidR="00CF1F28">
        <w:rPr>
          <w:lang w:val="en-GB"/>
        </w:rPr>
        <w:t xml:space="preserve"> </w:t>
      </w:r>
      <w:r>
        <w:rPr>
          <w:lang w:val="en-GB"/>
        </w:rPr>
        <w:t>‘</w:t>
      </w:r>
      <w:r w:rsidR="0085295C" w:rsidRPr="00E146E6">
        <w:rPr>
          <w:lang w:val="en-GB"/>
        </w:rPr>
        <w:t>The Migration and Development Pendulum: A Critical View on Research and Policy</w:t>
      </w:r>
      <w:r>
        <w:rPr>
          <w:lang w:val="en-GB"/>
        </w:rPr>
        <w:t>’</w:t>
      </w:r>
      <w:r w:rsidR="0085295C" w:rsidRPr="006E6184">
        <w:rPr>
          <w:lang w:val="en-GB"/>
        </w:rPr>
        <w:t xml:space="preserve">. </w:t>
      </w:r>
      <w:r w:rsidR="0085295C" w:rsidRPr="00A519AB">
        <w:rPr>
          <w:i/>
          <w:lang w:val="en-GB"/>
        </w:rPr>
        <w:t>International Migration</w:t>
      </w:r>
      <w:r>
        <w:rPr>
          <w:lang w:val="en-GB"/>
        </w:rPr>
        <w:t>,</w:t>
      </w:r>
      <w:r w:rsidR="0085295C" w:rsidRPr="006E6184">
        <w:rPr>
          <w:lang w:val="en-GB"/>
        </w:rPr>
        <w:t xml:space="preserve"> 50(3):</w:t>
      </w:r>
      <w:r>
        <w:rPr>
          <w:lang w:val="en-GB"/>
        </w:rPr>
        <w:t xml:space="preserve"> </w:t>
      </w:r>
      <w:r w:rsidR="0085295C" w:rsidRPr="006E6184">
        <w:rPr>
          <w:lang w:val="en-GB"/>
        </w:rPr>
        <w:t>8</w:t>
      </w:r>
      <w:r>
        <w:rPr>
          <w:lang w:val="en-GB"/>
        </w:rPr>
        <w:t>–</w:t>
      </w:r>
      <w:r w:rsidR="0085295C" w:rsidRPr="006E6184">
        <w:rPr>
          <w:lang w:val="en-GB"/>
        </w:rPr>
        <w:t>25.</w:t>
      </w:r>
    </w:p>
    <w:p w14:paraId="3F43423E" w14:textId="5CBF941F" w:rsidR="00B81CD9" w:rsidRPr="00B81CD9" w:rsidRDefault="00B81CD9" w:rsidP="00B81CD9">
      <w:pPr>
        <w:autoSpaceDE/>
        <w:autoSpaceDN/>
        <w:adjustRightInd/>
        <w:spacing w:after="0" w:line="240" w:lineRule="auto"/>
        <w:jc w:val="left"/>
        <w:rPr>
          <w:rFonts w:eastAsia="Times New Roman"/>
          <w:color w:val="auto"/>
          <w:sz w:val="24"/>
          <w:lang w:val="en-GB" w:eastAsia="en-GB"/>
        </w:rPr>
      </w:pPr>
      <w:r>
        <w:rPr>
          <w:rFonts w:eastAsia="Times New Roman"/>
          <w:color w:val="auto"/>
          <w:sz w:val="24"/>
          <w:lang w:val="en-GB" w:eastAsia="en-GB"/>
        </w:rPr>
        <w:t>d</w:t>
      </w:r>
      <w:r w:rsidRPr="00B81CD9">
        <w:rPr>
          <w:rFonts w:eastAsia="Times New Roman"/>
          <w:color w:val="auto"/>
          <w:sz w:val="24"/>
          <w:lang w:val="en-GB" w:eastAsia="en-GB"/>
        </w:rPr>
        <w:t xml:space="preserve">e Haas, H., Natter, K. and Vezzoli, S. </w:t>
      </w:r>
      <w:r>
        <w:rPr>
          <w:rFonts w:eastAsia="Times New Roman"/>
          <w:color w:val="auto"/>
          <w:sz w:val="24"/>
          <w:lang w:val="en-GB" w:eastAsia="en-GB"/>
        </w:rPr>
        <w:t>(2015)</w:t>
      </w:r>
      <w:r w:rsidRPr="00B81CD9">
        <w:rPr>
          <w:rFonts w:eastAsia="Times New Roman"/>
          <w:color w:val="auto"/>
          <w:sz w:val="24"/>
          <w:lang w:val="en-GB" w:eastAsia="en-GB"/>
        </w:rPr>
        <w:t xml:space="preserve"> </w:t>
      </w:r>
      <w:r>
        <w:rPr>
          <w:rFonts w:eastAsia="Times New Roman"/>
          <w:color w:val="auto"/>
          <w:sz w:val="24"/>
          <w:lang w:val="en-GB" w:eastAsia="en-GB"/>
        </w:rPr>
        <w:t>‘</w:t>
      </w:r>
      <w:r w:rsidRPr="00B81CD9">
        <w:rPr>
          <w:rFonts w:eastAsia="Times New Roman"/>
          <w:color w:val="auto"/>
          <w:sz w:val="24"/>
          <w:lang w:val="en-GB" w:eastAsia="en-GB"/>
        </w:rPr>
        <w:t>Conceptualizing and measuring migration policy change</w:t>
      </w:r>
      <w:r>
        <w:rPr>
          <w:rFonts w:eastAsia="Times New Roman"/>
          <w:color w:val="auto"/>
          <w:sz w:val="24"/>
          <w:lang w:val="en-GB" w:eastAsia="en-GB"/>
        </w:rPr>
        <w:t>’</w:t>
      </w:r>
      <w:r w:rsidRPr="00B81CD9">
        <w:rPr>
          <w:rFonts w:eastAsia="Times New Roman"/>
          <w:color w:val="auto"/>
          <w:sz w:val="24"/>
          <w:lang w:val="en-GB" w:eastAsia="en-GB"/>
        </w:rPr>
        <w:t xml:space="preserve">. </w:t>
      </w:r>
      <w:r w:rsidRPr="00B81CD9">
        <w:rPr>
          <w:rFonts w:eastAsia="Times New Roman"/>
          <w:i/>
          <w:iCs/>
          <w:color w:val="auto"/>
          <w:sz w:val="24"/>
          <w:lang w:val="en-GB" w:eastAsia="en-GB"/>
        </w:rPr>
        <w:t>Comparative Migration Studies</w:t>
      </w:r>
      <w:r w:rsidRPr="00B81CD9">
        <w:rPr>
          <w:rFonts w:eastAsia="Times New Roman"/>
          <w:color w:val="auto"/>
          <w:sz w:val="24"/>
          <w:lang w:val="en-GB" w:eastAsia="en-GB"/>
        </w:rPr>
        <w:t xml:space="preserve">, </w:t>
      </w:r>
      <w:r w:rsidRPr="00B81CD9">
        <w:rPr>
          <w:rFonts w:eastAsia="Times New Roman"/>
          <w:i/>
          <w:iCs/>
          <w:color w:val="auto"/>
          <w:sz w:val="24"/>
          <w:lang w:val="en-GB" w:eastAsia="en-GB"/>
        </w:rPr>
        <w:t>3</w:t>
      </w:r>
      <w:r>
        <w:rPr>
          <w:rFonts w:eastAsia="Times New Roman"/>
          <w:color w:val="auto"/>
          <w:sz w:val="24"/>
          <w:lang w:val="en-GB" w:eastAsia="en-GB"/>
        </w:rPr>
        <w:t>: 1-1</w:t>
      </w:r>
      <w:r w:rsidRPr="00B81CD9">
        <w:rPr>
          <w:rFonts w:eastAsia="Times New Roman"/>
          <w:color w:val="auto"/>
          <w:sz w:val="24"/>
          <w:lang w:val="en-GB" w:eastAsia="en-GB"/>
        </w:rPr>
        <w:t>5.</w:t>
      </w:r>
    </w:p>
    <w:p w14:paraId="58F16D0B" w14:textId="77777777" w:rsidR="00C131F1" w:rsidRDefault="00C131F1" w:rsidP="002D3F61">
      <w:pPr>
        <w:rPr>
          <w:lang w:val="en-GB" w:eastAsia="en-GB"/>
        </w:rPr>
      </w:pPr>
    </w:p>
    <w:p w14:paraId="1FC17D9A" w14:textId="2BC598E1" w:rsidR="0085295C" w:rsidRDefault="002D3F61" w:rsidP="002D3F61">
      <w:pPr>
        <w:rPr>
          <w:i/>
          <w:iCs/>
          <w:lang w:val="en-GB" w:eastAsia="en-GB"/>
        </w:rPr>
      </w:pPr>
      <w:r>
        <w:rPr>
          <w:lang w:val="en-GB" w:eastAsia="en-GB"/>
        </w:rPr>
        <w:t>d</w:t>
      </w:r>
      <w:r w:rsidRPr="00A519AB">
        <w:rPr>
          <w:lang w:val="en-GB" w:eastAsia="en-GB"/>
        </w:rPr>
        <w:t xml:space="preserve">e </w:t>
      </w:r>
      <w:r w:rsidR="0085295C" w:rsidRPr="00A519AB">
        <w:rPr>
          <w:lang w:val="en-GB" w:eastAsia="en-GB"/>
        </w:rPr>
        <w:t xml:space="preserve">Haas, H. and Vezzoli, S. </w:t>
      </w:r>
      <w:r>
        <w:rPr>
          <w:lang w:val="en-GB" w:eastAsia="en-GB"/>
        </w:rPr>
        <w:t>(</w:t>
      </w:r>
      <w:r w:rsidR="0085295C" w:rsidRPr="00A519AB">
        <w:rPr>
          <w:lang w:val="en-GB" w:eastAsia="en-GB"/>
        </w:rPr>
        <w:t>2011</w:t>
      </w:r>
      <w:r>
        <w:rPr>
          <w:lang w:val="en-GB" w:eastAsia="en-GB"/>
        </w:rPr>
        <w:t>) ‘</w:t>
      </w:r>
      <w:r w:rsidR="0085295C" w:rsidRPr="00A519AB">
        <w:rPr>
          <w:lang w:val="en-GB" w:eastAsia="en-GB"/>
        </w:rPr>
        <w:t>Leaving matters: the nature, evolution and effects of emigration policies</w:t>
      </w:r>
      <w:r>
        <w:rPr>
          <w:lang w:val="en-GB" w:eastAsia="en-GB"/>
        </w:rPr>
        <w:t>’</w:t>
      </w:r>
      <w:r w:rsidR="0085295C" w:rsidRPr="00A519AB">
        <w:rPr>
          <w:lang w:val="en-GB" w:eastAsia="en-GB"/>
        </w:rPr>
        <w:t xml:space="preserve">. </w:t>
      </w:r>
      <w:r w:rsidR="001B2BE0">
        <w:rPr>
          <w:i/>
          <w:iCs/>
          <w:szCs w:val="22"/>
        </w:rPr>
        <w:t xml:space="preserve">International Migration Institute Working Paper Series </w:t>
      </w:r>
      <w:r w:rsidR="001B2BE0">
        <w:rPr>
          <w:iCs/>
          <w:szCs w:val="22"/>
        </w:rPr>
        <w:t>No. 34. Oxford: International Migration Institute</w:t>
      </w:r>
      <w:r w:rsidR="0085295C" w:rsidRPr="00A519AB">
        <w:rPr>
          <w:i/>
          <w:iCs/>
          <w:lang w:val="en-GB" w:eastAsia="en-GB"/>
        </w:rPr>
        <w:t xml:space="preserve">. </w:t>
      </w:r>
    </w:p>
    <w:p w14:paraId="7E01480B" w14:textId="5952812C" w:rsidR="00687933" w:rsidRDefault="00687933" w:rsidP="002D3F61">
      <w:r>
        <w:t xml:space="preserve">DEMIG (2015) </w:t>
      </w:r>
      <w:r>
        <w:rPr>
          <w:i/>
          <w:iCs/>
        </w:rPr>
        <w:t>DEMIG C2C, version 1.2, Limited Online Edition</w:t>
      </w:r>
      <w:r>
        <w:t xml:space="preserve">. Oxford: International Migration </w:t>
      </w:r>
      <w:r w:rsidR="00267EF4">
        <w:t xml:space="preserve">Institute, University of Oxford; </w:t>
      </w:r>
      <w:hyperlink r:id="rId11" w:history="1">
        <w:r>
          <w:rPr>
            <w:rStyle w:val="Hyperlink"/>
          </w:rPr>
          <w:t>www.migrationdeterminants.eu</w:t>
        </w:r>
      </w:hyperlink>
      <w:r>
        <w:t xml:space="preserve">; </w:t>
      </w:r>
      <w:hyperlink r:id="rId12" w:history="1">
        <w:r w:rsidR="008D2B47" w:rsidRPr="003D21C0">
          <w:rPr>
            <w:rStyle w:val="Hyperlink"/>
          </w:rPr>
          <w:t>https://www.imi.ox.ac.uk/data/demig-data/demig-c2c-data</w:t>
        </w:r>
      </w:hyperlink>
      <w:r w:rsidR="00267EF4">
        <w:t xml:space="preserve">; retrieved 5 February 2018. </w:t>
      </w:r>
    </w:p>
    <w:p w14:paraId="076B55AF" w14:textId="569A03DA" w:rsidR="00267EF4" w:rsidRPr="00A519AB" w:rsidRDefault="00267EF4" w:rsidP="002D3F61">
      <w:pPr>
        <w:rPr>
          <w:lang w:val="en-GB" w:eastAsia="en-GB"/>
        </w:rPr>
      </w:pPr>
      <w:r>
        <w:t xml:space="preserve">DEMIG (2015) </w:t>
      </w:r>
      <w:r>
        <w:rPr>
          <w:i/>
          <w:iCs/>
        </w:rPr>
        <w:t>DEMIG POLICY, Limited Online Edition</w:t>
      </w:r>
      <w:r>
        <w:t xml:space="preserve">. Oxford: International Migration Institute, University of Oxford; </w:t>
      </w:r>
      <w:hyperlink r:id="rId13" w:history="1">
        <w:r>
          <w:rPr>
            <w:rStyle w:val="Hyperlink"/>
          </w:rPr>
          <w:t>www.migrationdeterminants.eu</w:t>
        </w:r>
      </w:hyperlink>
      <w:r>
        <w:t xml:space="preserve">; </w:t>
      </w:r>
      <w:hyperlink r:id="rId14" w:history="1">
        <w:r w:rsidRPr="003D21C0">
          <w:rPr>
            <w:rStyle w:val="Hyperlink"/>
            <w:lang w:val="en-GB" w:eastAsia="en-GB"/>
          </w:rPr>
          <w:t>https://www.imi.ox.ac.uk/data/demig-data/demig-policy-1</w:t>
        </w:r>
      </w:hyperlink>
      <w:r>
        <w:rPr>
          <w:lang w:val="en-GB" w:eastAsia="en-GB"/>
        </w:rPr>
        <w:t xml:space="preserve">; </w:t>
      </w:r>
      <w:r>
        <w:t>retrieved 5 February 2018.</w:t>
      </w:r>
    </w:p>
    <w:p w14:paraId="52CBE60B" w14:textId="7B9125CC" w:rsidR="0085295C" w:rsidRPr="00A519AB" w:rsidRDefault="0085295C" w:rsidP="00EA26FC">
      <w:pPr>
        <w:rPr>
          <w:lang w:val="en-GB"/>
        </w:rPr>
      </w:pPr>
      <w:r w:rsidRPr="006E6184">
        <w:rPr>
          <w:lang w:val="en-GB"/>
        </w:rPr>
        <w:t xml:space="preserve">Dowty, A. </w:t>
      </w:r>
      <w:r w:rsidR="00EA26FC">
        <w:rPr>
          <w:lang w:val="en-GB"/>
        </w:rPr>
        <w:t>(ed.) (</w:t>
      </w:r>
      <w:r w:rsidRPr="006E6184">
        <w:rPr>
          <w:lang w:val="en-GB"/>
        </w:rPr>
        <w:t>1987</w:t>
      </w:r>
      <w:r w:rsidR="00EA26FC">
        <w:rPr>
          <w:lang w:val="en-GB"/>
        </w:rPr>
        <w:t>)</w:t>
      </w:r>
      <w:r w:rsidRPr="006E6184">
        <w:rPr>
          <w:lang w:val="en-GB"/>
        </w:rPr>
        <w:t xml:space="preserve"> </w:t>
      </w:r>
      <w:r w:rsidRPr="00A519AB">
        <w:rPr>
          <w:i/>
          <w:lang w:val="en-GB"/>
        </w:rPr>
        <w:t>Closed Borders: The Contemporary Assault on Freedom of Movement</w:t>
      </w:r>
      <w:r w:rsidR="00EA26FC">
        <w:rPr>
          <w:i/>
          <w:lang w:val="en-GB"/>
        </w:rPr>
        <w:t>.</w:t>
      </w:r>
      <w:r w:rsidRPr="006E6184">
        <w:rPr>
          <w:lang w:val="en-GB"/>
        </w:rPr>
        <w:t xml:space="preserve">  </w:t>
      </w:r>
      <w:r w:rsidRPr="00A519AB">
        <w:rPr>
          <w:lang w:val="en-GB"/>
        </w:rPr>
        <w:t xml:space="preserve">New Haven and London: </w:t>
      </w:r>
      <w:r w:rsidR="00EA26FC">
        <w:rPr>
          <w:lang w:val="en-GB"/>
        </w:rPr>
        <w:t>Yale University Press</w:t>
      </w:r>
      <w:r w:rsidRPr="00A519AB">
        <w:rPr>
          <w:lang w:val="en-GB"/>
        </w:rPr>
        <w:t>.</w:t>
      </w:r>
    </w:p>
    <w:p w14:paraId="73450C7C" w14:textId="024F8D81" w:rsidR="0085295C" w:rsidRPr="00A519AB" w:rsidRDefault="0085295C" w:rsidP="002C411E">
      <w:pPr>
        <w:rPr>
          <w:lang w:val="es-ES"/>
        </w:rPr>
      </w:pPr>
      <w:r w:rsidRPr="00A519AB">
        <w:rPr>
          <w:lang w:val="en-GB"/>
        </w:rPr>
        <w:t xml:space="preserve">El País </w:t>
      </w:r>
      <w:r w:rsidR="002C411E">
        <w:rPr>
          <w:lang w:val="en-GB"/>
        </w:rPr>
        <w:t>(</w:t>
      </w:r>
      <w:r w:rsidRPr="00A519AB">
        <w:rPr>
          <w:lang w:val="en-GB"/>
        </w:rPr>
        <w:t>2016</w:t>
      </w:r>
      <w:r w:rsidR="002C411E">
        <w:rPr>
          <w:lang w:val="en-GB"/>
        </w:rPr>
        <w:t>)</w:t>
      </w:r>
      <w:r w:rsidRPr="00A519AB">
        <w:rPr>
          <w:lang w:val="en-GB"/>
        </w:rPr>
        <w:t xml:space="preserve"> </w:t>
      </w:r>
      <w:r w:rsidR="002C411E">
        <w:rPr>
          <w:lang w:val="en-GB"/>
        </w:rPr>
        <w:t>‘</w:t>
      </w:r>
      <w:r w:rsidRPr="00A519AB">
        <w:rPr>
          <w:lang w:val="es-ES"/>
        </w:rPr>
        <w:t>Los peruanos pueden viajar sin visado a Europa desde este martes</w:t>
      </w:r>
      <w:r w:rsidR="002C411E">
        <w:rPr>
          <w:lang w:val="es-ES"/>
        </w:rPr>
        <w:t>’, available at:</w:t>
      </w:r>
      <w:r w:rsidRPr="00A519AB">
        <w:rPr>
          <w:lang w:val="es-ES"/>
        </w:rPr>
        <w:t xml:space="preserve"> </w:t>
      </w:r>
      <w:hyperlink r:id="rId15" w:history="1">
        <w:r w:rsidRPr="00A519AB">
          <w:rPr>
            <w:rStyle w:val="Hyperlink"/>
            <w:rFonts w:ascii="Garamond" w:hAnsi="Garamond"/>
            <w:lang w:val="es-ES"/>
          </w:rPr>
          <w:t>http://internacional.elpais.com/internacional/2016/03/14/actualidad/1457967050_353691.html</w:t>
        </w:r>
      </w:hyperlink>
      <w:r w:rsidRPr="00A519AB">
        <w:rPr>
          <w:lang w:val="es-ES"/>
        </w:rPr>
        <w:t>; retrieved</w:t>
      </w:r>
      <w:r w:rsidR="002C411E">
        <w:rPr>
          <w:lang w:val="es-ES"/>
        </w:rPr>
        <w:t xml:space="preserve"> 9 December 2016.</w:t>
      </w:r>
    </w:p>
    <w:p w14:paraId="11F9F5DE" w14:textId="637242DF" w:rsidR="0085295C" w:rsidRPr="00A519AB" w:rsidRDefault="0085295C" w:rsidP="006326E8">
      <w:pPr>
        <w:rPr>
          <w:lang w:val="en-GB"/>
        </w:rPr>
      </w:pPr>
      <w:r w:rsidRPr="00A519AB">
        <w:lastRenderedPageBreak/>
        <w:t xml:space="preserve">Elliott, A. and Urry, J. </w:t>
      </w:r>
      <w:r w:rsidR="006326E8">
        <w:t>(</w:t>
      </w:r>
      <w:r w:rsidRPr="00A519AB">
        <w:t>2010</w:t>
      </w:r>
      <w:r w:rsidR="006326E8">
        <w:t>)</w:t>
      </w:r>
      <w:r w:rsidRPr="00A519AB">
        <w:t xml:space="preserve">. </w:t>
      </w:r>
      <w:r w:rsidRPr="00A519AB">
        <w:rPr>
          <w:i/>
          <w:iCs/>
        </w:rPr>
        <w:t xml:space="preserve">Mobile </w:t>
      </w:r>
      <w:r w:rsidR="006326E8">
        <w:rPr>
          <w:i/>
          <w:iCs/>
        </w:rPr>
        <w:t>L</w:t>
      </w:r>
      <w:r w:rsidRPr="00A519AB">
        <w:rPr>
          <w:i/>
          <w:iCs/>
        </w:rPr>
        <w:t>ives</w:t>
      </w:r>
      <w:r w:rsidRPr="00A519AB">
        <w:t xml:space="preserve">. </w:t>
      </w:r>
      <w:r w:rsidR="006326E8">
        <w:t xml:space="preserve">Abingdon: </w:t>
      </w:r>
      <w:r w:rsidRPr="00A519AB">
        <w:t>Routledge.</w:t>
      </w:r>
    </w:p>
    <w:p w14:paraId="3D5A0D21" w14:textId="4CF6231D" w:rsidR="0085295C" w:rsidRPr="00A519AB" w:rsidRDefault="0085295C" w:rsidP="006326E8">
      <w:pPr>
        <w:rPr>
          <w:lang w:val="en-GB" w:eastAsia="en-GB"/>
        </w:rPr>
      </w:pPr>
      <w:r w:rsidRPr="00A519AB">
        <w:rPr>
          <w:lang w:val="en-GB" w:eastAsia="en-GB"/>
        </w:rPr>
        <w:t xml:space="preserve">Finotelli, C. and Sciortino, G. </w:t>
      </w:r>
      <w:r w:rsidR="006326E8">
        <w:rPr>
          <w:lang w:val="en-GB" w:eastAsia="en-GB"/>
        </w:rPr>
        <w:t>(</w:t>
      </w:r>
      <w:r w:rsidRPr="00A519AB">
        <w:rPr>
          <w:lang w:val="en-GB" w:eastAsia="en-GB"/>
        </w:rPr>
        <w:t>2013</w:t>
      </w:r>
      <w:r w:rsidR="006326E8">
        <w:rPr>
          <w:lang w:val="en-GB" w:eastAsia="en-GB"/>
        </w:rPr>
        <w:t>)</w:t>
      </w:r>
      <w:r w:rsidRPr="00A519AB">
        <w:rPr>
          <w:lang w:val="en-GB" w:eastAsia="en-GB"/>
        </w:rPr>
        <w:t xml:space="preserve"> </w:t>
      </w:r>
      <w:r w:rsidR="006326E8">
        <w:rPr>
          <w:lang w:val="en-GB" w:eastAsia="en-GB"/>
        </w:rPr>
        <w:t>‘</w:t>
      </w:r>
      <w:r w:rsidRPr="00A519AB">
        <w:rPr>
          <w:lang w:val="en-GB" w:eastAsia="en-GB"/>
        </w:rPr>
        <w:t>Through the gates of the fortress: European visa policies and the limits of immigration control</w:t>
      </w:r>
      <w:r w:rsidR="006326E8">
        <w:rPr>
          <w:lang w:val="en-GB" w:eastAsia="en-GB"/>
        </w:rPr>
        <w:t>’</w:t>
      </w:r>
      <w:r w:rsidRPr="00A519AB">
        <w:rPr>
          <w:lang w:val="en-GB" w:eastAsia="en-GB"/>
        </w:rPr>
        <w:t xml:space="preserve">. </w:t>
      </w:r>
      <w:r w:rsidRPr="00A519AB">
        <w:rPr>
          <w:i/>
          <w:iCs/>
          <w:lang w:val="en-GB" w:eastAsia="en-GB"/>
        </w:rPr>
        <w:t>Perspectives on European Politics and Society</w:t>
      </w:r>
      <w:r w:rsidRPr="00A519AB">
        <w:rPr>
          <w:lang w:val="en-GB" w:eastAsia="en-GB"/>
        </w:rPr>
        <w:t xml:space="preserve">, </w:t>
      </w:r>
      <w:r w:rsidRPr="00C51AC7">
        <w:rPr>
          <w:iCs/>
          <w:lang w:val="en-GB" w:eastAsia="en-GB"/>
        </w:rPr>
        <w:t>14</w:t>
      </w:r>
      <w:r w:rsidRPr="00A519AB">
        <w:rPr>
          <w:lang w:val="en-GB" w:eastAsia="en-GB"/>
        </w:rPr>
        <w:t>(1)</w:t>
      </w:r>
      <w:r w:rsidR="006326E8">
        <w:rPr>
          <w:lang w:val="en-GB" w:eastAsia="en-GB"/>
        </w:rPr>
        <w:t xml:space="preserve">: </w:t>
      </w:r>
      <w:r w:rsidRPr="00A519AB">
        <w:rPr>
          <w:lang w:val="en-GB" w:eastAsia="en-GB"/>
        </w:rPr>
        <w:t>80</w:t>
      </w:r>
      <w:r w:rsidR="006326E8">
        <w:rPr>
          <w:lang w:val="en-GB" w:eastAsia="en-GB"/>
        </w:rPr>
        <w:t>–</w:t>
      </w:r>
      <w:r w:rsidRPr="00A519AB">
        <w:rPr>
          <w:lang w:val="en-GB" w:eastAsia="en-GB"/>
        </w:rPr>
        <w:t>101.</w:t>
      </w:r>
    </w:p>
    <w:p w14:paraId="42B68FC4" w14:textId="012A4663" w:rsidR="0085295C" w:rsidRPr="006E6184" w:rsidRDefault="0085295C" w:rsidP="006326E8">
      <w:pPr>
        <w:rPr>
          <w:lang w:val="en-GB"/>
        </w:rPr>
      </w:pPr>
      <w:r w:rsidRPr="006E6184">
        <w:rPr>
          <w:lang w:val="en-GB"/>
        </w:rPr>
        <w:t>Focus</w:t>
      </w:r>
      <w:r w:rsidR="00661219">
        <w:rPr>
          <w:lang w:val="en-GB"/>
        </w:rPr>
        <w:t>-</w:t>
      </w:r>
      <w:r w:rsidRPr="006E6184">
        <w:rPr>
          <w:lang w:val="en-GB"/>
        </w:rPr>
        <w:t xml:space="preserve">Migration </w:t>
      </w:r>
      <w:r w:rsidR="006326E8">
        <w:rPr>
          <w:lang w:val="en-GB"/>
        </w:rPr>
        <w:t>(</w:t>
      </w:r>
      <w:r w:rsidRPr="006E6184">
        <w:rPr>
          <w:lang w:val="en-GB"/>
        </w:rPr>
        <w:t>2012</w:t>
      </w:r>
      <w:r w:rsidR="006326E8">
        <w:rPr>
          <w:lang w:val="en-GB"/>
        </w:rPr>
        <w:t>)</w:t>
      </w:r>
      <w:r w:rsidRPr="006E6184">
        <w:rPr>
          <w:lang w:val="en-GB"/>
        </w:rPr>
        <w:t xml:space="preserve"> </w:t>
      </w:r>
      <w:r w:rsidR="006326E8">
        <w:rPr>
          <w:lang w:val="en-GB"/>
        </w:rPr>
        <w:t>‘</w:t>
      </w:r>
      <w:r w:rsidRPr="006E6184">
        <w:rPr>
          <w:lang w:val="en-GB"/>
        </w:rPr>
        <w:t>Länderprofil Italien</w:t>
      </w:r>
      <w:r w:rsidR="006326E8">
        <w:rPr>
          <w:lang w:val="en-GB"/>
        </w:rPr>
        <w:t>’</w:t>
      </w:r>
      <w:r w:rsidRPr="006E6184">
        <w:rPr>
          <w:lang w:val="en-GB"/>
        </w:rPr>
        <w:t>. Focus</w:t>
      </w:r>
      <w:r w:rsidR="006326E8">
        <w:rPr>
          <w:lang w:val="en-GB"/>
        </w:rPr>
        <w:t>-</w:t>
      </w:r>
      <w:r w:rsidRPr="006E6184">
        <w:rPr>
          <w:lang w:val="en-GB"/>
        </w:rPr>
        <w:t>Migration Nr. 23, October 2012.</w:t>
      </w:r>
    </w:p>
    <w:p w14:paraId="70B637CE" w14:textId="18D543CE" w:rsidR="0085295C" w:rsidRPr="00A519AB" w:rsidRDefault="0085295C" w:rsidP="00661219">
      <w:r w:rsidRPr="00A519AB">
        <w:t xml:space="preserve">Foreign Policy </w:t>
      </w:r>
      <w:r w:rsidR="00661219">
        <w:t>(</w:t>
      </w:r>
      <w:r w:rsidRPr="00A519AB">
        <w:t>2017</w:t>
      </w:r>
      <w:r w:rsidR="00661219">
        <w:t>)</w:t>
      </w:r>
      <w:r w:rsidRPr="00A519AB">
        <w:t xml:space="preserve"> </w:t>
      </w:r>
      <w:r w:rsidR="00661219">
        <w:t>‘</w:t>
      </w:r>
      <w:r w:rsidRPr="00C51AC7">
        <w:t>Hundreds of US diplomats protest immigration ban in internal memos</w:t>
      </w:r>
      <w:r w:rsidR="00661219">
        <w:t xml:space="preserve">’, available at:  </w:t>
      </w:r>
      <w:hyperlink r:id="rId16" w:history="1">
        <w:r w:rsidRPr="00A519AB">
          <w:rPr>
            <w:rStyle w:val="Hyperlink"/>
            <w:rFonts w:ascii="Garamond" w:hAnsi="Garamond"/>
          </w:rPr>
          <w:t>http://foreignpolicy.com/2017/01/30/hundreds-of-u-s-diplomats-protest-trump-immigration-ban-in-internal-memos/</w:t>
        </w:r>
      </w:hyperlink>
      <w:r w:rsidRPr="00A519AB">
        <w:t>; retrieved 5 February 2017.</w:t>
      </w:r>
    </w:p>
    <w:p w14:paraId="1987BF5E" w14:textId="5C9A38CF" w:rsidR="0085295C" w:rsidRPr="006E6184" w:rsidRDefault="0085295C" w:rsidP="00661219">
      <w:pPr>
        <w:rPr>
          <w:lang w:val="en-GB"/>
        </w:rPr>
      </w:pPr>
      <w:r w:rsidRPr="009A6241">
        <w:rPr>
          <w:lang w:val="fr-FR"/>
        </w:rPr>
        <w:t xml:space="preserve">Foucault, M. </w:t>
      </w:r>
      <w:r w:rsidR="00661219" w:rsidRPr="009A6241">
        <w:rPr>
          <w:lang w:val="fr-FR"/>
        </w:rPr>
        <w:t>(</w:t>
      </w:r>
      <w:r w:rsidRPr="009A6241">
        <w:rPr>
          <w:lang w:val="fr-FR"/>
        </w:rPr>
        <w:t>1975</w:t>
      </w:r>
      <w:r w:rsidR="00661219" w:rsidRPr="009A6241">
        <w:rPr>
          <w:lang w:val="fr-FR"/>
        </w:rPr>
        <w:t>)</w:t>
      </w:r>
      <w:r w:rsidRPr="009A6241">
        <w:rPr>
          <w:lang w:val="fr-FR"/>
        </w:rPr>
        <w:t xml:space="preserve"> </w:t>
      </w:r>
      <w:r w:rsidRPr="009A6241">
        <w:rPr>
          <w:i/>
          <w:lang w:val="fr-FR"/>
        </w:rPr>
        <w:t>Surveiller et punir</w:t>
      </w:r>
      <w:r w:rsidRPr="009A6241">
        <w:rPr>
          <w:lang w:val="fr-FR"/>
        </w:rPr>
        <w:t xml:space="preserve">. </w:t>
      </w:r>
      <w:r w:rsidRPr="006E6184">
        <w:rPr>
          <w:lang w:val="en-GB"/>
        </w:rPr>
        <w:t>Paris</w:t>
      </w:r>
      <w:r w:rsidR="00661219">
        <w:rPr>
          <w:lang w:val="en-GB"/>
        </w:rPr>
        <w:t>:</w:t>
      </w:r>
      <w:r w:rsidRPr="006E6184">
        <w:rPr>
          <w:lang w:val="en-GB"/>
        </w:rPr>
        <w:t xml:space="preserve"> Gallimard.</w:t>
      </w:r>
    </w:p>
    <w:p w14:paraId="07C5316C" w14:textId="580A2F56" w:rsidR="0085295C" w:rsidRDefault="0085295C" w:rsidP="00661219">
      <w:pPr>
        <w:rPr>
          <w:lang w:val="en-GB"/>
        </w:rPr>
      </w:pPr>
      <w:r w:rsidRPr="00FB6AFE">
        <w:rPr>
          <w:lang w:val="en-GB"/>
        </w:rPr>
        <w:t xml:space="preserve">Gammage, S. </w:t>
      </w:r>
      <w:r w:rsidR="00661219">
        <w:rPr>
          <w:lang w:val="en-GB"/>
        </w:rPr>
        <w:t>(</w:t>
      </w:r>
      <w:r w:rsidRPr="00FB6AFE">
        <w:rPr>
          <w:lang w:val="en-GB"/>
        </w:rPr>
        <w:t>2006</w:t>
      </w:r>
      <w:r w:rsidR="00661219">
        <w:rPr>
          <w:lang w:val="en-GB"/>
        </w:rPr>
        <w:t>)</w:t>
      </w:r>
      <w:r w:rsidR="00CF1F28">
        <w:rPr>
          <w:lang w:val="en-GB"/>
        </w:rPr>
        <w:t xml:space="preserve"> </w:t>
      </w:r>
      <w:r w:rsidR="00661219">
        <w:rPr>
          <w:lang w:val="en-GB"/>
        </w:rPr>
        <w:t>‘</w:t>
      </w:r>
      <w:r w:rsidRPr="00FB6AFE">
        <w:rPr>
          <w:lang w:val="en-GB"/>
        </w:rPr>
        <w:t>Exporting people and recruiting remittances - A development strategy for El Salvador?</w:t>
      </w:r>
      <w:r w:rsidR="00661219">
        <w:rPr>
          <w:lang w:val="en-GB"/>
        </w:rPr>
        <w:t>’</w:t>
      </w:r>
      <w:r w:rsidRPr="00FB6AFE">
        <w:rPr>
          <w:lang w:val="en-GB"/>
        </w:rPr>
        <w:t xml:space="preserve"> </w:t>
      </w:r>
      <w:r w:rsidRPr="00A519AB">
        <w:rPr>
          <w:i/>
          <w:lang w:val="en-GB"/>
        </w:rPr>
        <w:t>Latin American Perspectives</w:t>
      </w:r>
      <w:r w:rsidR="00661219">
        <w:rPr>
          <w:lang w:val="en-GB"/>
        </w:rPr>
        <w:t>,</w:t>
      </w:r>
      <w:r w:rsidRPr="00FB6AFE">
        <w:rPr>
          <w:lang w:val="en-GB"/>
        </w:rPr>
        <w:t xml:space="preserve"> 33(6):</w:t>
      </w:r>
      <w:r w:rsidR="00661219">
        <w:rPr>
          <w:lang w:val="en-GB"/>
        </w:rPr>
        <w:t xml:space="preserve"> </w:t>
      </w:r>
      <w:r w:rsidRPr="00FB6AFE">
        <w:rPr>
          <w:lang w:val="en-GB"/>
        </w:rPr>
        <w:t>75</w:t>
      </w:r>
      <w:r w:rsidR="00661219">
        <w:rPr>
          <w:lang w:val="en-GB"/>
        </w:rPr>
        <w:t>–</w:t>
      </w:r>
      <w:r w:rsidRPr="00FB6AFE">
        <w:rPr>
          <w:lang w:val="en-GB"/>
        </w:rPr>
        <w:t>100.</w:t>
      </w:r>
    </w:p>
    <w:p w14:paraId="33F9A21C" w14:textId="6F3FF315" w:rsidR="00C9092B" w:rsidRPr="00FB6AFE" w:rsidRDefault="00C9092B" w:rsidP="00661219">
      <w:pPr>
        <w:rPr>
          <w:lang w:val="en-GB"/>
        </w:rPr>
      </w:pPr>
      <w:r w:rsidRPr="00C9092B">
        <w:rPr>
          <w:lang w:val="en-GB"/>
        </w:rPr>
        <w:t>Gest, J., Boucher, A., Challen, S., Burgoon, B., Thielemann, E., Beine, M., McGovern, P., Crock, M</w:t>
      </w:r>
      <w:r>
        <w:rPr>
          <w:lang w:val="en-GB"/>
        </w:rPr>
        <w:t>., Rapoport, H. and Hiscox, M. (</w:t>
      </w:r>
      <w:r w:rsidRPr="00C9092B">
        <w:rPr>
          <w:lang w:val="en-GB"/>
        </w:rPr>
        <w:t>2014</w:t>
      </w:r>
      <w:r>
        <w:rPr>
          <w:lang w:val="en-GB"/>
        </w:rPr>
        <w:t>)</w:t>
      </w:r>
      <w:r w:rsidRPr="00C9092B">
        <w:rPr>
          <w:lang w:val="en-GB"/>
        </w:rPr>
        <w:t xml:space="preserve"> </w:t>
      </w:r>
      <w:r>
        <w:rPr>
          <w:lang w:val="en-GB"/>
        </w:rPr>
        <w:t>‘</w:t>
      </w:r>
      <w:r w:rsidRPr="00C9092B">
        <w:rPr>
          <w:lang w:val="en-GB"/>
        </w:rPr>
        <w:t>Measuring and comparing immigration, asylum and naturalization policies across countries: challenges and solutions</w:t>
      </w:r>
      <w:r>
        <w:rPr>
          <w:lang w:val="en-GB"/>
        </w:rPr>
        <w:t xml:space="preserve">’. </w:t>
      </w:r>
      <w:r w:rsidRPr="009A6241">
        <w:rPr>
          <w:i/>
          <w:lang w:val="en-GB"/>
        </w:rPr>
        <w:t>Global Policy</w:t>
      </w:r>
      <w:r w:rsidR="00076CE6">
        <w:rPr>
          <w:lang w:val="en-GB"/>
        </w:rPr>
        <w:t>,</w:t>
      </w:r>
      <w:r w:rsidRPr="00DC26B8">
        <w:rPr>
          <w:lang w:val="en-GB"/>
        </w:rPr>
        <w:t xml:space="preserve"> </w:t>
      </w:r>
      <w:r>
        <w:rPr>
          <w:lang w:val="en-GB"/>
        </w:rPr>
        <w:t xml:space="preserve">5(3): </w:t>
      </w:r>
      <w:r w:rsidRPr="00C9092B">
        <w:rPr>
          <w:lang w:val="en-GB"/>
        </w:rPr>
        <w:t>261-274.</w:t>
      </w:r>
    </w:p>
    <w:p w14:paraId="2F1408FB" w14:textId="7ABC4C36" w:rsidR="00F01C4E" w:rsidRDefault="00F01C4E" w:rsidP="00F01C4E">
      <w:pPr>
        <w:rPr>
          <w:lang w:val="en-GB" w:eastAsia="en-GB"/>
        </w:rPr>
      </w:pPr>
      <w:r w:rsidRPr="00A519AB">
        <w:rPr>
          <w:lang w:val="en-GB" w:eastAsia="en-GB"/>
        </w:rPr>
        <w:t xml:space="preserve">Guardian </w:t>
      </w:r>
      <w:r>
        <w:rPr>
          <w:lang w:val="en-GB" w:eastAsia="en-GB"/>
        </w:rPr>
        <w:t>(</w:t>
      </w:r>
      <w:r w:rsidRPr="00A519AB">
        <w:rPr>
          <w:lang w:val="en-GB" w:eastAsia="en-GB"/>
        </w:rPr>
        <w:t>2017</w:t>
      </w:r>
      <w:r>
        <w:rPr>
          <w:lang w:val="en-GB" w:eastAsia="en-GB"/>
        </w:rPr>
        <w:t>)</w:t>
      </w:r>
      <w:r w:rsidRPr="00A519AB">
        <w:rPr>
          <w:rFonts w:cs="GuardianEgyptianWeb-Regular"/>
          <w:color w:val="084376"/>
        </w:rPr>
        <w:t xml:space="preserve"> </w:t>
      </w:r>
      <w:r>
        <w:rPr>
          <w:rFonts w:cs="GuardianEgyptianWeb-Regular"/>
          <w:color w:val="084376"/>
        </w:rPr>
        <w:t>‘</w:t>
      </w:r>
      <w:r w:rsidRPr="00C51AC7">
        <w:rPr>
          <w:lang w:eastAsia="en-GB"/>
        </w:rPr>
        <w:t>Is this a Muslim ban? Trump's executive order explained</w:t>
      </w:r>
      <w:r>
        <w:rPr>
          <w:lang w:eastAsia="en-GB"/>
        </w:rPr>
        <w:t>’</w:t>
      </w:r>
      <w:r w:rsidRPr="00C51AC7">
        <w:rPr>
          <w:lang w:eastAsia="en-GB"/>
        </w:rPr>
        <w:t>,</w:t>
      </w:r>
      <w:r>
        <w:rPr>
          <w:lang w:eastAsia="en-GB"/>
        </w:rPr>
        <w:t xml:space="preserve"> available at:</w:t>
      </w:r>
      <w:r w:rsidRPr="00A519AB">
        <w:rPr>
          <w:lang w:eastAsia="en-GB"/>
        </w:rPr>
        <w:t xml:space="preserve"> </w:t>
      </w:r>
      <w:r w:rsidRPr="00A519AB">
        <w:rPr>
          <w:lang w:val="en-GB" w:eastAsia="en-GB"/>
        </w:rPr>
        <w:t xml:space="preserve">https://www.theguardian.com/us-news/2017/jan/28/trump-immigration-ban-syria-muslims-reaction-lawsuits; retrieved 5 February 2017. </w:t>
      </w:r>
    </w:p>
    <w:p w14:paraId="60F5692C" w14:textId="35036BAE" w:rsidR="00555DC9" w:rsidRPr="00A519AB" w:rsidRDefault="00555DC9" w:rsidP="00F01C4E">
      <w:pPr>
        <w:rPr>
          <w:lang w:val="en-GB" w:eastAsia="en-GB"/>
        </w:rPr>
      </w:pPr>
      <w:r>
        <w:t xml:space="preserve">Gülzau F, Mau S, Zaun N. (2016) ‘Regional Mobility Spaces? Visa Waiver Policies and Regional Integration’. </w:t>
      </w:r>
      <w:r w:rsidRPr="009A6241">
        <w:rPr>
          <w:i/>
        </w:rPr>
        <w:t>International Migration</w:t>
      </w:r>
      <w:r>
        <w:rPr>
          <w:i/>
        </w:rPr>
        <w:t xml:space="preserve"> </w:t>
      </w:r>
      <w:r>
        <w:t>54(6):164-80.</w:t>
      </w:r>
    </w:p>
    <w:p w14:paraId="3305BF85" w14:textId="2D987FE5" w:rsidR="0085295C" w:rsidRDefault="0085295C" w:rsidP="00661219">
      <w:pPr>
        <w:rPr>
          <w:lang w:val="en-GB" w:eastAsia="en-GB"/>
        </w:rPr>
      </w:pPr>
      <w:r w:rsidRPr="00A519AB">
        <w:rPr>
          <w:lang w:val="en-GB" w:eastAsia="en-GB"/>
        </w:rPr>
        <w:t xml:space="preserve">Hobolth, M. </w:t>
      </w:r>
      <w:r w:rsidR="00661219">
        <w:rPr>
          <w:lang w:val="en-GB" w:eastAsia="en-GB"/>
        </w:rPr>
        <w:t>(</w:t>
      </w:r>
      <w:r w:rsidRPr="00A519AB">
        <w:rPr>
          <w:lang w:val="en-GB" w:eastAsia="en-GB"/>
        </w:rPr>
        <w:t>2014</w:t>
      </w:r>
      <w:r w:rsidR="00661219">
        <w:rPr>
          <w:lang w:val="en-GB" w:eastAsia="en-GB"/>
        </w:rPr>
        <w:t>)</w:t>
      </w:r>
      <w:r w:rsidRPr="00A519AB">
        <w:rPr>
          <w:lang w:val="en-GB" w:eastAsia="en-GB"/>
        </w:rPr>
        <w:t xml:space="preserve"> </w:t>
      </w:r>
      <w:r w:rsidR="00661219">
        <w:rPr>
          <w:lang w:val="en-GB" w:eastAsia="en-GB"/>
        </w:rPr>
        <w:t>‘</w:t>
      </w:r>
      <w:r w:rsidRPr="00A519AB">
        <w:rPr>
          <w:lang w:val="en-GB" w:eastAsia="en-GB"/>
        </w:rPr>
        <w:t>Researching mobility barriers: The European visa database</w:t>
      </w:r>
      <w:r w:rsidR="00661219">
        <w:rPr>
          <w:lang w:val="en-GB" w:eastAsia="en-GB"/>
        </w:rPr>
        <w:t>’</w:t>
      </w:r>
      <w:r w:rsidRPr="00A519AB">
        <w:rPr>
          <w:lang w:val="en-GB" w:eastAsia="en-GB"/>
        </w:rPr>
        <w:t xml:space="preserve">. </w:t>
      </w:r>
      <w:r w:rsidRPr="00A519AB">
        <w:rPr>
          <w:i/>
          <w:iCs/>
          <w:lang w:val="en-GB" w:eastAsia="en-GB"/>
        </w:rPr>
        <w:t>Journal of Ethnic and Migration Studies</w:t>
      </w:r>
      <w:r w:rsidRPr="00A519AB">
        <w:rPr>
          <w:lang w:val="en-GB" w:eastAsia="en-GB"/>
        </w:rPr>
        <w:t xml:space="preserve">, </w:t>
      </w:r>
      <w:r w:rsidRPr="00C51AC7">
        <w:rPr>
          <w:iCs/>
          <w:lang w:val="en-GB" w:eastAsia="en-GB"/>
        </w:rPr>
        <w:t>40</w:t>
      </w:r>
      <w:r w:rsidRPr="00A519AB">
        <w:rPr>
          <w:lang w:val="en-GB" w:eastAsia="en-GB"/>
        </w:rPr>
        <w:t>(3)</w:t>
      </w:r>
      <w:r w:rsidR="00661219">
        <w:rPr>
          <w:lang w:val="en-GB" w:eastAsia="en-GB"/>
        </w:rPr>
        <w:t xml:space="preserve">: </w:t>
      </w:r>
      <w:r w:rsidRPr="00A519AB">
        <w:rPr>
          <w:lang w:val="en-GB" w:eastAsia="en-GB"/>
        </w:rPr>
        <w:t>424</w:t>
      </w:r>
      <w:r w:rsidR="00661219">
        <w:rPr>
          <w:lang w:val="en-GB" w:eastAsia="en-GB"/>
        </w:rPr>
        <w:t>–</w:t>
      </w:r>
      <w:r w:rsidRPr="00A519AB">
        <w:rPr>
          <w:lang w:val="en-GB" w:eastAsia="en-GB"/>
        </w:rPr>
        <w:t>435.</w:t>
      </w:r>
    </w:p>
    <w:p w14:paraId="7783EDC5" w14:textId="7A2987FE" w:rsidR="000626EB" w:rsidRPr="00A519AB" w:rsidRDefault="000626EB" w:rsidP="00661219">
      <w:pPr>
        <w:rPr>
          <w:lang w:val="en-GB" w:eastAsia="en-GB"/>
        </w:rPr>
      </w:pPr>
      <w:r w:rsidRPr="000626EB">
        <w:rPr>
          <w:lang w:val="en-GB" w:eastAsia="en-GB"/>
        </w:rPr>
        <w:t>IATA</w:t>
      </w:r>
      <w:r>
        <w:rPr>
          <w:lang w:val="en-GB" w:eastAsia="en-GB"/>
        </w:rPr>
        <w:t xml:space="preserve"> (1973-2013)</w:t>
      </w:r>
      <w:r w:rsidRPr="000626EB">
        <w:rPr>
          <w:lang w:val="en-GB" w:eastAsia="en-GB"/>
        </w:rPr>
        <w:t xml:space="preserve">: </w:t>
      </w:r>
      <w:r w:rsidRPr="009A6241">
        <w:rPr>
          <w:i/>
          <w:lang w:val="en-GB" w:eastAsia="en-GB"/>
        </w:rPr>
        <w:t>Travel Information Manual</w:t>
      </w:r>
      <w:r w:rsidRPr="000626EB">
        <w:rPr>
          <w:lang w:val="en-GB" w:eastAsia="en-GB"/>
        </w:rPr>
        <w:t xml:space="preserve">. International Air Transport </w:t>
      </w:r>
      <w:r w:rsidR="00B462B6">
        <w:rPr>
          <w:lang w:val="en-GB" w:eastAsia="en-GB"/>
        </w:rPr>
        <w:t xml:space="preserve">Association.  The </w:t>
      </w:r>
      <w:r w:rsidRPr="000626EB">
        <w:rPr>
          <w:lang w:val="en-GB" w:eastAsia="en-GB"/>
        </w:rPr>
        <w:t>Netherland</w:t>
      </w:r>
      <w:r w:rsidR="00B462B6">
        <w:rPr>
          <w:lang w:val="en-GB" w:eastAsia="en-GB"/>
        </w:rPr>
        <w:t xml:space="preserve">s. </w:t>
      </w:r>
    </w:p>
    <w:p w14:paraId="04F862CD" w14:textId="0BAA1A9D" w:rsidR="00F01C4E" w:rsidRDefault="00F01C4E" w:rsidP="00661219">
      <w:pPr>
        <w:rPr>
          <w:lang w:val="en-GB"/>
        </w:rPr>
      </w:pPr>
      <w:r w:rsidRPr="00A519AB">
        <w:rPr>
          <w:lang w:val="en-GB"/>
        </w:rPr>
        <w:t xml:space="preserve">Independent </w:t>
      </w:r>
      <w:r>
        <w:rPr>
          <w:lang w:val="en-GB"/>
        </w:rPr>
        <w:t>(</w:t>
      </w:r>
      <w:r w:rsidRPr="00A519AB">
        <w:rPr>
          <w:lang w:val="en-GB"/>
        </w:rPr>
        <w:t>2017</w:t>
      </w:r>
      <w:r>
        <w:rPr>
          <w:lang w:val="en-GB"/>
        </w:rPr>
        <w:t>)</w:t>
      </w:r>
      <w:r w:rsidRPr="00A519AB">
        <w:rPr>
          <w:lang w:val="en-GB"/>
        </w:rPr>
        <w:t xml:space="preserve"> </w:t>
      </w:r>
      <w:r>
        <w:rPr>
          <w:lang w:val="en-GB"/>
        </w:rPr>
        <w:t>‘</w:t>
      </w:r>
      <w:r w:rsidRPr="00C51AC7">
        <w:t>Iran vows ‘retaliation’ against Donald Trump migrant ban by barring Americans from entering the country</w:t>
      </w:r>
      <w:r>
        <w:t>’, available at:</w:t>
      </w:r>
      <w:r w:rsidRPr="00A519AB">
        <w:t xml:space="preserve"> </w:t>
      </w:r>
      <w:hyperlink r:id="rId17" w:history="1">
        <w:r w:rsidRPr="00A519AB">
          <w:rPr>
            <w:rStyle w:val="Hyperlink"/>
            <w:rFonts w:ascii="Garamond" w:hAnsi="Garamond"/>
            <w:lang w:val="en-GB"/>
          </w:rPr>
          <w:t>http://www.independent.co.uk/news/world/middle-east/donald-trump-migrant-refugee-ban-muslim-countries-iran-tehran-us-citizens-stopped-entering-country-a7551276.html</w:t>
        </w:r>
      </w:hyperlink>
      <w:r w:rsidRPr="00A519AB">
        <w:rPr>
          <w:lang w:val="en-GB"/>
        </w:rPr>
        <w:t xml:space="preserve">; retrieved 4 February 2017. </w:t>
      </w:r>
    </w:p>
    <w:p w14:paraId="7E912F7F" w14:textId="708E8038" w:rsidR="0085295C" w:rsidRPr="009A6241" w:rsidRDefault="0085295C" w:rsidP="00661219">
      <w:pPr>
        <w:rPr>
          <w:lang w:val="nl-NL"/>
        </w:rPr>
      </w:pPr>
      <w:r w:rsidRPr="009A6241">
        <w:rPr>
          <w:lang w:val="nl-NL"/>
        </w:rPr>
        <w:t>Kahmann, M</w:t>
      </w:r>
      <w:r w:rsidR="00661219" w:rsidRPr="009A6241">
        <w:rPr>
          <w:lang w:val="nl-NL"/>
        </w:rPr>
        <w:t>.</w:t>
      </w:r>
      <w:r w:rsidRPr="009A6241">
        <w:rPr>
          <w:lang w:val="nl-NL"/>
        </w:rPr>
        <w:t xml:space="preserve"> J. </w:t>
      </w:r>
      <w:r w:rsidR="00661219" w:rsidRPr="009A6241">
        <w:rPr>
          <w:lang w:val="nl-NL"/>
        </w:rPr>
        <w:t>(</w:t>
      </w:r>
      <w:r w:rsidRPr="009A6241">
        <w:rPr>
          <w:lang w:val="nl-NL"/>
        </w:rPr>
        <w:t>2014</w:t>
      </w:r>
      <w:r w:rsidR="00661219" w:rsidRPr="009A6241">
        <w:rPr>
          <w:lang w:val="nl-NL"/>
        </w:rPr>
        <w:t>)</w:t>
      </w:r>
      <w:r w:rsidRPr="009A6241">
        <w:rPr>
          <w:lang w:val="nl-NL"/>
        </w:rPr>
        <w:t xml:space="preserve"> </w:t>
      </w:r>
      <w:r w:rsidR="00661219" w:rsidRPr="009A6241">
        <w:rPr>
          <w:lang w:val="nl-NL"/>
        </w:rPr>
        <w:t>‘</w:t>
      </w:r>
      <w:r w:rsidRPr="009A6241">
        <w:rPr>
          <w:lang w:val="nl-NL"/>
        </w:rPr>
        <w:t>Ontmoetingen tussen Marokkaanse Nederlanders en de Marokkaanse overheid: een antropologisch perspectief</w:t>
      </w:r>
      <w:r w:rsidR="00661219" w:rsidRPr="009A6241">
        <w:rPr>
          <w:lang w:val="nl-NL"/>
        </w:rPr>
        <w:t>’</w:t>
      </w:r>
      <w:r w:rsidRPr="009A6241">
        <w:rPr>
          <w:lang w:val="nl-NL"/>
        </w:rPr>
        <w:t>, Leiden University Institute for Religious Studies, Faculty of the Humanities.</w:t>
      </w:r>
    </w:p>
    <w:p w14:paraId="22D827B4" w14:textId="200C1C8F" w:rsidR="0085295C" w:rsidRPr="006E6184" w:rsidRDefault="0085295C" w:rsidP="00661219">
      <w:pPr>
        <w:rPr>
          <w:lang w:val="en-GB"/>
        </w:rPr>
      </w:pPr>
      <w:r w:rsidRPr="006E6184">
        <w:rPr>
          <w:lang w:val="en-GB"/>
        </w:rPr>
        <w:t>Kireyev, A.</w:t>
      </w:r>
      <w:r w:rsidR="00CF1F28">
        <w:rPr>
          <w:lang w:val="en-GB"/>
        </w:rPr>
        <w:t xml:space="preserve"> </w:t>
      </w:r>
      <w:r w:rsidR="00661219">
        <w:rPr>
          <w:lang w:val="en-GB"/>
        </w:rPr>
        <w:t>(</w:t>
      </w:r>
      <w:r w:rsidRPr="006E6184">
        <w:rPr>
          <w:lang w:val="en-GB"/>
        </w:rPr>
        <w:t>2006</w:t>
      </w:r>
      <w:r w:rsidR="00661219">
        <w:rPr>
          <w:lang w:val="en-GB"/>
        </w:rPr>
        <w:t>)</w:t>
      </w:r>
      <w:r w:rsidR="00CF1F28">
        <w:rPr>
          <w:lang w:val="en-GB"/>
        </w:rPr>
        <w:t xml:space="preserve"> </w:t>
      </w:r>
      <w:r w:rsidR="00661219">
        <w:rPr>
          <w:lang w:val="en-GB"/>
        </w:rPr>
        <w:t>‘</w:t>
      </w:r>
      <w:r w:rsidRPr="00C51AC7">
        <w:rPr>
          <w:lang w:val="en-GB"/>
        </w:rPr>
        <w:t xml:space="preserve">The macroeconomics of remittances: </w:t>
      </w:r>
      <w:r w:rsidR="00661219">
        <w:rPr>
          <w:lang w:val="en-GB"/>
        </w:rPr>
        <w:t>T</w:t>
      </w:r>
      <w:r w:rsidRPr="00C51AC7">
        <w:rPr>
          <w:lang w:val="en-GB"/>
        </w:rPr>
        <w:t>he case of Tajikistan</w:t>
      </w:r>
      <w:r w:rsidR="00661219">
        <w:rPr>
          <w:lang w:val="en-GB"/>
        </w:rPr>
        <w:t>’</w:t>
      </w:r>
      <w:r w:rsidRPr="006E6184">
        <w:rPr>
          <w:lang w:val="en-GB"/>
        </w:rPr>
        <w:t>. Washington D.C.: International Monetary Fund.</w:t>
      </w:r>
    </w:p>
    <w:p w14:paraId="5977F4F0" w14:textId="0CF38CCF" w:rsidR="0085295C" w:rsidRPr="00FB6AFE" w:rsidRDefault="0085295C" w:rsidP="00661219">
      <w:pPr>
        <w:rPr>
          <w:lang w:val="en-GB"/>
        </w:rPr>
      </w:pPr>
      <w:r w:rsidRPr="00FB6AFE">
        <w:rPr>
          <w:lang w:val="en-GB"/>
        </w:rPr>
        <w:t xml:space="preserve">Liu, Z. </w:t>
      </w:r>
      <w:r w:rsidR="00661219">
        <w:rPr>
          <w:lang w:val="en-GB"/>
        </w:rPr>
        <w:t>(</w:t>
      </w:r>
      <w:r w:rsidRPr="00FB6AFE">
        <w:rPr>
          <w:lang w:val="en-GB"/>
        </w:rPr>
        <w:t>2005</w:t>
      </w:r>
      <w:r w:rsidR="00661219">
        <w:rPr>
          <w:lang w:val="en-GB"/>
        </w:rPr>
        <w:t>)</w:t>
      </w:r>
      <w:r w:rsidRPr="00FB6AFE">
        <w:rPr>
          <w:lang w:val="en-GB"/>
        </w:rPr>
        <w:t xml:space="preserve"> </w:t>
      </w:r>
      <w:r w:rsidR="00661219">
        <w:rPr>
          <w:lang w:val="en-GB"/>
        </w:rPr>
        <w:t>‘</w:t>
      </w:r>
      <w:r w:rsidRPr="00FB6AFE">
        <w:rPr>
          <w:lang w:val="en-GB"/>
        </w:rPr>
        <w:t xml:space="preserve">Institution and inequality: </w:t>
      </w:r>
      <w:r w:rsidR="00661219">
        <w:rPr>
          <w:lang w:val="en-GB"/>
        </w:rPr>
        <w:t>T</w:t>
      </w:r>
      <w:r w:rsidRPr="00FB6AFE">
        <w:rPr>
          <w:lang w:val="en-GB"/>
        </w:rPr>
        <w:t>he hukou system in China</w:t>
      </w:r>
      <w:r w:rsidR="00661219">
        <w:rPr>
          <w:lang w:val="en-GB"/>
        </w:rPr>
        <w:t>’</w:t>
      </w:r>
      <w:r w:rsidRPr="00FB6AFE">
        <w:rPr>
          <w:lang w:val="en-GB"/>
        </w:rPr>
        <w:t xml:space="preserve">. </w:t>
      </w:r>
      <w:r w:rsidRPr="00A519AB">
        <w:rPr>
          <w:i/>
          <w:lang w:val="en-GB"/>
        </w:rPr>
        <w:t xml:space="preserve">Journal of </w:t>
      </w:r>
      <w:r w:rsidR="00661219">
        <w:rPr>
          <w:i/>
          <w:lang w:val="en-GB"/>
        </w:rPr>
        <w:t>C</w:t>
      </w:r>
      <w:r w:rsidRPr="00A519AB">
        <w:rPr>
          <w:i/>
          <w:lang w:val="en-GB"/>
        </w:rPr>
        <w:t xml:space="preserve">omparative </w:t>
      </w:r>
      <w:r w:rsidR="00661219">
        <w:rPr>
          <w:i/>
          <w:lang w:val="en-GB"/>
        </w:rPr>
        <w:t>E</w:t>
      </w:r>
      <w:r w:rsidRPr="00A519AB">
        <w:rPr>
          <w:i/>
          <w:lang w:val="en-GB"/>
        </w:rPr>
        <w:t>conomics</w:t>
      </w:r>
      <w:r w:rsidR="00661219">
        <w:rPr>
          <w:lang w:val="en-GB"/>
        </w:rPr>
        <w:t>,</w:t>
      </w:r>
      <w:r w:rsidRPr="00A519AB">
        <w:rPr>
          <w:i/>
          <w:lang w:val="en-GB"/>
        </w:rPr>
        <w:t xml:space="preserve"> </w:t>
      </w:r>
      <w:r w:rsidRPr="00FB6AFE">
        <w:rPr>
          <w:lang w:val="en-GB"/>
        </w:rPr>
        <w:t>33(1):</w:t>
      </w:r>
      <w:r w:rsidR="00661219">
        <w:rPr>
          <w:lang w:val="en-GB"/>
        </w:rPr>
        <w:t xml:space="preserve"> </w:t>
      </w:r>
      <w:r w:rsidRPr="00FB6AFE">
        <w:rPr>
          <w:lang w:val="en-GB"/>
        </w:rPr>
        <w:t>133</w:t>
      </w:r>
      <w:r w:rsidR="00661219">
        <w:rPr>
          <w:lang w:val="en-GB"/>
        </w:rPr>
        <w:t>–</w:t>
      </w:r>
      <w:r w:rsidRPr="00FB6AFE">
        <w:rPr>
          <w:lang w:val="en-GB"/>
        </w:rPr>
        <w:t>157.</w:t>
      </w:r>
    </w:p>
    <w:p w14:paraId="69FC7F24" w14:textId="0D866FD8" w:rsidR="0085295C" w:rsidRDefault="0085295C" w:rsidP="00661219">
      <w:pPr>
        <w:rPr>
          <w:lang w:val="en-GB"/>
        </w:rPr>
      </w:pPr>
      <w:r w:rsidRPr="00FB6AFE">
        <w:rPr>
          <w:lang w:val="en-GB"/>
        </w:rPr>
        <w:t>Mau, S</w:t>
      </w:r>
      <w:r w:rsidR="00661219">
        <w:rPr>
          <w:lang w:val="en-GB"/>
        </w:rPr>
        <w:t>.</w:t>
      </w:r>
      <w:r w:rsidRPr="00FB6AFE">
        <w:rPr>
          <w:lang w:val="en-GB"/>
        </w:rPr>
        <w:t>, Gülzau</w:t>
      </w:r>
      <w:r w:rsidR="00661219">
        <w:rPr>
          <w:lang w:val="en-GB"/>
        </w:rPr>
        <w:t>, F.</w:t>
      </w:r>
      <w:r w:rsidRPr="00FB6AFE">
        <w:rPr>
          <w:lang w:val="en-GB"/>
        </w:rPr>
        <w:t>, Laube</w:t>
      </w:r>
      <w:r w:rsidR="00661219">
        <w:rPr>
          <w:lang w:val="en-GB"/>
        </w:rPr>
        <w:t>, L.</w:t>
      </w:r>
      <w:r w:rsidRPr="00FB6AFE">
        <w:rPr>
          <w:lang w:val="en-GB"/>
        </w:rPr>
        <w:t>, and Zaun</w:t>
      </w:r>
      <w:r w:rsidR="00661219">
        <w:rPr>
          <w:lang w:val="en-GB"/>
        </w:rPr>
        <w:t>, N</w:t>
      </w:r>
      <w:r w:rsidRPr="00FB6AFE">
        <w:rPr>
          <w:lang w:val="en-GB"/>
        </w:rPr>
        <w:t xml:space="preserve">. </w:t>
      </w:r>
      <w:r w:rsidR="00661219">
        <w:rPr>
          <w:lang w:val="en-GB"/>
        </w:rPr>
        <w:t>(</w:t>
      </w:r>
      <w:r w:rsidRPr="00FB6AFE">
        <w:rPr>
          <w:lang w:val="en-GB"/>
        </w:rPr>
        <w:t>2015</w:t>
      </w:r>
      <w:r w:rsidR="00661219">
        <w:rPr>
          <w:lang w:val="en-GB"/>
        </w:rPr>
        <w:t>)</w:t>
      </w:r>
      <w:r w:rsidRPr="00FB6AFE">
        <w:rPr>
          <w:lang w:val="en-GB"/>
        </w:rPr>
        <w:t xml:space="preserve"> </w:t>
      </w:r>
      <w:r w:rsidR="00661219">
        <w:rPr>
          <w:lang w:val="en-GB"/>
        </w:rPr>
        <w:t>‘</w:t>
      </w:r>
      <w:r w:rsidRPr="00FB6AFE">
        <w:rPr>
          <w:lang w:val="en-GB"/>
        </w:rPr>
        <w:t xml:space="preserve">The global mobility divide: </w:t>
      </w:r>
      <w:r w:rsidR="00661219">
        <w:rPr>
          <w:lang w:val="en-GB"/>
        </w:rPr>
        <w:t>H</w:t>
      </w:r>
      <w:r w:rsidRPr="00FB6AFE">
        <w:rPr>
          <w:lang w:val="en-GB"/>
        </w:rPr>
        <w:t>ow visa policies have evolved over time</w:t>
      </w:r>
      <w:r w:rsidR="00661219">
        <w:rPr>
          <w:lang w:val="en-GB"/>
        </w:rPr>
        <w:t>’</w:t>
      </w:r>
      <w:r w:rsidRPr="00FB6AFE">
        <w:rPr>
          <w:lang w:val="en-GB"/>
        </w:rPr>
        <w:t xml:space="preserve">. </w:t>
      </w:r>
      <w:r w:rsidRPr="00A519AB">
        <w:rPr>
          <w:i/>
          <w:lang w:val="en-GB"/>
        </w:rPr>
        <w:t>Journal of Ethnic and Migration Studies</w:t>
      </w:r>
      <w:r w:rsidR="00661219">
        <w:rPr>
          <w:lang w:val="en-GB"/>
        </w:rPr>
        <w:t>,</w:t>
      </w:r>
      <w:r w:rsidRPr="00FB6AFE">
        <w:rPr>
          <w:lang w:val="en-GB"/>
        </w:rPr>
        <w:t xml:space="preserve"> 41 (8):</w:t>
      </w:r>
      <w:r w:rsidR="00661219">
        <w:rPr>
          <w:lang w:val="en-GB"/>
        </w:rPr>
        <w:t xml:space="preserve"> </w:t>
      </w:r>
      <w:r w:rsidRPr="00FB6AFE">
        <w:rPr>
          <w:lang w:val="en-GB"/>
        </w:rPr>
        <w:t>1192</w:t>
      </w:r>
      <w:r w:rsidR="00661219">
        <w:rPr>
          <w:lang w:val="en-GB"/>
        </w:rPr>
        <w:t>–</w:t>
      </w:r>
      <w:r w:rsidRPr="00FB6AFE">
        <w:rPr>
          <w:lang w:val="en-GB"/>
        </w:rPr>
        <w:t>1213.</w:t>
      </w:r>
    </w:p>
    <w:p w14:paraId="30F0AFEE" w14:textId="025476D4" w:rsidR="00636422" w:rsidRDefault="00636422" w:rsidP="009A6241">
      <w:pPr>
        <w:autoSpaceDE/>
        <w:autoSpaceDN/>
        <w:adjustRightInd/>
        <w:spacing w:after="0" w:line="240" w:lineRule="auto"/>
        <w:jc w:val="left"/>
        <w:rPr>
          <w:rFonts w:eastAsia="Times New Roman"/>
          <w:i/>
          <w:iCs/>
          <w:color w:val="auto"/>
          <w:sz w:val="24"/>
          <w:lang w:val="en-GB" w:eastAsia="en-GB"/>
        </w:rPr>
      </w:pPr>
      <w:r w:rsidRPr="00636422">
        <w:rPr>
          <w:rFonts w:eastAsia="Times New Roman"/>
          <w:color w:val="auto"/>
          <w:sz w:val="24"/>
          <w:lang w:val="en-GB" w:eastAsia="en-GB"/>
        </w:rPr>
        <w:t>M</w:t>
      </w:r>
      <w:r>
        <w:rPr>
          <w:rFonts w:eastAsia="Times New Roman"/>
          <w:color w:val="auto"/>
          <w:sz w:val="24"/>
          <w:lang w:val="en-GB" w:eastAsia="en-GB"/>
        </w:rPr>
        <w:t xml:space="preserve">ayda, A.M. and Patel, K. (2004) </w:t>
      </w:r>
      <w:r w:rsidRPr="00636422">
        <w:rPr>
          <w:rFonts w:eastAsia="Times New Roman"/>
          <w:color w:val="auto"/>
          <w:sz w:val="24"/>
          <w:lang w:val="en-GB" w:eastAsia="en-GB"/>
        </w:rPr>
        <w:t xml:space="preserve">OECD countries migration policies changes. </w:t>
      </w:r>
      <w:r w:rsidRPr="00636422">
        <w:rPr>
          <w:rFonts w:eastAsia="Times New Roman"/>
          <w:i/>
          <w:iCs/>
          <w:color w:val="auto"/>
          <w:sz w:val="24"/>
          <w:lang w:val="en-GB" w:eastAsia="en-GB"/>
        </w:rPr>
        <w:t>Appendix to “International migration: A panel analysis of ec</w:t>
      </w:r>
      <w:r>
        <w:rPr>
          <w:rFonts w:eastAsia="Times New Roman"/>
          <w:i/>
          <w:iCs/>
          <w:color w:val="auto"/>
          <w:sz w:val="24"/>
          <w:lang w:val="en-GB" w:eastAsia="en-GB"/>
        </w:rPr>
        <w:t>onomic and non-economic determi</w:t>
      </w:r>
      <w:r w:rsidRPr="00636422">
        <w:rPr>
          <w:rFonts w:eastAsia="Times New Roman"/>
          <w:i/>
          <w:iCs/>
          <w:color w:val="auto"/>
          <w:sz w:val="24"/>
          <w:lang w:val="en-GB" w:eastAsia="en-GB"/>
        </w:rPr>
        <w:t xml:space="preserve">nants”. </w:t>
      </w:r>
    </w:p>
    <w:p w14:paraId="24273057" w14:textId="77777777" w:rsidR="00636422" w:rsidRPr="00FB6AFE" w:rsidRDefault="00636422" w:rsidP="009A6241">
      <w:pPr>
        <w:autoSpaceDE/>
        <w:autoSpaceDN/>
        <w:adjustRightInd/>
        <w:spacing w:after="0" w:line="240" w:lineRule="auto"/>
        <w:jc w:val="left"/>
        <w:rPr>
          <w:lang w:val="en-GB"/>
        </w:rPr>
      </w:pPr>
    </w:p>
    <w:p w14:paraId="16A66DC2" w14:textId="2AA59695" w:rsidR="0085295C" w:rsidRPr="006E6184" w:rsidRDefault="0085295C" w:rsidP="00661219">
      <w:pPr>
        <w:rPr>
          <w:lang w:val="en-GB"/>
        </w:rPr>
      </w:pPr>
      <w:r w:rsidRPr="006E6184">
        <w:rPr>
          <w:lang w:val="en-GB"/>
        </w:rPr>
        <w:t>McKenzie, D</w:t>
      </w:r>
      <w:r w:rsidR="00661219">
        <w:rPr>
          <w:lang w:val="en-GB"/>
        </w:rPr>
        <w:t>.</w:t>
      </w:r>
      <w:r w:rsidRPr="006E6184">
        <w:rPr>
          <w:lang w:val="en-GB"/>
        </w:rPr>
        <w:t xml:space="preserve"> J. </w:t>
      </w:r>
      <w:r w:rsidR="00661219">
        <w:rPr>
          <w:lang w:val="en-GB"/>
        </w:rPr>
        <w:t>(</w:t>
      </w:r>
      <w:r w:rsidRPr="006E6184">
        <w:rPr>
          <w:lang w:val="en-GB"/>
        </w:rPr>
        <w:t>2005</w:t>
      </w:r>
      <w:r w:rsidR="00661219">
        <w:rPr>
          <w:lang w:val="en-GB"/>
        </w:rPr>
        <w:t>) ‘</w:t>
      </w:r>
      <w:r w:rsidRPr="006E6184">
        <w:rPr>
          <w:lang w:val="en-GB"/>
        </w:rPr>
        <w:t>Paper Walls Are Easier to Tear Down: Passport Costs and Legal Barriers to Emigration</w:t>
      </w:r>
      <w:r w:rsidR="00D279D7">
        <w:rPr>
          <w:lang w:val="en-GB"/>
        </w:rPr>
        <w:t>’</w:t>
      </w:r>
      <w:r w:rsidRPr="006E6184">
        <w:rPr>
          <w:lang w:val="en-GB"/>
        </w:rPr>
        <w:t xml:space="preserve">. </w:t>
      </w:r>
      <w:r w:rsidRPr="00A519AB">
        <w:rPr>
          <w:i/>
          <w:lang w:val="en-GB"/>
        </w:rPr>
        <w:t xml:space="preserve">Policy Research </w:t>
      </w:r>
      <w:r w:rsidR="00D279D7">
        <w:rPr>
          <w:i/>
          <w:lang w:val="en-GB"/>
        </w:rPr>
        <w:t>W</w:t>
      </w:r>
      <w:r w:rsidRPr="00A519AB">
        <w:rPr>
          <w:i/>
          <w:lang w:val="en-GB"/>
        </w:rPr>
        <w:t xml:space="preserve">orking </w:t>
      </w:r>
      <w:r w:rsidR="00D279D7">
        <w:rPr>
          <w:i/>
          <w:lang w:val="en-GB"/>
        </w:rPr>
        <w:t>P</w:t>
      </w:r>
      <w:r w:rsidRPr="00A519AB">
        <w:rPr>
          <w:i/>
          <w:lang w:val="en-GB"/>
        </w:rPr>
        <w:t>aper</w:t>
      </w:r>
      <w:r w:rsidRPr="006E6184">
        <w:rPr>
          <w:lang w:val="en-GB"/>
        </w:rPr>
        <w:t xml:space="preserve">. </w:t>
      </w:r>
      <w:r w:rsidR="00D279D7">
        <w:rPr>
          <w:lang w:val="en-GB"/>
        </w:rPr>
        <w:t xml:space="preserve">Washington, D. C.: </w:t>
      </w:r>
      <w:r w:rsidRPr="006E6184">
        <w:rPr>
          <w:lang w:val="en-GB"/>
        </w:rPr>
        <w:t>World Bank.</w:t>
      </w:r>
    </w:p>
    <w:p w14:paraId="09CD719D" w14:textId="5C49C476" w:rsidR="0085295C" w:rsidRPr="006E6184" w:rsidRDefault="0085295C" w:rsidP="00965473">
      <w:pPr>
        <w:rPr>
          <w:lang w:val="en-GB"/>
        </w:rPr>
      </w:pPr>
      <w:r w:rsidRPr="006E6184">
        <w:rPr>
          <w:lang w:val="en-GB"/>
        </w:rPr>
        <w:lastRenderedPageBreak/>
        <w:t>Miller, M</w:t>
      </w:r>
      <w:r w:rsidR="00965473">
        <w:rPr>
          <w:lang w:val="en-GB"/>
        </w:rPr>
        <w:t>.</w:t>
      </w:r>
      <w:r w:rsidRPr="006E6184">
        <w:rPr>
          <w:lang w:val="en-GB"/>
        </w:rPr>
        <w:t xml:space="preserve"> J.</w:t>
      </w:r>
      <w:r w:rsidR="00CF1F28">
        <w:rPr>
          <w:lang w:val="en-GB"/>
        </w:rPr>
        <w:t xml:space="preserve"> </w:t>
      </w:r>
      <w:r w:rsidR="00965473">
        <w:rPr>
          <w:lang w:val="en-GB"/>
        </w:rPr>
        <w:t>(</w:t>
      </w:r>
      <w:r w:rsidRPr="006E6184">
        <w:rPr>
          <w:lang w:val="en-GB"/>
        </w:rPr>
        <w:t>1979</w:t>
      </w:r>
      <w:r w:rsidR="00965473">
        <w:rPr>
          <w:lang w:val="en-GB"/>
        </w:rPr>
        <w:t>)‘</w:t>
      </w:r>
      <w:r w:rsidRPr="006E6184">
        <w:rPr>
          <w:lang w:val="en-GB"/>
        </w:rPr>
        <w:t>Reluctant Partnership: Foreign Workers in Franco</w:t>
      </w:r>
      <w:r w:rsidR="00965473">
        <w:rPr>
          <w:lang w:val="en-GB"/>
        </w:rPr>
        <w:t>–</w:t>
      </w:r>
      <w:r w:rsidRPr="006E6184">
        <w:rPr>
          <w:lang w:val="en-GB"/>
        </w:rPr>
        <w:t>Algerian Relations</w:t>
      </w:r>
      <w:r w:rsidR="00965473">
        <w:rPr>
          <w:lang w:val="en-GB"/>
        </w:rPr>
        <w:t>’</w:t>
      </w:r>
      <w:r w:rsidRPr="006E6184">
        <w:rPr>
          <w:lang w:val="en-GB"/>
        </w:rPr>
        <w:t xml:space="preserve">. </w:t>
      </w:r>
      <w:r w:rsidRPr="00A519AB">
        <w:rPr>
          <w:i/>
          <w:lang w:val="en-GB"/>
        </w:rPr>
        <w:t>Journal of International Affairs</w:t>
      </w:r>
      <w:r w:rsidR="00965473">
        <w:rPr>
          <w:lang w:val="en-GB"/>
        </w:rPr>
        <w:t>,</w:t>
      </w:r>
      <w:r w:rsidRPr="006E6184">
        <w:rPr>
          <w:lang w:val="en-GB"/>
        </w:rPr>
        <w:t xml:space="preserve"> 33(2):</w:t>
      </w:r>
      <w:r w:rsidR="00965473">
        <w:rPr>
          <w:lang w:val="en-GB"/>
        </w:rPr>
        <w:t xml:space="preserve"> </w:t>
      </w:r>
      <w:r w:rsidRPr="006E6184">
        <w:rPr>
          <w:lang w:val="en-GB"/>
        </w:rPr>
        <w:t>219</w:t>
      </w:r>
      <w:r w:rsidR="00965473">
        <w:rPr>
          <w:lang w:val="en-GB"/>
        </w:rPr>
        <w:t>–</w:t>
      </w:r>
      <w:r w:rsidRPr="006E6184">
        <w:rPr>
          <w:lang w:val="en-GB"/>
        </w:rPr>
        <w:t>237.</w:t>
      </w:r>
    </w:p>
    <w:p w14:paraId="298C481D" w14:textId="38B44710" w:rsidR="0085295C" w:rsidRPr="00A519AB" w:rsidRDefault="0085295C" w:rsidP="00965473">
      <w:pPr>
        <w:rPr>
          <w:lang w:val="en-GB" w:eastAsia="en-GB"/>
        </w:rPr>
      </w:pPr>
      <w:r w:rsidRPr="00A519AB">
        <w:rPr>
          <w:lang w:val="en-GB" w:eastAsia="en-GB"/>
        </w:rPr>
        <w:t xml:space="preserve">Neumayer, E. </w:t>
      </w:r>
      <w:r w:rsidR="00965473">
        <w:rPr>
          <w:lang w:val="en-GB" w:eastAsia="en-GB"/>
        </w:rPr>
        <w:t>(</w:t>
      </w:r>
      <w:r w:rsidRPr="00A519AB">
        <w:rPr>
          <w:lang w:val="en-GB" w:eastAsia="en-GB"/>
        </w:rPr>
        <w:t>2006</w:t>
      </w:r>
      <w:r w:rsidR="00965473">
        <w:rPr>
          <w:lang w:val="en-GB" w:eastAsia="en-GB"/>
        </w:rPr>
        <w:t>)</w:t>
      </w:r>
      <w:r w:rsidRPr="00A519AB">
        <w:rPr>
          <w:lang w:val="en-GB" w:eastAsia="en-GB"/>
        </w:rPr>
        <w:t xml:space="preserve"> </w:t>
      </w:r>
      <w:r w:rsidR="00965473">
        <w:rPr>
          <w:lang w:val="en-GB" w:eastAsia="en-GB"/>
        </w:rPr>
        <w:t>‘</w:t>
      </w:r>
      <w:r w:rsidRPr="00A519AB">
        <w:rPr>
          <w:lang w:val="en-GB" w:eastAsia="en-GB"/>
        </w:rPr>
        <w:t>Unequal access to foreign spaces: how states use visa restrictions to regulate mobility in a globalized world</w:t>
      </w:r>
      <w:r w:rsidR="00965473">
        <w:rPr>
          <w:lang w:val="en-GB" w:eastAsia="en-GB"/>
        </w:rPr>
        <w:t>’</w:t>
      </w:r>
      <w:r w:rsidRPr="00A519AB">
        <w:rPr>
          <w:lang w:val="en-GB" w:eastAsia="en-GB"/>
        </w:rPr>
        <w:t xml:space="preserve">. </w:t>
      </w:r>
      <w:r w:rsidRPr="00A519AB">
        <w:rPr>
          <w:i/>
          <w:iCs/>
          <w:lang w:val="en-GB" w:eastAsia="en-GB"/>
        </w:rPr>
        <w:t>Transactions of the Institute of British Geographers</w:t>
      </w:r>
      <w:r w:rsidRPr="00A519AB">
        <w:rPr>
          <w:lang w:val="en-GB" w:eastAsia="en-GB"/>
        </w:rPr>
        <w:t xml:space="preserve">, </w:t>
      </w:r>
      <w:r w:rsidRPr="00C51AC7">
        <w:rPr>
          <w:iCs/>
          <w:lang w:val="en-GB" w:eastAsia="en-GB"/>
        </w:rPr>
        <w:t>31</w:t>
      </w:r>
      <w:r w:rsidRPr="00A519AB">
        <w:rPr>
          <w:lang w:val="en-GB" w:eastAsia="en-GB"/>
        </w:rPr>
        <w:t>(1)</w:t>
      </w:r>
      <w:r w:rsidR="00965473">
        <w:rPr>
          <w:lang w:val="en-GB" w:eastAsia="en-GB"/>
        </w:rPr>
        <w:t xml:space="preserve">: </w:t>
      </w:r>
      <w:r w:rsidRPr="00A519AB">
        <w:rPr>
          <w:lang w:val="en-GB" w:eastAsia="en-GB"/>
        </w:rPr>
        <w:t>72</w:t>
      </w:r>
      <w:r w:rsidR="00965473">
        <w:rPr>
          <w:lang w:val="en-GB" w:eastAsia="en-GB"/>
        </w:rPr>
        <w:t>–</w:t>
      </w:r>
      <w:r w:rsidRPr="00A519AB">
        <w:rPr>
          <w:lang w:val="en-GB" w:eastAsia="en-GB"/>
        </w:rPr>
        <w:t>84.</w:t>
      </w:r>
    </w:p>
    <w:p w14:paraId="05B73D3B" w14:textId="49540219" w:rsidR="0085295C" w:rsidRDefault="0085295C" w:rsidP="00965473">
      <w:pPr>
        <w:rPr>
          <w:lang w:val="en-GB"/>
        </w:rPr>
      </w:pPr>
      <w:r w:rsidRPr="006E6184">
        <w:rPr>
          <w:lang w:val="en-GB"/>
        </w:rPr>
        <w:t xml:space="preserve">OECD </w:t>
      </w:r>
      <w:r w:rsidR="00965473">
        <w:rPr>
          <w:lang w:val="en-GB"/>
        </w:rPr>
        <w:t>(</w:t>
      </w:r>
      <w:r w:rsidRPr="006E6184">
        <w:rPr>
          <w:lang w:val="en-GB"/>
        </w:rPr>
        <w:t>1992</w:t>
      </w:r>
      <w:r w:rsidR="00965473">
        <w:rPr>
          <w:lang w:val="en-GB"/>
        </w:rPr>
        <w:t>)</w:t>
      </w:r>
      <w:r w:rsidRPr="006E6184">
        <w:rPr>
          <w:lang w:val="en-GB"/>
        </w:rPr>
        <w:t xml:space="preserve"> </w:t>
      </w:r>
      <w:r w:rsidRPr="00A519AB">
        <w:rPr>
          <w:i/>
          <w:lang w:val="en-GB"/>
        </w:rPr>
        <w:t>Trends in International Migration</w:t>
      </w:r>
      <w:r w:rsidRPr="006E6184">
        <w:rPr>
          <w:lang w:val="en-GB"/>
        </w:rPr>
        <w:t>, SOPEMI, Continuous Reporting System. Paris.</w:t>
      </w:r>
    </w:p>
    <w:p w14:paraId="6004A670" w14:textId="5391A243" w:rsidR="004E519C" w:rsidRDefault="004E519C" w:rsidP="004E519C">
      <w:pPr>
        <w:autoSpaceDE/>
        <w:autoSpaceDN/>
        <w:adjustRightInd/>
        <w:spacing w:after="0" w:line="240" w:lineRule="auto"/>
        <w:jc w:val="left"/>
        <w:rPr>
          <w:rFonts w:eastAsia="Times New Roman"/>
          <w:color w:val="auto"/>
          <w:sz w:val="24"/>
          <w:lang w:val="en-GB" w:eastAsia="en-GB"/>
        </w:rPr>
      </w:pPr>
      <w:r>
        <w:rPr>
          <w:rFonts w:eastAsia="Times New Roman"/>
          <w:color w:val="auto"/>
          <w:sz w:val="24"/>
          <w:lang w:val="en-GB" w:eastAsia="en-GB"/>
        </w:rPr>
        <w:t>Ortega, F. and Peri, G. (</w:t>
      </w:r>
      <w:r w:rsidRPr="004E519C">
        <w:rPr>
          <w:rFonts w:eastAsia="Times New Roman"/>
          <w:color w:val="auto"/>
          <w:sz w:val="24"/>
          <w:lang w:val="en-GB" w:eastAsia="en-GB"/>
        </w:rPr>
        <w:t>2013</w:t>
      </w:r>
      <w:r>
        <w:rPr>
          <w:rFonts w:eastAsia="Times New Roman"/>
          <w:color w:val="auto"/>
          <w:sz w:val="24"/>
          <w:lang w:val="en-GB" w:eastAsia="en-GB"/>
        </w:rPr>
        <w:t>)</w:t>
      </w:r>
      <w:r w:rsidRPr="004E519C">
        <w:rPr>
          <w:rFonts w:eastAsia="Times New Roman"/>
          <w:color w:val="auto"/>
          <w:sz w:val="24"/>
          <w:lang w:val="en-GB" w:eastAsia="en-GB"/>
        </w:rPr>
        <w:t xml:space="preserve"> </w:t>
      </w:r>
      <w:r w:rsidR="00A652BB">
        <w:rPr>
          <w:rFonts w:eastAsia="Times New Roman"/>
          <w:color w:val="auto"/>
          <w:sz w:val="24"/>
          <w:lang w:val="en-GB" w:eastAsia="en-GB"/>
        </w:rPr>
        <w:t>‘</w:t>
      </w:r>
      <w:r w:rsidRPr="004E519C">
        <w:rPr>
          <w:rFonts w:eastAsia="Times New Roman"/>
          <w:color w:val="auto"/>
          <w:sz w:val="24"/>
          <w:lang w:val="en-GB" w:eastAsia="en-GB"/>
        </w:rPr>
        <w:t>The effect of income and immigration policies on international migration</w:t>
      </w:r>
      <w:r w:rsidR="00A652BB">
        <w:rPr>
          <w:rFonts w:eastAsia="Times New Roman"/>
          <w:color w:val="auto"/>
          <w:sz w:val="24"/>
          <w:lang w:val="en-GB" w:eastAsia="en-GB"/>
        </w:rPr>
        <w:t>’</w:t>
      </w:r>
      <w:r w:rsidRPr="004E519C">
        <w:rPr>
          <w:rFonts w:eastAsia="Times New Roman"/>
          <w:color w:val="auto"/>
          <w:sz w:val="24"/>
          <w:lang w:val="en-GB" w:eastAsia="en-GB"/>
        </w:rPr>
        <w:t xml:space="preserve">. </w:t>
      </w:r>
      <w:r w:rsidRPr="004E519C">
        <w:rPr>
          <w:rFonts w:eastAsia="Times New Roman"/>
          <w:i/>
          <w:iCs/>
          <w:color w:val="auto"/>
          <w:sz w:val="24"/>
          <w:lang w:val="en-GB" w:eastAsia="en-GB"/>
        </w:rPr>
        <w:t>Migration Studies</w:t>
      </w:r>
      <w:r w:rsidRPr="004E519C">
        <w:rPr>
          <w:rFonts w:eastAsia="Times New Roman"/>
          <w:color w:val="auto"/>
          <w:sz w:val="24"/>
          <w:lang w:val="en-GB" w:eastAsia="en-GB"/>
        </w:rPr>
        <w:t xml:space="preserve">, </w:t>
      </w:r>
      <w:r w:rsidRPr="004E519C">
        <w:rPr>
          <w:rFonts w:eastAsia="Times New Roman"/>
          <w:i/>
          <w:iCs/>
          <w:color w:val="auto"/>
          <w:sz w:val="24"/>
          <w:lang w:val="en-GB" w:eastAsia="en-GB"/>
        </w:rPr>
        <w:t>1</w:t>
      </w:r>
      <w:r>
        <w:rPr>
          <w:rFonts w:eastAsia="Times New Roman"/>
          <w:color w:val="auto"/>
          <w:sz w:val="24"/>
          <w:lang w:val="en-GB" w:eastAsia="en-GB"/>
        </w:rPr>
        <w:t xml:space="preserve">(1): </w:t>
      </w:r>
      <w:r w:rsidRPr="004E519C">
        <w:rPr>
          <w:rFonts w:eastAsia="Times New Roman"/>
          <w:color w:val="auto"/>
          <w:sz w:val="24"/>
          <w:lang w:val="en-GB" w:eastAsia="en-GB"/>
        </w:rPr>
        <w:t>47-74.</w:t>
      </w:r>
    </w:p>
    <w:p w14:paraId="4DF32D0F" w14:textId="77777777" w:rsidR="00DB1695" w:rsidRPr="004E519C" w:rsidRDefault="00DB1695" w:rsidP="004E519C">
      <w:pPr>
        <w:autoSpaceDE/>
        <w:autoSpaceDN/>
        <w:adjustRightInd/>
        <w:spacing w:after="0" w:line="240" w:lineRule="auto"/>
        <w:jc w:val="left"/>
        <w:rPr>
          <w:rFonts w:eastAsia="Times New Roman"/>
          <w:color w:val="auto"/>
          <w:sz w:val="24"/>
          <w:lang w:val="en-GB" w:eastAsia="en-GB"/>
        </w:rPr>
      </w:pPr>
    </w:p>
    <w:p w14:paraId="46E271EC" w14:textId="08C349B8" w:rsidR="00DB1695" w:rsidRPr="006E6184" w:rsidRDefault="00DB1695" w:rsidP="00965473">
      <w:pPr>
        <w:rPr>
          <w:lang w:val="en-GB"/>
        </w:rPr>
      </w:pPr>
      <w:r>
        <w:t xml:space="preserve">Özden, Ç., Parsons, C.R., Schiff, M. and Walmsley, T.L. (2011) ‘Where on earth is everybody? The evolution of global bilateral migration 1960–2000’. </w:t>
      </w:r>
      <w:r>
        <w:rPr>
          <w:i/>
          <w:iCs/>
        </w:rPr>
        <w:t>The World Bank Economic Review</w:t>
      </w:r>
      <w:r>
        <w:t xml:space="preserve">, </w:t>
      </w:r>
      <w:r>
        <w:rPr>
          <w:i/>
          <w:iCs/>
        </w:rPr>
        <w:t>25</w:t>
      </w:r>
      <w:r>
        <w:t>(1): 12-56.</w:t>
      </w:r>
    </w:p>
    <w:p w14:paraId="3DD668A7" w14:textId="70008191" w:rsidR="00201A67" w:rsidRDefault="00201A67" w:rsidP="00201A67">
      <w:pPr>
        <w:rPr>
          <w:szCs w:val="22"/>
        </w:rPr>
      </w:pPr>
      <w:r>
        <w:rPr>
          <w:szCs w:val="22"/>
        </w:rPr>
        <w:t xml:space="preserve">Parsons, C.R., Skeldon, R., Walmsley, T. and Winters A.L.  (2005) ‘Quantifying the International Bilateral Movements of Migrants.’ in </w:t>
      </w:r>
      <w:r>
        <w:rPr>
          <w:i/>
          <w:iCs/>
          <w:szCs w:val="22"/>
        </w:rPr>
        <w:t>DRC Working Paper T13</w:t>
      </w:r>
      <w:r>
        <w:rPr>
          <w:szCs w:val="22"/>
        </w:rPr>
        <w:t xml:space="preserve">: Development Research Centre on Migration, Globalisation and Poverty. </w:t>
      </w:r>
    </w:p>
    <w:p w14:paraId="61B4B8DA" w14:textId="1935C8C2" w:rsidR="0085295C" w:rsidRPr="00A519AB" w:rsidRDefault="0085295C" w:rsidP="00965473">
      <w:pPr>
        <w:rPr>
          <w:lang w:val="en-GB" w:eastAsia="en-GB"/>
        </w:rPr>
      </w:pPr>
      <w:r w:rsidRPr="00A519AB">
        <w:rPr>
          <w:lang w:val="en-GB" w:eastAsia="en-GB"/>
        </w:rPr>
        <w:t>Salter, M.</w:t>
      </w:r>
      <w:r w:rsidR="00965473">
        <w:rPr>
          <w:lang w:val="en-GB" w:eastAsia="en-GB"/>
        </w:rPr>
        <w:t xml:space="preserve"> </w:t>
      </w:r>
      <w:r w:rsidRPr="00A519AB">
        <w:rPr>
          <w:lang w:val="en-GB" w:eastAsia="en-GB"/>
        </w:rPr>
        <w:t xml:space="preserve">B. </w:t>
      </w:r>
      <w:r w:rsidR="00965473">
        <w:rPr>
          <w:lang w:val="en-GB" w:eastAsia="en-GB"/>
        </w:rPr>
        <w:t>(</w:t>
      </w:r>
      <w:r w:rsidRPr="00A519AB">
        <w:rPr>
          <w:lang w:val="en-GB" w:eastAsia="en-GB"/>
        </w:rPr>
        <w:t>2006</w:t>
      </w:r>
      <w:r w:rsidR="00965473">
        <w:rPr>
          <w:lang w:val="en-GB" w:eastAsia="en-GB"/>
        </w:rPr>
        <w:t>)</w:t>
      </w:r>
      <w:r w:rsidRPr="00A519AB">
        <w:rPr>
          <w:lang w:val="en-GB" w:eastAsia="en-GB"/>
        </w:rPr>
        <w:t xml:space="preserve"> </w:t>
      </w:r>
      <w:r w:rsidR="00965473">
        <w:rPr>
          <w:lang w:val="en-GB" w:eastAsia="en-GB"/>
        </w:rPr>
        <w:t>‘</w:t>
      </w:r>
      <w:r w:rsidRPr="00A519AB">
        <w:rPr>
          <w:lang w:val="en-GB" w:eastAsia="en-GB"/>
        </w:rPr>
        <w:t xml:space="preserve">The global visa regime and the political technologies of the international self: </w:t>
      </w:r>
      <w:r w:rsidR="00965473">
        <w:rPr>
          <w:lang w:val="en-GB" w:eastAsia="en-GB"/>
        </w:rPr>
        <w:t>B</w:t>
      </w:r>
      <w:r w:rsidR="00965473" w:rsidRPr="00A519AB">
        <w:rPr>
          <w:lang w:val="en-GB" w:eastAsia="en-GB"/>
        </w:rPr>
        <w:t>orders</w:t>
      </w:r>
      <w:r w:rsidRPr="00A519AB">
        <w:rPr>
          <w:lang w:val="en-GB" w:eastAsia="en-GB"/>
        </w:rPr>
        <w:t>, bodies, biopolitics</w:t>
      </w:r>
      <w:r w:rsidR="00965473">
        <w:rPr>
          <w:lang w:val="en-GB" w:eastAsia="en-GB"/>
        </w:rPr>
        <w:t>’</w:t>
      </w:r>
      <w:r w:rsidRPr="00A519AB">
        <w:rPr>
          <w:lang w:val="en-GB" w:eastAsia="en-GB"/>
        </w:rPr>
        <w:t xml:space="preserve">. </w:t>
      </w:r>
      <w:r w:rsidRPr="00A519AB">
        <w:rPr>
          <w:i/>
          <w:iCs/>
          <w:lang w:val="en-GB" w:eastAsia="en-GB"/>
        </w:rPr>
        <w:t>Alternatives: Global, Local, Political</w:t>
      </w:r>
      <w:r w:rsidRPr="00A519AB">
        <w:rPr>
          <w:lang w:val="en-GB" w:eastAsia="en-GB"/>
        </w:rPr>
        <w:t xml:space="preserve">, </w:t>
      </w:r>
      <w:r w:rsidRPr="00C51AC7">
        <w:rPr>
          <w:iCs/>
          <w:lang w:val="en-GB" w:eastAsia="en-GB"/>
        </w:rPr>
        <w:t>31</w:t>
      </w:r>
      <w:r w:rsidRPr="00A519AB">
        <w:rPr>
          <w:lang w:val="en-GB" w:eastAsia="en-GB"/>
        </w:rPr>
        <w:t>(2)</w:t>
      </w:r>
      <w:r w:rsidR="00965473">
        <w:rPr>
          <w:lang w:val="en-GB" w:eastAsia="en-GB"/>
        </w:rPr>
        <w:t xml:space="preserve">: </w:t>
      </w:r>
      <w:r w:rsidRPr="00A519AB">
        <w:rPr>
          <w:lang w:val="en-GB" w:eastAsia="en-GB"/>
        </w:rPr>
        <w:t>167</w:t>
      </w:r>
      <w:r w:rsidR="00965473">
        <w:rPr>
          <w:lang w:val="en-GB" w:eastAsia="en-GB"/>
        </w:rPr>
        <w:t>–</w:t>
      </w:r>
      <w:r w:rsidRPr="00A519AB">
        <w:rPr>
          <w:lang w:val="en-GB" w:eastAsia="en-GB"/>
        </w:rPr>
        <w:t>189.</w:t>
      </w:r>
    </w:p>
    <w:p w14:paraId="6D247AC7" w14:textId="1172608B" w:rsidR="0085295C" w:rsidRPr="006E6184" w:rsidRDefault="0085295C" w:rsidP="00965473">
      <w:pPr>
        <w:rPr>
          <w:lang w:val="en-GB"/>
        </w:rPr>
      </w:pPr>
      <w:r w:rsidRPr="006E6184">
        <w:rPr>
          <w:lang w:val="en-GB"/>
        </w:rPr>
        <w:t xml:space="preserve">Samaa TV </w:t>
      </w:r>
      <w:r w:rsidR="00965473">
        <w:rPr>
          <w:lang w:val="en-GB"/>
        </w:rPr>
        <w:t>(</w:t>
      </w:r>
      <w:r w:rsidRPr="006E6184">
        <w:rPr>
          <w:lang w:val="en-GB"/>
        </w:rPr>
        <w:t>2016</w:t>
      </w:r>
      <w:r w:rsidR="00965473">
        <w:rPr>
          <w:lang w:val="en-GB"/>
        </w:rPr>
        <w:t>)</w:t>
      </w:r>
      <w:r w:rsidRPr="006E6184">
        <w:rPr>
          <w:lang w:val="en-GB"/>
        </w:rPr>
        <w:t xml:space="preserve"> </w:t>
      </w:r>
      <w:r w:rsidR="00965473">
        <w:rPr>
          <w:lang w:val="en-GB"/>
        </w:rPr>
        <w:t>‘</w:t>
      </w:r>
      <w:r w:rsidRPr="006E6184">
        <w:rPr>
          <w:lang w:val="en-GB"/>
        </w:rPr>
        <w:t>Saudi seeking reciprocity on visa fees</w:t>
      </w:r>
      <w:r w:rsidR="00965473">
        <w:rPr>
          <w:lang w:val="en-GB"/>
        </w:rPr>
        <w:t>’, 16 November, available at</w:t>
      </w:r>
      <w:r w:rsidRPr="006E6184">
        <w:rPr>
          <w:lang w:val="en-GB"/>
        </w:rPr>
        <w:t xml:space="preserve"> https://www.samaa.tv/international/2016/11/saudi-seeking-reci</w:t>
      </w:r>
      <w:r>
        <w:rPr>
          <w:lang w:val="en-GB"/>
        </w:rPr>
        <w:t>procity-on-visa-fees-minister/; retrieved 9 March 2017.</w:t>
      </w:r>
    </w:p>
    <w:p w14:paraId="2B87209A" w14:textId="15AF32B1" w:rsidR="0085295C" w:rsidRPr="00A519AB" w:rsidRDefault="0085295C" w:rsidP="00F01C4E">
      <w:pPr>
        <w:rPr>
          <w:lang w:val="en-GB" w:eastAsia="en-GB"/>
        </w:rPr>
      </w:pPr>
      <w:r w:rsidRPr="00A519AB">
        <w:rPr>
          <w:lang w:val="en-GB" w:eastAsia="en-GB"/>
        </w:rPr>
        <w:t xml:space="preserve">Sassen, S. </w:t>
      </w:r>
      <w:r w:rsidR="00F01C4E">
        <w:rPr>
          <w:lang w:val="en-GB" w:eastAsia="en-GB"/>
        </w:rPr>
        <w:t>(</w:t>
      </w:r>
      <w:r w:rsidRPr="00A519AB">
        <w:rPr>
          <w:lang w:val="en-GB" w:eastAsia="en-GB"/>
        </w:rPr>
        <w:t>2000</w:t>
      </w:r>
      <w:r w:rsidR="00F01C4E">
        <w:rPr>
          <w:lang w:val="en-GB" w:eastAsia="en-GB"/>
        </w:rPr>
        <w:t>)</w:t>
      </w:r>
      <w:r w:rsidRPr="00A519AB">
        <w:rPr>
          <w:lang w:val="en-GB" w:eastAsia="en-GB"/>
        </w:rPr>
        <w:t xml:space="preserve"> </w:t>
      </w:r>
      <w:r w:rsidR="00F01C4E">
        <w:rPr>
          <w:lang w:val="en-GB" w:eastAsia="en-GB"/>
        </w:rPr>
        <w:t>‘</w:t>
      </w:r>
      <w:r w:rsidRPr="00A519AB">
        <w:rPr>
          <w:lang w:val="en-GB" w:eastAsia="en-GB"/>
        </w:rPr>
        <w:t>Spatialities and Temporalities of the Global: Elements for a Theorization</w:t>
      </w:r>
      <w:r w:rsidR="00F01C4E">
        <w:rPr>
          <w:lang w:val="en-GB" w:eastAsia="en-GB"/>
        </w:rPr>
        <w:t>’</w:t>
      </w:r>
      <w:r w:rsidRPr="00A519AB">
        <w:rPr>
          <w:lang w:val="en-GB" w:eastAsia="en-GB"/>
        </w:rPr>
        <w:t xml:space="preserve">. </w:t>
      </w:r>
      <w:r w:rsidRPr="00A519AB">
        <w:rPr>
          <w:i/>
          <w:iCs/>
          <w:lang w:val="en-GB" w:eastAsia="en-GB"/>
        </w:rPr>
        <w:t>Public Culture</w:t>
      </w:r>
      <w:r w:rsidRPr="00A519AB">
        <w:rPr>
          <w:lang w:val="en-GB" w:eastAsia="en-GB"/>
        </w:rPr>
        <w:t xml:space="preserve">, </w:t>
      </w:r>
      <w:r w:rsidRPr="00C51AC7">
        <w:rPr>
          <w:iCs/>
          <w:lang w:val="en-GB" w:eastAsia="en-GB"/>
        </w:rPr>
        <w:t>12</w:t>
      </w:r>
      <w:r w:rsidRPr="00A519AB">
        <w:rPr>
          <w:lang w:val="en-GB" w:eastAsia="en-GB"/>
        </w:rPr>
        <w:t>(1)</w:t>
      </w:r>
      <w:r w:rsidR="00F01C4E">
        <w:rPr>
          <w:lang w:val="en-GB" w:eastAsia="en-GB"/>
        </w:rPr>
        <w:t xml:space="preserve">: </w:t>
      </w:r>
      <w:r w:rsidRPr="00A519AB">
        <w:rPr>
          <w:lang w:val="en-GB" w:eastAsia="en-GB"/>
        </w:rPr>
        <w:t>215</w:t>
      </w:r>
      <w:r w:rsidR="00F01C4E">
        <w:rPr>
          <w:lang w:val="en-GB" w:eastAsia="en-GB"/>
        </w:rPr>
        <w:t>–</w:t>
      </w:r>
      <w:r w:rsidRPr="00A519AB">
        <w:rPr>
          <w:lang w:val="en-GB" w:eastAsia="en-GB"/>
        </w:rPr>
        <w:t>232.</w:t>
      </w:r>
    </w:p>
    <w:p w14:paraId="79FA749B" w14:textId="013CF3C7" w:rsidR="0085295C" w:rsidRDefault="0085295C" w:rsidP="00F01C4E">
      <w:pPr>
        <w:rPr>
          <w:lang w:val="en-GB"/>
        </w:rPr>
      </w:pPr>
      <w:r w:rsidRPr="006E6184">
        <w:rPr>
          <w:lang w:val="en-GB"/>
        </w:rPr>
        <w:t>Schoorl, J</w:t>
      </w:r>
      <w:r w:rsidR="00F01C4E">
        <w:rPr>
          <w:lang w:val="en-GB"/>
        </w:rPr>
        <w:t>.</w:t>
      </w:r>
      <w:r w:rsidRPr="006E6184">
        <w:rPr>
          <w:lang w:val="en-GB"/>
        </w:rPr>
        <w:t>, Heering</w:t>
      </w:r>
      <w:r w:rsidR="00F01C4E">
        <w:rPr>
          <w:lang w:val="en-GB"/>
        </w:rPr>
        <w:t>, L.</w:t>
      </w:r>
      <w:r w:rsidRPr="006E6184">
        <w:rPr>
          <w:lang w:val="en-GB"/>
        </w:rPr>
        <w:t>, Esveldt</w:t>
      </w:r>
      <w:r w:rsidR="00F01C4E">
        <w:rPr>
          <w:lang w:val="en-GB"/>
        </w:rPr>
        <w:t>, I.</w:t>
      </w:r>
      <w:r w:rsidRPr="006E6184">
        <w:rPr>
          <w:lang w:val="en-GB"/>
        </w:rPr>
        <w:t>, Groenewold</w:t>
      </w:r>
      <w:r w:rsidR="00F01C4E">
        <w:rPr>
          <w:lang w:val="en-GB"/>
        </w:rPr>
        <w:t>, G.</w:t>
      </w:r>
      <w:r w:rsidRPr="006E6184">
        <w:rPr>
          <w:lang w:val="en-GB"/>
        </w:rPr>
        <w:t>, van der Erf,</w:t>
      </w:r>
      <w:r w:rsidR="00F01C4E">
        <w:rPr>
          <w:lang w:val="en-GB"/>
        </w:rPr>
        <w:t xml:space="preserve"> R.,</w:t>
      </w:r>
      <w:r w:rsidRPr="006E6184">
        <w:rPr>
          <w:lang w:val="en-GB"/>
        </w:rPr>
        <w:t xml:space="preserve"> Bosch,</w:t>
      </w:r>
      <w:r w:rsidR="00F01C4E">
        <w:rPr>
          <w:lang w:val="en-GB"/>
        </w:rPr>
        <w:t xml:space="preserve"> A.,</w:t>
      </w:r>
      <w:r w:rsidRPr="006E6184">
        <w:rPr>
          <w:lang w:val="en-GB"/>
        </w:rPr>
        <w:t xml:space="preserve"> de Valk,</w:t>
      </w:r>
      <w:r w:rsidR="00F01C4E">
        <w:rPr>
          <w:lang w:val="en-GB"/>
        </w:rPr>
        <w:t xml:space="preserve"> H.</w:t>
      </w:r>
      <w:r w:rsidRPr="006E6184">
        <w:rPr>
          <w:lang w:val="en-GB"/>
        </w:rPr>
        <w:t xml:space="preserve"> and de Bruijn</w:t>
      </w:r>
      <w:r w:rsidR="00F01C4E">
        <w:rPr>
          <w:lang w:val="en-GB"/>
        </w:rPr>
        <w:t>, B</w:t>
      </w:r>
      <w:r w:rsidRPr="006E6184">
        <w:rPr>
          <w:lang w:val="en-GB"/>
        </w:rPr>
        <w:t xml:space="preserve">. </w:t>
      </w:r>
      <w:r w:rsidR="00F01C4E">
        <w:rPr>
          <w:lang w:val="en-GB"/>
        </w:rPr>
        <w:t>(</w:t>
      </w:r>
      <w:r w:rsidRPr="006E6184">
        <w:rPr>
          <w:lang w:val="en-GB"/>
        </w:rPr>
        <w:t>2000</w:t>
      </w:r>
      <w:r w:rsidR="00F01C4E">
        <w:rPr>
          <w:lang w:val="en-GB"/>
        </w:rPr>
        <w:t>)</w:t>
      </w:r>
      <w:r w:rsidRPr="006E6184">
        <w:rPr>
          <w:lang w:val="en-GB"/>
        </w:rPr>
        <w:t xml:space="preserve"> </w:t>
      </w:r>
      <w:r w:rsidR="00F01C4E">
        <w:rPr>
          <w:lang w:val="en-GB"/>
        </w:rPr>
        <w:t>‘</w:t>
      </w:r>
      <w:r w:rsidRPr="00C51AC7">
        <w:rPr>
          <w:lang w:val="en-GB"/>
        </w:rPr>
        <w:t>Push and Pull Factors of International Migration: A Comparative Report</w:t>
      </w:r>
      <w:r w:rsidR="00F01C4E">
        <w:rPr>
          <w:lang w:val="en-GB"/>
        </w:rPr>
        <w:t>’</w:t>
      </w:r>
      <w:r w:rsidRPr="006E6184">
        <w:rPr>
          <w:lang w:val="en-GB"/>
        </w:rPr>
        <w:t>. Luxembourg: Eurostat, European Communities.</w:t>
      </w:r>
    </w:p>
    <w:p w14:paraId="18585526" w14:textId="50AE1F3B" w:rsidR="0085295C" w:rsidRPr="006E6184" w:rsidRDefault="0085295C" w:rsidP="00F01C4E">
      <w:pPr>
        <w:rPr>
          <w:lang w:val="en-GB"/>
        </w:rPr>
      </w:pPr>
      <w:r w:rsidRPr="0092040C">
        <w:rPr>
          <w:lang w:val="en-GB"/>
        </w:rPr>
        <w:t>Skeldon, R</w:t>
      </w:r>
      <w:r w:rsidR="00F01C4E">
        <w:rPr>
          <w:lang w:val="en-GB"/>
        </w:rPr>
        <w:t>.</w:t>
      </w:r>
      <w:r w:rsidR="00CF1F28">
        <w:rPr>
          <w:lang w:val="en-GB"/>
        </w:rPr>
        <w:t xml:space="preserve"> </w:t>
      </w:r>
      <w:r w:rsidR="00F01C4E">
        <w:rPr>
          <w:lang w:val="en-GB"/>
        </w:rPr>
        <w:t>(</w:t>
      </w:r>
      <w:r w:rsidRPr="0092040C">
        <w:rPr>
          <w:lang w:val="en-GB"/>
        </w:rPr>
        <w:t>1997</w:t>
      </w:r>
      <w:r w:rsidR="00F01C4E">
        <w:rPr>
          <w:lang w:val="en-GB"/>
        </w:rPr>
        <w:t>)</w:t>
      </w:r>
      <w:r w:rsidR="00CF1F28">
        <w:rPr>
          <w:lang w:val="en-GB"/>
        </w:rPr>
        <w:t xml:space="preserve"> </w:t>
      </w:r>
      <w:r w:rsidRPr="0092040C">
        <w:rPr>
          <w:i/>
          <w:lang w:val="en-GB"/>
        </w:rPr>
        <w:t>Migration and development: A global perspective</w:t>
      </w:r>
      <w:r w:rsidRPr="0092040C">
        <w:rPr>
          <w:lang w:val="en-GB"/>
        </w:rPr>
        <w:t>. Essex: Longman.</w:t>
      </w:r>
    </w:p>
    <w:p w14:paraId="326FA401" w14:textId="0A2254E5" w:rsidR="0085295C" w:rsidRPr="006E6184" w:rsidRDefault="0085295C" w:rsidP="002E517C">
      <w:pPr>
        <w:rPr>
          <w:lang w:val="en-GB"/>
        </w:rPr>
      </w:pPr>
      <w:r>
        <w:rPr>
          <w:lang w:val="en-GB"/>
        </w:rPr>
        <w:t>Tilly, C</w:t>
      </w:r>
      <w:r w:rsidR="002E517C">
        <w:rPr>
          <w:lang w:val="en-GB"/>
        </w:rPr>
        <w:t>.</w:t>
      </w:r>
      <w:r>
        <w:rPr>
          <w:lang w:val="en-GB"/>
        </w:rPr>
        <w:t xml:space="preserve"> </w:t>
      </w:r>
      <w:r w:rsidR="002E517C">
        <w:rPr>
          <w:lang w:val="en-GB"/>
        </w:rPr>
        <w:t>(</w:t>
      </w:r>
      <w:r w:rsidRPr="006E6184">
        <w:rPr>
          <w:lang w:val="en-GB"/>
        </w:rPr>
        <w:t>1992</w:t>
      </w:r>
      <w:r w:rsidR="002E517C">
        <w:rPr>
          <w:lang w:val="en-GB"/>
        </w:rPr>
        <w:t>)</w:t>
      </w:r>
      <w:r w:rsidRPr="006E6184">
        <w:rPr>
          <w:lang w:val="en-GB"/>
        </w:rPr>
        <w:t xml:space="preserve"> </w:t>
      </w:r>
      <w:r w:rsidRPr="00A519AB">
        <w:rPr>
          <w:i/>
          <w:lang w:val="en-GB"/>
        </w:rPr>
        <w:t>Coercion, capital, and European states</w:t>
      </w:r>
      <w:r w:rsidRPr="00C51AC7">
        <w:rPr>
          <w:i/>
          <w:lang w:val="en-GB"/>
        </w:rPr>
        <w:t>, AD 990</w:t>
      </w:r>
      <w:r w:rsidR="002E517C">
        <w:rPr>
          <w:i/>
          <w:lang w:val="en-GB"/>
        </w:rPr>
        <w:t>–</w:t>
      </w:r>
      <w:r w:rsidRPr="00C51AC7">
        <w:rPr>
          <w:i/>
          <w:lang w:val="en-GB"/>
        </w:rPr>
        <w:t>1992</w:t>
      </w:r>
      <w:r w:rsidR="002E517C">
        <w:rPr>
          <w:lang w:val="en-GB"/>
        </w:rPr>
        <w:t>.</w:t>
      </w:r>
      <w:r w:rsidRPr="006E6184">
        <w:rPr>
          <w:lang w:val="en-GB"/>
        </w:rPr>
        <w:t xml:space="preserve"> </w:t>
      </w:r>
      <w:r w:rsidR="002E517C">
        <w:rPr>
          <w:lang w:val="en-GB"/>
        </w:rPr>
        <w:t xml:space="preserve">Oxford: </w:t>
      </w:r>
      <w:r w:rsidRPr="006E6184">
        <w:rPr>
          <w:lang w:val="en-GB"/>
        </w:rPr>
        <w:t>Blackwell.</w:t>
      </w:r>
    </w:p>
    <w:p w14:paraId="7FF38B95" w14:textId="3E6F314D" w:rsidR="0085295C" w:rsidRPr="00FB6AFE" w:rsidRDefault="0085295C" w:rsidP="002E517C">
      <w:pPr>
        <w:rPr>
          <w:lang w:val="en-GB"/>
        </w:rPr>
      </w:pPr>
      <w:r w:rsidRPr="00FB6AFE">
        <w:rPr>
          <w:lang w:val="en-GB"/>
        </w:rPr>
        <w:t xml:space="preserve">Torpey, J. </w:t>
      </w:r>
      <w:r w:rsidR="002E517C">
        <w:rPr>
          <w:lang w:val="en-GB"/>
        </w:rPr>
        <w:t>(</w:t>
      </w:r>
      <w:r w:rsidRPr="00FB6AFE">
        <w:rPr>
          <w:lang w:val="en-GB"/>
        </w:rPr>
        <w:t>1998</w:t>
      </w:r>
      <w:r w:rsidR="002E517C">
        <w:rPr>
          <w:lang w:val="en-GB"/>
        </w:rPr>
        <w:t>)</w:t>
      </w:r>
      <w:r w:rsidRPr="00FB6AFE">
        <w:rPr>
          <w:lang w:val="en-GB"/>
        </w:rPr>
        <w:t xml:space="preserve"> </w:t>
      </w:r>
      <w:r w:rsidR="002E517C">
        <w:rPr>
          <w:lang w:val="en-GB"/>
        </w:rPr>
        <w:t>‘</w:t>
      </w:r>
      <w:r w:rsidRPr="00FB6AFE">
        <w:rPr>
          <w:lang w:val="en-GB"/>
        </w:rPr>
        <w:t>Coming and going: On the state monopolization of the legitimate "means of movement"</w:t>
      </w:r>
      <w:r w:rsidR="002E517C">
        <w:rPr>
          <w:lang w:val="en-GB"/>
        </w:rPr>
        <w:t>’,</w:t>
      </w:r>
      <w:r w:rsidRPr="00FB6AFE">
        <w:rPr>
          <w:lang w:val="en-GB"/>
        </w:rPr>
        <w:t xml:space="preserve"> </w:t>
      </w:r>
      <w:r w:rsidRPr="00A519AB">
        <w:rPr>
          <w:i/>
          <w:lang w:val="en-GB"/>
        </w:rPr>
        <w:t>Sociological Theory</w:t>
      </w:r>
      <w:r w:rsidR="002E517C">
        <w:rPr>
          <w:lang w:val="en-GB"/>
        </w:rPr>
        <w:t>,</w:t>
      </w:r>
      <w:r w:rsidRPr="00FB6AFE">
        <w:rPr>
          <w:lang w:val="en-GB"/>
        </w:rPr>
        <w:t xml:space="preserve"> 16(3):</w:t>
      </w:r>
      <w:r w:rsidR="002E517C">
        <w:rPr>
          <w:lang w:val="en-GB"/>
        </w:rPr>
        <w:t xml:space="preserve"> </w:t>
      </w:r>
      <w:r w:rsidRPr="00FB6AFE">
        <w:rPr>
          <w:lang w:val="en-GB"/>
        </w:rPr>
        <w:t>239</w:t>
      </w:r>
      <w:r w:rsidR="002E517C">
        <w:rPr>
          <w:lang w:val="en-GB"/>
        </w:rPr>
        <w:t>–</w:t>
      </w:r>
      <w:r w:rsidRPr="00FB6AFE">
        <w:rPr>
          <w:lang w:val="en-GB"/>
        </w:rPr>
        <w:t>259.</w:t>
      </w:r>
    </w:p>
    <w:p w14:paraId="31E29C59" w14:textId="4AC332AF" w:rsidR="002E517C" w:rsidRPr="00A519AB" w:rsidRDefault="002E517C" w:rsidP="002E517C">
      <w:r w:rsidRPr="00A519AB">
        <w:rPr>
          <w:lang w:val="en-GB"/>
        </w:rPr>
        <w:t xml:space="preserve">United Nations (1948) </w:t>
      </w:r>
      <w:r w:rsidRPr="00C51AC7">
        <w:rPr>
          <w:i/>
        </w:rPr>
        <w:t>Th</w:t>
      </w:r>
      <w:r w:rsidRPr="00A519AB">
        <w:rPr>
          <w:i/>
        </w:rPr>
        <w:t>e United Nations. Universal Declaration of Human Rights</w:t>
      </w:r>
      <w:r w:rsidRPr="00A519AB">
        <w:t xml:space="preserve">. </w:t>
      </w:r>
    </w:p>
    <w:p w14:paraId="3D3ECF6F" w14:textId="7B456E3A" w:rsidR="0085295C" w:rsidRPr="00A519AB" w:rsidRDefault="0085295C" w:rsidP="002E517C">
      <w:pPr>
        <w:rPr>
          <w:lang w:val="en-GB" w:eastAsia="en-GB"/>
        </w:rPr>
      </w:pPr>
      <w:r w:rsidRPr="00A519AB">
        <w:rPr>
          <w:lang w:val="en-GB" w:eastAsia="en-GB"/>
        </w:rPr>
        <w:t xml:space="preserve">Urry, J. </w:t>
      </w:r>
      <w:r w:rsidR="002E517C">
        <w:rPr>
          <w:lang w:val="en-GB" w:eastAsia="en-GB"/>
        </w:rPr>
        <w:t>(</w:t>
      </w:r>
      <w:r w:rsidRPr="00A519AB">
        <w:rPr>
          <w:lang w:val="en-GB" w:eastAsia="en-GB"/>
        </w:rPr>
        <w:t>2002</w:t>
      </w:r>
      <w:r w:rsidR="002E517C">
        <w:rPr>
          <w:lang w:val="en-GB" w:eastAsia="en-GB"/>
        </w:rPr>
        <w:t>)</w:t>
      </w:r>
      <w:r w:rsidRPr="00A519AB">
        <w:rPr>
          <w:lang w:val="en-GB" w:eastAsia="en-GB"/>
        </w:rPr>
        <w:t xml:space="preserve"> </w:t>
      </w:r>
      <w:r w:rsidR="002E517C">
        <w:rPr>
          <w:lang w:val="en-GB" w:eastAsia="en-GB"/>
        </w:rPr>
        <w:t>‘</w:t>
      </w:r>
      <w:r w:rsidRPr="00A519AB">
        <w:rPr>
          <w:lang w:val="en-GB" w:eastAsia="en-GB"/>
        </w:rPr>
        <w:t>Mobility and proximity</w:t>
      </w:r>
      <w:r w:rsidR="002E517C">
        <w:rPr>
          <w:lang w:val="en-GB" w:eastAsia="en-GB"/>
        </w:rPr>
        <w:t>’,</w:t>
      </w:r>
      <w:r w:rsidRPr="00A519AB">
        <w:rPr>
          <w:lang w:val="en-GB" w:eastAsia="en-GB"/>
        </w:rPr>
        <w:t xml:space="preserve"> </w:t>
      </w:r>
      <w:r w:rsidRPr="00A519AB">
        <w:rPr>
          <w:i/>
          <w:iCs/>
          <w:lang w:val="en-GB" w:eastAsia="en-GB"/>
        </w:rPr>
        <w:t>Sociology</w:t>
      </w:r>
      <w:r w:rsidRPr="00A519AB">
        <w:rPr>
          <w:lang w:val="en-GB" w:eastAsia="en-GB"/>
        </w:rPr>
        <w:t xml:space="preserve">, </w:t>
      </w:r>
      <w:r w:rsidRPr="00C51AC7">
        <w:rPr>
          <w:iCs/>
          <w:lang w:val="en-GB" w:eastAsia="en-GB"/>
        </w:rPr>
        <w:t>36</w:t>
      </w:r>
      <w:r w:rsidRPr="00A519AB">
        <w:rPr>
          <w:lang w:val="en-GB" w:eastAsia="en-GB"/>
        </w:rPr>
        <w:t>(2)</w:t>
      </w:r>
      <w:r w:rsidR="002E517C">
        <w:rPr>
          <w:lang w:val="en-GB" w:eastAsia="en-GB"/>
        </w:rPr>
        <w:t xml:space="preserve">: </w:t>
      </w:r>
      <w:r w:rsidRPr="00A519AB">
        <w:rPr>
          <w:lang w:val="en-GB" w:eastAsia="en-GB"/>
        </w:rPr>
        <w:t>255</w:t>
      </w:r>
      <w:r w:rsidR="002E517C">
        <w:rPr>
          <w:lang w:val="en-GB" w:eastAsia="en-GB"/>
        </w:rPr>
        <w:t>–</w:t>
      </w:r>
      <w:r w:rsidRPr="00A519AB">
        <w:rPr>
          <w:lang w:val="en-GB" w:eastAsia="en-GB"/>
        </w:rPr>
        <w:t>274.</w:t>
      </w:r>
    </w:p>
    <w:p w14:paraId="2DA8BC5A" w14:textId="542411B5" w:rsidR="0085295C" w:rsidRDefault="0085295C" w:rsidP="002E517C">
      <w:pPr>
        <w:rPr>
          <w:lang w:val="en-GB" w:eastAsia="en-GB"/>
        </w:rPr>
      </w:pPr>
      <w:r w:rsidRPr="00A519AB">
        <w:rPr>
          <w:lang w:val="en-GB" w:eastAsia="en-GB"/>
        </w:rPr>
        <w:t xml:space="preserve">Van Houtum, H. </w:t>
      </w:r>
      <w:r w:rsidR="002E517C">
        <w:rPr>
          <w:lang w:val="en-GB" w:eastAsia="en-GB"/>
        </w:rPr>
        <w:t>(</w:t>
      </w:r>
      <w:r w:rsidRPr="00A519AB">
        <w:rPr>
          <w:lang w:val="en-GB" w:eastAsia="en-GB"/>
        </w:rPr>
        <w:t>2010</w:t>
      </w:r>
      <w:r w:rsidR="002E517C">
        <w:rPr>
          <w:lang w:val="en-GB" w:eastAsia="en-GB"/>
        </w:rPr>
        <w:t>)</w:t>
      </w:r>
      <w:r w:rsidRPr="00A519AB">
        <w:rPr>
          <w:lang w:val="en-GB" w:eastAsia="en-GB"/>
        </w:rPr>
        <w:t xml:space="preserve"> </w:t>
      </w:r>
      <w:r w:rsidR="002E517C">
        <w:rPr>
          <w:lang w:val="en-GB" w:eastAsia="en-GB"/>
        </w:rPr>
        <w:t>‘</w:t>
      </w:r>
      <w:r w:rsidRPr="00A519AB">
        <w:rPr>
          <w:lang w:val="en-GB" w:eastAsia="en-GB"/>
        </w:rPr>
        <w:t>Human blacklisting: the global apartheid of the EU's external border regime</w:t>
      </w:r>
      <w:r w:rsidR="002E517C">
        <w:rPr>
          <w:lang w:val="en-GB" w:eastAsia="en-GB"/>
        </w:rPr>
        <w:t>’,</w:t>
      </w:r>
      <w:r w:rsidRPr="00A519AB">
        <w:rPr>
          <w:lang w:val="en-GB" w:eastAsia="en-GB"/>
        </w:rPr>
        <w:t xml:space="preserve"> </w:t>
      </w:r>
      <w:r w:rsidRPr="00A519AB">
        <w:rPr>
          <w:i/>
          <w:iCs/>
          <w:lang w:val="en-GB" w:eastAsia="en-GB"/>
        </w:rPr>
        <w:t>Environment and Planning D: Society and Space</w:t>
      </w:r>
      <w:r w:rsidRPr="00A519AB">
        <w:rPr>
          <w:lang w:val="en-GB" w:eastAsia="en-GB"/>
        </w:rPr>
        <w:t xml:space="preserve">, </w:t>
      </w:r>
      <w:r w:rsidRPr="00C51AC7">
        <w:rPr>
          <w:iCs/>
          <w:lang w:val="en-GB" w:eastAsia="en-GB"/>
        </w:rPr>
        <w:t>28</w:t>
      </w:r>
      <w:r w:rsidRPr="00A519AB">
        <w:rPr>
          <w:lang w:val="en-GB" w:eastAsia="en-GB"/>
        </w:rPr>
        <w:t>(6)</w:t>
      </w:r>
      <w:r w:rsidR="002E517C">
        <w:rPr>
          <w:lang w:val="en-GB" w:eastAsia="en-GB"/>
        </w:rPr>
        <w:t xml:space="preserve">: </w:t>
      </w:r>
      <w:r w:rsidRPr="00A519AB">
        <w:rPr>
          <w:lang w:val="en-GB" w:eastAsia="en-GB"/>
        </w:rPr>
        <w:t>957</w:t>
      </w:r>
      <w:r w:rsidR="002E517C">
        <w:rPr>
          <w:lang w:val="en-GB" w:eastAsia="en-GB"/>
        </w:rPr>
        <w:t>–</w:t>
      </w:r>
      <w:r w:rsidRPr="00A519AB">
        <w:rPr>
          <w:lang w:val="en-GB" w:eastAsia="en-GB"/>
        </w:rPr>
        <w:t>976.</w:t>
      </w:r>
    </w:p>
    <w:p w14:paraId="4B3548BB" w14:textId="18831E84" w:rsidR="00004DD7" w:rsidRPr="00004DD7" w:rsidRDefault="00004DD7" w:rsidP="002E517C">
      <w:pPr>
        <w:rPr>
          <w:lang w:val="en-GB" w:eastAsia="en-GB"/>
        </w:rPr>
      </w:pPr>
      <w:r w:rsidRPr="00004DD7">
        <w:rPr>
          <w:lang w:val="en-GB" w:eastAsia="en-GB"/>
        </w:rPr>
        <w:t>Vezzoli, S., Vill</w:t>
      </w:r>
      <w:r>
        <w:rPr>
          <w:lang w:val="en-GB" w:eastAsia="en-GB"/>
        </w:rPr>
        <w:t>ares-Varela, M. and de Haas, H.</w:t>
      </w:r>
      <w:r w:rsidRPr="00004DD7">
        <w:rPr>
          <w:lang w:val="en-GB" w:eastAsia="en-GB"/>
        </w:rPr>
        <w:t xml:space="preserve"> </w:t>
      </w:r>
      <w:r>
        <w:rPr>
          <w:lang w:val="en-GB" w:eastAsia="en-GB"/>
        </w:rPr>
        <w:t>(2014)</w:t>
      </w:r>
      <w:r w:rsidRPr="00004DD7">
        <w:rPr>
          <w:lang w:val="en-GB" w:eastAsia="en-GB"/>
        </w:rPr>
        <w:t xml:space="preserve"> </w:t>
      </w:r>
      <w:r>
        <w:rPr>
          <w:lang w:val="en-GB" w:eastAsia="en-GB"/>
        </w:rPr>
        <w:t>‘</w:t>
      </w:r>
      <w:r w:rsidRPr="00004DD7">
        <w:rPr>
          <w:lang w:val="en-GB" w:eastAsia="en-GB"/>
        </w:rPr>
        <w:t>Uncovering international migration flow data: Insights from the DEMIG databases</w:t>
      </w:r>
      <w:r>
        <w:rPr>
          <w:lang w:val="en-GB" w:eastAsia="en-GB"/>
        </w:rPr>
        <w:t xml:space="preserve">’. </w:t>
      </w:r>
      <w:r>
        <w:rPr>
          <w:i/>
          <w:lang w:val="en-GB" w:eastAsia="en-GB"/>
        </w:rPr>
        <w:t xml:space="preserve">International Migration Institute Working Paper Series, </w:t>
      </w:r>
      <w:r>
        <w:rPr>
          <w:lang w:val="en-GB" w:eastAsia="en-GB"/>
        </w:rPr>
        <w:t xml:space="preserve">University of Oxford. </w:t>
      </w:r>
    </w:p>
    <w:p w14:paraId="3D4E992B" w14:textId="490FD4C9" w:rsidR="0085295C" w:rsidRPr="006E6184" w:rsidRDefault="0085295C" w:rsidP="002E517C">
      <w:pPr>
        <w:rPr>
          <w:lang w:val="en-GB"/>
        </w:rPr>
      </w:pPr>
      <w:r w:rsidRPr="006E6184">
        <w:rPr>
          <w:lang w:val="en-GB"/>
        </w:rPr>
        <w:t xml:space="preserve">Zaragoza-Cristiani, </w:t>
      </w:r>
      <w:r w:rsidR="002E517C">
        <w:rPr>
          <w:lang w:val="en-GB"/>
        </w:rPr>
        <w:t>J. (2016) ‘</w:t>
      </w:r>
      <w:r w:rsidRPr="00C51AC7">
        <w:rPr>
          <w:lang w:val="en-GB"/>
        </w:rPr>
        <w:t>The Spanish</w:t>
      </w:r>
      <w:r w:rsidR="002E517C">
        <w:rPr>
          <w:lang w:val="en-GB"/>
        </w:rPr>
        <w:t>–</w:t>
      </w:r>
      <w:r w:rsidRPr="00C51AC7">
        <w:rPr>
          <w:lang w:val="en-GB"/>
        </w:rPr>
        <w:t>Moroccan case. 2016. Empowerment through migration control cooperation</w:t>
      </w:r>
      <w:r w:rsidR="002E517C">
        <w:rPr>
          <w:lang w:val="en-GB"/>
        </w:rPr>
        <w:t>’</w:t>
      </w:r>
      <w:r w:rsidRPr="006E6184">
        <w:rPr>
          <w:lang w:val="en-GB"/>
        </w:rPr>
        <w:t>, PhD thesis. Florence: European University Institute.</w:t>
      </w:r>
    </w:p>
    <w:p w14:paraId="0B56E39C" w14:textId="01B7A7BE" w:rsidR="0085295C" w:rsidRPr="00FB6AFE" w:rsidRDefault="0085295C" w:rsidP="002E517C">
      <w:pPr>
        <w:rPr>
          <w:lang w:val="en-GB"/>
        </w:rPr>
      </w:pPr>
      <w:r w:rsidRPr="00FB6AFE">
        <w:rPr>
          <w:lang w:val="en-GB"/>
        </w:rPr>
        <w:t xml:space="preserve">Zolberg, A. R. </w:t>
      </w:r>
      <w:r w:rsidR="002E517C">
        <w:rPr>
          <w:lang w:val="en-GB"/>
        </w:rPr>
        <w:t>(</w:t>
      </w:r>
      <w:r w:rsidRPr="00FB6AFE">
        <w:rPr>
          <w:lang w:val="en-GB"/>
        </w:rPr>
        <w:t>2007</w:t>
      </w:r>
      <w:r w:rsidR="002E517C">
        <w:rPr>
          <w:lang w:val="en-GB"/>
        </w:rPr>
        <w:t>)</w:t>
      </w:r>
      <w:r w:rsidRPr="00FB6AFE">
        <w:rPr>
          <w:lang w:val="en-GB"/>
        </w:rPr>
        <w:t xml:space="preserve"> </w:t>
      </w:r>
      <w:r w:rsidR="002E517C">
        <w:rPr>
          <w:lang w:val="en-GB"/>
        </w:rPr>
        <w:t>‘</w:t>
      </w:r>
      <w:r w:rsidRPr="00C51AC7">
        <w:rPr>
          <w:lang w:val="en-GB"/>
        </w:rPr>
        <w:t>The exit revolution</w:t>
      </w:r>
      <w:r w:rsidR="0078273A">
        <w:rPr>
          <w:lang w:val="en-GB"/>
        </w:rPr>
        <w:t>’</w:t>
      </w:r>
      <w:r w:rsidRPr="00C51AC7">
        <w:rPr>
          <w:lang w:val="en-GB"/>
        </w:rPr>
        <w:t>. In</w:t>
      </w:r>
      <w:r w:rsidR="0078273A">
        <w:rPr>
          <w:lang w:val="en-GB"/>
        </w:rPr>
        <w:t>:</w:t>
      </w:r>
      <w:r w:rsidRPr="00C51AC7">
        <w:rPr>
          <w:lang w:val="en-GB"/>
        </w:rPr>
        <w:t xml:space="preserve"> </w:t>
      </w:r>
      <w:r w:rsidR="0078273A" w:rsidRPr="00FB6AFE">
        <w:rPr>
          <w:lang w:val="en-GB"/>
        </w:rPr>
        <w:t>Green</w:t>
      </w:r>
      <w:r w:rsidR="0078273A">
        <w:rPr>
          <w:lang w:val="en-GB"/>
        </w:rPr>
        <w:t xml:space="preserve">, </w:t>
      </w:r>
      <w:r w:rsidR="0078273A" w:rsidRPr="00FB6AFE">
        <w:rPr>
          <w:lang w:val="en-GB"/>
        </w:rPr>
        <w:t>N. L. and Weil</w:t>
      </w:r>
      <w:r w:rsidR="0078273A">
        <w:rPr>
          <w:lang w:val="en-GB"/>
        </w:rPr>
        <w:t xml:space="preserve">, </w:t>
      </w:r>
      <w:r w:rsidR="0078273A" w:rsidRPr="00FB6AFE">
        <w:rPr>
          <w:lang w:val="en-GB"/>
        </w:rPr>
        <w:t>F.</w:t>
      </w:r>
      <w:r w:rsidR="0078273A">
        <w:rPr>
          <w:lang w:val="en-GB"/>
        </w:rPr>
        <w:t xml:space="preserve"> (eds.) </w:t>
      </w:r>
      <w:r w:rsidRPr="0078273A">
        <w:rPr>
          <w:i/>
          <w:lang w:val="en-GB"/>
        </w:rPr>
        <w:t>Citizenship and Those Who Leave: The Politics of Emigration and Expatriation</w:t>
      </w:r>
      <w:r w:rsidRPr="00FB6AFE">
        <w:rPr>
          <w:lang w:val="en-GB"/>
        </w:rPr>
        <w:t>,  Urbana and Chicago: University of Illinois Press.</w:t>
      </w:r>
    </w:p>
    <w:p w14:paraId="1F669B1C" w14:textId="3AC02734" w:rsidR="009243BC" w:rsidRDefault="0085295C" w:rsidP="0078273A">
      <w:pPr>
        <w:rPr>
          <w:lang w:val="en-GB"/>
        </w:rPr>
      </w:pPr>
      <w:r w:rsidRPr="00FB6AFE">
        <w:rPr>
          <w:lang w:val="en-GB"/>
        </w:rPr>
        <w:lastRenderedPageBreak/>
        <w:t>Zolberg, A</w:t>
      </w:r>
      <w:r w:rsidR="0078273A">
        <w:rPr>
          <w:lang w:val="en-GB"/>
        </w:rPr>
        <w:t>.</w:t>
      </w:r>
      <w:r w:rsidRPr="00FB6AFE">
        <w:rPr>
          <w:lang w:val="en-GB"/>
        </w:rPr>
        <w:t xml:space="preserve"> R.</w:t>
      </w:r>
      <w:r w:rsidR="0078273A">
        <w:rPr>
          <w:lang w:val="en-GB"/>
        </w:rPr>
        <w:t xml:space="preserve"> (ed.)</w:t>
      </w:r>
      <w:r w:rsidRPr="00FB6AFE">
        <w:rPr>
          <w:lang w:val="en-GB"/>
        </w:rPr>
        <w:t xml:space="preserve"> </w:t>
      </w:r>
      <w:r w:rsidR="0078273A">
        <w:rPr>
          <w:lang w:val="en-GB"/>
        </w:rPr>
        <w:t>(</w:t>
      </w:r>
      <w:r w:rsidRPr="00FB6AFE">
        <w:rPr>
          <w:lang w:val="en-GB"/>
        </w:rPr>
        <w:t>1978</w:t>
      </w:r>
      <w:r w:rsidR="0078273A">
        <w:rPr>
          <w:lang w:val="en-GB"/>
        </w:rPr>
        <w:t>)</w:t>
      </w:r>
      <w:r w:rsidRPr="00FB6AFE">
        <w:rPr>
          <w:lang w:val="en-GB"/>
        </w:rPr>
        <w:t xml:space="preserve"> </w:t>
      </w:r>
      <w:r w:rsidRPr="00A519AB">
        <w:rPr>
          <w:i/>
          <w:lang w:val="en-GB"/>
        </w:rPr>
        <w:t>International Migration Policies in a Changing World System, Human Migration: Patterns and Policies</w:t>
      </w:r>
      <w:r w:rsidRPr="00FB6AFE">
        <w:rPr>
          <w:lang w:val="en-GB"/>
        </w:rPr>
        <w:t>. Bloomington and London: Indiana University Press.</w:t>
      </w:r>
    </w:p>
    <w:p w14:paraId="5384A209" w14:textId="77777777" w:rsidR="00123C2F" w:rsidRDefault="00123C2F" w:rsidP="0078273A">
      <w:pPr>
        <w:rPr>
          <w:lang w:val="en-GB"/>
        </w:rPr>
      </w:pPr>
    </w:p>
    <w:p w14:paraId="22490877" w14:textId="77777777" w:rsidR="00123C2F" w:rsidRDefault="00123C2F" w:rsidP="0078273A">
      <w:pPr>
        <w:rPr>
          <w:lang w:val="en-GB"/>
        </w:rPr>
      </w:pPr>
    </w:p>
    <w:p w14:paraId="25CC50F7" w14:textId="77777777" w:rsidR="00123C2F" w:rsidRPr="00240131" w:rsidRDefault="00123C2F" w:rsidP="00123C2F">
      <w:pPr>
        <w:rPr>
          <w:lang w:val="en-GB"/>
        </w:rPr>
      </w:pPr>
      <w:r w:rsidRPr="00240131">
        <w:rPr>
          <w:b/>
          <w:lang w:val="en-GB"/>
        </w:rPr>
        <w:t>Figure 1</w:t>
      </w:r>
      <w:r w:rsidRPr="00240131">
        <w:rPr>
          <w:lang w:val="en-GB"/>
        </w:rPr>
        <w:t xml:space="preserve"> The evolution of global visa restrictiveness</w:t>
      </w:r>
    </w:p>
    <w:p w14:paraId="2A4AEA6D" w14:textId="77777777" w:rsidR="00123C2F" w:rsidRDefault="00123C2F" w:rsidP="00123C2F">
      <w:r>
        <w:rPr>
          <w:noProof/>
        </w:rPr>
        <w:drawing>
          <wp:inline distT="0" distB="0" distL="0" distR="0" wp14:anchorId="50BA0643" wp14:editId="0B8F255D">
            <wp:extent cx="51054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101125" w14:textId="77777777" w:rsidR="00123C2F" w:rsidRDefault="00123C2F" w:rsidP="00123C2F">
      <w:r>
        <w:t xml:space="preserve">Note: The index denotes the percentage of country-dyads that are visa constrained, and alternatively, weighted by the size of respective populations. </w:t>
      </w:r>
    </w:p>
    <w:p w14:paraId="5E6E7F19" w14:textId="77777777" w:rsidR="00123C2F" w:rsidRDefault="00123C2F" w:rsidP="00123C2F"/>
    <w:p w14:paraId="500EC6EF" w14:textId="77777777" w:rsidR="00123C2F" w:rsidRDefault="00123C2F" w:rsidP="00123C2F">
      <w:r>
        <w:rPr>
          <w:b/>
          <w:lang w:val="en-GB"/>
        </w:rPr>
        <w:t xml:space="preserve">Figure 2 </w:t>
      </w:r>
      <w:r w:rsidRPr="007D4664">
        <w:rPr>
          <w:lang w:val="en-GB"/>
        </w:rPr>
        <w:t xml:space="preserve">Average distance </w:t>
      </w:r>
      <w:r>
        <w:rPr>
          <w:lang w:val="en-GB"/>
        </w:rPr>
        <w:t xml:space="preserve">(in km) </w:t>
      </w:r>
      <w:r w:rsidRPr="007D4664">
        <w:rPr>
          <w:lang w:val="en-GB"/>
        </w:rPr>
        <w:t>between visa-constrained/-free countries</w:t>
      </w:r>
      <w:r>
        <w:rPr>
          <w:b/>
          <w:lang w:val="en-GB"/>
        </w:rPr>
        <w:t xml:space="preserve"> </w:t>
      </w:r>
    </w:p>
    <w:p w14:paraId="61F2AB65" w14:textId="77777777" w:rsidR="00123C2F" w:rsidRDefault="00123C2F" w:rsidP="00123C2F">
      <w:r>
        <w:rPr>
          <w:noProof/>
        </w:rPr>
        <w:drawing>
          <wp:inline distT="0" distB="0" distL="0" distR="0" wp14:anchorId="0D991F47" wp14:editId="4651AD00">
            <wp:extent cx="50292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5A62319" w14:textId="77777777" w:rsidR="00123C2F" w:rsidRDefault="00123C2F" w:rsidP="00123C2F"/>
    <w:p w14:paraId="419D5504" w14:textId="77777777" w:rsidR="00123C2F" w:rsidRDefault="00123C2F" w:rsidP="00123C2F"/>
    <w:p w14:paraId="4BD3599D" w14:textId="77777777" w:rsidR="00123C2F" w:rsidRPr="00240131" w:rsidRDefault="00123C2F" w:rsidP="00123C2F">
      <w:pPr>
        <w:rPr>
          <w:i/>
          <w:lang w:val="en-GB"/>
        </w:rPr>
      </w:pPr>
      <w:r w:rsidRPr="00240131">
        <w:rPr>
          <w:b/>
          <w:lang w:val="en-GB"/>
        </w:rPr>
        <w:t xml:space="preserve">Figure </w:t>
      </w:r>
      <w:r>
        <w:rPr>
          <w:b/>
          <w:lang w:val="en-GB"/>
        </w:rPr>
        <w:t>3</w:t>
      </w:r>
      <w:r w:rsidRPr="00240131">
        <w:rPr>
          <w:lang w:val="en-GB"/>
        </w:rPr>
        <w:t xml:space="preserve"> </w:t>
      </w:r>
      <w:r>
        <w:rPr>
          <w:lang w:val="en-GB"/>
        </w:rPr>
        <w:t>Annual</w:t>
      </w:r>
      <w:r w:rsidRPr="00240131">
        <w:rPr>
          <w:lang w:val="en-GB"/>
        </w:rPr>
        <w:t xml:space="preserve"> </w:t>
      </w:r>
      <w:r>
        <w:rPr>
          <w:lang w:val="en-GB"/>
        </w:rPr>
        <w:t xml:space="preserve">number of </w:t>
      </w:r>
      <w:r w:rsidRPr="00240131">
        <w:rPr>
          <w:lang w:val="en-GB"/>
        </w:rPr>
        <w:t>visa policy changes, 1973</w:t>
      </w:r>
      <w:r>
        <w:rPr>
          <w:lang w:val="en-GB"/>
        </w:rPr>
        <w:t>–</w:t>
      </w:r>
      <w:r w:rsidRPr="00240131">
        <w:rPr>
          <w:lang w:val="en-GB"/>
        </w:rPr>
        <w:t>2013</w:t>
      </w:r>
    </w:p>
    <w:p w14:paraId="0621A9BD" w14:textId="77777777" w:rsidR="00123C2F" w:rsidRPr="008C4E3D" w:rsidRDefault="00123C2F" w:rsidP="00123C2F">
      <w:pPr>
        <w:widowControl w:val="0"/>
        <w:spacing w:line="360" w:lineRule="auto"/>
        <w:rPr>
          <w:rFonts w:ascii="Garamond" w:hAnsi="Garamond"/>
          <w:lang w:val="en-GB"/>
        </w:rPr>
      </w:pPr>
      <w:r w:rsidRPr="008C4E3D">
        <w:rPr>
          <w:rFonts w:ascii="Garamond" w:hAnsi="Garamond"/>
          <w:noProof/>
        </w:rPr>
        <w:lastRenderedPageBreak/>
        <w:drawing>
          <wp:inline distT="0" distB="0" distL="0" distR="0" wp14:anchorId="4666BA68" wp14:editId="6E0A06B7">
            <wp:extent cx="5709037" cy="2735249"/>
            <wp:effectExtent l="0" t="0" r="6350" b="825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7978FF" w14:textId="77777777" w:rsidR="00123C2F" w:rsidRDefault="00123C2F" w:rsidP="00123C2F"/>
    <w:p w14:paraId="5323B776" w14:textId="77777777" w:rsidR="00123C2F" w:rsidRDefault="00123C2F" w:rsidP="00123C2F">
      <w:pPr>
        <w:autoSpaceDE/>
        <w:autoSpaceDN/>
        <w:adjustRightInd/>
        <w:spacing w:after="200"/>
        <w:jc w:val="left"/>
      </w:pPr>
      <w:r>
        <w:br w:type="page"/>
      </w:r>
    </w:p>
    <w:p w14:paraId="1C420821" w14:textId="77777777" w:rsidR="00123C2F" w:rsidRPr="008C4E3D" w:rsidRDefault="00123C2F" w:rsidP="00123C2F">
      <w:pPr>
        <w:widowControl w:val="0"/>
        <w:spacing w:line="360" w:lineRule="auto"/>
        <w:rPr>
          <w:rFonts w:ascii="Garamond" w:hAnsi="Garamond"/>
          <w:lang w:val="en-GB"/>
        </w:rPr>
      </w:pPr>
      <w:r w:rsidRPr="008D2A36">
        <w:rPr>
          <w:b/>
          <w:noProof/>
        </w:rPr>
        <w:lastRenderedPageBreak/>
        <mc:AlternateContent>
          <mc:Choice Requires="wps">
            <w:drawing>
              <wp:anchor distT="0" distB="0" distL="114300" distR="114300" simplePos="0" relativeHeight="251661312" behindDoc="0" locked="0" layoutInCell="1" allowOverlap="1" wp14:anchorId="11B079A4" wp14:editId="3A37566E">
                <wp:simplePos x="0" y="0"/>
                <wp:positionH relativeFrom="column">
                  <wp:posOffset>2200910</wp:posOffset>
                </wp:positionH>
                <wp:positionV relativeFrom="paragraph">
                  <wp:posOffset>2054860</wp:posOffset>
                </wp:positionV>
                <wp:extent cx="771896" cy="320634"/>
                <wp:effectExtent l="0" t="0" r="9525" b="3810"/>
                <wp:wrapNone/>
                <wp:docPr id="2" name="Text Box 2"/>
                <wp:cNvGraphicFramePr/>
                <a:graphic xmlns:a="http://schemas.openxmlformats.org/drawingml/2006/main">
                  <a:graphicData uri="http://schemas.microsoft.com/office/word/2010/wordprocessingShape">
                    <wps:wsp>
                      <wps:cNvSpPr txBox="1"/>
                      <wps:spPr>
                        <a:xfrm>
                          <a:off x="0" y="0"/>
                          <a:ext cx="771896" cy="3206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70F093" w14:textId="77777777" w:rsidR="00123C2F" w:rsidRPr="00465973" w:rsidRDefault="00123C2F" w:rsidP="00123C2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597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1970</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173.3pt;margin-top:161.8pt;width:60.8pt;height:2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" fillcolor="white [3201]" stroked="f" strokeweight=".5pt">
                <v:textbox>
                  <w:txbxContent>
                    <w:p w14:paraId="6570F093" w14:textId="77777777" w:rsidR="00123C2F" w:rsidRPr="00465973" w:rsidRDefault="00123C2F" w:rsidP="00123C2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597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1970</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v:textbox>
              </v:shape>
            </w:pict>
          </mc:Fallback>
        </mc:AlternateContent>
      </w:r>
      <w:r w:rsidRPr="008D2A36">
        <w:rPr>
          <w:b/>
        </w:rPr>
        <w:t xml:space="preserve">Figure </w:t>
      </w:r>
      <w:r>
        <w:rPr>
          <w:b/>
        </w:rPr>
        <w:t>4</w:t>
      </w:r>
      <w:r w:rsidRPr="0085295C">
        <w:t xml:space="preserve"> Inbound visa restrictiveness, (i) 1973</w:t>
      </w:r>
      <w:r>
        <w:t>–</w:t>
      </w:r>
      <w:r w:rsidRPr="0085295C">
        <w:t>82, (ii) 1983</w:t>
      </w:r>
      <w:r>
        <w:t>–</w:t>
      </w:r>
      <w:r w:rsidRPr="0085295C">
        <w:t>92, (iii) 1993</w:t>
      </w:r>
      <w:r>
        <w:t>–</w:t>
      </w:r>
      <w:r w:rsidRPr="0085295C">
        <w:t>02, (iv) 2003</w:t>
      </w:r>
      <w:r>
        <w:t>–</w:t>
      </w:r>
      <w:r w:rsidRPr="0085295C">
        <w:t>2013</w:t>
      </w:r>
      <w:r w:rsidRPr="008C4E3D">
        <w:rPr>
          <w:rFonts w:ascii="Garamond" w:hAnsi="Garamond"/>
          <w:noProof/>
        </w:rPr>
        <w:drawing>
          <wp:inline distT="0" distB="0" distL="0" distR="0" wp14:anchorId="77FB893B" wp14:editId="07CCA362">
            <wp:extent cx="5701085" cy="2256415"/>
            <wp:effectExtent l="19050" t="19050" r="13970" b="107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0612"/>
                    <a:stretch/>
                  </pic:blipFill>
                  <pic:spPr bwMode="auto">
                    <a:xfrm>
                      <a:off x="0" y="0"/>
                      <a:ext cx="5763823" cy="228124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C3EA0CC" w14:textId="77777777" w:rsidR="00123C2F" w:rsidRPr="008C4E3D" w:rsidRDefault="00123C2F" w:rsidP="00123C2F">
      <w:pPr>
        <w:rPr>
          <w:rFonts w:ascii="Garamond" w:hAnsi="Garamond"/>
          <w:lang w:val="en-GB"/>
        </w:rPr>
      </w:pPr>
      <w:r w:rsidRPr="008C4E3D">
        <w:rPr>
          <w:rFonts w:ascii="Garamond" w:hAnsi="Garamond"/>
          <w:noProof/>
        </w:rPr>
        <mc:AlternateContent>
          <mc:Choice Requires="wps">
            <w:drawing>
              <wp:anchor distT="0" distB="0" distL="114300" distR="114300" simplePos="0" relativeHeight="251662336" behindDoc="0" locked="0" layoutInCell="1" allowOverlap="1" wp14:anchorId="50A49F52" wp14:editId="5680F9E2">
                <wp:simplePos x="0" y="0"/>
                <wp:positionH relativeFrom="column">
                  <wp:posOffset>2241550</wp:posOffset>
                </wp:positionH>
                <wp:positionV relativeFrom="paragraph">
                  <wp:posOffset>1849755</wp:posOffset>
                </wp:positionV>
                <wp:extent cx="831272" cy="356260"/>
                <wp:effectExtent l="0" t="0" r="6985" b="5715"/>
                <wp:wrapNone/>
                <wp:docPr id="7" name="Text Box 7"/>
                <wp:cNvGraphicFramePr/>
                <a:graphic xmlns:a="http://schemas.openxmlformats.org/drawingml/2006/main">
                  <a:graphicData uri="http://schemas.microsoft.com/office/word/2010/wordprocessingShape">
                    <wps:wsp>
                      <wps:cNvSpPr txBox="1"/>
                      <wps:spPr>
                        <a:xfrm>
                          <a:off x="0" y="0"/>
                          <a:ext cx="831272" cy="356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E173BA" w14:textId="77777777" w:rsidR="00123C2F" w:rsidRPr="00465973" w:rsidRDefault="00123C2F" w:rsidP="00123C2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597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176.5pt;margin-top:145.65pt;width:65.45pt;height:2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" fillcolor="white [3201]" stroked="f" strokeweight=".5pt">
                <v:textbox>
                  <w:txbxContent>
                    <w:p w14:paraId="3CE173BA" w14:textId="77777777" w:rsidR="00123C2F" w:rsidRPr="00465973" w:rsidRDefault="00123C2F" w:rsidP="00123C2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597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80s</w:t>
                      </w:r>
                    </w:p>
                  </w:txbxContent>
                </v:textbox>
              </v:shape>
            </w:pict>
          </mc:Fallback>
        </mc:AlternateContent>
      </w:r>
      <w:r w:rsidRPr="008C4E3D">
        <w:rPr>
          <w:rFonts w:ascii="Garamond" w:hAnsi="Garamond"/>
          <w:noProof/>
        </w:rPr>
        <w:drawing>
          <wp:inline distT="0" distB="0" distL="0" distR="0" wp14:anchorId="2CFF3EED" wp14:editId="571DCC2F">
            <wp:extent cx="5685182" cy="2281724"/>
            <wp:effectExtent l="19050" t="19050" r="10795" b="234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1874"/>
                    <a:stretch/>
                  </pic:blipFill>
                  <pic:spPr bwMode="auto">
                    <a:xfrm>
                      <a:off x="0" y="0"/>
                      <a:ext cx="5765465" cy="23139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9AB7E88" w14:textId="77777777" w:rsidR="00123C2F" w:rsidRPr="008C4E3D" w:rsidRDefault="00123C2F" w:rsidP="00123C2F">
      <w:pPr>
        <w:rPr>
          <w:rFonts w:ascii="Garamond" w:hAnsi="Garamond"/>
          <w:lang w:val="en-GB"/>
        </w:rPr>
      </w:pPr>
      <w:r w:rsidRPr="008C4E3D">
        <w:rPr>
          <w:rFonts w:ascii="Garamond" w:hAnsi="Garamond"/>
          <w:noProof/>
        </w:rPr>
        <mc:AlternateContent>
          <mc:Choice Requires="wps">
            <w:drawing>
              <wp:anchor distT="0" distB="0" distL="114300" distR="114300" simplePos="0" relativeHeight="251664384" behindDoc="0" locked="0" layoutInCell="1" allowOverlap="1" wp14:anchorId="2D2F08DB" wp14:editId="007394FA">
                <wp:simplePos x="0" y="0"/>
                <wp:positionH relativeFrom="column">
                  <wp:posOffset>2248535</wp:posOffset>
                </wp:positionH>
                <wp:positionV relativeFrom="paragraph">
                  <wp:posOffset>1742440</wp:posOffset>
                </wp:positionV>
                <wp:extent cx="771896" cy="415637"/>
                <wp:effectExtent l="0" t="0" r="9525" b="3810"/>
                <wp:wrapNone/>
                <wp:docPr id="10" name="Text Box 10"/>
                <wp:cNvGraphicFramePr/>
                <a:graphic xmlns:a="http://schemas.openxmlformats.org/drawingml/2006/main">
                  <a:graphicData uri="http://schemas.microsoft.com/office/word/2010/wordprocessingShape">
                    <wps:wsp>
                      <wps:cNvSpPr txBox="1"/>
                      <wps:spPr>
                        <a:xfrm>
                          <a:off x="0" y="0"/>
                          <a:ext cx="771896" cy="4156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E0379" w14:textId="77777777" w:rsidR="00123C2F" w:rsidRPr="00465973" w:rsidRDefault="00123C2F" w:rsidP="00123C2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597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90s</w:t>
                            </w:r>
                            <w:r w:rsidRPr="0046597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left:0;text-align:left;margin-left:177.05pt;margin-top:137.2pt;width:60.8pt;height:3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" fillcolor="white [3201]" stroked="f" strokeweight=".5pt">
                <v:textbox>
                  <w:txbxContent>
                    <w:p w14:paraId="112E0379" w14:textId="77777777" w:rsidR="00123C2F" w:rsidRPr="00465973" w:rsidRDefault="00123C2F" w:rsidP="00123C2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597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90s</w:t>
                      </w:r>
                      <w:r w:rsidRPr="0046597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0s</w:t>
                      </w:r>
                    </w:p>
                  </w:txbxContent>
                </v:textbox>
              </v:shape>
            </w:pict>
          </mc:Fallback>
        </mc:AlternateContent>
      </w:r>
      <w:r w:rsidRPr="008C4E3D">
        <w:rPr>
          <w:rFonts w:ascii="Garamond" w:hAnsi="Garamond"/>
          <w:noProof/>
        </w:rPr>
        <w:drawing>
          <wp:inline distT="0" distB="0" distL="0" distR="0" wp14:anchorId="6D26DF02" wp14:editId="074645AB">
            <wp:extent cx="5674380" cy="2234317"/>
            <wp:effectExtent l="19050" t="19050" r="21590" b="139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2075"/>
                    <a:stretch/>
                  </pic:blipFill>
                  <pic:spPr bwMode="auto">
                    <a:xfrm>
                      <a:off x="0" y="0"/>
                      <a:ext cx="5714051" cy="22499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3223219" w14:textId="77777777" w:rsidR="00123C2F" w:rsidRDefault="00123C2F" w:rsidP="00123C2F">
      <w:pPr>
        <w:rPr>
          <w:rFonts w:ascii="Garamond" w:hAnsi="Garamond"/>
          <w:lang w:val="en-GB"/>
        </w:rPr>
      </w:pPr>
      <w:r w:rsidRPr="008C4E3D">
        <w:rPr>
          <w:rFonts w:ascii="Garamond" w:hAnsi="Garamond"/>
          <w:noProof/>
        </w:rPr>
        <w:lastRenderedPageBreak/>
        <mc:AlternateContent>
          <mc:Choice Requires="wps">
            <w:drawing>
              <wp:anchor distT="0" distB="0" distL="114300" distR="114300" simplePos="0" relativeHeight="251663360" behindDoc="0" locked="0" layoutInCell="1" allowOverlap="1" wp14:anchorId="2DEB6C64" wp14:editId="3BAA05CE">
                <wp:simplePos x="0" y="0"/>
                <wp:positionH relativeFrom="column">
                  <wp:posOffset>2203450</wp:posOffset>
                </wp:positionH>
                <wp:positionV relativeFrom="paragraph">
                  <wp:posOffset>1798955</wp:posOffset>
                </wp:positionV>
                <wp:extent cx="771525" cy="368135"/>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771525" cy="368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8AD5DF" w14:textId="77777777" w:rsidR="00123C2F" w:rsidRPr="00465973" w:rsidRDefault="00123C2F" w:rsidP="00123C2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2000s</w:t>
                            </w:r>
                            <w:r w:rsidRPr="0046597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left:0;text-align:left;margin-left:173.5pt;margin-top:141.65pt;width:60.75pt;height: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" fillcolor="white [3201]" stroked="f" strokeweight=".5pt">
                <v:textbox>
                  <w:txbxContent>
                    <w:p w14:paraId="3D8AD5DF" w14:textId="77777777" w:rsidR="00123C2F" w:rsidRPr="00465973" w:rsidRDefault="00123C2F" w:rsidP="00123C2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2000s</w:t>
                      </w:r>
                      <w:r w:rsidRPr="0046597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0s</w:t>
                      </w:r>
                    </w:p>
                  </w:txbxContent>
                </v:textbox>
              </v:shape>
            </w:pict>
          </mc:Fallback>
        </mc:AlternateContent>
      </w:r>
      <w:r w:rsidRPr="008C4E3D">
        <w:rPr>
          <w:rFonts w:ascii="Garamond" w:hAnsi="Garamond"/>
          <w:noProof/>
        </w:rPr>
        <w:drawing>
          <wp:inline distT="0" distB="0" distL="0" distR="0" wp14:anchorId="04AD82A3" wp14:editId="0F794FAE">
            <wp:extent cx="5646862" cy="2250219"/>
            <wp:effectExtent l="19050" t="19050" r="11430" b="171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2385"/>
                    <a:stretch/>
                  </pic:blipFill>
                  <pic:spPr bwMode="auto">
                    <a:xfrm>
                      <a:off x="0" y="0"/>
                      <a:ext cx="5662986" cy="225664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1E8CB51" w14:textId="77777777" w:rsidR="00123C2F" w:rsidRDefault="00123C2F" w:rsidP="00123C2F">
      <w:r>
        <w:t>Note: The four (quartile) intervals include an equal number of visa-issuing countries (of destination). Interval boundaries reflect level of (inbound) visa restrictiveness of 0</w:t>
      </w:r>
      <w:r w:rsidRPr="00406587">
        <w:rPr>
          <w:vertAlign w:val="superscript"/>
        </w:rPr>
        <w:t>th</w:t>
      </w:r>
      <w:r>
        <w:t>, 25</w:t>
      </w:r>
      <w:r w:rsidRPr="00406587">
        <w:rPr>
          <w:vertAlign w:val="superscript"/>
        </w:rPr>
        <w:t>th</w:t>
      </w:r>
      <w:r>
        <w:t>, 50</w:t>
      </w:r>
      <w:r w:rsidRPr="00406587">
        <w:rPr>
          <w:vertAlign w:val="superscript"/>
        </w:rPr>
        <w:t>th</w:t>
      </w:r>
      <w:r>
        <w:t>, and 75</w:t>
      </w:r>
      <w:r w:rsidRPr="00406587">
        <w:rPr>
          <w:vertAlign w:val="superscript"/>
        </w:rPr>
        <w:t>th</w:t>
      </w:r>
      <w:r>
        <w:rPr>
          <w:vertAlign w:val="superscript"/>
        </w:rPr>
        <w:t xml:space="preserve"> </w:t>
      </w:r>
      <w:r>
        <w:t xml:space="preserve">percentile, which can and do change over time.  </w:t>
      </w:r>
    </w:p>
    <w:p w14:paraId="2ACC9AEC" w14:textId="77777777" w:rsidR="00123C2F" w:rsidRPr="008C4E3D" w:rsidRDefault="00123C2F" w:rsidP="00123C2F">
      <w:pPr>
        <w:rPr>
          <w:rFonts w:ascii="Garamond" w:hAnsi="Garamond"/>
          <w:lang w:val="en-GB"/>
        </w:rPr>
      </w:pPr>
    </w:p>
    <w:p w14:paraId="066027EE" w14:textId="77777777" w:rsidR="00123C2F" w:rsidRPr="008C4E3D" w:rsidRDefault="00123C2F" w:rsidP="00123C2F">
      <w:pPr>
        <w:rPr>
          <w:rFonts w:ascii="Garamond" w:hAnsi="Garamond"/>
          <w:b/>
          <w:noProof/>
          <w:lang w:val="en-GB" w:eastAsia="en-GB"/>
        </w:rPr>
      </w:pPr>
    </w:p>
    <w:p w14:paraId="31E880EC" w14:textId="77777777" w:rsidR="00123C2F" w:rsidRPr="00240131" w:rsidRDefault="00123C2F" w:rsidP="00123C2F">
      <w:pPr>
        <w:rPr>
          <w:lang w:val="en-GB"/>
        </w:rPr>
      </w:pPr>
      <w:r w:rsidRPr="00240131">
        <w:rPr>
          <w:b/>
          <w:noProof/>
          <w:lang w:val="en-GB" w:eastAsia="en-GB"/>
        </w:rPr>
        <w:t xml:space="preserve">Figure </w:t>
      </w:r>
      <w:r>
        <w:rPr>
          <w:b/>
          <w:noProof/>
          <w:lang w:val="en-GB" w:eastAsia="en-GB"/>
        </w:rPr>
        <w:t>5</w:t>
      </w:r>
      <w:r w:rsidRPr="00240131">
        <w:rPr>
          <w:b/>
          <w:lang w:val="en-GB"/>
        </w:rPr>
        <w:t xml:space="preserve"> </w:t>
      </w:r>
      <w:r w:rsidRPr="00240131">
        <w:rPr>
          <w:lang w:val="en-GB"/>
        </w:rPr>
        <w:t>Outbound visa restrictiveness, (i) 1973</w:t>
      </w:r>
      <w:r>
        <w:rPr>
          <w:lang w:val="en-GB"/>
        </w:rPr>
        <w:t>–</w:t>
      </w:r>
      <w:r w:rsidRPr="00240131">
        <w:rPr>
          <w:lang w:val="en-GB"/>
        </w:rPr>
        <w:t>82, (ii) 1983</w:t>
      </w:r>
      <w:r>
        <w:rPr>
          <w:lang w:val="en-GB"/>
        </w:rPr>
        <w:t>–</w:t>
      </w:r>
      <w:r w:rsidRPr="00240131">
        <w:rPr>
          <w:lang w:val="en-GB"/>
        </w:rPr>
        <w:t>92, (iii) 1993</w:t>
      </w:r>
      <w:r>
        <w:rPr>
          <w:lang w:val="en-GB"/>
        </w:rPr>
        <w:t>–</w:t>
      </w:r>
      <w:r w:rsidRPr="00240131">
        <w:rPr>
          <w:lang w:val="en-GB"/>
        </w:rPr>
        <w:t>02, (iv) 2003</w:t>
      </w:r>
      <w:r>
        <w:rPr>
          <w:lang w:val="en-GB"/>
        </w:rPr>
        <w:t>–</w:t>
      </w:r>
      <w:r w:rsidRPr="00240131">
        <w:rPr>
          <w:lang w:val="en-GB"/>
        </w:rPr>
        <w:t>2013</w:t>
      </w:r>
    </w:p>
    <w:p w14:paraId="3FA69EB3" w14:textId="77777777" w:rsidR="00123C2F" w:rsidRPr="008C4E3D" w:rsidRDefault="00123C2F" w:rsidP="00123C2F">
      <w:pPr>
        <w:rPr>
          <w:rFonts w:ascii="Garamond" w:hAnsi="Garamond"/>
          <w:lang w:val="en-GB"/>
        </w:rPr>
      </w:pPr>
      <w:r w:rsidRPr="008C4E3D">
        <w:rPr>
          <w:rFonts w:ascii="Garamond" w:hAnsi="Garamond"/>
          <w:b/>
          <w:noProof/>
        </w:rPr>
        <mc:AlternateContent>
          <mc:Choice Requires="wps">
            <w:drawing>
              <wp:anchor distT="0" distB="0" distL="114300" distR="114300" simplePos="0" relativeHeight="251665408" behindDoc="0" locked="0" layoutInCell="1" allowOverlap="1" wp14:anchorId="3BF27CFC" wp14:editId="60B1A0EB">
                <wp:simplePos x="0" y="0"/>
                <wp:positionH relativeFrom="column">
                  <wp:posOffset>2167890</wp:posOffset>
                </wp:positionH>
                <wp:positionV relativeFrom="paragraph">
                  <wp:posOffset>1821815</wp:posOffset>
                </wp:positionV>
                <wp:extent cx="771896" cy="296545"/>
                <wp:effectExtent l="0" t="0" r="9525" b="8255"/>
                <wp:wrapNone/>
                <wp:docPr id="9" name="Text Box 9"/>
                <wp:cNvGraphicFramePr/>
                <a:graphic xmlns:a="http://schemas.openxmlformats.org/drawingml/2006/main">
                  <a:graphicData uri="http://schemas.microsoft.com/office/word/2010/wordprocessingShape">
                    <wps:wsp>
                      <wps:cNvSpPr txBox="1"/>
                      <wps:spPr>
                        <a:xfrm>
                          <a:off x="0" y="0"/>
                          <a:ext cx="771896" cy="296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FFDABB" w14:textId="77777777" w:rsidR="00123C2F" w:rsidRPr="00465973" w:rsidRDefault="00123C2F" w:rsidP="00123C2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597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1970</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left:0;text-align:left;margin-left:170.7pt;margin-top:143.45pt;width:60.8pt;height:2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" fillcolor="white [3201]" stroked="f" strokeweight=".5pt">
                <v:textbox>
                  <w:txbxContent>
                    <w:p w14:paraId="16FFDABB" w14:textId="77777777" w:rsidR="00123C2F" w:rsidRPr="00465973" w:rsidRDefault="00123C2F" w:rsidP="00123C2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597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1970</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v:textbox>
              </v:shape>
            </w:pict>
          </mc:Fallback>
        </mc:AlternateContent>
      </w:r>
      <w:r w:rsidRPr="008C4E3D">
        <w:rPr>
          <w:rFonts w:ascii="Garamond" w:hAnsi="Garamond"/>
          <w:noProof/>
        </w:rPr>
        <w:drawing>
          <wp:inline distT="0" distB="0" distL="0" distR="0" wp14:anchorId="19773B41" wp14:editId="0E28E4F6">
            <wp:extent cx="5647197" cy="2250219"/>
            <wp:effectExtent l="19050" t="19050" r="10795"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0614"/>
                    <a:stretch/>
                  </pic:blipFill>
                  <pic:spPr bwMode="auto">
                    <a:xfrm>
                      <a:off x="0" y="0"/>
                      <a:ext cx="5675699" cy="226157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622FF02" w14:textId="77777777" w:rsidR="00123C2F" w:rsidRPr="008C4E3D" w:rsidRDefault="00123C2F" w:rsidP="00123C2F">
      <w:pPr>
        <w:rPr>
          <w:rFonts w:ascii="Garamond" w:hAnsi="Garamond"/>
          <w:lang w:val="en-GB"/>
        </w:rPr>
      </w:pPr>
      <w:r w:rsidRPr="008C4E3D">
        <w:rPr>
          <w:rFonts w:ascii="Garamond" w:hAnsi="Garamond"/>
          <w:noProof/>
        </w:rPr>
        <mc:AlternateContent>
          <mc:Choice Requires="wps">
            <w:drawing>
              <wp:anchor distT="0" distB="0" distL="114300" distR="114300" simplePos="0" relativeHeight="251666432" behindDoc="0" locked="0" layoutInCell="1" allowOverlap="1" wp14:anchorId="51E47B9F" wp14:editId="45675CD3">
                <wp:simplePos x="0" y="0"/>
                <wp:positionH relativeFrom="column">
                  <wp:posOffset>2212975</wp:posOffset>
                </wp:positionH>
                <wp:positionV relativeFrom="paragraph">
                  <wp:posOffset>1789430</wp:posOffset>
                </wp:positionV>
                <wp:extent cx="831272" cy="356260"/>
                <wp:effectExtent l="0" t="0" r="6985" b="5715"/>
                <wp:wrapNone/>
                <wp:docPr id="11" name="Text Box 11"/>
                <wp:cNvGraphicFramePr/>
                <a:graphic xmlns:a="http://schemas.openxmlformats.org/drawingml/2006/main">
                  <a:graphicData uri="http://schemas.microsoft.com/office/word/2010/wordprocessingShape">
                    <wps:wsp>
                      <wps:cNvSpPr txBox="1"/>
                      <wps:spPr>
                        <a:xfrm>
                          <a:off x="0" y="0"/>
                          <a:ext cx="831272" cy="356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B626DF" w14:textId="77777777" w:rsidR="00123C2F" w:rsidRPr="00465973" w:rsidRDefault="00123C2F" w:rsidP="00123C2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597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80</w:t>
                            </w:r>
                            <w:r w:rsidRPr="0046597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left:0;text-align:left;margin-left:174.25pt;margin-top:140.9pt;width:65.45pt;height:2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" fillcolor="white [3201]" stroked="f" strokeweight=".5pt">
                <v:textbox>
                  <w:txbxContent>
                    <w:p w14:paraId="1DB626DF" w14:textId="77777777" w:rsidR="00123C2F" w:rsidRPr="00465973" w:rsidRDefault="00123C2F" w:rsidP="00123C2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597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80</w:t>
                      </w:r>
                      <w:r w:rsidRPr="0046597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v:textbox>
              </v:shape>
            </w:pict>
          </mc:Fallback>
        </mc:AlternateContent>
      </w:r>
      <w:r w:rsidRPr="008C4E3D">
        <w:rPr>
          <w:rFonts w:ascii="Garamond" w:hAnsi="Garamond"/>
          <w:noProof/>
        </w:rPr>
        <w:drawing>
          <wp:inline distT="0" distB="0" distL="0" distR="0" wp14:anchorId="2960F13B" wp14:editId="07133177">
            <wp:extent cx="5637474" cy="2245393"/>
            <wp:effectExtent l="19050" t="19050" r="20955" b="215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1513"/>
                    <a:stretch/>
                  </pic:blipFill>
                  <pic:spPr bwMode="auto">
                    <a:xfrm>
                      <a:off x="0" y="0"/>
                      <a:ext cx="5670832" cy="22586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79DE298" w14:textId="77777777" w:rsidR="00123C2F" w:rsidRDefault="00123C2F" w:rsidP="00123C2F">
      <w:r w:rsidRPr="008C4E3D">
        <w:rPr>
          <w:rFonts w:ascii="Garamond" w:hAnsi="Garamond"/>
          <w:noProof/>
        </w:rPr>
        <w:lastRenderedPageBreak/>
        <mc:AlternateContent>
          <mc:Choice Requires="wps">
            <w:drawing>
              <wp:anchor distT="0" distB="0" distL="114300" distR="114300" simplePos="0" relativeHeight="251659264" behindDoc="0" locked="0" layoutInCell="1" allowOverlap="1" wp14:anchorId="065D4B38" wp14:editId="441B6488">
                <wp:simplePos x="0" y="0"/>
                <wp:positionH relativeFrom="column">
                  <wp:posOffset>2219960</wp:posOffset>
                </wp:positionH>
                <wp:positionV relativeFrom="paragraph">
                  <wp:posOffset>1745615</wp:posOffset>
                </wp:positionV>
                <wp:extent cx="771896" cy="415637"/>
                <wp:effectExtent l="0" t="0" r="9525" b="3810"/>
                <wp:wrapNone/>
                <wp:docPr id="12" name="Text Box 12"/>
                <wp:cNvGraphicFramePr/>
                <a:graphic xmlns:a="http://schemas.openxmlformats.org/drawingml/2006/main">
                  <a:graphicData uri="http://schemas.microsoft.com/office/word/2010/wordprocessingShape">
                    <wps:wsp>
                      <wps:cNvSpPr txBox="1"/>
                      <wps:spPr>
                        <a:xfrm>
                          <a:off x="0" y="0"/>
                          <a:ext cx="771896" cy="4156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AB45FA" w14:textId="77777777" w:rsidR="00123C2F" w:rsidRPr="00465973" w:rsidRDefault="00123C2F" w:rsidP="00123C2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597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90s</w:t>
                            </w:r>
                            <w:r w:rsidRPr="0046597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left:0;text-align:left;margin-left:174.8pt;margin-top:137.45pt;width:60.8pt;height:3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" fillcolor="white [3201]" stroked="f" strokeweight=".5pt">
                <v:textbox>
                  <w:txbxContent>
                    <w:p w14:paraId="7BAB45FA" w14:textId="77777777" w:rsidR="00123C2F" w:rsidRPr="00465973" w:rsidRDefault="00123C2F" w:rsidP="00123C2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597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90s</w:t>
                      </w:r>
                      <w:r w:rsidRPr="0046597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0s</w:t>
                      </w:r>
                    </w:p>
                  </w:txbxContent>
                </v:textbox>
              </v:shape>
            </w:pict>
          </mc:Fallback>
        </mc:AlternateContent>
      </w:r>
      <w:r w:rsidRPr="008C4E3D">
        <w:rPr>
          <w:rFonts w:ascii="Garamond" w:hAnsi="Garamond"/>
          <w:noProof/>
        </w:rPr>
        <mc:AlternateContent>
          <mc:Choice Requires="wps">
            <w:drawing>
              <wp:anchor distT="0" distB="0" distL="114300" distR="114300" simplePos="0" relativeHeight="251660288" behindDoc="0" locked="0" layoutInCell="1" allowOverlap="1" wp14:anchorId="69EC904B" wp14:editId="336873C0">
                <wp:simplePos x="0" y="0"/>
                <wp:positionH relativeFrom="column">
                  <wp:posOffset>2205990</wp:posOffset>
                </wp:positionH>
                <wp:positionV relativeFrom="paragraph">
                  <wp:posOffset>4069715</wp:posOffset>
                </wp:positionV>
                <wp:extent cx="771525" cy="368135"/>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771525" cy="368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18C6B9" w14:textId="77777777" w:rsidR="00123C2F" w:rsidRPr="00465973" w:rsidRDefault="00123C2F" w:rsidP="00123C2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2000s</w:t>
                            </w:r>
                            <w:r w:rsidRPr="0046597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left:0;text-align:left;margin-left:173.7pt;margin-top:320.45pt;width:60.75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" fillcolor="white [3201]" stroked="f" strokeweight=".5pt">
                <v:textbox>
                  <w:txbxContent>
                    <w:p w14:paraId="7D18C6B9" w14:textId="77777777" w:rsidR="00123C2F" w:rsidRPr="00465973" w:rsidRDefault="00123C2F" w:rsidP="00123C2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2000s</w:t>
                      </w:r>
                      <w:r w:rsidRPr="0046597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0s</w:t>
                      </w:r>
                    </w:p>
                  </w:txbxContent>
                </v:textbox>
              </v:shape>
            </w:pict>
          </mc:Fallback>
        </mc:AlternateContent>
      </w:r>
      <w:r w:rsidRPr="008C4E3D">
        <w:rPr>
          <w:rFonts w:ascii="Garamond" w:hAnsi="Garamond"/>
          <w:noProof/>
        </w:rPr>
        <w:drawing>
          <wp:inline distT="0" distB="0" distL="0" distR="0" wp14:anchorId="492D52CF" wp14:editId="6ACEA2AB">
            <wp:extent cx="5631603" cy="2226365"/>
            <wp:effectExtent l="19050" t="19050" r="26670" b="215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0689"/>
                    <a:stretch/>
                  </pic:blipFill>
                  <pic:spPr bwMode="auto">
                    <a:xfrm>
                      <a:off x="0" y="0"/>
                      <a:ext cx="5708381" cy="225671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8C4E3D">
        <w:rPr>
          <w:rFonts w:ascii="Garamond" w:hAnsi="Garamond"/>
          <w:noProof/>
        </w:rPr>
        <w:drawing>
          <wp:inline distT="0" distB="0" distL="0" distR="0" wp14:anchorId="1443614D" wp14:editId="77F87F17">
            <wp:extent cx="5688654" cy="2274073"/>
            <wp:effectExtent l="19050" t="19050" r="26670"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0130"/>
                    <a:stretch/>
                  </pic:blipFill>
                  <pic:spPr bwMode="auto">
                    <a:xfrm>
                      <a:off x="0" y="0"/>
                      <a:ext cx="5726827" cy="228933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F0AA63A" w14:textId="77777777" w:rsidR="00123C2F" w:rsidRDefault="00123C2F" w:rsidP="00123C2F">
      <w:r>
        <w:t>Note: The four (quartile) intervals include an equal number of visa-targeted countries (of origin). Interval boundaries reflect level of (outbound) visa restrictiveness of 0</w:t>
      </w:r>
      <w:r w:rsidRPr="00406587">
        <w:rPr>
          <w:vertAlign w:val="superscript"/>
        </w:rPr>
        <w:t>th</w:t>
      </w:r>
      <w:r>
        <w:t>, 25</w:t>
      </w:r>
      <w:r w:rsidRPr="00406587">
        <w:rPr>
          <w:vertAlign w:val="superscript"/>
        </w:rPr>
        <w:t>th</w:t>
      </w:r>
      <w:r>
        <w:t>, 50</w:t>
      </w:r>
      <w:r w:rsidRPr="00406587">
        <w:rPr>
          <w:vertAlign w:val="superscript"/>
        </w:rPr>
        <w:t>th</w:t>
      </w:r>
      <w:r>
        <w:t>, and 75</w:t>
      </w:r>
      <w:r w:rsidRPr="00406587">
        <w:rPr>
          <w:vertAlign w:val="superscript"/>
        </w:rPr>
        <w:t>th</w:t>
      </w:r>
      <w:r>
        <w:rPr>
          <w:vertAlign w:val="superscript"/>
        </w:rPr>
        <w:t xml:space="preserve"> </w:t>
      </w:r>
      <w:r>
        <w:t xml:space="preserve">percentile, which can and do change over time.  </w:t>
      </w:r>
    </w:p>
    <w:p w14:paraId="1697E414" w14:textId="77777777" w:rsidR="00123C2F" w:rsidRDefault="00123C2F" w:rsidP="00123C2F"/>
    <w:p w14:paraId="5C15810C" w14:textId="77777777" w:rsidR="00123C2F" w:rsidRPr="006B3223" w:rsidRDefault="00123C2F" w:rsidP="00123C2F">
      <w:pPr>
        <w:rPr>
          <w:b/>
          <w:lang w:val="en-GB"/>
        </w:rPr>
      </w:pPr>
      <w:r w:rsidRPr="008D2A36">
        <w:rPr>
          <w:b/>
          <w:lang w:val="en-GB"/>
        </w:rPr>
        <w:t xml:space="preserve">Figure </w:t>
      </w:r>
      <w:r>
        <w:rPr>
          <w:b/>
          <w:lang w:val="en-GB"/>
        </w:rPr>
        <w:t>6</w:t>
      </w:r>
      <w:r w:rsidRPr="00240131">
        <w:rPr>
          <w:lang w:val="en-GB"/>
        </w:rPr>
        <w:t xml:space="preserve"> </w:t>
      </w:r>
      <w:r>
        <w:rPr>
          <w:lang w:val="en-GB"/>
        </w:rPr>
        <w:t>Index</w:t>
      </w:r>
      <w:r w:rsidRPr="00240131">
        <w:rPr>
          <w:lang w:val="en-GB"/>
        </w:rPr>
        <w:t xml:space="preserve"> of bilateral visa reciprocity, 1973</w:t>
      </w:r>
      <w:r>
        <w:rPr>
          <w:lang w:val="en-GB"/>
        </w:rPr>
        <w:t>–</w:t>
      </w:r>
      <w:r w:rsidRPr="00240131">
        <w:rPr>
          <w:lang w:val="en-GB"/>
        </w:rPr>
        <w:t xml:space="preserve">2013 </w:t>
      </w:r>
    </w:p>
    <w:p w14:paraId="40048286" w14:textId="77777777" w:rsidR="00123C2F" w:rsidRDefault="00123C2F" w:rsidP="00123C2F">
      <w:pPr>
        <w:widowControl w:val="0"/>
        <w:spacing w:line="360" w:lineRule="auto"/>
        <w:rPr>
          <w:rFonts w:ascii="Garamond" w:hAnsi="Garamond"/>
          <w:lang w:val="en-GB"/>
        </w:rPr>
      </w:pPr>
      <w:r w:rsidRPr="00DF544F">
        <w:rPr>
          <w:rFonts w:ascii="Garamond" w:hAnsi="Garamond"/>
          <w:lang w:val="en-GB"/>
        </w:rPr>
        <w:lastRenderedPageBreak/>
        <w:t xml:space="preserve"> </w:t>
      </w:r>
      <w:r w:rsidRPr="00DF544F">
        <w:rPr>
          <w:rFonts w:ascii="Garamond" w:hAnsi="Garamond"/>
          <w:noProof/>
        </w:rPr>
        <w:drawing>
          <wp:inline distT="0" distB="0" distL="0" distR="0" wp14:anchorId="1330976F" wp14:editId="4A2E3D63">
            <wp:extent cx="4468633" cy="3217342"/>
            <wp:effectExtent l="0" t="0" r="825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81166" cy="3226366"/>
                    </a:xfrm>
                    <a:prstGeom prst="rect">
                      <a:avLst/>
                    </a:prstGeom>
                    <a:noFill/>
                    <a:ln>
                      <a:noFill/>
                    </a:ln>
                  </pic:spPr>
                </pic:pic>
              </a:graphicData>
            </a:graphic>
          </wp:inline>
        </w:drawing>
      </w:r>
    </w:p>
    <w:p w14:paraId="08102E5E" w14:textId="77777777" w:rsidR="00123C2F" w:rsidRPr="00B60112" w:rsidRDefault="00123C2F" w:rsidP="00123C2F">
      <w:pPr>
        <w:rPr>
          <w:sz w:val="20"/>
          <w:szCs w:val="20"/>
          <w:lang w:val="en-GB"/>
        </w:rPr>
      </w:pPr>
      <w:r w:rsidRPr="00B60112">
        <w:rPr>
          <w:sz w:val="20"/>
          <w:szCs w:val="20"/>
          <w:lang w:val="en-GB"/>
        </w:rPr>
        <w:t>Note: Measure represents the share of all bilateral country dyads which have been either visa-free or visa-constrained in both directions at the same time between 1973 and 2013.</w:t>
      </w:r>
    </w:p>
    <w:p w14:paraId="6FCF7DE6" w14:textId="77777777" w:rsidR="00123C2F" w:rsidRDefault="00123C2F" w:rsidP="00123C2F">
      <w:pPr>
        <w:widowControl w:val="0"/>
        <w:spacing w:line="360" w:lineRule="auto"/>
        <w:rPr>
          <w:rFonts w:ascii="Garamond" w:hAnsi="Garamond"/>
          <w:lang w:val="en-GB"/>
        </w:rPr>
      </w:pPr>
    </w:p>
    <w:p w14:paraId="061DD1C6" w14:textId="77777777" w:rsidR="00123C2F" w:rsidRPr="00240131" w:rsidRDefault="00123C2F" w:rsidP="00123C2F">
      <w:pPr>
        <w:rPr>
          <w:i/>
          <w:lang w:val="en-GB"/>
        </w:rPr>
      </w:pPr>
      <w:r w:rsidRPr="00B36D7A">
        <w:rPr>
          <w:b/>
          <w:lang w:val="en-GB"/>
        </w:rPr>
        <w:t xml:space="preserve">Figure </w:t>
      </w:r>
      <w:r>
        <w:rPr>
          <w:b/>
          <w:lang w:val="en-GB"/>
        </w:rPr>
        <w:t>7</w:t>
      </w:r>
      <w:r w:rsidRPr="00240131">
        <w:rPr>
          <w:lang w:val="en-GB"/>
        </w:rPr>
        <w:t xml:space="preserve"> </w:t>
      </w:r>
      <w:r>
        <w:rPr>
          <w:lang w:val="en-GB"/>
        </w:rPr>
        <w:t>Index of v</w:t>
      </w:r>
      <w:r w:rsidRPr="00240131">
        <w:rPr>
          <w:lang w:val="en-GB"/>
        </w:rPr>
        <w:t>isa restrictiveness within and between continents</w:t>
      </w:r>
    </w:p>
    <w:p w14:paraId="41055E17" w14:textId="77777777" w:rsidR="00123C2F" w:rsidRPr="008C4E3D" w:rsidRDefault="00123C2F" w:rsidP="00123C2F">
      <w:pPr>
        <w:widowControl w:val="0"/>
        <w:rPr>
          <w:rFonts w:ascii="Calibri" w:hAnsi="Calibri" w:cs="Calibri"/>
          <w:color w:val="18376A"/>
          <w:szCs w:val="30"/>
          <w:highlight w:val="yellow"/>
          <w:lang w:val="en-GB"/>
        </w:rPr>
      </w:pPr>
      <w:r w:rsidRPr="004645F1">
        <w:rPr>
          <w:noProof/>
        </w:rPr>
        <w:drawing>
          <wp:inline distT="0" distB="0" distL="0" distR="0" wp14:anchorId="6AF5E46A" wp14:editId="7648B476">
            <wp:extent cx="5373424" cy="3864334"/>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85383" cy="3872934"/>
                    </a:xfrm>
                    <a:prstGeom prst="rect">
                      <a:avLst/>
                    </a:prstGeom>
                    <a:ln>
                      <a:noFill/>
                    </a:ln>
                  </pic:spPr>
                </pic:pic>
              </a:graphicData>
            </a:graphic>
          </wp:inline>
        </w:drawing>
      </w:r>
    </w:p>
    <w:p w14:paraId="05F764F0" w14:textId="77777777" w:rsidR="00123C2F" w:rsidRPr="00B60112" w:rsidRDefault="00123C2F" w:rsidP="00123C2F">
      <w:pPr>
        <w:rPr>
          <w:sz w:val="20"/>
          <w:szCs w:val="20"/>
          <w:lang w:val="en-GB"/>
        </w:rPr>
      </w:pPr>
      <w:r w:rsidRPr="00B60112">
        <w:rPr>
          <w:sz w:val="20"/>
          <w:szCs w:val="20"/>
          <w:lang w:val="en-GB"/>
        </w:rPr>
        <w:t>Note: Grey bars show intra-regional visa restrictiveness whereas black bars respective rates against nationals of other continents.</w:t>
      </w:r>
      <w:r>
        <w:rPr>
          <w:sz w:val="20"/>
          <w:szCs w:val="20"/>
          <w:lang w:val="en-GB"/>
        </w:rPr>
        <w:t xml:space="preserve"> Index </w:t>
      </w:r>
      <w:r w:rsidRPr="00B60112">
        <w:rPr>
          <w:sz w:val="20"/>
          <w:szCs w:val="20"/>
          <w:lang w:val="en-GB"/>
        </w:rPr>
        <w:t xml:space="preserve">represents the share of all country dyads </w:t>
      </w:r>
      <w:r>
        <w:rPr>
          <w:sz w:val="20"/>
          <w:szCs w:val="20"/>
          <w:lang w:val="en-GB"/>
        </w:rPr>
        <w:t xml:space="preserve">- either within or outside a world region - </w:t>
      </w:r>
      <w:r w:rsidRPr="00B60112">
        <w:rPr>
          <w:sz w:val="20"/>
          <w:szCs w:val="20"/>
          <w:lang w:val="en-GB"/>
        </w:rPr>
        <w:t>which have been visa-constrained between 1973 and 2013.</w:t>
      </w:r>
    </w:p>
    <w:p w14:paraId="7EE7F0B9" w14:textId="77777777" w:rsidR="00123C2F" w:rsidRPr="00B60112" w:rsidRDefault="00123C2F" w:rsidP="00123C2F">
      <w:pPr>
        <w:rPr>
          <w:sz w:val="20"/>
          <w:szCs w:val="20"/>
          <w:lang w:val="en-GB"/>
        </w:rPr>
      </w:pPr>
    </w:p>
    <w:p w14:paraId="230AE97D" w14:textId="77777777" w:rsidR="00123C2F" w:rsidRDefault="00123C2F" w:rsidP="00123C2F"/>
    <w:p w14:paraId="74AC12AF" w14:textId="77777777" w:rsidR="00123C2F" w:rsidRPr="00240131" w:rsidRDefault="00123C2F" w:rsidP="00123C2F">
      <w:pPr>
        <w:rPr>
          <w:lang w:val="en-GB"/>
        </w:rPr>
      </w:pPr>
      <w:r w:rsidRPr="00240131">
        <w:rPr>
          <w:b/>
          <w:lang w:val="en-GB"/>
        </w:rPr>
        <w:t xml:space="preserve">Figure </w:t>
      </w:r>
      <w:r>
        <w:rPr>
          <w:b/>
          <w:lang w:val="en-GB"/>
        </w:rPr>
        <w:t>8</w:t>
      </w:r>
      <w:r w:rsidRPr="00240131">
        <w:rPr>
          <w:lang w:val="en-GB"/>
        </w:rPr>
        <w:t xml:space="preserve"> </w:t>
      </w:r>
      <w:r>
        <w:rPr>
          <w:lang w:val="en-GB"/>
        </w:rPr>
        <w:t>Index of i</w:t>
      </w:r>
      <w:r w:rsidRPr="00240131">
        <w:rPr>
          <w:lang w:val="en-GB"/>
        </w:rPr>
        <w:t>nbound visa restrictiveness, 1973</w:t>
      </w:r>
      <w:r>
        <w:rPr>
          <w:lang w:val="en-GB"/>
        </w:rPr>
        <w:t>–</w:t>
      </w:r>
      <w:r w:rsidRPr="00240131">
        <w:rPr>
          <w:lang w:val="en-GB"/>
        </w:rPr>
        <w:t>2013, by continent of destination</w:t>
      </w:r>
    </w:p>
    <w:p w14:paraId="0855BF36" w14:textId="77777777" w:rsidR="00123C2F" w:rsidRDefault="00123C2F" w:rsidP="00123C2F">
      <w:pPr>
        <w:widowControl w:val="0"/>
        <w:spacing w:line="360" w:lineRule="auto"/>
        <w:rPr>
          <w:rFonts w:ascii="Garamond" w:hAnsi="Garamond"/>
          <w:lang w:val="en-GB"/>
        </w:rPr>
      </w:pPr>
      <w:r w:rsidRPr="004645F1">
        <w:rPr>
          <w:noProof/>
        </w:rPr>
        <w:drawing>
          <wp:inline distT="0" distB="0" distL="0" distR="0" wp14:anchorId="5E3FF9BE" wp14:editId="575CD6FF">
            <wp:extent cx="5581650" cy="28575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C952301" w14:textId="77777777" w:rsidR="00123C2F" w:rsidRPr="008C4E3D" w:rsidRDefault="00123C2F" w:rsidP="00123C2F">
      <w:pPr>
        <w:widowControl w:val="0"/>
        <w:spacing w:line="360" w:lineRule="auto"/>
        <w:rPr>
          <w:rFonts w:ascii="Garamond" w:hAnsi="Garamond"/>
          <w:lang w:val="en-GB"/>
        </w:rPr>
      </w:pPr>
      <w:r>
        <w:rPr>
          <w:rFonts w:ascii="Garamond" w:hAnsi="Garamond"/>
          <w:lang w:val="en-GB"/>
        </w:rPr>
        <w:t xml:space="preserve">Note: </w:t>
      </w:r>
      <w:r>
        <w:rPr>
          <w:sz w:val="20"/>
          <w:szCs w:val="20"/>
          <w:lang w:val="en-GB"/>
        </w:rPr>
        <w:t xml:space="preserve">Index </w:t>
      </w:r>
      <w:r w:rsidRPr="00B60112">
        <w:rPr>
          <w:sz w:val="20"/>
          <w:szCs w:val="20"/>
          <w:lang w:val="en-GB"/>
        </w:rPr>
        <w:t xml:space="preserve">represents the share of all </w:t>
      </w:r>
      <w:r>
        <w:rPr>
          <w:sz w:val="20"/>
          <w:szCs w:val="20"/>
          <w:lang w:val="en-GB"/>
        </w:rPr>
        <w:t xml:space="preserve">countries of a world region </w:t>
      </w:r>
      <w:r w:rsidRPr="00B60112">
        <w:rPr>
          <w:sz w:val="20"/>
          <w:szCs w:val="20"/>
          <w:lang w:val="en-GB"/>
        </w:rPr>
        <w:t xml:space="preserve">which have been </w:t>
      </w:r>
      <w:r>
        <w:rPr>
          <w:sz w:val="20"/>
          <w:szCs w:val="20"/>
          <w:lang w:val="en-GB"/>
        </w:rPr>
        <w:t>requesting travels visas from any nationals</w:t>
      </w:r>
      <w:r w:rsidRPr="00B60112">
        <w:rPr>
          <w:sz w:val="20"/>
          <w:szCs w:val="20"/>
          <w:lang w:val="en-GB"/>
        </w:rPr>
        <w:t>.</w:t>
      </w:r>
    </w:p>
    <w:p w14:paraId="606CB387" w14:textId="77777777" w:rsidR="00123C2F" w:rsidRPr="008C4E3D" w:rsidRDefault="00123C2F" w:rsidP="00123C2F">
      <w:pPr>
        <w:widowControl w:val="0"/>
        <w:spacing w:line="360" w:lineRule="auto"/>
        <w:rPr>
          <w:rFonts w:ascii="Garamond" w:hAnsi="Garamond"/>
          <w:lang w:val="en-GB"/>
        </w:rPr>
      </w:pPr>
    </w:p>
    <w:p w14:paraId="45303DE6" w14:textId="77777777" w:rsidR="00123C2F" w:rsidRDefault="00123C2F" w:rsidP="00123C2F">
      <w:pPr>
        <w:rPr>
          <w:b/>
          <w:lang w:val="en-GB"/>
        </w:rPr>
      </w:pPr>
    </w:p>
    <w:p w14:paraId="66C3840F" w14:textId="77777777" w:rsidR="00123C2F" w:rsidRPr="00240131" w:rsidRDefault="00123C2F" w:rsidP="00123C2F">
      <w:pPr>
        <w:rPr>
          <w:lang w:val="en-GB"/>
        </w:rPr>
      </w:pPr>
      <w:r w:rsidRPr="00240131">
        <w:rPr>
          <w:b/>
          <w:lang w:val="en-GB"/>
        </w:rPr>
        <w:t xml:space="preserve">Figure </w:t>
      </w:r>
      <w:r>
        <w:rPr>
          <w:b/>
          <w:lang w:val="en-GB"/>
        </w:rPr>
        <w:t>9</w:t>
      </w:r>
      <w:r w:rsidRPr="00240131">
        <w:rPr>
          <w:lang w:val="en-GB"/>
        </w:rPr>
        <w:t xml:space="preserve"> </w:t>
      </w:r>
      <w:r>
        <w:rPr>
          <w:lang w:val="en-GB"/>
        </w:rPr>
        <w:t>Index of o</w:t>
      </w:r>
      <w:r w:rsidRPr="00240131">
        <w:rPr>
          <w:lang w:val="en-GB"/>
        </w:rPr>
        <w:t>utbound visa restrictiveness, 1973</w:t>
      </w:r>
      <w:r>
        <w:rPr>
          <w:lang w:val="en-GB"/>
        </w:rPr>
        <w:t>–</w:t>
      </w:r>
      <w:r w:rsidRPr="00240131">
        <w:rPr>
          <w:lang w:val="en-GB"/>
        </w:rPr>
        <w:t>2013, by continent of origin</w:t>
      </w:r>
    </w:p>
    <w:p w14:paraId="75AE15AD" w14:textId="77777777" w:rsidR="00123C2F" w:rsidRPr="008C4E3D" w:rsidRDefault="00123C2F" w:rsidP="00123C2F">
      <w:pPr>
        <w:widowControl w:val="0"/>
        <w:spacing w:line="360" w:lineRule="auto"/>
        <w:rPr>
          <w:rFonts w:ascii="Garamond" w:hAnsi="Garamond"/>
          <w:lang w:val="en-GB"/>
        </w:rPr>
      </w:pPr>
      <w:r w:rsidRPr="004645F1">
        <w:rPr>
          <w:noProof/>
          <w:sz w:val="16"/>
          <w:szCs w:val="16"/>
        </w:rPr>
        <w:drawing>
          <wp:inline distT="0" distB="0" distL="0" distR="0" wp14:anchorId="1FB0E0D6" wp14:editId="5FAE304E">
            <wp:extent cx="5671164" cy="3371353"/>
            <wp:effectExtent l="0" t="0" r="6350" b="63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2829312" w14:textId="77777777" w:rsidR="00123C2F" w:rsidRPr="008C4E3D" w:rsidRDefault="00123C2F" w:rsidP="00123C2F">
      <w:pPr>
        <w:widowControl w:val="0"/>
        <w:spacing w:line="360" w:lineRule="auto"/>
        <w:rPr>
          <w:rFonts w:ascii="Garamond" w:hAnsi="Garamond"/>
          <w:lang w:val="en-GB"/>
        </w:rPr>
      </w:pPr>
      <w:r>
        <w:rPr>
          <w:rFonts w:ascii="Garamond" w:hAnsi="Garamond"/>
          <w:lang w:val="en-GB"/>
        </w:rPr>
        <w:t xml:space="preserve">Note: </w:t>
      </w:r>
      <w:r>
        <w:rPr>
          <w:sz w:val="20"/>
          <w:szCs w:val="20"/>
          <w:lang w:val="en-GB"/>
        </w:rPr>
        <w:t xml:space="preserve">Index </w:t>
      </w:r>
      <w:r w:rsidRPr="00B60112">
        <w:rPr>
          <w:sz w:val="20"/>
          <w:szCs w:val="20"/>
          <w:lang w:val="en-GB"/>
        </w:rPr>
        <w:t xml:space="preserve">represents the share of all </w:t>
      </w:r>
      <w:r>
        <w:rPr>
          <w:sz w:val="20"/>
          <w:szCs w:val="20"/>
          <w:lang w:val="en-GB"/>
        </w:rPr>
        <w:t xml:space="preserve">nationals of a world region </w:t>
      </w:r>
      <w:r w:rsidRPr="00B60112">
        <w:rPr>
          <w:sz w:val="20"/>
          <w:szCs w:val="20"/>
          <w:lang w:val="en-GB"/>
        </w:rPr>
        <w:t xml:space="preserve">which </w:t>
      </w:r>
      <w:r>
        <w:rPr>
          <w:sz w:val="20"/>
          <w:szCs w:val="20"/>
          <w:lang w:val="en-GB"/>
        </w:rPr>
        <w:t xml:space="preserve">require a travel visa for entering </w:t>
      </w:r>
      <w:r>
        <w:rPr>
          <w:sz w:val="20"/>
          <w:szCs w:val="20"/>
          <w:lang w:val="en-GB"/>
        </w:rPr>
        <w:lastRenderedPageBreak/>
        <w:t>another country</w:t>
      </w:r>
      <w:r w:rsidRPr="00B60112">
        <w:rPr>
          <w:sz w:val="20"/>
          <w:szCs w:val="20"/>
          <w:lang w:val="en-GB"/>
        </w:rPr>
        <w:t>.</w:t>
      </w:r>
    </w:p>
    <w:p w14:paraId="5650F1E1" w14:textId="77777777" w:rsidR="00123C2F" w:rsidRDefault="00123C2F" w:rsidP="00123C2F">
      <w:pPr>
        <w:widowControl w:val="0"/>
        <w:spacing w:line="360" w:lineRule="auto"/>
        <w:rPr>
          <w:rFonts w:ascii="Garamond" w:hAnsi="Garamond"/>
          <w:lang w:val="en-GB"/>
        </w:rPr>
      </w:pPr>
    </w:p>
    <w:p w14:paraId="7A5C247E" w14:textId="77777777" w:rsidR="00123C2F" w:rsidRPr="00E12A78" w:rsidRDefault="00123C2F" w:rsidP="00123C2F">
      <w:pPr>
        <w:rPr>
          <w:lang w:val="en-GB"/>
        </w:rPr>
      </w:pPr>
      <w:r w:rsidRPr="00E12A78">
        <w:rPr>
          <w:b/>
          <w:lang w:val="en-GB"/>
        </w:rPr>
        <w:t xml:space="preserve">Figure </w:t>
      </w:r>
      <w:r>
        <w:rPr>
          <w:b/>
          <w:lang w:val="en-GB"/>
        </w:rPr>
        <w:t>10</w:t>
      </w:r>
      <w:r w:rsidRPr="00E12A78">
        <w:rPr>
          <w:lang w:val="en-GB"/>
        </w:rPr>
        <w:t xml:space="preserve"> </w:t>
      </w:r>
      <w:r>
        <w:rPr>
          <w:lang w:val="en-GB"/>
        </w:rPr>
        <w:t>Index of o</w:t>
      </w:r>
      <w:r w:rsidRPr="00E12A78">
        <w:rPr>
          <w:lang w:val="en-GB"/>
        </w:rPr>
        <w:t xml:space="preserve">utbound visa restrictiveness </w:t>
      </w:r>
      <w:r>
        <w:rPr>
          <w:lang w:val="en-GB"/>
        </w:rPr>
        <w:t>towards</w:t>
      </w:r>
      <w:r w:rsidRPr="00E12A78">
        <w:rPr>
          <w:lang w:val="en-GB"/>
        </w:rPr>
        <w:t xml:space="preserve"> OECD citizens, 1973</w:t>
      </w:r>
      <w:r>
        <w:rPr>
          <w:lang w:val="en-GB"/>
        </w:rPr>
        <w:t>–</w:t>
      </w:r>
      <w:r w:rsidRPr="00E12A78">
        <w:rPr>
          <w:lang w:val="en-GB"/>
        </w:rPr>
        <w:t xml:space="preserve">2013, by continent of destination </w:t>
      </w:r>
    </w:p>
    <w:p w14:paraId="3BF0FB39" w14:textId="77777777" w:rsidR="00123C2F" w:rsidRPr="008C4E3D" w:rsidRDefault="00123C2F" w:rsidP="00123C2F">
      <w:pPr>
        <w:widowControl w:val="0"/>
        <w:rPr>
          <w:rFonts w:ascii="Garamond" w:hAnsi="Garamond"/>
          <w:b/>
          <w:sz w:val="28"/>
          <w:lang w:val="en-GB"/>
        </w:rPr>
      </w:pPr>
      <w:r w:rsidRPr="008C4E3D">
        <w:rPr>
          <w:rFonts w:ascii="Garamond" w:hAnsi="Garamond"/>
          <w:noProof/>
        </w:rPr>
        <w:drawing>
          <wp:inline distT="0" distB="0" distL="0" distR="0" wp14:anchorId="388013E0" wp14:editId="248755AA">
            <wp:extent cx="5701553" cy="3474720"/>
            <wp:effectExtent l="0" t="0" r="13970" b="1143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6E28084" w14:textId="77777777" w:rsidR="00123C2F" w:rsidRPr="008C4E3D" w:rsidRDefault="00123C2F" w:rsidP="00123C2F">
      <w:pPr>
        <w:widowControl w:val="0"/>
        <w:spacing w:line="360" w:lineRule="auto"/>
        <w:rPr>
          <w:rFonts w:ascii="Garamond" w:hAnsi="Garamond"/>
          <w:lang w:val="en-GB"/>
        </w:rPr>
      </w:pPr>
      <w:r>
        <w:rPr>
          <w:rFonts w:ascii="Garamond" w:hAnsi="Garamond"/>
          <w:lang w:val="en-GB"/>
        </w:rPr>
        <w:t xml:space="preserve">Note: </w:t>
      </w:r>
      <w:r>
        <w:rPr>
          <w:sz w:val="20"/>
          <w:szCs w:val="20"/>
          <w:lang w:val="en-GB"/>
        </w:rPr>
        <w:t xml:space="preserve">Index </w:t>
      </w:r>
      <w:r w:rsidRPr="00B60112">
        <w:rPr>
          <w:sz w:val="20"/>
          <w:szCs w:val="20"/>
          <w:lang w:val="en-GB"/>
        </w:rPr>
        <w:t xml:space="preserve">represents the share of all </w:t>
      </w:r>
      <w:r>
        <w:rPr>
          <w:sz w:val="20"/>
          <w:szCs w:val="20"/>
          <w:lang w:val="en-GB"/>
        </w:rPr>
        <w:t xml:space="preserve">nationals from an OECD country </w:t>
      </w:r>
      <w:r w:rsidRPr="00B60112">
        <w:rPr>
          <w:sz w:val="20"/>
          <w:szCs w:val="20"/>
          <w:lang w:val="en-GB"/>
        </w:rPr>
        <w:t xml:space="preserve">which </w:t>
      </w:r>
      <w:r>
        <w:rPr>
          <w:sz w:val="20"/>
          <w:szCs w:val="20"/>
          <w:lang w:val="en-GB"/>
        </w:rPr>
        <w:t>require a travel visa for entering another country</w:t>
      </w:r>
      <w:r w:rsidRPr="00B60112">
        <w:rPr>
          <w:sz w:val="20"/>
          <w:szCs w:val="20"/>
          <w:lang w:val="en-GB"/>
        </w:rPr>
        <w:t>.</w:t>
      </w:r>
    </w:p>
    <w:p w14:paraId="5A691461" w14:textId="77777777" w:rsidR="00123C2F" w:rsidRDefault="00123C2F" w:rsidP="00123C2F"/>
    <w:p w14:paraId="0C3FB192" w14:textId="77777777" w:rsidR="00123C2F" w:rsidRDefault="00123C2F" w:rsidP="00123C2F"/>
    <w:p w14:paraId="028BE9D6" w14:textId="77777777" w:rsidR="00123C2F" w:rsidRDefault="00123C2F" w:rsidP="00123C2F"/>
    <w:p w14:paraId="4C966845" w14:textId="77777777" w:rsidR="00123C2F" w:rsidRDefault="00123C2F" w:rsidP="00123C2F"/>
    <w:p w14:paraId="412AFB61" w14:textId="77777777" w:rsidR="00123C2F" w:rsidRPr="00E12A78" w:rsidRDefault="00123C2F" w:rsidP="00123C2F">
      <w:pPr>
        <w:rPr>
          <w:lang w:val="en-GB"/>
        </w:rPr>
      </w:pPr>
      <w:r w:rsidRPr="00E12A78">
        <w:rPr>
          <w:b/>
          <w:lang w:val="en-GB"/>
        </w:rPr>
        <w:t>Figure 1</w:t>
      </w:r>
      <w:r>
        <w:rPr>
          <w:b/>
          <w:lang w:val="en-GB"/>
        </w:rPr>
        <w:t>1</w:t>
      </w:r>
      <w:r w:rsidRPr="00E12A78">
        <w:rPr>
          <w:lang w:val="en-GB"/>
        </w:rPr>
        <w:t xml:space="preserve"> </w:t>
      </w:r>
      <w:r>
        <w:rPr>
          <w:lang w:val="en-GB"/>
        </w:rPr>
        <w:t xml:space="preserve">Index of </w:t>
      </w:r>
      <w:r w:rsidRPr="00E12A78">
        <w:rPr>
          <w:lang w:val="en-GB"/>
        </w:rPr>
        <w:t xml:space="preserve">inbound visa restrictiveness </w:t>
      </w:r>
      <w:r>
        <w:rPr>
          <w:lang w:val="en-GB"/>
        </w:rPr>
        <w:t xml:space="preserve">of OECD countries towards </w:t>
      </w:r>
      <w:r w:rsidRPr="00E12A78">
        <w:rPr>
          <w:lang w:val="en-GB"/>
        </w:rPr>
        <w:t>foreign citizens, by continent of origin, 1973</w:t>
      </w:r>
      <w:r>
        <w:rPr>
          <w:lang w:val="en-GB"/>
        </w:rPr>
        <w:t>–</w:t>
      </w:r>
      <w:r w:rsidRPr="00E12A78">
        <w:rPr>
          <w:lang w:val="en-GB"/>
        </w:rPr>
        <w:t>2013</w:t>
      </w:r>
    </w:p>
    <w:p w14:paraId="28FAA0B1" w14:textId="77777777" w:rsidR="00123C2F" w:rsidRDefault="00123C2F" w:rsidP="00123C2F">
      <w:pPr>
        <w:widowControl w:val="0"/>
        <w:rPr>
          <w:rFonts w:ascii="Garamond" w:hAnsi="Garamond"/>
          <w:b/>
          <w:sz w:val="28"/>
          <w:lang w:val="en-GB"/>
        </w:rPr>
      </w:pPr>
      <w:r w:rsidRPr="008C4E3D">
        <w:rPr>
          <w:rFonts w:ascii="Garamond" w:hAnsi="Garamond"/>
          <w:noProof/>
        </w:rPr>
        <w:lastRenderedPageBreak/>
        <w:drawing>
          <wp:inline distT="0" distB="0" distL="0" distR="0" wp14:anchorId="76EE13B3" wp14:editId="2676BC08">
            <wp:extent cx="5494351" cy="3196424"/>
            <wp:effectExtent l="0" t="0" r="17780" b="2984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1F361B8" w14:textId="77777777" w:rsidR="00123C2F" w:rsidRPr="008C4E3D" w:rsidRDefault="00123C2F" w:rsidP="00123C2F">
      <w:pPr>
        <w:widowControl w:val="0"/>
        <w:spacing w:line="360" w:lineRule="auto"/>
        <w:rPr>
          <w:rFonts w:ascii="Garamond" w:hAnsi="Garamond"/>
          <w:lang w:val="en-GB"/>
        </w:rPr>
      </w:pPr>
      <w:r>
        <w:rPr>
          <w:rFonts w:ascii="Garamond" w:hAnsi="Garamond"/>
          <w:lang w:val="en-GB"/>
        </w:rPr>
        <w:t xml:space="preserve">Note: </w:t>
      </w:r>
      <w:r>
        <w:rPr>
          <w:sz w:val="20"/>
          <w:szCs w:val="20"/>
          <w:lang w:val="en-GB"/>
        </w:rPr>
        <w:t xml:space="preserve">Index </w:t>
      </w:r>
      <w:r w:rsidRPr="00B60112">
        <w:rPr>
          <w:sz w:val="20"/>
          <w:szCs w:val="20"/>
          <w:lang w:val="en-GB"/>
        </w:rPr>
        <w:t xml:space="preserve">represents the share of all </w:t>
      </w:r>
      <w:r>
        <w:rPr>
          <w:sz w:val="20"/>
          <w:szCs w:val="20"/>
          <w:lang w:val="en-GB"/>
        </w:rPr>
        <w:t xml:space="preserve">OECD countries </w:t>
      </w:r>
      <w:r w:rsidRPr="00B60112">
        <w:rPr>
          <w:sz w:val="20"/>
          <w:szCs w:val="20"/>
          <w:lang w:val="en-GB"/>
        </w:rPr>
        <w:t xml:space="preserve">which </w:t>
      </w:r>
      <w:r>
        <w:rPr>
          <w:sz w:val="20"/>
          <w:szCs w:val="20"/>
          <w:lang w:val="en-GB"/>
        </w:rPr>
        <w:t>request travel visa from any nationals</w:t>
      </w:r>
      <w:r w:rsidRPr="00B60112">
        <w:rPr>
          <w:sz w:val="20"/>
          <w:szCs w:val="20"/>
          <w:lang w:val="en-GB"/>
        </w:rPr>
        <w:t>.</w:t>
      </w:r>
    </w:p>
    <w:p w14:paraId="60F8AB41" w14:textId="77777777" w:rsidR="00123C2F" w:rsidRPr="008C4E3D" w:rsidRDefault="00123C2F" w:rsidP="00123C2F">
      <w:pPr>
        <w:widowControl w:val="0"/>
        <w:rPr>
          <w:rFonts w:ascii="Garamond" w:hAnsi="Garamond"/>
          <w:b/>
          <w:sz w:val="28"/>
          <w:lang w:val="en-GB"/>
        </w:rPr>
      </w:pPr>
    </w:p>
    <w:p w14:paraId="3ECECD88" w14:textId="77777777" w:rsidR="00123C2F" w:rsidRPr="008C4E3D" w:rsidRDefault="00123C2F" w:rsidP="00123C2F">
      <w:pPr>
        <w:widowControl w:val="0"/>
        <w:rPr>
          <w:rFonts w:ascii="Garamond" w:hAnsi="Garamond"/>
          <w:b/>
          <w:sz w:val="28"/>
          <w:lang w:val="en-GB"/>
        </w:rPr>
      </w:pPr>
    </w:p>
    <w:p w14:paraId="1EAFA9FC" w14:textId="77777777" w:rsidR="00123C2F" w:rsidRPr="00E12A78" w:rsidRDefault="00123C2F" w:rsidP="00123C2F">
      <w:pPr>
        <w:rPr>
          <w:lang w:val="en-GB"/>
        </w:rPr>
      </w:pPr>
      <w:r w:rsidRPr="00E12A78">
        <w:rPr>
          <w:b/>
          <w:lang w:val="en-GB"/>
        </w:rPr>
        <w:t>Figure 1</w:t>
      </w:r>
      <w:r>
        <w:rPr>
          <w:b/>
          <w:lang w:val="en-GB"/>
        </w:rPr>
        <w:t>2</w:t>
      </w:r>
      <w:r w:rsidRPr="00E12A78">
        <w:rPr>
          <w:lang w:val="en-GB"/>
        </w:rPr>
        <w:t xml:space="preserve"> Internal vs </w:t>
      </w:r>
      <w:r>
        <w:rPr>
          <w:lang w:val="en-GB"/>
        </w:rPr>
        <w:t>e</w:t>
      </w:r>
      <w:r w:rsidRPr="00E12A78">
        <w:rPr>
          <w:lang w:val="en-GB"/>
        </w:rPr>
        <w:t xml:space="preserve">xternal </w:t>
      </w:r>
      <w:r>
        <w:rPr>
          <w:lang w:val="en-GB"/>
        </w:rPr>
        <w:t>i</w:t>
      </w:r>
      <w:r w:rsidRPr="00E12A78">
        <w:rPr>
          <w:lang w:val="en-GB"/>
        </w:rPr>
        <w:t xml:space="preserve">nbound </w:t>
      </w:r>
      <w:r>
        <w:rPr>
          <w:lang w:val="en-GB"/>
        </w:rPr>
        <w:t>v</w:t>
      </w:r>
      <w:r w:rsidRPr="00E12A78">
        <w:rPr>
          <w:lang w:val="en-GB"/>
        </w:rPr>
        <w:t xml:space="preserve">isa </w:t>
      </w:r>
      <w:r>
        <w:rPr>
          <w:lang w:val="en-GB"/>
        </w:rPr>
        <w:t>r</w:t>
      </w:r>
      <w:r w:rsidRPr="00E12A78">
        <w:rPr>
          <w:lang w:val="en-GB"/>
        </w:rPr>
        <w:t xml:space="preserve">estrictiveness of </w:t>
      </w:r>
      <w:r>
        <w:rPr>
          <w:lang w:val="en-GB"/>
        </w:rPr>
        <w:t>r</w:t>
      </w:r>
      <w:r w:rsidRPr="00E12A78">
        <w:rPr>
          <w:lang w:val="en-GB"/>
        </w:rPr>
        <w:t xml:space="preserve">egional </w:t>
      </w:r>
      <w:r>
        <w:rPr>
          <w:lang w:val="en-GB"/>
        </w:rPr>
        <w:t>e</w:t>
      </w:r>
      <w:r w:rsidRPr="00E12A78">
        <w:rPr>
          <w:lang w:val="en-GB"/>
        </w:rPr>
        <w:t xml:space="preserve">conomic </w:t>
      </w:r>
      <w:r>
        <w:rPr>
          <w:lang w:val="en-GB"/>
        </w:rPr>
        <w:t>b</w:t>
      </w:r>
      <w:r w:rsidRPr="00E12A78">
        <w:rPr>
          <w:lang w:val="en-GB"/>
        </w:rPr>
        <w:t>locs</w:t>
      </w:r>
      <w:r>
        <w:rPr>
          <w:lang w:val="en-GB"/>
        </w:rPr>
        <w:t xml:space="preserve"> </w:t>
      </w:r>
    </w:p>
    <w:p w14:paraId="5418D846" w14:textId="77777777" w:rsidR="00123C2F" w:rsidRPr="008C4E3D" w:rsidRDefault="00123C2F" w:rsidP="00123C2F">
      <w:pPr>
        <w:rPr>
          <w:rFonts w:ascii="Garamond" w:hAnsi="Garamond"/>
          <w:lang w:val="en-GB"/>
        </w:rPr>
      </w:pPr>
      <w:r w:rsidRPr="008C4E3D">
        <w:rPr>
          <w:rFonts w:ascii="Garamond" w:hAnsi="Garamond"/>
          <w:noProof/>
        </w:rPr>
        <w:drawing>
          <wp:inline distT="0" distB="0" distL="0" distR="0" wp14:anchorId="34183814" wp14:editId="202C2172">
            <wp:extent cx="5697541" cy="3450866"/>
            <wp:effectExtent l="0" t="0" r="17780" b="1651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82DEA51" w14:textId="77777777" w:rsidR="00123C2F" w:rsidRPr="008C4E3D" w:rsidRDefault="00123C2F" w:rsidP="00123C2F">
      <w:r w:rsidRPr="008C4E3D">
        <w:t xml:space="preserve">Note: </w:t>
      </w:r>
      <w:r w:rsidRPr="00271CCD">
        <w:rPr>
          <w:sz w:val="18"/>
          <w:szCs w:val="18"/>
        </w:rPr>
        <w:t xml:space="preserve">AFTA: ASEAN Free Trade Area; APTA: Asia Pacific Trade Agreement; CACM: Central American Common Market; CAN: Andean Community; CARICOM: Caribbean Community; CEFTA: Central European Free Trade Agreement; CEMAC: Economic and Monetary Community of Central Africa; CIS: Commonwealth of Independent States Free Trade Agreement; COMESA: Common Market for Eastern and Southern Africa; EAC: East African Community; ECOWAS: Economic Community of West African States; EFTA: European Free Trade Association; EU: European Union; GCC: Gulf </w:t>
      </w:r>
      <w:r w:rsidRPr="00271CCD">
        <w:rPr>
          <w:sz w:val="18"/>
          <w:szCs w:val="18"/>
        </w:rPr>
        <w:lastRenderedPageBreak/>
        <w:t>Cooperation Council; LAIA: Latin American Integration Association; MERCOSUR: Mercado Común del Sur - Common market of the South; NAFTA: North American Free Trade Agreement; PAFTA: Pan-Arab Free Trade Area; SACU: Southern African Customs Union; SADC: Southern African Development Community; SAFTA: South Asian Free Trade Agreement</w:t>
      </w:r>
    </w:p>
    <w:p w14:paraId="74830D0C" w14:textId="77777777" w:rsidR="00123C2F" w:rsidRPr="00E12A78" w:rsidRDefault="00123C2F" w:rsidP="00123C2F">
      <w:pPr>
        <w:rPr>
          <w:i/>
          <w:lang w:val="en-GB"/>
        </w:rPr>
      </w:pPr>
      <w:r w:rsidRPr="000868C5">
        <w:rPr>
          <w:b/>
          <w:lang w:val="en-GB"/>
        </w:rPr>
        <w:t>Figure 1</w:t>
      </w:r>
      <w:r>
        <w:rPr>
          <w:b/>
          <w:lang w:val="en-GB"/>
        </w:rPr>
        <w:t>3</w:t>
      </w:r>
      <w:r w:rsidRPr="00E12A78">
        <w:rPr>
          <w:lang w:val="en-GB"/>
        </w:rPr>
        <w:t xml:space="preserve"> Regional integration and internal vs external visa policy changes</w:t>
      </w:r>
      <w:r>
        <w:rPr>
          <w:lang w:val="en-GB"/>
        </w:rPr>
        <w:t xml:space="preserve"> (visa restrictiveness index)</w:t>
      </w:r>
    </w:p>
    <w:p w14:paraId="62988D94" w14:textId="77777777" w:rsidR="00123C2F" w:rsidRPr="008C4E3D" w:rsidRDefault="00123C2F" w:rsidP="00123C2F">
      <w:pPr>
        <w:widowControl w:val="0"/>
        <w:ind w:left="720" w:hanging="720"/>
        <w:rPr>
          <w:rFonts w:ascii="Garamond" w:hAnsi="Garamond" w:cs="Calibri"/>
          <w:b/>
          <w:lang w:val="en-GB"/>
        </w:rPr>
      </w:pPr>
      <w:r w:rsidRPr="008C4E3D">
        <w:rPr>
          <w:rFonts w:ascii="Garamond" w:hAnsi="Garamond"/>
          <w:noProof/>
        </w:rPr>
        <w:drawing>
          <wp:inline distT="0" distB="0" distL="0" distR="0" wp14:anchorId="580BE582" wp14:editId="5B7096EC">
            <wp:extent cx="4373218" cy="2838616"/>
            <wp:effectExtent l="0" t="0" r="27940" b="1905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17C494D" w14:textId="77777777" w:rsidR="00123C2F" w:rsidRPr="008C4E3D" w:rsidRDefault="00123C2F" w:rsidP="00123C2F">
      <w:pPr>
        <w:widowControl w:val="0"/>
        <w:ind w:left="720" w:hanging="720"/>
        <w:rPr>
          <w:rFonts w:ascii="Garamond" w:hAnsi="Garamond" w:cs="Calibri"/>
          <w:b/>
          <w:lang w:val="en-GB"/>
        </w:rPr>
      </w:pPr>
      <w:r w:rsidRPr="008C4E3D">
        <w:rPr>
          <w:rFonts w:ascii="Garamond" w:hAnsi="Garamond"/>
          <w:noProof/>
        </w:rPr>
        <w:drawing>
          <wp:inline distT="0" distB="0" distL="0" distR="0" wp14:anchorId="095ACEC1" wp14:editId="7BBA6E9E">
            <wp:extent cx="4929809" cy="2679590"/>
            <wp:effectExtent l="0" t="0" r="23495" b="2603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814BCFA" w14:textId="77777777" w:rsidR="00123C2F" w:rsidRDefault="00123C2F" w:rsidP="00123C2F">
      <w:pPr>
        <w:widowControl w:val="0"/>
        <w:ind w:left="720" w:hanging="720"/>
        <w:rPr>
          <w:rFonts w:ascii="Garamond" w:hAnsi="Garamond"/>
          <w:lang w:val="en-GB"/>
        </w:rPr>
      </w:pPr>
      <w:r w:rsidRPr="008C4E3D">
        <w:rPr>
          <w:rFonts w:ascii="Garamond" w:hAnsi="Garamond"/>
          <w:noProof/>
        </w:rPr>
        <w:lastRenderedPageBreak/>
        <w:drawing>
          <wp:inline distT="0" distB="0" distL="0" distR="0" wp14:anchorId="3A329F8E" wp14:editId="431FE3AD">
            <wp:extent cx="4794637" cy="2615980"/>
            <wp:effectExtent l="0" t="0" r="25400" b="1333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EA2B0E3" w14:textId="77777777" w:rsidR="00123C2F" w:rsidRDefault="00123C2F" w:rsidP="00123C2F">
      <w:pPr>
        <w:widowControl w:val="0"/>
        <w:ind w:left="720" w:hanging="720"/>
        <w:rPr>
          <w:rFonts w:ascii="Garamond" w:hAnsi="Garamond"/>
          <w:lang w:val="en-GB"/>
        </w:rPr>
      </w:pPr>
    </w:p>
    <w:p w14:paraId="4268EE26" w14:textId="77777777" w:rsidR="00123C2F" w:rsidRDefault="00123C2F" w:rsidP="00123C2F">
      <w:pPr>
        <w:rPr>
          <w:lang w:val="en-GB"/>
        </w:rPr>
      </w:pPr>
      <w:r w:rsidRPr="00203DEF">
        <w:rPr>
          <w:b/>
          <w:lang w:val="en-GB"/>
        </w:rPr>
        <w:t>Figure 1</w:t>
      </w:r>
      <w:r>
        <w:rPr>
          <w:b/>
          <w:lang w:val="en-GB"/>
        </w:rPr>
        <w:t>4</w:t>
      </w:r>
      <w:r>
        <w:rPr>
          <w:lang w:val="en-GB"/>
        </w:rPr>
        <w:t xml:space="preserve"> Evolution of exit restrictions on foreigners and citizens, 1973–2008, N=211 </w:t>
      </w:r>
    </w:p>
    <w:p w14:paraId="4E85010B" w14:textId="77777777" w:rsidR="00123C2F" w:rsidRDefault="00123C2F" w:rsidP="00123C2F">
      <w:pPr>
        <w:widowControl w:val="0"/>
        <w:spacing w:line="360" w:lineRule="auto"/>
        <w:rPr>
          <w:rFonts w:ascii="Garamond" w:hAnsi="Garamond"/>
          <w:lang w:val="en-GB"/>
        </w:rPr>
      </w:pPr>
      <w:r>
        <w:rPr>
          <w:noProof/>
        </w:rPr>
        <w:drawing>
          <wp:inline distT="0" distB="0" distL="0" distR="0" wp14:anchorId="396E3C90" wp14:editId="55163C8C">
            <wp:extent cx="5693134" cy="3415880"/>
            <wp:effectExtent l="0" t="0" r="3175" b="1333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F85E9A5" w14:textId="77777777" w:rsidR="00123C2F" w:rsidRDefault="00123C2F" w:rsidP="00123C2F">
      <w:pPr>
        <w:widowControl w:val="0"/>
        <w:ind w:left="720" w:hanging="720"/>
        <w:rPr>
          <w:rFonts w:ascii="Garamond" w:hAnsi="Garamond"/>
          <w:lang w:val="en-GB"/>
        </w:rPr>
      </w:pPr>
    </w:p>
    <w:p w14:paraId="2F61594D" w14:textId="77777777" w:rsidR="00123C2F" w:rsidRPr="00E12A78" w:rsidRDefault="00123C2F" w:rsidP="00123C2F">
      <w:pPr>
        <w:rPr>
          <w:i/>
          <w:color w:val="auto"/>
          <w:sz w:val="24"/>
          <w:lang w:val="en-GB"/>
        </w:rPr>
      </w:pPr>
      <w:r w:rsidRPr="000868C5">
        <w:rPr>
          <w:b/>
          <w:color w:val="auto"/>
          <w:sz w:val="24"/>
          <w:lang w:val="en-GB"/>
        </w:rPr>
        <w:t>Figure 1</w:t>
      </w:r>
      <w:r>
        <w:rPr>
          <w:b/>
          <w:color w:val="auto"/>
          <w:sz w:val="24"/>
          <w:lang w:val="en-GB"/>
        </w:rPr>
        <w:t>5</w:t>
      </w:r>
      <w:r w:rsidRPr="00E12A78">
        <w:rPr>
          <w:color w:val="auto"/>
          <w:sz w:val="24"/>
          <w:lang w:val="en-GB"/>
        </w:rPr>
        <w:t xml:space="preserve"> </w:t>
      </w:r>
      <w:r>
        <w:rPr>
          <w:color w:val="auto"/>
          <w:sz w:val="24"/>
          <w:lang w:val="en-GB"/>
        </w:rPr>
        <w:t>Evolution of e</w:t>
      </w:r>
      <w:r w:rsidRPr="00E12A78">
        <w:rPr>
          <w:color w:val="auto"/>
          <w:sz w:val="24"/>
          <w:lang w:val="en-GB"/>
        </w:rPr>
        <w:t>xit restrictiveness, 1973</w:t>
      </w:r>
      <w:r>
        <w:rPr>
          <w:color w:val="auto"/>
          <w:sz w:val="24"/>
          <w:lang w:val="en-GB"/>
        </w:rPr>
        <w:t>–</w:t>
      </w:r>
      <w:r w:rsidRPr="00E12A78">
        <w:rPr>
          <w:color w:val="auto"/>
          <w:sz w:val="24"/>
          <w:lang w:val="en-GB"/>
        </w:rPr>
        <w:t>2008, by continent</w:t>
      </w:r>
    </w:p>
    <w:p w14:paraId="44ABAA33" w14:textId="77777777" w:rsidR="00123C2F" w:rsidRPr="008C4E3D" w:rsidRDefault="00123C2F" w:rsidP="00123C2F">
      <w:pPr>
        <w:rPr>
          <w:rFonts w:ascii="Garamond" w:hAnsi="Garamond"/>
          <w:b/>
          <w:sz w:val="28"/>
          <w:lang w:val="en-GB"/>
        </w:rPr>
      </w:pPr>
      <w:r w:rsidRPr="008C4E3D">
        <w:rPr>
          <w:rFonts w:ascii="Garamond" w:hAnsi="Garamond"/>
          <w:noProof/>
        </w:rPr>
        <w:lastRenderedPageBreak/>
        <w:drawing>
          <wp:inline distT="0" distB="0" distL="0" distR="0" wp14:anchorId="511DB7B3" wp14:editId="7C1D3CFE">
            <wp:extent cx="5680066" cy="3355450"/>
            <wp:effectExtent l="0" t="0" r="16510" b="1651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8AD4E75" w14:textId="77777777" w:rsidR="00123C2F" w:rsidRPr="008C4E3D" w:rsidRDefault="00123C2F" w:rsidP="00123C2F">
      <w:pPr>
        <w:rPr>
          <w:rFonts w:ascii="Garamond" w:hAnsi="Garamond"/>
          <w:b/>
          <w:sz w:val="28"/>
          <w:lang w:val="en-GB"/>
        </w:rPr>
      </w:pPr>
    </w:p>
    <w:p w14:paraId="7BA78F81" w14:textId="77777777" w:rsidR="00123C2F" w:rsidRDefault="00123C2F" w:rsidP="00123C2F">
      <w:pPr>
        <w:widowControl w:val="0"/>
        <w:ind w:left="720" w:hanging="720"/>
        <w:rPr>
          <w:rFonts w:ascii="Garamond" w:hAnsi="Garamond"/>
          <w:lang w:val="en-GB"/>
        </w:rPr>
      </w:pPr>
    </w:p>
    <w:p w14:paraId="6639401F" w14:textId="77777777" w:rsidR="00123C2F" w:rsidRDefault="00123C2F" w:rsidP="00123C2F">
      <w:pPr>
        <w:widowControl w:val="0"/>
        <w:ind w:left="720" w:hanging="720"/>
        <w:rPr>
          <w:rFonts w:ascii="Garamond" w:hAnsi="Garamond"/>
          <w:lang w:val="en-GB"/>
        </w:rPr>
      </w:pPr>
    </w:p>
    <w:p w14:paraId="3D5DD3A2" w14:textId="77777777" w:rsidR="00123C2F" w:rsidRDefault="00123C2F" w:rsidP="00123C2F">
      <w:pPr>
        <w:widowControl w:val="0"/>
        <w:ind w:left="720" w:hanging="720"/>
        <w:rPr>
          <w:rFonts w:ascii="Garamond" w:hAnsi="Garamond"/>
          <w:lang w:val="en-GB"/>
        </w:rPr>
      </w:pPr>
    </w:p>
    <w:p w14:paraId="538CB6AE" w14:textId="77777777" w:rsidR="00123C2F" w:rsidRPr="008C4E3D" w:rsidRDefault="00123C2F" w:rsidP="00123C2F">
      <w:pPr>
        <w:rPr>
          <w:lang w:val="en-GB"/>
        </w:rPr>
      </w:pPr>
      <w:r w:rsidRPr="008C4E3D">
        <w:rPr>
          <w:b/>
          <w:lang w:val="en-GB"/>
        </w:rPr>
        <w:t xml:space="preserve">Figure </w:t>
      </w:r>
      <w:r>
        <w:rPr>
          <w:b/>
          <w:lang w:val="en-GB"/>
        </w:rPr>
        <w:t>16</w:t>
      </w:r>
      <w:r>
        <w:rPr>
          <w:lang w:val="en-GB"/>
        </w:rPr>
        <w:t xml:space="preserve"> Exit restrictiveness</w:t>
      </w:r>
      <w:r w:rsidRPr="008C4E3D">
        <w:rPr>
          <w:lang w:val="en-GB"/>
        </w:rPr>
        <w:t>: (i) 1973</w:t>
      </w:r>
      <w:r>
        <w:rPr>
          <w:lang w:val="en-GB"/>
        </w:rPr>
        <w:t>–</w:t>
      </w:r>
      <w:r w:rsidRPr="008C4E3D">
        <w:rPr>
          <w:lang w:val="en-GB"/>
        </w:rPr>
        <w:t>1982, (ii) 1983</w:t>
      </w:r>
      <w:r>
        <w:rPr>
          <w:lang w:val="en-GB"/>
        </w:rPr>
        <w:t>–</w:t>
      </w:r>
      <w:r w:rsidRPr="008C4E3D">
        <w:rPr>
          <w:lang w:val="en-GB"/>
        </w:rPr>
        <w:t>1992, (iii) 1993</w:t>
      </w:r>
      <w:r>
        <w:rPr>
          <w:lang w:val="en-GB"/>
        </w:rPr>
        <w:t>–</w:t>
      </w:r>
      <w:r w:rsidRPr="008C4E3D">
        <w:rPr>
          <w:lang w:val="en-GB"/>
        </w:rPr>
        <w:t>2002, (iv) 2003</w:t>
      </w:r>
      <w:r>
        <w:rPr>
          <w:lang w:val="en-GB"/>
        </w:rPr>
        <w:t>–</w:t>
      </w:r>
      <w:r w:rsidRPr="008C4E3D">
        <w:rPr>
          <w:lang w:val="en-GB"/>
        </w:rPr>
        <w:t>2008</w:t>
      </w:r>
    </w:p>
    <w:p w14:paraId="58492054" w14:textId="77777777" w:rsidR="00123C2F" w:rsidRPr="008C4E3D" w:rsidRDefault="00123C2F" w:rsidP="00123C2F">
      <w:pPr>
        <w:rPr>
          <w:lang w:val="en-GB"/>
        </w:rPr>
      </w:pPr>
      <w:r w:rsidRPr="004645F1">
        <w:rPr>
          <w:noProof/>
        </w:rPr>
        <mc:AlternateContent>
          <mc:Choice Requires="wps">
            <w:drawing>
              <wp:anchor distT="0" distB="0" distL="114300" distR="114300" simplePos="0" relativeHeight="251667456" behindDoc="0" locked="0" layoutInCell="1" allowOverlap="1" wp14:anchorId="08B9DCDB" wp14:editId="5D5A6558">
                <wp:simplePos x="0" y="0"/>
                <wp:positionH relativeFrom="margin">
                  <wp:posOffset>2142270</wp:posOffset>
                </wp:positionH>
                <wp:positionV relativeFrom="paragraph">
                  <wp:posOffset>1827254</wp:posOffset>
                </wp:positionV>
                <wp:extent cx="783772" cy="380011"/>
                <wp:effectExtent l="0" t="0" r="0" b="1270"/>
                <wp:wrapNone/>
                <wp:docPr id="15" name="Text Box 15"/>
                <wp:cNvGraphicFramePr/>
                <a:graphic xmlns:a="http://schemas.openxmlformats.org/drawingml/2006/main">
                  <a:graphicData uri="http://schemas.microsoft.com/office/word/2010/wordprocessingShape">
                    <wps:wsp>
                      <wps:cNvSpPr txBox="1"/>
                      <wps:spPr>
                        <a:xfrm>
                          <a:off x="0" y="0"/>
                          <a:ext cx="783772" cy="3800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89E0B9" w14:textId="77777777" w:rsidR="00123C2F" w:rsidRPr="00465973" w:rsidRDefault="00123C2F" w:rsidP="00123C2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597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1970s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4" type="#_x0000_t202" style="position:absolute;left:0;text-align:left;margin-left:168.7pt;margin-top:143.9pt;width:61.7pt;height:29.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" fillcolor="white [3201]" stroked="f" strokeweight=".5pt">
                <v:textbox>
                  <w:txbxContent>
                    <w:p w14:paraId="3D89E0B9" w14:textId="77777777" w:rsidR="00123C2F" w:rsidRPr="00465973" w:rsidRDefault="00123C2F" w:rsidP="00123C2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597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1970s</w:t>
                      </w:r>
                    </w:p>
                  </w:txbxContent>
                </v:textbox>
                <w10:wrap anchorx="margin"/>
              </v:shape>
            </w:pict>
          </mc:Fallback>
        </mc:AlternateContent>
      </w:r>
      <w:r w:rsidRPr="004645F1">
        <w:rPr>
          <w:noProof/>
        </w:rPr>
        <w:drawing>
          <wp:inline distT="0" distB="0" distL="0" distR="0" wp14:anchorId="6FEECC1D" wp14:editId="37196AFF">
            <wp:extent cx="5669280" cy="2243660"/>
            <wp:effectExtent l="19050" t="19050" r="26670" b="234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8078" cy="2270887"/>
                    </a:xfrm>
                    <a:prstGeom prst="rect">
                      <a:avLst/>
                    </a:prstGeom>
                    <a:ln>
                      <a:solidFill>
                        <a:schemeClr val="tx1"/>
                      </a:solidFill>
                    </a:ln>
                  </pic:spPr>
                </pic:pic>
              </a:graphicData>
            </a:graphic>
          </wp:inline>
        </w:drawing>
      </w:r>
    </w:p>
    <w:p w14:paraId="086A1EAB" w14:textId="77777777" w:rsidR="00123C2F" w:rsidRPr="008C4E3D" w:rsidRDefault="00123C2F" w:rsidP="00123C2F">
      <w:pPr>
        <w:rPr>
          <w:lang w:val="en-GB"/>
        </w:rPr>
      </w:pPr>
      <w:r w:rsidRPr="004645F1">
        <w:rPr>
          <w:noProof/>
        </w:rPr>
        <w:lastRenderedPageBreak/>
        <mc:AlternateContent>
          <mc:Choice Requires="wps">
            <w:drawing>
              <wp:anchor distT="0" distB="0" distL="114300" distR="114300" simplePos="0" relativeHeight="251668480" behindDoc="0" locked="0" layoutInCell="1" allowOverlap="1" wp14:anchorId="652A9938" wp14:editId="2E44D85B">
                <wp:simplePos x="0" y="0"/>
                <wp:positionH relativeFrom="margin">
                  <wp:posOffset>2142076</wp:posOffset>
                </wp:positionH>
                <wp:positionV relativeFrom="paragraph">
                  <wp:posOffset>1875210</wp:posOffset>
                </wp:positionV>
                <wp:extent cx="831273" cy="296867"/>
                <wp:effectExtent l="0" t="0" r="6985" b="8255"/>
                <wp:wrapNone/>
                <wp:docPr id="22" name="Text Box 22"/>
                <wp:cNvGraphicFramePr/>
                <a:graphic xmlns:a="http://schemas.openxmlformats.org/drawingml/2006/main">
                  <a:graphicData uri="http://schemas.microsoft.com/office/word/2010/wordprocessingShape">
                    <wps:wsp>
                      <wps:cNvSpPr txBox="1"/>
                      <wps:spPr>
                        <a:xfrm>
                          <a:off x="0" y="0"/>
                          <a:ext cx="831273" cy="2968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B77417" w14:textId="77777777" w:rsidR="00123C2F" w:rsidRPr="00465973" w:rsidRDefault="00123C2F" w:rsidP="00123C2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198</w:t>
                            </w:r>
                            <w:r w:rsidRPr="0046597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left:0;text-align:left;margin-left:168.65pt;margin-top:147.65pt;width:65.45pt;height:23.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" fillcolor="white [3201]" stroked="f" strokeweight=".5pt">
                <v:textbox>
                  <w:txbxContent>
                    <w:p w14:paraId="3BB77417" w14:textId="77777777" w:rsidR="00123C2F" w:rsidRPr="00465973" w:rsidRDefault="00123C2F" w:rsidP="00123C2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198</w:t>
                      </w:r>
                      <w:r w:rsidRPr="0046597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0s</w:t>
                      </w:r>
                    </w:p>
                  </w:txbxContent>
                </v:textbox>
                <w10:wrap anchorx="margin"/>
              </v:shape>
            </w:pict>
          </mc:Fallback>
        </mc:AlternateContent>
      </w:r>
      <w:r w:rsidRPr="004645F1">
        <w:rPr>
          <w:noProof/>
        </w:rPr>
        <w:drawing>
          <wp:inline distT="0" distB="0" distL="0" distR="0" wp14:anchorId="222CDAD3" wp14:editId="2DD39A3C">
            <wp:extent cx="5661328" cy="2240514"/>
            <wp:effectExtent l="19050" t="19050" r="15875" b="266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4218" cy="2277276"/>
                    </a:xfrm>
                    <a:prstGeom prst="rect">
                      <a:avLst/>
                    </a:prstGeom>
                    <a:ln>
                      <a:solidFill>
                        <a:schemeClr val="tx1"/>
                      </a:solidFill>
                    </a:ln>
                  </pic:spPr>
                </pic:pic>
              </a:graphicData>
            </a:graphic>
          </wp:inline>
        </w:drawing>
      </w:r>
    </w:p>
    <w:p w14:paraId="6A274C07" w14:textId="77777777" w:rsidR="00123C2F" w:rsidRPr="008C4E3D" w:rsidRDefault="00123C2F" w:rsidP="00123C2F">
      <w:pPr>
        <w:rPr>
          <w:lang w:val="en-GB"/>
        </w:rPr>
      </w:pPr>
      <w:r w:rsidRPr="004645F1">
        <w:rPr>
          <w:noProof/>
        </w:rPr>
        <mc:AlternateContent>
          <mc:Choice Requires="wps">
            <w:drawing>
              <wp:anchor distT="0" distB="0" distL="114300" distR="114300" simplePos="0" relativeHeight="251669504" behindDoc="0" locked="0" layoutInCell="1" allowOverlap="1" wp14:anchorId="29D0B183" wp14:editId="4636AD88">
                <wp:simplePos x="0" y="0"/>
                <wp:positionH relativeFrom="margin">
                  <wp:posOffset>2174875</wp:posOffset>
                </wp:positionH>
                <wp:positionV relativeFrom="paragraph">
                  <wp:posOffset>1847574</wp:posOffset>
                </wp:positionV>
                <wp:extent cx="795646" cy="344385"/>
                <wp:effectExtent l="0" t="0" r="5080" b="0"/>
                <wp:wrapNone/>
                <wp:docPr id="33" name="Text Box 33"/>
                <wp:cNvGraphicFramePr/>
                <a:graphic xmlns:a="http://schemas.openxmlformats.org/drawingml/2006/main">
                  <a:graphicData uri="http://schemas.microsoft.com/office/word/2010/wordprocessingShape">
                    <wps:wsp>
                      <wps:cNvSpPr txBox="1"/>
                      <wps:spPr>
                        <a:xfrm>
                          <a:off x="0" y="0"/>
                          <a:ext cx="795646" cy="344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7D4545" w14:textId="77777777" w:rsidR="00123C2F" w:rsidRPr="00465973" w:rsidRDefault="00123C2F" w:rsidP="00123C2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199</w:t>
                            </w:r>
                            <w:r w:rsidRPr="0046597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6" type="#_x0000_t202" style="position:absolute;left:0;text-align:left;margin-left:171.25pt;margin-top:145.5pt;width:62.65pt;height:27.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" fillcolor="white [3201]" stroked="f" strokeweight=".5pt">
                <v:textbox>
                  <w:txbxContent>
                    <w:p w14:paraId="3A7D4545" w14:textId="77777777" w:rsidR="00123C2F" w:rsidRPr="00465973" w:rsidRDefault="00123C2F" w:rsidP="00123C2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199</w:t>
                      </w:r>
                      <w:r w:rsidRPr="0046597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0s</w:t>
                      </w:r>
                    </w:p>
                  </w:txbxContent>
                </v:textbox>
                <w10:wrap anchorx="margin"/>
              </v:shape>
            </w:pict>
          </mc:Fallback>
        </mc:AlternateContent>
      </w:r>
      <w:r w:rsidRPr="004645F1">
        <w:rPr>
          <w:noProof/>
        </w:rPr>
        <w:drawing>
          <wp:inline distT="0" distB="0" distL="0" distR="0" wp14:anchorId="3AAC0410" wp14:editId="7424A27D">
            <wp:extent cx="5659334" cy="2234317"/>
            <wp:effectExtent l="19050" t="19050" r="17780" b="139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2406" cy="2263166"/>
                    </a:xfrm>
                    <a:prstGeom prst="rect">
                      <a:avLst/>
                    </a:prstGeom>
                    <a:ln>
                      <a:solidFill>
                        <a:schemeClr val="tx1"/>
                      </a:solidFill>
                    </a:ln>
                  </pic:spPr>
                </pic:pic>
              </a:graphicData>
            </a:graphic>
          </wp:inline>
        </w:drawing>
      </w:r>
    </w:p>
    <w:p w14:paraId="009C9472" w14:textId="77777777" w:rsidR="00123C2F" w:rsidRPr="00D23F98" w:rsidRDefault="00123C2F" w:rsidP="00123C2F">
      <w:pPr>
        <w:rPr>
          <w:lang w:val="en-GB"/>
        </w:rPr>
      </w:pPr>
      <w:r w:rsidRPr="004645F1">
        <w:rPr>
          <w:noProof/>
        </w:rPr>
        <mc:AlternateContent>
          <mc:Choice Requires="wps">
            <w:drawing>
              <wp:anchor distT="0" distB="0" distL="114300" distR="114300" simplePos="0" relativeHeight="251670528" behindDoc="0" locked="0" layoutInCell="1" allowOverlap="1" wp14:anchorId="3C7A9CF5" wp14:editId="46E42D1C">
                <wp:simplePos x="0" y="0"/>
                <wp:positionH relativeFrom="margin">
                  <wp:posOffset>2266094</wp:posOffset>
                </wp:positionH>
                <wp:positionV relativeFrom="paragraph">
                  <wp:posOffset>1830401</wp:posOffset>
                </wp:positionV>
                <wp:extent cx="807027" cy="332419"/>
                <wp:effectExtent l="0" t="0" r="0" b="0"/>
                <wp:wrapNone/>
                <wp:docPr id="34" name="Text Box 34"/>
                <wp:cNvGraphicFramePr/>
                <a:graphic xmlns:a="http://schemas.openxmlformats.org/drawingml/2006/main">
                  <a:graphicData uri="http://schemas.microsoft.com/office/word/2010/wordprocessingShape">
                    <wps:wsp>
                      <wps:cNvSpPr txBox="1"/>
                      <wps:spPr>
                        <a:xfrm>
                          <a:off x="0" y="0"/>
                          <a:ext cx="807027" cy="3324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285410" w14:textId="77777777" w:rsidR="00123C2F" w:rsidRPr="00465973" w:rsidRDefault="00123C2F" w:rsidP="00123C2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w:t>
                            </w:r>
                            <w:r w:rsidRPr="0046597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7" type="#_x0000_t202" style="position:absolute;left:0;text-align:left;margin-left:178.45pt;margin-top:144.15pt;width:63.55pt;height:26.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" fillcolor="white [3201]" stroked="f" strokeweight=".5pt">
                <v:textbox>
                  <w:txbxContent>
                    <w:p w14:paraId="44285410" w14:textId="77777777" w:rsidR="00123C2F" w:rsidRPr="00465973" w:rsidRDefault="00123C2F" w:rsidP="00123C2F">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w:t>
                      </w:r>
                      <w:r w:rsidRPr="0046597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0s</w:t>
                      </w:r>
                    </w:p>
                  </w:txbxContent>
                </v:textbox>
                <w10:wrap anchorx="margin"/>
              </v:shape>
            </w:pict>
          </mc:Fallback>
        </mc:AlternateContent>
      </w:r>
      <w:r w:rsidRPr="004645F1">
        <w:rPr>
          <w:noProof/>
        </w:rPr>
        <w:drawing>
          <wp:inline distT="0" distB="0" distL="0" distR="0" wp14:anchorId="3AA3574D" wp14:editId="2758ED6E">
            <wp:extent cx="5684592" cy="2226365"/>
            <wp:effectExtent l="19050" t="19050" r="11430" b="215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28388" cy="2282682"/>
                    </a:xfrm>
                    <a:prstGeom prst="rect">
                      <a:avLst/>
                    </a:prstGeom>
                    <a:ln>
                      <a:solidFill>
                        <a:schemeClr val="tx1"/>
                      </a:solidFill>
                    </a:ln>
                  </pic:spPr>
                </pic:pic>
              </a:graphicData>
            </a:graphic>
          </wp:inline>
        </w:drawing>
      </w:r>
    </w:p>
    <w:p w14:paraId="11F77C1C" w14:textId="77777777" w:rsidR="00123C2F" w:rsidRPr="008C4E3D" w:rsidRDefault="00123C2F" w:rsidP="00123C2F">
      <w:pPr>
        <w:widowControl w:val="0"/>
        <w:ind w:left="720" w:hanging="720"/>
        <w:rPr>
          <w:rFonts w:ascii="Garamond" w:hAnsi="Garamond"/>
          <w:lang w:val="en-GB"/>
        </w:rPr>
      </w:pPr>
    </w:p>
    <w:p w14:paraId="5E60F578" w14:textId="77777777" w:rsidR="00123C2F" w:rsidRDefault="00123C2F" w:rsidP="00123C2F"/>
    <w:p w14:paraId="48B5E3E2" w14:textId="77777777" w:rsidR="00123C2F" w:rsidRDefault="00123C2F" w:rsidP="00123C2F">
      <w:pPr>
        <w:autoSpaceDE/>
        <w:autoSpaceDN/>
        <w:adjustRightInd/>
        <w:spacing w:after="200"/>
        <w:jc w:val="left"/>
      </w:pPr>
      <w:r>
        <w:br w:type="page"/>
      </w:r>
    </w:p>
    <w:p w14:paraId="04F42AD3" w14:textId="77777777" w:rsidR="00123C2F" w:rsidRPr="009A6513" w:rsidRDefault="00123C2F" w:rsidP="00123C2F">
      <w:pPr>
        <w:rPr>
          <w:lang w:val="en-GB"/>
        </w:rPr>
      </w:pPr>
      <w:r w:rsidRPr="0097443F">
        <w:rPr>
          <w:b/>
          <w:lang w:val="en-GB"/>
        </w:rPr>
        <w:lastRenderedPageBreak/>
        <w:t>Figure A-1</w:t>
      </w:r>
      <w:r>
        <w:rPr>
          <w:lang w:val="en-GB"/>
        </w:rPr>
        <w:t xml:space="preserve"> Inbound visa restrictiveness, by UN sub-region</w:t>
      </w:r>
    </w:p>
    <w:p w14:paraId="261B8C56" w14:textId="77777777" w:rsidR="00123C2F" w:rsidRDefault="00123C2F" w:rsidP="00123C2F">
      <w:pPr>
        <w:widowControl w:val="0"/>
        <w:spacing w:line="360" w:lineRule="auto"/>
        <w:rPr>
          <w:rFonts w:ascii="Garamond" w:hAnsi="Garamond"/>
          <w:lang w:val="en-GB"/>
        </w:rPr>
      </w:pPr>
      <w:r w:rsidRPr="004645F1">
        <w:rPr>
          <w:noProof/>
        </w:rPr>
        <w:drawing>
          <wp:inline distT="0" distB="0" distL="0" distR="0" wp14:anchorId="1999613E" wp14:editId="2C34378E">
            <wp:extent cx="5327374" cy="3872285"/>
            <wp:effectExtent l="0" t="0" r="26035" b="1397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9E3951D" w14:textId="77777777" w:rsidR="00123C2F" w:rsidRPr="008C4E3D" w:rsidRDefault="00123C2F" w:rsidP="00123C2F">
      <w:pPr>
        <w:rPr>
          <w:lang w:val="en-GB"/>
        </w:rPr>
      </w:pPr>
      <w:r w:rsidRPr="0097443F">
        <w:rPr>
          <w:b/>
          <w:lang w:val="en-GB"/>
        </w:rPr>
        <w:t>Figure A-2</w:t>
      </w:r>
      <w:r>
        <w:rPr>
          <w:lang w:val="en-GB"/>
        </w:rPr>
        <w:t xml:space="preserve"> Outbound visa restrictiveness, by UN sub-region</w:t>
      </w:r>
    </w:p>
    <w:p w14:paraId="7ADC3327" w14:textId="77777777" w:rsidR="00123C2F" w:rsidRPr="008C4E3D" w:rsidRDefault="00123C2F" w:rsidP="00123C2F">
      <w:pPr>
        <w:widowControl w:val="0"/>
        <w:spacing w:line="360" w:lineRule="auto"/>
        <w:rPr>
          <w:rFonts w:ascii="Garamond" w:hAnsi="Garamond"/>
          <w:lang w:val="en-GB"/>
        </w:rPr>
      </w:pPr>
      <w:r w:rsidRPr="004645F1">
        <w:rPr>
          <w:noProof/>
        </w:rPr>
        <w:drawing>
          <wp:inline distT="0" distB="0" distL="0" distR="0" wp14:anchorId="6A44069E" wp14:editId="4EBED8E7">
            <wp:extent cx="5335325" cy="3776870"/>
            <wp:effectExtent l="0" t="0" r="17780" b="1460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CA35328" w14:textId="77777777" w:rsidR="00123C2F" w:rsidRDefault="00123C2F" w:rsidP="00123C2F"/>
    <w:p w14:paraId="637EEDE7" w14:textId="77777777" w:rsidR="00123C2F" w:rsidRPr="00240131" w:rsidRDefault="00123C2F" w:rsidP="00123C2F">
      <w:pPr>
        <w:rPr>
          <w:lang w:val="en-GB"/>
        </w:rPr>
      </w:pPr>
      <w:r w:rsidRPr="00240131">
        <w:rPr>
          <w:b/>
          <w:lang w:val="en-GB"/>
        </w:rPr>
        <w:lastRenderedPageBreak/>
        <w:t>Table 1</w:t>
      </w:r>
      <w:r w:rsidRPr="00240131">
        <w:rPr>
          <w:lang w:val="en-GB"/>
        </w:rPr>
        <w:t xml:space="preserve"> Bilateral visa dynamics </w:t>
      </w:r>
    </w:p>
    <w:tbl>
      <w:tblPr>
        <w:tblStyle w:val="TableGrid"/>
        <w:tblW w:w="9001" w:type="dxa"/>
        <w:tblLook w:val="04A0" w:firstRow="1" w:lastRow="0" w:firstColumn="1" w:lastColumn="0" w:noHBand="0" w:noVBand="1"/>
      </w:tblPr>
      <w:tblGrid>
        <w:gridCol w:w="794"/>
        <w:gridCol w:w="1652"/>
        <w:gridCol w:w="1644"/>
        <w:gridCol w:w="1629"/>
        <w:gridCol w:w="1637"/>
        <w:gridCol w:w="1645"/>
      </w:tblGrid>
      <w:tr w:rsidR="00123C2F" w:rsidRPr="0085295C" w14:paraId="62901273" w14:textId="77777777" w:rsidTr="00552AE1">
        <w:trPr>
          <w:trHeight w:val="544"/>
        </w:trPr>
        <w:tc>
          <w:tcPr>
            <w:tcW w:w="794" w:type="dxa"/>
          </w:tcPr>
          <w:p w14:paraId="177997CE" w14:textId="77777777" w:rsidR="00123C2F" w:rsidRPr="0085295C" w:rsidRDefault="00123C2F" w:rsidP="00552AE1">
            <w:pPr>
              <w:widowControl w:val="0"/>
              <w:spacing w:line="360" w:lineRule="auto"/>
              <w:rPr>
                <w:szCs w:val="22"/>
                <w:lang w:val="en-GB"/>
              </w:rPr>
            </w:pPr>
          </w:p>
        </w:tc>
        <w:tc>
          <w:tcPr>
            <w:tcW w:w="1652" w:type="dxa"/>
          </w:tcPr>
          <w:p w14:paraId="2EC167FE" w14:textId="77777777" w:rsidR="00123C2F" w:rsidRPr="0085295C" w:rsidRDefault="00123C2F" w:rsidP="00552AE1">
            <w:pPr>
              <w:widowControl w:val="0"/>
              <w:spacing w:line="360" w:lineRule="auto"/>
              <w:rPr>
                <w:szCs w:val="22"/>
                <w:lang w:val="en-GB"/>
              </w:rPr>
            </w:pPr>
          </w:p>
        </w:tc>
        <w:tc>
          <w:tcPr>
            <w:tcW w:w="6555" w:type="dxa"/>
            <w:gridSpan w:val="4"/>
          </w:tcPr>
          <w:p w14:paraId="4CBF50EB" w14:textId="77777777" w:rsidR="00123C2F" w:rsidRPr="0085295C" w:rsidRDefault="00123C2F" w:rsidP="00552AE1">
            <w:pPr>
              <w:widowControl w:val="0"/>
              <w:spacing w:line="360" w:lineRule="auto"/>
              <w:jc w:val="center"/>
              <w:rPr>
                <w:szCs w:val="22"/>
                <w:lang w:val="en-GB"/>
              </w:rPr>
            </w:pPr>
            <w:r w:rsidRPr="0085295C">
              <w:rPr>
                <w:szCs w:val="22"/>
                <w:lang w:val="en-GB"/>
              </w:rPr>
              <w:t>Country 2</w:t>
            </w:r>
          </w:p>
        </w:tc>
      </w:tr>
      <w:tr w:rsidR="00123C2F" w:rsidRPr="0085295C" w14:paraId="67F27EFB" w14:textId="77777777" w:rsidTr="00552AE1">
        <w:trPr>
          <w:trHeight w:val="1361"/>
        </w:trPr>
        <w:tc>
          <w:tcPr>
            <w:tcW w:w="794" w:type="dxa"/>
          </w:tcPr>
          <w:p w14:paraId="4C209FC4" w14:textId="77777777" w:rsidR="00123C2F" w:rsidRPr="0085295C" w:rsidRDefault="00123C2F" w:rsidP="00552AE1">
            <w:pPr>
              <w:widowControl w:val="0"/>
              <w:spacing w:line="360" w:lineRule="auto"/>
              <w:rPr>
                <w:szCs w:val="22"/>
                <w:lang w:val="en-GB"/>
              </w:rPr>
            </w:pPr>
          </w:p>
        </w:tc>
        <w:tc>
          <w:tcPr>
            <w:tcW w:w="1652" w:type="dxa"/>
          </w:tcPr>
          <w:p w14:paraId="1A9E01D0" w14:textId="77777777" w:rsidR="00123C2F" w:rsidRPr="0085295C" w:rsidRDefault="00123C2F" w:rsidP="00552AE1">
            <w:pPr>
              <w:widowControl w:val="0"/>
              <w:spacing w:line="360" w:lineRule="auto"/>
              <w:rPr>
                <w:szCs w:val="22"/>
                <w:lang w:val="en-GB"/>
              </w:rPr>
            </w:pPr>
          </w:p>
        </w:tc>
        <w:tc>
          <w:tcPr>
            <w:tcW w:w="1644" w:type="dxa"/>
          </w:tcPr>
          <w:p w14:paraId="3AB859B6" w14:textId="77777777" w:rsidR="00123C2F" w:rsidRPr="0085295C" w:rsidRDefault="00123C2F" w:rsidP="00552AE1">
            <w:pPr>
              <w:widowControl w:val="0"/>
              <w:spacing w:line="360" w:lineRule="auto"/>
              <w:jc w:val="center"/>
              <w:rPr>
                <w:b/>
                <w:szCs w:val="22"/>
                <w:lang w:val="en-GB"/>
              </w:rPr>
            </w:pPr>
            <w:r w:rsidRPr="0085295C">
              <w:rPr>
                <w:b/>
                <w:szCs w:val="22"/>
                <w:lang w:val="en-GB"/>
              </w:rPr>
              <w:t>Visa removal</w:t>
            </w:r>
          </w:p>
        </w:tc>
        <w:tc>
          <w:tcPr>
            <w:tcW w:w="1629" w:type="dxa"/>
          </w:tcPr>
          <w:p w14:paraId="4D566A17" w14:textId="77777777" w:rsidR="00123C2F" w:rsidRPr="0085295C" w:rsidRDefault="00123C2F" w:rsidP="00552AE1">
            <w:pPr>
              <w:widowControl w:val="0"/>
              <w:spacing w:line="360" w:lineRule="auto"/>
              <w:jc w:val="center"/>
              <w:rPr>
                <w:b/>
                <w:szCs w:val="22"/>
                <w:lang w:val="en-GB"/>
              </w:rPr>
            </w:pPr>
            <w:r w:rsidRPr="0085295C">
              <w:rPr>
                <w:b/>
                <w:szCs w:val="22"/>
                <w:lang w:val="en-GB"/>
              </w:rPr>
              <w:t xml:space="preserve">Maintain </w:t>
            </w:r>
            <w:r>
              <w:rPr>
                <w:b/>
                <w:szCs w:val="22"/>
                <w:lang w:val="en-GB"/>
              </w:rPr>
              <w:t>v</w:t>
            </w:r>
            <w:r w:rsidRPr="0085295C">
              <w:rPr>
                <w:b/>
                <w:szCs w:val="22"/>
                <w:lang w:val="en-GB"/>
              </w:rPr>
              <w:t>isa</w:t>
            </w:r>
            <w:r>
              <w:rPr>
                <w:b/>
                <w:szCs w:val="22"/>
                <w:lang w:val="en-GB"/>
              </w:rPr>
              <w:t>-</w:t>
            </w:r>
            <w:r w:rsidRPr="0085295C">
              <w:rPr>
                <w:b/>
                <w:szCs w:val="22"/>
                <w:lang w:val="en-GB"/>
              </w:rPr>
              <w:t>free</w:t>
            </w:r>
          </w:p>
        </w:tc>
        <w:tc>
          <w:tcPr>
            <w:tcW w:w="1637" w:type="dxa"/>
          </w:tcPr>
          <w:p w14:paraId="0730DF6F" w14:textId="77777777" w:rsidR="00123C2F" w:rsidRPr="0085295C" w:rsidRDefault="00123C2F" w:rsidP="00552AE1">
            <w:pPr>
              <w:widowControl w:val="0"/>
              <w:spacing w:line="360" w:lineRule="auto"/>
              <w:jc w:val="center"/>
              <w:rPr>
                <w:b/>
                <w:szCs w:val="22"/>
                <w:lang w:val="en-GB"/>
              </w:rPr>
            </w:pPr>
            <w:r w:rsidRPr="0085295C">
              <w:rPr>
                <w:b/>
                <w:szCs w:val="22"/>
                <w:lang w:val="en-GB"/>
              </w:rPr>
              <w:t>Maintain visa restriction</w:t>
            </w:r>
          </w:p>
        </w:tc>
        <w:tc>
          <w:tcPr>
            <w:tcW w:w="1643" w:type="dxa"/>
          </w:tcPr>
          <w:p w14:paraId="78F84816" w14:textId="77777777" w:rsidR="00123C2F" w:rsidRPr="0085295C" w:rsidRDefault="00123C2F" w:rsidP="00552AE1">
            <w:pPr>
              <w:widowControl w:val="0"/>
              <w:spacing w:line="360" w:lineRule="auto"/>
              <w:jc w:val="center"/>
              <w:rPr>
                <w:b/>
                <w:szCs w:val="22"/>
                <w:lang w:val="en-GB"/>
              </w:rPr>
            </w:pPr>
            <w:r w:rsidRPr="0085295C">
              <w:rPr>
                <w:b/>
                <w:szCs w:val="22"/>
                <w:lang w:val="en-GB"/>
              </w:rPr>
              <w:t>Visa intro</w:t>
            </w:r>
          </w:p>
        </w:tc>
      </w:tr>
      <w:tr w:rsidR="00123C2F" w:rsidRPr="0085295C" w14:paraId="01952898" w14:textId="77777777" w:rsidTr="00552AE1">
        <w:trPr>
          <w:trHeight w:val="1375"/>
        </w:trPr>
        <w:tc>
          <w:tcPr>
            <w:tcW w:w="794" w:type="dxa"/>
            <w:vMerge w:val="restart"/>
            <w:textDirection w:val="btLr"/>
          </w:tcPr>
          <w:p w14:paraId="5CFE6149" w14:textId="77777777" w:rsidR="00123C2F" w:rsidRPr="0085295C" w:rsidRDefault="00123C2F" w:rsidP="00552AE1">
            <w:pPr>
              <w:widowControl w:val="0"/>
              <w:spacing w:line="360" w:lineRule="auto"/>
              <w:ind w:left="113" w:right="113"/>
              <w:jc w:val="center"/>
              <w:rPr>
                <w:szCs w:val="22"/>
                <w:lang w:val="en-GB"/>
              </w:rPr>
            </w:pPr>
            <w:r w:rsidRPr="0085295C">
              <w:rPr>
                <w:szCs w:val="22"/>
                <w:lang w:val="en-GB"/>
              </w:rPr>
              <w:t>Country 1</w:t>
            </w:r>
          </w:p>
        </w:tc>
        <w:tc>
          <w:tcPr>
            <w:tcW w:w="1652" w:type="dxa"/>
          </w:tcPr>
          <w:p w14:paraId="25E72242" w14:textId="77777777" w:rsidR="00123C2F" w:rsidRPr="0085295C" w:rsidRDefault="00123C2F" w:rsidP="00552AE1">
            <w:pPr>
              <w:widowControl w:val="0"/>
              <w:spacing w:line="360" w:lineRule="auto"/>
              <w:rPr>
                <w:b/>
                <w:szCs w:val="22"/>
                <w:lang w:val="en-GB"/>
              </w:rPr>
            </w:pPr>
            <w:r w:rsidRPr="0085295C">
              <w:rPr>
                <w:b/>
                <w:szCs w:val="22"/>
                <w:lang w:val="en-GB"/>
              </w:rPr>
              <w:t>Visa removal</w:t>
            </w:r>
          </w:p>
        </w:tc>
        <w:tc>
          <w:tcPr>
            <w:tcW w:w="1644" w:type="dxa"/>
          </w:tcPr>
          <w:p w14:paraId="2F1A17AB" w14:textId="77777777" w:rsidR="00123C2F" w:rsidRPr="0085295C" w:rsidRDefault="00123C2F" w:rsidP="00552AE1">
            <w:pPr>
              <w:widowControl w:val="0"/>
              <w:spacing w:line="360" w:lineRule="auto"/>
              <w:jc w:val="center"/>
              <w:rPr>
                <w:szCs w:val="22"/>
                <w:lang w:val="en-GB"/>
              </w:rPr>
            </w:pPr>
            <w:r w:rsidRPr="0085295C">
              <w:rPr>
                <w:szCs w:val="22"/>
                <w:lang w:val="en-GB"/>
              </w:rPr>
              <w:t>Mutual gratification</w:t>
            </w:r>
          </w:p>
        </w:tc>
        <w:tc>
          <w:tcPr>
            <w:tcW w:w="1629" w:type="dxa"/>
          </w:tcPr>
          <w:p w14:paraId="170ABEDC" w14:textId="77777777" w:rsidR="00123C2F" w:rsidRPr="0085295C" w:rsidRDefault="00123C2F" w:rsidP="00552AE1">
            <w:pPr>
              <w:widowControl w:val="0"/>
              <w:spacing w:line="360" w:lineRule="auto"/>
              <w:jc w:val="center"/>
              <w:rPr>
                <w:szCs w:val="22"/>
                <w:lang w:val="en-GB"/>
              </w:rPr>
            </w:pPr>
            <w:r w:rsidRPr="0085295C">
              <w:rPr>
                <w:szCs w:val="22"/>
                <w:lang w:val="en-GB"/>
              </w:rPr>
              <w:t xml:space="preserve">Bilateral opening </w:t>
            </w:r>
          </w:p>
        </w:tc>
        <w:tc>
          <w:tcPr>
            <w:tcW w:w="1637" w:type="dxa"/>
          </w:tcPr>
          <w:p w14:paraId="1248B931" w14:textId="77777777" w:rsidR="00123C2F" w:rsidRPr="0085295C" w:rsidRDefault="00123C2F" w:rsidP="00552AE1">
            <w:pPr>
              <w:widowControl w:val="0"/>
              <w:spacing w:line="360" w:lineRule="auto"/>
              <w:jc w:val="center"/>
              <w:rPr>
                <w:szCs w:val="22"/>
                <w:lang w:val="en-GB"/>
              </w:rPr>
            </w:pPr>
            <w:r w:rsidRPr="0085295C">
              <w:rPr>
                <w:szCs w:val="22"/>
                <w:lang w:val="en-GB"/>
              </w:rPr>
              <w:t xml:space="preserve">Unilateral opening </w:t>
            </w:r>
          </w:p>
        </w:tc>
        <w:tc>
          <w:tcPr>
            <w:tcW w:w="1643" w:type="dxa"/>
          </w:tcPr>
          <w:p w14:paraId="0AF55A48" w14:textId="77777777" w:rsidR="00123C2F" w:rsidRPr="0085295C" w:rsidRDefault="00123C2F" w:rsidP="00552AE1">
            <w:pPr>
              <w:widowControl w:val="0"/>
              <w:spacing w:line="360" w:lineRule="auto"/>
              <w:jc w:val="center"/>
              <w:rPr>
                <w:szCs w:val="22"/>
                <w:lang w:val="en-GB"/>
              </w:rPr>
            </w:pPr>
            <w:r w:rsidRPr="0085295C">
              <w:rPr>
                <w:szCs w:val="22"/>
                <w:lang w:val="en-GB"/>
              </w:rPr>
              <w:t xml:space="preserve">‘Negative </w:t>
            </w:r>
            <w:r>
              <w:rPr>
                <w:szCs w:val="22"/>
                <w:lang w:val="en-GB"/>
              </w:rPr>
              <w:t>t</w:t>
            </w:r>
            <w:r w:rsidRPr="0085295C">
              <w:rPr>
                <w:szCs w:val="22"/>
                <w:lang w:val="en-GB"/>
              </w:rPr>
              <w:t>urnaround’</w:t>
            </w:r>
          </w:p>
        </w:tc>
      </w:tr>
      <w:tr w:rsidR="00123C2F" w:rsidRPr="0085295C" w14:paraId="308FB026" w14:textId="77777777" w:rsidTr="00552AE1">
        <w:trPr>
          <w:trHeight w:val="1089"/>
        </w:trPr>
        <w:tc>
          <w:tcPr>
            <w:tcW w:w="794" w:type="dxa"/>
            <w:vMerge/>
          </w:tcPr>
          <w:p w14:paraId="5242F7AE" w14:textId="77777777" w:rsidR="00123C2F" w:rsidRPr="0085295C" w:rsidRDefault="00123C2F" w:rsidP="00552AE1">
            <w:pPr>
              <w:widowControl w:val="0"/>
              <w:spacing w:line="360" w:lineRule="auto"/>
              <w:rPr>
                <w:szCs w:val="22"/>
                <w:lang w:val="en-GB"/>
              </w:rPr>
            </w:pPr>
          </w:p>
        </w:tc>
        <w:tc>
          <w:tcPr>
            <w:tcW w:w="1652" w:type="dxa"/>
          </w:tcPr>
          <w:p w14:paraId="6E24AB58" w14:textId="77777777" w:rsidR="00123C2F" w:rsidRPr="0085295C" w:rsidRDefault="00123C2F" w:rsidP="00552AE1">
            <w:pPr>
              <w:widowControl w:val="0"/>
              <w:spacing w:line="360" w:lineRule="auto"/>
              <w:rPr>
                <w:b/>
                <w:szCs w:val="22"/>
                <w:lang w:val="en-GB"/>
              </w:rPr>
            </w:pPr>
            <w:r w:rsidRPr="0085295C">
              <w:rPr>
                <w:b/>
                <w:szCs w:val="22"/>
                <w:lang w:val="en-GB"/>
              </w:rPr>
              <w:t xml:space="preserve">Visa </w:t>
            </w:r>
          </w:p>
          <w:p w14:paraId="0FCE522C" w14:textId="77777777" w:rsidR="00123C2F" w:rsidRPr="0085295C" w:rsidRDefault="00123C2F" w:rsidP="00552AE1">
            <w:pPr>
              <w:widowControl w:val="0"/>
              <w:spacing w:line="360" w:lineRule="auto"/>
              <w:rPr>
                <w:b/>
                <w:szCs w:val="22"/>
                <w:lang w:val="en-GB"/>
              </w:rPr>
            </w:pPr>
            <w:r w:rsidRPr="0085295C">
              <w:rPr>
                <w:b/>
                <w:szCs w:val="22"/>
                <w:lang w:val="en-GB"/>
              </w:rPr>
              <w:t xml:space="preserve">introduction </w:t>
            </w:r>
          </w:p>
        </w:tc>
        <w:tc>
          <w:tcPr>
            <w:tcW w:w="1644" w:type="dxa"/>
          </w:tcPr>
          <w:p w14:paraId="7933178E" w14:textId="77777777" w:rsidR="00123C2F" w:rsidRPr="0085295C" w:rsidRDefault="00123C2F" w:rsidP="00552AE1">
            <w:pPr>
              <w:widowControl w:val="0"/>
              <w:spacing w:line="360" w:lineRule="auto"/>
              <w:jc w:val="center"/>
              <w:rPr>
                <w:szCs w:val="22"/>
                <w:lang w:val="en-GB"/>
              </w:rPr>
            </w:pPr>
            <w:r w:rsidRPr="0085295C">
              <w:rPr>
                <w:szCs w:val="22"/>
                <w:lang w:val="en-GB"/>
              </w:rPr>
              <w:t xml:space="preserve">‘Positive </w:t>
            </w:r>
            <w:r>
              <w:rPr>
                <w:szCs w:val="22"/>
                <w:lang w:val="en-GB"/>
              </w:rPr>
              <w:t>t</w:t>
            </w:r>
            <w:r w:rsidRPr="0085295C">
              <w:rPr>
                <w:szCs w:val="22"/>
                <w:lang w:val="en-GB"/>
              </w:rPr>
              <w:t>urnaround’</w:t>
            </w:r>
          </w:p>
        </w:tc>
        <w:tc>
          <w:tcPr>
            <w:tcW w:w="1629" w:type="dxa"/>
          </w:tcPr>
          <w:p w14:paraId="381B9DEB" w14:textId="77777777" w:rsidR="00123C2F" w:rsidRPr="0085295C" w:rsidRDefault="00123C2F" w:rsidP="00552AE1">
            <w:pPr>
              <w:widowControl w:val="0"/>
              <w:spacing w:line="360" w:lineRule="auto"/>
              <w:jc w:val="center"/>
              <w:rPr>
                <w:szCs w:val="22"/>
                <w:lang w:val="en-GB"/>
              </w:rPr>
            </w:pPr>
            <w:r w:rsidRPr="0085295C">
              <w:rPr>
                <w:szCs w:val="22"/>
                <w:lang w:val="en-GB"/>
              </w:rPr>
              <w:t xml:space="preserve">Unilateral closing </w:t>
            </w:r>
          </w:p>
        </w:tc>
        <w:tc>
          <w:tcPr>
            <w:tcW w:w="1637" w:type="dxa"/>
          </w:tcPr>
          <w:p w14:paraId="1686199D" w14:textId="77777777" w:rsidR="00123C2F" w:rsidRPr="0085295C" w:rsidRDefault="00123C2F" w:rsidP="00552AE1">
            <w:pPr>
              <w:widowControl w:val="0"/>
              <w:spacing w:line="360" w:lineRule="auto"/>
              <w:jc w:val="center"/>
              <w:rPr>
                <w:szCs w:val="22"/>
                <w:lang w:val="en-GB"/>
              </w:rPr>
            </w:pPr>
            <w:r w:rsidRPr="0085295C">
              <w:rPr>
                <w:szCs w:val="22"/>
                <w:lang w:val="en-GB"/>
              </w:rPr>
              <w:t>Bilateral closing</w:t>
            </w:r>
          </w:p>
        </w:tc>
        <w:tc>
          <w:tcPr>
            <w:tcW w:w="1643" w:type="dxa"/>
          </w:tcPr>
          <w:p w14:paraId="31915C53" w14:textId="77777777" w:rsidR="00123C2F" w:rsidRPr="0085295C" w:rsidRDefault="00123C2F" w:rsidP="00552AE1">
            <w:pPr>
              <w:widowControl w:val="0"/>
              <w:spacing w:line="360" w:lineRule="auto"/>
              <w:jc w:val="center"/>
              <w:rPr>
                <w:szCs w:val="22"/>
                <w:lang w:val="en-GB"/>
              </w:rPr>
            </w:pPr>
            <w:r w:rsidRPr="0085295C">
              <w:rPr>
                <w:szCs w:val="22"/>
                <w:lang w:val="en-GB"/>
              </w:rPr>
              <w:t>Mutual retaliation</w:t>
            </w:r>
          </w:p>
        </w:tc>
      </w:tr>
    </w:tbl>
    <w:p w14:paraId="13656D09" w14:textId="77777777" w:rsidR="00123C2F" w:rsidRDefault="00123C2F" w:rsidP="00123C2F"/>
    <w:p w14:paraId="3514B3D5" w14:textId="77777777" w:rsidR="00123C2F" w:rsidRDefault="00123C2F" w:rsidP="00123C2F"/>
    <w:p w14:paraId="7643C9BE" w14:textId="77777777" w:rsidR="00123C2F" w:rsidRPr="00240131" w:rsidRDefault="00123C2F" w:rsidP="00123C2F">
      <w:pPr>
        <w:rPr>
          <w:i/>
          <w:lang w:val="en-GB"/>
        </w:rPr>
      </w:pPr>
      <w:r w:rsidRPr="00240131">
        <w:rPr>
          <w:b/>
          <w:lang w:val="en-GB"/>
        </w:rPr>
        <w:t>Table 2</w:t>
      </w:r>
      <w:r w:rsidRPr="00240131">
        <w:rPr>
          <w:lang w:val="en-GB"/>
        </w:rPr>
        <w:t xml:space="preserve"> Global </w:t>
      </w:r>
      <w:r>
        <w:rPr>
          <w:lang w:val="en-GB"/>
        </w:rPr>
        <w:t>v</w:t>
      </w:r>
      <w:r w:rsidRPr="00240131">
        <w:rPr>
          <w:lang w:val="en-GB"/>
        </w:rPr>
        <w:t xml:space="preserve">isa </w:t>
      </w:r>
      <w:r>
        <w:rPr>
          <w:lang w:val="en-GB"/>
        </w:rPr>
        <w:t>r</w:t>
      </w:r>
      <w:r w:rsidRPr="00240131">
        <w:rPr>
          <w:lang w:val="en-GB"/>
        </w:rPr>
        <w:t xml:space="preserve">estrictions and </w:t>
      </w:r>
      <w:r>
        <w:rPr>
          <w:lang w:val="en-GB"/>
        </w:rPr>
        <w:t>p</w:t>
      </w:r>
      <w:r w:rsidRPr="00240131">
        <w:rPr>
          <w:lang w:val="en-GB"/>
        </w:rPr>
        <w:t xml:space="preserve">olicy </w:t>
      </w:r>
      <w:r>
        <w:rPr>
          <w:lang w:val="en-GB"/>
        </w:rPr>
        <w:t>c</w:t>
      </w:r>
      <w:r w:rsidRPr="00240131">
        <w:rPr>
          <w:lang w:val="en-GB"/>
        </w:rPr>
        <w:t>hanges, 1973</w:t>
      </w:r>
      <w:r>
        <w:rPr>
          <w:lang w:val="en-GB"/>
        </w:rPr>
        <w:t>–</w:t>
      </w:r>
      <w:r w:rsidRPr="00240131">
        <w:rPr>
          <w:lang w:val="en-GB"/>
        </w:rPr>
        <w:t>2013</w:t>
      </w:r>
    </w:p>
    <w:tbl>
      <w:tblPr>
        <w:tblW w:w="9017" w:type="dxa"/>
        <w:tblBorders>
          <w:top w:val="double" w:sz="4" w:space="0" w:color="auto"/>
          <w:bottom w:val="double" w:sz="4" w:space="0" w:color="auto"/>
        </w:tblBorders>
        <w:tblLook w:val="04A0" w:firstRow="1" w:lastRow="0" w:firstColumn="1" w:lastColumn="0" w:noHBand="0" w:noVBand="1"/>
      </w:tblPr>
      <w:tblGrid>
        <w:gridCol w:w="4059"/>
        <w:gridCol w:w="2083"/>
        <w:gridCol w:w="2875"/>
      </w:tblGrid>
      <w:tr w:rsidR="00123C2F" w:rsidRPr="0085295C" w14:paraId="6B633721" w14:textId="77777777" w:rsidTr="00552AE1">
        <w:trPr>
          <w:trHeight w:val="457"/>
        </w:trPr>
        <w:tc>
          <w:tcPr>
            <w:tcW w:w="4059" w:type="dxa"/>
            <w:tcBorders>
              <w:bottom w:val="single" w:sz="4" w:space="0" w:color="auto"/>
            </w:tcBorders>
          </w:tcPr>
          <w:p w14:paraId="219F7649" w14:textId="77777777" w:rsidR="00123C2F" w:rsidRPr="0085295C" w:rsidRDefault="00123C2F" w:rsidP="00552AE1">
            <w:pPr>
              <w:rPr>
                <w:lang w:val="en-GB"/>
              </w:rPr>
            </w:pPr>
            <w:r>
              <w:rPr>
                <w:lang w:val="en-GB"/>
              </w:rPr>
              <w:t>Dyad-years</w:t>
            </w:r>
          </w:p>
        </w:tc>
        <w:tc>
          <w:tcPr>
            <w:tcW w:w="2083" w:type="dxa"/>
            <w:tcBorders>
              <w:bottom w:val="single" w:sz="4" w:space="0" w:color="auto"/>
            </w:tcBorders>
          </w:tcPr>
          <w:p w14:paraId="7D899686" w14:textId="77777777" w:rsidR="00123C2F" w:rsidRPr="0085295C" w:rsidRDefault="00123C2F" w:rsidP="00552AE1">
            <w:pPr>
              <w:rPr>
                <w:lang w:val="en-GB"/>
              </w:rPr>
            </w:pPr>
            <w:r w:rsidRPr="0085295C">
              <w:rPr>
                <w:lang w:val="en-GB"/>
              </w:rPr>
              <w:t>Frequency</w:t>
            </w:r>
          </w:p>
        </w:tc>
        <w:tc>
          <w:tcPr>
            <w:tcW w:w="2875" w:type="dxa"/>
            <w:tcBorders>
              <w:bottom w:val="single" w:sz="4" w:space="0" w:color="auto"/>
            </w:tcBorders>
          </w:tcPr>
          <w:p w14:paraId="226081E0" w14:textId="77777777" w:rsidR="00123C2F" w:rsidRPr="0085295C" w:rsidRDefault="00123C2F" w:rsidP="00552AE1">
            <w:pPr>
              <w:rPr>
                <w:lang w:val="en-GB"/>
              </w:rPr>
            </w:pPr>
            <w:r w:rsidRPr="0085295C">
              <w:rPr>
                <w:lang w:val="en-GB"/>
              </w:rPr>
              <w:t>Percentage</w:t>
            </w:r>
          </w:p>
        </w:tc>
      </w:tr>
      <w:tr w:rsidR="00123C2F" w:rsidRPr="0085295C" w14:paraId="7E1D683F" w14:textId="77777777" w:rsidTr="00552AE1">
        <w:trPr>
          <w:trHeight w:val="471"/>
        </w:trPr>
        <w:tc>
          <w:tcPr>
            <w:tcW w:w="4059" w:type="dxa"/>
            <w:tcBorders>
              <w:top w:val="single" w:sz="4" w:space="0" w:color="auto"/>
              <w:bottom w:val="nil"/>
            </w:tcBorders>
          </w:tcPr>
          <w:p w14:paraId="5846D523" w14:textId="77777777" w:rsidR="00123C2F" w:rsidRPr="0085295C" w:rsidRDefault="00123C2F" w:rsidP="00552AE1">
            <w:pPr>
              <w:rPr>
                <w:lang w:val="en-GB"/>
              </w:rPr>
            </w:pPr>
            <w:r w:rsidRPr="0085295C">
              <w:rPr>
                <w:lang w:val="en-GB"/>
              </w:rPr>
              <w:t>Visa-free</w:t>
            </w:r>
          </w:p>
        </w:tc>
        <w:tc>
          <w:tcPr>
            <w:tcW w:w="2083" w:type="dxa"/>
            <w:tcBorders>
              <w:top w:val="single" w:sz="4" w:space="0" w:color="auto"/>
              <w:bottom w:val="nil"/>
            </w:tcBorders>
          </w:tcPr>
          <w:p w14:paraId="306B8C23" w14:textId="77777777" w:rsidR="00123C2F" w:rsidRPr="0085295C" w:rsidRDefault="00123C2F" w:rsidP="00552AE1">
            <w:pPr>
              <w:rPr>
                <w:lang w:val="en-GB"/>
              </w:rPr>
            </w:pPr>
            <w:r w:rsidRPr="0085295C">
              <w:rPr>
                <w:lang w:val="en-GB"/>
              </w:rPr>
              <w:t>462,074</w:t>
            </w:r>
          </w:p>
        </w:tc>
        <w:tc>
          <w:tcPr>
            <w:tcW w:w="2875" w:type="dxa"/>
            <w:tcBorders>
              <w:top w:val="single" w:sz="4" w:space="0" w:color="auto"/>
              <w:bottom w:val="nil"/>
            </w:tcBorders>
          </w:tcPr>
          <w:p w14:paraId="28EBEE30" w14:textId="77777777" w:rsidR="00123C2F" w:rsidRPr="0085295C" w:rsidRDefault="00123C2F" w:rsidP="00552AE1">
            <w:pPr>
              <w:rPr>
                <w:lang w:val="en-GB"/>
              </w:rPr>
            </w:pPr>
            <w:r w:rsidRPr="0085295C">
              <w:rPr>
                <w:lang w:val="en-GB"/>
              </w:rPr>
              <w:t>28.32</w:t>
            </w:r>
          </w:p>
        </w:tc>
      </w:tr>
      <w:tr w:rsidR="00123C2F" w:rsidRPr="0085295C" w14:paraId="43F56D6B" w14:textId="77777777" w:rsidTr="00552AE1">
        <w:trPr>
          <w:trHeight w:val="471"/>
        </w:trPr>
        <w:tc>
          <w:tcPr>
            <w:tcW w:w="4059" w:type="dxa"/>
            <w:tcBorders>
              <w:top w:val="nil"/>
              <w:bottom w:val="nil"/>
            </w:tcBorders>
          </w:tcPr>
          <w:p w14:paraId="49353DA9" w14:textId="77777777" w:rsidR="00123C2F" w:rsidRPr="0085295C" w:rsidRDefault="00123C2F" w:rsidP="00552AE1">
            <w:pPr>
              <w:rPr>
                <w:lang w:val="en-GB"/>
              </w:rPr>
            </w:pPr>
            <w:r w:rsidRPr="0085295C">
              <w:rPr>
                <w:lang w:val="en-GB"/>
              </w:rPr>
              <w:t>Visa-constrained</w:t>
            </w:r>
          </w:p>
        </w:tc>
        <w:tc>
          <w:tcPr>
            <w:tcW w:w="2083" w:type="dxa"/>
            <w:tcBorders>
              <w:top w:val="nil"/>
              <w:bottom w:val="nil"/>
            </w:tcBorders>
          </w:tcPr>
          <w:p w14:paraId="1A8B5124" w14:textId="77777777" w:rsidR="00123C2F" w:rsidRPr="0085295C" w:rsidRDefault="00123C2F" w:rsidP="00552AE1">
            <w:pPr>
              <w:rPr>
                <w:lang w:val="en-GB"/>
              </w:rPr>
            </w:pPr>
            <w:r w:rsidRPr="0085295C">
              <w:rPr>
                <w:lang w:val="en-GB"/>
              </w:rPr>
              <w:t>1,166,553</w:t>
            </w:r>
          </w:p>
        </w:tc>
        <w:tc>
          <w:tcPr>
            <w:tcW w:w="2875" w:type="dxa"/>
            <w:tcBorders>
              <w:top w:val="nil"/>
              <w:bottom w:val="nil"/>
            </w:tcBorders>
          </w:tcPr>
          <w:p w14:paraId="6DB49643" w14:textId="77777777" w:rsidR="00123C2F" w:rsidRPr="0085295C" w:rsidRDefault="00123C2F" w:rsidP="00552AE1">
            <w:pPr>
              <w:rPr>
                <w:lang w:val="en-GB"/>
              </w:rPr>
            </w:pPr>
            <w:r w:rsidRPr="0085295C">
              <w:rPr>
                <w:lang w:val="en-GB"/>
              </w:rPr>
              <w:t>71.49</w:t>
            </w:r>
          </w:p>
        </w:tc>
      </w:tr>
      <w:tr w:rsidR="00123C2F" w:rsidRPr="0085295C" w14:paraId="687479CD" w14:textId="77777777" w:rsidTr="00552AE1">
        <w:trPr>
          <w:trHeight w:val="457"/>
        </w:trPr>
        <w:tc>
          <w:tcPr>
            <w:tcW w:w="4059" w:type="dxa"/>
            <w:tcBorders>
              <w:top w:val="nil"/>
              <w:bottom w:val="nil"/>
            </w:tcBorders>
          </w:tcPr>
          <w:p w14:paraId="39737D0F" w14:textId="77777777" w:rsidR="00123C2F" w:rsidRPr="0085295C" w:rsidRDefault="00123C2F" w:rsidP="00552AE1">
            <w:pPr>
              <w:rPr>
                <w:lang w:val="en-GB"/>
              </w:rPr>
            </w:pPr>
            <w:r w:rsidRPr="0085295C">
              <w:rPr>
                <w:lang w:val="en-GB"/>
              </w:rPr>
              <w:t>’Blacklisted’</w:t>
            </w:r>
          </w:p>
        </w:tc>
        <w:tc>
          <w:tcPr>
            <w:tcW w:w="2083" w:type="dxa"/>
            <w:tcBorders>
              <w:top w:val="nil"/>
              <w:bottom w:val="nil"/>
            </w:tcBorders>
          </w:tcPr>
          <w:p w14:paraId="1E918477" w14:textId="77777777" w:rsidR="00123C2F" w:rsidRPr="0085295C" w:rsidRDefault="00123C2F" w:rsidP="00552AE1">
            <w:pPr>
              <w:rPr>
                <w:lang w:val="en-GB"/>
              </w:rPr>
            </w:pPr>
            <w:r w:rsidRPr="0085295C">
              <w:rPr>
                <w:lang w:val="en-GB"/>
              </w:rPr>
              <w:t>3,074</w:t>
            </w:r>
          </w:p>
        </w:tc>
        <w:tc>
          <w:tcPr>
            <w:tcW w:w="2875" w:type="dxa"/>
            <w:tcBorders>
              <w:top w:val="nil"/>
              <w:bottom w:val="nil"/>
            </w:tcBorders>
          </w:tcPr>
          <w:p w14:paraId="4F937ECE" w14:textId="77777777" w:rsidR="00123C2F" w:rsidRPr="0085295C" w:rsidRDefault="00123C2F" w:rsidP="00552AE1">
            <w:pPr>
              <w:rPr>
                <w:lang w:val="en-GB"/>
              </w:rPr>
            </w:pPr>
            <w:r w:rsidRPr="0085295C">
              <w:rPr>
                <w:lang w:val="en-GB"/>
              </w:rPr>
              <w:t>0.19</w:t>
            </w:r>
          </w:p>
        </w:tc>
      </w:tr>
      <w:tr w:rsidR="00123C2F" w:rsidRPr="0085295C" w14:paraId="7BB0A5F3" w14:textId="77777777" w:rsidTr="00552AE1">
        <w:trPr>
          <w:trHeight w:val="471"/>
        </w:trPr>
        <w:tc>
          <w:tcPr>
            <w:tcW w:w="4059" w:type="dxa"/>
            <w:tcBorders>
              <w:top w:val="nil"/>
              <w:bottom w:val="nil"/>
            </w:tcBorders>
          </w:tcPr>
          <w:p w14:paraId="5771ACED" w14:textId="77777777" w:rsidR="00123C2F" w:rsidRPr="0085295C" w:rsidRDefault="00123C2F" w:rsidP="00552AE1">
            <w:pPr>
              <w:rPr>
                <w:lang w:val="en-GB"/>
              </w:rPr>
            </w:pPr>
            <w:r w:rsidRPr="0085295C">
              <w:rPr>
                <w:lang w:val="en-GB"/>
              </w:rPr>
              <w:t xml:space="preserve">Total </w:t>
            </w:r>
          </w:p>
        </w:tc>
        <w:tc>
          <w:tcPr>
            <w:tcW w:w="2083" w:type="dxa"/>
            <w:tcBorders>
              <w:top w:val="nil"/>
              <w:bottom w:val="nil"/>
            </w:tcBorders>
            <w:vAlign w:val="center"/>
          </w:tcPr>
          <w:p w14:paraId="3F03D8D0" w14:textId="77777777" w:rsidR="00123C2F" w:rsidRPr="0085295C" w:rsidRDefault="00123C2F" w:rsidP="00552AE1">
            <w:pPr>
              <w:rPr>
                <w:lang w:val="en-GB"/>
              </w:rPr>
            </w:pPr>
            <w:r w:rsidRPr="0085295C">
              <w:rPr>
                <w:rFonts w:eastAsia="Times New Roman"/>
                <w:lang w:val="en-GB"/>
              </w:rPr>
              <w:t>1,631,701</w:t>
            </w:r>
          </w:p>
        </w:tc>
        <w:tc>
          <w:tcPr>
            <w:tcW w:w="2875" w:type="dxa"/>
            <w:tcBorders>
              <w:top w:val="nil"/>
              <w:bottom w:val="nil"/>
            </w:tcBorders>
            <w:vAlign w:val="center"/>
          </w:tcPr>
          <w:p w14:paraId="11A17FCD" w14:textId="77777777" w:rsidR="00123C2F" w:rsidRPr="0085295C" w:rsidRDefault="00123C2F" w:rsidP="00552AE1">
            <w:pPr>
              <w:rPr>
                <w:lang w:val="en-GB"/>
              </w:rPr>
            </w:pPr>
            <w:r w:rsidRPr="0085295C">
              <w:rPr>
                <w:rFonts w:eastAsia="Times New Roman"/>
                <w:lang w:val="en-GB"/>
              </w:rPr>
              <w:t>100</w:t>
            </w:r>
          </w:p>
        </w:tc>
      </w:tr>
      <w:tr w:rsidR="00123C2F" w:rsidRPr="0085295C" w14:paraId="26057842" w14:textId="77777777" w:rsidTr="00552AE1">
        <w:trPr>
          <w:trHeight w:val="471"/>
        </w:trPr>
        <w:tc>
          <w:tcPr>
            <w:tcW w:w="4059" w:type="dxa"/>
            <w:tcBorders>
              <w:top w:val="nil"/>
              <w:bottom w:val="single" w:sz="4" w:space="0" w:color="auto"/>
            </w:tcBorders>
          </w:tcPr>
          <w:p w14:paraId="42DB4A3F" w14:textId="77777777" w:rsidR="00123C2F" w:rsidRPr="0085295C" w:rsidRDefault="00123C2F" w:rsidP="00552AE1">
            <w:pPr>
              <w:rPr>
                <w:lang w:val="en-GB"/>
              </w:rPr>
            </w:pPr>
          </w:p>
        </w:tc>
        <w:tc>
          <w:tcPr>
            <w:tcW w:w="2083" w:type="dxa"/>
            <w:tcBorders>
              <w:top w:val="nil"/>
              <w:bottom w:val="single" w:sz="4" w:space="0" w:color="auto"/>
            </w:tcBorders>
          </w:tcPr>
          <w:p w14:paraId="71BC2D2C" w14:textId="77777777" w:rsidR="00123C2F" w:rsidRPr="0085295C" w:rsidRDefault="00123C2F" w:rsidP="00552AE1">
            <w:pPr>
              <w:rPr>
                <w:lang w:val="en-GB"/>
              </w:rPr>
            </w:pPr>
          </w:p>
        </w:tc>
        <w:tc>
          <w:tcPr>
            <w:tcW w:w="2875" w:type="dxa"/>
            <w:tcBorders>
              <w:top w:val="nil"/>
              <w:bottom w:val="single" w:sz="4" w:space="0" w:color="auto"/>
            </w:tcBorders>
          </w:tcPr>
          <w:p w14:paraId="5B1DEC77" w14:textId="77777777" w:rsidR="00123C2F" w:rsidRPr="0085295C" w:rsidRDefault="00123C2F" w:rsidP="00552AE1">
            <w:pPr>
              <w:rPr>
                <w:lang w:val="en-GB"/>
              </w:rPr>
            </w:pPr>
          </w:p>
        </w:tc>
      </w:tr>
      <w:tr w:rsidR="00123C2F" w:rsidRPr="0085295C" w14:paraId="02A90757" w14:textId="77777777" w:rsidTr="00552AE1">
        <w:trPr>
          <w:trHeight w:val="471"/>
        </w:trPr>
        <w:tc>
          <w:tcPr>
            <w:tcW w:w="4059" w:type="dxa"/>
            <w:tcBorders>
              <w:top w:val="single" w:sz="4" w:space="0" w:color="auto"/>
              <w:bottom w:val="single" w:sz="4" w:space="0" w:color="auto"/>
            </w:tcBorders>
          </w:tcPr>
          <w:p w14:paraId="3AE34C73" w14:textId="77777777" w:rsidR="00123C2F" w:rsidRPr="0085295C" w:rsidRDefault="00123C2F" w:rsidP="00552AE1">
            <w:pPr>
              <w:rPr>
                <w:lang w:val="en-GB"/>
              </w:rPr>
            </w:pPr>
            <w:r w:rsidRPr="0085295C">
              <w:rPr>
                <w:lang w:val="en-GB"/>
              </w:rPr>
              <w:t xml:space="preserve">Visa </w:t>
            </w:r>
            <w:r>
              <w:rPr>
                <w:lang w:val="en-GB"/>
              </w:rPr>
              <w:t xml:space="preserve">policy </w:t>
            </w:r>
            <w:r w:rsidRPr="0085295C">
              <w:rPr>
                <w:lang w:val="en-GB"/>
              </w:rPr>
              <w:t>changes</w:t>
            </w:r>
          </w:p>
        </w:tc>
        <w:tc>
          <w:tcPr>
            <w:tcW w:w="2083" w:type="dxa"/>
            <w:tcBorders>
              <w:top w:val="single" w:sz="4" w:space="0" w:color="auto"/>
              <w:bottom w:val="single" w:sz="4" w:space="0" w:color="auto"/>
            </w:tcBorders>
          </w:tcPr>
          <w:p w14:paraId="3CF8B4C4" w14:textId="77777777" w:rsidR="00123C2F" w:rsidRPr="0085295C" w:rsidRDefault="00123C2F" w:rsidP="00552AE1">
            <w:pPr>
              <w:rPr>
                <w:lang w:val="en-GB"/>
              </w:rPr>
            </w:pPr>
            <w:r w:rsidRPr="0085295C">
              <w:rPr>
                <w:lang w:val="en-GB"/>
              </w:rPr>
              <w:t>Frequency</w:t>
            </w:r>
          </w:p>
        </w:tc>
        <w:tc>
          <w:tcPr>
            <w:tcW w:w="2875" w:type="dxa"/>
            <w:tcBorders>
              <w:top w:val="single" w:sz="4" w:space="0" w:color="auto"/>
              <w:bottom w:val="single" w:sz="4" w:space="0" w:color="auto"/>
            </w:tcBorders>
          </w:tcPr>
          <w:p w14:paraId="2C3B86A4" w14:textId="77777777" w:rsidR="00123C2F" w:rsidRPr="0085295C" w:rsidRDefault="00123C2F" w:rsidP="00552AE1">
            <w:pPr>
              <w:rPr>
                <w:lang w:val="en-GB"/>
              </w:rPr>
            </w:pPr>
            <w:r w:rsidRPr="0085295C">
              <w:rPr>
                <w:lang w:val="en-GB"/>
              </w:rPr>
              <w:t>Percentage</w:t>
            </w:r>
          </w:p>
        </w:tc>
      </w:tr>
      <w:tr w:rsidR="00123C2F" w:rsidRPr="0085295C" w14:paraId="145CBF76" w14:textId="77777777" w:rsidTr="00552AE1">
        <w:trPr>
          <w:trHeight w:val="457"/>
        </w:trPr>
        <w:tc>
          <w:tcPr>
            <w:tcW w:w="4059" w:type="dxa"/>
            <w:tcBorders>
              <w:top w:val="single" w:sz="4" w:space="0" w:color="auto"/>
              <w:bottom w:val="nil"/>
            </w:tcBorders>
          </w:tcPr>
          <w:p w14:paraId="298B4C34" w14:textId="77777777" w:rsidR="00123C2F" w:rsidRPr="0085295C" w:rsidRDefault="00123C2F" w:rsidP="00552AE1">
            <w:pPr>
              <w:rPr>
                <w:lang w:val="en-GB"/>
              </w:rPr>
            </w:pPr>
            <w:r w:rsidRPr="0085295C">
              <w:rPr>
                <w:lang w:val="en-GB"/>
              </w:rPr>
              <w:t>Visa removals</w:t>
            </w:r>
          </w:p>
        </w:tc>
        <w:tc>
          <w:tcPr>
            <w:tcW w:w="2083" w:type="dxa"/>
            <w:tcBorders>
              <w:top w:val="single" w:sz="4" w:space="0" w:color="auto"/>
              <w:bottom w:val="nil"/>
            </w:tcBorders>
          </w:tcPr>
          <w:p w14:paraId="5FF73830" w14:textId="77777777" w:rsidR="00123C2F" w:rsidRPr="0085295C" w:rsidRDefault="00123C2F" w:rsidP="00552AE1">
            <w:pPr>
              <w:rPr>
                <w:lang w:val="en-GB"/>
              </w:rPr>
            </w:pPr>
            <w:r w:rsidRPr="0085295C">
              <w:rPr>
                <w:lang w:val="en-GB"/>
              </w:rPr>
              <w:t>13,204</w:t>
            </w:r>
          </w:p>
        </w:tc>
        <w:tc>
          <w:tcPr>
            <w:tcW w:w="2875" w:type="dxa"/>
            <w:tcBorders>
              <w:top w:val="single" w:sz="4" w:space="0" w:color="auto"/>
              <w:bottom w:val="nil"/>
            </w:tcBorders>
          </w:tcPr>
          <w:p w14:paraId="2A337D5A" w14:textId="77777777" w:rsidR="00123C2F" w:rsidRPr="0085295C" w:rsidRDefault="00123C2F" w:rsidP="00552AE1">
            <w:pPr>
              <w:rPr>
                <w:lang w:val="en-GB"/>
              </w:rPr>
            </w:pPr>
            <w:r w:rsidRPr="0085295C">
              <w:rPr>
                <w:lang w:val="en-GB"/>
              </w:rPr>
              <w:t>0.81</w:t>
            </w:r>
          </w:p>
        </w:tc>
      </w:tr>
      <w:tr w:rsidR="00123C2F" w:rsidRPr="0085295C" w14:paraId="181BF541" w14:textId="77777777" w:rsidTr="00552AE1">
        <w:trPr>
          <w:trHeight w:val="471"/>
        </w:trPr>
        <w:tc>
          <w:tcPr>
            <w:tcW w:w="4059" w:type="dxa"/>
            <w:tcBorders>
              <w:top w:val="nil"/>
              <w:bottom w:val="nil"/>
            </w:tcBorders>
          </w:tcPr>
          <w:p w14:paraId="4529DC92" w14:textId="77777777" w:rsidR="00123C2F" w:rsidRPr="0085295C" w:rsidRDefault="00123C2F" w:rsidP="00552AE1">
            <w:pPr>
              <w:rPr>
                <w:lang w:val="en-GB"/>
              </w:rPr>
            </w:pPr>
            <w:r w:rsidRPr="0085295C">
              <w:rPr>
                <w:lang w:val="en-GB"/>
              </w:rPr>
              <w:t>Visa introductions</w:t>
            </w:r>
          </w:p>
        </w:tc>
        <w:tc>
          <w:tcPr>
            <w:tcW w:w="2083" w:type="dxa"/>
            <w:tcBorders>
              <w:top w:val="nil"/>
              <w:bottom w:val="nil"/>
            </w:tcBorders>
          </w:tcPr>
          <w:p w14:paraId="71FFAA8C" w14:textId="77777777" w:rsidR="00123C2F" w:rsidRPr="0085295C" w:rsidRDefault="00123C2F" w:rsidP="00552AE1">
            <w:pPr>
              <w:rPr>
                <w:lang w:val="en-GB"/>
              </w:rPr>
            </w:pPr>
            <w:r w:rsidRPr="0085295C">
              <w:rPr>
                <w:lang w:val="en-GB"/>
              </w:rPr>
              <w:t>9,992</w:t>
            </w:r>
          </w:p>
        </w:tc>
        <w:tc>
          <w:tcPr>
            <w:tcW w:w="2875" w:type="dxa"/>
            <w:tcBorders>
              <w:top w:val="nil"/>
              <w:bottom w:val="nil"/>
            </w:tcBorders>
          </w:tcPr>
          <w:p w14:paraId="783EB112" w14:textId="77777777" w:rsidR="00123C2F" w:rsidRPr="0085295C" w:rsidRDefault="00123C2F" w:rsidP="00552AE1">
            <w:pPr>
              <w:rPr>
                <w:lang w:val="en-GB"/>
              </w:rPr>
            </w:pPr>
            <w:r w:rsidRPr="0085295C">
              <w:rPr>
                <w:lang w:val="en-GB"/>
              </w:rPr>
              <w:t>0.61</w:t>
            </w:r>
          </w:p>
        </w:tc>
      </w:tr>
      <w:tr w:rsidR="00123C2F" w:rsidRPr="0085295C" w14:paraId="1D2C135C" w14:textId="77777777" w:rsidTr="00552AE1">
        <w:trPr>
          <w:trHeight w:val="471"/>
        </w:trPr>
        <w:tc>
          <w:tcPr>
            <w:tcW w:w="4059" w:type="dxa"/>
            <w:tcBorders>
              <w:top w:val="nil"/>
              <w:bottom w:val="single" w:sz="4" w:space="0" w:color="auto"/>
            </w:tcBorders>
          </w:tcPr>
          <w:p w14:paraId="039C7FE1" w14:textId="77777777" w:rsidR="00123C2F" w:rsidRPr="0085295C" w:rsidRDefault="00123C2F" w:rsidP="00552AE1">
            <w:pPr>
              <w:rPr>
                <w:lang w:val="en-GB"/>
              </w:rPr>
            </w:pPr>
            <w:r w:rsidRPr="0085295C">
              <w:rPr>
                <w:lang w:val="en-GB"/>
              </w:rPr>
              <w:t>Total change rate</w:t>
            </w:r>
          </w:p>
        </w:tc>
        <w:tc>
          <w:tcPr>
            <w:tcW w:w="2083" w:type="dxa"/>
            <w:tcBorders>
              <w:top w:val="nil"/>
              <w:bottom w:val="single" w:sz="4" w:space="0" w:color="auto"/>
            </w:tcBorders>
          </w:tcPr>
          <w:p w14:paraId="25E2963C" w14:textId="77777777" w:rsidR="00123C2F" w:rsidRPr="0085295C" w:rsidRDefault="00123C2F" w:rsidP="00552AE1">
            <w:pPr>
              <w:rPr>
                <w:lang w:val="en-GB"/>
              </w:rPr>
            </w:pPr>
            <w:r w:rsidRPr="0085295C">
              <w:rPr>
                <w:rFonts w:eastAsia="Times New Roman"/>
                <w:lang w:val="en-GB"/>
              </w:rPr>
              <w:t>23,196</w:t>
            </w:r>
          </w:p>
        </w:tc>
        <w:tc>
          <w:tcPr>
            <w:tcW w:w="2875" w:type="dxa"/>
            <w:tcBorders>
              <w:top w:val="nil"/>
              <w:bottom w:val="single" w:sz="4" w:space="0" w:color="auto"/>
            </w:tcBorders>
          </w:tcPr>
          <w:p w14:paraId="00AA37D2" w14:textId="77777777" w:rsidR="00123C2F" w:rsidRPr="0085295C" w:rsidRDefault="00123C2F" w:rsidP="00552AE1">
            <w:pPr>
              <w:rPr>
                <w:lang w:val="en-GB"/>
              </w:rPr>
            </w:pPr>
            <w:r w:rsidRPr="0085295C">
              <w:rPr>
                <w:lang w:val="en-GB"/>
              </w:rPr>
              <w:t>1.42</w:t>
            </w:r>
          </w:p>
        </w:tc>
      </w:tr>
    </w:tbl>
    <w:p w14:paraId="3EEF805F" w14:textId="77777777" w:rsidR="00123C2F" w:rsidRPr="008C4E3D" w:rsidRDefault="00123C2F" w:rsidP="00123C2F">
      <w:pPr>
        <w:widowControl w:val="0"/>
        <w:rPr>
          <w:rFonts w:ascii="Garamond" w:hAnsi="Garamond"/>
          <w:lang w:val="en-GB"/>
        </w:rPr>
      </w:pPr>
      <w:r>
        <w:rPr>
          <w:rFonts w:ascii="Garamond" w:hAnsi="Garamond"/>
          <w:lang w:val="en-GB"/>
        </w:rPr>
        <w:t>Note: The total number of dyad-years in the dataset (N=</w:t>
      </w:r>
      <w:r w:rsidRPr="00B212E1">
        <w:rPr>
          <w:rFonts w:ascii="Garamond" w:hAnsi="Garamond"/>
          <w:lang w:val="en-GB"/>
        </w:rPr>
        <w:t>2,041,718</w:t>
      </w:r>
      <w:r>
        <w:rPr>
          <w:rFonts w:ascii="Garamond" w:hAnsi="Garamond"/>
          <w:lang w:val="en-GB"/>
        </w:rPr>
        <w:t>) is the product of the number of visa-issuing reporting countries (N=211) times the maximum number of visa-targeted nationalities (N=237) times number of years (N=41). This number is corrected by some missing data. Percentage of visa policy changes is calculated as the frequency of one type of policy change divided by the total number of dyad-years (1,631,701) in the entire dataset. The total change rate is the sum of both types of policy changes (visa removals and introductions) divided by the total number of dyad-years.</w:t>
      </w:r>
    </w:p>
    <w:p w14:paraId="051C9A97" w14:textId="77777777" w:rsidR="00123C2F" w:rsidRDefault="00123C2F" w:rsidP="00123C2F"/>
    <w:p w14:paraId="35633506" w14:textId="77777777" w:rsidR="00123C2F" w:rsidRDefault="00123C2F" w:rsidP="00123C2F">
      <w:pPr>
        <w:autoSpaceDE/>
        <w:autoSpaceDN/>
        <w:adjustRightInd/>
        <w:spacing w:after="200"/>
        <w:jc w:val="left"/>
      </w:pPr>
      <w:r>
        <w:br w:type="page"/>
      </w:r>
    </w:p>
    <w:p w14:paraId="39F5FA6D" w14:textId="77777777" w:rsidR="00123C2F" w:rsidRPr="00240131" w:rsidRDefault="00123C2F" w:rsidP="00123C2F">
      <w:pPr>
        <w:rPr>
          <w:highlight w:val="yellow"/>
          <w:lang w:val="en-GB"/>
        </w:rPr>
      </w:pPr>
      <w:r w:rsidRPr="00240131">
        <w:rPr>
          <w:b/>
          <w:lang w:val="en-GB"/>
        </w:rPr>
        <w:lastRenderedPageBreak/>
        <w:t>Table 3</w:t>
      </w:r>
      <w:r w:rsidRPr="00240131">
        <w:rPr>
          <w:lang w:val="en-GB"/>
        </w:rPr>
        <w:t xml:space="preserve"> Typology of regional visa regimes </w:t>
      </w:r>
    </w:p>
    <w:tbl>
      <w:tblPr>
        <w:tblStyle w:val="TableGrid"/>
        <w:tblW w:w="0" w:type="auto"/>
        <w:tblLook w:val="04A0" w:firstRow="1" w:lastRow="0" w:firstColumn="1" w:lastColumn="0" w:noHBand="0" w:noVBand="1"/>
      </w:tblPr>
      <w:tblGrid>
        <w:gridCol w:w="1002"/>
        <w:gridCol w:w="1716"/>
        <w:gridCol w:w="3179"/>
        <w:gridCol w:w="3179"/>
      </w:tblGrid>
      <w:tr w:rsidR="00123C2F" w:rsidRPr="00D23F98" w14:paraId="19AA96DB" w14:textId="77777777" w:rsidTr="00552AE1">
        <w:trPr>
          <w:trHeight w:val="360"/>
        </w:trPr>
        <w:tc>
          <w:tcPr>
            <w:tcW w:w="2718" w:type="dxa"/>
            <w:gridSpan w:val="2"/>
          </w:tcPr>
          <w:p w14:paraId="2C94F9DF" w14:textId="77777777" w:rsidR="00123C2F" w:rsidRPr="00D23F98" w:rsidRDefault="00123C2F" w:rsidP="00552AE1">
            <w:pPr>
              <w:rPr>
                <w:szCs w:val="22"/>
                <w:lang w:val="en-GB"/>
              </w:rPr>
            </w:pPr>
          </w:p>
        </w:tc>
        <w:tc>
          <w:tcPr>
            <w:tcW w:w="6349" w:type="dxa"/>
            <w:gridSpan w:val="2"/>
          </w:tcPr>
          <w:p w14:paraId="6A42A46B" w14:textId="77777777" w:rsidR="00123C2F" w:rsidRPr="00D23F98" w:rsidRDefault="00123C2F" w:rsidP="00552AE1">
            <w:pPr>
              <w:rPr>
                <w:szCs w:val="22"/>
                <w:lang w:val="en-GB"/>
              </w:rPr>
            </w:pPr>
            <w:r>
              <w:rPr>
                <w:szCs w:val="22"/>
                <w:lang w:val="en-GB"/>
              </w:rPr>
              <w:t xml:space="preserve">           </w:t>
            </w:r>
            <w:r w:rsidRPr="00D23F98">
              <w:rPr>
                <w:szCs w:val="22"/>
                <w:lang w:val="en-GB"/>
              </w:rPr>
              <w:t xml:space="preserve"> Outbound restrictiveness</w:t>
            </w:r>
          </w:p>
        </w:tc>
      </w:tr>
      <w:tr w:rsidR="00123C2F" w:rsidRPr="00D23F98" w14:paraId="086BA25D" w14:textId="77777777" w:rsidTr="00552AE1">
        <w:trPr>
          <w:trHeight w:val="349"/>
        </w:trPr>
        <w:tc>
          <w:tcPr>
            <w:tcW w:w="1002" w:type="dxa"/>
            <w:vMerge w:val="restart"/>
            <w:textDirection w:val="btLr"/>
          </w:tcPr>
          <w:p w14:paraId="406A1E4F" w14:textId="77777777" w:rsidR="00123C2F" w:rsidRPr="00D23F98" w:rsidRDefault="00123C2F" w:rsidP="00552AE1">
            <w:pPr>
              <w:ind w:left="113" w:right="113"/>
              <w:jc w:val="center"/>
              <w:rPr>
                <w:szCs w:val="22"/>
                <w:lang w:val="en-GB"/>
              </w:rPr>
            </w:pPr>
            <w:r w:rsidRPr="00D23F98">
              <w:rPr>
                <w:szCs w:val="22"/>
                <w:lang w:val="en-GB"/>
              </w:rPr>
              <w:t>Inbound restrictiveness</w:t>
            </w:r>
          </w:p>
        </w:tc>
        <w:tc>
          <w:tcPr>
            <w:tcW w:w="1716" w:type="dxa"/>
          </w:tcPr>
          <w:p w14:paraId="421992DE" w14:textId="77777777" w:rsidR="00123C2F" w:rsidRPr="00D23F98" w:rsidRDefault="00123C2F" w:rsidP="00552AE1">
            <w:pPr>
              <w:rPr>
                <w:szCs w:val="22"/>
                <w:lang w:val="en-GB"/>
              </w:rPr>
            </w:pPr>
          </w:p>
        </w:tc>
        <w:tc>
          <w:tcPr>
            <w:tcW w:w="3175" w:type="dxa"/>
          </w:tcPr>
          <w:p w14:paraId="6A242424" w14:textId="77777777" w:rsidR="00123C2F" w:rsidRPr="00D23F98" w:rsidRDefault="00123C2F" w:rsidP="00552AE1">
            <w:pPr>
              <w:rPr>
                <w:szCs w:val="22"/>
                <w:lang w:val="en-GB"/>
              </w:rPr>
            </w:pPr>
            <w:r>
              <w:rPr>
                <w:szCs w:val="22"/>
                <w:lang w:val="en-GB"/>
              </w:rPr>
              <w:t xml:space="preserve">  </w:t>
            </w:r>
            <w:r w:rsidRPr="00D23F98">
              <w:rPr>
                <w:szCs w:val="22"/>
                <w:lang w:val="en-GB"/>
              </w:rPr>
              <w:t xml:space="preserve"> Low</w:t>
            </w:r>
          </w:p>
        </w:tc>
        <w:tc>
          <w:tcPr>
            <w:tcW w:w="3175" w:type="dxa"/>
          </w:tcPr>
          <w:p w14:paraId="078B5C96" w14:textId="77777777" w:rsidR="00123C2F" w:rsidRPr="00D23F98" w:rsidRDefault="00123C2F" w:rsidP="00552AE1">
            <w:pPr>
              <w:rPr>
                <w:szCs w:val="22"/>
                <w:lang w:val="en-GB"/>
              </w:rPr>
            </w:pPr>
            <w:r>
              <w:rPr>
                <w:szCs w:val="22"/>
                <w:lang w:val="en-GB"/>
              </w:rPr>
              <w:t xml:space="preserve"> </w:t>
            </w:r>
            <w:r w:rsidRPr="00D23F98">
              <w:rPr>
                <w:szCs w:val="22"/>
                <w:lang w:val="en-GB"/>
              </w:rPr>
              <w:t xml:space="preserve"> High</w:t>
            </w:r>
          </w:p>
        </w:tc>
      </w:tr>
      <w:tr w:rsidR="00123C2F" w:rsidRPr="00D23F98" w14:paraId="388C429E" w14:textId="77777777" w:rsidTr="00552AE1">
        <w:trPr>
          <w:trHeight w:val="125"/>
        </w:trPr>
        <w:tc>
          <w:tcPr>
            <w:tcW w:w="1002" w:type="dxa"/>
            <w:vMerge/>
            <w:textDirection w:val="btLr"/>
          </w:tcPr>
          <w:p w14:paraId="24408248" w14:textId="77777777" w:rsidR="00123C2F" w:rsidRPr="00D23F98" w:rsidRDefault="00123C2F" w:rsidP="00552AE1">
            <w:pPr>
              <w:ind w:left="113" w:right="113"/>
              <w:rPr>
                <w:szCs w:val="22"/>
                <w:lang w:val="en-GB"/>
              </w:rPr>
            </w:pPr>
          </w:p>
        </w:tc>
        <w:tc>
          <w:tcPr>
            <w:tcW w:w="1716" w:type="dxa"/>
          </w:tcPr>
          <w:p w14:paraId="59D2DC58" w14:textId="77777777" w:rsidR="00123C2F" w:rsidRPr="00D23F98" w:rsidRDefault="00123C2F" w:rsidP="00552AE1">
            <w:pPr>
              <w:rPr>
                <w:szCs w:val="22"/>
                <w:lang w:val="en-GB"/>
              </w:rPr>
            </w:pPr>
          </w:p>
          <w:p w14:paraId="095C1428" w14:textId="77777777" w:rsidR="00123C2F" w:rsidRPr="00D23F98" w:rsidRDefault="00123C2F" w:rsidP="00552AE1">
            <w:pPr>
              <w:rPr>
                <w:szCs w:val="22"/>
                <w:lang w:val="en-GB"/>
              </w:rPr>
            </w:pPr>
            <w:r w:rsidRPr="00D23F98">
              <w:rPr>
                <w:szCs w:val="22"/>
                <w:lang w:val="en-GB"/>
              </w:rPr>
              <w:t>Low</w:t>
            </w:r>
          </w:p>
        </w:tc>
        <w:tc>
          <w:tcPr>
            <w:tcW w:w="3175" w:type="dxa"/>
          </w:tcPr>
          <w:p w14:paraId="2C7E037F" w14:textId="77777777" w:rsidR="00123C2F" w:rsidRPr="00D23F98" w:rsidRDefault="00123C2F" w:rsidP="00552AE1">
            <w:pPr>
              <w:rPr>
                <w:szCs w:val="22"/>
                <w:lang w:val="en-GB"/>
              </w:rPr>
            </w:pPr>
          </w:p>
          <w:tbl>
            <w:tblPr>
              <w:tblW w:w="2963" w:type="dxa"/>
              <w:tblLook w:val="04A0" w:firstRow="1" w:lastRow="0" w:firstColumn="1" w:lastColumn="0" w:noHBand="0" w:noVBand="1"/>
            </w:tblPr>
            <w:tblGrid>
              <w:gridCol w:w="2963"/>
            </w:tblGrid>
            <w:tr w:rsidR="00123C2F" w:rsidRPr="00D23F98" w14:paraId="625AA2C3" w14:textId="77777777" w:rsidTr="00552AE1">
              <w:trPr>
                <w:trHeight w:val="261"/>
              </w:trPr>
              <w:tc>
                <w:tcPr>
                  <w:tcW w:w="2963" w:type="dxa"/>
                  <w:tcBorders>
                    <w:top w:val="nil"/>
                    <w:left w:val="nil"/>
                    <w:bottom w:val="nil"/>
                    <w:right w:val="nil"/>
                  </w:tcBorders>
                  <w:shd w:val="clear" w:color="auto" w:fill="auto"/>
                  <w:noWrap/>
                  <w:vAlign w:val="bottom"/>
                  <w:hideMark/>
                </w:tcPr>
                <w:p w14:paraId="7958E51E" w14:textId="77777777" w:rsidR="00123C2F" w:rsidRPr="00D23F98" w:rsidRDefault="00123C2F" w:rsidP="00552AE1">
                  <w:pPr>
                    <w:rPr>
                      <w:rFonts w:eastAsia="Times New Roman"/>
                      <w:szCs w:val="22"/>
                      <w:lang w:val="en-GB" w:eastAsia="en-GB"/>
                    </w:rPr>
                  </w:pPr>
                  <w:r w:rsidRPr="00D23F98">
                    <w:rPr>
                      <w:rFonts w:eastAsia="Times New Roman"/>
                      <w:szCs w:val="22"/>
                      <w:lang w:val="en-GB" w:eastAsia="en-GB"/>
                    </w:rPr>
                    <w:t>Caribbean</w:t>
                  </w:r>
                </w:p>
              </w:tc>
            </w:tr>
            <w:tr w:rsidR="00123C2F" w:rsidRPr="00D23F98" w14:paraId="3B7F429F" w14:textId="77777777" w:rsidTr="00552AE1">
              <w:trPr>
                <w:trHeight w:val="261"/>
              </w:trPr>
              <w:tc>
                <w:tcPr>
                  <w:tcW w:w="2963" w:type="dxa"/>
                  <w:tcBorders>
                    <w:top w:val="nil"/>
                    <w:left w:val="nil"/>
                    <w:bottom w:val="nil"/>
                    <w:right w:val="nil"/>
                  </w:tcBorders>
                  <w:shd w:val="clear" w:color="auto" w:fill="auto"/>
                  <w:noWrap/>
                  <w:vAlign w:val="bottom"/>
                  <w:hideMark/>
                </w:tcPr>
                <w:p w14:paraId="4A22FE36" w14:textId="77777777" w:rsidR="00123C2F" w:rsidRPr="00D23F98" w:rsidRDefault="00123C2F" w:rsidP="00552AE1">
                  <w:pPr>
                    <w:rPr>
                      <w:rFonts w:eastAsia="Times New Roman"/>
                      <w:szCs w:val="22"/>
                      <w:lang w:val="en-GB" w:eastAsia="en-GB"/>
                    </w:rPr>
                  </w:pPr>
                  <w:r w:rsidRPr="00D23F98">
                    <w:rPr>
                      <w:rFonts w:eastAsia="Times New Roman"/>
                      <w:szCs w:val="22"/>
                      <w:lang w:val="en-GB" w:eastAsia="en-GB"/>
                    </w:rPr>
                    <w:t>Northern Europe</w:t>
                  </w:r>
                </w:p>
              </w:tc>
            </w:tr>
            <w:tr w:rsidR="00123C2F" w:rsidRPr="00D23F98" w14:paraId="50EF1A72" w14:textId="77777777" w:rsidTr="00552AE1">
              <w:trPr>
                <w:trHeight w:val="261"/>
              </w:trPr>
              <w:tc>
                <w:tcPr>
                  <w:tcW w:w="2963" w:type="dxa"/>
                  <w:tcBorders>
                    <w:top w:val="nil"/>
                    <w:left w:val="nil"/>
                    <w:bottom w:val="nil"/>
                    <w:right w:val="nil"/>
                  </w:tcBorders>
                  <w:shd w:val="clear" w:color="auto" w:fill="auto"/>
                  <w:noWrap/>
                  <w:vAlign w:val="bottom"/>
                  <w:hideMark/>
                </w:tcPr>
                <w:p w14:paraId="1C2BA1E9" w14:textId="77777777" w:rsidR="00123C2F" w:rsidRPr="00D23F98" w:rsidRDefault="00123C2F" w:rsidP="00552AE1">
                  <w:pPr>
                    <w:rPr>
                      <w:rFonts w:eastAsia="Times New Roman"/>
                      <w:szCs w:val="22"/>
                      <w:lang w:val="en-GB" w:eastAsia="en-GB"/>
                    </w:rPr>
                  </w:pPr>
                  <w:r w:rsidRPr="00D23F98">
                    <w:rPr>
                      <w:rFonts w:eastAsia="Times New Roman"/>
                      <w:szCs w:val="22"/>
                      <w:lang w:val="en-GB" w:eastAsia="en-GB"/>
                    </w:rPr>
                    <w:t>Western Europe</w:t>
                  </w:r>
                </w:p>
              </w:tc>
            </w:tr>
            <w:tr w:rsidR="00123C2F" w:rsidRPr="00D23F98" w14:paraId="5F3E0232" w14:textId="77777777" w:rsidTr="00552AE1">
              <w:trPr>
                <w:trHeight w:val="261"/>
              </w:trPr>
              <w:tc>
                <w:tcPr>
                  <w:tcW w:w="2963" w:type="dxa"/>
                  <w:tcBorders>
                    <w:top w:val="nil"/>
                    <w:left w:val="nil"/>
                    <w:bottom w:val="nil"/>
                    <w:right w:val="nil"/>
                  </w:tcBorders>
                  <w:shd w:val="clear" w:color="auto" w:fill="auto"/>
                  <w:noWrap/>
                  <w:vAlign w:val="bottom"/>
                  <w:hideMark/>
                </w:tcPr>
                <w:p w14:paraId="7FD66718" w14:textId="77777777" w:rsidR="00123C2F" w:rsidRPr="00D23F98" w:rsidRDefault="00123C2F" w:rsidP="00552AE1">
                  <w:pPr>
                    <w:rPr>
                      <w:rFonts w:eastAsia="Times New Roman"/>
                      <w:szCs w:val="22"/>
                      <w:lang w:val="en-GB" w:eastAsia="en-GB"/>
                    </w:rPr>
                  </w:pPr>
                  <w:r w:rsidRPr="00D23F98">
                    <w:rPr>
                      <w:rFonts w:eastAsia="Times New Roman"/>
                      <w:szCs w:val="22"/>
                      <w:lang w:val="en-GB" w:eastAsia="en-GB"/>
                    </w:rPr>
                    <w:t>Northern America</w:t>
                  </w:r>
                </w:p>
              </w:tc>
            </w:tr>
            <w:tr w:rsidR="00123C2F" w:rsidRPr="00D23F98" w14:paraId="072B59B0" w14:textId="77777777" w:rsidTr="00552AE1">
              <w:trPr>
                <w:trHeight w:val="261"/>
              </w:trPr>
              <w:tc>
                <w:tcPr>
                  <w:tcW w:w="2963" w:type="dxa"/>
                  <w:tcBorders>
                    <w:top w:val="nil"/>
                    <w:left w:val="nil"/>
                    <w:bottom w:val="nil"/>
                    <w:right w:val="nil"/>
                  </w:tcBorders>
                  <w:shd w:val="clear" w:color="auto" w:fill="auto"/>
                  <w:noWrap/>
                  <w:vAlign w:val="bottom"/>
                  <w:hideMark/>
                </w:tcPr>
                <w:p w14:paraId="68E72961" w14:textId="77777777" w:rsidR="00123C2F" w:rsidRPr="00D23F98" w:rsidRDefault="00123C2F" w:rsidP="00552AE1">
                  <w:pPr>
                    <w:rPr>
                      <w:rFonts w:eastAsia="Times New Roman"/>
                      <w:szCs w:val="22"/>
                      <w:lang w:val="en-GB" w:eastAsia="en-GB"/>
                    </w:rPr>
                  </w:pPr>
                  <w:r w:rsidRPr="00D23F98">
                    <w:rPr>
                      <w:rFonts w:eastAsia="Times New Roman"/>
                      <w:szCs w:val="22"/>
                      <w:lang w:val="en-GB" w:eastAsia="en-GB"/>
                    </w:rPr>
                    <w:t>Southern Europe</w:t>
                  </w:r>
                </w:p>
              </w:tc>
            </w:tr>
          </w:tbl>
          <w:p w14:paraId="251C7A8C" w14:textId="77777777" w:rsidR="00123C2F" w:rsidRPr="00D23F98" w:rsidRDefault="00123C2F" w:rsidP="00552AE1">
            <w:pPr>
              <w:rPr>
                <w:szCs w:val="22"/>
                <w:lang w:val="en-GB"/>
              </w:rPr>
            </w:pPr>
          </w:p>
        </w:tc>
        <w:tc>
          <w:tcPr>
            <w:tcW w:w="3175" w:type="dxa"/>
          </w:tcPr>
          <w:p w14:paraId="50961CE2" w14:textId="77777777" w:rsidR="00123C2F" w:rsidRPr="00D23F98" w:rsidRDefault="00123C2F" w:rsidP="00552AE1">
            <w:pPr>
              <w:rPr>
                <w:szCs w:val="22"/>
                <w:lang w:val="en-GB"/>
              </w:rPr>
            </w:pPr>
          </w:p>
          <w:tbl>
            <w:tblPr>
              <w:tblW w:w="2963" w:type="dxa"/>
              <w:tblLook w:val="04A0" w:firstRow="1" w:lastRow="0" w:firstColumn="1" w:lastColumn="0" w:noHBand="0" w:noVBand="1"/>
            </w:tblPr>
            <w:tblGrid>
              <w:gridCol w:w="2963"/>
            </w:tblGrid>
            <w:tr w:rsidR="00123C2F" w:rsidRPr="00D23F98" w14:paraId="66CFE6BD" w14:textId="77777777" w:rsidTr="00552AE1">
              <w:trPr>
                <w:trHeight w:val="261"/>
              </w:trPr>
              <w:tc>
                <w:tcPr>
                  <w:tcW w:w="2963" w:type="dxa"/>
                  <w:tcBorders>
                    <w:top w:val="nil"/>
                    <w:left w:val="nil"/>
                    <w:bottom w:val="nil"/>
                    <w:right w:val="nil"/>
                  </w:tcBorders>
                  <w:shd w:val="clear" w:color="auto" w:fill="auto"/>
                  <w:noWrap/>
                  <w:vAlign w:val="bottom"/>
                  <w:hideMark/>
                </w:tcPr>
                <w:p w14:paraId="29DEE3A4" w14:textId="77777777" w:rsidR="00123C2F" w:rsidRPr="00D23F98" w:rsidRDefault="00123C2F" w:rsidP="00552AE1">
                  <w:pPr>
                    <w:rPr>
                      <w:rFonts w:eastAsia="Times New Roman"/>
                      <w:szCs w:val="22"/>
                      <w:lang w:val="en-GB" w:eastAsia="en-GB"/>
                    </w:rPr>
                  </w:pPr>
                  <w:r w:rsidRPr="00D23F98">
                    <w:rPr>
                      <w:rFonts w:eastAsia="Times New Roman"/>
                      <w:szCs w:val="22"/>
                      <w:lang w:val="en-GB" w:eastAsia="en-GB"/>
                    </w:rPr>
                    <w:t>Eastern Asia</w:t>
                  </w:r>
                </w:p>
              </w:tc>
            </w:tr>
            <w:tr w:rsidR="00123C2F" w:rsidRPr="00D23F98" w14:paraId="680DB67E" w14:textId="77777777" w:rsidTr="00552AE1">
              <w:trPr>
                <w:trHeight w:val="261"/>
              </w:trPr>
              <w:tc>
                <w:tcPr>
                  <w:tcW w:w="2963" w:type="dxa"/>
                  <w:tcBorders>
                    <w:top w:val="nil"/>
                    <w:left w:val="nil"/>
                    <w:bottom w:val="nil"/>
                    <w:right w:val="nil"/>
                  </w:tcBorders>
                  <w:shd w:val="clear" w:color="auto" w:fill="auto"/>
                  <w:noWrap/>
                  <w:vAlign w:val="bottom"/>
                  <w:hideMark/>
                </w:tcPr>
                <w:p w14:paraId="50D3CA88" w14:textId="77777777" w:rsidR="00123C2F" w:rsidRPr="00D23F98" w:rsidRDefault="00123C2F" w:rsidP="00552AE1">
                  <w:pPr>
                    <w:rPr>
                      <w:rFonts w:eastAsia="Times New Roman"/>
                      <w:szCs w:val="22"/>
                      <w:lang w:val="en-GB" w:eastAsia="en-GB"/>
                    </w:rPr>
                  </w:pPr>
                  <w:r w:rsidRPr="00D23F98">
                    <w:rPr>
                      <w:rFonts w:eastAsia="Times New Roman"/>
                      <w:szCs w:val="22"/>
                      <w:lang w:val="en-GB" w:eastAsia="en-GB"/>
                    </w:rPr>
                    <w:t>Eastern Africa</w:t>
                  </w:r>
                </w:p>
              </w:tc>
            </w:tr>
            <w:tr w:rsidR="00123C2F" w:rsidRPr="00D23F98" w14:paraId="4D4EEB7E" w14:textId="77777777" w:rsidTr="00552AE1">
              <w:trPr>
                <w:trHeight w:val="261"/>
              </w:trPr>
              <w:tc>
                <w:tcPr>
                  <w:tcW w:w="2963" w:type="dxa"/>
                  <w:tcBorders>
                    <w:top w:val="nil"/>
                    <w:left w:val="nil"/>
                    <w:bottom w:val="nil"/>
                    <w:right w:val="nil"/>
                  </w:tcBorders>
                  <w:shd w:val="clear" w:color="auto" w:fill="auto"/>
                  <w:noWrap/>
                  <w:vAlign w:val="bottom"/>
                  <w:hideMark/>
                </w:tcPr>
                <w:p w14:paraId="711EFFF9" w14:textId="77777777" w:rsidR="00123C2F" w:rsidRPr="00D23F98" w:rsidRDefault="00123C2F" w:rsidP="00552AE1">
                  <w:pPr>
                    <w:rPr>
                      <w:rFonts w:eastAsia="Times New Roman"/>
                      <w:szCs w:val="22"/>
                      <w:lang w:val="en-GB" w:eastAsia="en-GB"/>
                    </w:rPr>
                  </w:pPr>
                  <w:r w:rsidRPr="00D23F98">
                    <w:rPr>
                      <w:rFonts w:eastAsia="Times New Roman"/>
                      <w:szCs w:val="22"/>
                      <w:lang w:val="en-GB" w:eastAsia="en-GB"/>
                    </w:rPr>
                    <w:t>South-Eastern Asia</w:t>
                  </w:r>
                </w:p>
              </w:tc>
            </w:tr>
            <w:tr w:rsidR="00123C2F" w:rsidRPr="00D23F98" w14:paraId="76D74B39" w14:textId="77777777" w:rsidTr="00552AE1">
              <w:trPr>
                <w:trHeight w:val="261"/>
              </w:trPr>
              <w:tc>
                <w:tcPr>
                  <w:tcW w:w="2963" w:type="dxa"/>
                  <w:tcBorders>
                    <w:top w:val="nil"/>
                    <w:left w:val="nil"/>
                    <w:bottom w:val="nil"/>
                    <w:right w:val="nil"/>
                  </w:tcBorders>
                  <w:shd w:val="clear" w:color="auto" w:fill="auto"/>
                  <w:noWrap/>
                  <w:vAlign w:val="bottom"/>
                  <w:hideMark/>
                </w:tcPr>
                <w:p w14:paraId="67AD1A50" w14:textId="77777777" w:rsidR="00123C2F" w:rsidRPr="00D23F98" w:rsidRDefault="00123C2F" w:rsidP="00552AE1">
                  <w:pPr>
                    <w:rPr>
                      <w:rFonts w:eastAsia="Times New Roman"/>
                      <w:szCs w:val="22"/>
                      <w:lang w:val="en-GB" w:eastAsia="en-GB"/>
                    </w:rPr>
                  </w:pPr>
                  <w:r w:rsidRPr="00D23F98">
                    <w:rPr>
                      <w:rFonts w:eastAsia="Times New Roman"/>
                      <w:szCs w:val="22"/>
                      <w:lang w:val="en-GB" w:eastAsia="en-GB"/>
                    </w:rPr>
                    <w:t>Northern Africa</w:t>
                  </w:r>
                </w:p>
              </w:tc>
            </w:tr>
            <w:tr w:rsidR="00123C2F" w:rsidRPr="00D23F98" w14:paraId="578F27EE" w14:textId="77777777" w:rsidTr="00552AE1">
              <w:trPr>
                <w:trHeight w:val="261"/>
              </w:trPr>
              <w:tc>
                <w:tcPr>
                  <w:tcW w:w="2963" w:type="dxa"/>
                  <w:tcBorders>
                    <w:top w:val="nil"/>
                    <w:left w:val="nil"/>
                    <w:bottom w:val="nil"/>
                    <w:right w:val="nil"/>
                  </w:tcBorders>
                  <w:shd w:val="clear" w:color="auto" w:fill="auto"/>
                  <w:noWrap/>
                  <w:vAlign w:val="bottom"/>
                  <w:hideMark/>
                </w:tcPr>
                <w:p w14:paraId="3C6DB395" w14:textId="77777777" w:rsidR="00123C2F" w:rsidRPr="00D23F98" w:rsidRDefault="00123C2F" w:rsidP="00552AE1">
                  <w:pPr>
                    <w:rPr>
                      <w:rFonts w:eastAsia="Times New Roman"/>
                      <w:szCs w:val="22"/>
                      <w:lang w:val="en-GB" w:eastAsia="en-GB"/>
                    </w:rPr>
                  </w:pPr>
                  <w:r w:rsidRPr="00D23F98">
                    <w:rPr>
                      <w:rFonts w:eastAsia="Times New Roman"/>
                      <w:szCs w:val="22"/>
                      <w:lang w:val="en-GB" w:eastAsia="en-GB"/>
                    </w:rPr>
                    <w:t>Southern Asia</w:t>
                  </w:r>
                </w:p>
              </w:tc>
            </w:tr>
          </w:tbl>
          <w:p w14:paraId="29FBB645" w14:textId="77777777" w:rsidR="00123C2F" w:rsidRPr="00D23F98" w:rsidRDefault="00123C2F" w:rsidP="00552AE1">
            <w:pPr>
              <w:rPr>
                <w:szCs w:val="22"/>
                <w:lang w:val="en-GB"/>
              </w:rPr>
            </w:pPr>
          </w:p>
        </w:tc>
      </w:tr>
      <w:tr w:rsidR="00123C2F" w:rsidRPr="00D23F98" w14:paraId="40EC4999" w14:textId="77777777" w:rsidTr="00552AE1">
        <w:trPr>
          <w:trHeight w:val="125"/>
        </w:trPr>
        <w:tc>
          <w:tcPr>
            <w:tcW w:w="1002" w:type="dxa"/>
            <w:vMerge/>
          </w:tcPr>
          <w:p w14:paraId="77E48129" w14:textId="77777777" w:rsidR="00123C2F" w:rsidRPr="00D23F98" w:rsidRDefault="00123C2F" w:rsidP="00552AE1">
            <w:pPr>
              <w:rPr>
                <w:szCs w:val="22"/>
                <w:lang w:val="en-GB"/>
              </w:rPr>
            </w:pPr>
          </w:p>
        </w:tc>
        <w:tc>
          <w:tcPr>
            <w:tcW w:w="1716" w:type="dxa"/>
          </w:tcPr>
          <w:p w14:paraId="143BF2F7" w14:textId="77777777" w:rsidR="00123C2F" w:rsidRPr="00D23F98" w:rsidRDefault="00123C2F" w:rsidP="00552AE1">
            <w:pPr>
              <w:rPr>
                <w:szCs w:val="22"/>
                <w:lang w:val="en-GB"/>
              </w:rPr>
            </w:pPr>
          </w:p>
          <w:p w14:paraId="5AE4A4F4" w14:textId="77777777" w:rsidR="00123C2F" w:rsidRPr="00D23F98" w:rsidRDefault="00123C2F" w:rsidP="00552AE1">
            <w:pPr>
              <w:rPr>
                <w:szCs w:val="22"/>
                <w:lang w:val="en-GB"/>
              </w:rPr>
            </w:pPr>
            <w:r w:rsidRPr="00D23F98">
              <w:rPr>
                <w:szCs w:val="22"/>
                <w:lang w:val="en-GB"/>
              </w:rPr>
              <w:t xml:space="preserve">High </w:t>
            </w:r>
          </w:p>
        </w:tc>
        <w:tc>
          <w:tcPr>
            <w:tcW w:w="3175" w:type="dxa"/>
          </w:tcPr>
          <w:p w14:paraId="1098F976" w14:textId="77777777" w:rsidR="00123C2F" w:rsidRPr="00D23F98" w:rsidRDefault="00123C2F" w:rsidP="00552AE1">
            <w:pPr>
              <w:rPr>
                <w:szCs w:val="22"/>
                <w:lang w:val="en-GB"/>
              </w:rPr>
            </w:pPr>
          </w:p>
          <w:tbl>
            <w:tblPr>
              <w:tblW w:w="2963" w:type="dxa"/>
              <w:tblLook w:val="04A0" w:firstRow="1" w:lastRow="0" w:firstColumn="1" w:lastColumn="0" w:noHBand="0" w:noVBand="1"/>
            </w:tblPr>
            <w:tblGrid>
              <w:gridCol w:w="2963"/>
            </w:tblGrid>
            <w:tr w:rsidR="00123C2F" w:rsidRPr="00D23F98" w14:paraId="3A2C73C6" w14:textId="77777777" w:rsidTr="00552AE1">
              <w:trPr>
                <w:trHeight w:val="261"/>
              </w:trPr>
              <w:tc>
                <w:tcPr>
                  <w:tcW w:w="2963" w:type="dxa"/>
                  <w:tcBorders>
                    <w:top w:val="nil"/>
                    <w:left w:val="nil"/>
                    <w:bottom w:val="nil"/>
                    <w:right w:val="nil"/>
                  </w:tcBorders>
                  <w:shd w:val="clear" w:color="auto" w:fill="auto"/>
                  <w:noWrap/>
                  <w:vAlign w:val="bottom"/>
                  <w:hideMark/>
                </w:tcPr>
                <w:p w14:paraId="57A6EF05" w14:textId="77777777" w:rsidR="00123C2F" w:rsidRPr="00D23F98" w:rsidRDefault="00123C2F" w:rsidP="00552AE1">
                  <w:pPr>
                    <w:rPr>
                      <w:rFonts w:eastAsia="Times New Roman"/>
                      <w:szCs w:val="22"/>
                      <w:lang w:val="en-GB" w:eastAsia="en-GB"/>
                    </w:rPr>
                  </w:pPr>
                  <w:r w:rsidRPr="00D23F98">
                    <w:rPr>
                      <w:rFonts w:eastAsia="Times New Roman"/>
                      <w:szCs w:val="22"/>
                      <w:lang w:val="en-GB" w:eastAsia="en-GB"/>
                    </w:rPr>
                    <w:t>Australia and New Zealand</w:t>
                  </w:r>
                </w:p>
              </w:tc>
            </w:tr>
            <w:tr w:rsidR="00123C2F" w:rsidRPr="00D23F98" w14:paraId="14673065" w14:textId="77777777" w:rsidTr="00552AE1">
              <w:trPr>
                <w:trHeight w:val="261"/>
              </w:trPr>
              <w:tc>
                <w:tcPr>
                  <w:tcW w:w="2963" w:type="dxa"/>
                  <w:tcBorders>
                    <w:top w:val="nil"/>
                    <w:left w:val="nil"/>
                    <w:bottom w:val="nil"/>
                    <w:right w:val="nil"/>
                  </w:tcBorders>
                  <w:shd w:val="clear" w:color="auto" w:fill="auto"/>
                  <w:noWrap/>
                  <w:vAlign w:val="bottom"/>
                  <w:hideMark/>
                </w:tcPr>
                <w:p w14:paraId="56624E6B" w14:textId="77777777" w:rsidR="00123C2F" w:rsidRPr="00D23F98" w:rsidRDefault="00123C2F" w:rsidP="00552AE1">
                  <w:pPr>
                    <w:rPr>
                      <w:rFonts w:eastAsia="Times New Roman"/>
                      <w:szCs w:val="22"/>
                      <w:lang w:val="en-GB" w:eastAsia="en-GB"/>
                    </w:rPr>
                  </w:pPr>
                  <w:r w:rsidRPr="00D23F98">
                    <w:rPr>
                      <w:rFonts w:eastAsia="Times New Roman"/>
                      <w:szCs w:val="22"/>
                      <w:lang w:val="en-GB" w:eastAsia="en-GB"/>
                    </w:rPr>
                    <w:t>South America</w:t>
                  </w:r>
                </w:p>
              </w:tc>
            </w:tr>
            <w:tr w:rsidR="00123C2F" w:rsidRPr="00D23F98" w14:paraId="1D0087E9" w14:textId="77777777" w:rsidTr="00552AE1">
              <w:trPr>
                <w:trHeight w:val="261"/>
              </w:trPr>
              <w:tc>
                <w:tcPr>
                  <w:tcW w:w="2963" w:type="dxa"/>
                  <w:tcBorders>
                    <w:top w:val="nil"/>
                    <w:left w:val="nil"/>
                    <w:bottom w:val="nil"/>
                    <w:right w:val="nil"/>
                  </w:tcBorders>
                  <w:shd w:val="clear" w:color="auto" w:fill="auto"/>
                  <w:noWrap/>
                  <w:vAlign w:val="bottom"/>
                  <w:hideMark/>
                </w:tcPr>
                <w:p w14:paraId="55B85E25" w14:textId="77777777" w:rsidR="00123C2F" w:rsidRPr="00D23F98" w:rsidRDefault="00123C2F" w:rsidP="00552AE1">
                  <w:pPr>
                    <w:rPr>
                      <w:rFonts w:eastAsia="Times New Roman"/>
                      <w:szCs w:val="22"/>
                      <w:lang w:val="en-GB" w:eastAsia="en-GB"/>
                    </w:rPr>
                  </w:pPr>
                  <w:r w:rsidRPr="00D23F98">
                    <w:rPr>
                      <w:rFonts w:eastAsia="Times New Roman"/>
                      <w:szCs w:val="22"/>
                      <w:lang w:val="en-GB" w:eastAsia="en-GB"/>
                    </w:rPr>
                    <w:t>Central America</w:t>
                  </w:r>
                </w:p>
              </w:tc>
            </w:tr>
            <w:tr w:rsidR="00123C2F" w:rsidRPr="00D23F98" w14:paraId="726D7353" w14:textId="77777777" w:rsidTr="00552AE1">
              <w:trPr>
                <w:trHeight w:val="261"/>
              </w:trPr>
              <w:tc>
                <w:tcPr>
                  <w:tcW w:w="2963" w:type="dxa"/>
                  <w:tcBorders>
                    <w:top w:val="nil"/>
                    <w:left w:val="nil"/>
                    <w:bottom w:val="nil"/>
                    <w:right w:val="nil"/>
                  </w:tcBorders>
                  <w:shd w:val="clear" w:color="auto" w:fill="auto"/>
                  <w:noWrap/>
                  <w:vAlign w:val="bottom"/>
                  <w:hideMark/>
                </w:tcPr>
                <w:p w14:paraId="386AC0A6" w14:textId="77777777" w:rsidR="00123C2F" w:rsidRPr="00D23F98" w:rsidRDefault="00123C2F" w:rsidP="00552AE1">
                  <w:pPr>
                    <w:rPr>
                      <w:rFonts w:eastAsia="Times New Roman"/>
                      <w:szCs w:val="22"/>
                      <w:lang w:val="en-GB" w:eastAsia="en-GB"/>
                    </w:rPr>
                  </w:pPr>
                  <w:r w:rsidRPr="00D23F98">
                    <w:rPr>
                      <w:rFonts w:eastAsia="Times New Roman"/>
                      <w:szCs w:val="22"/>
                      <w:lang w:val="en-GB" w:eastAsia="en-GB"/>
                    </w:rPr>
                    <w:t>Southern Africa</w:t>
                  </w:r>
                </w:p>
              </w:tc>
            </w:tr>
            <w:tr w:rsidR="00123C2F" w:rsidRPr="00D23F98" w14:paraId="288A20F3" w14:textId="77777777" w:rsidTr="00552AE1">
              <w:trPr>
                <w:trHeight w:val="261"/>
              </w:trPr>
              <w:tc>
                <w:tcPr>
                  <w:tcW w:w="2963" w:type="dxa"/>
                  <w:tcBorders>
                    <w:top w:val="nil"/>
                    <w:left w:val="nil"/>
                    <w:bottom w:val="nil"/>
                    <w:right w:val="nil"/>
                  </w:tcBorders>
                  <w:shd w:val="clear" w:color="auto" w:fill="auto"/>
                  <w:noWrap/>
                  <w:vAlign w:val="bottom"/>
                  <w:hideMark/>
                </w:tcPr>
                <w:p w14:paraId="6BEE1AE1" w14:textId="77777777" w:rsidR="00123C2F" w:rsidRPr="00D23F98" w:rsidRDefault="00123C2F" w:rsidP="00552AE1">
                  <w:pPr>
                    <w:rPr>
                      <w:rFonts w:eastAsia="Times New Roman"/>
                      <w:szCs w:val="22"/>
                      <w:lang w:val="en-GB" w:eastAsia="en-GB"/>
                    </w:rPr>
                  </w:pPr>
                  <w:r w:rsidRPr="00D23F98">
                    <w:rPr>
                      <w:rFonts w:eastAsia="Times New Roman"/>
                      <w:szCs w:val="22"/>
                      <w:lang w:val="en-GB" w:eastAsia="en-GB"/>
                    </w:rPr>
                    <w:t>Eastern Europe</w:t>
                  </w:r>
                </w:p>
              </w:tc>
            </w:tr>
            <w:tr w:rsidR="00123C2F" w:rsidRPr="00D23F98" w14:paraId="7A16A516" w14:textId="77777777" w:rsidTr="00552AE1">
              <w:trPr>
                <w:trHeight w:val="261"/>
              </w:trPr>
              <w:tc>
                <w:tcPr>
                  <w:tcW w:w="2963" w:type="dxa"/>
                  <w:tcBorders>
                    <w:top w:val="nil"/>
                    <w:left w:val="nil"/>
                    <w:bottom w:val="nil"/>
                    <w:right w:val="nil"/>
                  </w:tcBorders>
                  <w:shd w:val="clear" w:color="auto" w:fill="auto"/>
                  <w:noWrap/>
                  <w:vAlign w:val="bottom"/>
                </w:tcPr>
                <w:p w14:paraId="561EE3D1" w14:textId="77777777" w:rsidR="00123C2F" w:rsidRPr="00D23F98" w:rsidRDefault="00123C2F" w:rsidP="00552AE1">
                  <w:pPr>
                    <w:rPr>
                      <w:rFonts w:eastAsia="Times New Roman"/>
                      <w:szCs w:val="22"/>
                      <w:lang w:val="en-GB" w:eastAsia="en-GB"/>
                    </w:rPr>
                  </w:pPr>
                </w:p>
              </w:tc>
            </w:tr>
          </w:tbl>
          <w:p w14:paraId="51C826DD" w14:textId="77777777" w:rsidR="00123C2F" w:rsidRPr="00D23F98" w:rsidRDefault="00123C2F" w:rsidP="00552AE1">
            <w:pPr>
              <w:rPr>
                <w:szCs w:val="22"/>
                <w:lang w:val="en-GB"/>
              </w:rPr>
            </w:pPr>
          </w:p>
        </w:tc>
        <w:tc>
          <w:tcPr>
            <w:tcW w:w="3175" w:type="dxa"/>
          </w:tcPr>
          <w:p w14:paraId="0687DF74" w14:textId="77777777" w:rsidR="00123C2F" w:rsidRPr="00D23F98" w:rsidRDefault="00123C2F" w:rsidP="00552AE1">
            <w:pPr>
              <w:rPr>
                <w:szCs w:val="22"/>
                <w:lang w:val="en-GB"/>
              </w:rPr>
            </w:pPr>
          </w:p>
          <w:tbl>
            <w:tblPr>
              <w:tblW w:w="2963" w:type="dxa"/>
              <w:tblLook w:val="04A0" w:firstRow="1" w:lastRow="0" w:firstColumn="1" w:lastColumn="0" w:noHBand="0" w:noVBand="1"/>
            </w:tblPr>
            <w:tblGrid>
              <w:gridCol w:w="2963"/>
            </w:tblGrid>
            <w:tr w:rsidR="00123C2F" w:rsidRPr="00D23F98" w14:paraId="3E8C8B0B" w14:textId="77777777" w:rsidTr="00552AE1">
              <w:trPr>
                <w:trHeight w:val="261"/>
              </w:trPr>
              <w:tc>
                <w:tcPr>
                  <w:tcW w:w="2963" w:type="dxa"/>
                  <w:tcBorders>
                    <w:top w:val="nil"/>
                    <w:left w:val="nil"/>
                    <w:bottom w:val="nil"/>
                    <w:right w:val="nil"/>
                  </w:tcBorders>
                  <w:shd w:val="clear" w:color="auto" w:fill="auto"/>
                  <w:noWrap/>
                  <w:vAlign w:val="bottom"/>
                  <w:hideMark/>
                </w:tcPr>
                <w:p w14:paraId="25941F96" w14:textId="77777777" w:rsidR="00123C2F" w:rsidRPr="00D23F98" w:rsidRDefault="00123C2F" w:rsidP="00552AE1">
                  <w:pPr>
                    <w:rPr>
                      <w:rFonts w:eastAsia="Times New Roman"/>
                      <w:szCs w:val="22"/>
                      <w:lang w:val="en-GB" w:eastAsia="en-GB"/>
                    </w:rPr>
                  </w:pPr>
                  <w:r w:rsidRPr="00D23F98">
                    <w:rPr>
                      <w:rFonts w:eastAsia="Times New Roman"/>
                      <w:szCs w:val="22"/>
                      <w:lang w:val="en-GB" w:eastAsia="en-GB"/>
                    </w:rPr>
                    <w:t>Western Africa</w:t>
                  </w:r>
                </w:p>
              </w:tc>
            </w:tr>
            <w:tr w:rsidR="00123C2F" w:rsidRPr="00D23F98" w14:paraId="2A40498C" w14:textId="77777777" w:rsidTr="00552AE1">
              <w:trPr>
                <w:trHeight w:val="261"/>
              </w:trPr>
              <w:tc>
                <w:tcPr>
                  <w:tcW w:w="2963" w:type="dxa"/>
                  <w:tcBorders>
                    <w:top w:val="nil"/>
                    <w:left w:val="nil"/>
                    <w:bottom w:val="nil"/>
                    <w:right w:val="nil"/>
                  </w:tcBorders>
                  <w:shd w:val="clear" w:color="auto" w:fill="auto"/>
                  <w:noWrap/>
                  <w:vAlign w:val="bottom"/>
                  <w:hideMark/>
                </w:tcPr>
                <w:p w14:paraId="30BEFEC3" w14:textId="77777777" w:rsidR="00123C2F" w:rsidRPr="00D23F98" w:rsidRDefault="00123C2F" w:rsidP="00552AE1">
                  <w:pPr>
                    <w:rPr>
                      <w:rFonts w:eastAsia="Times New Roman"/>
                      <w:szCs w:val="22"/>
                      <w:lang w:val="en-GB" w:eastAsia="en-GB"/>
                    </w:rPr>
                  </w:pPr>
                  <w:r w:rsidRPr="00D23F98">
                    <w:rPr>
                      <w:rFonts w:eastAsia="Times New Roman"/>
                      <w:szCs w:val="22"/>
                      <w:lang w:val="en-GB" w:eastAsia="en-GB"/>
                    </w:rPr>
                    <w:t>Western Asia</w:t>
                  </w:r>
                </w:p>
              </w:tc>
            </w:tr>
            <w:tr w:rsidR="00123C2F" w:rsidRPr="00D23F98" w14:paraId="10151595" w14:textId="77777777" w:rsidTr="00552AE1">
              <w:trPr>
                <w:trHeight w:val="261"/>
              </w:trPr>
              <w:tc>
                <w:tcPr>
                  <w:tcW w:w="2963" w:type="dxa"/>
                  <w:tcBorders>
                    <w:top w:val="nil"/>
                    <w:left w:val="nil"/>
                    <w:bottom w:val="nil"/>
                    <w:right w:val="nil"/>
                  </w:tcBorders>
                  <w:shd w:val="clear" w:color="auto" w:fill="auto"/>
                  <w:noWrap/>
                  <w:vAlign w:val="bottom"/>
                  <w:hideMark/>
                </w:tcPr>
                <w:p w14:paraId="7F523701" w14:textId="77777777" w:rsidR="00123C2F" w:rsidRPr="00D23F98" w:rsidRDefault="00123C2F" w:rsidP="00552AE1">
                  <w:pPr>
                    <w:rPr>
                      <w:rFonts w:eastAsia="Times New Roman"/>
                      <w:szCs w:val="22"/>
                      <w:lang w:val="en-GB" w:eastAsia="en-GB"/>
                    </w:rPr>
                  </w:pPr>
                  <w:r w:rsidRPr="00D23F98">
                    <w:rPr>
                      <w:rFonts w:eastAsia="Times New Roman"/>
                      <w:szCs w:val="22"/>
                      <w:lang w:val="en-GB" w:eastAsia="en-GB"/>
                    </w:rPr>
                    <w:t>Central Asia</w:t>
                  </w:r>
                </w:p>
              </w:tc>
            </w:tr>
            <w:tr w:rsidR="00123C2F" w:rsidRPr="00D23F98" w14:paraId="0463A617" w14:textId="77777777" w:rsidTr="00552AE1">
              <w:trPr>
                <w:trHeight w:val="261"/>
              </w:trPr>
              <w:tc>
                <w:tcPr>
                  <w:tcW w:w="2963" w:type="dxa"/>
                  <w:tcBorders>
                    <w:top w:val="nil"/>
                    <w:left w:val="nil"/>
                    <w:bottom w:val="nil"/>
                    <w:right w:val="nil"/>
                  </w:tcBorders>
                  <w:shd w:val="clear" w:color="auto" w:fill="auto"/>
                  <w:noWrap/>
                  <w:vAlign w:val="bottom"/>
                  <w:hideMark/>
                </w:tcPr>
                <w:p w14:paraId="13E99E1E" w14:textId="77777777" w:rsidR="00123C2F" w:rsidRPr="00D23F98" w:rsidRDefault="00123C2F" w:rsidP="00552AE1">
                  <w:pPr>
                    <w:rPr>
                      <w:rFonts w:eastAsia="Times New Roman"/>
                      <w:szCs w:val="22"/>
                      <w:lang w:val="en-GB" w:eastAsia="en-GB"/>
                    </w:rPr>
                  </w:pPr>
                  <w:r w:rsidRPr="00D23F98">
                    <w:rPr>
                      <w:rFonts w:eastAsia="Times New Roman"/>
                      <w:szCs w:val="22"/>
                      <w:lang w:val="en-GB" w:eastAsia="en-GB"/>
                    </w:rPr>
                    <w:t>Middle Africa</w:t>
                  </w:r>
                </w:p>
              </w:tc>
            </w:tr>
            <w:tr w:rsidR="00123C2F" w:rsidRPr="00D23F98" w14:paraId="337BC23E" w14:textId="77777777" w:rsidTr="00552AE1">
              <w:trPr>
                <w:trHeight w:val="261"/>
              </w:trPr>
              <w:tc>
                <w:tcPr>
                  <w:tcW w:w="2963" w:type="dxa"/>
                  <w:tcBorders>
                    <w:top w:val="nil"/>
                    <w:left w:val="nil"/>
                    <w:bottom w:val="nil"/>
                    <w:right w:val="nil"/>
                  </w:tcBorders>
                  <w:shd w:val="clear" w:color="auto" w:fill="auto"/>
                  <w:noWrap/>
                  <w:vAlign w:val="bottom"/>
                  <w:hideMark/>
                </w:tcPr>
                <w:p w14:paraId="7DE774E0" w14:textId="77777777" w:rsidR="00123C2F" w:rsidRPr="00D23F98" w:rsidRDefault="00123C2F" w:rsidP="00552AE1">
                  <w:pPr>
                    <w:rPr>
                      <w:rFonts w:eastAsia="Times New Roman"/>
                      <w:szCs w:val="22"/>
                      <w:lang w:val="en-GB" w:eastAsia="en-GB"/>
                    </w:rPr>
                  </w:pPr>
                  <w:r w:rsidRPr="00D23F98">
                    <w:rPr>
                      <w:rFonts w:eastAsia="Times New Roman"/>
                      <w:szCs w:val="22"/>
                      <w:lang w:val="en-GB" w:eastAsia="en-GB"/>
                    </w:rPr>
                    <w:t>Melanesia</w:t>
                  </w:r>
                </w:p>
              </w:tc>
            </w:tr>
          </w:tbl>
          <w:p w14:paraId="2DD78A95" w14:textId="77777777" w:rsidR="00123C2F" w:rsidRPr="00D23F98" w:rsidRDefault="00123C2F" w:rsidP="00552AE1">
            <w:pPr>
              <w:rPr>
                <w:szCs w:val="22"/>
                <w:lang w:val="en-GB"/>
              </w:rPr>
            </w:pPr>
          </w:p>
        </w:tc>
      </w:tr>
    </w:tbl>
    <w:p w14:paraId="43D059C2" w14:textId="77777777" w:rsidR="00123C2F" w:rsidRPr="003A62E3" w:rsidRDefault="00123C2F" w:rsidP="00123C2F">
      <w:pPr>
        <w:rPr>
          <w:sz w:val="20"/>
          <w:szCs w:val="20"/>
          <w:lang w:val="en-GB"/>
        </w:rPr>
      </w:pPr>
      <w:r w:rsidRPr="003A62E3">
        <w:rPr>
          <w:sz w:val="20"/>
          <w:szCs w:val="20"/>
          <w:lang w:val="en-GB"/>
        </w:rPr>
        <w:t xml:space="preserve">Note: Cut-off points between low and high levels of restrictiveness are about 70 per cent of inbound restrictiveness and 80 per cent of outbound restrictiveness. These cut-off points represent global medians on both indicators. </w:t>
      </w:r>
    </w:p>
    <w:p w14:paraId="2B1045E3" w14:textId="77777777" w:rsidR="00123C2F" w:rsidRDefault="00123C2F" w:rsidP="00123C2F"/>
    <w:p w14:paraId="2A55EA36" w14:textId="77777777" w:rsidR="00123C2F" w:rsidRPr="008C4E3D" w:rsidRDefault="00123C2F" w:rsidP="00123C2F">
      <w:pPr>
        <w:rPr>
          <w:lang w:val="en-GB"/>
        </w:rPr>
      </w:pPr>
      <w:r w:rsidRPr="00BA2C0C">
        <w:rPr>
          <w:b/>
          <w:lang w:val="en-GB"/>
        </w:rPr>
        <w:t>Table 4</w:t>
      </w:r>
      <w:r w:rsidRPr="008C4E3D">
        <w:rPr>
          <w:lang w:val="en-GB"/>
        </w:rPr>
        <w:t xml:space="preserve"> Visa </w:t>
      </w:r>
      <w:r>
        <w:rPr>
          <w:lang w:val="en-GB"/>
        </w:rPr>
        <w:t>r</w:t>
      </w:r>
      <w:r w:rsidRPr="008C4E3D">
        <w:rPr>
          <w:lang w:val="en-GB"/>
        </w:rPr>
        <w:t>estrictions on neighbouring countries</w:t>
      </w:r>
      <w:r>
        <w:rPr>
          <w:lang w:val="en-GB"/>
        </w:rPr>
        <w:t xml:space="preserve"> (percentage), 1973–2013</w:t>
      </w:r>
    </w:p>
    <w:tbl>
      <w:tblPr>
        <w:tblW w:w="0" w:type="auto"/>
        <w:tblBorders>
          <w:top w:val="double" w:sz="4" w:space="0" w:color="auto"/>
          <w:bottom w:val="double" w:sz="4" w:space="0" w:color="auto"/>
        </w:tblBorders>
        <w:tblLayout w:type="fixed"/>
        <w:tblLook w:val="04A0" w:firstRow="1" w:lastRow="0" w:firstColumn="1" w:lastColumn="0" w:noHBand="0" w:noVBand="1"/>
      </w:tblPr>
      <w:tblGrid>
        <w:gridCol w:w="3104"/>
        <w:gridCol w:w="3070"/>
        <w:gridCol w:w="3068"/>
      </w:tblGrid>
      <w:tr w:rsidR="00123C2F" w:rsidRPr="00D23F98" w14:paraId="51D48A56" w14:textId="77777777" w:rsidTr="00552AE1">
        <w:trPr>
          <w:trHeight w:val="697"/>
        </w:trPr>
        <w:tc>
          <w:tcPr>
            <w:tcW w:w="3104" w:type="dxa"/>
            <w:vMerge w:val="restart"/>
            <w:tcBorders>
              <w:top w:val="double" w:sz="4" w:space="0" w:color="auto"/>
            </w:tcBorders>
          </w:tcPr>
          <w:p w14:paraId="3D06DDCD" w14:textId="77777777" w:rsidR="00123C2F" w:rsidRPr="00D23F98" w:rsidRDefault="00123C2F" w:rsidP="00552AE1">
            <w:pPr>
              <w:widowControl w:val="0"/>
              <w:rPr>
                <w:szCs w:val="22"/>
                <w:lang w:val="en-GB"/>
              </w:rPr>
            </w:pPr>
            <w:r w:rsidRPr="00D23F98">
              <w:rPr>
                <w:szCs w:val="22"/>
                <w:lang w:val="en-GB"/>
              </w:rPr>
              <w:t>Contiguous country…</w:t>
            </w:r>
          </w:p>
        </w:tc>
        <w:tc>
          <w:tcPr>
            <w:tcW w:w="6138" w:type="dxa"/>
            <w:gridSpan w:val="2"/>
            <w:tcBorders>
              <w:top w:val="double" w:sz="4" w:space="0" w:color="auto"/>
              <w:bottom w:val="nil"/>
            </w:tcBorders>
          </w:tcPr>
          <w:p w14:paraId="4B77E68D" w14:textId="77777777" w:rsidR="00123C2F" w:rsidRPr="00D23F98" w:rsidRDefault="00123C2F" w:rsidP="00552AE1">
            <w:pPr>
              <w:widowControl w:val="0"/>
              <w:jc w:val="center"/>
              <w:rPr>
                <w:szCs w:val="22"/>
                <w:lang w:val="en-GB"/>
              </w:rPr>
            </w:pPr>
            <w:r w:rsidRPr="00D23F98">
              <w:rPr>
                <w:szCs w:val="22"/>
                <w:lang w:val="en-GB"/>
              </w:rPr>
              <w:t>…is visa-constrained</w:t>
            </w:r>
          </w:p>
        </w:tc>
      </w:tr>
      <w:tr w:rsidR="00123C2F" w:rsidRPr="00D23F98" w14:paraId="0CABF209" w14:textId="77777777" w:rsidTr="00552AE1">
        <w:trPr>
          <w:trHeight w:val="718"/>
        </w:trPr>
        <w:tc>
          <w:tcPr>
            <w:tcW w:w="3104" w:type="dxa"/>
            <w:vMerge/>
            <w:tcBorders>
              <w:bottom w:val="single" w:sz="4" w:space="0" w:color="auto"/>
            </w:tcBorders>
          </w:tcPr>
          <w:p w14:paraId="61CBDA49" w14:textId="77777777" w:rsidR="00123C2F" w:rsidRPr="00D23F98" w:rsidRDefault="00123C2F" w:rsidP="00552AE1">
            <w:pPr>
              <w:widowControl w:val="0"/>
              <w:rPr>
                <w:szCs w:val="22"/>
                <w:lang w:val="en-GB"/>
              </w:rPr>
            </w:pPr>
          </w:p>
        </w:tc>
        <w:tc>
          <w:tcPr>
            <w:tcW w:w="3070" w:type="dxa"/>
            <w:tcBorders>
              <w:top w:val="nil"/>
              <w:bottom w:val="single" w:sz="4" w:space="0" w:color="auto"/>
            </w:tcBorders>
          </w:tcPr>
          <w:p w14:paraId="64820293" w14:textId="77777777" w:rsidR="00123C2F" w:rsidRPr="00D23F98" w:rsidRDefault="00123C2F" w:rsidP="00552AE1">
            <w:pPr>
              <w:widowControl w:val="0"/>
              <w:jc w:val="center"/>
              <w:rPr>
                <w:szCs w:val="22"/>
                <w:lang w:val="en-GB"/>
              </w:rPr>
            </w:pPr>
            <w:r w:rsidRPr="00D23F98">
              <w:rPr>
                <w:szCs w:val="22"/>
                <w:lang w:val="en-GB"/>
              </w:rPr>
              <w:t>no</w:t>
            </w:r>
          </w:p>
        </w:tc>
        <w:tc>
          <w:tcPr>
            <w:tcW w:w="3068" w:type="dxa"/>
            <w:tcBorders>
              <w:top w:val="nil"/>
              <w:bottom w:val="single" w:sz="4" w:space="0" w:color="auto"/>
            </w:tcBorders>
          </w:tcPr>
          <w:p w14:paraId="6AA9BC5B" w14:textId="77777777" w:rsidR="00123C2F" w:rsidRPr="00D23F98" w:rsidRDefault="00123C2F" w:rsidP="00552AE1">
            <w:pPr>
              <w:widowControl w:val="0"/>
              <w:jc w:val="center"/>
              <w:rPr>
                <w:szCs w:val="22"/>
                <w:lang w:val="en-GB"/>
              </w:rPr>
            </w:pPr>
            <w:r w:rsidRPr="00D23F98">
              <w:rPr>
                <w:szCs w:val="22"/>
                <w:lang w:val="en-GB"/>
              </w:rPr>
              <w:t>yes</w:t>
            </w:r>
          </w:p>
        </w:tc>
      </w:tr>
      <w:tr w:rsidR="00123C2F" w:rsidRPr="00D23F98" w14:paraId="6D15BA1F" w14:textId="77777777" w:rsidTr="00552AE1">
        <w:trPr>
          <w:trHeight w:val="718"/>
        </w:trPr>
        <w:tc>
          <w:tcPr>
            <w:tcW w:w="3104" w:type="dxa"/>
            <w:tcBorders>
              <w:top w:val="single" w:sz="4" w:space="0" w:color="auto"/>
            </w:tcBorders>
          </w:tcPr>
          <w:p w14:paraId="3B710A3A" w14:textId="77777777" w:rsidR="00123C2F" w:rsidRPr="00D23F98" w:rsidRDefault="00123C2F" w:rsidP="00552AE1">
            <w:pPr>
              <w:widowControl w:val="0"/>
              <w:jc w:val="center"/>
              <w:rPr>
                <w:szCs w:val="22"/>
                <w:lang w:val="en-GB"/>
              </w:rPr>
            </w:pPr>
            <w:r w:rsidRPr="00D23F98">
              <w:rPr>
                <w:szCs w:val="22"/>
                <w:lang w:val="en-GB"/>
              </w:rPr>
              <w:t>no</w:t>
            </w:r>
          </w:p>
        </w:tc>
        <w:tc>
          <w:tcPr>
            <w:tcW w:w="3070" w:type="dxa"/>
            <w:tcBorders>
              <w:top w:val="single" w:sz="4" w:space="0" w:color="auto"/>
            </w:tcBorders>
          </w:tcPr>
          <w:p w14:paraId="7AA22D6E" w14:textId="77777777" w:rsidR="00123C2F" w:rsidRPr="00D23F98" w:rsidRDefault="00123C2F" w:rsidP="00552AE1">
            <w:pPr>
              <w:widowControl w:val="0"/>
              <w:jc w:val="center"/>
              <w:rPr>
                <w:szCs w:val="22"/>
                <w:lang w:val="en-GB"/>
              </w:rPr>
            </w:pPr>
            <w:r w:rsidRPr="00D23F98">
              <w:rPr>
                <w:szCs w:val="22"/>
                <w:lang w:val="en-GB"/>
              </w:rPr>
              <w:t>27.82</w:t>
            </w:r>
          </w:p>
        </w:tc>
        <w:tc>
          <w:tcPr>
            <w:tcW w:w="3068" w:type="dxa"/>
            <w:tcBorders>
              <w:top w:val="single" w:sz="4" w:space="0" w:color="auto"/>
            </w:tcBorders>
          </w:tcPr>
          <w:p w14:paraId="3AB5D769" w14:textId="77777777" w:rsidR="00123C2F" w:rsidRPr="00D23F98" w:rsidRDefault="00123C2F" w:rsidP="00552AE1">
            <w:pPr>
              <w:widowControl w:val="0"/>
              <w:jc w:val="center"/>
              <w:rPr>
                <w:szCs w:val="22"/>
                <w:lang w:val="en-GB"/>
              </w:rPr>
            </w:pPr>
            <w:r w:rsidRPr="00D23F98">
              <w:rPr>
                <w:szCs w:val="22"/>
                <w:lang w:val="en-GB"/>
              </w:rPr>
              <w:t>72.18</w:t>
            </w:r>
          </w:p>
        </w:tc>
      </w:tr>
      <w:tr w:rsidR="00123C2F" w:rsidRPr="00D23F98" w14:paraId="4F68B352" w14:textId="77777777" w:rsidTr="00552AE1">
        <w:trPr>
          <w:trHeight w:val="697"/>
        </w:trPr>
        <w:tc>
          <w:tcPr>
            <w:tcW w:w="3104" w:type="dxa"/>
            <w:tcBorders>
              <w:bottom w:val="single" w:sz="4" w:space="0" w:color="auto"/>
            </w:tcBorders>
          </w:tcPr>
          <w:p w14:paraId="75923570" w14:textId="77777777" w:rsidR="00123C2F" w:rsidRPr="00D23F98" w:rsidRDefault="00123C2F" w:rsidP="00552AE1">
            <w:pPr>
              <w:widowControl w:val="0"/>
              <w:jc w:val="center"/>
              <w:rPr>
                <w:szCs w:val="22"/>
                <w:lang w:val="en-GB"/>
              </w:rPr>
            </w:pPr>
            <w:r w:rsidRPr="00D23F98">
              <w:rPr>
                <w:szCs w:val="22"/>
                <w:lang w:val="en-GB"/>
              </w:rPr>
              <w:t>yes</w:t>
            </w:r>
          </w:p>
        </w:tc>
        <w:tc>
          <w:tcPr>
            <w:tcW w:w="3070" w:type="dxa"/>
            <w:tcBorders>
              <w:bottom w:val="single" w:sz="4" w:space="0" w:color="auto"/>
            </w:tcBorders>
          </w:tcPr>
          <w:p w14:paraId="05190566" w14:textId="77777777" w:rsidR="00123C2F" w:rsidRPr="00D23F98" w:rsidRDefault="00123C2F" w:rsidP="00552AE1">
            <w:pPr>
              <w:widowControl w:val="0"/>
              <w:jc w:val="center"/>
              <w:rPr>
                <w:szCs w:val="22"/>
                <w:lang w:val="en-GB"/>
              </w:rPr>
            </w:pPr>
            <w:r w:rsidRPr="00D23F98">
              <w:rPr>
                <w:szCs w:val="22"/>
                <w:lang w:val="en-GB"/>
              </w:rPr>
              <w:t>59.83</w:t>
            </w:r>
          </w:p>
        </w:tc>
        <w:tc>
          <w:tcPr>
            <w:tcW w:w="3068" w:type="dxa"/>
            <w:tcBorders>
              <w:bottom w:val="single" w:sz="4" w:space="0" w:color="auto"/>
            </w:tcBorders>
          </w:tcPr>
          <w:p w14:paraId="2BF0C956" w14:textId="77777777" w:rsidR="00123C2F" w:rsidRPr="00D23F98" w:rsidRDefault="00123C2F" w:rsidP="00552AE1">
            <w:pPr>
              <w:widowControl w:val="0"/>
              <w:jc w:val="center"/>
              <w:rPr>
                <w:szCs w:val="22"/>
                <w:lang w:val="en-GB"/>
              </w:rPr>
            </w:pPr>
            <w:r w:rsidRPr="00D23F98">
              <w:rPr>
                <w:szCs w:val="22"/>
                <w:lang w:val="en-GB"/>
              </w:rPr>
              <w:t>40.17</w:t>
            </w:r>
          </w:p>
        </w:tc>
      </w:tr>
      <w:tr w:rsidR="00123C2F" w:rsidRPr="00D23F98" w14:paraId="464B7926" w14:textId="77777777" w:rsidTr="00552AE1">
        <w:trPr>
          <w:trHeight w:val="697"/>
        </w:trPr>
        <w:tc>
          <w:tcPr>
            <w:tcW w:w="3104" w:type="dxa"/>
            <w:tcBorders>
              <w:top w:val="single" w:sz="4" w:space="0" w:color="auto"/>
            </w:tcBorders>
          </w:tcPr>
          <w:p w14:paraId="7EB42AC6" w14:textId="77777777" w:rsidR="00123C2F" w:rsidRPr="00D23F98" w:rsidRDefault="00123C2F" w:rsidP="00552AE1">
            <w:pPr>
              <w:widowControl w:val="0"/>
              <w:rPr>
                <w:szCs w:val="22"/>
                <w:lang w:val="en-GB"/>
              </w:rPr>
            </w:pPr>
            <w:r w:rsidRPr="00D23F98">
              <w:rPr>
                <w:szCs w:val="22"/>
                <w:lang w:val="en-GB"/>
              </w:rPr>
              <w:t>Total</w:t>
            </w:r>
          </w:p>
        </w:tc>
        <w:tc>
          <w:tcPr>
            <w:tcW w:w="3070" w:type="dxa"/>
            <w:tcBorders>
              <w:top w:val="single" w:sz="4" w:space="0" w:color="auto"/>
            </w:tcBorders>
          </w:tcPr>
          <w:p w14:paraId="60D9F3E6" w14:textId="77777777" w:rsidR="00123C2F" w:rsidRPr="00D23F98" w:rsidRDefault="00123C2F" w:rsidP="00552AE1">
            <w:pPr>
              <w:widowControl w:val="0"/>
              <w:jc w:val="center"/>
              <w:rPr>
                <w:szCs w:val="22"/>
                <w:lang w:val="en-GB"/>
              </w:rPr>
            </w:pPr>
            <w:r w:rsidRPr="00D23F98">
              <w:rPr>
                <w:szCs w:val="22"/>
                <w:lang w:val="en-GB"/>
              </w:rPr>
              <w:t>28.25</w:t>
            </w:r>
          </w:p>
        </w:tc>
        <w:tc>
          <w:tcPr>
            <w:tcW w:w="3068" w:type="dxa"/>
            <w:tcBorders>
              <w:top w:val="single" w:sz="4" w:space="0" w:color="auto"/>
            </w:tcBorders>
          </w:tcPr>
          <w:p w14:paraId="246EB611" w14:textId="77777777" w:rsidR="00123C2F" w:rsidRPr="00D23F98" w:rsidRDefault="00123C2F" w:rsidP="00552AE1">
            <w:pPr>
              <w:widowControl w:val="0"/>
              <w:jc w:val="center"/>
              <w:rPr>
                <w:szCs w:val="22"/>
                <w:lang w:val="en-GB"/>
              </w:rPr>
            </w:pPr>
            <w:r w:rsidRPr="00D23F98">
              <w:rPr>
                <w:szCs w:val="22"/>
                <w:lang w:val="en-GB"/>
              </w:rPr>
              <w:t>71.75</w:t>
            </w:r>
          </w:p>
        </w:tc>
      </w:tr>
    </w:tbl>
    <w:p w14:paraId="587391E0" w14:textId="77777777" w:rsidR="00123C2F" w:rsidRDefault="00123C2F" w:rsidP="00123C2F"/>
    <w:p w14:paraId="64B02DDE" w14:textId="77777777" w:rsidR="00123C2F" w:rsidRDefault="00123C2F" w:rsidP="00123C2F"/>
    <w:p w14:paraId="55DC8247" w14:textId="77777777" w:rsidR="00123C2F" w:rsidRDefault="00123C2F" w:rsidP="00123C2F">
      <w:pPr>
        <w:autoSpaceDE/>
        <w:autoSpaceDN/>
        <w:adjustRightInd/>
        <w:spacing w:after="200"/>
        <w:jc w:val="left"/>
      </w:pPr>
      <w:r>
        <w:br w:type="page"/>
      </w:r>
    </w:p>
    <w:p w14:paraId="077EB576" w14:textId="77777777" w:rsidR="00123C2F" w:rsidRPr="008C4E3D" w:rsidRDefault="00123C2F" w:rsidP="00123C2F">
      <w:pPr>
        <w:jc w:val="left"/>
        <w:rPr>
          <w:lang w:val="en-GB"/>
        </w:rPr>
        <w:sectPr w:rsidR="00123C2F" w:rsidRPr="008C4E3D" w:rsidSect="0085295C">
          <w:pgSz w:w="11906" w:h="16838"/>
          <w:pgMar w:top="1440" w:right="1440" w:bottom="1440" w:left="1440" w:header="708" w:footer="708" w:gutter="0"/>
          <w:cols w:space="708"/>
          <w:docGrid w:linePitch="360"/>
        </w:sectPr>
      </w:pPr>
      <w:r w:rsidRPr="008C4E3D">
        <w:rPr>
          <w:b/>
          <w:lang w:val="en-GB"/>
        </w:rPr>
        <w:lastRenderedPageBreak/>
        <w:t>Table A</w:t>
      </w:r>
      <w:r>
        <w:rPr>
          <w:b/>
          <w:lang w:val="en-GB"/>
        </w:rPr>
        <w:t>-</w:t>
      </w:r>
      <w:r w:rsidRPr="008C4E3D">
        <w:rPr>
          <w:b/>
          <w:lang w:val="en-GB"/>
        </w:rPr>
        <w:fldChar w:fldCharType="begin"/>
      </w:r>
      <w:r w:rsidRPr="008C4E3D">
        <w:rPr>
          <w:b/>
          <w:lang w:val="en-GB"/>
        </w:rPr>
        <w:instrText xml:space="preserve"> SEQ Table \* ARABIC </w:instrText>
      </w:r>
      <w:r w:rsidRPr="008C4E3D">
        <w:rPr>
          <w:b/>
          <w:lang w:val="en-GB"/>
        </w:rPr>
        <w:fldChar w:fldCharType="separate"/>
      </w:r>
      <w:r>
        <w:rPr>
          <w:b/>
          <w:noProof/>
          <w:lang w:val="en-GB"/>
        </w:rPr>
        <w:t>1</w:t>
      </w:r>
      <w:r w:rsidRPr="008C4E3D">
        <w:rPr>
          <w:b/>
          <w:lang w:val="en-GB"/>
        </w:rPr>
        <w:fldChar w:fldCharType="end"/>
      </w:r>
      <w:r w:rsidRPr="008C4E3D">
        <w:rPr>
          <w:lang w:val="en-GB"/>
        </w:rPr>
        <w:t xml:space="preserve"> Country categorisation by continent and region</w:t>
      </w:r>
    </w:p>
    <w:tbl>
      <w:tblPr>
        <w:tblW w:w="3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9"/>
      </w:tblGrid>
      <w:tr w:rsidR="00123C2F" w:rsidRPr="00D23F98" w14:paraId="73C9563D" w14:textId="77777777" w:rsidTr="00552AE1">
        <w:trPr>
          <w:trHeight w:val="276"/>
        </w:trPr>
        <w:tc>
          <w:tcPr>
            <w:tcW w:w="3159" w:type="dxa"/>
            <w:noWrap/>
          </w:tcPr>
          <w:p w14:paraId="23043747" w14:textId="77777777" w:rsidR="00123C2F" w:rsidRPr="00D23F98" w:rsidRDefault="00123C2F" w:rsidP="00552AE1">
            <w:pPr>
              <w:pStyle w:val="NoSpacing"/>
              <w:rPr>
                <w:rFonts w:ascii="Times New Roman" w:hAnsi="Times New Roman" w:cs="Times New Roman"/>
                <w:b/>
                <w:lang w:eastAsia="en-GB"/>
              </w:rPr>
            </w:pPr>
            <w:r w:rsidRPr="00D23F98">
              <w:rPr>
                <w:rFonts w:ascii="Times New Roman" w:hAnsi="Times New Roman" w:cs="Times New Roman"/>
                <w:b/>
                <w:lang w:eastAsia="en-GB"/>
              </w:rPr>
              <w:lastRenderedPageBreak/>
              <w:t>Africa</w:t>
            </w:r>
          </w:p>
        </w:tc>
      </w:tr>
      <w:tr w:rsidR="00123C2F" w:rsidRPr="00D23F98" w14:paraId="6FB20254" w14:textId="77777777" w:rsidTr="00552AE1">
        <w:trPr>
          <w:trHeight w:val="276"/>
        </w:trPr>
        <w:tc>
          <w:tcPr>
            <w:tcW w:w="3159" w:type="dxa"/>
            <w:noWrap/>
          </w:tcPr>
          <w:p w14:paraId="0DFE4BE3" w14:textId="77777777" w:rsidR="00123C2F" w:rsidRPr="00D23F98" w:rsidRDefault="00123C2F" w:rsidP="00552AE1">
            <w:pPr>
              <w:pStyle w:val="NoSpacing"/>
              <w:rPr>
                <w:rFonts w:ascii="Times New Roman" w:hAnsi="Times New Roman" w:cs="Times New Roman"/>
                <w:b/>
                <w:i/>
                <w:lang w:eastAsia="en-GB"/>
              </w:rPr>
            </w:pPr>
            <w:r w:rsidRPr="00D23F98">
              <w:rPr>
                <w:rFonts w:ascii="Times New Roman" w:hAnsi="Times New Roman" w:cs="Times New Roman"/>
                <w:b/>
                <w:i/>
                <w:lang w:eastAsia="en-GB"/>
              </w:rPr>
              <w:t>Eastern Africa</w:t>
            </w:r>
          </w:p>
        </w:tc>
      </w:tr>
      <w:tr w:rsidR="00123C2F" w:rsidRPr="00D23F98" w14:paraId="587D3CA0" w14:textId="77777777" w:rsidTr="00552AE1">
        <w:trPr>
          <w:trHeight w:val="276"/>
        </w:trPr>
        <w:tc>
          <w:tcPr>
            <w:tcW w:w="3159" w:type="dxa"/>
            <w:noWrap/>
            <w:hideMark/>
          </w:tcPr>
          <w:p w14:paraId="1B103991"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Burundi</w:t>
            </w:r>
          </w:p>
        </w:tc>
      </w:tr>
      <w:tr w:rsidR="00123C2F" w:rsidRPr="00D23F98" w14:paraId="25A69453" w14:textId="77777777" w:rsidTr="00552AE1">
        <w:trPr>
          <w:trHeight w:val="276"/>
        </w:trPr>
        <w:tc>
          <w:tcPr>
            <w:tcW w:w="3159" w:type="dxa"/>
            <w:noWrap/>
            <w:hideMark/>
          </w:tcPr>
          <w:p w14:paraId="578BB4DE"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Comoros</w:t>
            </w:r>
          </w:p>
        </w:tc>
      </w:tr>
      <w:tr w:rsidR="00123C2F" w:rsidRPr="00D23F98" w14:paraId="25A0BC00" w14:textId="77777777" w:rsidTr="00552AE1">
        <w:trPr>
          <w:trHeight w:val="276"/>
        </w:trPr>
        <w:tc>
          <w:tcPr>
            <w:tcW w:w="3159" w:type="dxa"/>
            <w:noWrap/>
            <w:hideMark/>
          </w:tcPr>
          <w:p w14:paraId="0294E84E"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Djibouti</w:t>
            </w:r>
          </w:p>
        </w:tc>
      </w:tr>
      <w:tr w:rsidR="00123C2F" w:rsidRPr="00D23F98" w14:paraId="4B6D7292" w14:textId="77777777" w:rsidTr="00552AE1">
        <w:trPr>
          <w:trHeight w:val="276"/>
        </w:trPr>
        <w:tc>
          <w:tcPr>
            <w:tcW w:w="3159" w:type="dxa"/>
            <w:noWrap/>
            <w:hideMark/>
          </w:tcPr>
          <w:p w14:paraId="2259004E"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Eritrea</w:t>
            </w:r>
          </w:p>
        </w:tc>
      </w:tr>
      <w:tr w:rsidR="00123C2F" w:rsidRPr="00D23F98" w14:paraId="35C7F7A6" w14:textId="77777777" w:rsidTr="00552AE1">
        <w:trPr>
          <w:trHeight w:val="276"/>
        </w:trPr>
        <w:tc>
          <w:tcPr>
            <w:tcW w:w="3159" w:type="dxa"/>
            <w:noWrap/>
            <w:hideMark/>
          </w:tcPr>
          <w:p w14:paraId="40D13AC2"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Ethiopia</w:t>
            </w:r>
          </w:p>
        </w:tc>
      </w:tr>
      <w:tr w:rsidR="00123C2F" w:rsidRPr="00D23F98" w14:paraId="33913734" w14:textId="77777777" w:rsidTr="00552AE1">
        <w:trPr>
          <w:trHeight w:val="276"/>
        </w:trPr>
        <w:tc>
          <w:tcPr>
            <w:tcW w:w="3159" w:type="dxa"/>
            <w:noWrap/>
            <w:hideMark/>
          </w:tcPr>
          <w:p w14:paraId="5374669B"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Kenya</w:t>
            </w:r>
          </w:p>
        </w:tc>
      </w:tr>
      <w:tr w:rsidR="00123C2F" w:rsidRPr="00D23F98" w14:paraId="3CA2A5FD" w14:textId="77777777" w:rsidTr="00552AE1">
        <w:trPr>
          <w:trHeight w:val="276"/>
        </w:trPr>
        <w:tc>
          <w:tcPr>
            <w:tcW w:w="3159" w:type="dxa"/>
            <w:noWrap/>
            <w:hideMark/>
          </w:tcPr>
          <w:p w14:paraId="64FF9922"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Madagascar</w:t>
            </w:r>
          </w:p>
        </w:tc>
      </w:tr>
      <w:tr w:rsidR="00123C2F" w:rsidRPr="00D23F98" w14:paraId="4CDAE069" w14:textId="77777777" w:rsidTr="00552AE1">
        <w:trPr>
          <w:trHeight w:val="276"/>
        </w:trPr>
        <w:tc>
          <w:tcPr>
            <w:tcW w:w="3159" w:type="dxa"/>
            <w:noWrap/>
            <w:hideMark/>
          </w:tcPr>
          <w:p w14:paraId="46C69F52"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Malawi</w:t>
            </w:r>
          </w:p>
        </w:tc>
      </w:tr>
      <w:tr w:rsidR="00123C2F" w:rsidRPr="00D23F98" w14:paraId="4043295C" w14:textId="77777777" w:rsidTr="00552AE1">
        <w:trPr>
          <w:trHeight w:val="276"/>
        </w:trPr>
        <w:tc>
          <w:tcPr>
            <w:tcW w:w="3159" w:type="dxa"/>
            <w:noWrap/>
            <w:hideMark/>
          </w:tcPr>
          <w:p w14:paraId="03DFEAE6"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Mauritius</w:t>
            </w:r>
          </w:p>
        </w:tc>
      </w:tr>
      <w:tr w:rsidR="00123C2F" w:rsidRPr="00D23F98" w14:paraId="084F8B84" w14:textId="77777777" w:rsidTr="00552AE1">
        <w:trPr>
          <w:trHeight w:val="276"/>
        </w:trPr>
        <w:tc>
          <w:tcPr>
            <w:tcW w:w="3159" w:type="dxa"/>
            <w:noWrap/>
            <w:hideMark/>
          </w:tcPr>
          <w:p w14:paraId="6B9683EA"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Mayotte</w:t>
            </w:r>
          </w:p>
        </w:tc>
      </w:tr>
      <w:tr w:rsidR="00123C2F" w:rsidRPr="00D23F98" w14:paraId="3E811126" w14:textId="77777777" w:rsidTr="00552AE1">
        <w:trPr>
          <w:trHeight w:val="276"/>
        </w:trPr>
        <w:tc>
          <w:tcPr>
            <w:tcW w:w="3159" w:type="dxa"/>
            <w:noWrap/>
            <w:hideMark/>
          </w:tcPr>
          <w:p w14:paraId="6EA802D1"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Mozambique</w:t>
            </w:r>
          </w:p>
        </w:tc>
      </w:tr>
      <w:tr w:rsidR="00123C2F" w:rsidRPr="00D23F98" w14:paraId="3D2DE633" w14:textId="77777777" w:rsidTr="00552AE1">
        <w:trPr>
          <w:trHeight w:val="276"/>
        </w:trPr>
        <w:tc>
          <w:tcPr>
            <w:tcW w:w="3159" w:type="dxa"/>
            <w:noWrap/>
            <w:hideMark/>
          </w:tcPr>
          <w:p w14:paraId="787BB724"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Reunion</w:t>
            </w:r>
          </w:p>
        </w:tc>
      </w:tr>
      <w:tr w:rsidR="00123C2F" w:rsidRPr="00D23F98" w14:paraId="02E73A83" w14:textId="77777777" w:rsidTr="00552AE1">
        <w:trPr>
          <w:trHeight w:val="276"/>
        </w:trPr>
        <w:tc>
          <w:tcPr>
            <w:tcW w:w="3159" w:type="dxa"/>
            <w:noWrap/>
            <w:hideMark/>
          </w:tcPr>
          <w:p w14:paraId="24E511C3"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Rwanda</w:t>
            </w:r>
          </w:p>
        </w:tc>
      </w:tr>
      <w:tr w:rsidR="00123C2F" w:rsidRPr="00D23F98" w14:paraId="0740780B" w14:textId="77777777" w:rsidTr="00552AE1">
        <w:trPr>
          <w:trHeight w:val="276"/>
        </w:trPr>
        <w:tc>
          <w:tcPr>
            <w:tcW w:w="3159" w:type="dxa"/>
            <w:noWrap/>
            <w:hideMark/>
          </w:tcPr>
          <w:p w14:paraId="7BBC70CE"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Seychelles</w:t>
            </w:r>
          </w:p>
        </w:tc>
      </w:tr>
      <w:tr w:rsidR="00123C2F" w:rsidRPr="00D23F98" w14:paraId="60999975" w14:textId="77777777" w:rsidTr="00552AE1">
        <w:trPr>
          <w:trHeight w:val="276"/>
        </w:trPr>
        <w:tc>
          <w:tcPr>
            <w:tcW w:w="3159" w:type="dxa"/>
            <w:noWrap/>
            <w:hideMark/>
          </w:tcPr>
          <w:p w14:paraId="4F49E316"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Somalia</w:t>
            </w:r>
          </w:p>
        </w:tc>
      </w:tr>
      <w:tr w:rsidR="00123C2F" w:rsidRPr="00D23F98" w14:paraId="60C45408" w14:textId="77777777" w:rsidTr="00552AE1">
        <w:trPr>
          <w:trHeight w:val="276"/>
        </w:trPr>
        <w:tc>
          <w:tcPr>
            <w:tcW w:w="3159" w:type="dxa"/>
            <w:noWrap/>
            <w:hideMark/>
          </w:tcPr>
          <w:p w14:paraId="7FA10EDE"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South Sudan</w:t>
            </w:r>
          </w:p>
        </w:tc>
      </w:tr>
      <w:tr w:rsidR="00123C2F" w:rsidRPr="00D23F98" w14:paraId="1EB12FFD" w14:textId="77777777" w:rsidTr="00552AE1">
        <w:trPr>
          <w:trHeight w:val="276"/>
        </w:trPr>
        <w:tc>
          <w:tcPr>
            <w:tcW w:w="3159" w:type="dxa"/>
            <w:noWrap/>
            <w:hideMark/>
          </w:tcPr>
          <w:p w14:paraId="66D89AA2"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Tanzania, United Republic of</w:t>
            </w:r>
          </w:p>
        </w:tc>
      </w:tr>
      <w:tr w:rsidR="00123C2F" w:rsidRPr="00D23F98" w14:paraId="7E43A218" w14:textId="77777777" w:rsidTr="00552AE1">
        <w:trPr>
          <w:trHeight w:val="276"/>
        </w:trPr>
        <w:tc>
          <w:tcPr>
            <w:tcW w:w="3159" w:type="dxa"/>
            <w:noWrap/>
            <w:hideMark/>
          </w:tcPr>
          <w:p w14:paraId="0E8ACF69"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Uganda</w:t>
            </w:r>
          </w:p>
        </w:tc>
      </w:tr>
      <w:tr w:rsidR="00123C2F" w:rsidRPr="00D23F98" w14:paraId="53B2B98E" w14:textId="77777777" w:rsidTr="00552AE1">
        <w:trPr>
          <w:trHeight w:val="276"/>
        </w:trPr>
        <w:tc>
          <w:tcPr>
            <w:tcW w:w="3159" w:type="dxa"/>
            <w:noWrap/>
            <w:hideMark/>
          </w:tcPr>
          <w:p w14:paraId="03AE6058"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Zambia</w:t>
            </w:r>
          </w:p>
        </w:tc>
      </w:tr>
      <w:tr w:rsidR="00123C2F" w:rsidRPr="00D23F98" w14:paraId="373A91D1" w14:textId="77777777" w:rsidTr="00552AE1">
        <w:trPr>
          <w:trHeight w:val="276"/>
        </w:trPr>
        <w:tc>
          <w:tcPr>
            <w:tcW w:w="3159" w:type="dxa"/>
            <w:noWrap/>
            <w:hideMark/>
          </w:tcPr>
          <w:p w14:paraId="0A854F29"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Zimbabwe</w:t>
            </w:r>
          </w:p>
        </w:tc>
      </w:tr>
      <w:tr w:rsidR="00123C2F" w:rsidRPr="00D23F98" w14:paraId="4E39B00F" w14:textId="77777777" w:rsidTr="00552AE1">
        <w:trPr>
          <w:trHeight w:val="276"/>
        </w:trPr>
        <w:tc>
          <w:tcPr>
            <w:tcW w:w="3159" w:type="dxa"/>
            <w:noWrap/>
          </w:tcPr>
          <w:p w14:paraId="5CF8C20F" w14:textId="77777777" w:rsidR="00123C2F" w:rsidRPr="00D23F98" w:rsidRDefault="00123C2F" w:rsidP="00552AE1">
            <w:pPr>
              <w:pStyle w:val="NoSpacing"/>
              <w:rPr>
                <w:rFonts w:ascii="Times New Roman" w:hAnsi="Times New Roman" w:cs="Times New Roman"/>
                <w:b/>
                <w:i/>
                <w:lang w:eastAsia="en-GB"/>
              </w:rPr>
            </w:pPr>
            <w:r w:rsidRPr="00D23F98">
              <w:rPr>
                <w:rFonts w:ascii="Times New Roman" w:hAnsi="Times New Roman" w:cs="Times New Roman"/>
                <w:b/>
                <w:i/>
                <w:lang w:eastAsia="en-GB"/>
              </w:rPr>
              <w:t>Middle Africa</w:t>
            </w:r>
          </w:p>
        </w:tc>
      </w:tr>
      <w:tr w:rsidR="00123C2F" w:rsidRPr="00D23F98" w14:paraId="029BA9FE" w14:textId="77777777" w:rsidTr="00552AE1">
        <w:trPr>
          <w:trHeight w:val="276"/>
        </w:trPr>
        <w:tc>
          <w:tcPr>
            <w:tcW w:w="3159" w:type="dxa"/>
            <w:noWrap/>
            <w:hideMark/>
          </w:tcPr>
          <w:p w14:paraId="16241DE5"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Angola</w:t>
            </w:r>
          </w:p>
        </w:tc>
      </w:tr>
      <w:tr w:rsidR="00123C2F" w:rsidRPr="00D23F98" w14:paraId="171B61D0" w14:textId="77777777" w:rsidTr="00552AE1">
        <w:trPr>
          <w:trHeight w:val="276"/>
        </w:trPr>
        <w:tc>
          <w:tcPr>
            <w:tcW w:w="3159" w:type="dxa"/>
            <w:noWrap/>
            <w:hideMark/>
          </w:tcPr>
          <w:p w14:paraId="28D539E9"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Cameroon</w:t>
            </w:r>
          </w:p>
        </w:tc>
      </w:tr>
      <w:tr w:rsidR="00123C2F" w:rsidRPr="00D23F98" w14:paraId="37233E15" w14:textId="77777777" w:rsidTr="00552AE1">
        <w:trPr>
          <w:trHeight w:val="276"/>
        </w:trPr>
        <w:tc>
          <w:tcPr>
            <w:tcW w:w="3159" w:type="dxa"/>
            <w:noWrap/>
            <w:hideMark/>
          </w:tcPr>
          <w:p w14:paraId="10841B98"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Central African Republic</w:t>
            </w:r>
          </w:p>
        </w:tc>
      </w:tr>
      <w:tr w:rsidR="00123C2F" w:rsidRPr="00D23F98" w14:paraId="5F1DB694" w14:textId="77777777" w:rsidTr="00552AE1">
        <w:trPr>
          <w:trHeight w:val="276"/>
        </w:trPr>
        <w:tc>
          <w:tcPr>
            <w:tcW w:w="3159" w:type="dxa"/>
            <w:noWrap/>
            <w:hideMark/>
          </w:tcPr>
          <w:p w14:paraId="5E117761"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Chad</w:t>
            </w:r>
          </w:p>
        </w:tc>
      </w:tr>
      <w:tr w:rsidR="00123C2F" w:rsidRPr="00D23F98" w14:paraId="12A7B0D4" w14:textId="77777777" w:rsidTr="00552AE1">
        <w:trPr>
          <w:trHeight w:val="276"/>
        </w:trPr>
        <w:tc>
          <w:tcPr>
            <w:tcW w:w="3159" w:type="dxa"/>
            <w:noWrap/>
            <w:hideMark/>
          </w:tcPr>
          <w:p w14:paraId="11F22CA7"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Congo</w:t>
            </w:r>
          </w:p>
        </w:tc>
      </w:tr>
      <w:tr w:rsidR="00123C2F" w:rsidRPr="00D23F98" w14:paraId="560F82B0" w14:textId="77777777" w:rsidTr="00552AE1">
        <w:trPr>
          <w:trHeight w:val="276"/>
        </w:trPr>
        <w:tc>
          <w:tcPr>
            <w:tcW w:w="3159" w:type="dxa"/>
            <w:noWrap/>
            <w:hideMark/>
          </w:tcPr>
          <w:p w14:paraId="4637644C"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Congo, DR</w:t>
            </w:r>
          </w:p>
        </w:tc>
      </w:tr>
      <w:tr w:rsidR="00123C2F" w:rsidRPr="00D23F98" w14:paraId="4E0D2AB5" w14:textId="77777777" w:rsidTr="00552AE1">
        <w:trPr>
          <w:trHeight w:val="276"/>
        </w:trPr>
        <w:tc>
          <w:tcPr>
            <w:tcW w:w="3159" w:type="dxa"/>
            <w:noWrap/>
            <w:hideMark/>
          </w:tcPr>
          <w:p w14:paraId="2C1573EE"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Equatorial Guinea</w:t>
            </w:r>
          </w:p>
        </w:tc>
      </w:tr>
      <w:tr w:rsidR="00123C2F" w:rsidRPr="00D23F98" w14:paraId="3CA996E5" w14:textId="77777777" w:rsidTr="00552AE1">
        <w:trPr>
          <w:trHeight w:val="276"/>
        </w:trPr>
        <w:tc>
          <w:tcPr>
            <w:tcW w:w="3159" w:type="dxa"/>
            <w:noWrap/>
            <w:hideMark/>
          </w:tcPr>
          <w:p w14:paraId="6A2C32E6"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Gabon</w:t>
            </w:r>
          </w:p>
        </w:tc>
      </w:tr>
      <w:tr w:rsidR="00123C2F" w:rsidRPr="00D23F98" w14:paraId="374CCE0D" w14:textId="77777777" w:rsidTr="00552AE1">
        <w:trPr>
          <w:trHeight w:val="276"/>
        </w:trPr>
        <w:tc>
          <w:tcPr>
            <w:tcW w:w="3159" w:type="dxa"/>
            <w:noWrap/>
            <w:hideMark/>
          </w:tcPr>
          <w:p w14:paraId="510E93E6"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Sao Tome and Principe</w:t>
            </w:r>
          </w:p>
        </w:tc>
      </w:tr>
      <w:tr w:rsidR="00123C2F" w:rsidRPr="00D23F98" w14:paraId="6F0C6F93" w14:textId="77777777" w:rsidTr="00552AE1">
        <w:trPr>
          <w:trHeight w:val="276"/>
        </w:trPr>
        <w:tc>
          <w:tcPr>
            <w:tcW w:w="3159" w:type="dxa"/>
            <w:noWrap/>
          </w:tcPr>
          <w:p w14:paraId="188986FE" w14:textId="77777777" w:rsidR="00123C2F" w:rsidRPr="00D23F98" w:rsidRDefault="00123C2F" w:rsidP="00552AE1">
            <w:pPr>
              <w:pStyle w:val="NoSpacing"/>
              <w:rPr>
                <w:rFonts w:ascii="Times New Roman" w:hAnsi="Times New Roman" w:cs="Times New Roman"/>
                <w:b/>
                <w:i/>
                <w:lang w:eastAsia="en-GB"/>
              </w:rPr>
            </w:pPr>
            <w:r w:rsidRPr="00D23F98">
              <w:rPr>
                <w:rFonts w:ascii="Times New Roman" w:hAnsi="Times New Roman" w:cs="Times New Roman"/>
                <w:b/>
                <w:i/>
                <w:lang w:eastAsia="en-GB"/>
              </w:rPr>
              <w:t>Northern Africa</w:t>
            </w:r>
          </w:p>
        </w:tc>
      </w:tr>
      <w:tr w:rsidR="00123C2F" w:rsidRPr="00D23F98" w14:paraId="56DA9DDE" w14:textId="77777777" w:rsidTr="00552AE1">
        <w:trPr>
          <w:trHeight w:val="276"/>
        </w:trPr>
        <w:tc>
          <w:tcPr>
            <w:tcW w:w="3159" w:type="dxa"/>
            <w:noWrap/>
            <w:hideMark/>
          </w:tcPr>
          <w:p w14:paraId="4B21482C"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Algeria</w:t>
            </w:r>
          </w:p>
        </w:tc>
      </w:tr>
      <w:tr w:rsidR="00123C2F" w:rsidRPr="00D23F98" w14:paraId="114F70A4" w14:textId="77777777" w:rsidTr="00552AE1">
        <w:trPr>
          <w:trHeight w:val="276"/>
        </w:trPr>
        <w:tc>
          <w:tcPr>
            <w:tcW w:w="3159" w:type="dxa"/>
            <w:noWrap/>
            <w:hideMark/>
          </w:tcPr>
          <w:p w14:paraId="1BE73E58"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Egypt</w:t>
            </w:r>
          </w:p>
        </w:tc>
      </w:tr>
      <w:tr w:rsidR="00123C2F" w:rsidRPr="00D23F98" w14:paraId="4E7D36E2" w14:textId="77777777" w:rsidTr="00552AE1">
        <w:trPr>
          <w:trHeight w:val="276"/>
        </w:trPr>
        <w:tc>
          <w:tcPr>
            <w:tcW w:w="3159" w:type="dxa"/>
            <w:noWrap/>
            <w:hideMark/>
          </w:tcPr>
          <w:p w14:paraId="2FA0FFAC"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Libyan Arab Jamahiriya</w:t>
            </w:r>
          </w:p>
        </w:tc>
      </w:tr>
      <w:tr w:rsidR="00123C2F" w:rsidRPr="00D23F98" w14:paraId="49270631" w14:textId="77777777" w:rsidTr="00552AE1">
        <w:trPr>
          <w:trHeight w:val="276"/>
        </w:trPr>
        <w:tc>
          <w:tcPr>
            <w:tcW w:w="3159" w:type="dxa"/>
            <w:noWrap/>
            <w:hideMark/>
          </w:tcPr>
          <w:p w14:paraId="34AF6E4B"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Morocco</w:t>
            </w:r>
          </w:p>
        </w:tc>
      </w:tr>
      <w:tr w:rsidR="00123C2F" w:rsidRPr="00D23F98" w14:paraId="2A430335" w14:textId="77777777" w:rsidTr="00552AE1">
        <w:trPr>
          <w:trHeight w:val="276"/>
        </w:trPr>
        <w:tc>
          <w:tcPr>
            <w:tcW w:w="3159" w:type="dxa"/>
            <w:noWrap/>
            <w:hideMark/>
          </w:tcPr>
          <w:p w14:paraId="7925628F"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Sudan</w:t>
            </w:r>
          </w:p>
        </w:tc>
      </w:tr>
      <w:tr w:rsidR="00123C2F" w:rsidRPr="00D23F98" w14:paraId="6B6F5194" w14:textId="77777777" w:rsidTr="00552AE1">
        <w:trPr>
          <w:trHeight w:val="276"/>
        </w:trPr>
        <w:tc>
          <w:tcPr>
            <w:tcW w:w="3159" w:type="dxa"/>
            <w:noWrap/>
            <w:hideMark/>
          </w:tcPr>
          <w:p w14:paraId="67DEDA73"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Tunisia</w:t>
            </w:r>
          </w:p>
        </w:tc>
      </w:tr>
      <w:tr w:rsidR="00123C2F" w:rsidRPr="00D23F98" w14:paraId="278A7177" w14:textId="77777777" w:rsidTr="00552AE1">
        <w:trPr>
          <w:trHeight w:val="276"/>
        </w:trPr>
        <w:tc>
          <w:tcPr>
            <w:tcW w:w="3159" w:type="dxa"/>
            <w:noWrap/>
          </w:tcPr>
          <w:p w14:paraId="289998DF" w14:textId="77777777" w:rsidR="00123C2F" w:rsidRPr="00D23F98" w:rsidRDefault="00123C2F" w:rsidP="00552AE1">
            <w:pPr>
              <w:pStyle w:val="NoSpacing"/>
              <w:rPr>
                <w:rFonts w:ascii="Times New Roman" w:hAnsi="Times New Roman" w:cs="Times New Roman"/>
                <w:b/>
                <w:i/>
                <w:lang w:eastAsia="en-GB"/>
              </w:rPr>
            </w:pPr>
            <w:r w:rsidRPr="00D23F98">
              <w:rPr>
                <w:rFonts w:ascii="Times New Roman" w:hAnsi="Times New Roman" w:cs="Times New Roman"/>
                <w:b/>
                <w:i/>
                <w:lang w:eastAsia="en-GB"/>
              </w:rPr>
              <w:t>Southern Africa</w:t>
            </w:r>
          </w:p>
        </w:tc>
      </w:tr>
      <w:tr w:rsidR="00123C2F" w:rsidRPr="00D23F98" w14:paraId="0E94A6A9" w14:textId="77777777" w:rsidTr="00552AE1">
        <w:trPr>
          <w:trHeight w:val="276"/>
        </w:trPr>
        <w:tc>
          <w:tcPr>
            <w:tcW w:w="3159" w:type="dxa"/>
            <w:noWrap/>
            <w:hideMark/>
          </w:tcPr>
          <w:p w14:paraId="052F9C87"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Botswana</w:t>
            </w:r>
          </w:p>
        </w:tc>
      </w:tr>
      <w:tr w:rsidR="00123C2F" w:rsidRPr="00D23F98" w14:paraId="29601297" w14:textId="77777777" w:rsidTr="00552AE1">
        <w:trPr>
          <w:trHeight w:val="276"/>
        </w:trPr>
        <w:tc>
          <w:tcPr>
            <w:tcW w:w="3159" w:type="dxa"/>
            <w:noWrap/>
            <w:hideMark/>
          </w:tcPr>
          <w:p w14:paraId="77CA5D09"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Lesotho</w:t>
            </w:r>
          </w:p>
        </w:tc>
      </w:tr>
      <w:tr w:rsidR="00123C2F" w:rsidRPr="00D23F98" w14:paraId="0EBD21EE" w14:textId="77777777" w:rsidTr="00552AE1">
        <w:trPr>
          <w:trHeight w:val="276"/>
        </w:trPr>
        <w:tc>
          <w:tcPr>
            <w:tcW w:w="3159" w:type="dxa"/>
            <w:noWrap/>
            <w:hideMark/>
          </w:tcPr>
          <w:p w14:paraId="65B5E91E"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Namibia</w:t>
            </w:r>
          </w:p>
        </w:tc>
      </w:tr>
      <w:tr w:rsidR="00123C2F" w:rsidRPr="00D23F98" w14:paraId="7F691875" w14:textId="77777777" w:rsidTr="00552AE1">
        <w:trPr>
          <w:trHeight w:val="276"/>
        </w:trPr>
        <w:tc>
          <w:tcPr>
            <w:tcW w:w="3159" w:type="dxa"/>
            <w:noWrap/>
            <w:hideMark/>
          </w:tcPr>
          <w:p w14:paraId="08CB6EDF"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South Africa</w:t>
            </w:r>
          </w:p>
        </w:tc>
      </w:tr>
      <w:tr w:rsidR="00123C2F" w:rsidRPr="00D23F98" w14:paraId="024CD84D" w14:textId="77777777" w:rsidTr="00552AE1">
        <w:trPr>
          <w:trHeight w:val="276"/>
        </w:trPr>
        <w:tc>
          <w:tcPr>
            <w:tcW w:w="3159" w:type="dxa"/>
            <w:noWrap/>
            <w:hideMark/>
          </w:tcPr>
          <w:p w14:paraId="7DDC2A39"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Swaziland</w:t>
            </w:r>
          </w:p>
        </w:tc>
      </w:tr>
      <w:tr w:rsidR="00123C2F" w:rsidRPr="00D23F98" w14:paraId="40123412" w14:textId="77777777" w:rsidTr="00552AE1">
        <w:trPr>
          <w:trHeight w:val="276"/>
        </w:trPr>
        <w:tc>
          <w:tcPr>
            <w:tcW w:w="3159" w:type="dxa"/>
            <w:noWrap/>
          </w:tcPr>
          <w:p w14:paraId="5912C4BC" w14:textId="77777777" w:rsidR="00123C2F" w:rsidRPr="00D23F98" w:rsidRDefault="00123C2F" w:rsidP="00552AE1">
            <w:pPr>
              <w:pStyle w:val="NoSpacing"/>
              <w:rPr>
                <w:rFonts w:ascii="Times New Roman" w:hAnsi="Times New Roman" w:cs="Times New Roman"/>
                <w:b/>
                <w:i/>
                <w:lang w:eastAsia="en-GB"/>
              </w:rPr>
            </w:pPr>
            <w:r w:rsidRPr="00D23F98">
              <w:rPr>
                <w:rFonts w:ascii="Times New Roman" w:hAnsi="Times New Roman" w:cs="Times New Roman"/>
                <w:b/>
                <w:i/>
                <w:lang w:eastAsia="en-GB"/>
              </w:rPr>
              <w:t>Western Africa</w:t>
            </w:r>
          </w:p>
        </w:tc>
      </w:tr>
      <w:tr w:rsidR="00123C2F" w:rsidRPr="00D23F98" w14:paraId="47580082" w14:textId="77777777" w:rsidTr="00552AE1">
        <w:trPr>
          <w:trHeight w:val="276"/>
        </w:trPr>
        <w:tc>
          <w:tcPr>
            <w:tcW w:w="3159" w:type="dxa"/>
            <w:noWrap/>
            <w:hideMark/>
          </w:tcPr>
          <w:p w14:paraId="156463DE"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Benin</w:t>
            </w:r>
          </w:p>
        </w:tc>
      </w:tr>
      <w:tr w:rsidR="00123C2F" w:rsidRPr="00D23F98" w14:paraId="3E19E3A2" w14:textId="77777777" w:rsidTr="00552AE1">
        <w:trPr>
          <w:trHeight w:val="276"/>
        </w:trPr>
        <w:tc>
          <w:tcPr>
            <w:tcW w:w="3159" w:type="dxa"/>
            <w:noWrap/>
            <w:hideMark/>
          </w:tcPr>
          <w:p w14:paraId="1618524C"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lastRenderedPageBreak/>
              <w:t>Burkina Faso</w:t>
            </w:r>
          </w:p>
        </w:tc>
      </w:tr>
      <w:tr w:rsidR="00123C2F" w:rsidRPr="00D23F98" w14:paraId="3617956E" w14:textId="77777777" w:rsidTr="00552AE1">
        <w:trPr>
          <w:trHeight w:val="276"/>
        </w:trPr>
        <w:tc>
          <w:tcPr>
            <w:tcW w:w="3159" w:type="dxa"/>
            <w:noWrap/>
            <w:hideMark/>
          </w:tcPr>
          <w:p w14:paraId="023E9645"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Cape Verde</w:t>
            </w:r>
          </w:p>
        </w:tc>
      </w:tr>
      <w:tr w:rsidR="00123C2F" w:rsidRPr="00D23F98" w14:paraId="5C219D35" w14:textId="77777777" w:rsidTr="00552AE1">
        <w:trPr>
          <w:trHeight w:val="276"/>
        </w:trPr>
        <w:tc>
          <w:tcPr>
            <w:tcW w:w="3159" w:type="dxa"/>
            <w:noWrap/>
            <w:hideMark/>
          </w:tcPr>
          <w:p w14:paraId="41CC77ED"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Cote d'Ivoire</w:t>
            </w:r>
          </w:p>
        </w:tc>
      </w:tr>
      <w:tr w:rsidR="00123C2F" w:rsidRPr="00D23F98" w14:paraId="52DC6514" w14:textId="77777777" w:rsidTr="00552AE1">
        <w:trPr>
          <w:trHeight w:val="276"/>
        </w:trPr>
        <w:tc>
          <w:tcPr>
            <w:tcW w:w="3159" w:type="dxa"/>
            <w:noWrap/>
            <w:hideMark/>
          </w:tcPr>
          <w:p w14:paraId="1098D97E"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Gambia</w:t>
            </w:r>
          </w:p>
        </w:tc>
      </w:tr>
      <w:tr w:rsidR="00123C2F" w:rsidRPr="00D23F98" w14:paraId="6C1AAEAA" w14:textId="77777777" w:rsidTr="00552AE1">
        <w:trPr>
          <w:trHeight w:val="276"/>
        </w:trPr>
        <w:tc>
          <w:tcPr>
            <w:tcW w:w="3159" w:type="dxa"/>
            <w:noWrap/>
            <w:hideMark/>
          </w:tcPr>
          <w:p w14:paraId="6C1E93D8"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Ghana</w:t>
            </w:r>
          </w:p>
        </w:tc>
      </w:tr>
      <w:tr w:rsidR="00123C2F" w:rsidRPr="00D23F98" w14:paraId="13ACC091" w14:textId="77777777" w:rsidTr="00552AE1">
        <w:trPr>
          <w:trHeight w:val="276"/>
        </w:trPr>
        <w:tc>
          <w:tcPr>
            <w:tcW w:w="3159" w:type="dxa"/>
            <w:noWrap/>
            <w:hideMark/>
          </w:tcPr>
          <w:p w14:paraId="56ABB0DC"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Guinea</w:t>
            </w:r>
          </w:p>
        </w:tc>
      </w:tr>
      <w:tr w:rsidR="00123C2F" w:rsidRPr="00D23F98" w14:paraId="4E9C07BA" w14:textId="77777777" w:rsidTr="00552AE1">
        <w:trPr>
          <w:trHeight w:val="276"/>
        </w:trPr>
        <w:tc>
          <w:tcPr>
            <w:tcW w:w="3159" w:type="dxa"/>
            <w:noWrap/>
            <w:hideMark/>
          </w:tcPr>
          <w:p w14:paraId="65642994"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Guinea-Bissau</w:t>
            </w:r>
          </w:p>
        </w:tc>
      </w:tr>
      <w:tr w:rsidR="00123C2F" w:rsidRPr="00D23F98" w14:paraId="2A267DFF" w14:textId="77777777" w:rsidTr="00552AE1">
        <w:trPr>
          <w:trHeight w:val="276"/>
        </w:trPr>
        <w:tc>
          <w:tcPr>
            <w:tcW w:w="3159" w:type="dxa"/>
            <w:noWrap/>
            <w:hideMark/>
          </w:tcPr>
          <w:p w14:paraId="52E1592A"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Liberia</w:t>
            </w:r>
          </w:p>
        </w:tc>
      </w:tr>
      <w:tr w:rsidR="00123C2F" w:rsidRPr="00D23F98" w14:paraId="522361D1" w14:textId="77777777" w:rsidTr="00552AE1">
        <w:trPr>
          <w:trHeight w:val="276"/>
        </w:trPr>
        <w:tc>
          <w:tcPr>
            <w:tcW w:w="3159" w:type="dxa"/>
            <w:noWrap/>
            <w:hideMark/>
          </w:tcPr>
          <w:p w14:paraId="21BC5C08"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Mali</w:t>
            </w:r>
          </w:p>
        </w:tc>
      </w:tr>
      <w:tr w:rsidR="00123C2F" w:rsidRPr="00D23F98" w14:paraId="0529CB4D" w14:textId="77777777" w:rsidTr="00552AE1">
        <w:trPr>
          <w:trHeight w:val="276"/>
        </w:trPr>
        <w:tc>
          <w:tcPr>
            <w:tcW w:w="3159" w:type="dxa"/>
            <w:noWrap/>
            <w:hideMark/>
          </w:tcPr>
          <w:p w14:paraId="326C70A2"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Mauritania</w:t>
            </w:r>
          </w:p>
        </w:tc>
      </w:tr>
      <w:tr w:rsidR="00123C2F" w:rsidRPr="00D23F98" w14:paraId="67FD4CB7" w14:textId="77777777" w:rsidTr="00552AE1">
        <w:trPr>
          <w:trHeight w:val="276"/>
        </w:trPr>
        <w:tc>
          <w:tcPr>
            <w:tcW w:w="3159" w:type="dxa"/>
            <w:noWrap/>
            <w:hideMark/>
          </w:tcPr>
          <w:p w14:paraId="2F68F149"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Niger</w:t>
            </w:r>
          </w:p>
        </w:tc>
      </w:tr>
      <w:tr w:rsidR="00123C2F" w:rsidRPr="00D23F98" w14:paraId="53D253A2" w14:textId="77777777" w:rsidTr="00552AE1">
        <w:trPr>
          <w:trHeight w:val="276"/>
        </w:trPr>
        <w:tc>
          <w:tcPr>
            <w:tcW w:w="3159" w:type="dxa"/>
            <w:noWrap/>
            <w:hideMark/>
          </w:tcPr>
          <w:p w14:paraId="7B750874"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Nigeria</w:t>
            </w:r>
          </w:p>
        </w:tc>
      </w:tr>
      <w:tr w:rsidR="00123C2F" w:rsidRPr="00D23F98" w14:paraId="009A0E49" w14:textId="77777777" w:rsidTr="00552AE1">
        <w:trPr>
          <w:trHeight w:val="276"/>
        </w:trPr>
        <w:tc>
          <w:tcPr>
            <w:tcW w:w="3159" w:type="dxa"/>
            <w:noWrap/>
            <w:hideMark/>
          </w:tcPr>
          <w:p w14:paraId="46DF53AE"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Senegal</w:t>
            </w:r>
          </w:p>
        </w:tc>
      </w:tr>
      <w:tr w:rsidR="00123C2F" w:rsidRPr="00D23F98" w14:paraId="1B210A81" w14:textId="77777777" w:rsidTr="00552AE1">
        <w:trPr>
          <w:trHeight w:val="276"/>
        </w:trPr>
        <w:tc>
          <w:tcPr>
            <w:tcW w:w="3159" w:type="dxa"/>
            <w:noWrap/>
            <w:hideMark/>
          </w:tcPr>
          <w:p w14:paraId="3122B25B"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Sierra Leone</w:t>
            </w:r>
          </w:p>
        </w:tc>
      </w:tr>
      <w:tr w:rsidR="00123C2F" w:rsidRPr="00D23F98" w14:paraId="5FA85D0C" w14:textId="77777777" w:rsidTr="00552AE1">
        <w:trPr>
          <w:trHeight w:val="276"/>
        </w:trPr>
        <w:tc>
          <w:tcPr>
            <w:tcW w:w="3159" w:type="dxa"/>
            <w:noWrap/>
            <w:hideMark/>
          </w:tcPr>
          <w:p w14:paraId="5D9CB3BE"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Togo</w:t>
            </w:r>
          </w:p>
        </w:tc>
      </w:tr>
      <w:tr w:rsidR="00123C2F" w:rsidRPr="00D23F98" w14:paraId="66ED68CF" w14:textId="77777777" w:rsidTr="00552AE1">
        <w:trPr>
          <w:trHeight w:val="276"/>
        </w:trPr>
        <w:tc>
          <w:tcPr>
            <w:tcW w:w="3159" w:type="dxa"/>
            <w:noWrap/>
          </w:tcPr>
          <w:p w14:paraId="59066F6C" w14:textId="77777777" w:rsidR="00123C2F" w:rsidRPr="00D23F98" w:rsidRDefault="00123C2F" w:rsidP="00552AE1">
            <w:pPr>
              <w:pStyle w:val="NoSpacing"/>
              <w:rPr>
                <w:rFonts w:ascii="Times New Roman" w:hAnsi="Times New Roman" w:cs="Times New Roman"/>
                <w:b/>
                <w:lang w:eastAsia="en-GB"/>
              </w:rPr>
            </w:pPr>
          </w:p>
        </w:tc>
      </w:tr>
      <w:tr w:rsidR="00123C2F" w:rsidRPr="00D23F98" w14:paraId="2F1B3035" w14:textId="77777777" w:rsidTr="00552AE1">
        <w:trPr>
          <w:trHeight w:val="276"/>
        </w:trPr>
        <w:tc>
          <w:tcPr>
            <w:tcW w:w="3159" w:type="dxa"/>
            <w:noWrap/>
          </w:tcPr>
          <w:p w14:paraId="3CDAC097" w14:textId="77777777" w:rsidR="00123C2F" w:rsidRPr="00D23F98" w:rsidRDefault="00123C2F" w:rsidP="00552AE1">
            <w:pPr>
              <w:pStyle w:val="NoSpacing"/>
              <w:rPr>
                <w:rFonts w:ascii="Times New Roman" w:hAnsi="Times New Roman" w:cs="Times New Roman"/>
                <w:b/>
                <w:i/>
                <w:lang w:eastAsia="en-GB"/>
              </w:rPr>
            </w:pPr>
            <w:r w:rsidRPr="00D23F98">
              <w:rPr>
                <w:rFonts w:ascii="Times New Roman" w:hAnsi="Times New Roman" w:cs="Times New Roman"/>
                <w:b/>
                <w:lang w:eastAsia="en-GB"/>
              </w:rPr>
              <w:t>Americas</w:t>
            </w:r>
          </w:p>
        </w:tc>
      </w:tr>
      <w:tr w:rsidR="00123C2F" w:rsidRPr="00D23F98" w14:paraId="62D723F0" w14:textId="77777777" w:rsidTr="00552AE1">
        <w:trPr>
          <w:trHeight w:val="276"/>
        </w:trPr>
        <w:tc>
          <w:tcPr>
            <w:tcW w:w="3159" w:type="dxa"/>
            <w:noWrap/>
          </w:tcPr>
          <w:p w14:paraId="41152271" w14:textId="77777777" w:rsidR="00123C2F" w:rsidRPr="00D23F98" w:rsidRDefault="00123C2F" w:rsidP="00552AE1">
            <w:pPr>
              <w:pStyle w:val="NoSpacing"/>
              <w:rPr>
                <w:rFonts w:ascii="Times New Roman" w:hAnsi="Times New Roman" w:cs="Times New Roman"/>
                <w:b/>
                <w:i/>
                <w:lang w:eastAsia="en-GB"/>
              </w:rPr>
            </w:pPr>
            <w:r w:rsidRPr="00D23F98">
              <w:rPr>
                <w:rFonts w:ascii="Times New Roman" w:hAnsi="Times New Roman" w:cs="Times New Roman"/>
                <w:b/>
                <w:i/>
                <w:lang w:eastAsia="en-GB"/>
              </w:rPr>
              <w:t>Caribbean</w:t>
            </w:r>
          </w:p>
        </w:tc>
      </w:tr>
      <w:tr w:rsidR="00123C2F" w:rsidRPr="00D23F98" w14:paraId="4977105C" w14:textId="77777777" w:rsidTr="00552AE1">
        <w:trPr>
          <w:trHeight w:val="276"/>
        </w:trPr>
        <w:tc>
          <w:tcPr>
            <w:tcW w:w="3159" w:type="dxa"/>
            <w:noWrap/>
            <w:hideMark/>
          </w:tcPr>
          <w:p w14:paraId="728A94B0"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Anguilla</w:t>
            </w:r>
          </w:p>
        </w:tc>
      </w:tr>
      <w:tr w:rsidR="00123C2F" w:rsidRPr="00D23F98" w14:paraId="6C502DDF" w14:textId="77777777" w:rsidTr="00552AE1">
        <w:trPr>
          <w:trHeight w:val="276"/>
        </w:trPr>
        <w:tc>
          <w:tcPr>
            <w:tcW w:w="3159" w:type="dxa"/>
            <w:noWrap/>
            <w:hideMark/>
          </w:tcPr>
          <w:p w14:paraId="77BB6CF7"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Antigua and Barbuda</w:t>
            </w:r>
          </w:p>
        </w:tc>
      </w:tr>
      <w:tr w:rsidR="00123C2F" w:rsidRPr="00D23F98" w14:paraId="2E1742B2" w14:textId="77777777" w:rsidTr="00552AE1">
        <w:trPr>
          <w:trHeight w:val="276"/>
        </w:trPr>
        <w:tc>
          <w:tcPr>
            <w:tcW w:w="3159" w:type="dxa"/>
            <w:noWrap/>
            <w:hideMark/>
          </w:tcPr>
          <w:p w14:paraId="5AFCC4D0"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Aruba</w:t>
            </w:r>
          </w:p>
        </w:tc>
      </w:tr>
      <w:tr w:rsidR="00123C2F" w:rsidRPr="00D23F98" w14:paraId="6C65F42F" w14:textId="77777777" w:rsidTr="00552AE1">
        <w:trPr>
          <w:trHeight w:val="276"/>
        </w:trPr>
        <w:tc>
          <w:tcPr>
            <w:tcW w:w="3159" w:type="dxa"/>
            <w:noWrap/>
            <w:hideMark/>
          </w:tcPr>
          <w:p w14:paraId="4D66660E"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Bahamas</w:t>
            </w:r>
          </w:p>
        </w:tc>
      </w:tr>
      <w:tr w:rsidR="00123C2F" w:rsidRPr="00D23F98" w14:paraId="57AAEE8B" w14:textId="77777777" w:rsidTr="00552AE1">
        <w:trPr>
          <w:trHeight w:val="276"/>
        </w:trPr>
        <w:tc>
          <w:tcPr>
            <w:tcW w:w="3159" w:type="dxa"/>
            <w:noWrap/>
            <w:hideMark/>
          </w:tcPr>
          <w:p w14:paraId="1E55ABC2"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Barbados</w:t>
            </w:r>
          </w:p>
        </w:tc>
      </w:tr>
      <w:tr w:rsidR="00123C2F" w:rsidRPr="00D23F98" w14:paraId="0F4B6676" w14:textId="77777777" w:rsidTr="00552AE1">
        <w:trPr>
          <w:trHeight w:val="276"/>
        </w:trPr>
        <w:tc>
          <w:tcPr>
            <w:tcW w:w="3159" w:type="dxa"/>
            <w:noWrap/>
            <w:hideMark/>
          </w:tcPr>
          <w:p w14:paraId="538E25C2"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Cayman Islands</w:t>
            </w:r>
          </w:p>
        </w:tc>
      </w:tr>
      <w:tr w:rsidR="00123C2F" w:rsidRPr="00D23F98" w14:paraId="3DE31522" w14:textId="77777777" w:rsidTr="00552AE1">
        <w:trPr>
          <w:trHeight w:val="276"/>
        </w:trPr>
        <w:tc>
          <w:tcPr>
            <w:tcW w:w="3159" w:type="dxa"/>
            <w:noWrap/>
            <w:hideMark/>
          </w:tcPr>
          <w:p w14:paraId="5AA66E52"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Cuba</w:t>
            </w:r>
          </w:p>
        </w:tc>
      </w:tr>
      <w:tr w:rsidR="00123C2F" w:rsidRPr="00D23F98" w14:paraId="02ADB7D9" w14:textId="77777777" w:rsidTr="00552AE1">
        <w:trPr>
          <w:trHeight w:val="276"/>
        </w:trPr>
        <w:tc>
          <w:tcPr>
            <w:tcW w:w="3159" w:type="dxa"/>
            <w:noWrap/>
            <w:hideMark/>
          </w:tcPr>
          <w:p w14:paraId="4BAE8EEB"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Dominica</w:t>
            </w:r>
          </w:p>
        </w:tc>
      </w:tr>
      <w:tr w:rsidR="00123C2F" w:rsidRPr="00D23F98" w14:paraId="14F98801" w14:textId="77777777" w:rsidTr="00552AE1">
        <w:trPr>
          <w:trHeight w:val="276"/>
        </w:trPr>
        <w:tc>
          <w:tcPr>
            <w:tcW w:w="3159" w:type="dxa"/>
            <w:noWrap/>
            <w:hideMark/>
          </w:tcPr>
          <w:p w14:paraId="5D72B794"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Dominican Republic</w:t>
            </w:r>
          </w:p>
        </w:tc>
      </w:tr>
      <w:tr w:rsidR="00123C2F" w:rsidRPr="00D23F98" w14:paraId="030DC800" w14:textId="77777777" w:rsidTr="00552AE1">
        <w:trPr>
          <w:trHeight w:val="276"/>
        </w:trPr>
        <w:tc>
          <w:tcPr>
            <w:tcW w:w="3159" w:type="dxa"/>
            <w:noWrap/>
            <w:hideMark/>
          </w:tcPr>
          <w:p w14:paraId="43E353AC"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Grenada</w:t>
            </w:r>
          </w:p>
        </w:tc>
      </w:tr>
      <w:tr w:rsidR="00123C2F" w:rsidRPr="00D23F98" w14:paraId="1E350D10" w14:textId="77777777" w:rsidTr="00552AE1">
        <w:trPr>
          <w:trHeight w:val="276"/>
        </w:trPr>
        <w:tc>
          <w:tcPr>
            <w:tcW w:w="3159" w:type="dxa"/>
            <w:noWrap/>
            <w:hideMark/>
          </w:tcPr>
          <w:p w14:paraId="42BE6BA9"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Guadeloupe</w:t>
            </w:r>
          </w:p>
        </w:tc>
      </w:tr>
      <w:tr w:rsidR="00123C2F" w:rsidRPr="00D23F98" w14:paraId="44C07914" w14:textId="77777777" w:rsidTr="00552AE1">
        <w:trPr>
          <w:trHeight w:val="276"/>
        </w:trPr>
        <w:tc>
          <w:tcPr>
            <w:tcW w:w="3159" w:type="dxa"/>
            <w:noWrap/>
            <w:hideMark/>
          </w:tcPr>
          <w:p w14:paraId="7442E10C"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Haiti</w:t>
            </w:r>
          </w:p>
        </w:tc>
      </w:tr>
      <w:tr w:rsidR="00123C2F" w:rsidRPr="00D23F98" w14:paraId="247FBEDD" w14:textId="77777777" w:rsidTr="00552AE1">
        <w:trPr>
          <w:trHeight w:val="276"/>
        </w:trPr>
        <w:tc>
          <w:tcPr>
            <w:tcW w:w="3159" w:type="dxa"/>
            <w:noWrap/>
            <w:hideMark/>
          </w:tcPr>
          <w:p w14:paraId="26F1C783"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Jamaica</w:t>
            </w:r>
          </w:p>
        </w:tc>
      </w:tr>
      <w:tr w:rsidR="00123C2F" w:rsidRPr="00D23F98" w14:paraId="03F0C84A" w14:textId="77777777" w:rsidTr="00552AE1">
        <w:trPr>
          <w:trHeight w:val="276"/>
        </w:trPr>
        <w:tc>
          <w:tcPr>
            <w:tcW w:w="3159" w:type="dxa"/>
            <w:noWrap/>
            <w:hideMark/>
          </w:tcPr>
          <w:p w14:paraId="53C9E8B2"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Martinique</w:t>
            </w:r>
          </w:p>
        </w:tc>
      </w:tr>
      <w:tr w:rsidR="00123C2F" w:rsidRPr="00D23F98" w14:paraId="0CC6983D" w14:textId="77777777" w:rsidTr="00552AE1">
        <w:trPr>
          <w:trHeight w:val="276"/>
        </w:trPr>
        <w:tc>
          <w:tcPr>
            <w:tcW w:w="3159" w:type="dxa"/>
            <w:noWrap/>
            <w:hideMark/>
          </w:tcPr>
          <w:p w14:paraId="47406745"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Montserrat</w:t>
            </w:r>
          </w:p>
        </w:tc>
      </w:tr>
      <w:tr w:rsidR="00123C2F" w:rsidRPr="00D23F98" w14:paraId="3D7CF963" w14:textId="77777777" w:rsidTr="00552AE1">
        <w:trPr>
          <w:trHeight w:val="276"/>
        </w:trPr>
        <w:tc>
          <w:tcPr>
            <w:tcW w:w="3159" w:type="dxa"/>
            <w:noWrap/>
            <w:hideMark/>
          </w:tcPr>
          <w:p w14:paraId="39CB0B4A"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Netherlands Antilles</w:t>
            </w:r>
          </w:p>
        </w:tc>
      </w:tr>
      <w:tr w:rsidR="00123C2F" w:rsidRPr="00D23F98" w14:paraId="636AB605" w14:textId="77777777" w:rsidTr="00552AE1">
        <w:trPr>
          <w:trHeight w:val="276"/>
        </w:trPr>
        <w:tc>
          <w:tcPr>
            <w:tcW w:w="3159" w:type="dxa"/>
            <w:noWrap/>
            <w:hideMark/>
          </w:tcPr>
          <w:p w14:paraId="7E782D31"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Puerto Rico</w:t>
            </w:r>
          </w:p>
        </w:tc>
      </w:tr>
      <w:tr w:rsidR="00123C2F" w:rsidRPr="00D23F98" w14:paraId="1A79BA14" w14:textId="77777777" w:rsidTr="00552AE1">
        <w:trPr>
          <w:trHeight w:val="276"/>
        </w:trPr>
        <w:tc>
          <w:tcPr>
            <w:tcW w:w="3159" w:type="dxa"/>
            <w:noWrap/>
            <w:hideMark/>
          </w:tcPr>
          <w:p w14:paraId="0FD5DC86"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Saint Kitts and Nevis</w:t>
            </w:r>
          </w:p>
        </w:tc>
      </w:tr>
      <w:tr w:rsidR="00123C2F" w:rsidRPr="00D23F98" w14:paraId="32F735A5" w14:textId="77777777" w:rsidTr="00552AE1">
        <w:trPr>
          <w:trHeight w:val="276"/>
        </w:trPr>
        <w:tc>
          <w:tcPr>
            <w:tcW w:w="3159" w:type="dxa"/>
            <w:noWrap/>
            <w:hideMark/>
          </w:tcPr>
          <w:p w14:paraId="4AE449FC"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Saint Lucia</w:t>
            </w:r>
          </w:p>
        </w:tc>
      </w:tr>
      <w:tr w:rsidR="00123C2F" w:rsidRPr="00D23F98" w14:paraId="19CEF182" w14:textId="77777777" w:rsidTr="00552AE1">
        <w:trPr>
          <w:trHeight w:val="276"/>
        </w:trPr>
        <w:tc>
          <w:tcPr>
            <w:tcW w:w="3159" w:type="dxa"/>
            <w:noWrap/>
            <w:hideMark/>
          </w:tcPr>
          <w:p w14:paraId="50D1C066"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Saint Vincent and Grenadines</w:t>
            </w:r>
          </w:p>
        </w:tc>
      </w:tr>
      <w:tr w:rsidR="00123C2F" w:rsidRPr="00D23F98" w14:paraId="18456C5B" w14:textId="77777777" w:rsidTr="00552AE1">
        <w:trPr>
          <w:trHeight w:val="276"/>
        </w:trPr>
        <w:tc>
          <w:tcPr>
            <w:tcW w:w="3159" w:type="dxa"/>
            <w:noWrap/>
            <w:hideMark/>
          </w:tcPr>
          <w:p w14:paraId="3313C3A5"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Trinidad and Tobago</w:t>
            </w:r>
          </w:p>
        </w:tc>
      </w:tr>
      <w:tr w:rsidR="00123C2F" w:rsidRPr="00D23F98" w14:paraId="4329BB9C" w14:textId="77777777" w:rsidTr="00552AE1">
        <w:trPr>
          <w:trHeight w:val="276"/>
        </w:trPr>
        <w:tc>
          <w:tcPr>
            <w:tcW w:w="3159" w:type="dxa"/>
            <w:noWrap/>
            <w:hideMark/>
          </w:tcPr>
          <w:p w14:paraId="3A5AA99D"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Turks and Caicos</w:t>
            </w:r>
          </w:p>
        </w:tc>
      </w:tr>
      <w:tr w:rsidR="00123C2F" w:rsidRPr="00D23F98" w14:paraId="67289EBA" w14:textId="77777777" w:rsidTr="00552AE1">
        <w:trPr>
          <w:trHeight w:val="276"/>
        </w:trPr>
        <w:tc>
          <w:tcPr>
            <w:tcW w:w="3159" w:type="dxa"/>
            <w:noWrap/>
            <w:hideMark/>
          </w:tcPr>
          <w:p w14:paraId="330F25C4"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Virgin Islands, British</w:t>
            </w:r>
          </w:p>
        </w:tc>
      </w:tr>
      <w:tr w:rsidR="00123C2F" w:rsidRPr="00D23F98" w14:paraId="63F8B905" w14:textId="77777777" w:rsidTr="00552AE1">
        <w:trPr>
          <w:trHeight w:val="276"/>
        </w:trPr>
        <w:tc>
          <w:tcPr>
            <w:tcW w:w="3159" w:type="dxa"/>
            <w:noWrap/>
            <w:hideMark/>
          </w:tcPr>
          <w:p w14:paraId="1C5E2D33"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Virgin Islands, U.S.</w:t>
            </w:r>
          </w:p>
        </w:tc>
      </w:tr>
      <w:tr w:rsidR="00123C2F" w:rsidRPr="00D23F98" w14:paraId="1AF285F6" w14:textId="77777777" w:rsidTr="00552AE1">
        <w:trPr>
          <w:trHeight w:val="276"/>
        </w:trPr>
        <w:tc>
          <w:tcPr>
            <w:tcW w:w="3159" w:type="dxa"/>
            <w:noWrap/>
          </w:tcPr>
          <w:p w14:paraId="57DED732" w14:textId="77777777" w:rsidR="00123C2F" w:rsidRPr="00D23F98" w:rsidRDefault="00123C2F" w:rsidP="00552AE1">
            <w:pPr>
              <w:pStyle w:val="NoSpacing"/>
              <w:rPr>
                <w:rFonts w:ascii="Times New Roman" w:hAnsi="Times New Roman" w:cs="Times New Roman"/>
                <w:b/>
                <w:i/>
                <w:lang w:eastAsia="en-GB"/>
              </w:rPr>
            </w:pPr>
            <w:r w:rsidRPr="00D23F98">
              <w:rPr>
                <w:rFonts w:ascii="Times New Roman" w:hAnsi="Times New Roman" w:cs="Times New Roman"/>
                <w:b/>
                <w:i/>
                <w:lang w:eastAsia="en-GB"/>
              </w:rPr>
              <w:t>Central America</w:t>
            </w:r>
          </w:p>
        </w:tc>
      </w:tr>
      <w:tr w:rsidR="00123C2F" w:rsidRPr="00D23F98" w14:paraId="4B6E3BFF" w14:textId="77777777" w:rsidTr="00552AE1">
        <w:trPr>
          <w:trHeight w:val="276"/>
        </w:trPr>
        <w:tc>
          <w:tcPr>
            <w:tcW w:w="3159" w:type="dxa"/>
            <w:noWrap/>
            <w:hideMark/>
          </w:tcPr>
          <w:p w14:paraId="6509FE50"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Belize</w:t>
            </w:r>
          </w:p>
        </w:tc>
      </w:tr>
      <w:tr w:rsidR="00123C2F" w:rsidRPr="00D23F98" w14:paraId="321E71DF" w14:textId="77777777" w:rsidTr="00552AE1">
        <w:trPr>
          <w:trHeight w:val="276"/>
        </w:trPr>
        <w:tc>
          <w:tcPr>
            <w:tcW w:w="3159" w:type="dxa"/>
            <w:noWrap/>
            <w:hideMark/>
          </w:tcPr>
          <w:p w14:paraId="5F0085EB"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Costa Rica</w:t>
            </w:r>
          </w:p>
        </w:tc>
      </w:tr>
      <w:tr w:rsidR="00123C2F" w:rsidRPr="00D23F98" w14:paraId="79F7FA6B" w14:textId="77777777" w:rsidTr="00552AE1">
        <w:trPr>
          <w:trHeight w:val="276"/>
        </w:trPr>
        <w:tc>
          <w:tcPr>
            <w:tcW w:w="3159" w:type="dxa"/>
            <w:noWrap/>
            <w:hideMark/>
          </w:tcPr>
          <w:p w14:paraId="55034842"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El Salvador</w:t>
            </w:r>
          </w:p>
        </w:tc>
      </w:tr>
      <w:tr w:rsidR="00123C2F" w:rsidRPr="00D23F98" w14:paraId="1FB60AFB" w14:textId="77777777" w:rsidTr="00552AE1">
        <w:trPr>
          <w:trHeight w:val="276"/>
        </w:trPr>
        <w:tc>
          <w:tcPr>
            <w:tcW w:w="3159" w:type="dxa"/>
            <w:noWrap/>
            <w:hideMark/>
          </w:tcPr>
          <w:p w14:paraId="394ED109"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Guatemala</w:t>
            </w:r>
          </w:p>
        </w:tc>
      </w:tr>
      <w:tr w:rsidR="00123C2F" w:rsidRPr="00D23F98" w14:paraId="38DBC9B1" w14:textId="77777777" w:rsidTr="00552AE1">
        <w:trPr>
          <w:trHeight w:val="276"/>
        </w:trPr>
        <w:tc>
          <w:tcPr>
            <w:tcW w:w="3159" w:type="dxa"/>
            <w:noWrap/>
            <w:hideMark/>
          </w:tcPr>
          <w:p w14:paraId="25D00851"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lastRenderedPageBreak/>
              <w:t>Honduras</w:t>
            </w:r>
          </w:p>
        </w:tc>
      </w:tr>
      <w:tr w:rsidR="00123C2F" w:rsidRPr="00D23F98" w14:paraId="2F428B80" w14:textId="77777777" w:rsidTr="00552AE1">
        <w:trPr>
          <w:trHeight w:val="276"/>
        </w:trPr>
        <w:tc>
          <w:tcPr>
            <w:tcW w:w="3159" w:type="dxa"/>
            <w:noWrap/>
            <w:hideMark/>
          </w:tcPr>
          <w:p w14:paraId="62D562F7"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Mexico</w:t>
            </w:r>
          </w:p>
        </w:tc>
      </w:tr>
      <w:tr w:rsidR="00123C2F" w:rsidRPr="00D23F98" w14:paraId="28633F6D" w14:textId="77777777" w:rsidTr="00552AE1">
        <w:trPr>
          <w:trHeight w:val="276"/>
        </w:trPr>
        <w:tc>
          <w:tcPr>
            <w:tcW w:w="3159" w:type="dxa"/>
            <w:noWrap/>
            <w:hideMark/>
          </w:tcPr>
          <w:p w14:paraId="26EE8B50"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Nicaragua</w:t>
            </w:r>
          </w:p>
        </w:tc>
      </w:tr>
      <w:tr w:rsidR="00123C2F" w:rsidRPr="00D23F98" w14:paraId="4213730C" w14:textId="77777777" w:rsidTr="00552AE1">
        <w:trPr>
          <w:trHeight w:val="276"/>
        </w:trPr>
        <w:tc>
          <w:tcPr>
            <w:tcW w:w="3159" w:type="dxa"/>
            <w:noWrap/>
            <w:hideMark/>
          </w:tcPr>
          <w:p w14:paraId="0284F764"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Panama</w:t>
            </w:r>
          </w:p>
        </w:tc>
      </w:tr>
      <w:tr w:rsidR="00123C2F" w:rsidRPr="00D23F98" w14:paraId="24E11598" w14:textId="77777777" w:rsidTr="00552AE1">
        <w:trPr>
          <w:trHeight w:val="276"/>
        </w:trPr>
        <w:tc>
          <w:tcPr>
            <w:tcW w:w="3159" w:type="dxa"/>
            <w:noWrap/>
          </w:tcPr>
          <w:p w14:paraId="7F316448" w14:textId="77777777" w:rsidR="00123C2F" w:rsidRPr="00D23F98" w:rsidRDefault="00123C2F" w:rsidP="00552AE1">
            <w:pPr>
              <w:pStyle w:val="NoSpacing"/>
              <w:rPr>
                <w:rFonts w:ascii="Times New Roman" w:hAnsi="Times New Roman" w:cs="Times New Roman"/>
                <w:b/>
                <w:i/>
                <w:lang w:eastAsia="en-GB"/>
              </w:rPr>
            </w:pPr>
            <w:r w:rsidRPr="00D23F98">
              <w:rPr>
                <w:rFonts w:ascii="Times New Roman" w:hAnsi="Times New Roman" w:cs="Times New Roman"/>
                <w:b/>
                <w:i/>
                <w:lang w:eastAsia="en-GB"/>
              </w:rPr>
              <w:t>Northern America</w:t>
            </w:r>
          </w:p>
        </w:tc>
      </w:tr>
      <w:tr w:rsidR="00123C2F" w:rsidRPr="00D23F98" w14:paraId="0A7AA9A5" w14:textId="77777777" w:rsidTr="00552AE1">
        <w:trPr>
          <w:trHeight w:val="276"/>
        </w:trPr>
        <w:tc>
          <w:tcPr>
            <w:tcW w:w="3159" w:type="dxa"/>
            <w:noWrap/>
            <w:hideMark/>
          </w:tcPr>
          <w:p w14:paraId="6A06305F"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Canada</w:t>
            </w:r>
          </w:p>
        </w:tc>
      </w:tr>
      <w:tr w:rsidR="00123C2F" w:rsidRPr="00D23F98" w14:paraId="67EB4E0A" w14:textId="77777777" w:rsidTr="00552AE1">
        <w:trPr>
          <w:trHeight w:val="276"/>
        </w:trPr>
        <w:tc>
          <w:tcPr>
            <w:tcW w:w="3159" w:type="dxa"/>
            <w:noWrap/>
            <w:hideMark/>
          </w:tcPr>
          <w:p w14:paraId="1ECADF75"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Greenland</w:t>
            </w:r>
          </w:p>
        </w:tc>
      </w:tr>
      <w:tr w:rsidR="00123C2F" w:rsidRPr="00D23F98" w14:paraId="149672F9" w14:textId="77777777" w:rsidTr="00552AE1">
        <w:trPr>
          <w:trHeight w:val="276"/>
        </w:trPr>
        <w:tc>
          <w:tcPr>
            <w:tcW w:w="3159" w:type="dxa"/>
            <w:noWrap/>
            <w:hideMark/>
          </w:tcPr>
          <w:p w14:paraId="491DBADC"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Saint Pierre and Miquelon</w:t>
            </w:r>
          </w:p>
        </w:tc>
      </w:tr>
      <w:tr w:rsidR="00123C2F" w:rsidRPr="00D23F98" w14:paraId="36E2CFC9" w14:textId="77777777" w:rsidTr="00552AE1">
        <w:trPr>
          <w:trHeight w:val="276"/>
        </w:trPr>
        <w:tc>
          <w:tcPr>
            <w:tcW w:w="3159" w:type="dxa"/>
            <w:noWrap/>
            <w:hideMark/>
          </w:tcPr>
          <w:p w14:paraId="6AC58742"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United States of America</w:t>
            </w:r>
          </w:p>
        </w:tc>
      </w:tr>
      <w:tr w:rsidR="00123C2F" w:rsidRPr="00D23F98" w14:paraId="54A9FDCD" w14:textId="77777777" w:rsidTr="00552AE1">
        <w:trPr>
          <w:trHeight w:val="276"/>
        </w:trPr>
        <w:tc>
          <w:tcPr>
            <w:tcW w:w="3159" w:type="dxa"/>
            <w:noWrap/>
          </w:tcPr>
          <w:p w14:paraId="364A1F92" w14:textId="77777777" w:rsidR="00123C2F" w:rsidRPr="00D23F98" w:rsidRDefault="00123C2F" w:rsidP="00552AE1">
            <w:pPr>
              <w:pStyle w:val="NoSpacing"/>
              <w:rPr>
                <w:rFonts w:ascii="Times New Roman" w:hAnsi="Times New Roman" w:cs="Times New Roman"/>
                <w:b/>
                <w:i/>
                <w:lang w:eastAsia="en-GB"/>
              </w:rPr>
            </w:pPr>
            <w:r w:rsidRPr="00D23F98">
              <w:rPr>
                <w:rFonts w:ascii="Times New Roman" w:hAnsi="Times New Roman" w:cs="Times New Roman"/>
                <w:b/>
                <w:i/>
                <w:lang w:eastAsia="en-GB"/>
              </w:rPr>
              <w:t>South America</w:t>
            </w:r>
          </w:p>
        </w:tc>
      </w:tr>
      <w:tr w:rsidR="00123C2F" w:rsidRPr="00D23F98" w14:paraId="315495A5" w14:textId="77777777" w:rsidTr="00552AE1">
        <w:trPr>
          <w:trHeight w:val="276"/>
        </w:trPr>
        <w:tc>
          <w:tcPr>
            <w:tcW w:w="3159" w:type="dxa"/>
            <w:noWrap/>
            <w:hideMark/>
          </w:tcPr>
          <w:p w14:paraId="187A928B"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Argentina</w:t>
            </w:r>
          </w:p>
        </w:tc>
      </w:tr>
      <w:tr w:rsidR="00123C2F" w:rsidRPr="00D23F98" w14:paraId="62414305" w14:textId="77777777" w:rsidTr="00552AE1">
        <w:trPr>
          <w:trHeight w:val="276"/>
        </w:trPr>
        <w:tc>
          <w:tcPr>
            <w:tcW w:w="3159" w:type="dxa"/>
            <w:noWrap/>
            <w:hideMark/>
          </w:tcPr>
          <w:p w14:paraId="14FDA8CB"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Bolivia</w:t>
            </w:r>
          </w:p>
        </w:tc>
      </w:tr>
      <w:tr w:rsidR="00123C2F" w:rsidRPr="00D23F98" w14:paraId="4583E310" w14:textId="77777777" w:rsidTr="00552AE1">
        <w:trPr>
          <w:trHeight w:val="276"/>
        </w:trPr>
        <w:tc>
          <w:tcPr>
            <w:tcW w:w="3159" w:type="dxa"/>
            <w:noWrap/>
            <w:hideMark/>
          </w:tcPr>
          <w:p w14:paraId="7CB4F765"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Brazil</w:t>
            </w:r>
          </w:p>
        </w:tc>
      </w:tr>
      <w:tr w:rsidR="00123C2F" w:rsidRPr="00D23F98" w14:paraId="05056122" w14:textId="77777777" w:rsidTr="00552AE1">
        <w:trPr>
          <w:trHeight w:val="276"/>
        </w:trPr>
        <w:tc>
          <w:tcPr>
            <w:tcW w:w="3159" w:type="dxa"/>
            <w:noWrap/>
            <w:hideMark/>
          </w:tcPr>
          <w:p w14:paraId="6FAAC2F0"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Chile</w:t>
            </w:r>
          </w:p>
        </w:tc>
      </w:tr>
      <w:tr w:rsidR="00123C2F" w:rsidRPr="00D23F98" w14:paraId="5FC365DB" w14:textId="77777777" w:rsidTr="00552AE1">
        <w:trPr>
          <w:trHeight w:val="276"/>
        </w:trPr>
        <w:tc>
          <w:tcPr>
            <w:tcW w:w="3159" w:type="dxa"/>
            <w:noWrap/>
            <w:hideMark/>
          </w:tcPr>
          <w:p w14:paraId="3A6C1737"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Colombia</w:t>
            </w:r>
          </w:p>
        </w:tc>
      </w:tr>
      <w:tr w:rsidR="00123C2F" w:rsidRPr="00D23F98" w14:paraId="11272EAD" w14:textId="77777777" w:rsidTr="00552AE1">
        <w:trPr>
          <w:trHeight w:val="276"/>
        </w:trPr>
        <w:tc>
          <w:tcPr>
            <w:tcW w:w="3159" w:type="dxa"/>
            <w:noWrap/>
            <w:hideMark/>
          </w:tcPr>
          <w:p w14:paraId="66276A55"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Ecuador</w:t>
            </w:r>
          </w:p>
        </w:tc>
      </w:tr>
      <w:tr w:rsidR="00123C2F" w:rsidRPr="00D23F98" w14:paraId="6AA5FF4E" w14:textId="77777777" w:rsidTr="00552AE1">
        <w:trPr>
          <w:trHeight w:val="276"/>
        </w:trPr>
        <w:tc>
          <w:tcPr>
            <w:tcW w:w="3159" w:type="dxa"/>
            <w:noWrap/>
            <w:hideMark/>
          </w:tcPr>
          <w:p w14:paraId="273656A0"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French Guiana</w:t>
            </w:r>
          </w:p>
        </w:tc>
      </w:tr>
      <w:tr w:rsidR="00123C2F" w:rsidRPr="00D23F98" w14:paraId="25480409" w14:textId="77777777" w:rsidTr="00552AE1">
        <w:trPr>
          <w:trHeight w:val="276"/>
        </w:trPr>
        <w:tc>
          <w:tcPr>
            <w:tcW w:w="3159" w:type="dxa"/>
            <w:noWrap/>
            <w:hideMark/>
          </w:tcPr>
          <w:p w14:paraId="7D40429A"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Guyana</w:t>
            </w:r>
          </w:p>
        </w:tc>
      </w:tr>
      <w:tr w:rsidR="00123C2F" w:rsidRPr="00D23F98" w14:paraId="7311DF78" w14:textId="77777777" w:rsidTr="00552AE1">
        <w:trPr>
          <w:trHeight w:val="276"/>
        </w:trPr>
        <w:tc>
          <w:tcPr>
            <w:tcW w:w="3159" w:type="dxa"/>
            <w:noWrap/>
            <w:hideMark/>
          </w:tcPr>
          <w:p w14:paraId="56CF8AEF"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Paraguay</w:t>
            </w:r>
          </w:p>
        </w:tc>
      </w:tr>
      <w:tr w:rsidR="00123C2F" w:rsidRPr="00D23F98" w14:paraId="76C792FB" w14:textId="77777777" w:rsidTr="00552AE1">
        <w:trPr>
          <w:trHeight w:val="276"/>
        </w:trPr>
        <w:tc>
          <w:tcPr>
            <w:tcW w:w="3159" w:type="dxa"/>
            <w:noWrap/>
            <w:hideMark/>
          </w:tcPr>
          <w:p w14:paraId="0FB6E6F9"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Peru</w:t>
            </w:r>
          </w:p>
        </w:tc>
      </w:tr>
      <w:tr w:rsidR="00123C2F" w:rsidRPr="00D23F98" w14:paraId="036E5F00" w14:textId="77777777" w:rsidTr="00552AE1">
        <w:trPr>
          <w:trHeight w:val="276"/>
        </w:trPr>
        <w:tc>
          <w:tcPr>
            <w:tcW w:w="3159" w:type="dxa"/>
            <w:noWrap/>
            <w:hideMark/>
          </w:tcPr>
          <w:p w14:paraId="615E8DAF"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Suriname</w:t>
            </w:r>
          </w:p>
        </w:tc>
      </w:tr>
      <w:tr w:rsidR="00123C2F" w:rsidRPr="00D23F98" w14:paraId="5F2562FC" w14:textId="77777777" w:rsidTr="00552AE1">
        <w:trPr>
          <w:trHeight w:val="276"/>
        </w:trPr>
        <w:tc>
          <w:tcPr>
            <w:tcW w:w="3159" w:type="dxa"/>
            <w:noWrap/>
            <w:hideMark/>
          </w:tcPr>
          <w:p w14:paraId="3C3F301B"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Uruguay</w:t>
            </w:r>
          </w:p>
        </w:tc>
      </w:tr>
      <w:tr w:rsidR="00123C2F" w:rsidRPr="00D23F98" w14:paraId="6C2FFABF" w14:textId="77777777" w:rsidTr="00552AE1">
        <w:trPr>
          <w:trHeight w:val="276"/>
        </w:trPr>
        <w:tc>
          <w:tcPr>
            <w:tcW w:w="3159" w:type="dxa"/>
            <w:noWrap/>
            <w:hideMark/>
          </w:tcPr>
          <w:p w14:paraId="38533BF5"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Venezuela</w:t>
            </w:r>
          </w:p>
        </w:tc>
      </w:tr>
      <w:tr w:rsidR="00123C2F" w:rsidRPr="00D23F98" w14:paraId="06DAC50E" w14:textId="77777777" w:rsidTr="00552AE1">
        <w:trPr>
          <w:trHeight w:val="276"/>
        </w:trPr>
        <w:tc>
          <w:tcPr>
            <w:tcW w:w="3159" w:type="dxa"/>
            <w:noWrap/>
          </w:tcPr>
          <w:p w14:paraId="07B35BF0" w14:textId="77777777" w:rsidR="00123C2F" w:rsidRPr="00D23F98" w:rsidRDefault="00123C2F" w:rsidP="00552AE1">
            <w:pPr>
              <w:pStyle w:val="NoSpacing"/>
              <w:rPr>
                <w:rFonts w:ascii="Times New Roman" w:hAnsi="Times New Roman" w:cs="Times New Roman"/>
                <w:b/>
                <w:lang w:eastAsia="en-GB"/>
              </w:rPr>
            </w:pPr>
            <w:r w:rsidRPr="00D23F98">
              <w:rPr>
                <w:rFonts w:ascii="Times New Roman" w:hAnsi="Times New Roman" w:cs="Times New Roman"/>
                <w:b/>
                <w:lang w:eastAsia="en-GB"/>
              </w:rPr>
              <w:t>Asia</w:t>
            </w:r>
          </w:p>
        </w:tc>
      </w:tr>
      <w:tr w:rsidR="00123C2F" w:rsidRPr="00D23F98" w14:paraId="0447B4BC" w14:textId="77777777" w:rsidTr="00552AE1">
        <w:trPr>
          <w:trHeight w:val="276"/>
        </w:trPr>
        <w:tc>
          <w:tcPr>
            <w:tcW w:w="3159" w:type="dxa"/>
            <w:noWrap/>
          </w:tcPr>
          <w:p w14:paraId="11C66CC6" w14:textId="77777777" w:rsidR="00123C2F" w:rsidRPr="00D23F98" w:rsidRDefault="00123C2F" w:rsidP="00552AE1">
            <w:pPr>
              <w:pStyle w:val="NoSpacing"/>
              <w:rPr>
                <w:rFonts w:ascii="Times New Roman" w:hAnsi="Times New Roman" w:cs="Times New Roman"/>
                <w:b/>
                <w:i/>
                <w:lang w:eastAsia="en-GB"/>
              </w:rPr>
            </w:pPr>
            <w:r w:rsidRPr="00D23F98">
              <w:rPr>
                <w:rFonts w:ascii="Times New Roman" w:hAnsi="Times New Roman" w:cs="Times New Roman"/>
                <w:b/>
                <w:i/>
                <w:lang w:eastAsia="en-GB"/>
              </w:rPr>
              <w:t>Central Asia</w:t>
            </w:r>
          </w:p>
        </w:tc>
      </w:tr>
      <w:tr w:rsidR="00123C2F" w:rsidRPr="00D23F98" w14:paraId="23592894" w14:textId="77777777" w:rsidTr="00552AE1">
        <w:trPr>
          <w:trHeight w:val="276"/>
        </w:trPr>
        <w:tc>
          <w:tcPr>
            <w:tcW w:w="3159" w:type="dxa"/>
            <w:noWrap/>
            <w:hideMark/>
          </w:tcPr>
          <w:p w14:paraId="4DED4ABE"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Kazachstan</w:t>
            </w:r>
          </w:p>
        </w:tc>
      </w:tr>
      <w:tr w:rsidR="00123C2F" w:rsidRPr="00D23F98" w14:paraId="0FAD6154" w14:textId="77777777" w:rsidTr="00552AE1">
        <w:trPr>
          <w:trHeight w:val="276"/>
        </w:trPr>
        <w:tc>
          <w:tcPr>
            <w:tcW w:w="3159" w:type="dxa"/>
            <w:noWrap/>
            <w:hideMark/>
          </w:tcPr>
          <w:p w14:paraId="2E76692B"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Kyrgyzstan</w:t>
            </w:r>
          </w:p>
        </w:tc>
      </w:tr>
      <w:tr w:rsidR="00123C2F" w:rsidRPr="00D23F98" w14:paraId="6383699B" w14:textId="77777777" w:rsidTr="00552AE1">
        <w:trPr>
          <w:trHeight w:val="276"/>
        </w:trPr>
        <w:tc>
          <w:tcPr>
            <w:tcW w:w="3159" w:type="dxa"/>
            <w:noWrap/>
            <w:hideMark/>
          </w:tcPr>
          <w:p w14:paraId="097B8AAB"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Tajikistan</w:t>
            </w:r>
          </w:p>
        </w:tc>
      </w:tr>
      <w:tr w:rsidR="00123C2F" w:rsidRPr="00D23F98" w14:paraId="5402A87F" w14:textId="77777777" w:rsidTr="00552AE1">
        <w:trPr>
          <w:trHeight w:val="276"/>
        </w:trPr>
        <w:tc>
          <w:tcPr>
            <w:tcW w:w="3159" w:type="dxa"/>
            <w:noWrap/>
            <w:hideMark/>
          </w:tcPr>
          <w:p w14:paraId="437754F2"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Turkmenistan</w:t>
            </w:r>
          </w:p>
        </w:tc>
      </w:tr>
      <w:tr w:rsidR="00123C2F" w:rsidRPr="00D23F98" w14:paraId="76114491" w14:textId="77777777" w:rsidTr="00552AE1">
        <w:trPr>
          <w:trHeight w:val="276"/>
        </w:trPr>
        <w:tc>
          <w:tcPr>
            <w:tcW w:w="3159" w:type="dxa"/>
            <w:noWrap/>
            <w:hideMark/>
          </w:tcPr>
          <w:p w14:paraId="0506EF26"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Uzbekistan</w:t>
            </w:r>
          </w:p>
        </w:tc>
      </w:tr>
      <w:tr w:rsidR="00123C2F" w:rsidRPr="00D23F98" w14:paraId="4ABABBA0" w14:textId="77777777" w:rsidTr="00552AE1">
        <w:trPr>
          <w:trHeight w:val="276"/>
        </w:trPr>
        <w:tc>
          <w:tcPr>
            <w:tcW w:w="3159" w:type="dxa"/>
            <w:noWrap/>
          </w:tcPr>
          <w:p w14:paraId="0F805E9F" w14:textId="77777777" w:rsidR="00123C2F" w:rsidRPr="00D23F98" w:rsidRDefault="00123C2F" w:rsidP="00552AE1">
            <w:pPr>
              <w:pStyle w:val="NoSpacing"/>
              <w:rPr>
                <w:rFonts w:ascii="Times New Roman" w:hAnsi="Times New Roman" w:cs="Times New Roman"/>
                <w:b/>
                <w:i/>
                <w:lang w:eastAsia="en-GB"/>
              </w:rPr>
            </w:pPr>
            <w:r w:rsidRPr="00D23F98">
              <w:rPr>
                <w:rFonts w:ascii="Times New Roman" w:hAnsi="Times New Roman" w:cs="Times New Roman"/>
                <w:b/>
                <w:i/>
                <w:lang w:eastAsia="en-GB"/>
              </w:rPr>
              <w:t>Eastern Asia</w:t>
            </w:r>
          </w:p>
        </w:tc>
      </w:tr>
      <w:tr w:rsidR="00123C2F" w:rsidRPr="00D23F98" w14:paraId="7A9F05C6" w14:textId="77777777" w:rsidTr="00552AE1">
        <w:trPr>
          <w:trHeight w:val="276"/>
        </w:trPr>
        <w:tc>
          <w:tcPr>
            <w:tcW w:w="3159" w:type="dxa"/>
            <w:noWrap/>
            <w:hideMark/>
          </w:tcPr>
          <w:p w14:paraId="78BCB600"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China</w:t>
            </w:r>
          </w:p>
        </w:tc>
      </w:tr>
      <w:tr w:rsidR="00123C2F" w:rsidRPr="00D23F98" w14:paraId="3533AF4B" w14:textId="77777777" w:rsidTr="00552AE1">
        <w:trPr>
          <w:trHeight w:val="276"/>
        </w:trPr>
        <w:tc>
          <w:tcPr>
            <w:tcW w:w="3159" w:type="dxa"/>
            <w:noWrap/>
            <w:hideMark/>
          </w:tcPr>
          <w:p w14:paraId="41AD6CCC"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Hong Kong</w:t>
            </w:r>
          </w:p>
        </w:tc>
      </w:tr>
      <w:tr w:rsidR="00123C2F" w:rsidRPr="00D23F98" w14:paraId="02A35AF5" w14:textId="77777777" w:rsidTr="00552AE1">
        <w:trPr>
          <w:trHeight w:val="276"/>
        </w:trPr>
        <w:tc>
          <w:tcPr>
            <w:tcW w:w="3159" w:type="dxa"/>
            <w:noWrap/>
            <w:hideMark/>
          </w:tcPr>
          <w:p w14:paraId="1AD89A47"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Japan</w:t>
            </w:r>
          </w:p>
        </w:tc>
      </w:tr>
      <w:tr w:rsidR="00123C2F" w:rsidRPr="00D23F98" w14:paraId="2185A340" w14:textId="77777777" w:rsidTr="00552AE1">
        <w:trPr>
          <w:trHeight w:val="276"/>
        </w:trPr>
        <w:tc>
          <w:tcPr>
            <w:tcW w:w="3159" w:type="dxa"/>
            <w:noWrap/>
            <w:hideMark/>
          </w:tcPr>
          <w:p w14:paraId="4FE50F37"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Korea, DPR</w:t>
            </w:r>
          </w:p>
        </w:tc>
      </w:tr>
      <w:tr w:rsidR="00123C2F" w:rsidRPr="00D23F98" w14:paraId="5CF6E669" w14:textId="77777777" w:rsidTr="00552AE1">
        <w:trPr>
          <w:trHeight w:val="276"/>
        </w:trPr>
        <w:tc>
          <w:tcPr>
            <w:tcW w:w="3159" w:type="dxa"/>
            <w:noWrap/>
            <w:hideMark/>
          </w:tcPr>
          <w:p w14:paraId="1ED498CE"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Korea, Republic of</w:t>
            </w:r>
          </w:p>
        </w:tc>
      </w:tr>
      <w:tr w:rsidR="00123C2F" w:rsidRPr="00D23F98" w14:paraId="11CB92B0" w14:textId="77777777" w:rsidTr="00552AE1">
        <w:trPr>
          <w:trHeight w:val="276"/>
        </w:trPr>
        <w:tc>
          <w:tcPr>
            <w:tcW w:w="3159" w:type="dxa"/>
            <w:noWrap/>
            <w:hideMark/>
          </w:tcPr>
          <w:p w14:paraId="06F2203E"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Macau</w:t>
            </w:r>
          </w:p>
        </w:tc>
      </w:tr>
      <w:tr w:rsidR="00123C2F" w:rsidRPr="00D23F98" w14:paraId="78D12561" w14:textId="77777777" w:rsidTr="00552AE1">
        <w:trPr>
          <w:trHeight w:val="276"/>
        </w:trPr>
        <w:tc>
          <w:tcPr>
            <w:tcW w:w="3159" w:type="dxa"/>
            <w:noWrap/>
            <w:hideMark/>
          </w:tcPr>
          <w:p w14:paraId="49C72B33"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Mongolia</w:t>
            </w:r>
          </w:p>
        </w:tc>
      </w:tr>
      <w:tr w:rsidR="00123C2F" w:rsidRPr="00D23F98" w14:paraId="6B43440D" w14:textId="77777777" w:rsidTr="00552AE1">
        <w:trPr>
          <w:trHeight w:val="276"/>
        </w:trPr>
        <w:tc>
          <w:tcPr>
            <w:tcW w:w="3159" w:type="dxa"/>
            <w:noWrap/>
            <w:hideMark/>
          </w:tcPr>
          <w:p w14:paraId="0A9402FC"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Taiwan</w:t>
            </w:r>
          </w:p>
        </w:tc>
      </w:tr>
      <w:tr w:rsidR="00123C2F" w:rsidRPr="00D23F98" w14:paraId="441E88D0" w14:textId="77777777" w:rsidTr="00552AE1">
        <w:trPr>
          <w:trHeight w:val="276"/>
        </w:trPr>
        <w:tc>
          <w:tcPr>
            <w:tcW w:w="3159" w:type="dxa"/>
            <w:noWrap/>
          </w:tcPr>
          <w:p w14:paraId="0E96A402" w14:textId="77777777" w:rsidR="00123C2F" w:rsidRPr="00D23F98" w:rsidRDefault="00123C2F" w:rsidP="00552AE1">
            <w:pPr>
              <w:pStyle w:val="NoSpacing"/>
              <w:rPr>
                <w:rFonts w:ascii="Times New Roman" w:hAnsi="Times New Roman" w:cs="Times New Roman"/>
                <w:b/>
                <w:i/>
                <w:lang w:eastAsia="en-GB"/>
              </w:rPr>
            </w:pPr>
            <w:r w:rsidRPr="00D23F98">
              <w:rPr>
                <w:rFonts w:ascii="Times New Roman" w:hAnsi="Times New Roman" w:cs="Times New Roman"/>
                <w:b/>
                <w:i/>
                <w:lang w:eastAsia="en-GB"/>
              </w:rPr>
              <w:t>South-Eastern Asia</w:t>
            </w:r>
          </w:p>
        </w:tc>
      </w:tr>
      <w:tr w:rsidR="00123C2F" w:rsidRPr="00D23F98" w14:paraId="023E6E53" w14:textId="77777777" w:rsidTr="00552AE1">
        <w:trPr>
          <w:trHeight w:val="276"/>
        </w:trPr>
        <w:tc>
          <w:tcPr>
            <w:tcW w:w="3159" w:type="dxa"/>
            <w:noWrap/>
            <w:hideMark/>
          </w:tcPr>
          <w:p w14:paraId="62737438"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Brunei Darussalam</w:t>
            </w:r>
          </w:p>
        </w:tc>
      </w:tr>
      <w:tr w:rsidR="00123C2F" w:rsidRPr="00D23F98" w14:paraId="1BEC5912" w14:textId="77777777" w:rsidTr="00552AE1">
        <w:trPr>
          <w:trHeight w:val="276"/>
        </w:trPr>
        <w:tc>
          <w:tcPr>
            <w:tcW w:w="3159" w:type="dxa"/>
            <w:noWrap/>
            <w:hideMark/>
          </w:tcPr>
          <w:p w14:paraId="301B21CC"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Cambodia</w:t>
            </w:r>
          </w:p>
        </w:tc>
      </w:tr>
      <w:tr w:rsidR="00123C2F" w:rsidRPr="00D23F98" w14:paraId="095E2226" w14:textId="77777777" w:rsidTr="00552AE1">
        <w:trPr>
          <w:trHeight w:val="276"/>
        </w:trPr>
        <w:tc>
          <w:tcPr>
            <w:tcW w:w="3159" w:type="dxa"/>
            <w:noWrap/>
            <w:hideMark/>
          </w:tcPr>
          <w:p w14:paraId="5521B65E"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Indonesia</w:t>
            </w:r>
          </w:p>
        </w:tc>
      </w:tr>
      <w:tr w:rsidR="00123C2F" w:rsidRPr="00D23F98" w14:paraId="61C1961B" w14:textId="77777777" w:rsidTr="00552AE1">
        <w:trPr>
          <w:trHeight w:val="276"/>
        </w:trPr>
        <w:tc>
          <w:tcPr>
            <w:tcW w:w="3159" w:type="dxa"/>
            <w:noWrap/>
            <w:hideMark/>
          </w:tcPr>
          <w:p w14:paraId="7B50B1CA"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Lao PDR</w:t>
            </w:r>
          </w:p>
        </w:tc>
      </w:tr>
      <w:tr w:rsidR="00123C2F" w:rsidRPr="00D23F98" w14:paraId="0AE69341" w14:textId="77777777" w:rsidTr="00552AE1">
        <w:trPr>
          <w:trHeight w:val="276"/>
        </w:trPr>
        <w:tc>
          <w:tcPr>
            <w:tcW w:w="3159" w:type="dxa"/>
            <w:noWrap/>
            <w:hideMark/>
          </w:tcPr>
          <w:p w14:paraId="5AA8703C"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Malaysia</w:t>
            </w:r>
          </w:p>
        </w:tc>
      </w:tr>
      <w:tr w:rsidR="00123C2F" w:rsidRPr="00D23F98" w14:paraId="3D377FE8" w14:textId="77777777" w:rsidTr="00552AE1">
        <w:trPr>
          <w:trHeight w:val="276"/>
        </w:trPr>
        <w:tc>
          <w:tcPr>
            <w:tcW w:w="3159" w:type="dxa"/>
            <w:noWrap/>
            <w:hideMark/>
          </w:tcPr>
          <w:p w14:paraId="4AABD5D7"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Myanmar</w:t>
            </w:r>
          </w:p>
        </w:tc>
      </w:tr>
      <w:tr w:rsidR="00123C2F" w:rsidRPr="00D23F98" w14:paraId="585E05F7" w14:textId="77777777" w:rsidTr="00552AE1">
        <w:trPr>
          <w:trHeight w:val="276"/>
        </w:trPr>
        <w:tc>
          <w:tcPr>
            <w:tcW w:w="3159" w:type="dxa"/>
            <w:noWrap/>
            <w:hideMark/>
          </w:tcPr>
          <w:p w14:paraId="1532C937"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Philippines</w:t>
            </w:r>
          </w:p>
        </w:tc>
      </w:tr>
      <w:tr w:rsidR="00123C2F" w:rsidRPr="00D23F98" w14:paraId="6BCA0F1A" w14:textId="77777777" w:rsidTr="00552AE1">
        <w:trPr>
          <w:trHeight w:val="276"/>
        </w:trPr>
        <w:tc>
          <w:tcPr>
            <w:tcW w:w="3159" w:type="dxa"/>
            <w:noWrap/>
            <w:hideMark/>
          </w:tcPr>
          <w:p w14:paraId="2A17BD68"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lastRenderedPageBreak/>
              <w:t>Singapore</w:t>
            </w:r>
          </w:p>
        </w:tc>
      </w:tr>
      <w:tr w:rsidR="00123C2F" w:rsidRPr="00D23F98" w14:paraId="7061BCAC" w14:textId="77777777" w:rsidTr="00552AE1">
        <w:trPr>
          <w:trHeight w:val="276"/>
        </w:trPr>
        <w:tc>
          <w:tcPr>
            <w:tcW w:w="3159" w:type="dxa"/>
            <w:noWrap/>
            <w:hideMark/>
          </w:tcPr>
          <w:p w14:paraId="41B24DDC"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Thailand</w:t>
            </w:r>
          </w:p>
        </w:tc>
      </w:tr>
      <w:tr w:rsidR="00123C2F" w:rsidRPr="00D23F98" w14:paraId="6015F3AF" w14:textId="77777777" w:rsidTr="00552AE1">
        <w:trPr>
          <w:trHeight w:val="276"/>
        </w:trPr>
        <w:tc>
          <w:tcPr>
            <w:tcW w:w="3159" w:type="dxa"/>
            <w:noWrap/>
            <w:hideMark/>
          </w:tcPr>
          <w:p w14:paraId="709004D3"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Timor Leste</w:t>
            </w:r>
          </w:p>
        </w:tc>
      </w:tr>
      <w:tr w:rsidR="00123C2F" w:rsidRPr="00D23F98" w14:paraId="3910D72E" w14:textId="77777777" w:rsidTr="00552AE1">
        <w:trPr>
          <w:trHeight w:val="276"/>
        </w:trPr>
        <w:tc>
          <w:tcPr>
            <w:tcW w:w="3159" w:type="dxa"/>
            <w:noWrap/>
            <w:hideMark/>
          </w:tcPr>
          <w:p w14:paraId="4532631B"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Vietnam, DR</w:t>
            </w:r>
          </w:p>
        </w:tc>
      </w:tr>
      <w:tr w:rsidR="00123C2F" w:rsidRPr="00D23F98" w14:paraId="02BE2732" w14:textId="77777777" w:rsidTr="00552AE1">
        <w:trPr>
          <w:trHeight w:val="276"/>
        </w:trPr>
        <w:tc>
          <w:tcPr>
            <w:tcW w:w="3159" w:type="dxa"/>
            <w:noWrap/>
            <w:hideMark/>
          </w:tcPr>
          <w:p w14:paraId="561BC76B"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Vietnam, Socialist Rep of</w:t>
            </w:r>
          </w:p>
        </w:tc>
      </w:tr>
      <w:tr w:rsidR="00123C2F" w:rsidRPr="00D23F98" w14:paraId="13C1D24A" w14:textId="77777777" w:rsidTr="00552AE1">
        <w:trPr>
          <w:trHeight w:val="276"/>
        </w:trPr>
        <w:tc>
          <w:tcPr>
            <w:tcW w:w="3159" w:type="dxa"/>
            <w:noWrap/>
          </w:tcPr>
          <w:p w14:paraId="53F25C0A" w14:textId="77777777" w:rsidR="00123C2F" w:rsidRPr="00D23F98" w:rsidRDefault="00123C2F" w:rsidP="00552AE1">
            <w:pPr>
              <w:pStyle w:val="NoSpacing"/>
              <w:rPr>
                <w:rFonts w:ascii="Times New Roman" w:hAnsi="Times New Roman" w:cs="Times New Roman"/>
                <w:b/>
                <w:i/>
                <w:lang w:eastAsia="en-GB"/>
              </w:rPr>
            </w:pPr>
            <w:r w:rsidRPr="00D23F98">
              <w:rPr>
                <w:rFonts w:ascii="Times New Roman" w:hAnsi="Times New Roman" w:cs="Times New Roman"/>
                <w:b/>
                <w:i/>
                <w:lang w:eastAsia="en-GB"/>
              </w:rPr>
              <w:t>Southern Asia</w:t>
            </w:r>
          </w:p>
        </w:tc>
      </w:tr>
      <w:tr w:rsidR="00123C2F" w:rsidRPr="00D23F98" w14:paraId="4685217A" w14:textId="77777777" w:rsidTr="00552AE1">
        <w:trPr>
          <w:trHeight w:val="276"/>
        </w:trPr>
        <w:tc>
          <w:tcPr>
            <w:tcW w:w="3159" w:type="dxa"/>
            <w:noWrap/>
            <w:hideMark/>
          </w:tcPr>
          <w:p w14:paraId="0DAD2585"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Afghanistan</w:t>
            </w:r>
          </w:p>
        </w:tc>
      </w:tr>
      <w:tr w:rsidR="00123C2F" w:rsidRPr="00D23F98" w14:paraId="5D8E3FD4" w14:textId="77777777" w:rsidTr="00552AE1">
        <w:trPr>
          <w:trHeight w:val="276"/>
        </w:trPr>
        <w:tc>
          <w:tcPr>
            <w:tcW w:w="3159" w:type="dxa"/>
            <w:noWrap/>
            <w:hideMark/>
          </w:tcPr>
          <w:p w14:paraId="7C622E11"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Bangladesh</w:t>
            </w:r>
          </w:p>
        </w:tc>
      </w:tr>
      <w:tr w:rsidR="00123C2F" w:rsidRPr="00D23F98" w14:paraId="179017A0" w14:textId="77777777" w:rsidTr="00552AE1">
        <w:trPr>
          <w:trHeight w:val="276"/>
        </w:trPr>
        <w:tc>
          <w:tcPr>
            <w:tcW w:w="3159" w:type="dxa"/>
            <w:noWrap/>
            <w:hideMark/>
          </w:tcPr>
          <w:p w14:paraId="35339962"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Bhutan</w:t>
            </w:r>
          </w:p>
        </w:tc>
      </w:tr>
      <w:tr w:rsidR="00123C2F" w:rsidRPr="00D23F98" w14:paraId="74BD3C8B" w14:textId="77777777" w:rsidTr="00552AE1">
        <w:trPr>
          <w:trHeight w:val="276"/>
        </w:trPr>
        <w:tc>
          <w:tcPr>
            <w:tcW w:w="3159" w:type="dxa"/>
            <w:noWrap/>
            <w:hideMark/>
          </w:tcPr>
          <w:p w14:paraId="0DE7127F"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India</w:t>
            </w:r>
          </w:p>
        </w:tc>
      </w:tr>
      <w:tr w:rsidR="00123C2F" w:rsidRPr="00D23F98" w14:paraId="1CB01173" w14:textId="77777777" w:rsidTr="00552AE1">
        <w:trPr>
          <w:trHeight w:val="276"/>
        </w:trPr>
        <w:tc>
          <w:tcPr>
            <w:tcW w:w="3159" w:type="dxa"/>
            <w:noWrap/>
            <w:hideMark/>
          </w:tcPr>
          <w:p w14:paraId="1AC8995C"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Iran, Islamic Republic of</w:t>
            </w:r>
          </w:p>
        </w:tc>
      </w:tr>
      <w:tr w:rsidR="00123C2F" w:rsidRPr="00D23F98" w14:paraId="1C3CED1E" w14:textId="77777777" w:rsidTr="00552AE1">
        <w:trPr>
          <w:trHeight w:val="276"/>
        </w:trPr>
        <w:tc>
          <w:tcPr>
            <w:tcW w:w="3159" w:type="dxa"/>
            <w:noWrap/>
            <w:hideMark/>
          </w:tcPr>
          <w:p w14:paraId="299A3701"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Maldives</w:t>
            </w:r>
          </w:p>
        </w:tc>
      </w:tr>
      <w:tr w:rsidR="00123C2F" w:rsidRPr="00D23F98" w14:paraId="7B416941" w14:textId="77777777" w:rsidTr="00552AE1">
        <w:trPr>
          <w:trHeight w:val="276"/>
        </w:trPr>
        <w:tc>
          <w:tcPr>
            <w:tcW w:w="3159" w:type="dxa"/>
            <w:noWrap/>
            <w:hideMark/>
          </w:tcPr>
          <w:p w14:paraId="686163E0"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Nepal</w:t>
            </w:r>
          </w:p>
        </w:tc>
      </w:tr>
      <w:tr w:rsidR="00123C2F" w:rsidRPr="00D23F98" w14:paraId="399126C8" w14:textId="77777777" w:rsidTr="00552AE1">
        <w:trPr>
          <w:trHeight w:val="276"/>
        </w:trPr>
        <w:tc>
          <w:tcPr>
            <w:tcW w:w="3159" w:type="dxa"/>
            <w:noWrap/>
            <w:hideMark/>
          </w:tcPr>
          <w:p w14:paraId="176FDD80"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Pakistan</w:t>
            </w:r>
          </w:p>
        </w:tc>
      </w:tr>
      <w:tr w:rsidR="00123C2F" w:rsidRPr="00D23F98" w14:paraId="08A8B34A" w14:textId="77777777" w:rsidTr="00552AE1">
        <w:trPr>
          <w:trHeight w:val="276"/>
        </w:trPr>
        <w:tc>
          <w:tcPr>
            <w:tcW w:w="3159" w:type="dxa"/>
            <w:noWrap/>
            <w:hideMark/>
          </w:tcPr>
          <w:p w14:paraId="108991BD"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Sri Lanka</w:t>
            </w:r>
          </w:p>
        </w:tc>
      </w:tr>
      <w:tr w:rsidR="00123C2F" w:rsidRPr="00D23F98" w14:paraId="6133DE22" w14:textId="77777777" w:rsidTr="00552AE1">
        <w:trPr>
          <w:trHeight w:val="276"/>
        </w:trPr>
        <w:tc>
          <w:tcPr>
            <w:tcW w:w="3159" w:type="dxa"/>
            <w:noWrap/>
          </w:tcPr>
          <w:p w14:paraId="4AF2D721" w14:textId="77777777" w:rsidR="00123C2F" w:rsidRPr="00D23F98" w:rsidRDefault="00123C2F" w:rsidP="00552AE1">
            <w:pPr>
              <w:pStyle w:val="NoSpacing"/>
              <w:rPr>
                <w:rFonts w:ascii="Times New Roman" w:hAnsi="Times New Roman" w:cs="Times New Roman"/>
                <w:b/>
                <w:i/>
                <w:lang w:eastAsia="en-GB"/>
              </w:rPr>
            </w:pPr>
            <w:r w:rsidRPr="00D23F98">
              <w:rPr>
                <w:rFonts w:ascii="Times New Roman" w:hAnsi="Times New Roman" w:cs="Times New Roman"/>
                <w:b/>
                <w:i/>
                <w:lang w:eastAsia="en-GB"/>
              </w:rPr>
              <w:t>Western Asia</w:t>
            </w:r>
          </w:p>
        </w:tc>
      </w:tr>
      <w:tr w:rsidR="00123C2F" w:rsidRPr="00D23F98" w14:paraId="5D435202" w14:textId="77777777" w:rsidTr="00552AE1">
        <w:trPr>
          <w:trHeight w:val="276"/>
        </w:trPr>
        <w:tc>
          <w:tcPr>
            <w:tcW w:w="3159" w:type="dxa"/>
            <w:noWrap/>
            <w:hideMark/>
          </w:tcPr>
          <w:p w14:paraId="1DDDB3B1"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Armenia</w:t>
            </w:r>
          </w:p>
        </w:tc>
      </w:tr>
      <w:tr w:rsidR="00123C2F" w:rsidRPr="00D23F98" w14:paraId="013176FA" w14:textId="77777777" w:rsidTr="00552AE1">
        <w:trPr>
          <w:trHeight w:val="276"/>
        </w:trPr>
        <w:tc>
          <w:tcPr>
            <w:tcW w:w="3159" w:type="dxa"/>
            <w:noWrap/>
            <w:hideMark/>
          </w:tcPr>
          <w:p w14:paraId="7AAE0637"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Azerbaijan</w:t>
            </w:r>
          </w:p>
        </w:tc>
      </w:tr>
      <w:tr w:rsidR="00123C2F" w:rsidRPr="00D23F98" w14:paraId="6C30A0E7" w14:textId="77777777" w:rsidTr="00552AE1">
        <w:trPr>
          <w:trHeight w:val="276"/>
        </w:trPr>
        <w:tc>
          <w:tcPr>
            <w:tcW w:w="3159" w:type="dxa"/>
            <w:noWrap/>
            <w:hideMark/>
          </w:tcPr>
          <w:p w14:paraId="61AE0632"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Bahrain</w:t>
            </w:r>
          </w:p>
        </w:tc>
      </w:tr>
      <w:tr w:rsidR="00123C2F" w:rsidRPr="00D23F98" w14:paraId="4111CBC5" w14:textId="77777777" w:rsidTr="00552AE1">
        <w:trPr>
          <w:trHeight w:val="276"/>
        </w:trPr>
        <w:tc>
          <w:tcPr>
            <w:tcW w:w="3159" w:type="dxa"/>
            <w:noWrap/>
            <w:hideMark/>
          </w:tcPr>
          <w:p w14:paraId="2099A313"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Cyprus</w:t>
            </w:r>
          </w:p>
        </w:tc>
      </w:tr>
      <w:tr w:rsidR="00123C2F" w:rsidRPr="00D23F98" w14:paraId="7332E4C9" w14:textId="77777777" w:rsidTr="00552AE1">
        <w:trPr>
          <w:trHeight w:val="276"/>
        </w:trPr>
        <w:tc>
          <w:tcPr>
            <w:tcW w:w="3159" w:type="dxa"/>
            <w:noWrap/>
            <w:hideMark/>
          </w:tcPr>
          <w:p w14:paraId="62C3236C"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Georgia</w:t>
            </w:r>
          </w:p>
        </w:tc>
      </w:tr>
      <w:tr w:rsidR="00123C2F" w:rsidRPr="00D23F98" w14:paraId="006F1139" w14:textId="77777777" w:rsidTr="00552AE1">
        <w:trPr>
          <w:trHeight w:val="276"/>
        </w:trPr>
        <w:tc>
          <w:tcPr>
            <w:tcW w:w="3159" w:type="dxa"/>
            <w:noWrap/>
            <w:hideMark/>
          </w:tcPr>
          <w:p w14:paraId="027FEB35"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Iraq</w:t>
            </w:r>
          </w:p>
        </w:tc>
      </w:tr>
      <w:tr w:rsidR="00123C2F" w:rsidRPr="00D23F98" w14:paraId="1BC71504" w14:textId="77777777" w:rsidTr="00552AE1">
        <w:trPr>
          <w:trHeight w:val="276"/>
        </w:trPr>
        <w:tc>
          <w:tcPr>
            <w:tcW w:w="3159" w:type="dxa"/>
            <w:noWrap/>
            <w:hideMark/>
          </w:tcPr>
          <w:p w14:paraId="3FF45754"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Israel</w:t>
            </w:r>
          </w:p>
        </w:tc>
      </w:tr>
      <w:tr w:rsidR="00123C2F" w:rsidRPr="00D23F98" w14:paraId="61424569" w14:textId="77777777" w:rsidTr="00552AE1">
        <w:trPr>
          <w:trHeight w:val="276"/>
        </w:trPr>
        <w:tc>
          <w:tcPr>
            <w:tcW w:w="3159" w:type="dxa"/>
            <w:noWrap/>
            <w:hideMark/>
          </w:tcPr>
          <w:p w14:paraId="3F7E0994"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Jordan</w:t>
            </w:r>
          </w:p>
        </w:tc>
      </w:tr>
      <w:tr w:rsidR="00123C2F" w:rsidRPr="00D23F98" w14:paraId="79AE6C11" w14:textId="77777777" w:rsidTr="00552AE1">
        <w:trPr>
          <w:trHeight w:val="276"/>
        </w:trPr>
        <w:tc>
          <w:tcPr>
            <w:tcW w:w="3159" w:type="dxa"/>
            <w:noWrap/>
            <w:hideMark/>
          </w:tcPr>
          <w:p w14:paraId="466DB465"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Kuwait</w:t>
            </w:r>
          </w:p>
        </w:tc>
      </w:tr>
      <w:tr w:rsidR="00123C2F" w:rsidRPr="00D23F98" w14:paraId="20D672D2" w14:textId="77777777" w:rsidTr="00552AE1">
        <w:trPr>
          <w:trHeight w:val="276"/>
        </w:trPr>
        <w:tc>
          <w:tcPr>
            <w:tcW w:w="3159" w:type="dxa"/>
            <w:noWrap/>
            <w:hideMark/>
          </w:tcPr>
          <w:p w14:paraId="3374BF2A"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Lebanon</w:t>
            </w:r>
          </w:p>
        </w:tc>
      </w:tr>
      <w:tr w:rsidR="00123C2F" w:rsidRPr="00D23F98" w14:paraId="3249648E" w14:textId="77777777" w:rsidTr="00552AE1">
        <w:trPr>
          <w:trHeight w:val="276"/>
        </w:trPr>
        <w:tc>
          <w:tcPr>
            <w:tcW w:w="3159" w:type="dxa"/>
            <w:noWrap/>
            <w:hideMark/>
          </w:tcPr>
          <w:p w14:paraId="5DFF9D7B"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Oman</w:t>
            </w:r>
          </w:p>
        </w:tc>
      </w:tr>
      <w:tr w:rsidR="00123C2F" w:rsidRPr="00D23F98" w14:paraId="4D6C8D50" w14:textId="77777777" w:rsidTr="00552AE1">
        <w:trPr>
          <w:trHeight w:val="276"/>
        </w:trPr>
        <w:tc>
          <w:tcPr>
            <w:tcW w:w="3159" w:type="dxa"/>
            <w:noWrap/>
            <w:hideMark/>
          </w:tcPr>
          <w:p w14:paraId="44A37281"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Qatar</w:t>
            </w:r>
          </w:p>
        </w:tc>
      </w:tr>
      <w:tr w:rsidR="00123C2F" w:rsidRPr="00D23F98" w14:paraId="455276D2" w14:textId="77777777" w:rsidTr="00552AE1">
        <w:trPr>
          <w:trHeight w:val="276"/>
        </w:trPr>
        <w:tc>
          <w:tcPr>
            <w:tcW w:w="3159" w:type="dxa"/>
            <w:noWrap/>
            <w:hideMark/>
          </w:tcPr>
          <w:p w14:paraId="587616B8"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Saudi Arabia</w:t>
            </w:r>
          </w:p>
        </w:tc>
      </w:tr>
      <w:tr w:rsidR="00123C2F" w:rsidRPr="00D23F98" w14:paraId="686D8590" w14:textId="77777777" w:rsidTr="00552AE1">
        <w:trPr>
          <w:trHeight w:val="276"/>
        </w:trPr>
        <w:tc>
          <w:tcPr>
            <w:tcW w:w="3159" w:type="dxa"/>
            <w:noWrap/>
            <w:hideMark/>
          </w:tcPr>
          <w:p w14:paraId="07A5384D"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Syrian Arab Republic</w:t>
            </w:r>
          </w:p>
        </w:tc>
      </w:tr>
      <w:tr w:rsidR="00123C2F" w:rsidRPr="00D23F98" w14:paraId="28B21A59" w14:textId="77777777" w:rsidTr="00552AE1">
        <w:trPr>
          <w:trHeight w:val="276"/>
        </w:trPr>
        <w:tc>
          <w:tcPr>
            <w:tcW w:w="3159" w:type="dxa"/>
            <w:noWrap/>
            <w:hideMark/>
          </w:tcPr>
          <w:p w14:paraId="4CA9C9DE"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Turkey</w:t>
            </w:r>
          </w:p>
        </w:tc>
      </w:tr>
      <w:tr w:rsidR="00123C2F" w:rsidRPr="00D23F98" w14:paraId="2B9A3C5C" w14:textId="77777777" w:rsidTr="00552AE1">
        <w:trPr>
          <w:trHeight w:val="276"/>
        </w:trPr>
        <w:tc>
          <w:tcPr>
            <w:tcW w:w="3159" w:type="dxa"/>
            <w:noWrap/>
            <w:hideMark/>
          </w:tcPr>
          <w:p w14:paraId="53A993DC"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United Arab Emirates</w:t>
            </w:r>
          </w:p>
        </w:tc>
      </w:tr>
      <w:tr w:rsidR="00123C2F" w:rsidRPr="00D23F98" w14:paraId="4383EFBB" w14:textId="77777777" w:rsidTr="00552AE1">
        <w:trPr>
          <w:trHeight w:val="276"/>
        </w:trPr>
        <w:tc>
          <w:tcPr>
            <w:tcW w:w="3159" w:type="dxa"/>
            <w:noWrap/>
            <w:hideMark/>
          </w:tcPr>
          <w:p w14:paraId="570A5C4E"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Yemen</w:t>
            </w:r>
          </w:p>
        </w:tc>
      </w:tr>
      <w:tr w:rsidR="00123C2F" w:rsidRPr="00D23F98" w14:paraId="461B7C9C" w14:textId="77777777" w:rsidTr="00552AE1">
        <w:trPr>
          <w:trHeight w:val="276"/>
        </w:trPr>
        <w:tc>
          <w:tcPr>
            <w:tcW w:w="3159" w:type="dxa"/>
            <w:noWrap/>
            <w:hideMark/>
          </w:tcPr>
          <w:p w14:paraId="3790B924"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Yemen North</w:t>
            </w:r>
          </w:p>
        </w:tc>
      </w:tr>
      <w:tr w:rsidR="00123C2F" w:rsidRPr="00D23F98" w14:paraId="31340AB4" w14:textId="77777777" w:rsidTr="00552AE1">
        <w:trPr>
          <w:trHeight w:val="276"/>
        </w:trPr>
        <w:tc>
          <w:tcPr>
            <w:tcW w:w="3159" w:type="dxa"/>
            <w:noWrap/>
            <w:hideMark/>
          </w:tcPr>
          <w:p w14:paraId="2788410B"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Yemen South</w:t>
            </w:r>
          </w:p>
        </w:tc>
      </w:tr>
      <w:tr w:rsidR="00123C2F" w:rsidRPr="00D23F98" w14:paraId="6423155B" w14:textId="77777777" w:rsidTr="00552AE1">
        <w:trPr>
          <w:trHeight w:val="276"/>
        </w:trPr>
        <w:tc>
          <w:tcPr>
            <w:tcW w:w="3159" w:type="dxa"/>
            <w:noWrap/>
          </w:tcPr>
          <w:p w14:paraId="348B6EB6" w14:textId="77777777" w:rsidR="00123C2F" w:rsidRPr="00D23F98" w:rsidRDefault="00123C2F" w:rsidP="00552AE1">
            <w:pPr>
              <w:pStyle w:val="NoSpacing"/>
              <w:rPr>
                <w:rFonts w:ascii="Times New Roman" w:hAnsi="Times New Roman" w:cs="Times New Roman"/>
                <w:b/>
                <w:lang w:eastAsia="en-GB"/>
              </w:rPr>
            </w:pPr>
            <w:r w:rsidRPr="00D23F98">
              <w:rPr>
                <w:rFonts w:ascii="Times New Roman" w:hAnsi="Times New Roman" w:cs="Times New Roman"/>
                <w:b/>
                <w:lang w:eastAsia="en-GB"/>
              </w:rPr>
              <w:t>Europe</w:t>
            </w:r>
          </w:p>
        </w:tc>
      </w:tr>
      <w:tr w:rsidR="00123C2F" w:rsidRPr="00D23F98" w14:paraId="152E5C1D" w14:textId="77777777" w:rsidTr="00552AE1">
        <w:trPr>
          <w:trHeight w:val="276"/>
        </w:trPr>
        <w:tc>
          <w:tcPr>
            <w:tcW w:w="3159" w:type="dxa"/>
            <w:noWrap/>
          </w:tcPr>
          <w:p w14:paraId="30F72AB6" w14:textId="77777777" w:rsidR="00123C2F" w:rsidRPr="00D23F98" w:rsidRDefault="00123C2F" w:rsidP="00552AE1">
            <w:pPr>
              <w:pStyle w:val="NoSpacing"/>
              <w:rPr>
                <w:rFonts w:ascii="Times New Roman" w:hAnsi="Times New Roman" w:cs="Times New Roman"/>
                <w:b/>
                <w:i/>
                <w:lang w:eastAsia="en-GB"/>
              </w:rPr>
            </w:pPr>
            <w:r w:rsidRPr="00D23F98">
              <w:rPr>
                <w:rFonts w:ascii="Times New Roman" w:hAnsi="Times New Roman" w:cs="Times New Roman"/>
                <w:b/>
                <w:i/>
                <w:lang w:eastAsia="en-GB"/>
              </w:rPr>
              <w:t>Eastern Europe</w:t>
            </w:r>
          </w:p>
        </w:tc>
      </w:tr>
      <w:tr w:rsidR="00123C2F" w:rsidRPr="00D23F98" w14:paraId="7AE813C3" w14:textId="77777777" w:rsidTr="00552AE1">
        <w:trPr>
          <w:trHeight w:val="276"/>
        </w:trPr>
        <w:tc>
          <w:tcPr>
            <w:tcW w:w="3159" w:type="dxa"/>
            <w:noWrap/>
            <w:hideMark/>
          </w:tcPr>
          <w:p w14:paraId="2E908FC4"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Belarus</w:t>
            </w:r>
          </w:p>
        </w:tc>
      </w:tr>
      <w:tr w:rsidR="00123C2F" w:rsidRPr="00D23F98" w14:paraId="40BA3C16" w14:textId="77777777" w:rsidTr="00552AE1">
        <w:trPr>
          <w:trHeight w:val="276"/>
        </w:trPr>
        <w:tc>
          <w:tcPr>
            <w:tcW w:w="3159" w:type="dxa"/>
            <w:noWrap/>
            <w:hideMark/>
          </w:tcPr>
          <w:p w14:paraId="344B1D92"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Bulgaria</w:t>
            </w:r>
          </w:p>
        </w:tc>
      </w:tr>
      <w:tr w:rsidR="00123C2F" w:rsidRPr="00D23F98" w14:paraId="6974F0E7" w14:textId="77777777" w:rsidTr="00552AE1">
        <w:trPr>
          <w:trHeight w:val="276"/>
        </w:trPr>
        <w:tc>
          <w:tcPr>
            <w:tcW w:w="3159" w:type="dxa"/>
            <w:noWrap/>
            <w:hideMark/>
          </w:tcPr>
          <w:p w14:paraId="439FEDDC"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Czech Republic</w:t>
            </w:r>
          </w:p>
        </w:tc>
      </w:tr>
      <w:tr w:rsidR="00123C2F" w:rsidRPr="00D23F98" w14:paraId="3CFDC204" w14:textId="77777777" w:rsidTr="00552AE1">
        <w:trPr>
          <w:trHeight w:val="276"/>
        </w:trPr>
        <w:tc>
          <w:tcPr>
            <w:tcW w:w="3159" w:type="dxa"/>
            <w:noWrap/>
            <w:hideMark/>
          </w:tcPr>
          <w:p w14:paraId="464AC1E8"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Czechoslovakia</w:t>
            </w:r>
          </w:p>
        </w:tc>
      </w:tr>
      <w:tr w:rsidR="00123C2F" w:rsidRPr="00D23F98" w14:paraId="64A16927" w14:textId="77777777" w:rsidTr="00552AE1">
        <w:trPr>
          <w:trHeight w:val="276"/>
        </w:trPr>
        <w:tc>
          <w:tcPr>
            <w:tcW w:w="3159" w:type="dxa"/>
            <w:noWrap/>
            <w:hideMark/>
          </w:tcPr>
          <w:p w14:paraId="6E08DA08"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Hungary</w:t>
            </w:r>
          </w:p>
        </w:tc>
      </w:tr>
      <w:tr w:rsidR="00123C2F" w:rsidRPr="00D23F98" w14:paraId="3EF3D1D3" w14:textId="77777777" w:rsidTr="00552AE1">
        <w:trPr>
          <w:trHeight w:val="276"/>
        </w:trPr>
        <w:tc>
          <w:tcPr>
            <w:tcW w:w="3159" w:type="dxa"/>
            <w:noWrap/>
            <w:hideMark/>
          </w:tcPr>
          <w:p w14:paraId="1F4BEDF0"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Moldova, Republic of</w:t>
            </w:r>
          </w:p>
        </w:tc>
      </w:tr>
      <w:tr w:rsidR="00123C2F" w:rsidRPr="00D23F98" w14:paraId="727FDCAF" w14:textId="77777777" w:rsidTr="00552AE1">
        <w:trPr>
          <w:trHeight w:val="276"/>
        </w:trPr>
        <w:tc>
          <w:tcPr>
            <w:tcW w:w="3159" w:type="dxa"/>
            <w:noWrap/>
            <w:hideMark/>
          </w:tcPr>
          <w:p w14:paraId="2AC569FD"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Poland</w:t>
            </w:r>
          </w:p>
        </w:tc>
      </w:tr>
      <w:tr w:rsidR="00123C2F" w:rsidRPr="00D23F98" w14:paraId="380F734E" w14:textId="77777777" w:rsidTr="00552AE1">
        <w:trPr>
          <w:trHeight w:val="276"/>
        </w:trPr>
        <w:tc>
          <w:tcPr>
            <w:tcW w:w="3159" w:type="dxa"/>
            <w:noWrap/>
            <w:hideMark/>
          </w:tcPr>
          <w:p w14:paraId="2E42143F"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Romania</w:t>
            </w:r>
          </w:p>
        </w:tc>
      </w:tr>
      <w:tr w:rsidR="00123C2F" w:rsidRPr="00D23F98" w14:paraId="4C858AEE" w14:textId="77777777" w:rsidTr="00552AE1">
        <w:trPr>
          <w:trHeight w:val="276"/>
        </w:trPr>
        <w:tc>
          <w:tcPr>
            <w:tcW w:w="3159" w:type="dxa"/>
            <w:noWrap/>
            <w:hideMark/>
          </w:tcPr>
          <w:p w14:paraId="43C73693"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Russian Federation</w:t>
            </w:r>
          </w:p>
        </w:tc>
      </w:tr>
      <w:tr w:rsidR="00123C2F" w:rsidRPr="00D23F98" w14:paraId="51C0C17F" w14:textId="77777777" w:rsidTr="00552AE1">
        <w:trPr>
          <w:trHeight w:val="276"/>
        </w:trPr>
        <w:tc>
          <w:tcPr>
            <w:tcW w:w="3159" w:type="dxa"/>
            <w:noWrap/>
            <w:hideMark/>
          </w:tcPr>
          <w:p w14:paraId="3A2FAB05"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Slovak Republic</w:t>
            </w:r>
          </w:p>
        </w:tc>
      </w:tr>
      <w:tr w:rsidR="00123C2F" w:rsidRPr="00D23F98" w14:paraId="30465FE1" w14:textId="77777777" w:rsidTr="00552AE1">
        <w:trPr>
          <w:trHeight w:val="276"/>
        </w:trPr>
        <w:tc>
          <w:tcPr>
            <w:tcW w:w="3159" w:type="dxa"/>
            <w:noWrap/>
            <w:hideMark/>
          </w:tcPr>
          <w:p w14:paraId="6ACC0771"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Ukraine</w:t>
            </w:r>
          </w:p>
        </w:tc>
      </w:tr>
      <w:tr w:rsidR="00123C2F" w:rsidRPr="00D23F98" w14:paraId="201CCD45" w14:textId="77777777" w:rsidTr="00552AE1">
        <w:trPr>
          <w:trHeight w:val="276"/>
        </w:trPr>
        <w:tc>
          <w:tcPr>
            <w:tcW w:w="3159" w:type="dxa"/>
            <w:noWrap/>
          </w:tcPr>
          <w:p w14:paraId="16D90EE3"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lastRenderedPageBreak/>
              <w:t>USSR</w:t>
            </w:r>
          </w:p>
        </w:tc>
      </w:tr>
      <w:tr w:rsidR="00123C2F" w:rsidRPr="00D23F98" w14:paraId="4BD27315" w14:textId="77777777" w:rsidTr="00552AE1">
        <w:trPr>
          <w:trHeight w:val="276"/>
        </w:trPr>
        <w:tc>
          <w:tcPr>
            <w:tcW w:w="3159" w:type="dxa"/>
            <w:noWrap/>
          </w:tcPr>
          <w:p w14:paraId="0BFB8964" w14:textId="77777777" w:rsidR="00123C2F" w:rsidRPr="00D23F98" w:rsidRDefault="00123C2F" w:rsidP="00552AE1">
            <w:pPr>
              <w:pStyle w:val="NoSpacing"/>
              <w:rPr>
                <w:rFonts w:ascii="Times New Roman" w:hAnsi="Times New Roman" w:cs="Times New Roman"/>
                <w:b/>
                <w:lang w:eastAsia="en-GB"/>
              </w:rPr>
            </w:pPr>
            <w:r w:rsidRPr="00D23F98">
              <w:rPr>
                <w:rFonts w:ascii="Times New Roman" w:hAnsi="Times New Roman" w:cs="Times New Roman"/>
                <w:b/>
                <w:lang w:eastAsia="en-GB"/>
              </w:rPr>
              <w:t>Northern Europe</w:t>
            </w:r>
          </w:p>
        </w:tc>
      </w:tr>
      <w:tr w:rsidR="00123C2F" w:rsidRPr="00D23F98" w14:paraId="01ACD523" w14:textId="77777777" w:rsidTr="00552AE1">
        <w:trPr>
          <w:trHeight w:val="276"/>
        </w:trPr>
        <w:tc>
          <w:tcPr>
            <w:tcW w:w="3159" w:type="dxa"/>
            <w:noWrap/>
            <w:hideMark/>
          </w:tcPr>
          <w:p w14:paraId="6395B77B"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Denmark</w:t>
            </w:r>
          </w:p>
        </w:tc>
      </w:tr>
      <w:tr w:rsidR="00123C2F" w:rsidRPr="00D23F98" w14:paraId="6C713364" w14:textId="77777777" w:rsidTr="00552AE1">
        <w:trPr>
          <w:trHeight w:val="276"/>
        </w:trPr>
        <w:tc>
          <w:tcPr>
            <w:tcW w:w="3159" w:type="dxa"/>
            <w:noWrap/>
            <w:hideMark/>
          </w:tcPr>
          <w:p w14:paraId="5E793EF5"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Estonia</w:t>
            </w:r>
          </w:p>
        </w:tc>
      </w:tr>
      <w:tr w:rsidR="00123C2F" w:rsidRPr="00D23F98" w14:paraId="5DE30541" w14:textId="77777777" w:rsidTr="00552AE1">
        <w:trPr>
          <w:trHeight w:val="276"/>
        </w:trPr>
        <w:tc>
          <w:tcPr>
            <w:tcW w:w="3159" w:type="dxa"/>
            <w:noWrap/>
            <w:hideMark/>
          </w:tcPr>
          <w:p w14:paraId="4DCD73DF"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Faroe Islands</w:t>
            </w:r>
          </w:p>
        </w:tc>
      </w:tr>
      <w:tr w:rsidR="00123C2F" w:rsidRPr="00D23F98" w14:paraId="5E4A66A8" w14:textId="77777777" w:rsidTr="00552AE1">
        <w:trPr>
          <w:trHeight w:val="276"/>
        </w:trPr>
        <w:tc>
          <w:tcPr>
            <w:tcW w:w="3159" w:type="dxa"/>
            <w:noWrap/>
            <w:hideMark/>
          </w:tcPr>
          <w:p w14:paraId="694D873F"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Finland</w:t>
            </w:r>
          </w:p>
        </w:tc>
      </w:tr>
      <w:tr w:rsidR="00123C2F" w:rsidRPr="00D23F98" w14:paraId="316BA934" w14:textId="77777777" w:rsidTr="00552AE1">
        <w:trPr>
          <w:trHeight w:val="276"/>
        </w:trPr>
        <w:tc>
          <w:tcPr>
            <w:tcW w:w="3159" w:type="dxa"/>
            <w:noWrap/>
            <w:hideMark/>
          </w:tcPr>
          <w:p w14:paraId="67513503"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Iceland</w:t>
            </w:r>
          </w:p>
        </w:tc>
      </w:tr>
      <w:tr w:rsidR="00123C2F" w:rsidRPr="00D23F98" w14:paraId="61C042F1" w14:textId="77777777" w:rsidTr="00552AE1">
        <w:trPr>
          <w:trHeight w:val="276"/>
        </w:trPr>
        <w:tc>
          <w:tcPr>
            <w:tcW w:w="3159" w:type="dxa"/>
            <w:noWrap/>
            <w:hideMark/>
          </w:tcPr>
          <w:p w14:paraId="0A470610"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Ireland</w:t>
            </w:r>
          </w:p>
        </w:tc>
      </w:tr>
      <w:tr w:rsidR="00123C2F" w:rsidRPr="00D23F98" w14:paraId="30B02A51" w14:textId="77777777" w:rsidTr="00552AE1">
        <w:trPr>
          <w:trHeight w:val="276"/>
        </w:trPr>
        <w:tc>
          <w:tcPr>
            <w:tcW w:w="3159" w:type="dxa"/>
            <w:noWrap/>
            <w:hideMark/>
          </w:tcPr>
          <w:p w14:paraId="27D4FB0F"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Latvia</w:t>
            </w:r>
          </w:p>
        </w:tc>
      </w:tr>
      <w:tr w:rsidR="00123C2F" w:rsidRPr="00D23F98" w14:paraId="48CC7CB6" w14:textId="77777777" w:rsidTr="00552AE1">
        <w:trPr>
          <w:trHeight w:val="276"/>
        </w:trPr>
        <w:tc>
          <w:tcPr>
            <w:tcW w:w="3159" w:type="dxa"/>
            <w:noWrap/>
            <w:hideMark/>
          </w:tcPr>
          <w:p w14:paraId="71544448"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Lithuania</w:t>
            </w:r>
          </w:p>
        </w:tc>
      </w:tr>
      <w:tr w:rsidR="00123C2F" w:rsidRPr="00D23F98" w14:paraId="10477563" w14:textId="77777777" w:rsidTr="00552AE1">
        <w:trPr>
          <w:trHeight w:val="276"/>
        </w:trPr>
        <w:tc>
          <w:tcPr>
            <w:tcW w:w="3159" w:type="dxa"/>
            <w:noWrap/>
            <w:hideMark/>
          </w:tcPr>
          <w:p w14:paraId="67D92403"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Norway</w:t>
            </w:r>
          </w:p>
        </w:tc>
      </w:tr>
      <w:tr w:rsidR="00123C2F" w:rsidRPr="00D23F98" w14:paraId="611849E4" w14:textId="77777777" w:rsidTr="00552AE1">
        <w:trPr>
          <w:trHeight w:val="276"/>
        </w:trPr>
        <w:tc>
          <w:tcPr>
            <w:tcW w:w="3159" w:type="dxa"/>
            <w:noWrap/>
            <w:hideMark/>
          </w:tcPr>
          <w:p w14:paraId="206F18D4"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Sweden</w:t>
            </w:r>
          </w:p>
        </w:tc>
      </w:tr>
      <w:tr w:rsidR="00123C2F" w:rsidRPr="00D23F98" w14:paraId="18DFDEBE" w14:textId="77777777" w:rsidTr="00552AE1">
        <w:trPr>
          <w:trHeight w:val="276"/>
        </w:trPr>
        <w:tc>
          <w:tcPr>
            <w:tcW w:w="3159" w:type="dxa"/>
            <w:noWrap/>
            <w:hideMark/>
          </w:tcPr>
          <w:p w14:paraId="7BD7979A"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United Kingdom</w:t>
            </w:r>
          </w:p>
        </w:tc>
      </w:tr>
      <w:tr w:rsidR="00123C2F" w:rsidRPr="00D23F98" w14:paraId="0653C9A9" w14:textId="77777777" w:rsidTr="00552AE1">
        <w:trPr>
          <w:trHeight w:val="276"/>
        </w:trPr>
        <w:tc>
          <w:tcPr>
            <w:tcW w:w="3159" w:type="dxa"/>
            <w:noWrap/>
          </w:tcPr>
          <w:p w14:paraId="5F70D2CC" w14:textId="77777777" w:rsidR="00123C2F" w:rsidRPr="00D23F98" w:rsidRDefault="00123C2F" w:rsidP="00552AE1">
            <w:pPr>
              <w:pStyle w:val="NoSpacing"/>
              <w:rPr>
                <w:rFonts w:ascii="Times New Roman" w:hAnsi="Times New Roman" w:cs="Times New Roman"/>
                <w:b/>
                <w:i/>
                <w:lang w:eastAsia="en-GB"/>
              </w:rPr>
            </w:pPr>
            <w:r w:rsidRPr="00D23F98">
              <w:rPr>
                <w:rFonts w:ascii="Times New Roman" w:hAnsi="Times New Roman" w:cs="Times New Roman"/>
                <w:b/>
                <w:i/>
                <w:lang w:eastAsia="en-GB"/>
              </w:rPr>
              <w:t>Southern Europe</w:t>
            </w:r>
          </w:p>
        </w:tc>
      </w:tr>
      <w:tr w:rsidR="00123C2F" w:rsidRPr="00D23F98" w14:paraId="648698E9" w14:textId="77777777" w:rsidTr="00552AE1">
        <w:trPr>
          <w:trHeight w:val="276"/>
        </w:trPr>
        <w:tc>
          <w:tcPr>
            <w:tcW w:w="3159" w:type="dxa"/>
            <w:noWrap/>
            <w:hideMark/>
          </w:tcPr>
          <w:p w14:paraId="576BFAEF"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Albania</w:t>
            </w:r>
          </w:p>
        </w:tc>
      </w:tr>
      <w:tr w:rsidR="00123C2F" w:rsidRPr="00D23F98" w14:paraId="47FDE121" w14:textId="77777777" w:rsidTr="00552AE1">
        <w:trPr>
          <w:trHeight w:val="276"/>
        </w:trPr>
        <w:tc>
          <w:tcPr>
            <w:tcW w:w="3159" w:type="dxa"/>
            <w:noWrap/>
            <w:hideMark/>
          </w:tcPr>
          <w:p w14:paraId="1AA506AD"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Bosnia and Herzegovina</w:t>
            </w:r>
          </w:p>
        </w:tc>
      </w:tr>
      <w:tr w:rsidR="00123C2F" w:rsidRPr="00D23F98" w14:paraId="6B65A599" w14:textId="77777777" w:rsidTr="00552AE1">
        <w:trPr>
          <w:trHeight w:val="276"/>
        </w:trPr>
        <w:tc>
          <w:tcPr>
            <w:tcW w:w="3159" w:type="dxa"/>
            <w:noWrap/>
            <w:hideMark/>
          </w:tcPr>
          <w:p w14:paraId="71B2975C"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Croatia</w:t>
            </w:r>
          </w:p>
        </w:tc>
      </w:tr>
      <w:tr w:rsidR="00123C2F" w:rsidRPr="00D23F98" w14:paraId="40204F27" w14:textId="77777777" w:rsidTr="00552AE1">
        <w:trPr>
          <w:trHeight w:val="276"/>
        </w:trPr>
        <w:tc>
          <w:tcPr>
            <w:tcW w:w="3159" w:type="dxa"/>
            <w:noWrap/>
            <w:hideMark/>
          </w:tcPr>
          <w:p w14:paraId="358EBE1E"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Greece</w:t>
            </w:r>
          </w:p>
        </w:tc>
      </w:tr>
      <w:tr w:rsidR="00123C2F" w:rsidRPr="00D23F98" w14:paraId="5BFD6F02" w14:textId="77777777" w:rsidTr="00552AE1">
        <w:trPr>
          <w:trHeight w:val="276"/>
        </w:trPr>
        <w:tc>
          <w:tcPr>
            <w:tcW w:w="3159" w:type="dxa"/>
            <w:noWrap/>
            <w:hideMark/>
          </w:tcPr>
          <w:p w14:paraId="3289653C"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Italy</w:t>
            </w:r>
          </w:p>
        </w:tc>
      </w:tr>
      <w:tr w:rsidR="00123C2F" w:rsidRPr="00D23F98" w14:paraId="0C50B540" w14:textId="77777777" w:rsidTr="00552AE1">
        <w:trPr>
          <w:trHeight w:val="276"/>
        </w:trPr>
        <w:tc>
          <w:tcPr>
            <w:tcW w:w="3159" w:type="dxa"/>
            <w:noWrap/>
            <w:hideMark/>
          </w:tcPr>
          <w:p w14:paraId="2498931E"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Macedonia</w:t>
            </w:r>
          </w:p>
        </w:tc>
      </w:tr>
      <w:tr w:rsidR="00123C2F" w:rsidRPr="00D23F98" w14:paraId="0F4AB894" w14:textId="77777777" w:rsidTr="00552AE1">
        <w:trPr>
          <w:trHeight w:val="276"/>
        </w:trPr>
        <w:tc>
          <w:tcPr>
            <w:tcW w:w="3159" w:type="dxa"/>
            <w:noWrap/>
            <w:hideMark/>
          </w:tcPr>
          <w:p w14:paraId="0F461971"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Malta</w:t>
            </w:r>
          </w:p>
        </w:tc>
      </w:tr>
      <w:tr w:rsidR="00123C2F" w:rsidRPr="00D23F98" w14:paraId="19901B58" w14:textId="77777777" w:rsidTr="00552AE1">
        <w:trPr>
          <w:trHeight w:val="276"/>
        </w:trPr>
        <w:tc>
          <w:tcPr>
            <w:tcW w:w="3159" w:type="dxa"/>
            <w:noWrap/>
            <w:hideMark/>
          </w:tcPr>
          <w:p w14:paraId="4097C5E8"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Montenegro</w:t>
            </w:r>
          </w:p>
        </w:tc>
      </w:tr>
      <w:tr w:rsidR="00123C2F" w:rsidRPr="00D23F98" w14:paraId="65573C14" w14:textId="77777777" w:rsidTr="00552AE1">
        <w:trPr>
          <w:trHeight w:val="276"/>
        </w:trPr>
        <w:tc>
          <w:tcPr>
            <w:tcW w:w="3159" w:type="dxa"/>
            <w:noWrap/>
            <w:hideMark/>
          </w:tcPr>
          <w:p w14:paraId="4875AC13"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Portugal</w:t>
            </w:r>
          </w:p>
        </w:tc>
      </w:tr>
      <w:tr w:rsidR="00123C2F" w:rsidRPr="00D23F98" w14:paraId="07822698" w14:textId="77777777" w:rsidTr="00552AE1">
        <w:trPr>
          <w:trHeight w:val="276"/>
        </w:trPr>
        <w:tc>
          <w:tcPr>
            <w:tcW w:w="3159" w:type="dxa"/>
            <w:noWrap/>
            <w:hideMark/>
          </w:tcPr>
          <w:p w14:paraId="5EA8A9AC"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San Marino</w:t>
            </w:r>
          </w:p>
        </w:tc>
      </w:tr>
      <w:tr w:rsidR="00123C2F" w:rsidRPr="00D23F98" w14:paraId="12E5A980" w14:textId="77777777" w:rsidTr="00552AE1">
        <w:trPr>
          <w:trHeight w:val="276"/>
        </w:trPr>
        <w:tc>
          <w:tcPr>
            <w:tcW w:w="3159" w:type="dxa"/>
            <w:noWrap/>
            <w:hideMark/>
          </w:tcPr>
          <w:p w14:paraId="270F5968"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Serbia</w:t>
            </w:r>
          </w:p>
        </w:tc>
      </w:tr>
      <w:tr w:rsidR="00123C2F" w:rsidRPr="00D23F98" w14:paraId="2C74944C" w14:textId="77777777" w:rsidTr="00552AE1">
        <w:trPr>
          <w:trHeight w:val="276"/>
        </w:trPr>
        <w:tc>
          <w:tcPr>
            <w:tcW w:w="3159" w:type="dxa"/>
            <w:noWrap/>
            <w:hideMark/>
          </w:tcPr>
          <w:p w14:paraId="0FA44841"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Serbia and Montenegro</w:t>
            </w:r>
          </w:p>
        </w:tc>
      </w:tr>
      <w:tr w:rsidR="00123C2F" w:rsidRPr="00D23F98" w14:paraId="6BF541ED" w14:textId="77777777" w:rsidTr="00552AE1">
        <w:trPr>
          <w:trHeight w:val="276"/>
        </w:trPr>
        <w:tc>
          <w:tcPr>
            <w:tcW w:w="3159" w:type="dxa"/>
            <w:noWrap/>
            <w:hideMark/>
          </w:tcPr>
          <w:p w14:paraId="0F69E14F"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Slovenia</w:t>
            </w:r>
          </w:p>
        </w:tc>
      </w:tr>
      <w:tr w:rsidR="00123C2F" w:rsidRPr="00D23F98" w14:paraId="0347B3DD" w14:textId="77777777" w:rsidTr="00552AE1">
        <w:trPr>
          <w:trHeight w:val="276"/>
        </w:trPr>
        <w:tc>
          <w:tcPr>
            <w:tcW w:w="3159" w:type="dxa"/>
            <w:noWrap/>
            <w:hideMark/>
          </w:tcPr>
          <w:p w14:paraId="3AEF2413"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Spain</w:t>
            </w:r>
          </w:p>
        </w:tc>
      </w:tr>
      <w:tr w:rsidR="00123C2F" w:rsidRPr="00D23F98" w14:paraId="575BA19C" w14:textId="77777777" w:rsidTr="00552AE1">
        <w:trPr>
          <w:trHeight w:val="276"/>
        </w:trPr>
        <w:tc>
          <w:tcPr>
            <w:tcW w:w="3159" w:type="dxa"/>
            <w:noWrap/>
            <w:hideMark/>
          </w:tcPr>
          <w:p w14:paraId="70CBD948"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Vatican</w:t>
            </w:r>
          </w:p>
        </w:tc>
      </w:tr>
      <w:tr w:rsidR="00123C2F" w:rsidRPr="00D23F98" w14:paraId="32C27920" w14:textId="77777777" w:rsidTr="00552AE1">
        <w:trPr>
          <w:trHeight w:val="276"/>
        </w:trPr>
        <w:tc>
          <w:tcPr>
            <w:tcW w:w="3159" w:type="dxa"/>
            <w:noWrap/>
            <w:hideMark/>
          </w:tcPr>
          <w:p w14:paraId="7153B137"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Yugoslavia</w:t>
            </w:r>
          </w:p>
        </w:tc>
      </w:tr>
      <w:tr w:rsidR="00123C2F" w:rsidRPr="00D23F98" w14:paraId="442297DE" w14:textId="77777777" w:rsidTr="00552AE1">
        <w:trPr>
          <w:trHeight w:val="276"/>
        </w:trPr>
        <w:tc>
          <w:tcPr>
            <w:tcW w:w="3159" w:type="dxa"/>
            <w:noWrap/>
          </w:tcPr>
          <w:p w14:paraId="69AD9B10" w14:textId="77777777" w:rsidR="00123C2F" w:rsidRPr="00D23F98" w:rsidRDefault="00123C2F" w:rsidP="00552AE1">
            <w:pPr>
              <w:pStyle w:val="NoSpacing"/>
              <w:rPr>
                <w:rFonts w:ascii="Times New Roman" w:hAnsi="Times New Roman" w:cs="Times New Roman"/>
                <w:b/>
                <w:lang w:eastAsia="en-GB"/>
              </w:rPr>
            </w:pPr>
            <w:r w:rsidRPr="00D23F98">
              <w:rPr>
                <w:rFonts w:ascii="Times New Roman" w:hAnsi="Times New Roman" w:cs="Times New Roman"/>
                <w:b/>
                <w:lang w:eastAsia="en-GB"/>
              </w:rPr>
              <w:t>Western Europe</w:t>
            </w:r>
          </w:p>
        </w:tc>
      </w:tr>
      <w:tr w:rsidR="00123C2F" w:rsidRPr="00D23F98" w14:paraId="05B5B98D" w14:textId="77777777" w:rsidTr="00552AE1">
        <w:trPr>
          <w:trHeight w:val="276"/>
        </w:trPr>
        <w:tc>
          <w:tcPr>
            <w:tcW w:w="3159" w:type="dxa"/>
            <w:noWrap/>
            <w:hideMark/>
          </w:tcPr>
          <w:p w14:paraId="7E28FE6E"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Austria</w:t>
            </w:r>
          </w:p>
        </w:tc>
      </w:tr>
      <w:tr w:rsidR="00123C2F" w:rsidRPr="00D23F98" w14:paraId="2797706D" w14:textId="77777777" w:rsidTr="00552AE1">
        <w:trPr>
          <w:trHeight w:val="276"/>
        </w:trPr>
        <w:tc>
          <w:tcPr>
            <w:tcW w:w="3159" w:type="dxa"/>
            <w:noWrap/>
            <w:hideMark/>
          </w:tcPr>
          <w:p w14:paraId="279C05CE"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Belgium</w:t>
            </w:r>
          </w:p>
        </w:tc>
      </w:tr>
      <w:tr w:rsidR="00123C2F" w:rsidRPr="00D23F98" w14:paraId="3AD5F98E" w14:textId="77777777" w:rsidTr="00552AE1">
        <w:trPr>
          <w:trHeight w:val="276"/>
        </w:trPr>
        <w:tc>
          <w:tcPr>
            <w:tcW w:w="3159" w:type="dxa"/>
            <w:noWrap/>
            <w:hideMark/>
          </w:tcPr>
          <w:p w14:paraId="77C0CF19"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France</w:t>
            </w:r>
          </w:p>
        </w:tc>
      </w:tr>
      <w:tr w:rsidR="00123C2F" w:rsidRPr="00D23F98" w14:paraId="75D4CC95" w14:textId="77777777" w:rsidTr="00552AE1">
        <w:trPr>
          <w:trHeight w:val="276"/>
        </w:trPr>
        <w:tc>
          <w:tcPr>
            <w:tcW w:w="3159" w:type="dxa"/>
            <w:noWrap/>
            <w:hideMark/>
          </w:tcPr>
          <w:p w14:paraId="3DD37FA6"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Germany</w:t>
            </w:r>
          </w:p>
        </w:tc>
      </w:tr>
      <w:tr w:rsidR="00123C2F" w:rsidRPr="00D23F98" w14:paraId="060C162B" w14:textId="77777777" w:rsidTr="00552AE1">
        <w:trPr>
          <w:trHeight w:val="276"/>
        </w:trPr>
        <w:tc>
          <w:tcPr>
            <w:tcW w:w="3159" w:type="dxa"/>
            <w:noWrap/>
            <w:hideMark/>
          </w:tcPr>
          <w:p w14:paraId="7FB962B1"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Germany, DR</w:t>
            </w:r>
          </w:p>
        </w:tc>
      </w:tr>
      <w:tr w:rsidR="00123C2F" w:rsidRPr="00D23F98" w14:paraId="5CA61A1E" w14:textId="77777777" w:rsidTr="00552AE1">
        <w:trPr>
          <w:trHeight w:val="276"/>
        </w:trPr>
        <w:tc>
          <w:tcPr>
            <w:tcW w:w="3159" w:type="dxa"/>
            <w:noWrap/>
            <w:hideMark/>
          </w:tcPr>
          <w:p w14:paraId="18BB1876"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Germany, FR</w:t>
            </w:r>
          </w:p>
        </w:tc>
      </w:tr>
      <w:tr w:rsidR="00123C2F" w:rsidRPr="00D23F98" w14:paraId="4A86F64C" w14:textId="77777777" w:rsidTr="00552AE1">
        <w:trPr>
          <w:trHeight w:val="276"/>
        </w:trPr>
        <w:tc>
          <w:tcPr>
            <w:tcW w:w="3159" w:type="dxa"/>
            <w:noWrap/>
            <w:hideMark/>
          </w:tcPr>
          <w:p w14:paraId="6B44D407"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Liechtenstein</w:t>
            </w:r>
          </w:p>
        </w:tc>
      </w:tr>
      <w:tr w:rsidR="00123C2F" w:rsidRPr="00D23F98" w14:paraId="3BAC722D" w14:textId="77777777" w:rsidTr="00552AE1">
        <w:trPr>
          <w:trHeight w:val="276"/>
        </w:trPr>
        <w:tc>
          <w:tcPr>
            <w:tcW w:w="3159" w:type="dxa"/>
            <w:noWrap/>
            <w:hideMark/>
          </w:tcPr>
          <w:p w14:paraId="36A38EDD"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Luxembourg</w:t>
            </w:r>
          </w:p>
        </w:tc>
      </w:tr>
      <w:tr w:rsidR="00123C2F" w:rsidRPr="00D23F98" w14:paraId="12857AC9" w14:textId="77777777" w:rsidTr="00552AE1">
        <w:trPr>
          <w:trHeight w:val="276"/>
        </w:trPr>
        <w:tc>
          <w:tcPr>
            <w:tcW w:w="3159" w:type="dxa"/>
            <w:noWrap/>
            <w:hideMark/>
          </w:tcPr>
          <w:p w14:paraId="61A50389"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Monaco</w:t>
            </w:r>
          </w:p>
        </w:tc>
      </w:tr>
      <w:tr w:rsidR="00123C2F" w:rsidRPr="00D23F98" w14:paraId="71096A2F" w14:textId="77777777" w:rsidTr="00552AE1">
        <w:trPr>
          <w:trHeight w:val="276"/>
        </w:trPr>
        <w:tc>
          <w:tcPr>
            <w:tcW w:w="3159" w:type="dxa"/>
            <w:noWrap/>
            <w:hideMark/>
          </w:tcPr>
          <w:p w14:paraId="25C42698"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Netherlands</w:t>
            </w:r>
          </w:p>
        </w:tc>
      </w:tr>
      <w:tr w:rsidR="00123C2F" w:rsidRPr="00D23F98" w14:paraId="348AEFD6" w14:textId="77777777" w:rsidTr="00552AE1">
        <w:trPr>
          <w:trHeight w:val="276"/>
        </w:trPr>
        <w:tc>
          <w:tcPr>
            <w:tcW w:w="3159" w:type="dxa"/>
            <w:noWrap/>
            <w:hideMark/>
          </w:tcPr>
          <w:p w14:paraId="113B8C88"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Switzerland</w:t>
            </w:r>
          </w:p>
        </w:tc>
      </w:tr>
      <w:tr w:rsidR="00123C2F" w:rsidRPr="00D23F98" w14:paraId="4586BDDA" w14:textId="77777777" w:rsidTr="00552AE1">
        <w:trPr>
          <w:trHeight w:val="276"/>
        </w:trPr>
        <w:tc>
          <w:tcPr>
            <w:tcW w:w="3159" w:type="dxa"/>
            <w:noWrap/>
          </w:tcPr>
          <w:p w14:paraId="511FA195" w14:textId="77777777" w:rsidR="00123C2F" w:rsidRPr="00D23F98" w:rsidRDefault="00123C2F" w:rsidP="00552AE1">
            <w:pPr>
              <w:pStyle w:val="NoSpacing"/>
              <w:rPr>
                <w:rFonts w:ascii="Times New Roman" w:hAnsi="Times New Roman" w:cs="Times New Roman"/>
                <w:b/>
                <w:i/>
                <w:lang w:eastAsia="en-GB"/>
              </w:rPr>
            </w:pPr>
            <w:r w:rsidRPr="00D23F98">
              <w:rPr>
                <w:rFonts w:ascii="Times New Roman" w:hAnsi="Times New Roman" w:cs="Times New Roman"/>
                <w:b/>
                <w:i/>
                <w:lang w:eastAsia="en-GB"/>
              </w:rPr>
              <w:t>Oceania</w:t>
            </w:r>
          </w:p>
        </w:tc>
      </w:tr>
      <w:tr w:rsidR="00123C2F" w:rsidRPr="00D23F98" w14:paraId="4D221E0A" w14:textId="77777777" w:rsidTr="00552AE1">
        <w:trPr>
          <w:trHeight w:val="276"/>
        </w:trPr>
        <w:tc>
          <w:tcPr>
            <w:tcW w:w="3159" w:type="dxa"/>
            <w:noWrap/>
          </w:tcPr>
          <w:p w14:paraId="5D2E1D2D" w14:textId="77777777" w:rsidR="00123C2F" w:rsidRPr="00D23F98" w:rsidRDefault="00123C2F" w:rsidP="00552AE1">
            <w:pPr>
              <w:pStyle w:val="NoSpacing"/>
              <w:rPr>
                <w:rFonts w:ascii="Times New Roman" w:hAnsi="Times New Roman" w:cs="Times New Roman"/>
                <w:b/>
                <w:i/>
                <w:lang w:eastAsia="en-GB"/>
              </w:rPr>
            </w:pPr>
            <w:r w:rsidRPr="00D23F98">
              <w:rPr>
                <w:rFonts w:ascii="Times New Roman" w:hAnsi="Times New Roman" w:cs="Times New Roman"/>
                <w:b/>
                <w:i/>
                <w:lang w:eastAsia="en-GB"/>
              </w:rPr>
              <w:t>Australia and New Zealand</w:t>
            </w:r>
          </w:p>
        </w:tc>
      </w:tr>
      <w:tr w:rsidR="00123C2F" w:rsidRPr="00D23F98" w14:paraId="3363AC28" w14:textId="77777777" w:rsidTr="00552AE1">
        <w:trPr>
          <w:trHeight w:val="276"/>
        </w:trPr>
        <w:tc>
          <w:tcPr>
            <w:tcW w:w="3159" w:type="dxa"/>
            <w:noWrap/>
            <w:hideMark/>
          </w:tcPr>
          <w:p w14:paraId="30E7458B"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Australia</w:t>
            </w:r>
          </w:p>
        </w:tc>
      </w:tr>
      <w:tr w:rsidR="00123C2F" w:rsidRPr="00D23F98" w14:paraId="7C286162" w14:textId="77777777" w:rsidTr="00552AE1">
        <w:trPr>
          <w:trHeight w:val="276"/>
        </w:trPr>
        <w:tc>
          <w:tcPr>
            <w:tcW w:w="3159" w:type="dxa"/>
            <w:noWrap/>
            <w:hideMark/>
          </w:tcPr>
          <w:p w14:paraId="11D03906"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New Zealand</w:t>
            </w:r>
          </w:p>
        </w:tc>
      </w:tr>
      <w:tr w:rsidR="00123C2F" w:rsidRPr="00D23F98" w14:paraId="3BA7BF72" w14:textId="77777777" w:rsidTr="00552AE1">
        <w:trPr>
          <w:trHeight w:val="276"/>
        </w:trPr>
        <w:tc>
          <w:tcPr>
            <w:tcW w:w="3159" w:type="dxa"/>
            <w:noWrap/>
          </w:tcPr>
          <w:p w14:paraId="342CF45F" w14:textId="77777777" w:rsidR="00123C2F" w:rsidRPr="00D23F98" w:rsidRDefault="00123C2F" w:rsidP="00552AE1">
            <w:pPr>
              <w:pStyle w:val="NoSpacing"/>
              <w:rPr>
                <w:rFonts w:ascii="Times New Roman" w:hAnsi="Times New Roman" w:cs="Times New Roman"/>
                <w:b/>
                <w:i/>
                <w:lang w:eastAsia="en-GB"/>
              </w:rPr>
            </w:pPr>
            <w:r w:rsidRPr="00D23F98">
              <w:rPr>
                <w:rFonts w:ascii="Times New Roman" w:hAnsi="Times New Roman" w:cs="Times New Roman"/>
                <w:b/>
                <w:i/>
                <w:lang w:eastAsia="en-GB"/>
              </w:rPr>
              <w:t>Melanesia</w:t>
            </w:r>
          </w:p>
        </w:tc>
      </w:tr>
      <w:tr w:rsidR="00123C2F" w:rsidRPr="00D23F98" w14:paraId="16F4701B" w14:textId="77777777" w:rsidTr="00552AE1">
        <w:trPr>
          <w:trHeight w:val="276"/>
        </w:trPr>
        <w:tc>
          <w:tcPr>
            <w:tcW w:w="3159" w:type="dxa"/>
            <w:noWrap/>
            <w:hideMark/>
          </w:tcPr>
          <w:p w14:paraId="2D685793" w14:textId="77777777" w:rsidR="00123C2F" w:rsidRPr="00D23F98" w:rsidRDefault="00123C2F" w:rsidP="00552AE1">
            <w:pPr>
              <w:pStyle w:val="NoSpacing"/>
              <w:rPr>
                <w:rFonts w:ascii="Times New Roman" w:hAnsi="Times New Roman" w:cs="Times New Roman"/>
                <w:lang w:eastAsia="en-GB"/>
              </w:rPr>
            </w:pPr>
            <w:r w:rsidRPr="00D23F98">
              <w:rPr>
                <w:rFonts w:ascii="Times New Roman" w:hAnsi="Times New Roman" w:cs="Times New Roman"/>
                <w:lang w:eastAsia="en-GB"/>
              </w:rPr>
              <w:t>Papua New Guinea</w:t>
            </w:r>
          </w:p>
        </w:tc>
      </w:tr>
    </w:tbl>
    <w:p w14:paraId="3A7D7D26" w14:textId="77777777" w:rsidR="00123C2F" w:rsidRPr="008C4E3D" w:rsidRDefault="00123C2F" w:rsidP="00123C2F">
      <w:pPr>
        <w:rPr>
          <w:lang w:val="en-GB"/>
        </w:rPr>
        <w:sectPr w:rsidR="00123C2F" w:rsidRPr="008C4E3D" w:rsidSect="0085295C">
          <w:type w:val="continuous"/>
          <w:pgSz w:w="11906" w:h="16838"/>
          <w:pgMar w:top="1440" w:right="1440" w:bottom="1440" w:left="1440" w:header="708" w:footer="708" w:gutter="0"/>
          <w:cols w:num="3" w:space="708"/>
          <w:docGrid w:linePitch="360"/>
        </w:sectPr>
      </w:pPr>
    </w:p>
    <w:p w14:paraId="7B36DD43" w14:textId="77777777" w:rsidR="00123C2F" w:rsidRDefault="00123C2F" w:rsidP="00123C2F"/>
    <w:p w14:paraId="66D684DC" w14:textId="77777777" w:rsidR="00123C2F" w:rsidRDefault="00123C2F" w:rsidP="0078273A">
      <w:pPr>
        <w:rPr>
          <w:lang w:val="en-GB"/>
        </w:rPr>
      </w:pPr>
      <w:bookmarkStart w:id="0" w:name="_GoBack"/>
      <w:bookmarkEnd w:id="0"/>
    </w:p>
    <w:p w14:paraId="5B9E120A" w14:textId="77777777" w:rsidR="007F0280" w:rsidRDefault="007F0280" w:rsidP="0078273A">
      <w:pPr>
        <w:rPr>
          <w:lang w:val="en-GB"/>
        </w:rPr>
      </w:pPr>
    </w:p>
    <w:p w14:paraId="7D566CFD" w14:textId="5A29D373" w:rsidR="007F0280" w:rsidRPr="00884AAD" w:rsidRDefault="007F0280" w:rsidP="0078273A">
      <w:pPr>
        <w:rPr>
          <w:rFonts w:asciiTheme="majorHAnsi" w:hAnsiTheme="majorHAnsi"/>
          <w:lang w:val="en-GB"/>
        </w:rPr>
      </w:pPr>
    </w:p>
    <w:sectPr w:rsidR="007F0280" w:rsidRPr="00884AAD" w:rsidSect="00192916">
      <w:footerReference w:type="default" r:id="rId47"/>
      <w:footerReference w:type="first" r:id="rId48"/>
      <w:pgSz w:w="11907" w:h="16839" w:code="9"/>
      <w:pgMar w:top="1440" w:right="1440" w:bottom="1440" w:left="1440" w:header="708"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3A6060" w15:done="0"/>
  <w15:commentEx w15:paraId="08373BEF" w15:done="0"/>
  <w15:commentEx w15:paraId="232BB90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AC66D9" w14:textId="77777777" w:rsidR="001C7AA2" w:rsidRDefault="001C7AA2" w:rsidP="000577CC">
      <w:r>
        <w:separator/>
      </w:r>
    </w:p>
  </w:endnote>
  <w:endnote w:type="continuationSeparator" w:id="0">
    <w:p w14:paraId="02FAABC1" w14:textId="77777777" w:rsidR="001C7AA2" w:rsidRDefault="001C7AA2" w:rsidP="00057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FoundrySterling-Bold">
    <w:altName w:val="Arial Rounded MT Bold"/>
    <w:charset w:val="00"/>
    <w:family w:val="auto"/>
    <w:pitch w:val="variable"/>
    <w:sig w:usb0="80000027" w:usb1="00000040" w:usb2="00000000" w:usb3="00000000" w:csb0="00000001" w:csb1="00000000"/>
  </w:font>
  <w:font w:name="FoundrySterling-Book">
    <w:altName w:val="Times New Roman"/>
    <w:charset w:val="00"/>
    <w:family w:val="auto"/>
    <w:pitch w:val="variable"/>
    <w:sig w:usb0="00000001" w:usb1="00000040" w:usb2="00000000" w:usb3="00000000" w:csb0="00000009"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Palatino-Roman">
    <w:charset w:val="00"/>
    <w:family w:val="roman"/>
    <w:pitch w:val="default"/>
  </w:font>
  <w:font w:name="Garamond">
    <w:panose1 w:val="02020404030301010803"/>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GuardianEgyptianWeb-Regular">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8F0B2" w14:textId="0BEEB57B" w:rsidR="003D60FB" w:rsidRPr="00CE4DD4" w:rsidRDefault="003D60FB" w:rsidP="001025C8">
    <w:pPr>
      <w:pStyle w:val="Footer"/>
    </w:pPr>
    <w:r>
      <w:tab/>
    </w:r>
    <w:r w:rsidRPr="00CE4DD4">
      <w:tab/>
    </w:r>
    <w:r w:rsidRPr="00CE4DD4">
      <w:fldChar w:fldCharType="begin"/>
    </w:r>
    <w:r w:rsidRPr="00CE4DD4">
      <w:instrText xml:space="preserve"> PAGE   \* MERGEFORMAT </w:instrText>
    </w:r>
    <w:r w:rsidRPr="00CE4DD4">
      <w:fldChar w:fldCharType="separate"/>
    </w:r>
    <w:r w:rsidR="00123C2F">
      <w:rPr>
        <w:noProof/>
      </w:rPr>
      <w:t>39</w:t>
    </w:r>
    <w:r w:rsidRPr="00CE4DD4">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B3D44" w14:textId="77777777" w:rsidR="003D60FB" w:rsidRDefault="003D60FB" w:rsidP="000D7D87">
    <w:pPr>
      <w:pStyle w:val="Footer"/>
    </w:pPr>
  </w:p>
  <w:p w14:paraId="366C0C80" w14:textId="26F4B5C3" w:rsidR="003D60FB" w:rsidRPr="00192916" w:rsidRDefault="003D60FB" w:rsidP="00C51AC7">
    <w:pPr>
      <w:pStyle w:val="Footer"/>
    </w:pPr>
    <w:r w:rsidRPr="00CE4DD4">
      <w:tab/>
    </w:r>
    <w:r w:rsidRPr="00CE4DD4">
      <w:fldChar w:fldCharType="begin"/>
    </w:r>
    <w:r w:rsidRPr="00CE4DD4">
      <w:instrText xml:space="preserve"> PAGE   \* MERGEFORMAT </w:instrText>
    </w:r>
    <w:r w:rsidRPr="00CE4DD4">
      <w:fldChar w:fldCharType="separate"/>
    </w:r>
    <w:r w:rsidR="00123C2F">
      <w:rPr>
        <w:noProof/>
      </w:rPr>
      <w:t>44</w:t>
    </w:r>
    <w:r w:rsidRPr="00CE4DD4">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4752FB" w14:textId="77777777" w:rsidR="001C7AA2" w:rsidRDefault="001C7AA2" w:rsidP="000577CC">
      <w:r>
        <w:separator/>
      </w:r>
    </w:p>
  </w:footnote>
  <w:footnote w:type="continuationSeparator" w:id="0">
    <w:p w14:paraId="57CF244C" w14:textId="77777777" w:rsidR="001C7AA2" w:rsidRDefault="001C7AA2" w:rsidP="000577CC">
      <w:r>
        <w:continuationSeparator/>
      </w:r>
    </w:p>
  </w:footnote>
  <w:footnote w:id="1">
    <w:p w14:paraId="18B29A42" w14:textId="64DD013E" w:rsidR="00C402E3" w:rsidRDefault="00C402E3">
      <w:pPr>
        <w:pStyle w:val="FootnoteText"/>
      </w:pPr>
      <w:r>
        <w:rPr>
          <w:rStyle w:val="FootnoteReference"/>
        </w:rPr>
        <w:footnoteRef/>
      </w:r>
      <w:r>
        <w:t xml:space="preserve"> </w:t>
      </w:r>
      <w:r w:rsidRPr="00C402E3">
        <w:t>The compilation of DEMIG VISA coincided with other efforts to collect migration policy data, such as Mayda and Patel’s (2014) database of migration policies for 14 OECD countries for the period 1980-2000, its subsequent extension (until 2006) by Ortega and Peri (2012), and the Immigration Policy and Law Analysis (IMPALA) which covers 25 countries over the 1960-2010 period (Gest et al., 2014) (for a review of these and other migration data compilations see de Haas et al. 2015). Organization such as the UN, OECD and the World Bank have compiled flow and stock migration data (see Parsons et al. (2005) and Özden et al. (2011) (for an extensive review of current advancements to migration flow and stock data  see Vezzoli et al. 2014). Besides DEMIG VISA, the DEMIG project compiled to major databases on migration flows (DEMIG C2C) and migration policy changes (DEMIG POLICY). DEMIG C2C (country-to-country) is a bilateral migration flow database from 1946 to 2011 for 34 reporting countries. DEMIG POLICY tracks over 6,000 policy changes in 45 countries from 1946 to 2014 (see de Haas et al. 2015).</w:t>
      </w:r>
    </w:p>
  </w:footnote>
  <w:footnote w:id="2">
    <w:p w14:paraId="33804E47" w14:textId="78ACCE87" w:rsidR="003D60FB" w:rsidRPr="00290DAB" w:rsidRDefault="003D60FB" w:rsidP="0085295C">
      <w:pPr>
        <w:rPr>
          <w:b/>
        </w:rPr>
      </w:pPr>
      <w:r w:rsidRPr="00290DAB">
        <w:rPr>
          <w:rStyle w:val="FootnoteReference"/>
          <w:rFonts w:ascii="Garamond" w:hAnsi="Garamond"/>
          <w:sz w:val="20"/>
          <w:szCs w:val="20"/>
        </w:rPr>
        <w:footnoteRef/>
      </w:r>
      <w:r w:rsidRPr="00290DAB">
        <w:t xml:space="preserve"> </w:t>
      </w:r>
      <w:r w:rsidRPr="009A6241">
        <w:rPr>
          <w:sz w:val="18"/>
          <w:szCs w:val="18"/>
        </w:rPr>
        <w:t>The formal visa requirement for Dutch citizens was lifted in 1996, as demonstrated in the DEMIG VISA (2015) database.</w:t>
      </w:r>
      <w:r w:rsidRPr="00290DAB">
        <w:t xml:space="preserve"> </w:t>
      </w:r>
    </w:p>
  </w:footnote>
  <w:footnote w:id="3">
    <w:p w14:paraId="5C47C685" w14:textId="77777777" w:rsidR="003D60FB" w:rsidRPr="00A50AD5" w:rsidRDefault="003D60FB" w:rsidP="0085295C">
      <w:pPr>
        <w:rPr>
          <w:sz w:val="20"/>
          <w:szCs w:val="20"/>
        </w:rPr>
      </w:pPr>
      <w:r w:rsidRPr="00A50AD5">
        <w:rPr>
          <w:rStyle w:val="FootnoteReference"/>
          <w:sz w:val="20"/>
          <w:szCs w:val="20"/>
        </w:rPr>
        <w:footnoteRef/>
      </w:r>
      <w:r w:rsidRPr="00A50AD5">
        <w:rPr>
          <w:sz w:val="20"/>
          <w:szCs w:val="20"/>
        </w:rPr>
        <w:t xml:space="preserve"> </w:t>
      </w:r>
      <w:r w:rsidRPr="009A6241">
        <w:rPr>
          <w:sz w:val="18"/>
          <w:szCs w:val="18"/>
        </w:rPr>
        <w:t>Source: Personal communication with Simona Vezzoli, University of Amsterdam.</w:t>
      </w:r>
      <w:r w:rsidRPr="00A50AD5">
        <w:rPr>
          <w:sz w:val="20"/>
          <w:szCs w:val="20"/>
        </w:rPr>
        <w:t xml:space="preserve"> </w:t>
      </w:r>
    </w:p>
  </w:footnote>
  <w:footnote w:id="4">
    <w:p w14:paraId="4897B628" w14:textId="69FF1798" w:rsidR="003D60FB" w:rsidRPr="009A6241" w:rsidRDefault="003D60FB" w:rsidP="0085295C">
      <w:pPr>
        <w:rPr>
          <w:sz w:val="18"/>
          <w:szCs w:val="18"/>
        </w:rPr>
      </w:pPr>
      <w:r w:rsidRPr="009A6241">
        <w:rPr>
          <w:rStyle w:val="FootnoteReference"/>
          <w:sz w:val="18"/>
          <w:szCs w:val="18"/>
        </w:rPr>
        <w:footnoteRef/>
      </w:r>
      <w:r w:rsidRPr="009A6241">
        <w:rPr>
          <w:sz w:val="18"/>
          <w:szCs w:val="18"/>
        </w:rPr>
        <w:t xml:space="preserve"> Nominally, visas are required to enter Turkey for EU nationals, but these can be granted by paying a fee at the Turkish border with minimal hassle, and the process does not involve any security checks. </w:t>
      </w:r>
    </w:p>
  </w:footnote>
  <w:footnote w:id="5">
    <w:p w14:paraId="07709318" w14:textId="56706FAA" w:rsidR="003D60FB" w:rsidRPr="009A6241" w:rsidRDefault="003D60FB">
      <w:pPr>
        <w:pStyle w:val="FootnoteText"/>
        <w:rPr>
          <w:sz w:val="18"/>
          <w:szCs w:val="18"/>
          <w:lang w:val="en-GB"/>
        </w:rPr>
      </w:pPr>
      <w:r w:rsidRPr="009A6241">
        <w:rPr>
          <w:rStyle w:val="FootnoteReference"/>
          <w:sz w:val="18"/>
          <w:szCs w:val="18"/>
        </w:rPr>
        <w:footnoteRef/>
      </w:r>
      <w:r w:rsidRPr="009A6241">
        <w:rPr>
          <w:sz w:val="18"/>
          <w:szCs w:val="18"/>
        </w:rPr>
        <w:t xml:space="preserve"> </w:t>
      </w:r>
      <w:r w:rsidRPr="009A6241">
        <w:rPr>
          <w:sz w:val="18"/>
          <w:szCs w:val="18"/>
          <w:lang w:val="en-GB"/>
        </w:rPr>
        <w:t>The database is not symmetrical given that it</w:t>
      </w:r>
      <w:r w:rsidRPr="009A6241">
        <w:rPr>
          <w:sz w:val="18"/>
          <w:szCs w:val="18"/>
        </w:rPr>
        <w:t xml:space="preserve"> </w:t>
      </w:r>
      <w:r w:rsidRPr="009A6241">
        <w:rPr>
          <w:sz w:val="18"/>
          <w:szCs w:val="18"/>
          <w:lang w:val="en-GB"/>
        </w:rPr>
        <w:t xml:space="preserve">provides data on 214 countries in total and 237 nationalities of the travellers over the period of 1973 to 2013. These fields include countries that no longer exist (e.g. USSR post 1992), as well as dependent territories (e.g. French Guiana, Guadeloupe or New Caledonia for France). This has generated missing values for visa requirements of countries/passports that no longer exist.  </w:t>
      </w:r>
    </w:p>
  </w:footnote>
  <w:footnote w:id="6">
    <w:p w14:paraId="7F33EE33" w14:textId="77777777" w:rsidR="003D60FB" w:rsidRPr="00290DAB" w:rsidRDefault="003D60FB" w:rsidP="0085295C">
      <w:pPr>
        <w:rPr>
          <w:lang w:val="en-GB"/>
        </w:rPr>
      </w:pPr>
      <w:r w:rsidRPr="009A6241">
        <w:rPr>
          <w:rStyle w:val="FootnoteReference"/>
          <w:sz w:val="18"/>
          <w:szCs w:val="18"/>
        </w:rPr>
        <w:footnoteRef/>
      </w:r>
      <w:r w:rsidRPr="009A6241">
        <w:rPr>
          <w:sz w:val="18"/>
          <w:szCs w:val="18"/>
        </w:rPr>
        <w:t xml:space="preserve"> </w:t>
      </w:r>
      <w:r w:rsidRPr="009A6241">
        <w:rPr>
          <w:sz w:val="18"/>
          <w:szCs w:val="18"/>
          <w:lang w:val="en-GB"/>
        </w:rPr>
        <w:t>Except the December 2003 manual, which is used instead of the January 2004 manual as the latter was not accessible.</w:t>
      </w:r>
    </w:p>
  </w:footnote>
  <w:footnote w:id="7">
    <w:p w14:paraId="06461A49" w14:textId="77777777" w:rsidR="003D60FB" w:rsidRPr="009A6241" w:rsidRDefault="003D60FB" w:rsidP="0085295C">
      <w:pPr>
        <w:rPr>
          <w:sz w:val="18"/>
          <w:szCs w:val="18"/>
        </w:rPr>
      </w:pPr>
      <w:r w:rsidRPr="009A6241">
        <w:rPr>
          <w:rStyle w:val="FootnoteReference"/>
          <w:sz w:val="18"/>
          <w:szCs w:val="18"/>
        </w:rPr>
        <w:footnoteRef/>
      </w:r>
      <w:r w:rsidRPr="009A6241">
        <w:rPr>
          <w:sz w:val="18"/>
          <w:szCs w:val="18"/>
        </w:rPr>
        <w:t xml:space="preserve"> IATA defines exit permit as the permit entitling the holder to leave a country.</w:t>
      </w:r>
    </w:p>
  </w:footnote>
  <w:footnote w:id="8">
    <w:p w14:paraId="5E09358E" w14:textId="7C5E382B" w:rsidR="003D60FB" w:rsidRPr="009A6241" w:rsidRDefault="003D60FB">
      <w:pPr>
        <w:pStyle w:val="FootnoteText"/>
        <w:rPr>
          <w:sz w:val="18"/>
          <w:szCs w:val="18"/>
          <w:lang w:val="en-GB"/>
        </w:rPr>
      </w:pPr>
      <w:r>
        <w:rPr>
          <w:rStyle w:val="FootnoteReference"/>
        </w:rPr>
        <w:footnoteRef/>
      </w:r>
      <w:r>
        <w:t xml:space="preserve"> </w:t>
      </w:r>
      <w:r w:rsidRPr="009A6241">
        <w:rPr>
          <w:sz w:val="18"/>
          <w:szCs w:val="18"/>
          <w:lang w:val="en-GB"/>
        </w:rPr>
        <w:t xml:space="preserve">Note that the DEMIG VISA Database only tracks travel visa and exit regulations. It does not include information regarding any other type of visa (e.g. student, seasonal worker, family reunification, permanent residency, etc.). </w:t>
      </w:r>
    </w:p>
  </w:footnote>
  <w:footnote w:id="9">
    <w:p w14:paraId="40757F3D" w14:textId="77777777" w:rsidR="003D60FB" w:rsidRPr="009A6241" w:rsidRDefault="003D60FB" w:rsidP="0001572C">
      <w:pPr>
        <w:ind w:firstLine="720"/>
        <w:rPr>
          <w:sz w:val="18"/>
          <w:szCs w:val="18"/>
          <w:lang w:val="en-GB"/>
        </w:rPr>
      </w:pPr>
      <w:r w:rsidRPr="009A6241">
        <w:rPr>
          <w:rStyle w:val="FootnoteReference"/>
          <w:sz w:val="18"/>
          <w:szCs w:val="18"/>
        </w:rPr>
        <w:footnoteRef/>
      </w:r>
      <w:r w:rsidRPr="009A6241">
        <w:rPr>
          <w:sz w:val="18"/>
          <w:szCs w:val="18"/>
        </w:rPr>
        <w:t xml:space="preserve"> </w:t>
      </w:r>
      <w:r w:rsidRPr="009A6241">
        <w:rPr>
          <w:sz w:val="18"/>
          <w:szCs w:val="18"/>
          <w:lang w:val="en-GB"/>
        </w:rPr>
        <w:t>For example, if a nationality is visa-exempted for New Zealand, we have assumed this is also the case for Niue and Tokelau, which are New Zealand dependent territories.</w:t>
      </w:r>
    </w:p>
    <w:p w14:paraId="0692CE8D" w14:textId="3829B360" w:rsidR="003D60FB" w:rsidRPr="009A6241" w:rsidRDefault="003D60FB">
      <w:pPr>
        <w:pStyle w:val="FootnoteText"/>
        <w:rPr>
          <w:lang w:val="en-GB"/>
        </w:rPr>
      </w:pPr>
    </w:p>
  </w:footnote>
  <w:footnote w:id="10">
    <w:p w14:paraId="4A6B0A75" w14:textId="7C5D813D" w:rsidR="003D60FB" w:rsidRPr="00290DAB" w:rsidRDefault="003D60FB" w:rsidP="0085295C">
      <w:pPr>
        <w:rPr>
          <w:lang w:val="en-GB"/>
        </w:rPr>
      </w:pPr>
      <w:r w:rsidRPr="00A50AD5">
        <w:rPr>
          <w:rStyle w:val="FootnoteReference"/>
          <w:sz w:val="20"/>
          <w:szCs w:val="20"/>
        </w:rPr>
        <w:footnoteRef/>
      </w:r>
      <w:r w:rsidRPr="00A50AD5">
        <w:rPr>
          <w:sz w:val="20"/>
          <w:szCs w:val="20"/>
        </w:rPr>
        <w:t xml:space="preserve"> </w:t>
      </w:r>
      <w:r w:rsidRPr="00A50AD5">
        <w:rPr>
          <w:sz w:val="20"/>
          <w:szCs w:val="20"/>
          <w:lang w:val="en-GB"/>
        </w:rPr>
        <w:t xml:space="preserve">The IATA manuals stopped reporting the section on </w:t>
      </w:r>
      <w:r>
        <w:rPr>
          <w:sz w:val="20"/>
          <w:szCs w:val="20"/>
          <w:lang w:val="en-GB"/>
        </w:rPr>
        <w:t>e</w:t>
      </w:r>
      <w:r w:rsidRPr="00A50AD5">
        <w:rPr>
          <w:sz w:val="20"/>
          <w:szCs w:val="20"/>
          <w:lang w:val="en-GB"/>
        </w:rPr>
        <w:t>xit permits in the mid-2000s (with some level of variation for some countries).</w:t>
      </w:r>
      <w:r w:rsidRPr="00290DAB">
        <w:rPr>
          <w:lang w:val="en-GB"/>
        </w:rPr>
        <w:t xml:space="preserve"> </w:t>
      </w:r>
    </w:p>
  </w:footnote>
  <w:footnote w:id="11">
    <w:p w14:paraId="19CFD10E" w14:textId="77777777" w:rsidR="003D60FB" w:rsidRPr="000A65DC" w:rsidRDefault="003D60FB" w:rsidP="006C624B">
      <w:pPr>
        <w:rPr>
          <w:sz w:val="20"/>
          <w:szCs w:val="20"/>
          <w:lang w:val="en-GB"/>
        </w:rPr>
      </w:pPr>
      <w:r w:rsidRPr="00A50AD5">
        <w:rPr>
          <w:rStyle w:val="FootnoteReference"/>
          <w:sz w:val="20"/>
          <w:szCs w:val="20"/>
        </w:rPr>
        <w:footnoteRef/>
      </w:r>
      <w:r w:rsidRPr="00A50AD5">
        <w:rPr>
          <w:sz w:val="20"/>
          <w:szCs w:val="20"/>
        </w:rPr>
        <w:t xml:space="preserve"> </w:t>
      </w:r>
      <m:oMath>
        <m:sSubSup>
          <m:sSubSupPr>
            <m:ctrlPr>
              <w:rPr>
                <w:rFonts w:ascii="Cambria Math" w:hAnsi="Cambria Math"/>
                <w:sz w:val="20"/>
                <w:szCs w:val="20"/>
                <w:lang w:val="en-GB"/>
              </w:rPr>
            </m:ctrlPr>
          </m:sSubSupPr>
          <m:e>
            <m:r>
              <w:rPr>
                <w:rFonts w:ascii="Cambria Math" w:hAnsi="Cambria Math"/>
                <w:sz w:val="20"/>
                <w:szCs w:val="20"/>
                <w:lang w:val="en-GB"/>
              </w:rPr>
              <m:t>Visa</m:t>
            </m:r>
          </m:e>
          <m:sub>
            <m:r>
              <w:rPr>
                <w:rFonts w:ascii="Cambria Math" w:hAnsi="Cambria Math"/>
                <w:sz w:val="20"/>
                <w:szCs w:val="20"/>
                <w:lang w:val="en-GB"/>
              </w:rPr>
              <m:t>dt</m:t>
            </m:r>
          </m:sub>
          <m:sup>
            <m:r>
              <w:rPr>
                <w:rFonts w:ascii="Cambria Math" w:hAnsi="Cambria Math"/>
                <w:sz w:val="20"/>
                <w:szCs w:val="20"/>
                <w:lang w:val="en-GB"/>
              </w:rPr>
              <m:t>inbound</m:t>
            </m:r>
          </m:sup>
        </m:sSubSup>
        <m:r>
          <m:rPr>
            <m:sty m:val="p"/>
          </m:rPr>
          <w:rPr>
            <w:rFonts w:ascii="Cambria Math" w:hAnsi="Cambria Math"/>
            <w:sz w:val="20"/>
            <w:szCs w:val="20"/>
            <w:lang w:val="en-GB"/>
          </w:rPr>
          <m:t>=1-</m:t>
        </m:r>
        <m:f>
          <m:fPr>
            <m:type m:val="skw"/>
            <m:ctrlPr>
              <w:rPr>
                <w:rFonts w:ascii="Cambria Math" w:hAnsi="Cambria Math"/>
                <w:sz w:val="20"/>
                <w:szCs w:val="20"/>
                <w:lang w:val="en-GB"/>
              </w:rPr>
            </m:ctrlPr>
          </m:fPr>
          <m:num>
            <m:nary>
              <m:naryPr>
                <m:chr m:val="∑"/>
                <m:limLoc m:val="undOvr"/>
                <m:ctrlPr>
                  <w:rPr>
                    <w:rFonts w:ascii="Cambria Math" w:hAnsi="Cambria Math"/>
                    <w:sz w:val="20"/>
                    <w:szCs w:val="20"/>
                    <w:lang w:val="en-GB"/>
                  </w:rPr>
                </m:ctrlPr>
              </m:naryPr>
              <m:sub>
                <m:r>
                  <w:rPr>
                    <w:rFonts w:ascii="Cambria Math" w:hAnsi="Cambria Math"/>
                    <w:sz w:val="20"/>
                    <w:szCs w:val="20"/>
                    <w:lang w:val="en-GB"/>
                  </w:rPr>
                  <m:t>i</m:t>
                </m:r>
                <m:r>
                  <m:rPr>
                    <m:sty m:val="p"/>
                  </m:rPr>
                  <w:rPr>
                    <w:rFonts w:ascii="Cambria Math" w:hAnsi="Cambria Math"/>
                    <w:sz w:val="20"/>
                    <w:szCs w:val="20"/>
                    <w:lang w:val="en-GB"/>
                  </w:rPr>
                  <m:t>=1</m:t>
                </m:r>
              </m:sub>
              <m:sup>
                <m:r>
                  <w:rPr>
                    <w:rFonts w:ascii="Cambria Math" w:hAnsi="Cambria Math"/>
                    <w:sz w:val="20"/>
                    <w:szCs w:val="20"/>
                    <w:lang w:val="en-GB"/>
                  </w:rPr>
                  <m:t>O</m:t>
                </m:r>
              </m:sup>
              <m:e>
                <m:sSub>
                  <m:sSubPr>
                    <m:ctrlPr>
                      <w:rPr>
                        <w:rFonts w:ascii="Cambria Math" w:hAnsi="Cambria Math"/>
                        <w:i/>
                        <w:sz w:val="20"/>
                        <w:szCs w:val="20"/>
                        <w:lang w:val="en-GB"/>
                      </w:rPr>
                    </m:ctrlPr>
                  </m:sSubPr>
                  <m:e>
                    <m:r>
                      <w:rPr>
                        <w:rFonts w:ascii="Cambria Math" w:hAnsi="Cambria Math"/>
                        <w:sz w:val="20"/>
                        <w:szCs w:val="20"/>
                        <w:lang w:val="en-GB"/>
                      </w:rPr>
                      <m:t>visa_free</m:t>
                    </m:r>
                  </m:e>
                  <m:sub>
                    <m:r>
                      <w:rPr>
                        <w:rFonts w:ascii="Cambria Math" w:hAnsi="Cambria Math"/>
                        <w:sz w:val="20"/>
                        <w:szCs w:val="20"/>
                        <w:lang w:val="en-GB"/>
                      </w:rPr>
                      <m:t>odt</m:t>
                    </m:r>
                  </m:sub>
                </m:sSub>
              </m:e>
            </m:nary>
          </m:num>
          <m:den>
            <m:nary>
              <m:naryPr>
                <m:chr m:val="∑"/>
                <m:limLoc m:val="undOvr"/>
                <m:ctrlPr>
                  <w:rPr>
                    <w:rFonts w:ascii="Cambria Math" w:hAnsi="Cambria Math"/>
                    <w:sz w:val="20"/>
                    <w:szCs w:val="20"/>
                    <w:lang w:val="en-GB"/>
                  </w:rPr>
                </m:ctrlPr>
              </m:naryPr>
              <m:sub>
                <m:r>
                  <w:rPr>
                    <w:rFonts w:ascii="Cambria Math" w:hAnsi="Cambria Math"/>
                    <w:sz w:val="20"/>
                    <w:szCs w:val="20"/>
                    <w:lang w:val="en-GB"/>
                  </w:rPr>
                  <m:t>i</m:t>
                </m:r>
                <m:r>
                  <m:rPr>
                    <m:sty m:val="p"/>
                  </m:rPr>
                  <w:rPr>
                    <w:rFonts w:ascii="Cambria Math" w:hAnsi="Cambria Math"/>
                    <w:sz w:val="20"/>
                    <w:szCs w:val="20"/>
                    <w:lang w:val="en-GB"/>
                  </w:rPr>
                  <m:t>=1</m:t>
                </m:r>
              </m:sub>
              <m:sup>
                <m:r>
                  <w:rPr>
                    <w:rFonts w:ascii="Cambria Math" w:hAnsi="Cambria Math"/>
                    <w:sz w:val="20"/>
                    <w:szCs w:val="20"/>
                    <w:lang w:val="en-GB"/>
                  </w:rPr>
                  <m:t>O</m:t>
                </m:r>
              </m:sup>
              <m:e>
                <m:sSub>
                  <m:sSubPr>
                    <m:ctrlPr>
                      <w:rPr>
                        <w:rFonts w:ascii="Cambria Math" w:hAnsi="Cambria Math"/>
                        <w:sz w:val="20"/>
                        <w:szCs w:val="20"/>
                        <w:lang w:val="en-GB"/>
                      </w:rPr>
                    </m:ctrlPr>
                  </m:sSubPr>
                  <m:e>
                    <m:r>
                      <w:rPr>
                        <w:rFonts w:ascii="Cambria Math" w:hAnsi="Cambria Math"/>
                        <w:sz w:val="20"/>
                        <w:szCs w:val="20"/>
                        <w:lang w:val="en-GB"/>
                      </w:rPr>
                      <m:t>visa</m:t>
                    </m:r>
                  </m:e>
                  <m:sub>
                    <m:r>
                      <w:rPr>
                        <w:rFonts w:ascii="Cambria Math" w:hAnsi="Cambria Math"/>
                        <w:sz w:val="20"/>
                        <w:szCs w:val="20"/>
                        <w:lang w:val="en-GB"/>
                      </w:rPr>
                      <m:t>odt</m:t>
                    </m:r>
                  </m:sub>
                </m:sSub>
              </m:e>
            </m:nary>
          </m:den>
        </m:f>
        <m:r>
          <w:rPr>
            <w:rFonts w:ascii="Cambria Math" w:hAnsi="Cambria Math"/>
            <w:sz w:val="20"/>
            <w:szCs w:val="20"/>
            <w:lang w:val="en-GB"/>
          </w:rPr>
          <m:t xml:space="preserve">, </m:t>
        </m:r>
        <m:r>
          <m:rPr>
            <m:sty m:val="p"/>
          </m:rPr>
          <w:rPr>
            <w:rFonts w:ascii="Cambria Math" w:hAnsi="Cambria Math"/>
            <w:sz w:val="20"/>
            <w:szCs w:val="20"/>
            <w:lang w:val="en-GB"/>
          </w:rPr>
          <m:t xml:space="preserve"> </m:t>
        </m:r>
      </m:oMath>
      <w:r w:rsidRPr="00A50AD5">
        <w:rPr>
          <w:sz w:val="20"/>
          <w:szCs w:val="20"/>
          <w:lang w:val="en-GB"/>
        </w:rPr>
        <w:t xml:space="preserve">with </w:t>
      </w:r>
      <m:oMath>
        <m:r>
          <w:rPr>
            <w:rFonts w:ascii="Cambria Math" w:hAnsi="Cambria Math"/>
            <w:sz w:val="20"/>
            <w:szCs w:val="20"/>
            <w:lang w:val="en-GB"/>
          </w:rPr>
          <m:t>d∈D={1, …, 211} and o∈O={1, …, 237}</m:t>
        </m:r>
      </m:oMath>
      <w:r>
        <w:rPr>
          <w:sz w:val="20"/>
          <w:szCs w:val="20"/>
          <w:lang w:val="en-GB"/>
        </w:rPr>
        <w:t xml:space="preserve"> </w:t>
      </w:r>
    </w:p>
    <w:p w14:paraId="5493D56F" w14:textId="77777777" w:rsidR="003D60FB" w:rsidRPr="00A50AD5" w:rsidRDefault="00123C2F" w:rsidP="006C624B">
      <w:pPr>
        <w:rPr>
          <w:sz w:val="20"/>
          <w:szCs w:val="20"/>
        </w:rPr>
      </w:pPr>
      <m:oMath>
        <m:sSubSup>
          <m:sSubSupPr>
            <m:ctrlPr>
              <w:rPr>
                <w:rFonts w:ascii="Cambria Math" w:hAnsi="Cambria Math"/>
                <w:sz w:val="20"/>
                <w:szCs w:val="20"/>
                <w:lang w:val="en-GB"/>
              </w:rPr>
            </m:ctrlPr>
          </m:sSubSupPr>
          <m:e>
            <m:r>
              <w:rPr>
                <w:rFonts w:ascii="Cambria Math" w:hAnsi="Cambria Math"/>
                <w:sz w:val="20"/>
                <w:szCs w:val="20"/>
                <w:lang w:val="en-GB"/>
              </w:rPr>
              <m:t>Visa</m:t>
            </m:r>
          </m:e>
          <m:sub>
            <m:r>
              <w:rPr>
                <w:rFonts w:ascii="Cambria Math" w:hAnsi="Cambria Math"/>
                <w:sz w:val="20"/>
                <w:szCs w:val="20"/>
                <w:lang w:val="en-GB"/>
              </w:rPr>
              <m:t>ot</m:t>
            </m:r>
          </m:sub>
          <m:sup>
            <m:r>
              <w:rPr>
                <w:rFonts w:ascii="Cambria Math" w:hAnsi="Cambria Math"/>
                <w:sz w:val="20"/>
                <w:szCs w:val="20"/>
                <w:lang w:val="en-GB"/>
              </w:rPr>
              <m:t>outbound</m:t>
            </m:r>
          </m:sup>
        </m:sSubSup>
        <m:r>
          <m:rPr>
            <m:sty m:val="p"/>
          </m:rPr>
          <w:rPr>
            <w:rFonts w:ascii="Cambria Math" w:hAnsi="Cambria Math"/>
            <w:sz w:val="20"/>
            <w:szCs w:val="20"/>
            <w:lang w:val="en-GB"/>
          </w:rPr>
          <m:t>=1-</m:t>
        </m:r>
        <m:f>
          <m:fPr>
            <m:type m:val="skw"/>
            <m:ctrlPr>
              <w:rPr>
                <w:rFonts w:ascii="Cambria Math" w:hAnsi="Cambria Math"/>
                <w:sz w:val="20"/>
                <w:szCs w:val="20"/>
                <w:lang w:val="en-GB"/>
              </w:rPr>
            </m:ctrlPr>
          </m:fPr>
          <m:num>
            <m:nary>
              <m:naryPr>
                <m:chr m:val="∑"/>
                <m:limLoc m:val="undOvr"/>
                <m:ctrlPr>
                  <w:rPr>
                    <w:rFonts w:ascii="Cambria Math" w:hAnsi="Cambria Math"/>
                    <w:sz w:val="20"/>
                    <w:szCs w:val="20"/>
                    <w:lang w:val="en-GB"/>
                  </w:rPr>
                </m:ctrlPr>
              </m:naryPr>
              <m:sub>
                <m:r>
                  <w:rPr>
                    <w:rFonts w:ascii="Cambria Math" w:hAnsi="Cambria Math"/>
                    <w:sz w:val="20"/>
                    <w:szCs w:val="20"/>
                    <w:lang w:val="en-GB"/>
                  </w:rPr>
                  <m:t>i</m:t>
                </m:r>
                <m:r>
                  <m:rPr>
                    <m:sty m:val="p"/>
                  </m:rPr>
                  <w:rPr>
                    <w:rFonts w:ascii="Cambria Math" w:hAnsi="Cambria Math"/>
                    <w:sz w:val="20"/>
                    <w:szCs w:val="20"/>
                    <w:lang w:val="en-GB"/>
                  </w:rPr>
                  <m:t>=1</m:t>
                </m:r>
              </m:sub>
              <m:sup>
                <m:r>
                  <w:rPr>
                    <w:rFonts w:ascii="Cambria Math" w:hAnsi="Cambria Math"/>
                    <w:sz w:val="20"/>
                    <w:szCs w:val="20"/>
                    <w:lang w:val="en-GB"/>
                  </w:rPr>
                  <m:t>D</m:t>
                </m:r>
              </m:sup>
              <m:e>
                <m:sSub>
                  <m:sSubPr>
                    <m:ctrlPr>
                      <w:rPr>
                        <w:rFonts w:ascii="Cambria Math" w:hAnsi="Cambria Math"/>
                        <w:i/>
                        <w:sz w:val="20"/>
                        <w:szCs w:val="20"/>
                        <w:lang w:val="en-GB"/>
                      </w:rPr>
                    </m:ctrlPr>
                  </m:sSubPr>
                  <m:e>
                    <m:r>
                      <w:rPr>
                        <w:rFonts w:ascii="Cambria Math" w:hAnsi="Cambria Math"/>
                        <w:sz w:val="20"/>
                        <w:szCs w:val="20"/>
                        <w:lang w:val="en-GB"/>
                      </w:rPr>
                      <m:t>visa_free</m:t>
                    </m:r>
                  </m:e>
                  <m:sub>
                    <m:r>
                      <w:rPr>
                        <w:rFonts w:ascii="Cambria Math" w:hAnsi="Cambria Math"/>
                        <w:sz w:val="20"/>
                        <w:szCs w:val="20"/>
                        <w:lang w:val="en-GB"/>
                      </w:rPr>
                      <m:t>odt</m:t>
                    </m:r>
                  </m:sub>
                </m:sSub>
              </m:e>
            </m:nary>
          </m:num>
          <m:den>
            <m:nary>
              <m:naryPr>
                <m:chr m:val="∑"/>
                <m:limLoc m:val="undOvr"/>
                <m:ctrlPr>
                  <w:rPr>
                    <w:rFonts w:ascii="Cambria Math" w:hAnsi="Cambria Math"/>
                    <w:sz w:val="20"/>
                    <w:szCs w:val="20"/>
                    <w:lang w:val="en-GB"/>
                  </w:rPr>
                </m:ctrlPr>
              </m:naryPr>
              <m:sub>
                <m:r>
                  <w:rPr>
                    <w:rFonts w:ascii="Cambria Math" w:hAnsi="Cambria Math"/>
                    <w:sz w:val="20"/>
                    <w:szCs w:val="20"/>
                    <w:lang w:val="en-GB"/>
                  </w:rPr>
                  <m:t>i</m:t>
                </m:r>
                <m:r>
                  <m:rPr>
                    <m:sty m:val="p"/>
                  </m:rPr>
                  <w:rPr>
                    <w:rFonts w:ascii="Cambria Math" w:hAnsi="Cambria Math"/>
                    <w:sz w:val="20"/>
                    <w:szCs w:val="20"/>
                    <w:lang w:val="en-GB"/>
                  </w:rPr>
                  <m:t>=1</m:t>
                </m:r>
              </m:sub>
              <m:sup>
                <m:r>
                  <w:rPr>
                    <w:rFonts w:ascii="Cambria Math" w:hAnsi="Cambria Math"/>
                    <w:sz w:val="20"/>
                    <w:szCs w:val="20"/>
                    <w:lang w:val="en-GB"/>
                  </w:rPr>
                  <m:t>D</m:t>
                </m:r>
              </m:sup>
              <m:e>
                <m:sSub>
                  <m:sSubPr>
                    <m:ctrlPr>
                      <w:rPr>
                        <w:rFonts w:ascii="Cambria Math" w:hAnsi="Cambria Math"/>
                        <w:sz w:val="20"/>
                        <w:szCs w:val="20"/>
                        <w:lang w:val="en-GB"/>
                      </w:rPr>
                    </m:ctrlPr>
                  </m:sSubPr>
                  <m:e>
                    <m:r>
                      <w:rPr>
                        <w:rFonts w:ascii="Cambria Math" w:hAnsi="Cambria Math"/>
                        <w:sz w:val="20"/>
                        <w:szCs w:val="20"/>
                        <w:lang w:val="en-GB"/>
                      </w:rPr>
                      <m:t>visa</m:t>
                    </m:r>
                  </m:e>
                  <m:sub>
                    <m:r>
                      <w:rPr>
                        <w:rFonts w:ascii="Cambria Math" w:hAnsi="Cambria Math"/>
                        <w:sz w:val="20"/>
                        <w:szCs w:val="20"/>
                        <w:lang w:val="en-GB"/>
                      </w:rPr>
                      <m:t>odt</m:t>
                    </m:r>
                  </m:sub>
                </m:sSub>
              </m:e>
            </m:nary>
          </m:den>
        </m:f>
        <m:r>
          <m:rPr>
            <m:sty m:val="p"/>
          </m:rPr>
          <w:rPr>
            <w:rFonts w:ascii="Cambria Math" w:hAnsi="Cambria Math"/>
            <w:sz w:val="20"/>
            <w:szCs w:val="20"/>
            <w:lang w:val="en-GB"/>
          </w:rPr>
          <m:t xml:space="preserve">, </m:t>
        </m:r>
      </m:oMath>
      <w:r w:rsidR="003D60FB" w:rsidRPr="00A50AD5">
        <w:rPr>
          <w:sz w:val="20"/>
          <w:szCs w:val="20"/>
          <w:lang w:val="en-GB"/>
        </w:rPr>
        <w:t xml:space="preserve">with </w:t>
      </w:r>
      <m:oMath>
        <m:r>
          <w:rPr>
            <w:rFonts w:ascii="Cambria Math" w:hAnsi="Cambria Math"/>
            <w:sz w:val="20"/>
            <w:szCs w:val="20"/>
            <w:lang w:val="en-GB"/>
          </w:rPr>
          <m:t>d∈D={1, …, 211} and o∈O={1, …, 237}</m:t>
        </m:r>
      </m:oMath>
    </w:p>
  </w:footnote>
  <w:footnote w:id="12">
    <w:p w14:paraId="610B61ED" w14:textId="70470101" w:rsidR="003D60FB" w:rsidRPr="00AC45AF" w:rsidRDefault="003D60FB" w:rsidP="0085295C">
      <w:pPr>
        <w:rPr>
          <w:sz w:val="20"/>
          <w:szCs w:val="20"/>
        </w:rPr>
      </w:pPr>
      <w:r w:rsidRPr="00AC45AF">
        <w:rPr>
          <w:rStyle w:val="FootnoteReference"/>
          <w:sz w:val="20"/>
          <w:szCs w:val="20"/>
        </w:rPr>
        <w:footnoteRef/>
      </w:r>
      <w:r w:rsidRPr="00AC45AF">
        <w:rPr>
          <w:sz w:val="20"/>
          <w:szCs w:val="20"/>
        </w:rPr>
        <w:t xml:space="preserve"> Calculation of population</w:t>
      </w:r>
      <w:r>
        <w:rPr>
          <w:sz w:val="20"/>
          <w:szCs w:val="20"/>
        </w:rPr>
        <w:t>-weighted index of visa restrictiveness</w:t>
      </w:r>
      <w:r w:rsidRPr="00AC45AF">
        <w:rPr>
          <w:sz w:val="20"/>
          <w:szCs w:val="20"/>
        </w:rPr>
        <w:t xml:space="preserve">: </w:t>
      </w:r>
      <m:oMath>
        <m:sSubSup>
          <m:sSubSupPr>
            <m:ctrlPr>
              <w:rPr>
                <w:rFonts w:ascii="Cambria Math" w:hAnsi="Cambria Math"/>
                <w:sz w:val="20"/>
                <w:szCs w:val="20"/>
              </w:rPr>
            </m:ctrlPr>
          </m:sSubSupPr>
          <m:e>
            <m:r>
              <w:rPr>
                <w:rFonts w:ascii="Cambria Math" w:hAnsi="Cambria Math"/>
                <w:sz w:val="20"/>
                <w:szCs w:val="20"/>
              </w:rPr>
              <m:t>Visa</m:t>
            </m:r>
          </m:e>
          <m:sub>
            <m:r>
              <w:rPr>
                <w:rFonts w:ascii="Cambria Math" w:hAnsi="Cambria Math"/>
                <w:sz w:val="20"/>
                <w:szCs w:val="20"/>
              </w:rPr>
              <m:t>odt</m:t>
            </m:r>
          </m:sub>
          <m:sup>
            <m:r>
              <w:rPr>
                <w:rFonts w:ascii="Cambria Math" w:hAnsi="Cambria Math"/>
                <w:sz w:val="20"/>
                <w:szCs w:val="20"/>
              </w:rPr>
              <m:t>weighted</m:t>
            </m:r>
          </m:sup>
        </m:sSubSup>
        <m:r>
          <m:rPr>
            <m:sty m:val="p"/>
          </m:rPr>
          <w:rPr>
            <w:rFonts w:ascii="Cambria Math" w:hAnsi="Cambria Math"/>
            <w:sz w:val="20"/>
            <w:szCs w:val="20"/>
          </w:rPr>
          <m:t>=1-</m:t>
        </m:r>
        <m:f>
          <m:fPr>
            <m:ctrlPr>
              <w:rPr>
                <w:rFonts w:ascii="Cambria Math" w:hAnsi="Cambria Math"/>
                <w:sz w:val="20"/>
                <w:szCs w:val="20"/>
              </w:rPr>
            </m:ctrlPr>
          </m:fPr>
          <m:num>
            <m:nary>
              <m:naryPr>
                <m:chr m:val="∑"/>
                <m:limLoc m:val="undOvr"/>
                <m:supHide m:val="1"/>
                <m:ctrlPr>
                  <w:rPr>
                    <w:rFonts w:ascii="Cambria Math" w:hAnsi="Cambria Math"/>
                    <w:sz w:val="20"/>
                    <w:szCs w:val="20"/>
                  </w:rPr>
                </m:ctrlPr>
              </m:naryPr>
              <m:sub>
                <m:r>
                  <w:rPr>
                    <w:rFonts w:ascii="Cambria Math" w:hAnsi="Cambria Math"/>
                    <w:sz w:val="20"/>
                    <w:szCs w:val="20"/>
                  </w:rPr>
                  <m:t>o</m:t>
                </m:r>
              </m:sub>
              <m:sup/>
              <m:e>
                <m:nary>
                  <m:naryPr>
                    <m:chr m:val="∑"/>
                    <m:limLoc m:val="undOvr"/>
                    <m:supHide m:val="1"/>
                    <m:ctrlPr>
                      <w:rPr>
                        <w:rFonts w:ascii="Cambria Math" w:hAnsi="Cambria Math"/>
                        <w:sz w:val="20"/>
                        <w:szCs w:val="20"/>
                      </w:rPr>
                    </m:ctrlPr>
                  </m:naryPr>
                  <m:sub>
                    <m:r>
                      <w:rPr>
                        <w:rFonts w:ascii="Cambria Math" w:hAnsi="Cambria Math"/>
                        <w:sz w:val="20"/>
                        <w:szCs w:val="20"/>
                      </w:rPr>
                      <m:t>d</m:t>
                    </m:r>
                  </m:sub>
                  <m:sup/>
                  <m:e>
                    <m:sSub>
                      <m:sSubPr>
                        <m:ctrlPr>
                          <w:rPr>
                            <w:rFonts w:ascii="Cambria Math" w:hAnsi="Cambria Math"/>
                            <w:sz w:val="20"/>
                            <w:szCs w:val="20"/>
                          </w:rPr>
                        </m:ctrlPr>
                      </m:sSubPr>
                      <m:e>
                        <m:sSub>
                          <m:sSubPr>
                            <m:ctrlPr>
                              <w:rPr>
                                <w:rFonts w:ascii="Cambria Math" w:hAnsi="Cambria Math"/>
                                <w:sz w:val="20"/>
                                <w:szCs w:val="20"/>
                              </w:rPr>
                            </m:ctrlPr>
                          </m:sSubPr>
                          <m:e>
                            <m:r>
                              <w:rPr>
                                <w:rFonts w:ascii="Cambria Math" w:hAnsi="Cambria Math"/>
                                <w:sz w:val="20"/>
                                <w:szCs w:val="20"/>
                              </w:rPr>
                              <m:t>Visa</m:t>
                            </m:r>
                            <m:r>
                              <m:rPr>
                                <m:sty m:val="p"/>
                              </m:rPr>
                              <w:rPr>
                                <w:rFonts w:ascii="Cambria Math" w:hAnsi="Cambria Math"/>
                                <w:sz w:val="20"/>
                                <w:szCs w:val="20"/>
                              </w:rPr>
                              <m:t>_</m:t>
                            </m:r>
                            <m:r>
                              <w:rPr>
                                <w:rFonts w:ascii="Cambria Math" w:hAnsi="Cambria Math"/>
                                <w:sz w:val="20"/>
                                <w:szCs w:val="20"/>
                              </w:rPr>
                              <m:t>free</m:t>
                            </m:r>
                          </m:e>
                          <m:sub>
                            <m:r>
                              <w:rPr>
                                <w:rFonts w:ascii="Cambria Math" w:hAnsi="Cambria Math"/>
                                <w:sz w:val="20"/>
                                <w:szCs w:val="20"/>
                              </w:rPr>
                              <m:t>odt</m:t>
                            </m:r>
                          </m:sub>
                        </m:sSub>
                        <m:r>
                          <m:rPr>
                            <m:sty m:val="p"/>
                          </m:rPr>
                          <w:rPr>
                            <w:rFonts w:ascii="Cambria Math" w:hAnsi="Cambria Math"/>
                            <w:sz w:val="20"/>
                            <w:szCs w:val="20"/>
                          </w:rPr>
                          <m:t>*</m:t>
                        </m:r>
                        <m:r>
                          <w:rPr>
                            <w:rFonts w:ascii="Cambria Math" w:hAnsi="Cambria Math"/>
                            <w:sz w:val="20"/>
                            <w:szCs w:val="20"/>
                          </w:rPr>
                          <m:t>Pop</m:t>
                        </m:r>
                      </m:e>
                      <m:sub>
                        <m:r>
                          <w:rPr>
                            <w:rFonts w:ascii="Cambria Math" w:hAnsi="Cambria Math"/>
                            <w:sz w:val="20"/>
                            <w:szCs w:val="20"/>
                          </w:rPr>
                          <m:t>ot</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Pop</m:t>
                        </m:r>
                      </m:e>
                      <m:sub>
                        <m:r>
                          <w:rPr>
                            <w:rFonts w:ascii="Cambria Math" w:hAnsi="Cambria Math"/>
                            <w:sz w:val="20"/>
                            <w:szCs w:val="20"/>
                          </w:rPr>
                          <m:t>dt</m:t>
                        </m:r>
                      </m:sub>
                    </m:sSub>
                  </m:e>
                </m:nary>
              </m:e>
            </m:nary>
          </m:num>
          <m:den>
            <m:nary>
              <m:naryPr>
                <m:chr m:val="∑"/>
                <m:limLoc m:val="undOvr"/>
                <m:supHide m:val="1"/>
                <m:ctrlPr>
                  <w:rPr>
                    <w:rFonts w:ascii="Cambria Math" w:hAnsi="Cambria Math"/>
                    <w:sz w:val="20"/>
                    <w:szCs w:val="20"/>
                  </w:rPr>
                </m:ctrlPr>
              </m:naryPr>
              <m:sub>
                <m:r>
                  <w:rPr>
                    <w:rFonts w:ascii="Cambria Math" w:hAnsi="Cambria Math"/>
                    <w:sz w:val="20"/>
                    <w:szCs w:val="20"/>
                  </w:rPr>
                  <m:t>o</m:t>
                </m:r>
              </m:sub>
              <m:sup/>
              <m:e>
                <m:nary>
                  <m:naryPr>
                    <m:chr m:val="∑"/>
                    <m:limLoc m:val="undOvr"/>
                    <m:supHide m:val="1"/>
                    <m:ctrlPr>
                      <w:rPr>
                        <w:rFonts w:ascii="Cambria Math" w:hAnsi="Cambria Math"/>
                        <w:sz w:val="20"/>
                        <w:szCs w:val="20"/>
                      </w:rPr>
                    </m:ctrlPr>
                  </m:naryPr>
                  <m:sub>
                    <m:r>
                      <w:rPr>
                        <w:rFonts w:ascii="Cambria Math" w:hAnsi="Cambria Math"/>
                        <w:sz w:val="20"/>
                        <w:szCs w:val="20"/>
                      </w:rPr>
                      <m:t>d</m:t>
                    </m:r>
                  </m:sub>
                  <m:sup/>
                  <m:e>
                    <m:sSub>
                      <m:sSubPr>
                        <m:ctrlPr>
                          <w:rPr>
                            <w:rFonts w:ascii="Cambria Math" w:hAnsi="Cambria Math"/>
                            <w:sz w:val="20"/>
                            <w:szCs w:val="20"/>
                          </w:rPr>
                        </m:ctrlPr>
                      </m:sSubPr>
                      <m:e>
                        <m:r>
                          <w:rPr>
                            <w:rFonts w:ascii="Cambria Math" w:hAnsi="Cambria Math"/>
                            <w:sz w:val="20"/>
                            <w:szCs w:val="20"/>
                          </w:rPr>
                          <m:t>Pop</m:t>
                        </m:r>
                      </m:e>
                      <m:sub>
                        <m:r>
                          <w:rPr>
                            <w:rFonts w:ascii="Cambria Math" w:hAnsi="Cambria Math"/>
                            <w:sz w:val="20"/>
                            <w:szCs w:val="20"/>
                          </w:rPr>
                          <m:t>ot</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Pop</m:t>
                        </m:r>
                      </m:e>
                      <m:sub>
                        <m:r>
                          <w:rPr>
                            <w:rFonts w:ascii="Cambria Math" w:hAnsi="Cambria Math"/>
                            <w:sz w:val="20"/>
                            <w:szCs w:val="20"/>
                          </w:rPr>
                          <m:t>dt</m:t>
                        </m:r>
                      </m:sub>
                    </m:sSub>
                  </m:e>
                </m:nary>
              </m:e>
            </m:nary>
          </m:den>
        </m:f>
      </m:oMath>
    </w:p>
  </w:footnote>
  <w:footnote w:id="13">
    <w:p w14:paraId="507105BE" w14:textId="68765C94" w:rsidR="003D60FB" w:rsidRPr="00C450BE" w:rsidRDefault="003D60FB">
      <w:pPr>
        <w:pStyle w:val="FootnoteText"/>
        <w:rPr>
          <w:lang w:val="en-GB"/>
        </w:rPr>
      </w:pPr>
      <w:r>
        <w:rPr>
          <w:rStyle w:val="FootnoteReference"/>
        </w:rPr>
        <w:footnoteRef/>
      </w:r>
      <w:r>
        <w:t xml:space="preserve"> </w:t>
      </w:r>
      <w:r>
        <w:rPr>
          <w:lang w:val="en-GB"/>
        </w:rPr>
        <w:t xml:space="preserve">Visa reciprocity is defined as: </w:t>
      </w:r>
      <m:oMath>
        <m:sSub>
          <m:sSubPr>
            <m:ctrlPr>
              <w:rPr>
                <w:rFonts w:ascii="Cambria Math" w:hAnsi="Cambria Math"/>
                <w:i/>
                <w:lang w:val="en-GB"/>
              </w:rPr>
            </m:ctrlPr>
          </m:sSubPr>
          <m:e>
            <m:r>
              <w:rPr>
                <w:rFonts w:ascii="Cambria Math" w:hAnsi="Cambria Math"/>
                <w:lang w:val="en-GB"/>
              </w:rPr>
              <m:t>Visa_reprocity</m:t>
            </m:r>
          </m:e>
          <m:sub>
            <m:r>
              <w:rPr>
                <w:rFonts w:ascii="Cambria Math" w:hAnsi="Cambria Math"/>
                <w:lang w:val="en-GB"/>
              </w:rPr>
              <m:t>t</m:t>
            </m:r>
          </m:sub>
        </m:sSub>
        <m:r>
          <w:rPr>
            <w:rFonts w:ascii="Cambria Math" w:hAnsi="Cambria Math"/>
            <w:lang w:val="en-GB"/>
          </w:rPr>
          <m:t>=</m:t>
        </m:r>
        <m:f>
          <m:fPr>
            <m:ctrlPr>
              <w:rPr>
                <w:rFonts w:ascii="Cambria Math" w:hAnsi="Cambria Math"/>
                <w:i/>
                <w:lang w:val="en-GB"/>
              </w:rPr>
            </m:ctrlPr>
          </m:fPr>
          <m:num>
            <m:nary>
              <m:naryPr>
                <m:chr m:val="∑"/>
                <m:limLoc m:val="undOvr"/>
                <m:subHide m:val="1"/>
                <m:supHide m:val="1"/>
                <m:ctrlPr>
                  <w:rPr>
                    <w:rFonts w:ascii="Cambria Math" w:hAnsi="Cambria Math"/>
                    <w:i/>
                    <w:lang w:val="en-GB"/>
                  </w:rPr>
                </m:ctrlPr>
              </m:naryPr>
              <m:sub/>
              <m:sup/>
              <m:e>
                <m:sSub>
                  <m:sSubPr>
                    <m:ctrlPr>
                      <w:rPr>
                        <w:rFonts w:ascii="Cambria Math" w:hAnsi="Cambria Math"/>
                        <w:i/>
                        <w:lang w:val="en-GB"/>
                      </w:rPr>
                    </m:ctrlPr>
                  </m:sSubPr>
                  <m:e>
                    <m:r>
                      <w:rPr>
                        <w:rFonts w:ascii="Cambria Math" w:hAnsi="Cambria Math"/>
                        <w:lang w:val="en-GB"/>
                      </w:rPr>
                      <m:t>visa</m:t>
                    </m:r>
                  </m:e>
                  <m:sub>
                    <m:r>
                      <w:rPr>
                        <w:rFonts w:ascii="Cambria Math" w:hAnsi="Cambria Math"/>
                        <w:lang w:val="en-GB"/>
                      </w:rPr>
                      <m:t>odt</m:t>
                    </m:r>
                  </m:sub>
                </m:sSub>
              </m:e>
            </m:nary>
          </m:num>
          <m:den>
            <m:r>
              <w:rPr>
                <w:rFonts w:ascii="Cambria Math" w:hAnsi="Cambria Math"/>
                <w:lang w:val="en-GB"/>
              </w:rPr>
              <m:t>OxD</m:t>
            </m:r>
          </m:den>
        </m:f>
        <m:sSub>
          <m:sSubPr>
            <m:ctrlPr>
              <w:rPr>
                <w:rFonts w:ascii="Cambria Math" w:hAnsi="Cambria Math"/>
                <w:i/>
                <w:lang w:val="en-GB"/>
              </w:rPr>
            </m:ctrlPr>
          </m:sSubPr>
          <m:e>
            <m:r>
              <w:rPr>
                <w:rFonts w:ascii="Cambria Math" w:hAnsi="Cambria Math"/>
                <w:lang w:val="en-GB"/>
              </w:rPr>
              <m:t>|</m:t>
            </m:r>
          </m:e>
          <m:sub>
            <m:sSub>
              <m:sSubPr>
                <m:ctrlPr>
                  <w:rPr>
                    <w:rFonts w:ascii="Cambria Math" w:hAnsi="Cambria Math"/>
                    <w:i/>
                    <w:lang w:val="en-GB"/>
                  </w:rPr>
                </m:ctrlPr>
              </m:sSubPr>
              <m:e>
                <m:r>
                  <w:rPr>
                    <w:rFonts w:ascii="Cambria Math" w:hAnsi="Cambria Math"/>
                    <w:lang w:val="en-GB"/>
                  </w:rPr>
                  <m:t>if  visa</m:t>
                </m:r>
              </m:e>
              <m:sub>
                <m:r>
                  <w:rPr>
                    <w:rFonts w:ascii="Cambria Math" w:hAnsi="Cambria Math"/>
                    <w:lang w:val="en-GB"/>
                  </w:rPr>
                  <m:t>odt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visa</m:t>
                </m:r>
              </m:e>
              <m:sub>
                <m:r>
                  <w:rPr>
                    <w:rFonts w:ascii="Cambria Math" w:hAnsi="Cambria Math"/>
                    <w:lang w:val="en-GB"/>
                  </w:rPr>
                  <m:t>dot</m:t>
                </m:r>
              </m:sub>
            </m:sSub>
            <m:r>
              <w:rPr>
                <w:rFonts w:ascii="Cambria Math" w:hAnsi="Cambria Math"/>
                <w:lang w:val="en-GB"/>
              </w:rPr>
              <m:t>=1</m:t>
            </m:r>
          </m:sub>
        </m:sSub>
        <m:r>
          <w:rPr>
            <w:rFonts w:ascii="Cambria Math" w:hAnsi="Cambria Math"/>
            <w:lang w:val="en-GB"/>
          </w:rPr>
          <m:t>+</m:t>
        </m:r>
        <m:f>
          <m:fPr>
            <m:ctrlPr>
              <w:rPr>
                <w:rFonts w:ascii="Cambria Math" w:hAnsi="Cambria Math"/>
                <w:i/>
                <w:lang w:val="en-GB"/>
              </w:rPr>
            </m:ctrlPr>
          </m:fPr>
          <m:num>
            <m:nary>
              <m:naryPr>
                <m:chr m:val="∑"/>
                <m:limLoc m:val="undOvr"/>
                <m:subHide m:val="1"/>
                <m:supHide m:val="1"/>
                <m:ctrlPr>
                  <w:rPr>
                    <w:rFonts w:ascii="Cambria Math" w:hAnsi="Cambria Math"/>
                    <w:i/>
                    <w:lang w:val="en-GB"/>
                  </w:rPr>
                </m:ctrlPr>
              </m:naryPr>
              <m:sub/>
              <m:sup/>
              <m:e>
                <m:r>
                  <w:rPr>
                    <w:rFonts w:ascii="Cambria Math" w:hAnsi="Cambria Math"/>
                    <w:lang w:val="en-GB"/>
                  </w:rPr>
                  <m:t>(1-</m:t>
                </m:r>
                <m:sSub>
                  <m:sSubPr>
                    <m:ctrlPr>
                      <w:rPr>
                        <w:rFonts w:ascii="Cambria Math" w:hAnsi="Cambria Math"/>
                        <w:i/>
                        <w:lang w:val="en-GB"/>
                      </w:rPr>
                    </m:ctrlPr>
                  </m:sSubPr>
                  <m:e>
                    <m:r>
                      <w:rPr>
                        <w:rFonts w:ascii="Cambria Math" w:hAnsi="Cambria Math"/>
                        <w:lang w:val="en-GB"/>
                      </w:rPr>
                      <m:t>visa</m:t>
                    </m:r>
                  </m:e>
                  <m:sub>
                    <m:r>
                      <w:rPr>
                        <w:rFonts w:ascii="Cambria Math" w:hAnsi="Cambria Math"/>
                        <w:lang w:val="en-GB"/>
                      </w:rPr>
                      <m:t>odt</m:t>
                    </m:r>
                  </m:sub>
                </m:sSub>
                <m:r>
                  <w:rPr>
                    <w:rFonts w:ascii="Cambria Math" w:hAnsi="Cambria Math"/>
                    <w:lang w:val="en-GB"/>
                  </w:rPr>
                  <m:t>)</m:t>
                </m:r>
              </m:e>
            </m:nary>
          </m:num>
          <m:den>
            <m:r>
              <w:rPr>
                <w:rFonts w:ascii="Cambria Math" w:hAnsi="Cambria Math"/>
                <w:lang w:val="en-GB"/>
              </w:rPr>
              <m:t>OxD</m:t>
            </m:r>
          </m:den>
        </m:f>
        <m:sSub>
          <m:sSubPr>
            <m:ctrlPr>
              <w:rPr>
                <w:rFonts w:ascii="Cambria Math" w:hAnsi="Cambria Math"/>
                <w:i/>
                <w:lang w:val="en-GB"/>
              </w:rPr>
            </m:ctrlPr>
          </m:sSubPr>
          <m:e>
            <m:r>
              <w:rPr>
                <w:rFonts w:ascii="Cambria Math" w:hAnsi="Cambria Math"/>
                <w:lang w:val="en-GB"/>
              </w:rPr>
              <m:t>|</m:t>
            </m:r>
          </m:e>
          <m:sub>
            <m:sSub>
              <m:sSubPr>
                <m:ctrlPr>
                  <w:rPr>
                    <w:rFonts w:ascii="Cambria Math" w:hAnsi="Cambria Math"/>
                    <w:i/>
                    <w:lang w:val="en-GB"/>
                  </w:rPr>
                </m:ctrlPr>
              </m:sSubPr>
              <m:e>
                <m:r>
                  <w:rPr>
                    <w:rFonts w:ascii="Cambria Math" w:hAnsi="Cambria Math"/>
                    <w:lang w:val="en-GB"/>
                  </w:rPr>
                  <m:t>if  visa</m:t>
                </m:r>
              </m:e>
              <m:sub>
                <m:r>
                  <w:rPr>
                    <w:rFonts w:ascii="Cambria Math" w:hAnsi="Cambria Math"/>
                    <w:lang w:val="en-GB"/>
                  </w:rPr>
                  <m:t>odt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visa</m:t>
                </m:r>
              </m:e>
              <m:sub>
                <m:r>
                  <w:rPr>
                    <w:rFonts w:ascii="Cambria Math" w:hAnsi="Cambria Math"/>
                    <w:lang w:val="en-GB"/>
                  </w:rPr>
                  <m:t>dot</m:t>
                </m:r>
              </m:sub>
            </m:sSub>
            <m:r>
              <w:rPr>
                <w:rFonts w:ascii="Cambria Math" w:hAnsi="Cambria Math"/>
                <w:lang w:val="en-GB"/>
              </w:rPr>
              <m:t>=0</m:t>
            </m:r>
          </m:sub>
        </m:sSub>
        <m:r>
          <w:rPr>
            <w:rFonts w:ascii="Cambria Math" w:hAnsi="Cambria Math"/>
            <w:lang w:val="en-GB"/>
          </w:rPr>
          <m:t xml:space="preserve"> ; </m:t>
        </m:r>
        <m:r>
          <m:rPr>
            <m:sty m:val="p"/>
          </m:rPr>
          <w:rPr>
            <w:rFonts w:ascii="Cambria Math" w:hAnsi="Cambria Math"/>
            <w:lang w:val="en-GB"/>
          </w:rPr>
          <m:t>with o∈O</m:t>
        </m:r>
        <m:r>
          <w:rPr>
            <w:rFonts w:ascii="Cambria Math" w:hAnsi="Cambria Math"/>
            <w:lang w:val="en-GB"/>
          </w:rPr>
          <m:t>=</m:t>
        </m:r>
        <m:d>
          <m:dPr>
            <m:begChr m:val="{"/>
            <m:endChr m:val="}"/>
            <m:ctrlPr>
              <w:rPr>
                <w:rFonts w:ascii="Cambria Math" w:hAnsi="Cambria Math"/>
                <w:i/>
                <w:lang w:val="en-GB"/>
              </w:rPr>
            </m:ctrlPr>
          </m:dPr>
          <m:e>
            <m:r>
              <w:rPr>
                <w:rFonts w:ascii="Cambria Math" w:hAnsi="Cambria Math"/>
                <w:lang w:val="en-GB"/>
              </w:rPr>
              <m:t>1,…,237</m:t>
            </m:r>
          </m:e>
        </m:d>
        <m:r>
          <w:rPr>
            <w:rFonts w:ascii="Cambria Math" w:hAnsi="Cambria Math"/>
            <w:lang w:val="en-GB"/>
          </w:rPr>
          <m:t xml:space="preserve"> and d∈</m:t>
        </m:r>
        <m:r>
          <m:rPr>
            <m:sty m:val="p"/>
          </m:rPr>
          <w:rPr>
            <w:rFonts w:ascii="Cambria Math" w:hAnsi="Cambria Math"/>
            <w:lang w:val="en-GB"/>
          </w:rPr>
          <m:t>D</m:t>
        </m:r>
        <m:r>
          <w:rPr>
            <w:rFonts w:ascii="Cambria Math" w:hAnsi="Cambria Math"/>
            <w:lang w:val="en-GB"/>
          </w:rPr>
          <m:t>=</m:t>
        </m:r>
        <m:d>
          <m:dPr>
            <m:begChr m:val="{"/>
            <m:endChr m:val="}"/>
            <m:ctrlPr>
              <w:rPr>
                <w:rFonts w:ascii="Cambria Math" w:hAnsi="Cambria Math"/>
                <w:i/>
                <w:lang w:val="en-GB"/>
              </w:rPr>
            </m:ctrlPr>
          </m:dPr>
          <m:e>
            <m:r>
              <w:rPr>
                <w:rFonts w:ascii="Cambria Math" w:hAnsi="Cambria Math"/>
                <w:lang w:val="en-GB"/>
              </w:rPr>
              <m:t>1,…,211</m:t>
            </m:r>
          </m:e>
        </m:d>
        <m:r>
          <m:rPr>
            <m:sty m:val="p"/>
          </m:rPr>
          <w:rPr>
            <w:rFonts w:ascii="Cambria Math" w:hAnsi="Cambria Math"/>
            <w:lang w:val="en-GB"/>
          </w:rPr>
          <m:t>.</m:t>
        </m:r>
      </m:oMath>
    </w:p>
  </w:footnote>
  <w:footnote w:id="14">
    <w:p w14:paraId="22394E0F" w14:textId="2A340B1B" w:rsidR="003D60FB" w:rsidRPr="00A50AD5" w:rsidRDefault="003D60FB" w:rsidP="00D23F98">
      <w:pPr>
        <w:rPr>
          <w:sz w:val="20"/>
          <w:szCs w:val="20"/>
          <w:lang w:val="en-GB"/>
        </w:rPr>
      </w:pPr>
      <w:r w:rsidRPr="00A50AD5">
        <w:rPr>
          <w:rStyle w:val="FootnoteReference"/>
          <w:sz w:val="20"/>
          <w:szCs w:val="20"/>
        </w:rPr>
        <w:footnoteRef/>
      </w:r>
      <w:r w:rsidRPr="00A50AD5">
        <w:rPr>
          <w:sz w:val="20"/>
          <w:szCs w:val="20"/>
        </w:rPr>
        <w:t xml:space="preserve"> </w:t>
      </w:r>
      <w:r w:rsidRPr="00A50AD5">
        <w:rPr>
          <w:sz w:val="20"/>
          <w:szCs w:val="20"/>
          <w:lang w:val="en-GB"/>
        </w:rPr>
        <w:t xml:space="preserve">Figures A-1 and A-2 in the appendix annex replicate the same analyses </w:t>
      </w:r>
      <w:r>
        <w:rPr>
          <w:sz w:val="20"/>
          <w:szCs w:val="20"/>
          <w:lang w:val="en-GB"/>
        </w:rPr>
        <w:t>at</w:t>
      </w:r>
      <w:r w:rsidRPr="00A50AD5">
        <w:rPr>
          <w:sz w:val="20"/>
          <w:szCs w:val="20"/>
          <w:lang w:val="en-GB"/>
        </w:rPr>
        <w:t xml:space="preserve"> the level of UN sub-regions.</w:t>
      </w:r>
    </w:p>
  </w:footnote>
  <w:footnote w:id="15">
    <w:p w14:paraId="56115621" w14:textId="0247098C" w:rsidR="003D60FB" w:rsidRPr="009A6241" w:rsidRDefault="003D60FB" w:rsidP="00D23F98">
      <w:pPr>
        <w:rPr>
          <w:sz w:val="18"/>
          <w:szCs w:val="18"/>
          <w:lang w:val="en-GB"/>
        </w:rPr>
      </w:pPr>
      <w:r w:rsidRPr="009A6241">
        <w:rPr>
          <w:rStyle w:val="FootnoteReference"/>
          <w:sz w:val="18"/>
          <w:szCs w:val="18"/>
        </w:rPr>
        <w:footnoteRef/>
      </w:r>
      <w:r w:rsidRPr="009A6241">
        <w:rPr>
          <w:sz w:val="18"/>
          <w:szCs w:val="18"/>
        </w:rPr>
        <w:t xml:space="preserve"> </w:t>
      </w:r>
      <w:r w:rsidRPr="009A6241">
        <w:rPr>
          <w:sz w:val="18"/>
          <w:szCs w:val="18"/>
          <w:lang w:val="en-GB"/>
        </w:rPr>
        <w:t>Because restrictiveness levels represent long-term (four decades) average, the fact that such percentages are above zero for free mobility areas may reflect the past existence of travel restrictions, which had since been removed.</w:t>
      </w:r>
    </w:p>
  </w:footnote>
  <w:footnote w:id="16">
    <w:p w14:paraId="7C31DCEE" w14:textId="623D5DC4" w:rsidR="003D60FB" w:rsidRPr="00575707" w:rsidRDefault="003D60FB">
      <w:pPr>
        <w:pStyle w:val="FootnoteText"/>
        <w:rPr>
          <w:lang w:val="en-GB"/>
        </w:rPr>
      </w:pPr>
      <w:r>
        <w:rPr>
          <w:rStyle w:val="FootnoteReference"/>
        </w:rPr>
        <w:footnoteRef/>
      </w:r>
      <w:r>
        <w:t xml:space="preserve"> This implies, </w:t>
      </w:r>
      <w:r w:rsidRPr="00643091">
        <w:t xml:space="preserve">the likelihood </w:t>
      </w:r>
      <w:r>
        <w:t xml:space="preserve">that </w:t>
      </w:r>
      <w:r w:rsidRPr="00643091">
        <w:t xml:space="preserve">nationals </w:t>
      </w:r>
      <w:r>
        <w:t>require</w:t>
      </w:r>
      <w:r w:rsidRPr="00643091">
        <w:t xml:space="preserve"> a travel visa for entering a </w:t>
      </w:r>
      <w:r>
        <w:t xml:space="preserve">neighboring </w:t>
      </w:r>
      <w:r w:rsidRPr="00643091">
        <w:t xml:space="preserve">country is </w:t>
      </w:r>
      <w:r w:rsidRPr="00643091">
        <w:rPr>
          <w:i/>
        </w:rPr>
        <w:t>on average</w:t>
      </w:r>
      <w:r>
        <w:t xml:space="preserve"> </w:t>
      </w:r>
      <w:r w:rsidRPr="00643091">
        <w:t xml:space="preserve">less than half (27%) </w:t>
      </w:r>
      <w:r>
        <w:t>than if</w:t>
      </w:r>
      <w:r w:rsidRPr="00643091">
        <w:t xml:space="preserve"> nationals entering </w:t>
      </w:r>
      <w:r>
        <w:t xml:space="preserve">a </w:t>
      </w:r>
      <w:r w:rsidRPr="00643091">
        <w:t>non-neighboring</w:t>
      </w:r>
      <w:r>
        <w:t xml:space="preserve"> country</w:t>
      </w:r>
      <w:r w:rsidRPr="00643091">
        <w:t xml:space="preserve"> (58%). That is, countries are </w:t>
      </w:r>
      <w:r>
        <w:t>usually</w:t>
      </w:r>
      <w:r w:rsidRPr="00643091">
        <w:t xml:space="preserve"> more open</w:t>
      </w:r>
      <w:r>
        <w:t xml:space="preserve"> for nationals from neighboring (‘geographically proximate’) countries</w:t>
      </w:r>
      <w:r w:rsidRPr="00643091">
        <w:t>.</w:t>
      </w:r>
    </w:p>
  </w:footnote>
  <w:footnote w:id="17">
    <w:p w14:paraId="5B5182B9" w14:textId="54E6E572" w:rsidR="003D60FB" w:rsidRPr="009A6241" w:rsidRDefault="003D60FB">
      <w:pPr>
        <w:pStyle w:val="FootnoteText"/>
        <w:rPr>
          <w:lang w:val="en-GB"/>
        </w:rPr>
      </w:pPr>
      <w:r>
        <w:rPr>
          <w:rStyle w:val="FootnoteReference"/>
        </w:rPr>
        <w:footnoteRef/>
      </w:r>
      <w:r>
        <w:t xml:space="preserve"> A</w:t>
      </w:r>
      <w:r>
        <w:rPr>
          <w:lang w:val="en-GB"/>
        </w:rPr>
        <w:t xml:space="preserve">s, </w:t>
      </w:r>
      <w:r w:rsidRPr="008C4E3D">
        <w:rPr>
          <w:lang w:val="en-GB"/>
        </w:rPr>
        <w:t>for example</w:t>
      </w:r>
      <w:r>
        <w:rPr>
          <w:lang w:val="en-GB"/>
        </w:rPr>
        <w:t>,</w:t>
      </w:r>
      <w:r w:rsidRPr="008C4E3D">
        <w:rPr>
          <w:lang w:val="en-GB"/>
        </w:rPr>
        <w:t xml:space="preserve"> Algeria requiring an exit permit for </w:t>
      </w:r>
      <w:r>
        <w:rPr>
          <w:lang w:val="en-GB"/>
        </w:rPr>
        <w:t xml:space="preserve">foreign </w:t>
      </w:r>
      <w:r w:rsidRPr="008C4E3D">
        <w:rPr>
          <w:lang w:val="en-GB"/>
        </w:rPr>
        <w:t>residents except for citizens of France, Switzerland and Tunisia</w:t>
      </w:r>
      <w:r w:rsidRPr="00062CBB">
        <w:rPr>
          <w:lang w:val="en-GB"/>
        </w:rPr>
        <w:t>; or</w:t>
      </w:r>
      <w:r w:rsidRPr="008C4E3D">
        <w:rPr>
          <w:lang w:val="en-GB"/>
        </w:rPr>
        <w:t xml:space="preserve"> the requirement </w:t>
      </w:r>
      <w:r>
        <w:rPr>
          <w:lang w:val="en-GB"/>
        </w:rPr>
        <w:t>for</w:t>
      </w:r>
      <w:r w:rsidRPr="00062CBB">
        <w:rPr>
          <w:lang w:val="en-GB"/>
        </w:rPr>
        <w:t xml:space="preserve"> a</w:t>
      </w:r>
      <w:r w:rsidRPr="008C4E3D">
        <w:rPr>
          <w:lang w:val="en-GB"/>
        </w:rPr>
        <w:t xml:space="preserve"> travel clearance for visitors</w:t>
      </w:r>
      <w:r>
        <w:rPr>
          <w:lang w:val="en-GB"/>
        </w:rPr>
        <w:t xml:space="preserve">, </w:t>
      </w:r>
      <w:r w:rsidRPr="008C4E3D">
        <w:rPr>
          <w:lang w:val="en-GB"/>
        </w:rPr>
        <w:t xml:space="preserve">as </w:t>
      </w:r>
      <w:r>
        <w:rPr>
          <w:lang w:val="en-GB"/>
        </w:rPr>
        <w:t>in the case of Angola</w:t>
      </w:r>
      <w:r w:rsidRPr="008C4E3D">
        <w:rPr>
          <w:lang w:val="en-GB"/>
        </w:rPr>
        <w:t>.</w:t>
      </w:r>
    </w:p>
  </w:footnote>
  <w:footnote w:id="18">
    <w:p w14:paraId="0926C65D" w14:textId="4FAC394A" w:rsidR="003D60FB" w:rsidRPr="00A50AD5" w:rsidRDefault="003D60FB" w:rsidP="00D23F98">
      <w:pPr>
        <w:rPr>
          <w:sz w:val="20"/>
          <w:szCs w:val="20"/>
          <w:lang w:val="en-GB"/>
        </w:rPr>
      </w:pPr>
      <w:r w:rsidRPr="00A50AD5">
        <w:rPr>
          <w:rStyle w:val="FootnoteReference"/>
          <w:sz w:val="20"/>
          <w:szCs w:val="20"/>
        </w:rPr>
        <w:footnoteRef/>
      </w:r>
      <w:r w:rsidRPr="00A50AD5">
        <w:rPr>
          <w:sz w:val="20"/>
          <w:szCs w:val="20"/>
        </w:rPr>
        <w:t xml:space="preserve"> IATA’s reporting system on exit restrictions is not without inconsistencies over time and also across countries</w:t>
      </w:r>
      <w:r>
        <w:rPr>
          <w:sz w:val="20"/>
          <w:szCs w:val="20"/>
        </w:rPr>
        <w:t>,</w:t>
      </w:r>
      <w:r w:rsidRPr="00A50AD5">
        <w:rPr>
          <w:sz w:val="20"/>
          <w:szCs w:val="20"/>
        </w:rPr>
        <w:t xml:space="preserve"> as for instance no exit restrictions are reported for Poland and Czechoslovakia before 1990 or Cuba after 1975. We retain this information for these countries. For Germany before 1990, Figure 15 show</w:t>
      </w:r>
      <w:r>
        <w:rPr>
          <w:sz w:val="20"/>
          <w:szCs w:val="20"/>
        </w:rPr>
        <w:t>s</w:t>
      </w:r>
      <w:r w:rsidRPr="00A50AD5">
        <w:rPr>
          <w:sz w:val="20"/>
          <w:szCs w:val="20"/>
        </w:rPr>
        <w:t xml:space="preserve"> exit restrictions implemented by the German Democratic Republic.</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7457FC"/>
    <w:multiLevelType w:val="multilevel"/>
    <w:tmpl w:val="8D300EEA"/>
    <w:lvl w:ilvl="0">
      <w:start w:val="1"/>
      <w:numFmt w:val="decimal"/>
      <w:pStyle w:val="Heading1"/>
      <w:lvlText w:val="%1"/>
      <w:lvlJc w:val="left"/>
      <w:pPr>
        <w:ind w:left="432" w:hanging="432"/>
      </w:pPr>
      <w:rPr>
        <w:rFonts w:hint="default"/>
        <w:b w:val="0"/>
        <w:i w:val="0"/>
        <w:color w:val="auto"/>
        <w:sz w:val="32"/>
        <w:szCs w:val="32"/>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4DC96207"/>
    <w:multiLevelType w:val="hybridMultilevel"/>
    <w:tmpl w:val="E408A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llares-Varela M.">
    <w15:presenceInfo w15:providerId="AD" w15:userId="S-1-5-21-2015846570-11164191-355810188-663677"/>
  </w15:person>
  <w15:person w15:author="qeh">
    <w15:presenceInfo w15:providerId="None" w15:userId="qe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486"/>
    <w:rsid w:val="00003C62"/>
    <w:rsid w:val="00004DD7"/>
    <w:rsid w:val="00006488"/>
    <w:rsid w:val="00013B0C"/>
    <w:rsid w:val="0001438B"/>
    <w:rsid w:val="0001572C"/>
    <w:rsid w:val="00030755"/>
    <w:rsid w:val="00030B6C"/>
    <w:rsid w:val="00036950"/>
    <w:rsid w:val="00046A28"/>
    <w:rsid w:val="00047A28"/>
    <w:rsid w:val="00053FED"/>
    <w:rsid w:val="000577CC"/>
    <w:rsid w:val="000619CA"/>
    <w:rsid w:val="000626EB"/>
    <w:rsid w:val="00070FBF"/>
    <w:rsid w:val="00075686"/>
    <w:rsid w:val="00076CE6"/>
    <w:rsid w:val="00076EE4"/>
    <w:rsid w:val="000868C5"/>
    <w:rsid w:val="00091EE0"/>
    <w:rsid w:val="00093EA9"/>
    <w:rsid w:val="000A154E"/>
    <w:rsid w:val="000A65DC"/>
    <w:rsid w:val="000A6AE2"/>
    <w:rsid w:val="000C472B"/>
    <w:rsid w:val="000C4DA4"/>
    <w:rsid w:val="000D09FA"/>
    <w:rsid w:val="000D4810"/>
    <w:rsid w:val="000D4829"/>
    <w:rsid w:val="000D7D87"/>
    <w:rsid w:val="000E0392"/>
    <w:rsid w:val="000E07FE"/>
    <w:rsid w:val="000E40B2"/>
    <w:rsid w:val="000E5998"/>
    <w:rsid w:val="000F43AF"/>
    <w:rsid w:val="001025C8"/>
    <w:rsid w:val="00102EF9"/>
    <w:rsid w:val="00105997"/>
    <w:rsid w:val="00106EAE"/>
    <w:rsid w:val="00114E3C"/>
    <w:rsid w:val="001209BD"/>
    <w:rsid w:val="00123C2F"/>
    <w:rsid w:val="00125D02"/>
    <w:rsid w:val="00127B60"/>
    <w:rsid w:val="001373DF"/>
    <w:rsid w:val="0013751F"/>
    <w:rsid w:val="001415F0"/>
    <w:rsid w:val="0014675E"/>
    <w:rsid w:val="00150FE3"/>
    <w:rsid w:val="0017411F"/>
    <w:rsid w:val="0017638E"/>
    <w:rsid w:val="00190F4F"/>
    <w:rsid w:val="00191D77"/>
    <w:rsid w:val="00192916"/>
    <w:rsid w:val="00197CC8"/>
    <w:rsid w:val="001A4213"/>
    <w:rsid w:val="001A4862"/>
    <w:rsid w:val="001A4B08"/>
    <w:rsid w:val="001A6B7F"/>
    <w:rsid w:val="001B2BE0"/>
    <w:rsid w:val="001C15C3"/>
    <w:rsid w:val="001C6969"/>
    <w:rsid w:val="001C7AA2"/>
    <w:rsid w:val="001D140B"/>
    <w:rsid w:val="001D2B5E"/>
    <w:rsid w:val="001D61C9"/>
    <w:rsid w:val="001E222D"/>
    <w:rsid w:val="001F2715"/>
    <w:rsid w:val="00201A67"/>
    <w:rsid w:val="00203EF9"/>
    <w:rsid w:val="00204E3C"/>
    <w:rsid w:val="0020518B"/>
    <w:rsid w:val="00207099"/>
    <w:rsid w:val="0021310D"/>
    <w:rsid w:val="0021557C"/>
    <w:rsid w:val="00223E1A"/>
    <w:rsid w:val="00232276"/>
    <w:rsid w:val="00236DB8"/>
    <w:rsid w:val="00240D1F"/>
    <w:rsid w:val="00241D4C"/>
    <w:rsid w:val="0024334E"/>
    <w:rsid w:val="00246FCE"/>
    <w:rsid w:val="002508E0"/>
    <w:rsid w:val="0026224F"/>
    <w:rsid w:val="00262279"/>
    <w:rsid w:val="00262E6B"/>
    <w:rsid w:val="00267EF4"/>
    <w:rsid w:val="0027050A"/>
    <w:rsid w:val="0027523B"/>
    <w:rsid w:val="0027628B"/>
    <w:rsid w:val="00280EA4"/>
    <w:rsid w:val="002822EE"/>
    <w:rsid w:val="00284C7C"/>
    <w:rsid w:val="002855D6"/>
    <w:rsid w:val="002A324F"/>
    <w:rsid w:val="002A7E6F"/>
    <w:rsid w:val="002B0A58"/>
    <w:rsid w:val="002B6FC1"/>
    <w:rsid w:val="002C411E"/>
    <w:rsid w:val="002D3F61"/>
    <w:rsid w:val="002D44FC"/>
    <w:rsid w:val="002D4D8E"/>
    <w:rsid w:val="002D7A83"/>
    <w:rsid w:val="002E517C"/>
    <w:rsid w:val="002F1BC4"/>
    <w:rsid w:val="00302243"/>
    <w:rsid w:val="00302A03"/>
    <w:rsid w:val="00306659"/>
    <w:rsid w:val="003121F4"/>
    <w:rsid w:val="0031439A"/>
    <w:rsid w:val="003179F8"/>
    <w:rsid w:val="00320639"/>
    <w:rsid w:val="003221CF"/>
    <w:rsid w:val="003244AF"/>
    <w:rsid w:val="00325719"/>
    <w:rsid w:val="00335006"/>
    <w:rsid w:val="00337AF6"/>
    <w:rsid w:val="00341B44"/>
    <w:rsid w:val="00347E4F"/>
    <w:rsid w:val="0035576D"/>
    <w:rsid w:val="00362B87"/>
    <w:rsid w:val="00363D61"/>
    <w:rsid w:val="00365485"/>
    <w:rsid w:val="0037141A"/>
    <w:rsid w:val="00372EB3"/>
    <w:rsid w:val="003740D6"/>
    <w:rsid w:val="00375D67"/>
    <w:rsid w:val="003833B4"/>
    <w:rsid w:val="0038692A"/>
    <w:rsid w:val="003A0542"/>
    <w:rsid w:val="003A0C33"/>
    <w:rsid w:val="003A62E3"/>
    <w:rsid w:val="003B1D15"/>
    <w:rsid w:val="003B366A"/>
    <w:rsid w:val="003B658A"/>
    <w:rsid w:val="003B6B9C"/>
    <w:rsid w:val="003C3309"/>
    <w:rsid w:val="003C3500"/>
    <w:rsid w:val="003C4318"/>
    <w:rsid w:val="003D14B0"/>
    <w:rsid w:val="003D3DEB"/>
    <w:rsid w:val="003D60FB"/>
    <w:rsid w:val="003D6A8C"/>
    <w:rsid w:val="003E14F8"/>
    <w:rsid w:val="003E4C35"/>
    <w:rsid w:val="003E5887"/>
    <w:rsid w:val="003F0445"/>
    <w:rsid w:val="004032B7"/>
    <w:rsid w:val="00405990"/>
    <w:rsid w:val="004201E0"/>
    <w:rsid w:val="00420429"/>
    <w:rsid w:val="004426B7"/>
    <w:rsid w:val="00442E2B"/>
    <w:rsid w:val="00442EA1"/>
    <w:rsid w:val="00454734"/>
    <w:rsid w:val="004577F3"/>
    <w:rsid w:val="004616F6"/>
    <w:rsid w:val="00463B94"/>
    <w:rsid w:val="004706A3"/>
    <w:rsid w:val="00480296"/>
    <w:rsid w:val="00484A39"/>
    <w:rsid w:val="00486035"/>
    <w:rsid w:val="004905F2"/>
    <w:rsid w:val="00491377"/>
    <w:rsid w:val="0049214A"/>
    <w:rsid w:val="00493631"/>
    <w:rsid w:val="004975E3"/>
    <w:rsid w:val="004A4047"/>
    <w:rsid w:val="004B03F3"/>
    <w:rsid w:val="004B2FFD"/>
    <w:rsid w:val="004C13EB"/>
    <w:rsid w:val="004C28B0"/>
    <w:rsid w:val="004C4F11"/>
    <w:rsid w:val="004C5239"/>
    <w:rsid w:val="004D015D"/>
    <w:rsid w:val="004D1A4F"/>
    <w:rsid w:val="004E13B9"/>
    <w:rsid w:val="004E519C"/>
    <w:rsid w:val="004F036A"/>
    <w:rsid w:val="004F5800"/>
    <w:rsid w:val="00507BF3"/>
    <w:rsid w:val="00510209"/>
    <w:rsid w:val="005102BC"/>
    <w:rsid w:val="0051663E"/>
    <w:rsid w:val="005178AC"/>
    <w:rsid w:val="00522F7E"/>
    <w:rsid w:val="00523EC9"/>
    <w:rsid w:val="005303FF"/>
    <w:rsid w:val="00536A8D"/>
    <w:rsid w:val="00537463"/>
    <w:rsid w:val="00545B1B"/>
    <w:rsid w:val="00545C0F"/>
    <w:rsid w:val="00550815"/>
    <w:rsid w:val="005516E3"/>
    <w:rsid w:val="00555DC9"/>
    <w:rsid w:val="005630CE"/>
    <w:rsid w:val="00574F0E"/>
    <w:rsid w:val="00575707"/>
    <w:rsid w:val="005835E2"/>
    <w:rsid w:val="005934F5"/>
    <w:rsid w:val="00594C0C"/>
    <w:rsid w:val="00595578"/>
    <w:rsid w:val="005A13ED"/>
    <w:rsid w:val="005A36F3"/>
    <w:rsid w:val="005A4918"/>
    <w:rsid w:val="005A5BCD"/>
    <w:rsid w:val="005A6B9B"/>
    <w:rsid w:val="005B1289"/>
    <w:rsid w:val="005B486A"/>
    <w:rsid w:val="005C3F09"/>
    <w:rsid w:val="005C4D58"/>
    <w:rsid w:val="005D1FCF"/>
    <w:rsid w:val="005D45BE"/>
    <w:rsid w:val="005D5ACC"/>
    <w:rsid w:val="005F0F73"/>
    <w:rsid w:val="005F24F6"/>
    <w:rsid w:val="005F2B3F"/>
    <w:rsid w:val="005F6242"/>
    <w:rsid w:val="0060496F"/>
    <w:rsid w:val="006062A8"/>
    <w:rsid w:val="006069A1"/>
    <w:rsid w:val="006108F6"/>
    <w:rsid w:val="00612760"/>
    <w:rsid w:val="006215C1"/>
    <w:rsid w:val="00627572"/>
    <w:rsid w:val="00627CCB"/>
    <w:rsid w:val="00632060"/>
    <w:rsid w:val="00632399"/>
    <w:rsid w:val="006326E8"/>
    <w:rsid w:val="00634A1D"/>
    <w:rsid w:val="00636417"/>
    <w:rsid w:val="00636422"/>
    <w:rsid w:val="00637F5C"/>
    <w:rsid w:val="0064167B"/>
    <w:rsid w:val="00641DE3"/>
    <w:rsid w:val="00643091"/>
    <w:rsid w:val="00644CDC"/>
    <w:rsid w:val="006514A6"/>
    <w:rsid w:val="00652B1B"/>
    <w:rsid w:val="00661219"/>
    <w:rsid w:val="006655E7"/>
    <w:rsid w:val="00666785"/>
    <w:rsid w:val="0066744A"/>
    <w:rsid w:val="00673A30"/>
    <w:rsid w:val="00677B58"/>
    <w:rsid w:val="00677BA3"/>
    <w:rsid w:val="006849EC"/>
    <w:rsid w:val="00687933"/>
    <w:rsid w:val="00690264"/>
    <w:rsid w:val="00694EDF"/>
    <w:rsid w:val="006B06C5"/>
    <w:rsid w:val="006B7A3F"/>
    <w:rsid w:val="006C3746"/>
    <w:rsid w:val="006C6101"/>
    <w:rsid w:val="006C6207"/>
    <w:rsid w:val="006C624B"/>
    <w:rsid w:val="006C65E3"/>
    <w:rsid w:val="006C6FBF"/>
    <w:rsid w:val="006D379B"/>
    <w:rsid w:val="006E24EE"/>
    <w:rsid w:val="006F4957"/>
    <w:rsid w:val="007063D5"/>
    <w:rsid w:val="007235B3"/>
    <w:rsid w:val="007250A0"/>
    <w:rsid w:val="00732F63"/>
    <w:rsid w:val="007363D4"/>
    <w:rsid w:val="00736416"/>
    <w:rsid w:val="00736AE4"/>
    <w:rsid w:val="007431CC"/>
    <w:rsid w:val="007514E6"/>
    <w:rsid w:val="00754831"/>
    <w:rsid w:val="00755E49"/>
    <w:rsid w:val="00756F75"/>
    <w:rsid w:val="00761D1C"/>
    <w:rsid w:val="00766B15"/>
    <w:rsid w:val="007820A7"/>
    <w:rsid w:val="0078273A"/>
    <w:rsid w:val="00787C12"/>
    <w:rsid w:val="00796D18"/>
    <w:rsid w:val="007A1021"/>
    <w:rsid w:val="007A630C"/>
    <w:rsid w:val="007A7209"/>
    <w:rsid w:val="007A7674"/>
    <w:rsid w:val="007B2975"/>
    <w:rsid w:val="007B3A23"/>
    <w:rsid w:val="007B3F6D"/>
    <w:rsid w:val="007C68C5"/>
    <w:rsid w:val="007E1281"/>
    <w:rsid w:val="007E18CA"/>
    <w:rsid w:val="007E6A3C"/>
    <w:rsid w:val="007E6DAC"/>
    <w:rsid w:val="007F0280"/>
    <w:rsid w:val="007F6F77"/>
    <w:rsid w:val="007F7E9E"/>
    <w:rsid w:val="00802AD2"/>
    <w:rsid w:val="00802E89"/>
    <w:rsid w:val="00805420"/>
    <w:rsid w:val="0080759C"/>
    <w:rsid w:val="00807CC2"/>
    <w:rsid w:val="0082392C"/>
    <w:rsid w:val="008351BC"/>
    <w:rsid w:val="00837966"/>
    <w:rsid w:val="00844230"/>
    <w:rsid w:val="00845711"/>
    <w:rsid w:val="008525DE"/>
    <w:rsid w:val="0085295C"/>
    <w:rsid w:val="00854756"/>
    <w:rsid w:val="00855C4C"/>
    <w:rsid w:val="00860CA0"/>
    <w:rsid w:val="00860F8C"/>
    <w:rsid w:val="00861AF6"/>
    <w:rsid w:val="00867406"/>
    <w:rsid w:val="008730FB"/>
    <w:rsid w:val="00884588"/>
    <w:rsid w:val="00884AAD"/>
    <w:rsid w:val="00885FD4"/>
    <w:rsid w:val="00890A7B"/>
    <w:rsid w:val="008A5F0E"/>
    <w:rsid w:val="008B14B6"/>
    <w:rsid w:val="008B295D"/>
    <w:rsid w:val="008B63D1"/>
    <w:rsid w:val="008D2A36"/>
    <w:rsid w:val="008D2B47"/>
    <w:rsid w:val="008D2CF9"/>
    <w:rsid w:val="008D43A1"/>
    <w:rsid w:val="008D65A1"/>
    <w:rsid w:val="008E0215"/>
    <w:rsid w:val="008E4C7C"/>
    <w:rsid w:val="008F26E8"/>
    <w:rsid w:val="008F4D3F"/>
    <w:rsid w:val="008F5616"/>
    <w:rsid w:val="00906B66"/>
    <w:rsid w:val="009243BC"/>
    <w:rsid w:val="0092451B"/>
    <w:rsid w:val="00927C2F"/>
    <w:rsid w:val="00930545"/>
    <w:rsid w:val="009361E4"/>
    <w:rsid w:val="0093728E"/>
    <w:rsid w:val="00941FBD"/>
    <w:rsid w:val="00946FCC"/>
    <w:rsid w:val="00952348"/>
    <w:rsid w:val="00953E30"/>
    <w:rsid w:val="00965473"/>
    <w:rsid w:val="00966AE4"/>
    <w:rsid w:val="00970070"/>
    <w:rsid w:val="00971F40"/>
    <w:rsid w:val="009722DA"/>
    <w:rsid w:val="00973494"/>
    <w:rsid w:val="009923E9"/>
    <w:rsid w:val="0099299E"/>
    <w:rsid w:val="00995DBA"/>
    <w:rsid w:val="009A058C"/>
    <w:rsid w:val="009A6241"/>
    <w:rsid w:val="009B1A63"/>
    <w:rsid w:val="009B261A"/>
    <w:rsid w:val="009B44E9"/>
    <w:rsid w:val="009B5097"/>
    <w:rsid w:val="009B6716"/>
    <w:rsid w:val="009B6C28"/>
    <w:rsid w:val="009C091A"/>
    <w:rsid w:val="009D458C"/>
    <w:rsid w:val="009E1527"/>
    <w:rsid w:val="009E3255"/>
    <w:rsid w:val="009E3501"/>
    <w:rsid w:val="009E3B51"/>
    <w:rsid w:val="009F4644"/>
    <w:rsid w:val="00A06468"/>
    <w:rsid w:val="00A24E39"/>
    <w:rsid w:val="00A3068C"/>
    <w:rsid w:val="00A31B26"/>
    <w:rsid w:val="00A34475"/>
    <w:rsid w:val="00A37DFF"/>
    <w:rsid w:val="00A40AC2"/>
    <w:rsid w:val="00A44635"/>
    <w:rsid w:val="00A44B75"/>
    <w:rsid w:val="00A45A4A"/>
    <w:rsid w:val="00A50918"/>
    <w:rsid w:val="00A50AD5"/>
    <w:rsid w:val="00A51B8C"/>
    <w:rsid w:val="00A54FBE"/>
    <w:rsid w:val="00A63AE4"/>
    <w:rsid w:val="00A652BB"/>
    <w:rsid w:val="00A7252E"/>
    <w:rsid w:val="00A764F1"/>
    <w:rsid w:val="00A768D1"/>
    <w:rsid w:val="00A80C72"/>
    <w:rsid w:val="00A83225"/>
    <w:rsid w:val="00A8736D"/>
    <w:rsid w:val="00A92DA6"/>
    <w:rsid w:val="00A954FA"/>
    <w:rsid w:val="00A9701F"/>
    <w:rsid w:val="00AA4401"/>
    <w:rsid w:val="00AB6EA2"/>
    <w:rsid w:val="00AB79CC"/>
    <w:rsid w:val="00AC444C"/>
    <w:rsid w:val="00AC45AF"/>
    <w:rsid w:val="00AD74BE"/>
    <w:rsid w:val="00AE3CA7"/>
    <w:rsid w:val="00AE5BED"/>
    <w:rsid w:val="00AE7452"/>
    <w:rsid w:val="00B01115"/>
    <w:rsid w:val="00B03A62"/>
    <w:rsid w:val="00B053D6"/>
    <w:rsid w:val="00B056FD"/>
    <w:rsid w:val="00B13085"/>
    <w:rsid w:val="00B14653"/>
    <w:rsid w:val="00B3434F"/>
    <w:rsid w:val="00B36D7A"/>
    <w:rsid w:val="00B4182F"/>
    <w:rsid w:val="00B41982"/>
    <w:rsid w:val="00B43CC5"/>
    <w:rsid w:val="00B45711"/>
    <w:rsid w:val="00B462B6"/>
    <w:rsid w:val="00B5282B"/>
    <w:rsid w:val="00B53ED0"/>
    <w:rsid w:val="00B55D15"/>
    <w:rsid w:val="00B5785F"/>
    <w:rsid w:val="00B60112"/>
    <w:rsid w:val="00B6174F"/>
    <w:rsid w:val="00B64C32"/>
    <w:rsid w:val="00B65B80"/>
    <w:rsid w:val="00B66297"/>
    <w:rsid w:val="00B67216"/>
    <w:rsid w:val="00B70516"/>
    <w:rsid w:val="00B70C47"/>
    <w:rsid w:val="00B72DB3"/>
    <w:rsid w:val="00B807B3"/>
    <w:rsid w:val="00B81CD9"/>
    <w:rsid w:val="00B8452B"/>
    <w:rsid w:val="00B85BDD"/>
    <w:rsid w:val="00B86599"/>
    <w:rsid w:val="00B906D8"/>
    <w:rsid w:val="00B97AB3"/>
    <w:rsid w:val="00BA3C25"/>
    <w:rsid w:val="00BA5486"/>
    <w:rsid w:val="00BA6F2F"/>
    <w:rsid w:val="00BB5AFD"/>
    <w:rsid w:val="00BB5C5E"/>
    <w:rsid w:val="00BB5C96"/>
    <w:rsid w:val="00BC1317"/>
    <w:rsid w:val="00BC327D"/>
    <w:rsid w:val="00BC42DE"/>
    <w:rsid w:val="00BC5A85"/>
    <w:rsid w:val="00BC606B"/>
    <w:rsid w:val="00BC6331"/>
    <w:rsid w:val="00BC7533"/>
    <w:rsid w:val="00BE27C5"/>
    <w:rsid w:val="00BE630A"/>
    <w:rsid w:val="00BF56F2"/>
    <w:rsid w:val="00BF74D4"/>
    <w:rsid w:val="00C05892"/>
    <w:rsid w:val="00C05EDF"/>
    <w:rsid w:val="00C131F1"/>
    <w:rsid w:val="00C20A83"/>
    <w:rsid w:val="00C26E55"/>
    <w:rsid w:val="00C348BC"/>
    <w:rsid w:val="00C35597"/>
    <w:rsid w:val="00C402E3"/>
    <w:rsid w:val="00C42756"/>
    <w:rsid w:val="00C42F5D"/>
    <w:rsid w:val="00C450BE"/>
    <w:rsid w:val="00C4563F"/>
    <w:rsid w:val="00C463CF"/>
    <w:rsid w:val="00C4779E"/>
    <w:rsid w:val="00C51AC7"/>
    <w:rsid w:val="00C65CE2"/>
    <w:rsid w:val="00C7226E"/>
    <w:rsid w:val="00C7242A"/>
    <w:rsid w:val="00C739C2"/>
    <w:rsid w:val="00C73AC6"/>
    <w:rsid w:val="00C767A4"/>
    <w:rsid w:val="00C823C3"/>
    <w:rsid w:val="00C85AEE"/>
    <w:rsid w:val="00C9092B"/>
    <w:rsid w:val="00C94307"/>
    <w:rsid w:val="00CA0962"/>
    <w:rsid w:val="00CA7C4C"/>
    <w:rsid w:val="00CC2410"/>
    <w:rsid w:val="00CC7C1D"/>
    <w:rsid w:val="00CD0FDB"/>
    <w:rsid w:val="00CE062B"/>
    <w:rsid w:val="00CE0B8C"/>
    <w:rsid w:val="00CE4DD4"/>
    <w:rsid w:val="00CF1F28"/>
    <w:rsid w:val="00CF460E"/>
    <w:rsid w:val="00D037F1"/>
    <w:rsid w:val="00D126E5"/>
    <w:rsid w:val="00D14647"/>
    <w:rsid w:val="00D16083"/>
    <w:rsid w:val="00D162B3"/>
    <w:rsid w:val="00D179E3"/>
    <w:rsid w:val="00D23F98"/>
    <w:rsid w:val="00D2602D"/>
    <w:rsid w:val="00D26060"/>
    <w:rsid w:val="00D2672C"/>
    <w:rsid w:val="00D279D7"/>
    <w:rsid w:val="00D31423"/>
    <w:rsid w:val="00D446BB"/>
    <w:rsid w:val="00D46574"/>
    <w:rsid w:val="00D51323"/>
    <w:rsid w:val="00D56D45"/>
    <w:rsid w:val="00D575A6"/>
    <w:rsid w:val="00D6486A"/>
    <w:rsid w:val="00D656D4"/>
    <w:rsid w:val="00D65926"/>
    <w:rsid w:val="00D767BB"/>
    <w:rsid w:val="00D775C2"/>
    <w:rsid w:val="00D80B39"/>
    <w:rsid w:val="00D81B53"/>
    <w:rsid w:val="00D838EC"/>
    <w:rsid w:val="00D83EF3"/>
    <w:rsid w:val="00D84AD5"/>
    <w:rsid w:val="00D9087E"/>
    <w:rsid w:val="00D91F0D"/>
    <w:rsid w:val="00D9267C"/>
    <w:rsid w:val="00DA3D81"/>
    <w:rsid w:val="00DA4951"/>
    <w:rsid w:val="00DA5431"/>
    <w:rsid w:val="00DA5F42"/>
    <w:rsid w:val="00DA7360"/>
    <w:rsid w:val="00DA7DEC"/>
    <w:rsid w:val="00DB1695"/>
    <w:rsid w:val="00DB462C"/>
    <w:rsid w:val="00DC0E02"/>
    <w:rsid w:val="00DC26B8"/>
    <w:rsid w:val="00DC2AB9"/>
    <w:rsid w:val="00DC2DA9"/>
    <w:rsid w:val="00DC4301"/>
    <w:rsid w:val="00DC6838"/>
    <w:rsid w:val="00DC7F9E"/>
    <w:rsid w:val="00DE13BA"/>
    <w:rsid w:val="00E0068E"/>
    <w:rsid w:val="00E047CF"/>
    <w:rsid w:val="00E0649C"/>
    <w:rsid w:val="00E07728"/>
    <w:rsid w:val="00E157B4"/>
    <w:rsid w:val="00E16C16"/>
    <w:rsid w:val="00E2191D"/>
    <w:rsid w:val="00E24196"/>
    <w:rsid w:val="00E2549F"/>
    <w:rsid w:val="00E3165C"/>
    <w:rsid w:val="00E3215C"/>
    <w:rsid w:val="00E364BC"/>
    <w:rsid w:val="00E434B7"/>
    <w:rsid w:val="00E43EB6"/>
    <w:rsid w:val="00E43F2B"/>
    <w:rsid w:val="00E43FD4"/>
    <w:rsid w:val="00E47581"/>
    <w:rsid w:val="00E50A8D"/>
    <w:rsid w:val="00E61D4F"/>
    <w:rsid w:val="00E6360B"/>
    <w:rsid w:val="00E672B9"/>
    <w:rsid w:val="00E675B8"/>
    <w:rsid w:val="00E74E4E"/>
    <w:rsid w:val="00E8644A"/>
    <w:rsid w:val="00E93B27"/>
    <w:rsid w:val="00EA26FC"/>
    <w:rsid w:val="00EA2BE2"/>
    <w:rsid w:val="00EA306A"/>
    <w:rsid w:val="00EC3A4B"/>
    <w:rsid w:val="00EE3451"/>
    <w:rsid w:val="00EE3E44"/>
    <w:rsid w:val="00EF740E"/>
    <w:rsid w:val="00F011E7"/>
    <w:rsid w:val="00F01C4E"/>
    <w:rsid w:val="00F01CE0"/>
    <w:rsid w:val="00F0497A"/>
    <w:rsid w:val="00F05769"/>
    <w:rsid w:val="00F15971"/>
    <w:rsid w:val="00F22F64"/>
    <w:rsid w:val="00F23903"/>
    <w:rsid w:val="00F27F59"/>
    <w:rsid w:val="00F302C2"/>
    <w:rsid w:val="00F303EF"/>
    <w:rsid w:val="00F33399"/>
    <w:rsid w:val="00F44C9D"/>
    <w:rsid w:val="00F5018F"/>
    <w:rsid w:val="00F50840"/>
    <w:rsid w:val="00F57DC9"/>
    <w:rsid w:val="00F74DB3"/>
    <w:rsid w:val="00F75894"/>
    <w:rsid w:val="00F76D7B"/>
    <w:rsid w:val="00F80A78"/>
    <w:rsid w:val="00F904E1"/>
    <w:rsid w:val="00F951CF"/>
    <w:rsid w:val="00FB397A"/>
    <w:rsid w:val="00FC5A84"/>
    <w:rsid w:val="00FC6F4D"/>
    <w:rsid w:val="00FC7490"/>
    <w:rsid w:val="00FE0818"/>
    <w:rsid w:val="00FF301A"/>
    <w:rsid w:val="00FF5A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0BB6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5A1"/>
    <w:pPr>
      <w:autoSpaceDE w:val="0"/>
      <w:autoSpaceDN w:val="0"/>
      <w:adjustRightInd w:val="0"/>
      <w:spacing w:after="120" w:line="276" w:lineRule="auto"/>
      <w:jc w:val="both"/>
    </w:pPr>
    <w:rPr>
      <w:rFonts w:ascii="Times New Roman" w:hAnsi="Times New Roman"/>
      <w:color w:val="000000"/>
      <w:sz w:val="22"/>
      <w:szCs w:val="24"/>
      <w:lang w:val="en-US" w:eastAsia="en-US"/>
    </w:rPr>
  </w:style>
  <w:style w:type="paragraph" w:styleId="Heading1">
    <w:name w:val="heading 1"/>
    <w:basedOn w:val="Normal"/>
    <w:next w:val="Normal"/>
    <w:link w:val="Heading1Char"/>
    <w:uiPriority w:val="9"/>
    <w:qFormat/>
    <w:rsid w:val="00E3215C"/>
    <w:pPr>
      <w:numPr>
        <w:numId w:val="2"/>
      </w:numPr>
      <w:spacing w:before="240" w:line="240" w:lineRule="auto"/>
      <w:ind w:left="0" w:hanging="431"/>
      <w:jc w:val="left"/>
      <w:outlineLvl w:val="0"/>
    </w:pPr>
    <w:rPr>
      <w:rFonts w:ascii="FoundrySterling-Bold" w:hAnsi="FoundrySterling-Bold"/>
      <w:sz w:val="32"/>
      <w:szCs w:val="32"/>
      <w:lang w:val="en-GB"/>
    </w:rPr>
  </w:style>
  <w:style w:type="paragraph" w:styleId="Heading2">
    <w:name w:val="heading 2"/>
    <w:basedOn w:val="Heading1"/>
    <w:next w:val="Normal"/>
    <w:link w:val="Heading2Char"/>
    <w:uiPriority w:val="9"/>
    <w:unhideWhenUsed/>
    <w:qFormat/>
    <w:rsid w:val="00E3215C"/>
    <w:pPr>
      <w:numPr>
        <w:ilvl w:val="1"/>
      </w:numPr>
      <w:tabs>
        <w:tab w:val="left" w:pos="851"/>
      </w:tabs>
      <w:ind w:left="0" w:hanging="578"/>
      <w:outlineLvl w:val="1"/>
    </w:pPr>
    <w:rPr>
      <w:rFonts w:ascii="FoundrySterling-Book" w:hAnsi="FoundrySterling-Book"/>
      <w:sz w:val="28"/>
      <w:szCs w:val="28"/>
    </w:rPr>
  </w:style>
  <w:style w:type="paragraph" w:styleId="Heading3">
    <w:name w:val="heading 3"/>
    <w:basedOn w:val="Normal"/>
    <w:next w:val="Normal"/>
    <w:link w:val="Heading3Char"/>
    <w:uiPriority w:val="9"/>
    <w:unhideWhenUsed/>
    <w:qFormat/>
    <w:rsid w:val="00E3215C"/>
    <w:pPr>
      <w:numPr>
        <w:ilvl w:val="2"/>
        <w:numId w:val="2"/>
      </w:numPr>
      <w:spacing w:before="240" w:after="0" w:line="240" w:lineRule="auto"/>
      <w:ind w:left="0"/>
      <w:jc w:val="left"/>
      <w:outlineLvl w:val="2"/>
    </w:pPr>
    <w:rPr>
      <w:rFonts w:ascii="FoundrySterling-Bold" w:hAnsi="FoundrySterling-Bold"/>
      <w:sz w:val="24"/>
      <w:lang w:val="en-GB"/>
    </w:rPr>
  </w:style>
  <w:style w:type="paragraph" w:styleId="Heading4">
    <w:name w:val="heading 4"/>
    <w:basedOn w:val="Normal"/>
    <w:next w:val="Normal"/>
    <w:link w:val="Heading4Char"/>
    <w:uiPriority w:val="9"/>
    <w:semiHidden/>
    <w:qFormat/>
    <w:rsid w:val="00223E1A"/>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23E1A"/>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23E1A"/>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23E1A"/>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23E1A"/>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23E1A"/>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3215C"/>
    <w:rPr>
      <w:rFonts w:ascii="FoundrySterling-Bold" w:hAnsi="FoundrySterling-Bold"/>
      <w:color w:val="000000"/>
      <w:sz w:val="32"/>
      <w:szCs w:val="32"/>
      <w:lang w:eastAsia="en-US"/>
    </w:rPr>
  </w:style>
  <w:style w:type="character" w:customStyle="1" w:styleId="Heading2Char">
    <w:name w:val="Heading 2 Char"/>
    <w:link w:val="Heading2"/>
    <w:uiPriority w:val="9"/>
    <w:rsid w:val="00E3215C"/>
    <w:rPr>
      <w:rFonts w:ascii="FoundrySterling-Book" w:hAnsi="FoundrySterling-Book"/>
      <w:color w:val="000000"/>
      <w:sz w:val="28"/>
      <w:szCs w:val="28"/>
      <w:lang w:eastAsia="en-US"/>
    </w:rPr>
  </w:style>
  <w:style w:type="character" w:customStyle="1" w:styleId="Heading3Char">
    <w:name w:val="Heading 3 Char"/>
    <w:link w:val="Heading3"/>
    <w:uiPriority w:val="9"/>
    <w:rsid w:val="00E3215C"/>
    <w:rPr>
      <w:rFonts w:ascii="FoundrySterling-Bold" w:hAnsi="FoundrySterling-Bold"/>
      <w:color w:val="000000"/>
      <w:sz w:val="24"/>
      <w:szCs w:val="24"/>
      <w:lang w:eastAsia="en-US"/>
    </w:rPr>
  </w:style>
  <w:style w:type="character" w:customStyle="1" w:styleId="Heading4Char">
    <w:name w:val="Heading 4 Char"/>
    <w:basedOn w:val="DefaultParagraphFont"/>
    <w:link w:val="Heading4"/>
    <w:uiPriority w:val="9"/>
    <w:semiHidden/>
    <w:rsid w:val="00966AE4"/>
    <w:rPr>
      <w:rFonts w:asciiTheme="majorHAnsi" w:eastAsiaTheme="majorEastAsia" w:hAnsiTheme="majorHAnsi" w:cstheme="majorBidi"/>
      <w:b/>
      <w:bCs/>
      <w:i/>
      <w:iCs/>
      <w:color w:val="4F81BD" w:themeColor="accent1"/>
      <w:sz w:val="22"/>
      <w:szCs w:val="24"/>
      <w:lang w:val="en-US" w:eastAsia="en-US"/>
    </w:rPr>
  </w:style>
  <w:style w:type="character" w:customStyle="1" w:styleId="Heading5Char">
    <w:name w:val="Heading 5 Char"/>
    <w:basedOn w:val="DefaultParagraphFont"/>
    <w:link w:val="Heading5"/>
    <w:uiPriority w:val="9"/>
    <w:semiHidden/>
    <w:rsid w:val="00223E1A"/>
    <w:rPr>
      <w:rFonts w:asciiTheme="majorHAnsi" w:eastAsiaTheme="majorEastAsia" w:hAnsiTheme="majorHAnsi" w:cstheme="majorBidi"/>
      <w:color w:val="243F60" w:themeColor="accent1" w:themeShade="7F"/>
      <w:sz w:val="22"/>
      <w:szCs w:val="24"/>
      <w:lang w:val="en-US" w:eastAsia="en-US"/>
    </w:rPr>
  </w:style>
  <w:style w:type="character" w:customStyle="1" w:styleId="Heading6Char">
    <w:name w:val="Heading 6 Char"/>
    <w:basedOn w:val="DefaultParagraphFont"/>
    <w:link w:val="Heading6"/>
    <w:uiPriority w:val="9"/>
    <w:semiHidden/>
    <w:rsid w:val="00223E1A"/>
    <w:rPr>
      <w:rFonts w:asciiTheme="majorHAnsi" w:eastAsiaTheme="majorEastAsia" w:hAnsiTheme="majorHAnsi" w:cstheme="majorBidi"/>
      <w:i/>
      <w:iCs/>
      <w:color w:val="243F60" w:themeColor="accent1" w:themeShade="7F"/>
      <w:sz w:val="22"/>
      <w:szCs w:val="24"/>
      <w:lang w:val="en-US" w:eastAsia="en-US"/>
    </w:rPr>
  </w:style>
  <w:style w:type="character" w:customStyle="1" w:styleId="Heading7Char">
    <w:name w:val="Heading 7 Char"/>
    <w:basedOn w:val="DefaultParagraphFont"/>
    <w:link w:val="Heading7"/>
    <w:uiPriority w:val="9"/>
    <w:semiHidden/>
    <w:rsid w:val="00223E1A"/>
    <w:rPr>
      <w:rFonts w:asciiTheme="majorHAnsi" w:eastAsiaTheme="majorEastAsia" w:hAnsiTheme="majorHAnsi" w:cstheme="majorBidi"/>
      <w:i/>
      <w:iCs/>
      <w:color w:val="404040" w:themeColor="text1" w:themeTint="BF"/>
      <w:sz w:val="22"/>
      <w:szCs w:val="24"/>
      <w:lang w:val="en-US" w:eastAsia="en-US"/>
    </w:rPr>
  </w:style>
  <w:style w:type="character" w:customStyle="1" w:styleId="Heading8Char">
    <w:name w:val="Heading 8 Char"/>
    <w:basedOn w:val="DefaultParagraphFont"/>
    <w:link w:val="Heading8"/>
    <w:uiPriority w:val="9"/>
    <w:semiHidden/>
    <w:rsid w:val="00223E1A"/>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
    <w:semiHidden/>
    <w:rsid w:val="00223E1A"/>
    <w:rPr>
      <w:rFonts w:asciiTheme="majorHAnsi" w:eastAsiaTheme="majorEastAsia" w:hAnsiTheme="majorHAnsi" w:cstheme="majorBidi"/>
      <w:i/>
      <w:iCs/>
      <w:color w:val="404040" w:themeColor="text1" w:themeTint="BF"/>
      <w:lang w:val="en-US" w:eastAsia="en-US"/>
    </w:rPr>
  </w:style>
  <w:style w:type="paragraph" w:styleId="Header">
    <w:name w:val="header"/>
    <w:basedOn w:val="Normal"/>
    <w:link w:val="HeaderChar"/>
    <w:uiPriority w:val="99"/>
    <w:unhideWhenUsed/>
    <w:rsid w:val="00E864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644A"/>
    <w:rPr>
      <w:rFonts w:ascii="Times New Roman" w:hAnsi="Times New Roman"/>
      <w:color w:val="000000"/>
      <w:sz w:val="22"/>
      <w:szCs w:val="24"/>
      <w:lang w:val="en-US" w:eastAsia="en-US"/>
    </w:rPr>
  </w:style>
  <w:style w:type="paragraph" w:styleId="Footer">
    <w:name w:val="footer"/>
    <w:basedOn w:val="Normal"/>
    <w:link w:val="FooterChar"/>
    <w:uiPriority w:val="99"/>
    <w:unhideWhenUsed/>
    <w:rsid w:val="001025C8"/>
    <w:pPr>
      <w:tabs>
        <w:tab w:val="center" w:pos="4680"/>
        <w:tab w:val="right" w:pos="8931"/>
      </w:tabs>
    </w:pPr>
    <w:rPr>
      <w:rFonts w:ascii="FoundrySterling-Book" w:hAnsi="FoundrySterling-Book"/>
      <w:sz w:val="20"/>
      <w:szCs w:val="20"/>
    </w:rPr>
  </w:style>
  <w:style w:type="character" w:customStyle="1" w:styleId="FooterChar">
    <w:name w:val="Footer Char"/>
    <w:link w:val="Footer"/>
    <w:uiPriority w:val="99"/>
    <w:rsid w:val="001025C8"/>
    <w:rPr>
      <w:rFonts w:ascii="FoundrySterling-Book" w:hAnsi="FoundrySterling-Book"/>
      <w:color w:val="000000"/>
      <w:lang w:val="en-US" w:eastAsia="en-US"/>
    </w:rPr>
  </w:style>
  <w:style w:type="paragraph" w:styleId="Title">
    <w:name w:val="Title"/>
    <w:basedOn w:val="Normal"/>
    <w:next w:val="Normal"/>
    <w:link w:val="TitleChar"/>
    <w:uiPriority w:val="10"/>
    <w:qFormat/>
    <w:rsid w:val="00AA4401"/>
    <w:pPr>
      <w:jc w:val="center"/>
    </w:pPr>
    <w:rPr>
      <w:rFonts w:ascii="FoundrySterling-Bold" w:hAnsi="FoundrySterling-Bold"/>
      <w:b/>
      <w:sz w:val="72"/>
      <w:szCs w:val="72"/>
    </w:rPr>
  </w:style>
  <w:style w:type="character" w:customStyle="1" w:styleId="TitleChar">
    <w:name w:val="Title Char"/>
    <w:link w:val="Title"/>
    <w:uiPriority w:val="10"/>
    <w:rsid w:val="00AA4401"/>
    <w:rPr>
      <w:rFonts w:ascii="FoundrySterling-Bold" w:hAnsi="FoundrySterling-Bold"/>
      <w:b/>
      <w:color w:val="000000"/>
      <w:sz w:val="72"/>
      <w:szCs w:val="72"/>
      <w:lang w:val="en-US" w:eastAsia="en-US"/>
    </w:rPr>
  </w:style>
  <w:style w:type="paragraph" w:styleId="Subtitle">
    <w:name w:val="Subtitle"/>
    <w:basedOn w:val="Normal"/>
    <w:next w:val="Normal"/>
    <w:link w:val="SubtitleChar"/>
    <w:uiPriority w:val="11"/>
    <w:qFormat/>
    <w:rsid w:val="0021557C"/>
    <w:pPr>
      <w:spacing w:line="240" w:lineRule="auto"/>
      <w:jc w:val="center"/>
    </w:pPr>
    <w:rPr>
      <w:rFonts w:ascii="FoundrySterling-Book" w:hAnsi="FoundrySterling-Book"/>
      <w:sz w:val="56"/>
      <w:szCs w:val="56"/>
      <w:lang w:val="en-GB"/>
    </w:rPr>
  </w:style>
  <w:style w:type="character" w:customStyle="1" w:styleId="SubtitleChar">
    <w:name w:val="Subtitle Char"/>
    <w:link w:val="Subtitle"/>
    <w:uiPriority w:val="11"/>
    <w:rsid w:val="0021557C"/>
    <w:rPr>
      <w:rFonts w:ascii="FoundrySterling-Book" w:hAnsi="FoundrySterling-Book"/>
      <w:color w:val="000000"/>
      <w:sz w:val="56"/>
      <w:szCs w:val="56"/>
      <w:lang w:eastAsia="en-US"/>
    </w:rPr>
  </w:style>
  <w:style w:type="paragraph" w:styleId="TOCHeading">
    <w:name w:val="TOC Heading"/>
    <w:basedOn w:val="Normal"/>
    <w:next w:val="Normal"/>
    <w:uiPriority w:val="39"/>
    <w:unhideWhenUsed/>
    <w:qFormat/>
    <w:rsid w:val="00AA4401"/>
    <w:pPr>
      <w:spacing w:before="120" w:after="240"/>
    </w:pPr>
    <w:rPr>
      <w:rFonts w:ascii="FoundrySterling-Bold" w:hAnsi="FoundrySterling-Bold"/>
      <w:sz w:val="32"/>
      <w:szCs w:val="32"/>
    </w:rPr>
  </w:style>
  <w:style w:type="paragraph" w:customStyle="1" w:styleId="WPTitle">
    <w:name w:val="WP Title"/>
    <w:basedOn w:val="Title"/>
    <w:qFormat/>
    <w:rsid w:val="000577CC"/>
    <w:rPr>
      <w:b w:val="0"/>
    </w:rPr>
  </w:style>
  <w:style w:type="paragraph" w:customStyle="1" w:styleId="Titleinfo">
    <w:name w:val="Title info"/>
    <w:basedOn w:val="Normal"/>
    <w:qFormat/>
    <w:rsid w:val="00AA4401"/>
    <w:pPr>
      <w:jc w:val="center"/>
    </w:pPr>
    <w:rPr>
      <w:rFonts w:ascii="FoundrySterling-Book" w:hAnsi="FoundrySterling-Book"/>
      <w:sz w:val="32"/>
      <w:lang w:val="en-GB"/>
    </w:rPr>
  </w:style>
  <w:style w:type="paragraph" w:customStyle="1" w:styleId="Heading">
    <w:name w:val="Heading"/>
    <w:basedOn w:val="Normal"/>
    <w:qFormat/>
    <w:rsid w:val="008D65A1"/>
    <w:pPr>
      <w:widowControl w:val="0"/>
      <w:suppressAutoHyphens/>
      <w:autoSpaceDE/>
      <w:autoSpaceDN/>
      <w:adjustRightInd/>
      <w:spacing w:before="120" w:after="200"/>
      <w:jc w:val="left"/>
    </w:pPr>
    <w:rPr>
      <w:rFonts w:ascii="FoundrySterling-Bold" w:hAnsi="FoundrySterling-Bold"/>
      <w:color w:val="auto"/>
      <w:kern w:val="1"/>
      <w:sz w:val="32"/>
      <w:szCs w:val="32"/>
      <w:lang w:val="en-GB" w:eastAsia="fr-FR"/>
    </w:rPr>
  </w:style>
  <w:style w:type="paragraph" w:customStyle="1" w:styleId="BodyText1">
    <w:name w:val="Body Text1"/>
    <w:basedOn w:val="Normal"/>
    <w:qFormat/>
    <w:rsid w:val="00E3215C"/>
    <w:pPr>
      <w:spacing w:before="120"/>
      <w:ind w:firstLine="720"/>
    </w:pPr>
  </w:style>
  <w:style w:type="paragraph" w:styleId="Caption">
    <w:name w:val="caption"/>
    <w:basedOn w:val="Normal"/>
    <w:next w:val="Normal"/>
    <w:uiPriority w:val="35"/>
    <w:unhideWhenUsed/>
    <w:qFormat/>
    <w:rsid w:val="00E3215C"/>
    <w:pPr>
      <w:spacing w:before="200" w:line="240" w:lineRule="auto"/>
      <w:jc w:val="left"/>
    </w:pPr>
    <w:rPr>
      <w:b/>
    </w:rPr>
  </w:style>
  <w:style w:type="paragraph" w:styleId="TOC1">
    <w:name w:val="toc 1"/>
    <w:basedOn w:val="Normal"/>
    <w:next w:val="Normal"/>
    <w:autoRedefine/>
    <w:uiPriority w:val="39"/>
    <w:unhideWhenUsed/>
    <w:rsid w:val="008D65A1"/>
    <w:pPr>
      <w:spacing w:before="200" w:after="0"/>
      <w:ind w:left="567" w:hanging="567"/>
      <w:jc w:val="left"/>
    </w:pPr>
    <w:rPr>
      <w:rFonts w:ascii="FoundrySterling-Bold" w:hAnsi="FoundrySterling-Bold"/>
    </w:rPr>
  </w:style>
  <w:style w:type="paragraph" w:styleId="TOC2">
    <w:name w:val="toc 2"/>
    <w:basedOn w:val="Normal"/>
    <w:next w:val="Normal"/>
    <w:autoRedefine/>
    <w:uiPriority w:val="39"/>
    <w:unhideWhenUsed/>
    <w:rsid w:val="008D65A1"/>
    <w:pPr>
      <w:spacing w:after="0"/>
      <w:ind w:left="567" w:hanging="567"/>
      <w:jc w:val="left"/>
    </w:pPr>
    <w:rPr>
      <w:rFonts w:ascii="FoundrySterling-Book" w:hAnsi="FoundrySterling-Book"/>
    </w:rPr>
  </w:style>
  <w:style w:type="paragraph" w:styleId="TOC3">
    <w:name w:val="toc 3"/>
    <w:basedOn w:val="Normal"/>
    <w:next w:val="Normal"/>
    <w:autoRedefine/>
    <w:uiPriority w:val="39"/>
    <w:unhideWhenUsed/>
    <w:rsid w:val="00D80B39"/>
    <w:pPr>
      <w:tabs>
        <w:tab w:val="right" w:leader="dot" w:pos="9017"/>
      </w:tabs>
      <w:spacing w:before="200" w:after="0" w:line="240" w:lineRule="auto"/>
      <w:ind w:left="567"/>
    </w:pPr>
    <w:rPr>
      <w:rFonts w:ascii="FoundrySterling-Bold" w:hAnsi="FoundrySterling-Bold"/>
    </w:rPr>
  </w:style>
  <w:style w:type="character" w:styleId="Hyperlink">
    <w:name w:val="Hyperlink"/>
    <w:uiPriority w:val="99"/>
    <w:unhideWhenUsed/>
    <w:rsid w:val="006108F6"/>
    <w:rPr>
      <w:color w:val="0000FF"/>
      <w:u w:val="single"/>
    </w:rPr>
  </w:style>
  <w:style w:type="paragraph" w:styleId="BalloonText">
    <w:name w:val="Balloon Text"/>
    <w:basedOn w:val="Normal"/>
    <w:link w:val="BalloonTextChar"/>
    <w:uiPriority w:val="99"/>
    <w:semiHidden/>
    <w:unhideWhenUsed/>
    <w:rsid w:val="005934F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4F5"/>
    <w:rPr>
      <w:rFonts w:ascii="Tahoma" w:hAnsi="Tahoma" w:cs="Tahoma"/>
      <w:color w:val="000000"/>
      <w:sz w:val="16"/>
      <w:szCs w:val="16"/>
      <w:lang w:val="en-US" w:eastAsia="en-US"/>
    </w:rPr>
  </w:style>
  <w:style w:type="paragraph" w:styleId="FootnoteText">
    <w:name w:val="footnote text"/>
    <w:basedOn w:val="Normal"/>
    <w:link w:val="FootnoteTextChar"/>
    <w:uiPriority w:val="99"/>
    <w:rsid w:val="005934F5"/>
    <w:pPr>
      <w:autoSpaceDE/>
      <w:autoSpaceDN/>
      <w:adjustRightInd/>
      <w:spacing w:after="0"/>
    </w:pPr>
    <w:rPr>
      <w:rFonts w:eastAsia="Times New Roman"/>
      <w:color w:val="auto"/>
      <w:sz w:val="20"/>
      <w:szCs w:val="20"/>
      <w:lang w:eastAsia="ja-JP"/>
    </w:rPr>
  </w:style>
  <w:style w:type="character" w:customStyle="1" w:styleId="FootnoteTextChar">
    <w:name w:val="Footnote Text Char"/>
    <w:basedOn w:val="DefaultParagraphFont"/>
    <w:link w:val="FootnoteText"/>
    <w:uiPriority w:val="99"/>
    <w:rsid w:val="005934F5"/>
    <w:rPr>
      <w:rFonts w:ascii="Times New Roman" w:eastAsia="Times New Roman" w:hAnsi="Times New Roman"/>
      <w:lang w:val="en-US" w:eastAsia="ja-JP"/>
    </w:rPr>
  </w:style>
  <w:style w:type="paragraph" w:customStyle="1" w:styleId="Quote1">
    <w:name w:val="Quote1"/>
    <w:basedOn w:val="BlockQuote"/>
    <w:qFormat/>
    <w:rsid w:val="001025C8"/>
  </w:style>
  <w:style w:type="paragraph" w:customStyle="1" w:styleId="BlockQuote">
    <w:name w:val="Block Quote"/>
    <w:basedOn w:val="Normal"/>
    <w:uiPriority w:val="99"/>
    <w:rsid w:val="00CE062B"/>
    <w:pPr>
      <w:tabs>
        <w:tab w:val="left" w:pos="1080"/>
      </w:tabs>
      <w:spacing w:before="240" w:after="240" w:line="240" w:lineRule="auto"/>
      <w:ind w:left="1077" w:right="1021"/>
    </w:pPr>
    <w:rPr>
      <w:rFonts w:eastAsiaTheme="minorEastAsia"/>
      <w:color w:val="auto"/>
      <w:szCs w:val="22"/>
      <w:lang w:val="en-AU" w:eastAsia="en-GB"/>
    </w:rPr>
  </w:style>
  <w:style w:type="paragraph" w:styleId="ListParagraph">
    <w:name w:val="List Paragraph"/>
    <w:basedOn w:val="Normal"/>
    <w:uiPriority w:val="34"/>
    <w:qFormat/>
    <w:rsid w:val="00075686"/>
    <w:pPr>
      <w:autoSpaceDE/>
      <w:autoSpaceDN/>
      <w:adjustRightInd/>
      <w:spacing w:after="200"/>
      <w:ind w:left="720"/>
      <w:contextualSpacing/>
    </w:pPr>
    <w:rPr>
      <w:rFonts w:asciiTheme="minorHAnsi" w:eastAsiaTheme="minorEastAsia" w:hAnsiTheme="minorHAnsi" w:cstheme="minorBidi"/>
      <w:color w:val="auto"/>
      <w:szCs w:val="22"/>
      <w:lang w:val="en-GB" w:eastAsia="zh-CN"/>
    </w:rPr>
  </w:style>
  <w:style w:type="character" w:styleId="CommentReference">
    <w:name w:val="annotation reference"/>
    <w:basedOn w:val="DefaultParagraphFont"/>
    <w:uiPriority w:val="99"/>
    <w:semiHidden/>
    <w:unhideWhenUsed/>
    <w:rsid w:val="00075686"/>
    <w:rPr>
      <w:sz w:val="16"/>
      <w:szCs w:val="16"/>
    </w:rPr>
  </w:style>
  <w:style w:type="table" w:styleId="TableGrid">
    <w:name w:val="Table Grid"/>
    <w:basedOn w:val="TableNormal"/>
    <w:uiPriority w:val="59"/>
    <w:rsid w:val="00075686"/>
    <w:rPr>
      <w:rFonts w:asciiTheme="minorHAnsi" w:eastAsiaTheme="minorEastAsia" w:hAnsiTheme="minorHAnsi" w:cstheme="minorBid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E24EE"/>
    <w:pPr>
      <w:autoSpaceDE/>
      <w:autoSpaceDN/>
      <w:adjustRightInd/>
      <w:spacing w:before="100" w:beforeAutospacing="1" w:after="100" w:afterAutospacing="1"/>
    </w:pPr>
    <w:rPr>
      <w:rFonts w:eastAsia="Times New Roman"/>
      <w:color w:val="auto"/>
      <w:lang w:val="en-GB" w:eastAsia="zh-CN"/>
    </w:rPr>
  </w:style>
  <w:style w:type="paragraph" w:styleId="HTMLPreformatted">
    <w:name w:val="HTML Preformatted"/>
    <w:basedOn w:val="Normal"/>
    <w:link w:val="HTMLPreformattedChar"/>
    <w:uiPriority w:val="99"/>
    <w:semiHidden/>
    <w:unhideWhenUsed/>
    <w:rsid w:val="006E24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pPr>
    <w:rPr>
      <w:rFonts w:ascii="Courier New" w:eastAsia="Times New Roman" w:hAnsi="Courier New" w:cs="Courier New"/>
      <w:color w:val="auto"/>
      <w:sz w:val="20"/>
      <w:szCs w:val="20"/>
      <w:lang w:val="en-GB" w:eastAsia="zh-CN"/>
    </w:rPr>
  </w:style>
  <w:style w:type="character" w:customStyle="1" w:styleId="HTMLPreformattedChar">
    <w:name w:val="HTML Preformatted Char"/>
    <w:basedOn w:val="DefaultParagraphFont"/>
    <w:link w:val="HTMLPreformatted"/>
    <w:uiPriority w:val="99"/>
    <w:semiHidden/>
    <w:rsid w:val="006E24EE"/>
    <w:rPr>
      <w:rFonts w:ascii="Courier New" w:eastAsia="Times New Roman" w:hAnsi="Courier New" w:cs="Courier New"/>
      <w:lang w:eastAsia="zh-CN"/>
    </w:rPr>
  </w:style>
  <w:style w:type="paragraph" w:styleId="Date">
    <w:name w:val="Date"/>
    <w:basedOn w:val="Normal"/>
    <w:next w:val="Normal"/>
    <w:link w:val="DateChar"/>
    <w:uiPriority w:val="99"/>
    <w:semiHidden/>
    <w:unhideWhenUsed/>
    <w:rsid w:val="006E24EE"/>
    <w:pPr>
      <w:autoSpaceDE/>
      <w:autoSpaceDN/>
      <w:adjustRightInd/>
      <w:spacing w:after="200"/>
    </w:pPr>
    <w:rPr>
      <w:rFonts w:asciiTheme="minorHAnsi" w:eastAsiaTheme="minorEastAsia" w:hAnsiTheme="minorHAnsi" w:cstheme="minorBidi"/>
      <w:color w:val="auto"/>
      <w:szCs w:val="22"/>
      <w:lang w:val="en-GB" w:eastAsia="zh-CN"/>
    </w:rPr>
  </w:style>
  <w:style w:type="character" w:customStyle="1" w:styleId="DateChar">
    <w:name w:val="Date Char"/>
    <w:basedOn w:val="DefaultParagraphFont"/>
    <w:link w:val="Date"/>
    <w:uiPriority w:val="99"/>
    <w:semiHidden/>
    <w:rsid w:val="006E24EE"/>
    <w:rPr>
      <w:rFonts w:asciiTheme="minorHAnsi" w:eastAsiaTheme="minorEastAsia" w:hAnsiTheme="minorHAnsi" w:cstheme="minorBidi"/>
      <w:sz w:val="22"/>
      <w:szCs w:val="22"/>
      <w:lang w:eastAsia="zh-CN"/>
    </w:rPr>
  </w:style>
  <w:style w:type="character" w:styleId="Strong">
    <w:name w:val="Strong"/>
    <w:basedOn w:val="DefaultParagraphFont"/>
    <w:uiPriority w:val="22"/>
    <w:qFormat/>
    <w:rsid w:val="006E24EE"/>
    <w:rPr>
      <w:b/>
      <w:bCs/>
    </w:rPr>
  </w:style>
  <w:style w:type="paragraph" w:styleId="CommentText">
    <w:name w:val="annotation text"/>
    <w:basedOn w:val="Normal"/>
    <w:link w:val="CommentTextChar"/>
    <w:uiPriority w:val="99"/>
    <w:unhideWhenUsed/>
    <w:rsid w:val="006E24EE"/>
    <w:pPr>
      <w:autoSpaceDE/>
      <w:autoSpaceDN/>
      <w:adjustRightInd/>
      <w:spacing w:after="200"/>
    </w:pPr>
    <w:rPr>
      <w:rFonts w:asciiTheme="minorHAnsi" w:eastAsiaTheme="minorEastAsia" w:hAnsiTheme="minorHAnsi" w:cstheme="minorBidi"/>
      <w:color w:val="auto"/>
      <w:sz w:val="20"/>
      <w:szCs w:val="20"/>
      <w:lang w:val="en-GB" w:eastAsia="zh-CN"/>
    </w:rPr>
  </w:style>
  <w:style w:type="character" w:customStyle="1" w:styleId="CommentTextChar">
    <w:name w:val="Comment Text Char"/>
    <w:basedOn w:val="DefaultParagraphFont"/>
    <w:link w:val="CommentText"/>
    <w:uiPriority w:val="99"/>
    <w:rsid w:val="006E24EE"/>
    <w:rPr>
      <w:rFonts w:asciiTheme="minorHAnsi" w:eastAsiaTheme="minorEastAsia" w:hAnsiTheme="minorHAnsi" w:cstheme="minorBidi"/>
      <w:lang w:eastAsia="zh-CN"/>
    </w:rPr>
  </w:style>
  <w:style w:type="paragraph" w:styleId="CommentSubject">
    <w:name w:val="annotation subject"/>
    <w:basedOn w:val="CommentText"/>
    <w:next w:val="CommentText"/>
    <w:link w:val="CommentSubjectChar"/>
    <w:uiPriority w:val="99"/>
    <w:semiHidden/>
    <w:unhideWhenUsed/>
    <w:rsid w:val="006E24EE"/>
    <w:rPr>
      <w:b/>
      <w:bCs/>
    </w:rPr>
  </w:style>
  <w:style w:type="character" w:customStyle="1" w:styleId="CommentSubjectChar">
    <w:name w:val="Comment Subject Char"/>
    <w:basedOn w:val="CommentTextChar"/>
    <w:link w:val="CommentSubject"/>
    <w:uiPriority w:val="99"/>
    <w:semiHidden/>
    <w:rsid w:val="006E24EE"/>
    <w:rPr>
      <w:rFonts w:asciiTheme="minorHAnsi" w:eastAsiaTheme="minorEastAsia" w:hAnsiTheme="minorHAnsi" w:cstheme="minorBidi"/>
      <w:b/>
      <w:bCs/>
      <w:lang w:eastAsia="zh-CN"/>
    </w:rPr>
  </w:style>
  <w:style w:type="table" w:customStyle="1" w:styleId="LightShading1">
    <w:name w:val="Light Shading1"/>
    <w:basedOn w:val="TableNormal"/>
    <w:uiPriority w:val="60"/>
    <w:rsid w:val="006E24EE"/>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6E24EE"/>
    <w:rPr>
      <w:color w:val="808080"/>
    </w:rPr>
  </w:style>
  <w:style w:type="character" w:styleId="FollowedHyperlink">
    <w:name w:val="FollowedHyperlink"/>
    <w:basedOn w:val="DefaultParagraphFont"/>
    <w:uiPriority w:val="99"/>
    <w:semiHidden/>
    <w:unhideWhenUsed/>
    <w:rsid w:val="006E24EE"/>
    <w:rPr>
      <w:color w:val="800080" w:themeColor="followedHyperlink"/>
      <w:u w:val="single"/>
    </w:rPr>
  </w:style>
  <w:style w:type="table" w:customStyle="1" w:styleId="LightList-Accent11">
    <w:name w:val="Light List - Accent 11"/>
    <w:basedOn w:val="TableNormal"/>
    <w:uiPriority w:val="61"/>
    <w:rsid w:val="006E24EE"/>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6E24EE"/>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6E24EE"/>
    <w:rPr>
      <w:rFonts w:asciiTheme="minorHAnsi" w:eastAsiaTheme="minorEastAsia" w:hAnsiTheme="minorHAnsi" w:cstheme="minorBidi"/>
      <w:color w:val="000000" w:themeColor="text1" w:themeShade="BF"/>
      <w:sz w:val="22"/>
      <w:szCs w:val="22"/>
      <w:lang w:eastAsia="zh-C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eofFigures">
    <w:name w:val="table of figures"/>
    <w:basedOn w:val="Normal"/>
    <w:next w:val="Normal"/>
    <w:uiPriority w:val="99"/>
    <w:unhideWhenUsed/>
    <w:rsid w:val="006E24EE"/>
    <w:pPr>
      <w:autoSpaceDE/>
      <w:autoSpaceDN/>
      <w:adjustRightInd/>
      <w:spacing w:after="0"/>
    </w:pPr>
    <w:rPr>
      <w:rFonts w:asciiTheme="minorHAnsi" w:eastAsiaTheme="minorEastAsia" w:hAnsiTheme="minorHAnsi" w:cstheme="minorBidi"/>
      <w:color w:val="auto"/>
      <w:szCs w:val="22"/>
      <w:lang w:val="en-GB" w:eastAsia="zh-CN"/>
    </w:rPr>
  </w:style>
  <w:style w:type="paragraph" w:customStyle="1" w:styleId="Default">
    <w:name w:val="Default"/>
    <w:rsid w:val="006E24EE"/>
    <w:pPr>
      <w:autoSpaceDE w:val="0"/>
      <w:autoSpaceDN w:val="0"/>
      <w:adjustRightInd w:val="0"/>
    </w:pPr>
    <w:rPr>
      <w:rFonts w:ascii="Times New Roman" w:hAnsi="Times New Roman"/>
      <w:color w:val="000000"/>
      <w:sz w:val="24"/>
      <w:szCs w:val="24"/>
      <w:lang w:val="en-US" w:eastAsia="en-US"/>
    </w:rPr>
  </w:style>
  <w:style w:type="paragraph" w:customStyle="1" w:styleId="Source">
    <w:name w:val="Source"/>
    <w:basedOn w:val="Normal"/>
    <w:qFormat/>
    <w:rsid w:val="006B7A3F"/>
    <w:pPr>
      <w:spacing w:before="60"/>
    </w:pPr>
    <w:rPr>
      <w:rFonts w:asciiTheme="minorHAnsi" w:hAnsiTheme="minorHAnsi"/>
      <w:sz w:val="18"/>
      <w:szCs w:val="20"/>
      <w:lang w:val="en-GB"/>
    </w:rPr>
  </w:style>
  <w:style w:type="character" w:customStyle="1" w:styleId="NoteReference">
    <w:name w:val="Note Reference"/>
    <w:uiPriority w:val="99"/>
    <w:rsid w:val="00DE13BA"/>
    <w:rPr>
      <w:rFonts w:cstheme="minorBidi"/>
      <w:sz w:val="18"/>
      <w:szCs w:val="18"/>
    </w:rPr>
  </w:style>
  <w:style w:type="paragraph" w:customStyle="1" w:styleId="References">
    <w:name w:val="References"/>
    <w:basedOn w:val="Normal"/>
    <w:uiPriority w:val="99"/>
    <w:rsid w:val="00FC7490"/>
    <w:pPr>
      <w:spacing w:line="240" w:lineRule="auto"/>
      <w:ind w:left="170" w:hanging="170"/>
    </w:pPr>
    <w:rPr>
      <w:rFonts w:eastAsiaTheme="minorEastAsia" w:cs="Palatino-Roman"/>
      <w:color w:val="auto"/>
      <w:szCs w:val="22"/>
      <w:lang w:val="en-AU" w:eastAsia="en-GB"/>
    </w:rPr>
  </w:style>
  <w:style w:type="paragraph" w:customStyle="1" w:styleId="EndNoteBibliographyTitle">
    <w:name w:val="EndNote Bibliography Title"/>
    <w:basedOn w:val="Normal"/>
    <w:rsid w:val="0085295C"/>
    <w:pPr>
      <w:autoSpaceDE/>
      <w:autoSpaceDN/>
      <w:adjustRightInd/>
      <w:spacing w:after="0" w:line="240" w:lineRule="auto"/>
      <w:jc w:val="center"/>
    </w:pPr>
    <w:rPr>
      <w:rFonts w:ascii="Cambria" w:eastAsiaTheme="minorEastAsia" w:hAnsi="Cambria" w:cstheme="minorBidi"/>
      <w:color w:val="auto"/>
      <w:sz w:val="24"/>
    </w:rPr>
  </w:style>
  <w:style w:type="paragraph" w:customStyle="1" w:styleId="EndNoteBibliography">
    <w:name w:val="EndNote Bibliography"/>
    <w:basedOn w:val="Normal"/>
    <w:rsid w:val="0085295C"/>
    <w:pPr>
      <w:autoSpaceDE/>
      <w:autoSpaceDN/>
      <w:adjustRightInd/>
      <w:spacing w:after="0" w:line="240" w:lineRule="auto"/>
      <w:jc w:val="left"/>
    </w:pPr>
    <w:rPr>
      <w:rFonts w:ascii="Cambria" w:eastAsiaTheme="minorEastAsia" w:hAnsi="Cambria" w:cstheme="minorBidi"/>
      <w:color w:val="auto"/>
      <w:sz w:val="24"/>
    </w:rPr>
  </w:style>
  <w:style w:type="character" w:styleId="FootnoteReference">
    <w:name w:val="footnote reference"/>
    <w:basedOn w:val="DefaultParagraphFont"/>
    <w:uiPriority w:val="99"/>
    <w:unhideWhenUsed/>
    <w:rsid w:val="0085295C"/>
    <w:rPr>
      <w:vertAlign w:val="superscript"/>
    </w:rPr>
  </w:style>
  <w:style w:type="character" w:styleId="PageNumber">
    <w:name w:val="page number"/>
    <w:basedOn w:val="DefaultParagraphFont"/>
    <w:uiPriority w:val="99"/>
    <w:semiHidden/>
    <w:unhideWhenUsed/>
    <w:rsid w:val="0085295C"/>
  </w:style>
  <w:style w:type="table" w:customStyle="1" w:styleId="TableGridLight1">
    <w:name w:val="Table Grid Light1"/>
    <w:basedOn w:val="TableNormal"/>
    <w:uiPriority w:val="40"/>
    <w:rsid w:val="0085295C"/>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NoSpacing">
    <w:name w:val="No Spacing"/>
    <w:uiPriority w:val="1"/>
    <w:qFormat/>
    <w:rsid w:val="0085295C"/>
    <w:rPr>
      <w:rFonts w:asciiTheme="minorHAnsi" w:eastAsiaTheme="minorHAnsi" w:hAnsiTheme="minorHAnsi" w:cstheme="minorBidi"/>
      <w:sz w:val="22"/>
      <w:szCs w:val="22"/>
      <w:lang w:eastAsia="en-US"/>
    </w:rPr>
  </w:style>
  <w:style w:type="character" w:customStyle="1" w:styleId="article-headermeta-info-data">
    <w:name w:val="article-header__meta-info-data"/>
    <w:basedOn w:val="DefaultParagraphFont"/>
    <w:rsid w:val="002D3F61"/>
  </w:style>
  <w:style w:type="paragraph" w:styleId="Revision">
    <w:name w:val="Revision"/>
    <w:hidden/>
    <w:uiPriority w:val="99"/>
    <w:semiHidden/>
    <w:rsid w:val="008F26E8"/>
    <w:rPr>
      <w:rFonts w:ascii="Times New Roman" w:hAnsi="Times New Roman"/>
      <w:color w:val="000000"/>
      <w:sz w:val="22"/>
      <w:szCs w:val="24"/>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5A1"/>
    <w:pPr>
      <w:autoSpaceDE w:val="0"/>
      <w:autoSpaceDN w:val="0"/>
      <w:adjustRightInd w:val="0"/>
      <w:spacing w:after="120" w:line="276" w:lineRule="auto"/>
      <w:jc w:val="both"/>
    </w:pPr>
    <w:rPr>
      <w:rFonts w:ascii="Times New Roman" w:hAnsi="Times New Roman"/>
      <w:color w:val="000000"/>
      <w:sz w:val="22"/>
      <w:szCs w:val="24"/>
      <w:lang w:val="en-US" w:eastAsia="en-US"/>
    </w:rPr>
  </w:style>
  <w:style w:type="paragraph" w:styleId="Heading1">
    <w:name w:val="heading 1"/>
    <w:basedOn w:val="Normal"/>
    <w:next w:val="Normal"/>
    <w:link w:val="Heading1Char"/>
    <w:uiPriority w:val="9"/>
    <w:qFormat/>
    <w:rsid w:val="00E3215C"/>
    <w:pPr>
      <w:numPr>
        <w:numId w:val="2"/>
      </w:numPr>
      <w:spacing w:before="240" w:line="240" w:lineRule="auto"/>
      <w:ind w:left="0" w:hanging="431"/>
      <w:jc w:val="left"/>
      <w:outlineLvl w:val="0"/>
    </w:pPr>
    <w:rPr>
      <w:rFonts w:ascii="FoundrySterling-Bold" w:hAnsi="FoundrySterling-Bold"/>
      <w:sz w:val="32"/>
      <w:szCs w:val="32"/>
      <w:lang w:val="en-GB"/>
    </w:rPr>
  </w:style>
  <w:style w:type="paragraph" w:styleId="Heading2">
    <w:name w:val="heading 2"/>
    <w:basedOn w:val="Heading1"/>
    <w:next w:val="Normal"/>
    <w:link w:val="Heading2Char"/>
    <w:uiPriority w:val="9"/>
    <w:unhideWhenUsed/>
    <w:qFormat/>
    <w:rsid w:val="00E3215C"/>
    <w:pPr>
      <w:numPr>
        <w:ilvl w:val="1"/>
      </w:numPr>
      <w:tabs>
        <w:tab w:val="left" w:pos="851"/>
      </w:tabs>
      <w:ind w:left="0" w:hanging="578"/>
      <w:outlineLvl w:val="1"/>
    </w:pPr>
    <w:rPr>
      <w:rFonts w:ascii="FoundrySterling-Book" w:hAnsi="FoundrySterling-Book"/>
      <w:sz w:val="28"/>
      <w:szCs w:val="28"/>
    </w:rPr>
  </w:style>
  <w:style w:type="paragraph" w:styleId="Heading3">
    <w:name w:val="heading 3"/>
    <w:basedOn w:val="Normal"/>
    <w:next w:val="Normal"/>
    <w:link w:val="Heading3Char"/>
    <w:uiPriority w:val="9"/>
    <w:unhideWhenUsed/>
    <w:qFormat/>
    <w:rsid w:val="00E3215C"/>
    <w:pPr>
      <w:numPr>
        <w:ilvl w:val="2"/>
        <w:numId w:val="2"/>
      </w:numPr>
      <w:spacing w:before="240" w:after="0" w:line="240" w:lineRule="auto"/>
      <w:ind w:left="0"/>
      <w:jc w:val="left"/>
      <w:outlineLvl w:val="2"/>
    </w:pPr>
    <w:rPr>
      <w:rFonts w:ascii="FoundrySterling-Bold" w:hAnsi="FoundrySterling-Bold"/>
      <w:sz w:val="24"/>
      <w:lang w:val="en-GB"/>
    </w:rPr>
  </w:style>
  <w:style w:type="paragraph" w:styleId="Heading4">
    <w:name w:val="heading 4"/>
    <w:basedOn w:val="Normal"/>
    <w:next w:val="Normal"/>
    <w:link w:val="Heading4Char"/>
    <w:uiPriority w:val="9"/>
    <w:semiHidden/>
    <w:qFormat/>
    <w:rsid w:val="00223E1A"/>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23E1A"/>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23E1A"/>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23E1A"/>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23E1A"/>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23E1A"/>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3215C"/>
    <w:rPr>
      <w:rFonts w:ascii="FoundrySterling-Bold" w:hAnsi="FoundrySterling-Bold"/>
      <w:color w:val="000000"/>
      <w:sz w:val="32"/>
      <w:szCs w:val="32"/>
      <w:lang w:eastAsia="en-US"/>
    </w:rPr>
  </w:style>
  <w:style w:type="character" w:customStyle="1" w:styleId="Heading2Char">
    <w:name w:val="Heading 2 Char"/>
    <w:link w:val="Heading2"/>
    <w:uiPriority w:val="9"/>
    <w:rsid w:val="00E3215C"/>
    <w:rPr>
      <w:rFonts w:ascii="FoundrySterling-Book" w:hAnsi="FoundrySterling-Book"/>
      <w:color w:val="000000"/>
      <w:sz w:val="28"/>
      <w:szCs w:val="28"/>
      <w:lang w:eastAsia="en-US"/>
    </w:rPr>
  </w:style>
  <w:style w:type="character" w:customStyle="1" w:styleId="Heading3Char">
    <w:name w:val="Heading 3 Char"/>
    <w:link w:val="Heading3"/>
    <w:uiPriority w:val="9"/>
    <w:rsid w:val="00E3215C"/>
    <w:rPr>
      <w:rFonts w:ascii="FoundrySterling-Bold" w:hAnsi="FoundrySterling-Bold"/>
      <w:color w:val="000000"/>
      <w:sz w:val="24"/>
      <w:szCs w:val="24"/>
      <w:lang w:eastAsia="en-US"/>
    </w:rPr>
  </w:style>
  <w:style w:type="character" w:customStyle="1" w:styleId="Heading4Char">
    <w:name w:val="Heading 4 Char"/>
    <w:basedOn w:val="DefaultParagraphFont"/>
    <w:link w:val="Heading4"/>
    <w:uiPriority w:val="9"/>
    <w:semiHidden/>
    <w:rsid w:val="00966AE4"/>
    <w:rPr>
      <w:rFonts w:asciiTheme="majorHAnsi" w:eastAsiaTheme="majorEastAsia" w:hAnsiTheme="majorHAnsi" w:cstheme="majorBidi"/>
      <w:b/>
      <w:bCs/>
      <w:i/>
      <w:iCs/>
      <w:color w:val="4F81BD" w:themeColor="accent1"/>
      <w:sz w:val="22"/>
      <w:szCs w:val="24"/>
      <w:lang w:val="en-US" w:eastAsia="en-US"/>
    </w:rPr>
  </w:style>
  <w:style w:type="character" w:customStyle="1" w:styleId="Heading5Char">
    <w:name w:val="Heading 5 Char"/>
    <w:basedOn w:val="DefaultParagraphFont"/>
    <w:link w:val="Heading5"/>
    <w:uiPriority w:val="9"/>
    <w:semiHidden/>
    <w:rsid w:val="00223E1A"/>
    <w:rPr>
      <w:rFonts w:asciiTheme="majorHAnsi" w:eastAsiaTheme="majorEastAsia" w:hAnsiTheme="majorHAnsi" w:cstheme="majorBidi"/>
      <w:color w:val="243F60" w:themeColor="accent1" w:themeShade="7F"/>
      <w:sz w:val="22"/>
      <w:szCs w:val="24"/>
      <w:lang w:val="en-US" w:eastAsia="en-US"/>
    </w:rPr>
  </w:style>
  <w:style w:type="character" w:customStyle="1" w:styleId="Heading6Char">
    <w:name w:val="Heading 6 Char"/>
    <w:basedOn w:val="DefaultParagraphFont"/>
    <w:link w:val="Heading6"/>
    <w:uiPriority w:val="9"/>
    <w:semiHidden/>
    <w:rsid w:val="00223E1A"/>
    <w:rPr>
      <w:rFonts w:asciiTheme="majorHAnsi" w:eastAsiaTheme="majorEastAsia" w:hAnsiTheme="majorHAnsi" w:cstheme="majorBidi"/>
      <w:i/>
      <w:iCs/>
      <w:color w:val="243F60" w:themeColor="accent1" w:themeShade="7F"/>
      <w:sz w:val="22"/>
      <w:szCs w:val="24"/>
      <w:lang w:val="en-US" w:eastAsia="en-US"/>
    </w:rPr>
  </w:style>
  <w:style w:type="character" w:customStyle="1" w:styleId="Heading7Char">
    <w:name w:val="Heading 7 Char"/>
    <w:basedOn w:val="DefaultParagraphFont"/>
    <w:link w:val="Heading7"/>
    <w:uiPriority w:val="9"/>
    <w:semiHidden/>
    <w:rsid w:val="00223E1A"/>
    <w:rPr>
      <w:rFonts w:asciiTheme="majorHAnsi" w:eastAsiaTheme="majorEastAsia" w:hAnsiTheme="majorHAnsi" w:cstheme="majorBidi"/>
      <w:i/>
      <w:iCs/>
      <w:color w:val="404040" w:themeColor="text1" w:themeTint="BF"/>
      <w:sz w:val="22"/>
      <w:szCs w:val="24"/>
      <w:lang w:val="en-US" w:eastAsia="en-US"/>
    </w:rPr>
  </w:style>
  <w:style w:type="character" w:customStyle="1" w:styleId="Heading8Char">
    <w:name w:val="Heading 8 Char"/>
    <w:basedOn w:val="DefaultParagraphFont"/>
    <w:link w:val="Heading8"/>
    <w:uiPriority w:val="9"/>
    <w:semiHidden/>
    <w:rsid w:val="00223E1A"/>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
    <w:semiHidden/>
    <w:rsid w:val="00223E1A"/>
    <w:rPr>
      <w:rFonts w:asciiTheme="majorHAnsi" w:eastAsiaTheme="majorEastAsia" w:hAnsiTheme="majorHAnsi" w:cstheme="majorBidi"/>
      <w:i/>
      <w:iCs/>
      <w:color w:val="404040" w:themeColor="text1" w:themeTint="BF"/>
      <w:lang w:val="en-US" w:eastAsia="en-US"/>
    </w:rPr>
  </w:style>
  <w:style w:type="paragraph" w:styleId="Header">
    <w:name w:val="header"/>
    <w:basedOn w:val="Normal"/>
    <w:link w:val="HeaderChar"/>
    <w:uiPriority w:val="99"/>
    <w:unhideWhenUsed/>
    <w:rsid w:val="00E864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644A"/>
    <w:rPr>
      <w:rFonts w:ascii="Times New Roman" w:hAnsi="Times New Roman"/>
      <w:color w:val="000000"/>
      <w:sz w:val="22"/>
      <w:szCs w:val="24"/>
      <w:lang w:val="en-US" w:eastAsia="en-US"/>
    </w:rPr>
  </w:style>
  <w:style w:type="paragraph" w:styleId="Footer">
    <w:name w:val="footer"/>
    <w:basedOn w:val="Normal"/>
    <w:link w:val="FooterChar"/>
    <w:uiPriority w:val="99"/>
    <w:unhideWhenUsed/>
    <w:rsid w:val="001025C8"/>
    <w:pPr>
      <w:tabs>
        <w:tab w:val="center" w:pos="4680"/>
        <w:tab w:val="right" w:pos="8931"/>
      </w:tabs>
    </w:pPr>
    <w:rPr>
      <w:rFonts w:ascii="FoundrySterling-Book" w:hAnsi="FoundrySterling-Book"/>
      <w:sz w:val="20"/>
      <w:szCs w:val="20"/>
    </w:rPr>
  </w:style>
  <w:style w:type="character" w:customStyle="1" w:styleId="FooterChar">
    <w:name w:val="Footer Char"/>
    <w:link w:val="Footer"/>
    <w:uiPriority w:val="99"/>
    <w:rsid w:val="001025C8"/>
    <w:rPr>
      <w:rFonts w:ascii="FoundrySterling-Book" w:hAnsi="FoundrySterling-Book"/>
      <w:color w:val="000000"/>
      <w:lang w:val="en-US" w:eastAsia="en-US"/>
    </w:rPr>
  </w:style>
  <w:style w:type="paragraph" w:styleId="Title">
    <w:name w:val="Title"/>
    <w:basedOn w:val="Normal"/>
    <w:next w:val="Normal"/>
    <w:link w:val="TitleChar"/>
    <w:uiPriority w:val="10"/>
    <w:qFormat/>
    <w:rsid w:val="00AA4401"/>
    <w:pPr>
      <w:jc w:val="center"/>
    </w:pPr>
    <w:rPr>
      <w:rFonts w:ascii="FoundrySterling-Bold" w:hAnsi="FoundrySterling-Bold"/>
      <w:b/>
      <w:sz w:val="72"/>
      <w:szCs w:val="72"/>
    </w:rPr>
  </w:style>
  <w:style w:type="character" w:customStyle="1" w:styleId="TitleChar">
    <w:name w:val="Title Char"/>
    <w:link w:val="Title"/>
    <w:uiPriority w:val="10"/>
    <w:rsid w:val="00AA4401"/>
    <w:rPr>
      <w:rFonts w:ascii="FoundrySterling-Bold" w:hAnsi="FoundrySterling-Bold"/>
      <w:b/>
      <w:color w:val="000000"/>
      <w:sz w:val="72"/>
      <w:szCs w:val="72"/>
      <w:lang w:val="en-US" w:eastAsia="en-US"/>
    </w:rPr>
  </w:style>
  <w:style w:type="paragraph" w:styleId="Subtitle">
    <w:name w:val="Subtitle"/>
    <w:basedOn w:val="Normal"/>
    <w:next w:val="Normal"/>
    <w:link w:val="SubtitleChar"/>
    <w:uiPriority w:val="11"/>
    <w:qFormat/>
    <w:rsid w:val="0021557C"/>
    <w:pPr>
      <w:spacing w:line="240" w:lineRule="auto"/>
      <w:jc w:val="center"/>
    </w:pPr>
    <w:rPr>
      <w:rFonts w:ascii="FoundrySterling-Book" w:hAnsi="FoundrySterling-Book"/>
      <w:sz w:val="56"/>
      <w:szCs w:val="56"/>
      <w:lang w:val="en-GB"/>
    </w:rPr>
  </w:style>
  <w:style w:type="character" w:customStyle="1" w:styleId="SubtitleChar">
    <w:name w:val="Subtitle Char"/>
    <w:link w:val="Subtitle"/>
    <w:uiPriority w:val="11"/>
    <w:rsid w:val="0021557C"/>
    <w:rPr>
      <w:rFonts w:ascii="FoundrySterling-Book" w:hAnsi="FoundrySterling-Book"/>
      <w:color w:val="000000"/>
      <w:sz w:val="56"/>
      <w:szCs w:val="56"/>
      <w:lang w:eastAsia="en-US"/>
    </w:rPr>
  </w:style>
  <w:style w:type="paragraph" w:styleId="TOCHeading">
    <w:name w:val="TOC Heading"/>
    <w:basedOn w:val="Normal"/>
    <w:next w:val="Normal"/>
    <w:uiPriority w:val="39"/>
    <w:unhideWhenUsed/>
    <w:qFormat/>
    <w:rsid w:val="00AA4401"/>
    <w:pPr>
      <w:spacing w:before="120" w:after="240"/>
    </w:pPr>
    <w:rPr>
      <w:rFonts w:ascii="FoundrySterling-Bold" w:hAnsi="FoundrySterling-Bold"/>
      <w:sz w:val="32"/>
      <w:szCs w:val="32"/>
    </w:rPr>
  </w:style>
  <w:style w:type="paragraph" w:customStyle="1" w:styleId="WPTitle">
    <w:name w:val="WP Title"/>
    <w:basedOn w:val="Title"/>
    <w:qFormat/>
    <w:rsid w:val="000577CC"/>
    <w:rPr>
      <w:b w:val="0"/>
    </w:rPr>
  </w:style>
  <w:style w:type="paragraph" w:customStyle="1" w:styleId="Titleinfo">
    <w:name w:val="Title info"/>
    <w:basedOn w:val="Normal"/>
    <w:qFormat/>
    <w:rsid w:val="00AA4401"/>
    <w:pPr>
      <w:jc w:val="center"/>
    </w:pPr>
    <w:rPr>
      <w:rFonts w:ascii="FoundrySterling-Book" w:hAnsi="FoundrySterling-Book"/>
      <w:sz w:val="32"/>
      <w:lang w:val="en-GB"/>
    </w:rPr>
  </w:style>
  <w:style w:type="paragraph" w:customStyle="1" w:styleId="Heading">
    <w:name w:val="Heading"/>
    <w:basedOn w:val="Normal"/>
    <w:qFormat/>
    <w:rsid w:val="008D65A1"/>
    <w:pPr>
      <w:widowControl w:val="0"/>
      <w:suppressAutoHyphens/>
      <w:autoSpaceDE/>
      <w:autoSpaceDN/>
      <w:adjustRightInd/>
      <w:spacing w:before="120" w:after="200"/>
      <w:jc w:val="left"/>
    </w:pPr>
    <w:rPr>
      <w:rFonts w:ascii="FoundrySterling-Bold" w:hAnsi="FoundrySterling-Bold"/>
      <w:color w:val="auto"/>
      <w:kern w:val="1"/>
      <w:sz w:val="32"/>
      <w:szCs w:val="32"/>
      <w:lang w:val="en-GB" w:eastAsia="fr-FR"/>
    </w:rPr>
  </w:style>
  <w:style w:type="paragraph" w:customStyle="1" w:styleId="BodyText1">
    <w:name w:val="Body Text1"/>
    <w:basedOn w:val="Normal"/>
    <w:qFormat/>
    <w:rsid w:val="00E3215C"/>
    <w:pPr>
      <w:spacing w:before="120"/>
      <w:ind w:firstLine="720"/>
    </w:pPr>
  </w:style>
  <w:style w:type="paragraph" w:styleId="Caption">
    <w:name w:val="caption"/>
    <w:basedOn w:val="Normal"/>
    <w:next w:val="Normal"/>
    <w:uiPriority w:val="35"/>
    <w:unhideWhenUsed/>
    <w:qFormat/>
    <w:rsid w:val="00E3215C"/>
    <w:pPr>
      <w:spacing w:before="200" w:line="240" w:lineRule="auto"/>
      <w:jc w:val="left"/>
    </w:pPr>
    <w:rPr>
      <w:b/>
    </w:rPr>
  </w:style>
  <w:style w:type="paragraph" w:styleId="TOC1">
    <w:name w:val="toc 1"/>
    <w:basedOn w:val="Normal"/>
    <w:next w:val="Normal"/>
    <w:autoRedefine/>
    <w:uiPriority w:val="39"/>
    <w:unhideWhenUsed/>
    <w:rsid w:val="008D65A1"/>
    <w:pPr>
      <w:spacing w:before="200" w:after="0"/>
      <w:ind w:left="567" w:hanging="567"/>
      <w:jc w:val="left"/>
    </w:pPr>
    <w:rPr>
      <w:rFonts w:ascii="FoundrySterling-Bold" w:hAnsi="FoundrySterling-Bold"/>
    </w:rPr>
  </w:style>
  <w:style w:type="paragraph" w:styleId="TOC2">
    <w:name w:val="toc 2"/>
    <w:basedOn w:val="Normal"/>
    <w:next w:val="Normal"/>
    <w:autoRedefine/>
    <w:uiPriority w:val="39"/>
    <w:unhideWhenUsed/>
    <w:rsid w:val="008D65A1"/>
    <w:pPr>
      <w:spacing w:after="0"/>
      <w:ind w:left="567" w:hanging="567"/>
      <w:jc w:val="left"/>
    </w:pPr>
    <w:rPr>
      <w:rFonts w:ascii="FoundrySterling-Book" w:hAnsi="FoundrySterling-Book"/>
    </w:rPr>
  </w:style>
  <w:style w:type="paragraph" w:styleId="TOC3">
    <w:name w:val="toc 3"/>
    <w:basedOn w:val="Normal"/>
    <w:next w:val="Normal"/>
    <w:autoRedefine/>
    <w:uiPriority w:val="39"/>
    <w:unhideWhenUsed/>
    <w:rsid w:val="00D80B39"/>
    <w:pPr>
      <w:tabs>
        <w:tab w:val="right" w:leader="dot" w:pos="9017"/>
      </w:tabs>
      <w:spacing w:before="200" w:after="0" w:line="240" w:lineRule="auto"/>
      <w:ind w:left="567"/>
    </w:pPr>
    <w:rPr>
      <w:rFonts w:ascii="FoundrySterling-Bold" w:hAnsi="FoundrySterling-Bold"/>
    </w:rPr>
  </w:style>
  <w:style w:type="character" w:styleId="Hyperlink">
    <w:name w:val="Hyperlink"/>
    <w:uiPriority w:val="99"/>
    <w:unhideWhenUsed/>
    <w:rsid w:val="006108F6"/>
    <w:rPr>
      <w:color w:val="0000FF"/>
      <w:u w:val="single"/>
    </w:rPr>
  </w:style>
  <w:style w:type="paragraph" w:styleId="BalloonText">
    <w:name w:val="Balloon Text"/>
    <w:basedOn w:val="Normal"/>
    <w:link w:val="BalloonTextChar"/>
    <w:uiPriority w:val="99"/>
    <w:semiHidden/>
    <w:unhideWhenUsed/>
    <w:rsid w:val="005934F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4F5"/>
    <w:rPr>
      <w:rFonts w:ascii="Tahoma" w:hAnsi="Tahoma" w:cs="Tahoma"/>
      <w:color w:val="000000"/>
      <w:sz w:val="16"/>
      <w:szCs w:val="16"/>
      <w:lang w:val="en-US" w:eastAsia="en-US"/>
    </w:rPr>
  </w:style>
  <w:style w:type="paragraph" w:styleId="FootnoteText">
    <w:name w:val="footnote text"/>
    <w:basedOn w:val="Normal"/>
    <w:link w:val="FootnoteTextChar"/>
    <w:uiPriority w:val="99"/>
    <w:rsid w:val="005934F5"/>
    <w:pPr>
      <w:autoSpaceDE/>
      <w:autoSpaceDN/>
      <w:adjustRightInd/>
      <w:spacing w:after="0"/>
    </w:pPr>
    <w:rPr>
      <w:rFonts w:eastAsia="Times New Roman"/>
      <w:color w:val="auto"/>
      <w:sz w:val="20"/>
      <w:szCs w:val="20"/>
      <w:lang w:eastAsia="ja-JP"/>
    </w:rPr>
  </w:style>
  <w:style w:type="character" w:customStyle="1" w:styleId="FootnoteTextChar">
    <w:name w:val="Footnote Text Char"/>
    <w:basedOn w:val="DefaultParagraphFont"/>
    <w:link w:val="FootnoteText"/>
    <w:uiPriority w:val="99"/>
    <w:rsid w:val="005934F5"/>
    <w:rPr>
      <w:rFonts w:ascii="Times New Roman" w:eastAsia="Times New Roman" w:hAnsi="Times New Roman"/>
      <w:lang w:val="en-US" w:eastAsia="ja-JP"/>
    </w:rPr>
  </w:style>
  <w:style w:type="paragraph" w:customStyle="1" w:styleId="Quote1">
    <w:name w:val="Quote1"/>
    <w:basedOn w:val="BlockQuote"/>
    <w:qFormat/>
    <w:rsid w:val="001025C8"/>
  </w:style>
  <w:style w:type="paragraph" w:customStyle="1" w:styleId="BlockQuote">
    <w:name w:val="Block Quote"/>
    <w:basedOn w:val="Normal"/>
    <w:uiPriority w:val="99"/>
    <w:rsid w:val="00CE062B"/>
    <w:pPr>
      <w:tabs>
        <w:tab w:val="left" w:pos="1080"/>
      </w:tabs>
      <w:spacing w:before="240" w:after="240" w:line="240" w:lineRule="auto"/>
      <w:ind w:left="1077" w:right="1021"/>
    </w:pPr>
    <w:rPr>
      <w:rFonts w:eastAsiaTheme="minorEastAsia"/>
      <w:color w:val="auto"/>
      <w:szCs w:val="22"/>
      <w:lang w:val="en-AU" w:eastAsia="en-GB"/>
    </w:rPr>
  </w:style>
  <w:style w:type="paragraph" w:styleId="ListParagraph">
    <w:name w:val="List Paragraph"/>
    <w:basedOn w:val="Normal"/>
    <w:uiPriority w:val="34"/>
    <w:qFormat/>
    <w:rsid w:val="00075686"/>
    <w:pPr>
      <w:autoSpaceDE/>
      <w:autoSpaceDN/>
      <w:adjustRightInd/>
      <w:spacing w:after="200"/>
      <w:ind w:left="720"/>
      <w:contextualSpacing/>
    </w:pPr>
    <w:rPr>
      <w:rFonts w:asciiTheme="minorHAnsi" w:eastAsiaTheme="minorEastAsia" w:hAnsiTheme="minorHAnsi" w:cstheme="minorBidi"/>
      <w:color w:val="auto"/>
      <w:szCs w:val="22"/>
      <w:lang w:val="en-GB" w:eastAsia="zh-CN"/>
    </w:rPr>
  </w:style>
  <w:style w:type="character" w:styleId="CommentReference">
    <w:name w:val="annotation reference"/>
    <w:basedOn w:val="DefaultParagraphFont"/>
    <w:uiPriority w:val="99"/>
    <w:semiHidden/>
    <w:unhideWhenUsed/>
    <w:rsid w:val="00075686"/>
    <w:rPr>
      <w:sz w:val="16"/>
      <w:szCs w:val="16"/>
    </w:rPr>
  </w:style>
  <w:style w:type="table" w:styleId="TableGrid">
    <w:name w:val="Table Grid"/>
    <w:basedOn w:val="TableNormal"/>
    <w:uiPriority w:val="59"/>
    <w:rsid w:val="00075686"/>
    <w:rPr>
      <w:rFonts w:asciiTheme="minorHAnsi" w:eastAsiaTheme="minorEastAsia" w:hAnsiTheme="minorHAnsi" w:cstheme="minorBid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E24EE"/>
    <w:pPr>
      <w:autoSpaceDE/>
      <w:autoSpaceDN/>
      <w:adjustRightInd/>
      <w:spacing w:before="100" w:beforeAutospacing="1" w:after="100" w:afterAutospacing="1"/>
    </w:pPr>
    <w:rPr>
      <w:rFonts w:eastAsia="Times New Roman"/>
      <w:color w:val="auto"/>
      <w:lang w:val="en-GB" w:eastAsia="zh-CN"/>
    </w:rPr>
  </w:style>
  <w:style w:type="paragraph" w:styleId="HTMLPreformatted">
    <w:name w:val="HTML Preformatted"/>
    <w:basedOn w:val="Normal"/>
    <w:link w:val="HTMLPreformattedChar"/>
    <w:uiPriority w:val="99"/>
    <w:semiHidden/>
    <w:unhideWhenUsed/>
    <w:rsid w:val="006E24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pPr>
    <w:rPr>
      <w:rFonts w:ascii="Courier New" w:eastAsia="Times New Roman" w:hAnsi="Courier New" w:cs="Courier New"/>
      <w:color w:val="auto"/>
      <w:sz w:val="20"/>
      <w:szCs w:val="20"/>
      <w:lang w:val="en-GB" w:eastAsia="zh-CN"/>
    </w:rPr>
  </w:style>
  <w:style w:type="character" w:customStyle="1" w:styleId="HTMLPreformattedChar">
    <w:name w:val="HTML Preformatted Char"/>
    <w:basedOn w:val="DefaultParagraphFont"/>
    <w:link w:val="HTMLPreformatted"/>
    <w:uiPriority w:val="99"/>
    <w:semiHidden/>
    <w:rsid w:val="006E24EE"/>
    <w:rPr>
      <w:rFonts w:ascii="Courier New" w:eastAsia="Times New Roman" w:hAnsi="Courier New" w:cs="Courier New"/>
      <w:lang w:eastAsia="zh-CN"/>
    </w:rPr>
  </w:style>
  <w:style w:type="paragraph" w:styleId="Date">
    <w:name w:val="Date"/>
    <w:basedOn w:val="Normal"/>
    <w:next w:val="Normal"/>
    <w:link w:val="DateChar"/>
    <w:uiPriority w:val="99"/>
    <w:semiHidden/>
    <w:unhideWhenUsed/>
    <w:rsid w:val="006E24EE"/>
    <w:pPr>
      <w:autoSpaceDE/>
      <w:autoSpaceDN/>
      <w:adjustRightInd/>
      <w:spacing w:after="200"/>
    </w:pPr>
    <w:rPr>
      <w:rFonts w:asciiTheme="minorHAnsi" w:eastAsiaTheme="minorEastAsia" w:hAnsiTheme="minorHAnsi" w:cstheme="minorBidi"/>
      <w:color w:val="auto"/>
      <w:szCs w:val="22"/>
      <w:lang w:val="en-GB" w:eastAsia="zh-CN"/>
    </w:rPr>
  </w:style>
  <w:style w:type="character" w:customStyle="1" w:styleId="DateChar">
    <w:name w:val="Date Char"/>
    <w:basedOn w:val="DefaultParagraphFont"/>
    <w:link w:val="Date"/>
    <w:uiPriority w:val="99"/>
    <w:semiHidden/>
    <w:rsid w:val="006E24EE"/>
    <w:rPr>
      <w:rFonts w:asciiTheme="minorHAnsi" w:eastAsiaTheme="minorEastAsia" w:hAnsiTheme="minorHAnsi" w:cstheme="minorBidi"/>
      <w:sz w:val="22"/>
      <w:szCs w:val="22"/>
      <w:lang w:eastAsia="zh-CN"/>
    </w:rPr>
  </w:style>
  <w:style w:type="character" w:styleId="Strong">
    <w:name w:val="Strong"/>
    <w:basedOn w:val="DefaultParagraphFont"/>
    <w:uiPriority w:val="22"/>
    <w:qFormat/>
    <w:rsid w:val="006E24EE"/>
    <w:rPr>
      <w:b/>
      <w:bCs/>
    </w:rPr>
  </w:style>
  <w:style w:type="paragraph" w:styleId="CommentText">
    <w:name w:val="annotation text"/>
    <w:basedOn w:val="Normal"/>
    <w:link w:val="CommentTextChar"/>
    <w:uiPriority w:val="99"/>
    <w:unhideWhenUsed/>
    <w:rsid w:val="006E24EE"/>
    <w:pPr>
      <w:autoSpaceDE/>
      <w:autoSpaceDN/>
      <w:adjustRightInd/>
      <w:spacing w:after="200"/>
    </w:pPr>
    <w:rPr>
      <w:rFonts w:asciiTheme="minorHAnsi" w:eastAsiaTheme="minorEastAsia" w:hAnsiTheme="minorHAnsi" w:cstheme="minorBidi"/>
      <w:color w:val="auto"/>
      <w:sz w:val="20"/>
      <w:szCs w:val="20"/>
      <w:lang w:val="en-GB" w:eastAsia="zh-CN"/>
    </w:rPr>
  </w:style>
  <w:style w:type="character" w:customStyle="1" w:styleId="CommentTextChar">
    <w:name w:val="Comment Text Char"/>
    <w:basedOn w:val="DefaultParagraphFont"/>
    <w:link w:val="CommentText"/>
    <w:uiPriority w:val="99"/>
    <w:rsid w:val="006E24EE"/>
    <w:rPr>
      <w:rFonts w:asciiTheme="minorHAnsi" w:eastAsiaTheme="minorEastAsia" w:hAnsiTheme="minorHAnsi" w:cstheme="minorBidi"/>
      <w:lang w:eastAsia="zh-CN"/>
    </w:rPr>
  </w:style>
  <w:style w:type="paragraph" w:styleId="CommentSubject">
    <w:name w:val="annotation subject"/>
    <w:basedOn w:val="CommentText"/>
    <w:next w:val="CommentText"/>
    <w:link w:val="CommentSubjectChar"/>
    <w:uiPriority w:val="99"/>
    <w:semiHidden/>
    <w:unhideWhenUsed/>
    <w:rsid w:val="006E24EE"/>
    <w:rPr>
      <w:b/>
      <w:bCs/>
    </w:rPr>
  </w:style>
  <w:style w:type="character" w:customStyle="1" w:styleId="CommentSubjectChar">
    <w:name w:val="Comment Subject Char"/>
    <w:basedOn w:val="CommentTextChar"/>
    <w:link w:val="CommentSubject"/>
    <w:uiPriority w:val="99"/>
    <w:semiHidden/>
    <w:rsid w:val="006E24EE"/>
    <w:rPr>
      <w:rFonts w:asciiTheme="minorHAnsi" w:eastAsiaTheme="minorEastAsia" w:hAnsiTheme="minorHAnsi" w:cstheme="minorBidi"/>
      <w:b/>
      <w:bCs/>
      <w:lang w:eastAsia="zh-CN"/>
    </w:rPr>
  </w:style>
  <w:style w:type="table" w:customStyle="1" w:styleId="LightShading1">
    <w:name w:val="Light Shading1"/>
    <w:basedOn w:val="TableNormal"/>
    <w:uiPriority w:val="60"/>
    <w:rsid w:val="006E24EE"/>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6E24EE"/>
    <w:rPr>
      <w:color w:val="808080"/>
    </w:rPr>
  </w:style>
  <w:style w:type="character" w:styleId="FollowedHyperlink">
    <w:name w:val="FollowedHyperlink"/>
    <w:basedOn w:val="DefaultParagraphFont"/>
    <w:uiPriority w:val="99"/>
    <w:semiHidden/>
    <w:unhideWhenUsed/>
    <w:rsid w:val="006E24EE"/>
    <w:rPr>
      <w:color w:val="800080" w:themeColor="followedHyperlink"/>
      <w:u w:val="single"/>
    </w:rPr>
  </w:style>
  <w:style w:type="table" w:customStyle="1" w:styleId="LightList-Accent11">
    <w:name w:val="Light List - Accent 11"/>
    <w:basedOn w:val="TableNormal"/>
    <w:uiPriority w:val="61"/>
    <w:rsid w:val="006E24EE"/>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6E24EE"/>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6E24EE"/>
    <w:rPr>
      <w:rFonts w:asciiTheme="minorHAnsi" w:eastAsiaTheme="minorEastAsia" w:hAnsiTheme="minorHAnsi" w:cstheme="minorBidi"/>
      <w:color w:val="000000" w:themeColor="text1" w:themeShade="BF"/>
      <w:sz w:val="22"/>
      <w:szCs w:val="22"/>
      <w:lang w:eastAsia="zh-C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eofFigures">
    <w:name w:val="table of figures"/>
    <w:basedOn w:val="Normal"/>
    <w:next w:val="Normal"/>
    <w:uiPriority w:val="99"/>
    <w:unhideWhenUsed/>
    <w:rsid w:val="006E24EE"/>
    <w:pPr>
      <w:autoSpaceDE/>
      <w:autoSpaceDN/>
      <w:adjustRightInd/>
      <w:spacing w:after="0"/>
    </w:pPr>
    <w:rPr>
      <w:rFonts w:asciiTheme="minorHAnsi" w:eastAsiaTheme="minorEastAsia" w:hAnsiTheme="minorHAnsi" w:cstheme="minorBidi"/>
      <w:color w:val="auto"/>
      <w:szCs w:val="22"/>
      <w:lang w:val="en-GB" w:eastAsia="zh-CN"/>
    </w:rPr>
  </w:style>
  <w:style w:type="paragraph" w:customStyle="1" w:styleId="Default">
    <w:name w:val="Default"/>
    <w:rsid w:val="006E24EE"/>
    <w:pPr>
      <w:autoSpaceDE w:val="0"/>
      <w:autoSpaceDN w:val="0"/>
      <w:adjustRightInd w:val="0"/>
    </w:pPr>
    <w:rPr>
      <w:rFonts w:ascii="Times New Roman" w:hAnsi="Times New Roman"/>
      <w:color w:val="000000"/>
      <w:sz w:val="24"/>
      <w:szCs w:val="24"/>
      <w:lang w:val="en-US" w:eastAsia="en-US"/>
    </w:rPr>
  </w:style>
  <w:style w:type="paragraph" w:customStyle="1" w:styleId="Source">
    <w:name w:val="Source"/>
    <w:basedOn w:val="Normal"/>
    <w:qFormat/>
    <w:rsid w:val="006B7A3F"/>
    <w:pPr>
      <w:spacing w:before="60"/>
    </w:pPr>
    <w:rPr>
      <w:rFonts w:asciiTheme="minorHAnsi" w:hAnsiTheme="minorHAnsi"/>
      <w:sz w:val="18"/>
      <w:szCs w:val="20"/>
      <w:lang w:val="en-GB"/>
    </w:rPr>
  </w:style>
  <w:style w:type="character" w:customStyle="1" w:styleId="NoteReference">
    <w:name w:val="Note Reference"/>
    <w:uiPriority w:val="99"/>
    <w:rsid w:val="00DE13BA"/>
    <w:rPr>
      <w:rFonts w:cstheme="minorBidi"/>
      <w:sz w:val="18"/>
      <w:szCs w:val="18"/>
    </w:rPr>
  </w:style>
  <w:style w:type="paragraph" w:customStyle="1" w:styleId="References">
    <w:name w:val="References"/>
    <w:basedOn w:val="Normal"/>
    <w:uiPriority w:val="99"/>
    <w:rsid w:val="00FC7490"/>
    <w:pPr>
      <w:spacing w:line="240" w:lineRule="auto"/>
      <w:ind w:left="170" w:hanging="170"/>
    </w:pPr>
    <w:rPr>
      <w:rFonts w:eastAsiaTheme="minorEastAsia" w:cs="Palatino-Roman"/>
      <w:color w:val="auto"/>
      <w:szCs w:val="22"/>
      <w:lang w:val="en-AU" w:eastAsia="en-GB"/>
    </w:rPr>
  </w:style>
  <w:style w:type="paragraph" w:customStyle="1" w:styleId="EndNoteBibliographyTitle">
    <w:name w:val="EndNote Bibliography Title"/>
    <w:basedOn w:val="Normal"/>
    <w:rsid w:val="0085295C"/>
    <w:pPr>
      <w:autoSpaceDE/>
      <w:autoSpaceDN/>
      <w:adjustRightInd/>
      <w:spacing w:after="0" w:line="240" w:lineRule="auto"/>
      <w:jc w:val="center"/>
    </w:pPr>
    <w:rPr>
      <w:rFonts w:ascii="Cambria" w:eastAsiaTheme="minorEastAsia" w:hAnsi="Cambria" w:cstheme="minorBidi"/>
      <w:color w:val="auto"/>
      <w:sz w:val="24"/>
    </w:rPr>
  </w:style>
  <w:style w:type="paragraph" w:customStyle="1" w:styleId="EndNoteBibliography">
    <w:name w:val="EndNote Bibliography"/>
    <w:basedOn w:val="Normal"/>
    <w:rsid w:val="0085295C"/>
    <w:pPr>
      <w:autoSpaceDE/>
      <w:autoSpaceDN/>
      <w:adjustRightInd/>
      <w:spacing w:after="0" w:line="240" w:lineRule="auto"/>
      <w:jc w:val="left"/>
    </w:pPr>
    <w:rPr>
      <w:rFonts w:ascii="Cambria" w:eastAsiaTheme="minorEastAsia" w:hAnsi="Cambria" w:cstheme="minorBidi"/>
      <w:color w:val="auto"/>
      <w:sz w:val="24"/>
    </w:rPr>
  </w:style>
  <w:style w:type="character" w:styleId="FootnoteReference">
    <w:name w:val="footnote reference"/>
    <w:basedOn w:val="DefaultParagraphFont"/>
    <w:uiPriority w:val="99"/>
    <w:unhideWhenUsed/>
    <w:rsid w:val="0085295C"/>
    <w:rPr>
      <w:vertAlign w:val="superscript"/>
    </w:rPr>
  </w:style>
  <w:style w:type="character" w:styleId="PageNumber">
    <w:name w:val="page number"/>
    <w:basedOn w:val="DefaultParagraphFont"/>
    <w:uiPriority w:val="99"/>
    <w:semiHidden/>
    <w:unhideWhenUsed/>
    <w:rsid w:val="0085295C"/>
  </w:style>
  <w:style w:type="table" w:customStyle="1" w:styleId="TableGridLight1">
    <w:name w:val="Table Grid Light1"/>
    <w:basedOn w:val="TableNormal"/>
    <w:uiPriority w:val="40"/>
    <w:rsid w:val="0085295C"/>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NoSpacing">
    <w:name w:val="No Spacing"/>
    <w:uiPriority w:val="1"/>
    <w:qFormat/>
    <w:rsid w:val="0085295C"/>
    <w:rPr>
      <w:rFonts w:asciiTheme="minorHAnsi" w:eastAsiaTheme="minorHAnsi" w:hAnsiTheme="minorHAnsi" w:cstheme="minorBidi"/>
      <w:sz w:val="22"/>
      <w:szCs w:val="22"/>
      <w:lang w:eastAsia="en-US"/>
    </w:rPr>
  </w:style>
  <w:style w:type="character" w:customStyle="1" w:styleId="article-headermeta-info-data">
    <w:name w:val="article-header__meta-info-data"/>
    <w:basedOn w:val="DefaultParagraphFont"/>
    <w:rsid w:val="002D3F61"/>
  </w:style>
  <w:style w:type="paragraph" w:styleId="Revision">
    <w:name w:val="Revision"/>
    <w:hidden/>
    <w:uiPriority w:val="99"/>
    <w:semiHidden/>
    <w:rsid w:val="008F26E8"/>
    <w:rPr>
      <w:rFonts w:ascii="Times New Roman" w:hAnsi="Times New Roman"/>
      <w:color w:val="000000"/>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566295">
      <w:bodyDiv w:val="1"/>
      <w:marLeft w:val="0"/>
      <w:marRight w:val="0"/>
      <w:marTop w:val="0"/>
      <w:marBottom w:val="0"/>
      <w:divBdr>
        <w:top w:val="none" w:sz="0" w:space="0" w:color="auto"/>
        <w:left w:val="none" w:sz="0" w:space="0" w:color="auto"/>
        <w:bottom w:val="none" w:sz="0" w:space="0" w:color="auto"/>
        <w:right w:val="none" w:sz="0" w:space="0" w:color="auto"/>
      </w:divBdr>
      <w:divsChild>
        <w:div w:id="1783307246">
          <w:marLeft w:val="0"/>
          <w:marRight w:val="0"/>
          <w:marTop w:val="0"/>
          <w:marBottom w:val="0"/>
          <w:divBdr>
            <w:top w:val="none" w:sz="0" w:space="0" w:color="auto"/>
            <w:left w:val="none" w:sz="0" w:space="0" w:color="auto"/>
            <w:bottom w:val="none" w:sz="0" w:space="0" w:color="auto"/>
            <w:right w:val="none" w:sz="0" w:space="0" w:color="auto"/>
          </w:divBdr>
        </w:div>
      </w:divsChild>
    </w:div>
    <w:div w:id="783354671">
      <w:bodyDiv w:val="1"/>
      <w:marLeft w:val="0"/>
      <w:marRight w:val="0"/>
      <w:marTop w:val="0"/>
      <w:marBottom w:val="0"/>
      <w:divBdr>
        <w:top w:val="none" w:sz="0" w:space="0" w:color="auto"/>
        <w:left w:val="none" w:sz="0" w:space="0" w:color="auto"/>
        <w:bottom w:val="none" w:sz="0" w:space="0" w:color="auto"/>
        <w:right w:val="none" w:sz="0" w:space="0" w:color="auto"/>
      </w:divBdr>
      <w:divsChild>
        <w:div w:id="152793647">
          <w:marLeft w:val="0"/>
          <w:marRight w:val="0"/>
          <w:marTop w:val="0"/>
          <w:marBottom w:val="0"/>
          <w:divBdr>
            <w:top w:val="none" w:sz="0" w:space="0" w:color="auto"/>
            <w:left w:val="none" w:sz="0" w:space="0" w:color="auto"/>
            <w:bottom w:val="none" w:sz="0" w:space="0" w:color="auto"/>
            <w:right w:val="none" w:sz="0" w:space="0" w:color="auto"/>
          </w:divBdr>
        </w:div>
      </w:divsChild>
    </w:div>
    <w:div w:id="1033382458">
      <w:bodyDiv w:val="1"/>
      <w:marLeft w:val="0"/>
      <w:marRight w:val="0"/>
      <w:marTop w:val="0"/>
      <w:marBottom w:val="0"/>
      <w:divBdr>
        <w:top w:val="none" w:sz="0" w:space="0" w:color="auto"/>
        <w:left w:val="none" w:sz="0" w:space="0" w:color="auto"/>
        <w:bottom w:val="none" w:sz="0" w:space="0" w:color="auto"/>
        <w:right w:val="none" w:sz="0" w:space="0" w:color="auto"/>
      </w:divBdr>
      <w:divsChild>
        <w:div w:id="1882982782">
          <w:marLeft w:val="0"/>
          <w:marRight w:val="0"/>
          <w:marTop w:val="0"/>
          <w:marBottom w:val="0"/>
          <w:divBdr>
            <w:top w:val="none" w:sz="0" w:space="0" w:color="auto"/>
            <w:left w:val="none" w:sz="0" w:space="0" w:color="auto"/>
            <w:bottom w:val="none" w:sz="0" w:space="0" w:color="auto"/>
            <w:right w:val="none" w:sz="0" w:space="0" w:color="auto"/>
          </w:divBdr>
        </w:div>
      </w:divsChild>
    </w:div>
    <w:div w:id="1194803002">
      <w:bodyDiv w:val="1"/>
      <w:marLeft w:val="0"/>
      <w:marRight w:val="0"/>
      <w:marTop w:val="0"/>
      <w:marBottom w:val="0"/>
      <w:divBdr>
        <w:top w:val="none" w:sz="0" w:space="0" w:color="auto"/>
        <w:left w:val="none" w:sz="0" w:space="0" w:color="auto"/>
        <w:bottom w:val="none" w:sz="0" w:space="0" w:color="auto"/>
        <w:right w:val="none" w:sz="0" w:space="0" w:color="auto"/>
      </w:divBdr>
    </w:div>
    <w:div w:id="1870024512">
      <w:bodyDiv w:val="1"/>
      <w:marLeft w:val="0"/>
      <w:marRight w:val="0"/>
      <w:marTop w:val="0"/>
      <w:marBottom w:val="0"/>
      <w:divBdr>
        <w:top w:val="none" w:sz="0" w:space="0" w:color="auto"/>
        <w:left w:val="none" w:sz="0" w:space="0" w:color="auto"/>
        <w:bottom w:val="none" w:sz="0" w:space="0" w:color="auto"/>
        <w:right w:val="none" w:sz="0" w:space="0" w:color="auto"/>
      </w:divBdr>
    </w:div>
    <w:div w:id="1879394412">
      <w:bodyDiv w:val="1"/>
      <w:marLeft w:val="0"/>
      <w:marRight w:val="0"/>
      <w:marTop w:val="0"/>
      <w:marBottom w:val="0"/>
      <w:divBdr>
        <w:top w:val="none" w:sz="0" w:space="0" w:color="auto"/>
        <w:left w:val="none" w:sz="0" w:space="0" w:color="auto"/>
        <w:bottom w:val="none" w:sz="0" w:space="0" w:color="auto"/>
        <w:right w:val="none" w:sz="0" w:space="0" w:color="auto"/>
      </w:divBdr>
      <w:divsChild>
        <w:div w:id="34474765">
          <w:marLeft w:val="0"/>
          <w:marRight w:val="0"/>
          <w:marTop w:val="0"/>
          <w:marBottom w:val="0"/>
          <w:divBdr>
            <w:top w:val="none" w:sz="0" w:space="0" w:color="auto"/>
            <w:left w:val="none" w:sz="0" w:space="0" w:color="auto"/>
            <w:bottom w:val="none" w:sz="0" w:space="0" w:color="auto"/>
            <w:right w:val="none" w:sz="0" w:space="0" w:color="auto"/>
          </w:divBdr>
        </w:div>
      </w:divsChild>
    </w:div>
    <w:div w:id="2007902995">
      <w:bodyDiv w:val="1"/>
      <w:marLeft w:val="0"/>
      <w:marRight w:val="0"/>
      <w:marTop w:val="0"/>
      <w:marBottom w:val="0"/>
      <w:divBdr>
        <w:top w:val="none" w:sz="0" w:space="0" w:color="auto"/>
        <w:left w:val="none" w:sz="0" w:space="0" w:color="auto"/>
        <w:bottom w:val="none" w:sz="0" w:space="0" w:color="auto"/>
        <w:right w:val="none" w:sz="0" w:space="0" w:color="auto"/>
      </w:divBdr>
      <w:divsChild>
        <w:div w:id="17505351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chart" Target="charts/chart15.xml"/><Relationship Id="rId47" Type="http://schemas.openxmlformats.org/officeDocument/2006/relationships/footer" Target="footer1.xml"/><Relationship Id="rId48" Type="http://schemas.openxmlformats.org/officeDocument/2006/relationships/footer" Target="footer2.xml"/><Relationship Id="rId49" Type="http://schemas.openxmlformats.org/officeDocument/2006/relationships/fontTable" Target="fontTable.xml"/><Relationship Id="rId20" Type="http://schemas.openxmlformats.org/officeDocument/2006/relationships/chart" Target="charts/chart3.xml"/><Relationship Id="rId21" Type="http://schemas.openxmlformats.org/officeDocument/2006/relationships/image" Target="media/image1.png"/><Relationship Id="rId22" Type="http://schemas.openxmlformats.org/officeDocument/2006/relationships/image" Target="media/image2.png"/><Relationship Id="rId23" Type="http://schemas.openxmlformats.org/officeDocument/2006/relationships/image" Target="media/image3.png"/><Relationship Id="rId24" Type="http://schemas.openxmlformats.org/officeDocument/2006/relationships/image" Target="media/image4.png"/><Relationship Id="rId25" Type="http://schemas.openxmlformats.org/officeDocument/2006/relationships/image" Target="media/image5.png"/><Relationship Id="rId26" Type="http://schemas.openxmlformats.org/officeDocument/2006/relationships/image" Target="media/image6.png"/><Relationship Id="rId27" Type="http://schemas.openxmlformats.org/officeDocument/2006/relationships/image" Target="media/image7.png"/><Relationship Id="rId28" Type="http://schemas.openxmlformats.org/officeDocument/2006/relationships/image" Target="media/image8.png"/><Relationship Id="rId29" Type="http://schemas.openxmlformats.org/officeDocument/2006/relationships/image" Target="media/image9.emf"/><Relationship Id="rId50" Type="http://schemas.openxmlformats.org/officeDocument/2006/relationships/theme" Target="theme/theme1.xml"/><Relationship Id="rId51" Type="http://schemas.microsoft.com/office/2011/relationships/commentsExtended" Target="commentsExtended.xml"/><Relationship Id="rId52"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0.png"/><Relationship Id="rId31" Type="http://schemas.openxmlformats.org/officeDocument/2006/relationships/chart" Target="charts/chart4.xml"/><Relationship Id="rId32" Type="http://schemas.openxmlformats.org/officeDocument/2006/relationships/chart" Target="charts/chart5.xml"/><Relationship Id="rId9" Type="http://schemas.openxmlformats.org/officeDocument/2006/relationships/hyperlink" Target="http://www.aljazeera.com/news/2017/02/federal-judge-blocks-donald-trump-immigration-ban-170204032306765.html"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chart" Target="charts/chart6.xml"/><Relationship Id="rId34" Type="http://schemas.openxmlformats.org/officeDocument/2006/relationships/chart" Target="charts/chart7.xml"/><Relationship Id="rId35" Type="http://schemas.openxmlformats.org/officeDocument/2006/relationships/chart" Target="charts/chart8.xml"/><Relationship Id="rId36" Type="http://schemas.openxmlformats.org/officeDocument/2006/relationships/chart" Target="charts/chart9.xml"/><Relationship Id="rId10" Type="http://schemas.openxmlformats.org/officeDocument/2006/relationships/hyperlink" Target="http://www.aljazeera.com/news/2017/01/abadi-iraq-retaliate-travel-ban-170131140713723.html" TargetMode="External"/><Relationship Id="rId11" Type="http://schemas.openxmlformats.org/officeDocument/2006/relationships/hyperlink" Target="http://www.migrationdeterminants.eu" TargetMode="External"/><Relationship Id="rId12" Type="http://schemas.openxmlformats.org/officeDocument/2006/relationships/hyperlink" Target="https://www.imi.ox.ac.uk/data/demig-data/demig-c2c-data" TargetMode="External"/><Relationship Id="rId13" Type="http://schemas.openxmlformats.org/officeDocument/2006/relationships/hyperlink" Target="http://www.migrationdeterminants.eu" TargetMode="External"/><Relationship Id="rId14" Type="http://schemas.openxmlformats.org/officeDocument/2006/relationships/hyperlink" Target="https://www.imi.ox.ac.uk/data/demig-data/demig-policy-1" TargetMode="External"/><Relationship Id="rId15" Type="http://schemas.openxmlformats.org/officeDocument/2006/relationships/hyperlink" Target="http://internacional.elpais.com/internacional/2016/03/14/actualidad/1457967050_353691.html" TargetMode="External"/><Relationship Id="rId16" Type="http://schemas.openxmlformats.org/officeDocument/2006/relationships/hyperlink" Target="http://foreignpolicy.com/2017/01/30/hundreds-of-u-s-diplomats-protest-trump-immigration-ban-in-internal-memos/" TargetMode="External"/><Relationship Id="rId17" Type="http://schemas.openxmlformats.org/officeDocument/2006/relationships/hyperlink" Target="http://www.independent.co.uk/news/world/middle-east/donald-trump-migrant-refugee-ban-muslim-countries-iran-tehran-us-citizens-stopped-entering-country-a7551276.html" TargetMode="External"/><Relationship Id="rId18" Type="http://schemas.openxmlformats.org/officeDocument/2006/relationships/chart" Target="charts/chart1.xml"/><Relationship Id="rId19" Type="http://schemas.openxmlformats.org/officeDocument/2006/relationships/chart" Target="charts/chart2.xml"/><Relationship Id="rId37" Type="http://schemas.openxmlformats.org/officeDocument/2006/relationships/chart" Target="charts/chart10.xml"/><Relationship Id="rId38" Type="http://schemas.openxmlformats.org/officeDocument/2006/relationships/chart" Target="charts/chart11.xml"/><Relationship Id="rId39" Type="http://schemas.openxmlformats.org/officeDocument/2006/relationships/chart" Target="charts/chart12.xml"/><Relationship Id="rId40" Type="http://schemas.openxmlformats.org/officeDocument/2006/relationships/chart" Target="charts/chart13.xml"/><Relationship Id="rId41" Type="http://schemas.openxmlformats.org/officeDocument/2006/relationships/image" Target="media/image11.png"/><Relationship Id="rId42" Type="http://schemas.openxmlformats.org/officeDocument/2006/relationships/image" Target="media/image12.png"/><Relationship Id="rId43" Type="http://schemas.openxmlformats.org/officeDocument/2006/relationships/image" Target="media/image13.png"/><Relationship Id="rId44" Type="http://schemas.openxmlformats.org/officeDocument/2006/relationships/image" Target="media/image14.png"/><Relationship Id="rId45" Type="http://schemas.openxmlformats.org/officeDocument/2006/relationships/chart" Target="charts/chart14.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qeh\Dropbox\Visa%20paper%201\DEMIG%20visa%20paper%201\Regional%20bloc%20restricitvenes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qeh\Dropbox\Visa%20paper%201\DEMIG%20visa%20paper%201\Regional%20bloc%20restricitvenes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qeh\Dropbox\Visa%20paper%201\DEMIG%20visa%20paper%201\Exit%20permit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Dropbox\Visa%20paper%201\DEMIG%20visa%20paper%201\In%20and%20outbound%20regional%20restricitvenes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Dropbox\Visa%20paper%201\DEMIG%20visa%20paper%201\In%20and%20outbound%20regional%20restricitvenes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Dropbox\Visa%20paper%201\DEMIG%20visa%20paper%201\Regional%20bloc%20restricitvenes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qeh\Dropbox\Visa%20paper%201\DEMIG%20visa%20paper%201\Regional%20bloc%20restricitvenes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Sheet1!$A$14</c:f>
              <c:strCache>
                <c:ptCount val="1"/>
                <c:pt idx="0">
                  <c:v>Global index of visa restrictiveness</c:v>
                </c:pt>
              </c:strCache>
            </c:strRef>
          </c:tx>
          <c:spPr>
            <a:ln w="28575" cap="rnd">
              <a:solidFill>
                <a:schemeClr val="dk1">
                  <a:tint val="88500"/>
                </a:schemeClr>
              </a:solidFill>
              <a:round/>
            </a:ln>
            <a:effectLst/>
          </c:spPr>
          <c:marker>
            <c:symbol val="none"/>
          </c:marker>
          <c:cat>
            <c:numRef>
              <c:f>Sheet1!$B$1:$AP$1</c:f>
              <c:numCache>
                <c:formatCode>General</c:formatCode>
                <c:ptCount val="41"/>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pt idx="36">
                  <c:v>2009.0</c:v>
                </c:pt>
                <c:pt idx="37">
                  <c:v>2010.0</c:v>
                </c:pt>
                <c:pt idx="38">
                  <c:v>2011.0</c:v>
                </c:pt>
                <c:pt idx="39">
                  <c:v>2012.0</c:v>
                </c:pt>
                <c:pt idx="40">
                  <c:v>2013.0</c:v>
                </c:pt>
              </c:numCache>
            </c:numRef>
          </c:cat>
          <c:val>
            <c:numRef>
              <c:f>Sheet1!$B$14:$AP$14</c:f>
              <c:numCache>
                <c:formatCode>General</c:formatCode>
                <c:ptCount val="41"/>
                <c:pt idx="0">
                  <c:v>0.7160332</c:v>
                </c:pt>
                <c:pt idx="1">
                  <c:v>0.6974494</c:v>
                </c:pt>
                <c:pt idx="2">
                  <c:v>0.6967326</c:v>
                </c:pt>
                <c:pt idx="3">
                  <c:v>0.7040661</c:v>
                </c:pt>
                <c:pt idx="4">
                  <c:v>0.7006106</c:v>
                </c:pt>
                <c:pt idx="5">
                  <c:v>0.6939156</c:v>
                </c:pt>
                <c:pt idx="6">
                  <c:v>0.6928712</c:v>
                </c:pt>
                <c:pt idx="7">
                  <c:v>0.7009476</c:v>
                </c:pt>
                <c:pt idx="8">
                  <c:v>0.7064577</c:v>
                </c:pt>
                <c:pt idx="9">
                  <c:v>0.713776</c:v>
                </c:pt>
                <c:pt idx="10">
                  <c:v>0.7168342</c:v>
                </c:pt>
                <c:pt idx="11">
                  <c:v>0.7181442</c:v>
                </c:pt>
                <c:pt idx="12">
                  <c:v>0.7270215</c:v>
                </c:pt>
                <c:pt idx="13">
                  <c:v>0.7241831</c:v>
                </c:pt>
                <c:pt idx="14">
                  <c:v>0.7395215</c:v>
                </c:pt>
                <c:pt idx="15">
                  <c:v>0.7397928</c:v>
                </c:pt>
                <c:pt idx="16">
                  <c:v>0.7386993</c:v>
                </c:pt>
                <c:pt idx="17">
                  <c:v>0.7307394</c:v>
                </c:pt>
                <c:pt idx="18">
                  <c:v>0.7268981</c:v>
                </c:pt>
                <c:pt idx="19">
                  <c:v>0.7222434</c:v>
                </c:pt>
                <c:pt idx="20">
                  <c:v>0.7449397</c:v>
                </c:pt>
                <c:pt idx="21">
                  <c:v>0.7410304</c:v>
                </c:pt>
                <c:pt idx="22">
                  <c:v>0.7366641</c:v>
                </c:pt>
                <c:pt idx="23">
                  <c:v>0.7391457</c:v>
                </c:pt>
                <c:pt idx="24">
                  <c:v>0.7422292</c:v>
                </c:pt>
                <c:pt idx="25">
                  <c:v>0.7357316</c:v>
                </c:pt>
                <c:pt idx="26">
                  <c:v>0.7338319</c:v>
                </c:pt>
                <c:pt idx="27">
                  <c:v>0.7351168</c:v>
                </c:pt>
                <c:pt idx="28">
                  <c:v>0.7346302</c:v>
                </c:pt>
                <c:pt idx="29">
                  <c:v>0.7330413</c:v>
                </c:pt>
                <c:pt idx="30">
                  <c:v>0.7364596</c:v>
                </c:pt>
                <c:pt idx="31">
                  <c:v>0.7323403</c:v>
                </c:pt>
                <c:pt idx="32">
                  <c:v>0.7313901</c:v>
                </c:pt>
                <c:pt idx="33">
                  <c:v>0.7207107</c:v>
                </c:pt>
                <c:pt idx="34">
                  <c:v>0.7165555</c:v>
                </c:pt>
                <c:pt idx="35">
                  <c:v>0.7142545</c:v>
                </c:pt>
                <c:pt idx="36">
                  <c:v>0.7075589</c:v>
                </c:pt>
                <c:pt idx="37">
                  <c:v>0.6931173</c:v>
                </c:pt>
                <c:pt idx="38">
                  <c:v>0.6888006</c:v>
                </c:pt>
                <c:pt idx="39">
                  <c:v>0.6861669</c:v>
                </c:pt>
                <c:pt idx="40">
                  <c:v>0.6858715</c:v>
                </c:pt>
              </c:numCache>
            </c:numRef>
          </c:val>
          <c:smooth val="0"/>
        </c:ser>
        <c:ser>
          <c:idx val="1"/>
          <c:order val="1"/>
          <c:tx>
            <c:strRef>
              <c:f>Sheet1!$A$15</c:f>
              <c:strCache>
                <c:ptCount val="1"/>
                <c:pt idx="0">
                  <c:v>Global index of visa restrictiveness (population-weighted)</c:v>
                </c:pt>
              </c:strCache>
            </c:strRef>
          </c:tx>
          <c:spPr>
            <a:ln w="28575" cap="rnd">
              <a:solidFill>
                <a:schemeClr val="dk1">
                  <a:tint val="55000"/>
                </a:schemeClr>
              </a:solidFill>
              <a:round/>
            </a:ln>
            <a:effectLst/>
          </c:spPr>
          <c:marker>
            <c:symbol val="none"/>
          </c:marker>
          <c:cat>
            <c:numRef>
              <c:f>Sheet1!$B$1:$AP$1</c:f>
              <c:numCache>
                <c:formatCode>General</c:formatCode>
                <c:ptCount val="41"/>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pt idx="36">
                  <c:v>2009.0</c:v>
                </c:pt>
                <c:pt idx="37">
                  <c:v>2010.0</c:v>
                </c:pt>
                <c:pt idx="38">
                  <c:v>2011.0</c:v>
                </c:pt>
                <c:pt idx="39">
                  <c:v>2012.0</c:v>
                </c:pt>
                <c:pt idx="40">
                  <c:v>2013.0</c:v>
                </c:pt>
              </c:numCache>
            </c:numRef>
          </c:cat>
          <c:val>
            <c:numRef>
              <c:f>Sheet1!$B$15:$AP$15</c:f>
              <c:numCache>
                <c:formatCode>General</c:formatCode>
                <c:ptCount val="41"/>
                <c:pt idx="0">
                  <c:v>0.8611471</c:v>
                </c:pt>
                <c:pt idx="1">
                  <c:v>0.8443932</c:v>
                </c:pt>
                <c:pt idx="2">
                  <c:v>0.8518737</c:v>
                </c:pt>
                <c:pt idx="3">
                  <c:v>0.8482562</c:v>
                </c:pt>
                <c:pt idx="4">
                  <c:v>0.8461696</c:v>
                </c:pt>
                <c:pt idx="5">
                  <c:v>0.8464562</c:v>
                </c:pt>
                <c:pt idx="6">
                  <c:v>0.8490025</c:v>
                </c:pt>
                <c:pt idx="7">
                  <c:v>0.8501336</c:v>
                </c:pt>
                <c:pt idx="8">
                  <c:v>0.8518549</c:v>
                </c:pt>
                <c:pt idx="9">
                  <c:v>0.8525848</c:v>
                </c:pt>
                <c:pt idx="10">
                  <c:v>0.8525684</c:v>
                </c:pt>
                <c:pt idx="11">
                  <c:v>0.8486836</c:v>
                </c:pt>
                <c:pt idx="12">
                  <c:v>0.8675039</c:v>
                </c:pt>
                <c:pt idx="13">
                  <c:v>0.8673663</c:v>
                </c:pt>
                <c:pt idx="14">
                  <c:v>0.8866715</c:v>
                </c:pt>
                <c:pt idx="15">
                  <c:v>0.8942362</c:v>
                </c:pt>
                <c:pt idx="16">
                  <c:v>0.8935444</c:v>
                </c:pt>
                <c:pt idx="17">
                  <c:v>0.8926337</c:v>
                </c:pt>
                <c:pt idx="18">
                  <c:v>0.88414</c:v>
                </c:pt>
                <c:pt idx="19">
                  <c:v>0.8858275</c:v>
                </c:pt>
                <c:pt idx="20">
                  <c:v>0.8885195</c:v>
                </c:pt>
                <c:pt idx="21">
                  <c:v>0.8841545</c:v>
                </c:pt>
                <c:pt idx="22">
                  <c:v>0.8844633</c:v>
                </c:pt>
                <c:pt idx="23">
                  <c:v>0.8898958</c:v>
                </c:pt>
                <c:pt idx="24">
                  <c:v>0.8949229</c:v>
                </c:pt>
                <c:pt idx="25">
                  <c:v>0.8944876</c:v>
                </c:pt>
                <c:pt idx="26">
                  <c:v>0.8939456</c:v>
                </c:pt>
                <c:pt idx="27">
                  <c:v>0.8897141</c:v>
                </c:pt>
                <c:pt idx="28">
                  <c:v>0.8877615</c:v>
                </c:pt>
                <c:pt idx="29">
                  <c:v>0.8893034</c:v>
                </c:pt>
                <c:pt idx="30">
                  <c:v>0.893763</c:v>
                </c:pt>
                <c:pt idx="31">
                  <c:v>0.8924178</c:v>
                </c:pt>
                <c:pt idx="32">
                  <c:v>0.8996133</c:v>
                </c:pt>
                <c:pt idx="33">
                  <c:v>0.8924187</c:v>
                </c:pt>
                <c:pt idx="34">
                  <c:v>0.8764665</c:v>
                </c:pt>
                <c:pt idx="35">
                  <c:v>0.8751151</c:v>
                </c:pt>
                <c:pt idx="36">
                  <c:v>0.8779929</c:v>
                </c:pt>
                <c:pt idx="37">
                  <c:v>0.874132</c:v>
                </c:pt>
                <c:pt idx="38">
                  <c:v>0.8705237</c:v>
                </c:pt>
                <c:pt idx="39">
                  <c:v>0.8709379</c:v>
                </c:pt>
                <c:pt idx="40">
                  <c:v>0.875259</c:v>
                </c:pt>
              </c:numCache>
            </c:numRef>
          </c:val>
          <c:smooth val="0"/>
        </c:ser>
        <c:dLbls>
          <c:showLegendKey val="0"/>
          <c:showVal val="0"/>
          <c:showCatName val="0"/>
          <c:showSerName val="0"/>
          <c:showPercent val="0"/>
          <c:showBubbleSize val="0"/>
        </c:dLbls>
        <c:marker val="1"/>
        <c:smooth val="0"/>
        <c:axId val="-2094711336"/>
        <c:axId val="-2094707816"/>
      </c:lineChart>
      <c:catAx>
        <c:axId val="-2094711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4707816"/>
        <c:crosses val="autoZero"/>
        <c:auto val="1"/>
        <c:lblAlgn val="ctr"/>
        <c:lblOffset val="100"/>
        <c:noMultiLvlLbl val="0"/>
      </c:catAx>
      <c:valAx>
        <c:axId val="-2094707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471133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ECOWAS</a:t>
            </a:r>
          </a:p>
        </c:rich>
      </c:tx>
      <c:overlay val="0"/>
      <c:spPr>
        <a:noFill/>
        <a:ln>
          <a:noFill/>
        </a:ln>
        <a:effectLst/>
      </c:spPr>
    </c:title>
    <c:autoTitleDeleted val="0"/>
    <c:plotArea>
      <c:layout/>
      <c:lineChart>
        <c:grouping val="standard"/>
        <c:varyColors val="0"/>
        <c:ser>
          <c:idx val="1"/>
          <c:order val="0"/>
          <c:tx>
            <c:v>actual ECOWAS members  vs ECOWAS-16</c:v>
          </c:tx>
          <c:spPr>
            <a:ln w="28575" cap="rnd">
              <a:solidFill>
                <a:schemeClr val="dk1">
                  <a:tint val="55000"/>
                </a:schemeClr>
              </a:solidFill>
              <a:round/>
            </a:ln>
            <a:effectLst/>
          </c:spPr>
          <c:marker>
            <c:symbol val="none"/>
          </c:marker>
          <c:cat>
            <c:numRef>
              <c:f>Sheet6!$G$2:$G$42</c:f>
              <c:numCache>
                <c:formatCode>General</c:formatCode>
                <c:ptCount val="41"/>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pt idx="36">
                  <c:v>2009.0</c:v>
                </c:pt>
                <c:pt idx="37">
                  <c:v>2010.0</c:v>
                </c:pt>
                <c:pt idx="38">
                  <c:v>2011.0</c:v>
                </c:pt>
                <c:pt idx="39">
                  <c:v>2012.0</c:v>
                </c:pt>
                <c:pt idx="40">
                  <c:v>2013.0</c:v>
                </c:pt>
              </c:numCache>
            </c:numRef>
          </c:cat>
          <c:val>
            <c:numRef>
              <c:f>Sheet6!$H$2:$H$42</c:f>
              <c:numCache>
                <c:formatCode>General</c:formatCode>
                <c:ptCount val="41"/>
                <c:pt idx="0">
                  <c:v>0.8262691</c:v>
                </c:pt>
                <c:pt idx="1">
                  <c:v>0.8255928</c:v>
                </c:pt>
                <c:pt idx="2">
                  <c:v>0.8269035</c:v>
                </c:pt>
                <c:pt idx="3">
                  <c:v>0.8345767</c:v>
                </c:pt>
                <c:pt idx="4">
                  <c:v>0.8359304</c:v>
                </c:pt>
                <c:pt idx="5">
                  <c:v>0.8353937</c:v>
                </c:pt>
                <c:pt idx="6">
                  <c:v>0.8383735</c:v>
                </c:pt>
                <c:pt idx="7">
                  <c:v>0.8402638</c:v>
                </c:pt>
                <c:pt idx="8">
                  <c:v>0.839</c:v>
                </c:pt>
                <c:pt idx="9">
                  <c:v>0.843236</c:v>
                </c:pt>
                <c:pt idx="10">
                  <c:v>0.8430213</c:v>
                </c:pt>
                <c:pt idx="11">
                  <c:v>0.838434</c:v>
                </c:pt>
                <c:pt idx="12">
                  <c:v>0.8223073</c:v>
                </c:pt>
                <c:pt idx="13">
                  <c:v>0.8173735</c:v>
                </c:pt>
                <c:pt idx="14">
                  <c:v>0.8192834</c:v>
                </c:pt>
                <c:pt idx="15">
                  <c:v>0.8133048</c:v>
                </c:pt>
                <c:pt idx="16">
                  <c:v>0.8136629</c:v>
                </c:pt>
                <c:pt idx="17">
                  <c:v>0.8176826</c:v>
                </c:pt>
                <c:pt idx="18">
                  <c:v>0.7233342</c:v>
                </c:pt>
                <c:pt idx="19">
                  <c:v>0.7074314</c:v>
                </c:pt>
                <c:pt idx="20">
                  <c:v>0.7176456</c:v>
                </c:pt>
                <c:pt idx="21">
                  <c:v>0.6622598</c:v>
                </c:pt>
                <c:pt idx="22">
                  <c:v>0.0333333</c:v>
                </c:pt>
                <c:pt idx="23">
                  <c:v>0.0333333</c:v>
                </c:pt>
                <c:pt idx="24">
                  <c:v>0.0291667</c:v>
                </c:pt>
                <c:pt idx="25">
                  <c:v>0.0125</c:v>
                </c:pt>
                <c:pt idx="26">
                  <c:v>0.0125</c:v>
                </c:pt>
                <c:pt idx="27">
                  <c:v>0.0125</c:v>
                </c:pt>
                <c:pt idx="28">
                  <c:v>0.0125</c:v>
                </c:pt>
                <c:pt idx="29">
                  <c:v>0.0125</c:v>
                </c:pt>
                <c:pt idx="30">
                  <c:v>0.0125</c:v>
                </c:pt>
                <c:pt idx="31">
                  <c:v>0.0125</c:v>
                </c:pt>
                <c:pt idx="32">
                  <c:v>0.0083333</c:v>
                </c:pt>
                <c:pt idx="33">
                  <c:v>0.0041667</c:v>
                </c:pt>
                <c:pt idx="34">
                  <c:v>0.0041667</c:v>
                </c:pt>
                <c:pt idx="35">
                  <c:v>0.0041667</c:v>
                </c:pt>
                <c:pt idx="36">
                  <c:v>0.0041667</c:v>
                </c:pt>
                <c:pt idx="37">
                  <c:v>0.0125</c:v>
                </c:pt>
                <c:pt idx="38">
                  <c:v>0.0125</c:v>
                </c:pt>
                <c:pt idx="39">
                  <c:v>0.0208333</c:v>
                </c:pt>
                <c:pt idx="40">
                  <c:v>0.0533333</c:v>
                </c:pt>
              </c:numCache>
            </c:numRef>
          </c:val>
          <c:smooth val="0"/>
        </c:ser>
        <c:ser>
          <c:idx val="2"/>
          <c:order val="1"/>
          <c:tx>
            <c:v>actual ECOWAS vs non-ECOWAS-16 member</c:v>
          </c:tx>
          <c:spPr>
            <a:ln w="28575" cap="rnd">
              <a:solidFill>
                <a:schemeClr val="dk1">
                  <a:tint val="75000"/>
                </a:schemeClr>
              </a:solidFill>
              <a:round/>
            </a:ln>
            <a:effectLst/>
          </c:spPr>
          <c:marker>
            <c:symbol val="none"/>
          </c:marker>
          <c:cat>
            <c:numRef>
              <c:f>Sheet6!$G$2:$G$42</c:f>
              <c:numCache>
                <c:formatCode>General</c:formatCode>
                <c:ptCount val="41"/>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pt idx="36">
                  <c:v>2009.0</c:v>
                </c:pt>
                <c:pt idx="37">
                  <c:v>2010.0</c:v>
                </c:pt>
                <c:pt idx="38">
                  <c:v>2011.0</c:v>
                </c:pt>
                <c:pt idx="39">
                  <c:v>2012.0</c:v>
                </c:pt>
                <c:pt idx="40">
                  <c:v>2013.0</c:v>
                </c:pt>
              </c:numCache>
            </c:numRef>
          </c:cat>
          <c:val>
            <c:numRef>
              <c:f>Sheet6!$I$2:$I$42</c:f>
              <c:numCache>
                <c:formatCode>General</c:formatCode>
                <c:ptCount val="41"/>
                <c:pt idx="0">
                  <c:v>0.7081001</c:v>
                </c:pt>
                <c:pt idx="1">
                  <c:v>0.6877622</c:v>
                </c:pt>
                <c:pt idx="2">
                  <c:v>0.6869026</c:v>
                </c:pt>
                <c:pt idx="3">
                  <c:v>0.6945083</c:v>
                </c:pt>
                <c:pt idx="4">
                  <c:v>0.6906647</c:v>
                </c:pt>
                <c:pt idx="5">
                  <c:v>0.6835603</c:v>
                </c:pt>
                <c:pt idx="6">
                  <c:v>0.6822585</c:v>
                </c:pt>
                <c:pt idx="7">
                  <c:v>0.6908151</c:v>
                </c:pt>
                <c:pt idx="8">
                  <c:v>0.6969467</c:v>
                </c:pt>
                <c:pt idx="9">
                  <c:v>0.7043669</c:v>
                </c:pt>
                <c:pt idx="10">
                  <c:v>0.7076906</c:v>
                </c:pt>
                <c:pt idx="11">
                  <c:v>0.7095292</c:v>
                </c:pt>
                <c:pt idx="12">
                  <c:v>0.7204935</c:v>
                </c:pt>
                <c:pt idx="13">
                  <c:v>0.7179393</c:v>
                </c:pt>
                <c:pt idx="14">
                  <c:v>0.7344382</c:v>
                </c:pt>
                <c:pt idx="15">
                  <c:v>0.7351975</c:v>
                </c:pt>
                <c:pt idx="16">
                  <c:v>0.7339728</c:v>
                </c:pt>
                <c:pt idx="17">
                  <c:v>0.725135</c:v>
                </c:pt>
                <c:pt idx="18">
                  <c:v>0.7291602</c:v>
                </c:pt>
                <c:pt idx="19">
                  <c:v>0.725067</c:v>
                </c:pt>
                <c:pt idx="20">
                  <c:v>0.7478179</c:v>
                </c:pt>
                <c:pt idx="21">
                  <c:v>0.7444059</c:v>
                </c:pt>
                <c:pt idx="22">
                  <c:v>0.7403492</c:v>
                </c:pt>
                <c:pt idx="23">
                  <c:v>0.7429027</c:v>
                </c:pt>
                <c:pt idx="24">
                  <c:v>0.7460179</c:v>
                </c:pt>
                <c:pt idx="25">
                  <c:v>0.7395386</c:v>
                </c:pt>
                <c:pt idx="26">
                  <c:v>0.7375907</c:v>
                </c:pt>
                <c:pt idx="27">
                  <c:v>0.738915</c:v>
                </c:pt>
                <c:pt idx="28">
                  <c:v>0.7383928</c:v>
                </c:pt>
                <c:pt idx="29">
                  <c:v>0.7367812</c:v>
                </c:pt>
                <c:pt idx="30">
                  <c:v>0.7402614</c:v>
                </c:pt>
                <c:pt idx="31">
                  <c:v>0.736649</c:v>
                </c:pt>
                <c:pt idx="32">
                  <c:v>0.7351733</c:v>
                </c:pt>
                <c:pt idx="33">
                  <c:v>0.7244592</c:v>
                </c:pt>
                <c:pt idx="34">
                  <c:v>0.7202265</c:v>
                </c:pt>
                <c:pt idx="35">
                  <c:v>0.7178788</c:v>
                </c:pt>
                <c:pt idx="36">
                  <c:v>0.7111169</c:v>
                </c:pt>
                <c:pt idx="37">
                  <c:v>0.6965845</c:v>
                </c:pt>
                <c:pt idx="38">
                  <c:v>0.6922523</c:v>
                </c:pt>
                <c:pt idx="39">
                  <c:v>0.6895733</c:v>
                </c:pt>
                <c:pt idx="40">
                  <c:v>0.688992</c:v>
                </c:pt>
              </c:numCache>
            </c:numRef>
          </c:val>
          <c:smooth val="0"/>
        </c:ser>
        <c:dLbls>
          <c:showLegendKey val="0"/>
          <c:showVal val="0"/>
          <c:showCatName val="0"/>
          <c:showSerName val="0"/>
          <c:showPercent val="0"/>
          <c:showBubbleSize val="0"/>
        </c:dLbls>
        <c:marker val="1"/>
        <c:smooth val="0"/>
        <c:axId val="-2091031880"/>
        <c:axId val="-2091034696"/>
      </c:lineChart>
      <c:catAx>
        <c:axId val="-2091031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034696"/>
        <c:crosses val="autoZero"/>
        <c:auto val="1"/>
        <c:lblAlgn val="ctr"/>
        <c:lblOffset val="100"/>
        <c:tickLblSkip val="5"/>
        <c:noMultiLvlLbl val="0"/>
      </c:catAx>
      <c:valAx>
        <c:axId val="-2091034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031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ASEAN</a:t>
            </a:r>
          </a:p>
        </c:rich>
      </c:tx>
      <c:overlay val="0"/>
      <c:spPr>
        <a:noFill/>
        <a:ln>
          <a:noFill/>
        </a:ln>
        <a:effectLst/>
      </c:spPr>
    </c:title>
    <c:autoTitleDeleted val="0"/>
    <c:plotArea>
      <c:layout/>
      <c:lineChart>
        <c:grouping val="standard"/>
        <c:varyColors val="0"/>
        <c:ser>
          <c:idx val="1"/>
          <c:order val="0"/>
          <c:tx>
            <c:v>actual ASEAN member vs. ASEAN-10</c:v>
          </c:tx>
          <c:spPr>
            <a:ln w="28575" cap="rnd">
              <a:solidFill>
                <a:schemeClr val="dk1">
                  <a:tint val="55000"/>
                </a:schemeClr>
              </a:solidFill>
              <a:round/>
            </a:ln>
            <a:effectLst/>
          </c:spPr>
          <c:marker>
            <c:symbol val="none"/>
          </c:marker>
          <c:cat>
            <c:numRef>
              <c:f>Sheet6!$O$2:$O$42</c:f>
              <c:numCache>
                <c:formatCode>General</c:formatCode>
                <c:ptCount val="41"/>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pt idx="36">
                  <c:v>2009.0</c:v>
                </c:pt>
                <c:pt idx="37">
                  <c:v>2010.0</c:v>
                </c:pt>
                <c:pt idx="38">
                  <c:v>2011.0</c:v>
                </c:pt>
                <c:pt idx="39">
                  <c:v>2012.0</c:v>
                </c:pt>
                <c:pt idx="40">
                  <c:v>2013.0</c:v>
                </c:pt>
              </c:numCache>
            </c:numRef>
          </c:cat>
          <c:val>
            <c:numRef>
              <c:f>Sheet6!$P$2:$P$42</c:f>
              <c:numCache>
                <c:formatCode>General</c:formatCode>
                <c:ptCount val="41"/>
                <c:pt idx="0">
                  <c:v>0.8496221</c:v>
                </c:pt>
                <c:pt idx="1">
                  <c:v>0.8465304</c:v>
                </c:pt>
                <c:pt idx="2">
                  <c:v>0.8471297</c:v>
                </c:pt>
                <c:pt idx="3">
                  <c:v>0.8522801</c:v>
                </c:pt>
                <c:pt idx="4">
                  <c:v>0.8535919</c:v>
                </c:pt>
                <c:pt idx="5">
                  <c:v>0.8513737</c:v>
                </c:pt>
                <c:pt idx="6">
                  <c:v>0.8552607</c:v>
                </c:pt>
                <c:pt idx="7">
                  <c:v>0.8572612</c:v>
                </c:pt>
                <c:pt idx="8">
                  <c:v>0.8632578</c:v>
                </c:pt>
                <c:pt idx="9">
                  <c:v>0.8679503</c:v>
                </c:pt>
                <c:pt idx="10">
                  <c:v>0.8688232</c:v>
                </c:pt>
                <c:pt idx="11">
                  <c:v>0.868919</c:v>
                </c:pt>
                <c:pt idx="12">
                  <c:v>0.8688775</c:v>
                </c:pt>
                <c:pt idx="13">
                  <c:v>0.8702566</c:v>
                </c:pt>
                <c:pt idx="14">
                  <c:v>0.8710862</c:v>
                </c:pt>
                <c:pt idx="15">
                  <c:v>0.8680593</c:v>
                </c:pt>
                <c:pt idx="16">
                  <c:v>0.8691717</c:v>
                </c:pt>
                <c:pt idx="17">
                  <c:v>0.8734257</c:v>
                </c:pt>
                <c:pt idx="18">
                  <c:v>0.7757765</c:v>
                </c:pt>
                <c:pt idx="19">
                  <c:v>0.7589465</c:v>
                </c:pt>
                <c:pt idx="20">
                  <c:v>0.7701229</c:v>
                </c:pt>
                <c:pt idx="21">
                  <c:v>0.7122412</c:v>
                </c:pt>
                <c:pt idx="22">
                  <c:v>0.6419753</c:v>
                </c:pt>
                <c:pt idx="23">
                  <c:v>0.6777778</c:v>
                </c:pt>
                <c:pt idx="24">
                  <c:v>0.6777778</c:v>
                </c:pt>
                <c:pt idx="25">
                  <c:v>0.6555555</c:v>
                </c:pt>
                <c:pt idx="26">
                  <c:v>0.6444445</c:v>
                </c:pt>
                <c:pt idx="27">
                  <c:v>0.6444445</c:v>
                </c:pt>
                <c:pt idx="28">
                  <c:v>0.6222222</c:v>
                </c:pt>
                <c:pt idx="29">
                  <c:v>0.6</c:v>
                </c:pt>
                <c:pt idx="30">
                  <c:v>0.5666667</c:v>
                </c:pt>
                <c:pt idx="31">
                  <c:v>0.5555556</c:v>
                </c:pt>
                <c:pt idx="32">
                  <c:v>0.4555556</c:v>
                </c:pt>
                <c:pt idx="33">
                  <c:v>0.4111111</c:v>
                </c:pt>
                <c:pt idx="34">
                  <c:v>0.3888889</c:v>
                </c:pt>
                <c:pt idx="35">
                  <c:v>0.3111111</c:v>
                </c:pt>
                <c:pt idx="36">
                  <c:v>0.3</c:v>
                </c:pt>
                <c:pt idx="37">
                  <c:v>0.2888889</c:v>
                </c:pt>
                <c:pt idx="38">
                  <c:v>0.2555556</c:v>
                </c:pt>
                <c:pt idx="39">
                  <c:v>0.2222222</c:v>
                </c:pt>
                <c:pt idx="40">
                  <c:v>0.1728395</c:v>
                </c:pt>
              </c:numCache>
            </c:numRef>
          </c:val>
          <c:smooth val="0"/>
        </c:ser>
        <c:ser>
          <c:idx val="2"/>
          <c:order val="1"/>
          <c:tx>
            <c:v>actual ASEAN member vs non-ASEAN-10</c:v>
          </c:tx>
          <c:spPr>
            <a:ln w="28575" cap="rnd">
              <a:solidFill>
                <a:schemeClr val="dk1">
                  <a:tint val="75000"/>
                </a:schemeClr>
              </a:solidFill>
              <a:round/>
            </a:ln>
            <a:effectLst/>
          </c:spPr>
          <c:marker>
            <c:symbol val="none"/>
          </c:marker>
          <c:cat>
            <c:numRef>
              <c:f>Sheet6!$O$2:$O$42</c:f>
              <c:numCache>
                <c:formatCode>General</c:formatCode>
                <c:ptCount val="41"/>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pt idx="36">
                  <c:v>2009.0</c:v>
                </c:pt>
                <c:pt idx="37">
                  <c:v>2010.0</c:v>
                </c:pt>
                <c:pt idx="38">
                  <c:v>2011.0</c:v>
                </c:pt>
                <c:pt idx="39">
                  <c:v>2012.0</c:v>
                </c:pt>
                <c:pt idx="40">
                  <c:v>2013.0</c:v>
                </c:pt>
              </c:numCache>
            </c:numRef>
          </c:cat>
          <c:val>
            <c:numRef>
              <c:f>Sheet6!$Q$2:$Q$42</c:f>
              <c:numCache>
                <c:formatCode>General</c:formatCode>
                <c:ptCount val="41"/>
                <c:pt idx="0">
                  <c:v>0.7065067</c:v>
                </c:pt>
                <c:pt idx="1">
                  <c:v>0.6863724</c:v>
                </c:pt>
                <c:pt idx="2">
                  <c:v>0.6855888</c:v>
                </c:pt>
                <c:pt idx="3">
                  <c:v>0.6933461</c:v>
                </c:pt>
                <c:pt idx="4">
                  <c:v>0.6895677</c:v>
                </c:pt>
                <c:pt idx="5">
                  <c:v>0.6826291</c:v>
                </c:pt>
                <c:pt idx="6">
                  <c:v>0.6812992</c:v>
                </c:pt>
                <c:pt idx="7">
                  <c:v>0.689862</c:v>
                </c:pt>
                <c:pt idx="8">
                  <c:v>0.6953697</c:v>
                </c:pt>
                <c:pt idx="9">
                  <c:v>0.7027915</c:v>
                </c:pt>
                <c:pt idx="10">
                  <c:v>0.7060149</c:v>
                </c:pt>
                <c:pt idx="11">
                  <c:v>0.7074251</c:v>
                </c:pt>
                <c:pt idx="12">
                  <c:v>0.7169428</c:v>
                </c:pt>
                <c:pt idx="13">
                  <c:v>0.713919</c:v>
                </c:pt>
                <c:pt idx="14">
                  <c:v>0.7304265</c:v>
                </c:pt>
                <c:pt idx="15">
                  <c:v>0.7309092</c:v>
                </c:pt>
                <c:pt idx="16">
                  <c:v>0.7296351</c:v>
                </c:pt>
                <c:pt idx="17">
                  <c:v>0.7208574</c:v>
                </c:pt>
                <c:pt idx="18">
                  <c:v>0.7247458</c:v>
                </c:pt>
                <c:pt idx="19">
                  <c:v>0.7208012</c:v>
                </c:pt>
                <c:pt idx="20">
                  <c:v>0.7442835</c:v>
                </c:pt>
                <c:pt idx="21">
                  <c:v>0.7408752</c:v>
                </c:pt>
                <c:pt idx="22">
                  <c:v>0.7365686</c:v>
                </c:pt>
                <c:pt idx="23">
                  <c:v>0.7390176</c:v>
                </c:pt>
                <c:pt idx="24">
                  <c:v>0.7421161</c:v>
                </c:pt>
                <c:pt idx="25">
                  <c:v>0.7356534</c:v>
                </c:pt>
                <c:pt idx="26">
                  <c:v>0.733755</c:v>
                </c:pt>
                <c:pt idx="27">
                  <c:v>0.7351387</c:v>
                </c:pt>
                <c:pt idx="28">
                  <c:v>0.7346826</c:v>
                </c:pt>
                <c:pt idx="29">
                  <c:v>0.7331212</c:v>
                </c:pt>
                <c:pt idx="30">
                  <c:v>0.7366787</c:v>
                </c:pt>
                <c:pt idx="31">
                  <c:v>0.7331396</c:v>
                </c:pt>
                <c:pt idx="32">
                  <c:v>0.7318289</c:v>
                </c:pt>
                <c:pt idx="33">
                  <c:v>0.721217</c:v>
                </c:pt>
                <c:pt idx="34">
                  <c:v>0.7170942</c:v>
                </c:pt>
                <c:pt idx="35">
                  <c:v>0.7149227</c:v>
                </c:pt>
                <c:pt idx="36">
                  <c:v>0.7082046</c:v>
                </c:pt>
                <c:pt idx="37">
                  <c:v>0.6937849</c:v>
                </c:pt>
                <c:pt idx="38">
                  <c:v>0.6895323</c:v>
                </c:pt>
                <c:pt idx="39">
                  <c:v>0.6869583</c:v>
                </c:pt>
                <c:pt idx="40">
                  <c:v>0.6866763</c:v>
                </c:pt>
              </c:numCache>
            </c:numRef>
          </c:val>
          <c:smooth val="0"/>
        </c:ser>
        <c:dLbls>
          <c:showLegendKey val="0"/>
          <c:showVal val="0"/>
          <c:showCatName val="0"/>
          <c:showSerName val="0"/>
          <c:showPercent val="0"/>
          <c:showBubbleSize val="0"/>
        </c:dLbls>
        <c:marker val="1"/>
        <c:smooth val="0"/>
        <c:axId val="-2094173592"/>
        <c:axId val="-2094384552"/>
      </c:lineChart>
      <c:catAx>
        <c:axId val="-2094173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4384552"/>
        <c:crosses val="autoZero"/>
        <c:auto val="1"/>
        <c:lblAlgn val="ctr"/>
        <c:lblOffset val="100"/>
        <c:tickLblSkip val="5"/>
        <c:noMultiLvlLbl val="0"/>
      </c:catAx>
      <c:valAx>
        <c:axId val="-2094384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4173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Sheet1!$H$212</c:f>
              <c:strCache>
                <c:ptCount val="1"/>
                <c:pt idx="0">
                  <c:v>Exit permits on citizens</c:v>
                </c:pt>
              </c:strCache>
            </c:strRef>
          </c:tx>
          <c:spPr>
            <a:ln w="28575" cap="rnd">
              <a:solidFill>
                <a:schemeClr val="dk1">
                  <a:tint val="88500"/>
                </a:schemeClr>
              </a:solidFill>
              <a:round/>
            </a:ln>
            <a:effectLst/>
          </c:spPr>
          <c:marker>
            <c:symbol val="none"/>
          </c:marker>
          <c:cat>
            <c:numRef>
              <c:f>Sheet1!$I$214:$AR$214</c:f>
              <c:numCache>
                <c:formatCode>General</c:formatCode>
                <c:ptCount val="36"/>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numCache>
            </c:numRef>
          </c:cat>
          <c:val>
            <c:numRef>
              <c:f>Sheet1!$I$212:$AR$212</c:f>
              <c:numCache>
                <c:formatCode>General</c:formatCode>
                <c:ptCount val="36"/>
                <c:pt idx="0">
                  <c:v>0.263513513513513</c:v>
                </c:pt>
                <c:pt idx="1">
                  <c:v>0.25974025974026</c:v>
                </c:pt>
                <c:pt idx="2">
                  <c:v>0.264516129032258</c:v>
                </c:pt>
                <c:pt idx="3">
                  <c:v>0.24390243902439</c:v>
                </c:pt>
                <c:pt idx="4">
                  <c:v>0.25609756097561</c:v>
                </c:pt>
                <c:pt idx="5">
                  <c:v>0.248484848484848</c:v>
                </c:pt>
                <c:pt idx="6">
                  <c:v>0.248484848484848</c:v>
                </c:pt>
                <c:pt idx="7">
                  <c:v>0.246987951807229</c:v>
                </c:pt>
                <c:pt idx="8">
                  <c:v>0.227544910179641</c:v>
                </c:pt>
                <c:pt idx="9">
                  <c:v>0.21301775147929</c:v>
                </c:pt>
                <c:pt idx="10">
                  <c:v>0.21301775147929</c:v>
                </c:pt>
                <c:pt idx="11">
                  <c:v>0.21301775147929</c:v>
                </c:pt>
                <c:pt idx="12">
                  <c:v>0.217647058823529</c:v>
                </c:pt>
                <c:pt idx="13">
                  <c:v>0.215116279069767</c:v>
                </c:pt>
                <c:pt idx="14">
                  <c:v>0.215116279069767</c:v>
                </c:pt>
                <c:pt idx="15">
                  <c:v>0.215116279069767</c:v>
                </c:pt>
                <c:pt idx="16">
                  <c:v>0.209302325581395</c:v>
                </c:pt>
                <c:pt idx="17">
                  <c:v>0.203488372093023</c:v>
                </c:pt>
                <c:pt idx="18">
                  <c:v>0.187134502923977</c:v>
                </c:pt>
                <c:pt idx="19">
                  <c:v>0.176136363636364</c:v>
                </c:pt>
                <c:pt idx="20">
                  <c:v>0.206349206349206</c:v>
                </c:pt>
                <c:pt idx="21">
                  <c:v>0.203208556149733</c:v>
                </c:pt>
                <c:pt idx="22">
                  <c:v>0.205263157894737</c:v>
                </c:pt>
                <c:pt idx="23">
                  <c:v>0.169312169312169</c:v>
                </c:pt>
                <c:pt idx="24">
                  <c:v>0.173684210526316</c:v>
                </c:pt>
                <c:pt idx="25">
                  <c:v>0.166666666666667</c:v>
                </c:pt>
                <c:pt idx="26">
                  <c:v>0.16580310880829</c:v>
                </c:pt>
                <c:pt idx="27">
                  <c:v>0.168367346938776</c:v>
                </c:pt>
                <c:pt idx="28">
                  <c:v>0.168367346938776</c:v>
                </c:pt>
                <c:pt idx="29">
                  <c:v>0.168367346938776</c:v>
                </c:pt>
                <c:pt idx="30">
                  <c:v>0.163265306122449</c:v>
                </c:pt>
                <c:pt idx="31">
                  <c:v>0.161616161616162</c:v>
                </c:pt>
                <c:pt idx="32">
                  <c:v>0.152284263959391</c:v>
                </c:pt>
                <c:pt idx="33">
                  <c:v>0.147959183673469</c:v>
                </c:pt>
                <c:pt idx="34">
                  <c:v>0.151515151515152</c:v>
                </c:pt>
                <c:pt idx="35">
                  <c:v>0.155778894472362</c:v>
                </c:pt>
              </c:numCache>
            </c:numRef>
          </c:val>
          <c:smooth val="0"/>
        </c:ser>
        <c:ser>
          <c:idx val="1"/>
          <c:order val="1"/>
          <c:tx>
            <c:strRef>
              <c:f>Sheet1!$H$213</c:f>
              <c:strCache>
                <c:ptCount val="1"/>
                <c:pt idx="0">
                  <c:v>Exit permits on foreigners</c:v>
                </c:pt>
              </c:strCache>
            </c:strRef>
          </c:tx>
          <c:spPr>
            <a:ln w="28575" cap="rnd">
              <a:solidFill>
                <a:schemeClr val="dk1">
                  <a:tint val="55000"/>
                </a:schemeClr>
              </a:solidFill>
              <a:round/>
            </a:ln>
            <a:effectLst/>
          </c:spPr>
          <c:marker>
            <c:symbol val="none"/>
          </c:marker>
          <c:cat>
            <c:numRef>
              <c:f>Sheet1!$I$214:$AR$214</c:f>
              <c:numCache>
                <c:formatCode>General</c:formatCode>
                <c:ptCount val="36"/>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numCache>
            </c:numRef>
          </c:cat>
          <c:val>
            <c:numRef>
              <c:f>Sheet1!$I$213:$AR$213</c:f>
              <c:numCache>
                <c:formatCode>General</c:formatCode>
                <c:ptCount val="36"/>
                <c:pt idx="0">
                  <c:v>0.188822662737744</c:v>
                </c:pt>
                <c:pt idx="1">
                  <c:v>0.182851433210516</c:v>
                </c:pt>
                <c:pt idx="2">
                  <c:v>0.174031862364523</c:v>
                </c:pt>
                <c:pt idx="3">
                  <c:v>0.156598554474882</c:v>
                </c:pt>
                <c:pt idx="4">
                  <c:v>0.168263508688408</c:v>
                </c:pt>
                <c:pt idx="5">
                  <c:v>0.173740287261596</c:v>
                </c:pt>
                <c:pt idx="6">
                  <c:v>0.171909588721892</c:v>
                </c:pt>
                <c:pt idx="7">
                  <c:v>0.174511098986302</c:v>
                </c:pt>
                <c:pt idx="8">
                  <c:v>0.184596577017115</c:v>
                </c:pt>
                <c:pt idx="9">
                  <c:v>0.184832789100327</c:v>
                </c:pt>
                <c:pt idx="10">
                  <c:v>0.185226888863867</c:v>
                </c:pt>
                <c:pt idx="11">
                  <c:v>0.191688970277504</c:v>
                </c:pt>
                <c:pt idx="12">
                  <c:v>0.198379545263394</c:v>
                </c:pt>
                <c:pt idx="13">
                  <c:v>0.189838682853817</c:v>
                </c:pt>
                <c:pt idx="14">
                  <c:v>0.186004652193177</c:v>
                </c:pt>
                <c:pt idx="15">
                  <c:v>0.1820447496677</c:v>
                </c:pt>
                <c:pt idx="16">
                  <c:v>0.176312583074878</c:v>
                </c:pt>
                <c:pt idx="17">
                  <c:v>0.170552724856004</c:v>
                </c:pt>
                <c:pt idx="18">
                  <c:v>0.173545360042705</c:v>
                </c:pt>
                <c:pt idx="19">
                  <c:v>0.161418278960576</c:v>
                </c:pt>
                <c:pt idx="20">
                  <c:v>0.193868077797893</c:v>
                </c:pt>
                <c:pt idx="21">
                  <c:v>0.192359467112287</c:v>
                </c:pt>
                <c:pt idx="22">
                  <c:v>0.198572086596039</c:v>
                </c:pt>
                <c:pt idx="23">
                  <c:v>0.159388595491241</c:v>
                </c:pt>
                <c:pt idx="24">
                  <c:v>0.153983243068092</c:v>
                </c:pt>
                <c:pt idx="25">
                  <c:v>0.153519932145886</c:v>
                </c:pt>
                <c:pt idx="26">
                  <c:v>0.15273564896116</c:v>
                </c:pt>
                <c:pt idx="27">
                  <c:v>0.15217830449128</c:v>
                </c:pt>
                <c:pt idx="28">
                  <c:v>0.151527394339326</c:v>
                </c:pt>
                <c:pt idx="29">
                  <c:v>0.151437613628712</c:v>
                </c:pt>
                <c:pt idx="30">
                  <c:v>0.151061452513967</c:v>
                </c:pt>
                <c:pt idx="31">
                  <c:v>0.150285562491699</c:v>
                </c:pt>
                <c:pt idx="32">
                  <c:v>0.13996484748704</c:v>
                </c:pt>
                <c:pt idx="33">
                  <c:v>0.13378801431127</c:v>
                </c:pt>
                <c:pt idx="34">
                  <c:v>0.133934278094902</c:v>
                </c:pt>
                <c:pt idx="35">
                  <c:v>0.130413806714765</c:v>
                </c:pt>
              </c:numCache>
            </c:numRef>
          </c:val>
          <c:smooth val="0"/>
        </c:ser>
        <c:dLbls>
          <c:showLegendKey val="0"/>
          <c:showVal val="0"/>
          <c:showCatName val="0"/>
          <c:showSerName val="0"/>
          <c:showPercent val="0"/>
          <c:showBubbleSize val="0"/>
        </c:dLbls>
        <c:marker val="1"/>
        <c:smooth val="0"/>
        <c:axId val="-2090932280"/>
        <c:axId val="-2090928584"/>
      </c:lineChart>
      <c:catAx>
        <c:axId val="-2090932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0928584"/>
        <c:crosses val="autoZero"/>
        <c:auto val="1"/>
        <c:lblAlgn val="ctr"/>
        <c:lblOffset val="100"/>
        <c:noMultiLvlLbl val="0"/>
      </c:catAx>
      <c:valAx>
        <c:axId val="-2090928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0932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1"/>
          <c:order val="0"/>
          <c:tx>
            <c:strRef>
              <c:f>Sheet2!$A$3</c:f>
              <c:strCache>
                <c:ptCount val="1"/>
                <c:pt idx="0">
                  <c:v>Africa</c:v>
                </c:pt>
              </c:strCache>
            </c:strRef>
          </c:tx>
          <c:spPr>
            <a:ln w="28575" cap="rnd">
              <a:solidFill>
                <a:schemeClr val="tx1"/>
              </a:solidFill>
              <a:prstDash val="solid"/>
              <a:round/>
            </a:ln>
            <a:effectLst/>
          </c:spPr>
          <c:marker>
            <c:symbol val="none"/>
          </c:marker>
          <c:cat>
            <c:numRef>
              <c:f>Sheet2!$B$1:$AP$1</c:f>
              <c:numCache>
                <c:formatCode>General</c:formatCode>
                <c:ptCount val="36"/>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numCache>
              <c:extLst/>
            </c:numRef>
          </c:cat>
          <c:val>
            <c:numRef>
              <c:f>Sheet2!$B$3:$AP$3</c:f>
              <c:numCache>
                <c:formatCode>General</c:formatCode>
                <c:ptCount val="36"/>
                <c:pt idx="0">
                  <c:v>0.214606</c:v>
                </c:pt>
                <c:pt idx="1">
                  <c:v>0.20796</c:v>
                </c:pt>
                <c:pt idx="2">
                  <c:v>0.193244</c:v>
                </c:pt>
                <c:pt idx="3">
                  <c:v>0.194569</c:v>
                </c:pt>
                <c:pt idx="4">
                  <c:v>0.231403</c:v>
                </c:pt>
                <c:pt idx="5">
                  <c:v>0.227868</c:v>
                </c:pt>
                <c:pt idx="6">
                  <c:v>0.227329</c:v>
                </c:pt>
                <c:pt idx="7">
                  <c:v>0.246375</c:v>
                </c:pt>
                <c:pt idx="8">
                  <c:v>0.264747</c:v>
                </c:pt>
                <c:pt idx="9">
                  <c:v>0.283304</c:v>
                </c:pt>
                <c:pt idx="10">
                  <c:v>0.283488</c:v>
                </c:pt>
                <c:pt idx="11">
                  <c:v>0.300976</c:v>
                </c:pt>
                <c:pt idx="12">
                  <c:v>0.300772</c:v>
                </c:pt>
                <c:pt idx="13">
                  <c:v>0.300409</c:v>
                </c:pt>
                <c:pt idx="14">
                  <c:v>0.300263</c:v>
                </c:pt>
                <c:pt idx="15">
                  <c:v>0.301716</c:v>
                </c:pt>
                <c:pt idx="16">
                  <c:v>0.283017</c:v>
                </c:pt>
                <c:pt idx="17">
                  <c:v>0.283108</c:v>
                </c:pt>
                <c:pt idx="18">
                  <c:v>0.283261</c:v>
                </c:pt>
                <c:pt idx="19">
                  <c:v>0.24539</c:v>
                </c:pt>
                <c:pt idx="20">
                  <c:v>0.250825</c:v>
                </c:pt>
                <c:pt idx="21">
                  <c:v>0.252276</c:v>
                </c:pt>
                <c:pt idx="22">
                  <c:v>0.252056</c:v>
                </c:pt>
                <c:pt idx="23">
                  <c:v>0.253385</c:v>
                </c:pt>
                <c:pt idx="24">
                  <c:v>0.251224</c:v>
                </c:pt>
                <c:pt idx="25">
                  <c:v>0.256554</c:v>
                </c:pt>
                <c:pt idx="26">
                  <c:v>0.256554</c:v>
                </c:pt>
                <c:pt idx="27">
                  <c:v>0.257757</c:v>
                </c:pt>
                <c:pt idx="28">
                  <c:v>0.253232</c:v>
                </c:pt>
                <c:pt idx="29">
                  <c:v>0.253232</c:v>
                </c:pt>
                <c:pt idx="30">
                  <c:v>0.252997</c:v>
                </c:pt>
                <c:pt idx="31">
                  <c:v>0.253244</c:v>
                </c:pt>
                <c:pt idx="32">
                  <c:v>0.234903</c:v>
                </c:pt>
                <c:pt idx="33">
                  <c:v>0.218244</c:v>
                </c:pt>
                <c:pt idx="34">
                  <c:v>0.218244</c:v>
                </c:pt>
                <c:pt idx="35">
                  <c:v>0.218164</c:v>
                </c:pt>
              </c:numCache>
              <c:extLst/>
            </c:numRef>
          </c:val>
          <c:smooth val="0"/>
        </c:ser>
        <c:ser>
          <c:idx val="3"/>
          <c:order val="1"/>
          <c:tx>
            <c:strRef>
              <c:f>Sheet2!$A$5</c:f>
              <c:strCache>
                <c:ptCount val="1"/>
                <c:pt idx="0">
                  <c:v>Americas</c:v>
                </c:pt>
              </c:strCache>
            </c:strRef>
          </c:tx>
          <c:spPr>
            <a:ln w="28575" cap="rnd">
              <a:solidFill>
                <a:schemeClr val="bg1">
                  <a:lumMod val="50000"/>
                </a:schemeClr>
              </a:solidFill>
              <a:round/>
            </a:ln>
            <a:effectLst/>
          </c:spPr>
          <c:marker>
            <c:symbol val="none"/>
          </c:marker>
          <c:cat>
            <c:numRef>
              <c:f>Sheet2!$B$1:$AP$1</c:f>
              <c:numCache>
                <c:formatCode>General</c:formatCode>
                <c:ptCount val="36"/>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numCache>
              <c:extLst/>
            </c:numRef>
          </c:cat>
          <c:val>
            <c:numRef>
              <c:f>Sheet2!$B$5:$AP$5</c:f>
              <c:numCache>
                <c:formatCode>General</c:formatCode>
                <c:ptCount val="36"/>
                <c:pt idx="0">
                  <c:v>0.146534</c:v>
                </c:pt>
                <c:pt idx="1">
                  <c:v>0.116085</c:v>
                </c:pt>
                <c:pt idx="2">
                  <c:v>0.116279</c:v>
                </c:pt>
                <c:pt idx="3">
                  <c:v>0.095329</c:v>
                </c:pt>
                <c:pt idx="4">
                  <c:v>0.095275</c:v>
                </c:pt>
                <c:pt idx="5">
                  <c:v>0.076178</c:v>
                </c:pt>
                <c:pt idx="6">
                  <c:v>0.07627</c:v>
                </c:pt>
                <c:pt idx="7">
                  <c:v>0.080256</c:v>
                </c:pt>
                <c:pt idx="8">
                  <c:v>0.07635</c:v>
                </c:pt>
                <c:pt idx="9">
                  <c:v>0.05514</c:v>
                </c:pt>
                <c:pt idx="10">
                  <c:v>0.05646</c:v>
                </c:pt>
                <c:pt idx="11">
                  <c:v>0.057697</c:v>
                </c:pt>
                <c:pt idx="12">
                  <c:v>0.064214</c:v>
                </c:pt>
                <c:pt idx="13">
                  <c:v>0.058748</c:v>
                </c:pt>
                <c:pt idx="14">
                  <c:v>0.058711</c:v>
                </c:pt>
                <c:pt idx="15">
                  <c:v>0.041556</c:v>
                </c:pt>
                <c:pt idx="16">
                  <c:v>0.041662</c:v>
                </c:pt>
                <c:pt idx="17">
                  <c:v>0.040254</c:v>
                </c:pt>
                <c:pt idx="18">
                  <c:v>0.041271</c:v>
                </c:pt>
                <c:pt idx="19">
                  <c:v>0.040488</c:v>
                </c:pt>
                <c:pt idx="20">
                  <c:v>0.041841</c:v>
                </c:pt>
                <c:pt idx="21">
                  <c:v>0.041678</c:v>
                </c:pt>
                <c:pt idx="22">
                  <c:v>0.045068</c:v>
                </c:pt>
                <c:pt idx="23">
                  <c:v>0.04619</c:v>
                </c:pt>
                <c:pt idx="24">
                  <c:v>0.045629</c:v>
                </c:pt>
                <c:pt idx="25">
                  <c:v>0.045409</c:v>
                </c:pt>
                <c:pt idx="26">
                  <c:v>0.045318</c:v>
                </c:pt>
                <c:pt idx="27">
                  <c:v>0.045351</c:v>
                </c:pt>
                <c:pt idx="28">
                  <c:v>0.043611</c:v>
                </c:pt>
                <c:pt idx="29">
                  <c:v>0.043519</c:v>
                </c:pt>
                <c:pt idx="30">
                  <c:v>0.04351</c:v>
                </c:pt>
                <c:pt idx="31">
                  <c:v>0.043502</c:v>
                </c:pt>
                <c:pt idx="32">
                  <c:v>0.042217</c:v>
                </c:pt>
                <c:pt idx="33">
                  <c:v>0.041803</c:v>
                </c:pt>
                <c:pt idx="34">
                  <c:v>0.041527</c:v>
                </c:pt>
                <c:pt idx="35">
                  <c:v>0.051792</c:v>
                </c:pt>
              </c:numCache>
              <c:extLst/>
            </c:numRef>
          </c:val>
          <c:smooth val="0"/>
        </c:ser>
        <c:ser>
          <c:idx val="5"/>
          <c:order val="2"/>
          <c:tx>
            <c:strRef>
              <c:f>Sheet2!$A$7</c:f>
              <c:strCache>
                <c:ptCount val="1"/>
                <c:pt idx="0">
                  <c:v>Europe</c:v>
                </c:pt>
              </c:strCache>
            </c:strRef>
          </c:tx>
          <c:spPr>
            <a:ln w="28575" cap="rnd">
              <a:solidFill>
                <a:schemeClr val="tx1"/>
              </a:solidFill>
              <a:prstDash val="sysDot"/>
              <a:round/>
            </a:ln>
            <a:effectLst/>
          </c:spPr>
          <c:marker>
            <c:symbol val="none"/>
          </c:marker>
          <c:cat>
            <c:numRef>
              <c:f>Sheet2!$B$1:$AP$1</c:f>
              <c:numCache>
                <c:formatCode>General</c:formatCode>
                <c:ptCount val="36"/>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numCache>
              <c:extLst/>
            </c:numRef>
          </c:cat>
          <c:val>
            <c:numRef>
              <c:f>Sheet2!$B$7:$AP$7</c:f>
              <c:numCache>
                <c:formatCode>General</c:formatCode>
                <c:ptCount val="36"/>
                <c:pt idx="0">
                  <c:v>0.095064</c:v>
                </c:pt>
                <c:pt idx="1">
                  <c:v>0.095056</c:v>
                </c:pt>
                <c:pt idx="2">
                  <c:v>0.094877</c:v>
                </c:pt>
                <c:pt idx="3">
                  <c:v>0.094669</c:v>
                </c:pt>
                <c:pt idx="4">
                  <c:v>0.094664</c:v>
                </c:pt>
                <c:pt idx="5">
                  <c:v>0.094659</c:v>
                </c:pt>
                <c:pt idx="6">
                  <c:v>0.094812</c:v>
                </c:pt>
                <c:pt idx="7">
                  <c:v>0.094785</c:v>
                </c:pt>
                <c:pt idx="8">
                  <c:v>0.094618</c:v>
                </c:pt>
                <c:pt idx="9">
                  <c:v>0.094609</c:v>
                </c:pt>
                <c:pt idx="10">
                  <c:v>0.094143</c:v>
                </c:pt>
                <c:pt idx="11">
                  <c:v>0.094141</c:v>
                </c:pt>
                <c:pt idx="12">
                  <c:v>0.121827</c:v>
                </c:pt>
                <c:pt idx="13">
                  <c:v>0.12152</c:v>
                </c:pt>
                <c:pt idx="14">
                  <c:v>0.121472</c:v>
                </c:pt>
                <c:pt idx="15">
                  <c:v>0.121472</c:v>
                </c:pt>
                <c:pt idx="16">
                  <c:v>0.121472</c:v>
                </c:pt>
                <c:pt idx="17">
                  <c:v>0.093097</c:v>
                </c:pt>
                <c:pt idx="18">
                  <c:v>0.100478</c:v>
                </c:pt>
                <c:pt idx="19">
                  <c:v>0.114467</c:v>
                </c:pt>
                <c:pt idx="20">
                  <c:v>0.14535</c:v>
                </c:pt>
                <c:pt idx="21">
                  <c:v>0.139447</c:v>
                </c:pt>
                <c:pt idx="22">
                  <c:v>0.142716</c:v>
                </c:pt>
                <c:pt idx="23">
                  <c:v>0.115883</c:v>
                </c:pt>
                <c:pt idx="24">
                  <c:v>0.091498</c:v>
                </c:pt>
                <c:pt idx="25">
                  <c:v>0.08923</c:v>
                </c:pt>
                <c:pt idx="26">
                  <c:v>0.087043</c:v>
                </c:pt>
                <c:pt idx="27">
                  <c:v>0.090298</c:v>
                </c:pt>
                <c:pt idx="28">
                  <c:v>0.090298</c:v>
                </c:pt>
                <c:pt idx="29">
                  <c:v>0.090401</c:v>
                </c:pt>
                <c:pt idx="30">
                  <c:v>0.06714</c:v>
                </c:pt>
                <c:pt idx="31">
                  <c:v>0.066749</c:v>
                </c:pt>
                <c:pt idx="32">
                  <c:v>0.063878</c:v>
                </c:pt>
                <c:pt idx="33">
                  <c:v>0.063468</c:v>
                </c:pt>
                <c:pt idx="34">
                  <c:v>0.045491</c:v>
                </c:pt>
                <c:pt idx="35">
                  <c:v>0.044693</c:v>
                </c:pt>
              </c:numCache>
              <c:extLst/>
            </c:numRef>
          </c:val>
          <c:smooth val="0"/>
        </c:ser>
        <c:ser>
          <c:idx val="7"/>
          <c:order val="3"/>
          <c:tx>
            <c:strRef>
              <c:f>Sheet2!$A$9</c:f>
              <c:strCache>
                <c:ptCount val="1"/>
                <c:pt idx="0">
                  <c:v>Asia</c:v>
                </c:pt>
              </c:strCache>
            </c:strRef>
          </c:tx>
          <c:spPr>
            <a:ln w="28575" cap="rnd">
              <a:solidFill>
                <a:schemeClr val="tx1"/>
              </a:solidFill>
              <a:prstDash val="sysDash"/>
              <a:round/>
            </a:ln>
            <a:effectLst/>
          </c:spPr>
          <c:marker>
            <c:symbol val="none"/>
          </c:marker>
          <c:cat>
            <c:numRef>
              <c:f>Sheet2!$B$1:$AP$1</c:f>
              <c:numCache>
                <c:formatCode>General</c:formatCode>
                <c:ptCount val="36"/>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numCache>
              <c:extLst/>
            </c:numRef>
          </c:cat>
          <c:val>
            <c:numRef>
              <c:f>Sheet2!$B$9:$AP$9</c:f>
              <c:numCache>
                <c:formatCode>General</c:formatCode>
                <c:ptCount val="36"/>
                <c:pt idx="0">
                  <c:v>0.269177</c:v>
                </c:pt>
                <c:pt idx="1">
                  <c:v>0.294863</c:v>
                </c:pt>
                <c:pt idx="2">
                  <c:v>0.293952</c:v>
                </c:pt>
                <c:pt idx="3">
                  <c:v>0.239158</c:v>
                </c:pt>
                <c:pt idx="4">
                  <c:v>0.243834</c:v>
                </c:pt>
                <c:pt idx="5">
                  <c:v>0.29278</c:v>
                </c:pt>
                <c:pt idx="6">
                  <c:v>0.285317</c:v>
                </c:pt>
                <c:pt idx="7">
                  <c:v>0.262327</c:v>
                </c:pt>
                <c:pt idx="8">
                  <c:v>0.285575</c:v>
                </c:pt>
                <c:pt idx="9">
                  <c:v>0.285162</c:v>
                </c:pt>
                <c:pt idx="10">
                  <c:v>0.285524</c:v>
                </c:pt>
                <c:pt idx="11">
                  <c:v>0.28556</c:v>
                </c:pt>
                <c:pt idx="12">
                  <c:v>0.285509</c:v>
                </c:pt>
                <c:pt idx="13">
                  <c:v>0.262056</c:v>
                </c:pt>
                <c:pt idx="14">
                  <c:v>0.245874</c:v>
                </c:pt>
                <c:pt idx="15">
                  <c:v>0.246113</c:v>
                </c:pt>
                <c:pt idx="16">
                  <c:v>0.245994</c:v>
                </c:pt>
                <c:pt idx="17">
                  <c:v>0.245994</c:v>
                </c:pt>
                <c:pt idx="18">
                  <c:v>0.252182</c:v>
                </c:pt>
                <c:pt idx="19">
                  <c:v>0.246435</c:v>
                </c:pt>
                <c:pt idx="20">
                  <c:v>0.341252</c:v>
                </c:pt>
                <c:pt idx="21">
                  <c:v>0.34085</c:v>
                </c:pt>
                <c:pt idx="22">
                  <c:v>0.35483</c:v>
                </c:pt>
                <c:pt idx="23">
                  <c:v>0.218253</c:v>
                </c:pt>
                <c:pt idx="24">
                  <c:v>0.218253</c:v>
                </c:pt>
                <c:pt idx="25">
                  <c:v>0.218173</c:v>
                </c:pt>
                <c:pt idx="26">
                  <c:v>0.218367</c:v>
                </c:pt>
                <c:pt idx="27">
                  <c:v>0.209225</c:v>
                </c:pt>
                <c:pt idx="28">
                  <c:v>0.20904</c:v>
                </c:pt>
                <c:pt idx="29">
                  <c:v>0.208576</c:v>
                </c:pt>
                <c:pt idx="30">
                  <c:v>0.228052</c:v>
                </c:pt>
                <c:pt idx="31">
                  <c:v>0.223401</c:v>
                </c:pt>
                <c:pt idx="32">
                  <c:v>0.207216</c:v>
                </c:pt>
                <c:pt idx="33">
                  <c:v>0.199688</c:v>
                </c:pt>
                <c:pt idx="34">
                  <c:v>0.21678</c:v>
                </c:pt>
                <c:pt idx="35">
                  <c:v>0.192173</c:v>
                </c:pt>
              </c:numCache>
              <c:extLst/>
            </c:numRef>
          </c:val>
          <c:smooth val="0"/>
        </c:ser>
        <c:ser>
          <c:idx val="9"/>
          <c:order val="4"/>
          <c:tx>
            <c:strRef>
              <c:f>Sheet2!$A$11</c:f>
              <c:strCache>
                <c:ptCount val="1"/>
                <c:pt idx="0">
                  <c:v>Oceania</c:v>
                </c:pt>
              </c:strCache>
            </c:strRef>
          </c:tx>
          <c:spPr>
            <a:ln w="12700" cap="rnd">
              <a:solidFill>
                <a:schemeClr val="tx1"/>
              </a:solidFill>
              <a:round/>
            </a:ln>
            <a:effectLst/>
          </c:spPr>
          <c:marker>
            <c:symbol val="none"/>
          </c:marker>
          <c:cat>
            <c:numRef>
              <c:f>Sheet2!$B$1:$AP$1</c:f>
              <c:numCache>
                <c:formatCode>General</c:formatCode>
                <c:ptCount val="36"/>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numCache>
              <c:extLst/>
            </c:numRef>
          </c:cat>
          <c:val>
            <c:numRef>
              <c:f>Sheet2!$B$11:$AP$11</c:f>
              <c:numCache>
                <c:formatCode>General</c:formatCode>
                <c:ptCount val="36"/>
                <c:pt idx="0">
                  <c:v>0.265306</c:v>
                </c:pt>
                <c:pt idx="1">
                  <c:v>0.247232</c:v>
                </c:pt>
                <c:pt idx="2">
                  <c:v>0.0</c:v>
                </c:pt>
                <c:pt idx="3">
                  <c:v>0.0</c:v>
                </c:pt>
                <c:pt idx="4">
                  <c:v>0.0</c:v>
                </c:pt>
                <c:pt idx="5">
                  <c:v>0.0</c:v>
                </c:pt>
                <c:pt idx="6">
                  <c:v>0.0</c:v>
                </c:pt>
                <c:pt idx="7">
                  <c:v>0.0</c:v>
                </c:pt>
                <c:pt idx="8">
                  <c:v>0.0</c:v>
                </c:pt>
                <c:pt idx="9">
                  <c:v>0.0</c:v>
                </c:pt>
                <c:pt idx="10">
                  <c:v>0.0</c:v>
                </c:pt>
                <c:pt idx="11">
                  <c:v>0.0</c:v>
                </c:pt>
                <c:pt idx="12">
                  <c:v>0.0</c:v>
                </c:pt>
                <c:pt idx="13">
                  <c:v>0.0</c:v>
                </c:pt>
                <c:pt idx="14">
                  <c:v>0.0</c:v>
                </c:pt>
                <c:pt idx="15">
                  <c:v>0.0</c:v>
                </c:pt>
                <c:pt idx="16">
                  <c:v>0.0</c:v>
                </c:pt>
                <c:pt idx="17">
                  <c:v>0.0</c:v>
                </c:pt>
                <c:pt idx="18">
                  <c:v>0.0</c:v>
                </c:pt>
                <c:pt idx="19">
                  <c:v>0.0</c:v>
                </c:pt>
                <c:pt idx="20">
                  <c:v>0.0</c:v>
                </c:pt>
                <c:pt idx="21">
                  <c:v>0.0</c:v>
                </c:pt>
                <c:pt idx="22">
                  <c:v>0.0</c:v>
                </c:pt>
                <c:pt idx="23">
                  <c:v>0.0</c:v>
                </c:pt>
                <c:pt idx="24">
                  <c:v>0.0</c:v>
                </c:pt>
                <c:pt idx="25">
                  <c:v>0.0</c:v>
                </c:pt>
                <c:pt idx="26">
                  <c:v>0.0</c:v>
                </c:pt>
                <c:pt idx="27">
                  <c:v>0.0</c:v>
                </c:pt>
                <c:pt idx="28">
                  <c:v>0.0</c:v>
                </c:pt>
                <c:pt idx="29">
                  <c:v>0.0</c:v>
                </c:pt>
                <c:pt idx="30">
                  <c:v>0.0</c:v>
                </c:pt>
                <c:pt idx="31">
                  <c:v>0.0</c:v>
                </c:pt>
                <c:pt idx="32">
                  <c:v>0.0</c:v>
                </c:pt>
                <c:pt idx="33">
                  <c:v>0.0</c:v>
                </c:pt>
                <c:pt idx="34">
                  <c:v>0.0</c:v>
                </c:pt>
                <c:pt idx="35">
                  <c:v>0.0</c:v>
                </c:pt>
              </c:numCache>
              <c:extLst/>
            </c:numRef>
          </c:val>
          <c:smooth val="0"/>
        </c:ser>
        <c:dLbls>
          <c:showLegendKey val="0"/>
          <c:showVal val="0"/>
          <c:showCatName val="0"/>
          <c:showSerName val="0"/>
          <c:showPercent val="0"/>
          <c:showBubbleSize val="0"/>
        </c:dLbls>
        <c:marker val="1"/>
        <c:smooth val="0"/>
        <c:axId val="-2091547864"/>
        <c:axId val="-2091551624"/>
      </c:lineChart>
      <c:catAx>
        <c:axId val="-2091547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551624"/>
        <c:crosses val="autoZero"/>
        <c:auto val="1"/>
        <c:lblAlgn val="ctr"/>
        <c:lblOffset val="100"/>
        <c:tickLblSkip val="5"/>
        <c:tickMarkSkip val="5"/>
        <c:noMultiLvlLbl val="0"/>
      </c:catAx>
      <c:valAx>
        <c:axId val="-2091551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b="0"/>
                </a:pPr>
                <a:r>
                  <a:rPr lang="en-GB" b="0"/>
                  <a:t>Percentage</a:t>
                </a:r>
              </a:p>
            </c:rich>
          </c:tx>
          <c:overlay val="0"/>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547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Inbound visa restrictiveness, by UN sub-region</a:t>
            </a:r>
          </a:p>
        </c:rich>
      </c:tx>
      <c:layout/>
      <c:overlay val="0"/>
      <c:spPr>
        <a:noFill/>
        <a:ln>
          <a:noFill/>
        </a:ln>
        <a:effectLst/>
      </c:spPr>
    </c:title>
    <c:autoTitleDeleted val="0"/>
    <c:plotArea>
      <c:layout/>
      <c:radarChart>
        <c:radarStyle val="marker"/>
        <c:varyColors val="0"/>
        <c:ser>
          <c:idx val="0"/>
          <c:order val="0"/>
          <c:tx>
            <c:strRef>
              <c:f>Sheet2!$K$5</c:f>
              <c:strCache>
                <c:ptCount val="1"/>
                <c:pt idx="0">
                  <c:v>1970s</c:v>
                </c:pt>
              </c:strCache>
            </c:strRef>
          </c:tx>
          <c:spPr>
            <a:ln w="28575" cap="rnd">
              <a:solidFill>
                <a:schemeClr val="accent1"/>
              </a:solidFill>
              <a:round/>
            </a:ln>
            <a:effectLst/>
          </c:spPr>
          <c:marker>
            <c:symbol val="none"/>
          </c:marker>
          <c:cat>
            <c:strRef>
              <c:f>Sheet2!$J$6:$J$25</c:f>
              <c:strCache>
                <c:ptCount val="20"/>
                <c:pt idx="0">
                  <c:v>AF_Eastern Africa</c:v>
                </c:pt>
                <c:pt idx="1">
                  <c:v>AF_Middle Africa</c:v>
                </c:pt>
                <c:pt idx="2">
                  <c:v>AF_Northern Africa</c:v>
                </c:pt>
                <c:pt idx="3">
                  <c:v>AF_Southern Africa</c:v>
                </c:pt>
                <c:pt idx="4">
                  <c:v>AF_Western Africa</c:v>
                </c:pt>
                <c:pt idx="5">
                  <c:v>AM_Caribbean</c:v>
                </c:pt>
                <c:pt idx="6">
                  <c:v>AM_Central America</c:v>
                </c:pt>
                <c:pt idx="7">
                  <c:v>AM_Northern America</c:v>
                </c:pt>
                <c:pt idx="8">
                  <c:v>AM_South America</c:v>
                </c:pt>
                <c:pt idx="9">
                  <c:v>AS_Central Asia</c:v>
                </c:pt>
                <c:pt idx="10">
                  <c:v>AS_Eastern Asia</c:v>
                </c:pt>
                <c:pt idx="11">
                  <c:v>AS_South-Eastern Asia</c:v>
                </c:pt>
                <c:pt idx="12">
                  <c:v>AS_Southern Asia</c:v>
                </c:pt>
                <c:pt idx="13">
                  <c:v>AS_Western Asia</c:v>
                </c:pt>
                <c:pt idx="14">
                  <c:v>EU_Eastern Europe</c:v>
                </c:pt>
                <c:pt idx="15">
                  <c:v>EU_Northern Europe</c:v>
                </c:pt>
                <c:pt idx="16">
                  <c:v>EU_Southern Europe</c:v>
                </c:pt>
                <c:pt idx="17">
                  <c:v>EU_Western Europe</c:v>
                </c:pt>
                <c:pt idx="18">
                  <c:v>OC_Australia and New Zealand</c:v>
                </c:pt>
                <c:pt idx="19">
                  <c:v>OC_Melanesia</c:v>
                </c:pt>
              </c:strCache>
            </c:strRef>
          </c:cat>
          <c:val>
            <c:numRef>
              <c:f>Sheet2!$K$6:$K$25</c:f>
              <c:numCache>
                <c:formatCode>General</c:formatCode>
                <c:ptCount val="20"/>
                <c:pt idx="0">
                  <c:v>0.7568275</c:v>
                </c:pt>
                <c:pt idx="1">
                  <c:v>0.8518211</c:v>
                </c:pt>
                <c:pt idx="2">
                  <c:v>0.6433222</c:v>
                </c:pt>
                <c:pt idx="3">
                  <c:v>0.7180948</c:v>
                </c:pt>
                <c:pt idx="4">
                  <c:v>0.8768713</c:v>
                </c:pt>
                <c:pt idx="5">
                  <c:v>0.5643101</c:v>
                </c:pt>
                <c:pt idx="6">
                  <c:v>0.7472969</c:v>
                </c:pt>
                <c:pt idx="7">
                  <c:v>0.5484511</c:v>
                </c:pt>
                <c:pt idx="8">
                  <c:v>0.5653587</c:v>
                </c:pt>
                <c:pt idx="10">
                  <c:v>0.77039</c:v>
                </c:pt>
                <c:pt idx="11">
                  <c:v>0.7622218</c:v>
                </c:pt>
                <c:pt idx="12">
                  <c:v>0.6867326</c:v>
                </c:pt>
                <c:pt idx="13">
                  <c:v>0.8788221</c:v>
                </c:pt>
                <c:pt idx="14">
                  <c:v>0.787711</c:v>
                </c:pt>
                <c:pt idx="15">
                  <c:v>0.4179905</c:v>
                </c:pt>
                <c:pt idx="16">
                  <c:v>0.5975667</c:v>
                </c:pt>
                <c:pt idx="17">
                  <c:v>0.5448838</c:v>
                </c:pt>
                <c:pt idx="18">
                  <c:v>0.8632026</c:v>
                </c:pt>
                <c:pt idx="19">
                  <c:v>0.8902954</c:v>
                </c:pt>
              </c:numCache>
            </c:numRef>
          </c:val>
        </c:ser>
        <c:ser>
          <c:idx val="1"/>
          <c:order val="1"/>
          <c:tx>
            <c:strRef>
              <c:f>Sheet2!$L$5</c:f>
              <c:strCache>
                <c:ptCount val="1"/>
                <c:pt idx="0">
                  <c:v>1980s</c:v>
                </c:pt>
              </c:strCache>
            </c:strRef>
          </c:tx>
          <c:spPr>
            <a:ln w="28575" cap="rnd">
              <a:solidFill>
                <a:schemeClr val="accent2"/>
              </a:solidFill>
              <a:round/>
            </a:ln>
            <a:effectLst/>
          </c:spPr>
          <c:marker>
            <c:symbol val="none"/>
          </c:marker>
          <c:cat>
            <c:strRef>
              <c:f>Sheet2!$J$6:$J$25</c:f>
              <c:strCache>
                <c:ptCount val="20"/>
                <c:pt idx="0">
                  <c:v>AF_Eastern Africa</c:v>
                </c:pt>
                <c:pt idx="1">
                  <c:v>AF_Middle Africa</c:v>
                </c:pt>
                <c:pt idx="2">
                  <c:v>AF_Northern Africa</c:v>
                </c:pt>
                <c:pt idx="3">
                  <c:v>AF_Southern Africa</c:v>
                </c:pt>
                <c:pt idx="4">
                  <c:v>AF_Western Africa</c:v>
                </c:pt>
                <c:pt idx="5">
                  <c:v>AM_Caribbean</c:v>
                </c:pt>
                <c:pt idx="6">
                  <c:v>AM_Central America</c:v>
                </c:pt>
                <c:pt idx="7">
                  <c:v>AM_Northern America</c:v>
                </c:pt>
                <c:pt idx="8">
                  <c:v>AM_South America</c:v>
                </c:pt>
                <c:pt idx="9">
                  <c:v>AS_Central Asia</c:v>
                </c:pt>
                <c:pt idx="10">
                  <c:v>AS_Eastern Asia</c:v>
                </c:pt>
                <c:pt idx="11">
                  <c:v>AS_South-Eastern Asia</c:v>
                </c:pt>
                <c:pt idx="12">
                  <c:v>AS_Southern Asia</c:v>
                </c:pt>
                <c:pt idx="13">
                  <c:v>AS_Western Asia</c:v>
                </c:pt>
                <c:pt idx="14">
                  <c:v>EU_Eastern Europe</c:v>
                </c:pt>
                <c:pt idx="15">
                  <c:v>EU_Northern Europe</c:v>
                </c:pt>
                <c:pt idx="16">
                  <c:v>EU_Southern Europe</c:v>
                </c:pt>
                <c:pt idx="17">
                  <c:v>EU_Western Europe</c:v>
                </c:pt>
                <c:pt idx="18">
                  <c:v>OC_Australia and New Zealand</c:v>
                </c:pt>
                <c:pt idx="19">
                  <c:v>OC_Melanesia</c:v>
                </c:pt>
              </c:strCache>
            </c:strRef>
          </c:cat>
          <c:val>
            <c:numRef>
              <c:f>Sheet2!$L$6:$L$25</c:f>
              <c:numCache>
                <c:formatCode>General</c:formatCode>
                <c:ptCount val="20"/>
                <c:pt idx="0">
                  <c:v>0.7667077</c:v>
                </c:pt>
                <c:pt idx="1">
                  <c:v>0.9467141</c:v>
                </c:pt>
                <c:pt idx="2">
                  <c:v>0.6638427</c:v>
                </c:pt>
                <c:pt idx="3">
                  <c:v>0.7149054</c:v>
                </c:pt>
                <c:pt idx="4">
                  <c:v>0.8449854</c:v>
                </c:pt>
                <c:pt idx="5">
                  <c:v>0.5506997</c:v>
                </c:pt>
                <c:pt idx="6">
                  <c:v>0.8001263</c:v>
                </c:pt>
                <c:pt idx="7">
                  <c:v>0.6191889</c:v>
                </c:pt>
                <c:pt idx="8">
                  <c:v>0.742031</c:v>
                </c:pt>
                <c:pt idx="10">
                  <c:v>0.6775228</c:v>
                </c:pt>
                <c:pt idx="11">
                  <c:v>0.6190398</c:v>
                </c:pt>
                <c:pt idx="12">
                  <c:v>0.8419898</c:v>
                </c:pt>
                <c:pt idx="13">
                  <c:v>0.8841844</c:v>
                </c:pt>
                <c:pt idx="14">
                  <c:v>0.8972653</c:v>
                </c:pt>
                <c:pt idx="15">
                  <c:v>0.4525539</c:v>
                </c:pt>
                <c:pt idx="16">
                  <c:v>0.6115593</c:v>
                </c:pt>
                <c:pt idx="17">
                  <c:v>0.603431</c:v>
                </c:pt>
                <c:pt idx="18">
                  <c:v>0.889604</c:v>
                </c:pt>
                <c:pt idx="19">
                  <c:v>0.9699803</c:v>
                </c:pt>
              </c:numCache>
            </c:numRef>
          </c:val>
        </c:ser>
        <c:ser>
          <c:idx val="2"/>
          <c:order val="2"/>
          <c:tx>
            <c:strRef>
              <c:f>Sheet2!$M$5</c:f>
              <c:strCache>
                <c:ptCount val="1"/>
                <c:pt idx="0">
                  <c:v>1990s</c:v>
                </c:pt>
              </c:strCache>
            </c:strRef>
          </c:tx>
          <c:spPr>
            <a:ln w="28575" cap="rnd">
              <a:solidFill>
                <a:schemeClr val="accent3"/>
              </a:solidFill>
              <a:round/>
            </a:ln>
            <a:effectLst/>
          </c:spPr>
          <c:marker>
            <c:symbol val="none"/>
          </c:marker>
          <c:cat>
            <c:strRef>
              <c:f>Sheet2!$J$6:$J$25</c:f>
              <c:strCache>
                <c:ptCount val="20"/>
                <c:pt idx="0">
                  <c:v>AF_Eastern Africa</c:v>
                </c:pt>
                <c:pt idx="1">
                  <c:v>AF_Middle Africa</c:v>
                </c:pt>
                <c:pt idx="2">
                  <c:v>AF_Northern Africa</c:v>
                </c:pt>
                <c:pt idx="3">
                  <c:v>AF_Southern Africa</c:v>
                </c:pt>
                <c:pt idx="4">
                  <c:v>AF_Western Africa</c:v>
                </c:pt>
                <c:pt idx="5">
                  <c:v>AM_Caribbean</c:v>
                </c:pt>
                <c:pt idx="6">
                  <c:v>AM_Central America</c:v>
                </c:pt>
                <c:pt idx="7">
                  <c:v>AM_Northern America</c:v>
                </c:pt>
                <c:pt idx="8">
                  <c:v>AM_South America</c:v>
                </c:pt>
                <c:pt idx="9">
                  <c:v>AS_Central Asia</c:v>
                </c:pt>
                <c:pt idx="10">
                  <c:v>AS_Eastern Asia</c:v>
                </c:pt>
                <c:pt idx="11">
                  <c:v>AS_South-Eastern Asia</c:v>
                </c:pt>
                <c:pt idx="12">
                  <c:v>AS_Southern Asia</c:v>
                </c:pt>
                <c:pt idx="13">
                  <c:v>AS_Western Asia</c:v>
                </c:pt>
                <c:pt idx="14">
                  <c:v>EU_Eastern Europe</c:v>
                </c:pt>
                <c:pt idx="15">
                  <c:v>EU_Northern Europe</c:v>
                </c:pt>
                <c:pt idx="16">
                  <c:v>EU_Southern Europe</c:v>
                </c:pt>
                <c:pt idx="17">
                  <c:v>EU_Western Europe</c:v>
                </c:pt>
                <c:pt idx="18">
                  <c:v>OC_Australia and New Zealand</c:v>
                </c:pt>
                <c:pt idx="19">
                  <c:v>OC_Melanesia</c:v>
                </c:pt>
              </c:strCache>
            </c:strRef>
          </c:cat>
          <c:val>
            <c:numRef>
              <c:f>Sheet2!$M$6:$M$25</c:f>
              <c:numCache>
                <c:formatCode>General</c:formatCode>
                <c:ptCount val="20"/>
                <c:pt idx="0">
                  <c:v>0.8336999</c:v>
                </c:pt>
                <c:pt idx="1">
                  <c:v>0.961385</c:v>
                </c:pt>
                <c:pt idx="2">
                  <c:v>0.7218134</c:v>
                </c:pt>
                <c:pt idx="3">
                  <c:v>0.647703</c:v>
                </c:pt>
                <c:pt idx="4">
                  <c:v>0.8709794</c:v>
                </c:pt>
                <c:pt idx="5">
                  <c:v>0.5040404</c:v>
                </c:pt>
                <c:pt idx="6">
                  <c:v>0.7248456</c:v>
                </c:pt>
                <c:pt idx="7">
                  <c:v>0.6360586</c:v>
                </c:pt>
                <c:pt idx="8">
                  <c:v>0.6291245</c:v>
                </c:pt>
                <c:pt idx="9">
                  <c:v>0.9205945</c:v>
                </c:pt>
                <c:pt idx="10">
                  <c:v>0.6966984</c:v>
                </c:pt>
                <c:pt idx="11">
                  <c:v>0.6681657</c:v>
                </c:pt>
                <c:pt idx="12">
                  <c:v>0.928529</c:v>
                </c:pt>
                <c:pt idx="13">
                  <c:v>0.8895526</c:v>
                </c:pt>
                <c:pt idx="14">
                  <c:v>0.7833694</c:v>
                </c:pt>
                <c:pt idx="15">
                  <c:v>0.6044594</c:v>
                </c:pt>
                <c:pt idx="16">
                  <c:v>0.6804736</c:v>
                </c:pt>
                <c:pt idx="17">
                  <c:v>0.6007846</c:v>
                </c:pt>
                <c:pt idx="18">
                  <c:v>0.8504025</c:v>
                </c:pt>
                <c:pt idx="19">
                  <c:v>0.9955536</c:v>
                </c:pt>
              </c:numCache>
            </c:numRef>
          </c:val>
        </c:ser>
        <c:ser>
          <c:idx val="3"/>
          <c:order val="3"/>
          <c:tx>
            <c:strRef>
              <c:f>Sheet2!$N$5</c:f>
              <c:strCache>
                <c:ptCount val="1"/>
                <c:pt idx="0">
                  <c:v>2000s</c:v>
                </c:pt>
              </c:strCache>
            </c:strRef>
          </c:tx>
          <c:spPr>
            <a:ln w="28575" cap="rnd">
              <a:solidFill>
                <a:schemeClr val="accent4"/>
              </a:solidFill>
              <a:round/>
            </a:ln>
            <a:effectLst/>
          </c:spPr>
          <c:marker>
            <c:symbol val="none"/>
          </c:marker>
          <c:cat>
            <c:strRef>
              <c:f>Sheet2!$J$6:$J$25</c:f>
              <c:strCache>
                <c:ptCount val="20"/>
                <c:pt idx="0">
                  <c:v>AF_Eastern Africa</c:v>
                </c:pt>
                <c:pt idx="1">
                  <c:v>AF_Middle Africa</c:v>
                </c:pt>
                <c:pt idx="2">
                  <c:v>AF_Northern Africa</c:v>
                </c:pt>
                <c:pt idx="3">
                  <c:v>AF_Southern Africa</c:v>
                </c:pt>
                <c:pt idx="4">
                  <c:v>AF_Western Africa</c:v>
                </c:pt>
                <c:pt idx="5">
                  <c:v>AM_Caribbean</c:v>
                </c:pt>
                <c:pt idx="6">
                  <c:v>AM_Central America</c:v>
                </c:pt>
                <c:pt idx="7">
                  <c:v>AM_Northern America</c:v>
                </c:pt>
                <c:pt idx="8">
                  <c:v>AM_South America</c:v>
                </c:pt>
                <c:pt idx="9">
                  <c:v>AS_Central Asia</c:v>
                </c:pt>
                <c:pt idx="10">
                  <c:v>AS_Eastern Asia</c:v>
                </c:pt>
                <c:pt idx="11">
                  <c:v>AS_South-Eastern Asia</c:v>
                </c:pt>
                <c:pt idx="12">
                  <c:v>AS_Southern Asia</c:v>
                </c:pt>
                <c:pt idx="13">
                  <c:v>AS_Western Asia</c:v>
                </c:pt>
                <c:pt idx="14">
                  <c:v>EU_Eastern Europe</c:v>
                </c:pt>
                <c:pt idx="15">
                  <c:v>EU_Northern Europe</c:v>
                </c:pt>
                <c:pt idx="16">
                  <c:v>EU_Southern Europe</c:v>
                </c:pt>
                <c:pt idx="17">
                  <c:v>EU_Western Europe</c:v>
                </c:pt>
                <c:pt idx="18">
                  <c:v>OC_Australia and New Zealand</c:v>
                </c:pt>
                <c:pt idx="19">
                  <c:v>OC_Melanesia</c:v>
                </c:pt>
              </c:strCache>
            </c:strRef>
          </c:cat>
          <c:val>
            <c:numRef>
              <c:f>Sheet2!$N$6:$N$25</c:f>
              <c:numCache>
                <c:formatCode>General</c:formatCode>
                <c:ptCount val="20"/>
                <c:pt idx="0">
                  <c:v>0.863035</c:v>
                </c:pt>
                <c:pt idx="1">
                  <c:v>0.9719791</c:v>
                </c:pt>
                <c:pt idx="2">
                  <c:v>0.736587</c:v>
                </c:pt>
                <c:pt idx="3">
                  <c:v>0.5970565</c:v>
                </c:pt>
                <c:pt idx="4">
                  <c:v>0.8886611</c:v>
                </c:pt>
                <c:pt idx="5">
                  <c:v>0.4532382</c:v>
                </c:pt>
                <c:pt idx="6">
                  <c:v>0.5609089</c:v>
                </c:pt>
                <c:pt idx="7">
                  <c:v>0.627685</c:v>
                </c:pt>
                <c:pt idx="8">
                  <c:v>0.5933532</c:v>
                </c:pt>
                <c:pt idx="9">
                  <c:v>0.9398897</c:v>
                </c:pt>
                <c:pt idx="10">
                  <c:v>0.673812</c:v>
                </c:pt>
                <c:pt idx="11">
                  <c:v>0.6939113</c:v>
                </c:pt>
                <c:pt idx="12">
                  <c:v>0.854802</c:v>
                </c:pt>
                <c:pt idx="13">
                  <c:v>0.8857678</c:v>
                </c:pt>
                <c:pt idx="14">
                  <c:v>0.7035446</c:v>
                </c:pt>
                <c:pt idx="15">
                  <c:v>0.562595</c:v>
                </c:pt>
                <c:pt idx="16">
                  <c:v>0.5989884</c:v>
                </c:pt>
                <c:pt idx="17">
                  <c:v>0.5711571</c:v>
                </c:pt>
                <c:pt idx="18">
                  <c:v>0.7734686</c:v>
                </c:pt>
                <c:pt idx="19">
                  <c:v>0.9956245</c:v>
                </c:pt>
              </c:numCache>
            </c:numRef>
          </c:val>
        </c:ser>
        <c:dLbls>
          <c:showLegendKey val="0"/>
          <c:showVal val="0"/>
          <c:showCatName val="0"/>
          <c:showSerName val="0"/>
          <c:showPercent val="0"/>
          <c:showBubbleSize val="0"/>
        </c:dLbls>
        <c:axId val="-2091617736"/>
        <c:axId val="-2091621496"/>
      </c:radarChart>
      <c:catAx>
        <c:axId val="-2091617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621496"/>
        <c:crosses val="autoZero"/>
        <c:auto val="1"/>
        <c:lblAlgn val="ctr"/>
        <c:lblOffset val="100"/>
        <c:noMultiLvlLbl val="0"/>
      </c:catAx>
      <c:valAx>
        <c:axId val="-2091621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61773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Outbound Visa Restrictiveness, by UN-subregion</a:t>
            </a:r>
          </a:p>
        </c:rich>
      </c:tx>
      <c:layout/>
      <c:overlay val="0"/>
      <c:spPr>
        <a:noFill/>
        <a:ln>
          <a:noFill/>
        </a:ln>
        <a:effectLst/>
      </c:spPr>
    </c:title>
    <c:autoTitleDeleted val="0"/>
    <c:plotArea>
      <c:layout/>
      <c:radarChart>
        <c:radarStyle val="marker"/>
        <c:varyColors val="0"/>
        <c:ser>
          <c:idx val="0"/>
          <c:order val="0"/>
          <c:tx>
            <c:strRef>
              <c:f>Sheet2!$K$31</c:f>
              <c:strCache>
                <c:ptCount val="1"/>
                <c:pt idx="0">
                  <c:v>1970s</c:v>
                </c:pt>
              </c:strCache>
            </c:strRef>
          </c:tx>
          <c:spPr>
            <a:ln w="28575" cap="rnd">
              <a:solidFill>
                <a:schemeClr val="accent1"/>
              </a:solidFill>
              <a:round/>
            </a:ln>
            <a:effectLst/>
          </c:spPr>
          <c:marker>
            <c:symbol val="none"/>
          </c:marker>
          <c:cat>
            <c:strRef>
              <c:f>Sheet2!$J$32:$J$51</c:f>
              <c:strCache>
                <c:ptCount val="20"/>
                <c:pt idx="0">
                  <c:v>AF_Eastern Africa</c:v>
                </c:pt>
                <c:pt idx="1">
                  <c:v>AF_Middle Africa</c:v>
                </c:pt>
                <c:pt idx="2">
                  <c:v>AF_Northern Africa</c:v>
                </c:pt>
                <c:pt idx="3">
                  <c:v>AF_Southern Africa</c:v>
                </c:pt>
                <c:pt idx="4">
                  <c:v>AF_Western Africa</c:v>
                </c:pt>
                <c:pt idx="5">
                  <c:v>AM_Caribbean</c:v>
                </c:pt>
                <c:pt idx="6">
                  <c:v>AM_Central America</c:v>
                </c:pt>
                <c:pt idx="7">
                  <c:v>AM_Northern America</c:v>
                </c:pt>
                <c:pt idx="8">
                  <c:v>AM_South America</c:v>
                </c:pt>
                <c:pt idx="9">
                  <c:v>AS_Central Asia</c:v>
                </c:pt>
                <c:pt idx="10">
                  <c:v>AS_Eastern Asia</c:v>
                </c:pt>
                <c:pt idx="11">
                  <c:v>AS_South-Eastern Asia</c:v>
                </c:pt>
                <c:pt idx="12">
                  <c:v>AS_Southern Asia</c:v>
                </c:pt>
                <c:pt idx="13">
                  <c:v>AS_Western Asia</c:v>
                </c:pt>
                <c:pt idx="14">
                  <c:v>EU_Eastern Europe</c:v>
                </c:pt>
                <c:pt idx="15">
                  <c:v>EU_Northern Europe</c:v>
                </c:pt>
                <c:pt idx="16">
                  <c:v>EU_Southern Europe</c:v>
                </c:pt>
                <c:pt idx="17">
                  <c:v>EU_Western Europe</c:v>
                </c:pt>
                <c:pt idx="18">
                  <c:v>OC_Australia and New Zealand</c:v>
                </c:pt>
                <c:pt idx="19">
                  <c:v>OC_Melanesia</c:v>
                </c:pt>
              </c:strCache>
            </c:strRef>
          </c:cat>
          <c:val>
            <c:numRef>
              <c:f>Sheet2!$K$32:$K$51</c:f>
              <c:numCache>
                <c:formatCode>General</c:formatCode>
                <c:ptCount val="20"/>
                <c:pt idx="0">
                  <c:v>0.7546476</c:v>
                </c:pt>
                <c:pt idx="1">
                  <c:v>0.8567639</c:v>
                </c:pt>
                <c:pt idx="2">
                  <c:v>0.806689</c:v>
                </c:pt>
                <c:pt idx="3">
                  <c:v>0.6862212</c:v>
                </c:pt>
                <c:pt idx="4">
                  <c:v>0.752206</c:v>
                </c:pt>
                <c:pt idx="5">
                  <c:v>0.5856044</c:v>
                </c:pt>
                <c:pt idx="6">
                  <c:v>0.7175893</c:v>
                </c:pt>
                <c:pt idx="7">
                  <c:v>0.4537757</c:v>
                </c:pt>
                <c:pt idx="8">
                  <c:v>0.6664301</c:v>
                </c:pt>
                <c:pt idx="10">
                  <c:v>0.8622829</c:v>
                </c:pt>
                <c:pt idx="11">
                  <c:v>0.8253142</c:v>
                </c:pt>
                <c:pt idx="12">
                  <c:v>0.8075356</c:v>
                </c:pt>
                <c:pt idx="13">
                  <c:v>0.8370439</c:v>
                </c:pt>
                <c:pt idx="14">
                  <c:v>0.9014823</c:v>
                </c:pt>
                <c:pt idx="15">
                  <c:v>0.4496207</c:v>
                </c:pt>
                <c:pt idx="16">
                  <c:v>0.6404202</c:v>
                </c:pt>
                <c:pt idx="17">
                  <c:v>0.5323799</c:v>
                </c:pt>
                <c:pt idx="18">
                  <c:v>0.5366133</c:v>
                </c:pt>
                <c:pt idx="19">
                  <c:v>0.6611871</c:v>
                </c:pt>
              </c:numCache>
            </c:numRef>
          </c:val>
        </c:ser>
        <c:ser>
          <c:idx val="1"/>
          <c:order val="1"/>
          <c:tx>
            <c:strRef>
              <c:f>Sheet2!$L$31</c:f>
              <c:strCache>
                <c:ptCount val="1"/>
                <c:pt idx="0">
                  <c:v>1980s</c:v>
                </c:pt>
              </c:strCache>
            </c:strRef>
          </c:tx>
          <c:spPr>
            <a:ln w="28575" cap="rnd">
              <a:solidFill>
                <a:schemeClr val="accent2"/>
              </a:solidFill>
              <a:round/>
            </a:ln>
            <a:effectLst/>
          </c:spPr>
          <c:marker>
            <c:symbol val="none"/>
          </c:marker>
          <c:cat>
            <c:strRef>
              <c:f>Sheet2!$J$32:$J$51</c:f>
              <c:strCache>
                <c:ptCount val="20"/>
                <c:pt idx="0">
                  <c:v>AF_Eastern Africa</c:v>
                </c:pt>
                <c:pt idx="1">
                  <c:v>AF_Middle Africa</c:v>
                </c:pt>
                <c:pt idx="2">
                  <c:v>AF_Northern Africa</c:v>
                </c:pt>
                <c:pt idx="3">
                  <c:v>AF_Southern Africa</c:v>
                </c:pt>
                <c:pt idx="4">
                  <c:v>AF_Western Africa</c:v>
                </c:pt>
                <c:pt idx="5">
                  <c:v>AM_Caribbean</c:v>
                </c:pt>
                <c:pt idx="6">
                  <c:v>AM_Central America</c:v>
                </c:pt>
                <c:pt idx="7">
                  <c:v>AM_Northern America</c:v>
                </c:pt>
                <c:pt idx="8">
                  <c:v>AM_South America</c:v>
                </c:pt>
                <c:pt idx="9">
                  <c:v>AS_Central Asia</c:v>
                </c:pt>
                <c:pt idx="10">
                  <c:v>AS_Eastern Asia</c:v>
                </c:pt>
                <c:pt idx="11">
                  <c:v>AS_South-Eastern Asia</c:v>
                </c:pt>
                <c:pt idx="12">
                  <c:v>AS_Southern Asia</c:v>
                </c:pt>
                <c:pt idx="13">
                  <c:v>AS_Western Asia</c:v>
                </c:pt>
                <c:pt idx="14">
                  <c:v>EU_Eastern Europe</c:v>
                </c:pt>
                <c:pt idx="15">
                  <c:v>EU_Northern Europe</c:v>
                </c:pt>
                <c:pt idx="16">
                  <c:v>EU_Southern Europe</c:v>
                </c:pt>
                <c:pt idx="17">
                  <c:v>EU_Western Europe</c:v>
                </c:pt>
                <c:pt idx="18">
                  <c:v>OC_Australia and New Zealand</c:v>
                </c:pt>
                <c:pt idx="19">
                  <c:v>OC_Melanesia</c:v>
                </c:pt>
              </c:strCache>
            </c:strRef>
          </c:cat>
          <c:val>
            <c:numRef>
              <c:f>Sheet2!$L$32:$L$51</c:f>
              <c:numCache>
                <c:formatCode>General</c:formatCode>
                <c:ptCount val="20"/>
                <c:pt idx="0">
                  <c:v>0.779706</c:v>
                </c:pt>
                <c:pt idx="1">
                  <c:v>0.8860967</c:v>
                </c:pt>
                <c:pt idx="2">
                  <c:v>0.8387647</c:v>
                </c:pt>
                <c:pt idx="3">
                  <c:v>0.7441829</c:v>
                </c:pt>
                <c:pt idx="4">
                  <c:v>0.7589241</c:v>
                </c:pt>
                <c:pt idx="5">
                  <c:v>0.6302921</c:v>
                </c:pt>
                <c:pt idx="6">
                  <c:v>0.7625915</c:v>
                </c:pt>
                <c:pt idx="7">
                  <c:v>0.4865879</c:v>
                </c:pt>
                <c:pt idx="8">
                  <c:v>0.706219</c:v>
                </c:pt>
                <c:pt idx="10">
                  <c:v>0.8540423</c:v>
                </c:pt>
                <c:pt idx="11">
                  <c:v>0.8526488</c:v>
                </c:pt>
                <c:pt idx="12">
                  <c:v>0.8660218</c:v>
                </c:pt>
                <c:pt idx="13">
                  <c:v>0.8502934</c:v>
                </c:pt>
                <c:pt idx="14">
                  <c:v>0.8990712</c:v>
                </c:pt>
                <c:pt idx="15">
                  <c:v>0.4620967</c:v>
                </c:pt>
                <c:pt idx="16">
                  <c:v>0.634353</c:v>
                </c:pt>
                <c:pt idx="17">
                  <c:v>0.5452753</c:v>
                </c:pt>
                <c:pt idx="18">
                  <c:v>0.5798447</c:v>
                </c:pt>
                <c:pt idx="19">
                  <c:v>0.6979629</c:v>
                </c:pt>
              </c:numCache>
            </c:numRef>
          </c:val>
        </c:ser>
        <c:ser>
          <c:idx val="2"/>
          <c:order val="2"/>
          <c:tx>
            <c:strRef>
              <c:f>Sheet2!$M$31</c:f>
              <c:strCache>
                <c:ptCount val="1"/>
                <c:pt idx="0">
                  <c:v>1990s</c:v>
                </c:pt>
              </c:strCache>
            </c:strRef>
          </c:tx>
          <c:spPr>
            <a:ln w="28575" cap="rnd">
              <a:solidFill>
                <a:schemeClr val="accent3"/>
              </a:solidFill>
              <a:round/>
            </a:ln>
            <a:effectLst/>
          </c:spPr>
          <c:marker>
            <c:symbol val="none"/>
          </c:marker>
          <c:cat>
            <c:strRef>
              <c:f>Sheet2!$J$32:$J$51</c:f>
              <c:strCache>
                <c:ptCount val="20"/>
                <c:pt idx="0">
                  <c:v>AF_Eastern Africa</c:v>
                </c:pt>
                <c:pt idx="1">
                  <c:v>AF_Middle Africa</c:v>
                </c:pt>
                <c:pt idx="2">
                  <c:v>AF_Northern Africa</c:v>
                </c:pt>
                <c:pt idx="3">
                  <c:v>AF_Southern Africa</c:v>
                </c:pt>
                <c:pt idx="4">
                  <c:v>AF_Western Africa</c:v>
                </c:pt>
                <c:pt idx="5">
                  <c:v>AM_Caribbean</c:v>
                </c:pt>
                <c:pt idx="6">
                  <c:v>AM_Central America</c:v>
                </c:pt>
                <c:pt idx="7">
                  <c:v>AM_Northern America</c:v>
                </c:pt>
                <c:pt idx="8">
                  <c:v>AM_South America</c:v>
                </c:pt>
                <c:pt idx="9">
                  <c:v>AS_Central Asia</c:v>
                </c:pt>
                <c:pt idx="10">
                  <c:v>AS_Eastern Asia</c:v>
                </c:pt>
                <c:pt idx="11">
                  <c:v>AS_South-Eastern Asia</c:v>
                </c:pt>
                <c:pt idx="12">
                  <c:v>AS_Southern Asia</c:v>
                </c:pt>
                <c:pt idx="13">
                  <c:v>AS_Western Asia</c:v>
                </c:pt>
                <c:pt idx="14">
                  <c:v>EU_Eastern Europe</c:v>
                </c:pt>
                <c:pt idx="15">
                  <c:v>EU_Northern Europe</c:v>
                </c:pt>
                <c:pt idx="16">
                  <c:v>EU_Southern Europe</c:v>
                </c:pt>
                <c:pt idx="17">
                  <c:v>EU_Western Europe</c:v>
                </c:pt>
                <c:pt idx="18">
                  <c:v>OC_Australia and New Zealand</c:v>
                </c:pt>
                <c:pt idx="19">
                  <c:v>OC_Melanesia</c:v>
                </c:pt>
              </c:strCache>
            </c:strRef>
          </c:cat>
          <c:val>
            <c:numRef>
              <c:f>Sheet2!$M$32:$M$51</c:f>
              <c:numCache>
                <c:formatCode>General</c:formatCode>
                <c:ptCount val="20"/>
                <c:pt idx="0">
                  <c:v>0.8126716</c:v>
                </c:pt>
                <c:pt idx="1">
                  <c:v>0.9129145</c:v>
                </c:pt>
                <c:pt idx="2">
                  <c:v>0.8956605</c:v>
                </c:pt>
                <c:pt idx="3">
                  <c:v>0.7825372</c:v>
                </c:pt>
                <c:pt idx="4">
                  <c:v>0.8063648</c:v>
                </c:pt>
                <c:pt idx="5">
                  <c:v>0.6408889</c:v>
                </c:pt>
                <c:pt idx="6">
                  <c:v>0.737545</c:v>
                </c:pt>
                <c:pt idx="7">
                  <c:v>0.4803287</c:v>
                </c:pt>
                <c:pt idx="8">
                  <c:v>0.699391</c:v>
                </c:pt>
                <c:pt idx="9">
                  <c:v>0.8774393</c:v>
                </c:pt>
                <c:pt idx="10">
                  <c:v>0.8086359</c:v>
                </c:pt>
                <c:pt idx="11">
                  <c:v>0.8301819</c:v>
                </c:pt>
                <c:pt idx="12">
                  <c:v>0.9016497</c:v>
                </c:pt>
                <c:pt idx="13">
                  <c:v>0.8454138</c:v>
                </c:pt>
                <c:pt idx="14">
                  <c:v>0.7669531</c:v>
                </c:pt>
                <c:pt idx="15">
                  <c:v>0.550608</c:v>
                </c:pt>
                <c:pt idx="16">
                  <c:v>0.6482776</c:v>
                </c:pt>
                <c:pt idx="17">
                  <c:v>0.4953437</c:v>
                </c:pt>
                <c:pt idx="18">
                  <c:v>0.5404896</c:v>
                </c:pt>
                <c:pt idx="19">
                  <c:v>0.721623</c:v>
                </c:pt>
              </c:numCache>
            </c:numRef>
          </c:val>
        </c:ser>
        <c:ser>
          <c:idx val="3"/>
          <c:order val="3"/>
          <c:tx>
            <c:strRef>
              <c:f>Sheet2!$N$31</c:f>
              <c:strCache>
                <c:ptCount val="1"/>
                <c:pt idx="0">
                  <c:v>2000s</c:v>
                </c:pt>
              </c:strCache>
            </c:strRef>
          </c:tx>
          <c:spPr>
            <a:ln w="28575" cap="rnd">
              <a:solidFill>
                <a:schemeClr val="accent4"/>
              </a:solidFill>
              <a:round/>
            </a:ln>
            <a:effectLst/>
          </c:spPr>
          <c:marker>
            <c:symbol val="none"/>
          </c:marker>
          <c:cat>
            <c:strRef>
              <c:f>Sheet2!$J$32:$J$51</c:f>
              <c:strCache>
                <c:ptCount val="20"/>
                <c:pt idx="0">
                  <c:v>AF_Eastern Africa</c:v>
                </c:pt>
                <c:pt idx="1">
                  <c:v>AF_Middle Africa</c:v>
                </c:pt>
                <c:pt idx="2">
                  <c:v>AF_Northern Africa</c:v>
                </c:pt>
                <c:pt idx="3">
                  <c:v>AF_Southern Africa</c:v>
                </c:pt>
                <c:pt idx="4">
                  <c:v>AF_Western Africa</c:v>
                </c:pt>
                <c:pt idx="5">
                  <c:v>AM_Caribbean</c:v>
                </c:pt>
                <c:pt idx="6">
                  <c:v>AM_Central America</c:v>
                </c:pt>
                <c:pt idx="7">
                  <c:v>AM_Northern America</c:v>
                </c:pt>
                <c:pt idx="8">
                  <c:v>AM_South America</c:v>
                </c:pt>
                <c:pt idx="9">
                  <c:v>AS_Central Asia</c:v>
                </c:pt>
                <c:pt idx="10">
                  <c:v>AS_Eastern Asia</c:v>
                </c:pt>
                <c:pt idx="11">
                  <c:v>AS_South-Eastern Asia</c:v>
                </c:pt>
                <c:pt idx="12">
                  <c:v>AS_Southern Asia</c:v>
                </c:pt>
                <c:pt idx="13">
                  <c:v>AS_Western Asia</c:v>
                </c:pt>
                <c:pt idx="14">
                  <c:v>EU_Eastern Europe</c:v>
                </c:pt>
                <c:pt idx="15">
                  <c:v>EU_Northern Europe</c:v>
                </c:pt>
                <c:pt idx="16">
                  <c:v>EU_Southern Europe</c:v>
                </c:pt>
                <c:pt idx="17">
                  <c:v>EU_Western Europe</c:v>
                </c:pt>
                <c:pt idx="18">
                  <c:v>OC_Australia and New Zealand</c:v>
                </c:pt>
                <c:pt idx="19">
                  <c:v>OC_Melanesia</c:v>
                </c:pt>
              </c:strCache>
            </c:strRef>
          </c:cat>
          <c:val>
            <c:numRef>
              <c:f>Sheet2!$N$32:$N$51</c:f>
              <c:numCache>
                <c:formatCode>General</c:formatCode>
                <c:ptCount val="20"/>
                <c:pt idx="0">
                  <c:v>0.8256876</c:v>
                </c:pt>
                <c:pt idx="1">
                  <c:v>0.9263527</c:v>
                </c:pt>
                <c:pt idx="2">
                  <c:v>0.9142073</c:v>
                </c:pt>
                <c:pt idx="3">
                  <c:v>0.7989404</c:v>
                </c:pt>
                <c:pt idx="4">
                  <c:v>0.8302034</c:v>
                </c:pt>
                <c:pt idx="5">
                  <c:v>0.6218516</c:v>
                </c:pt>
                <c:pt idx="6">
                  <c:v>0.6284474</c:v>
                </c:pt>
                <c:pt idx="7">
                  <c:v>0.4426784</c:v>
                </c:pt>
                <c:pt idx="8">
                  <c:v>0.6521696</c:v>
                </c:pt>
                <c:pt idx="9">
                  <c:v>0.894394</c:v>
                </c:pt>
                <c:pt idx="10">
                  <c:v>0.7108661</c:v>
                </c:pt>
                <c:pt idx="11">
                  <c:v>0.7946407</c:v>
                </c:pt>
                <c:pt idx="12">
                  <c:v>0.9226046</c:v>
                </c:pt>
                <c:pt idx="13">
                  <c:v>0.8379305</c:v>
                </c:pt>
                <c:pt idx="14">
                  <c:v>0.6568654</c:v>
                </c:pt>
                <c:pt idx="15">
                  <c:v>0.4522582</c:v>
                </c:pt>
                <c:pt idx="16">
                  <c:v>0.5890645</c:v>
                </c:pt>
                <c:pt idx="17">
                  <c:v>0.4370777</c:v>
                </c:pt>
                <c:pt idx="18">
                  <c:v>0.4608709</c:v>
                </c:pt>
                <c:pt idx="19">
                  <c:v>0.7389239</c:v>
                </c:pt>
              </c:numCache>
            </c:numRef>
          </c:val>
        </c:ser>
        <c:dLbls>
          <c:showLegendKey val="0"/>
          <c:showVal val="0"/>
          <c:showCatName val="0"/>
          <c:showSerName val="0"/>
          <c:showPercent val="0"/>
          <c:showBubbleSize val="0"/>
        </c:dLbls>
        <c:axId val="-2094332424"/>
        <c:axId val="-2094328808"/>
      </c:radarChart>
      <c:catAx>
        <c:axId val="-2094332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4328808"/>
        <c:crosses val="autoZero"/>
        <c:auto val="1"/>
        <c:lblAlgn val="ctr"/>
        <c:lblOffset val="100"/>
        <c:noMultiLvlLbl val="0"/>
      </c:catAx>
      <c:valAx>
        <c:axId val="-2094328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433242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Sheet1!$A$12</c:f>
              <c:strCache>
                <c:ptCount val="1"/>
                <c:pt idx="0">
                  <c:v>Visa-free countries</c:v>
                </c:pt>
              </c:strCache>
            </c:strRef>
          </c:tx>
          <c:spPr>
            <a:ln w="28575" cap="rnd">
              <a:solidFill>
                <a:schemeClr val="dk1">
                  <a:tint val="88500"/>
                </a:schemeClr>
              </a:solidFill>
              <a:round/>
            </a:ln>
            <a:effectLst/>
          </c:spPr>
          <c:marker>
            <c:symbol val="none"/>
          </c:marker>
          <c:cat>
            <c:numRef>
              <c:f>Sheet1!$B$1:$AP$1</c:f>
              <c:numCache>
                <c:formatCode>General</c:formatCode>
                <c:ptCount val="41"/>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pt idx="36">
                  <c:v>2009.0</c:v>
                </c:pt>
                <c:pt idx="37">
                  <c:v>2010.0</c:v>
                </c:pt>
                <c:pt idx="38">
                  <c:v>2011.0</c:v>
                </c:pt>
                <c:pt idx="39">
                  <c:v>2012.0</c:v>
                </c:pt>
                <c:pt idx="40">
                  <c:v>2013.0</c:v>
                </c:pt>
              </c:numCache>
            </c:numRef>
          </c:cat>
          <c:val>
            <c:numRef>
              <c:f>Sheet1!$B$12:$AP$12</c:f>
              <c:numCache>
                <c:formatCode>General</c:formatCode>
                <c:ptCount val="41"/>
                <c:pt idx="0">
                  <c:v>2262.929</c:v>
                </c:pt>
                <c:pt idx="1">
                  <c:v>2454.735</c:v>
                </c:pt>
                <c:pt idx="2">
                  <c:v>2426.206</c:v>
                </c:pt>
                <c:pt idx="3">
                  <c:v>2367.401</c:v>
                </c:pt>
                <c:pt idx="4">
                  <c:v>2411.502</c:v>
                </c:pt>
                <c:pt idx="5">
                  <c:v>2450.742999999999</c:v>
                </c:pt>
                <c:pt idx="6">
                  <c:v>2484.516</c:v>
                </c:pt>
                <c:pt idx="7">
                  <c:v>2410.963</c:v>
                </c:pt>
                <c:pt idx="8">
                  <c:v>2371.6</c:v>
                </c:pt>
                <c:pt idx="9">
                  <c:v>2329.215</c:v>
                </c:pt>
                <c:pt idx="10">
                  <c:v>2314.271</c:v>
                </c:pt>
                <c:pt idx="11">
                  <c:v>2319.519</c:v>
                </c:pt>
                <c:pt idx="12">
                  <c:v>2206.779</c:v>
                </c:pt>
                <c:pt idx="13">
                  <c:v>2221.968</c:v>
                </c:pt>
                <c:pt idx="14">
                  <c:v>2116.066</c:v>
                </c:pt>
                <c:pt idx="15">
                  <c:v>2100.157</c:v>
                </c:pt>
                <c:pt idx="16">
                  <c:v>2100.426</c:v>
                </c:pt>
                <c:pt idx="17">
                  <c:v>2169.593</c:v>
                </c:pt>
                <c:pt idx="18">
                  <c:v>2122.266</c:v>
                </c:pt>
                <c:pt idx="19">
                  <c:v>2156.012</c:v>
                </c:pt>
                <c:pt idx="20">
                  <c:v>1939.859</c:v>
                </c:pt>
                <c:pt idx="21">
                  <c:v>1942.564</c:v>
                </c:pt>
                <c:pt idx="22">
                  <c:v>1961.673</c:v>
                </c:pt>
                <c:pt idx="23">
                  <c:v>1953.576</c:v>
                </c:pt>
                <c:pt idx="24">
                  <c:v>1932.156</c:v>
                </c:pt>
                <c:pt idx="25">
                  <c:v>1983.707</c:v>
                </c:pt>
                <c:pt idx="26">
                  <c:v>1997.084</c:v>
                </c:pt>
                <c:pt idx="27">
                  <c:v>1977.162</c:v>
                </c:pt>
                <c:pt idx="28">
                  <c:v>1987.892</c:v>
                </c:pt>
                <c:pt idx="29">
                  <c:v>1992.428</c:v>
                </c:pt>
                <c:pt idx="30">
                  <c:v>1958.586</c:v>
                </c:pt>
                <c:pt idx="31">
                  <c:v>2004.128</c:v>
                </c:pt>
                <c:pt idx="32">
                  <c:v>2013.236</c:v>
                </c:pt>
                <c:pt idx="33">
                  <c:v>2093.75</c:v>
                </c:pt>
                <c:pt idx="34">
                  <c:v>2130.155</c:v>
                </c:pt>
                <c:pt idx="35">
                  <c:v>2144.116</c:v>
                </c:pt>
                <c:pt idx="36">
                  <c:v>2220.096</c:v>
                </c:pt>
                <c:pt idx="37">
                  <c:v>2332.734</c:v>
                </c:pt>
                <c:pt idx="38">
                  <c:v>2350.742</c:v>
                </c:pt>
                <c:pt idx="39">
                  <c:v>2373.152</c:v>
                </c:pt>
                <c:pt idx="40">
                  <c:v>2368.38</c:v>
                </c:pt>
              </c:numCache>
            </c:numRef>
          </c:val>
          <c:smooth val="0"/>
        </c:ser>
        <c:ser>
          <c:idx val="1"/>
          <c:order val="1"/>
          <c:tx>
            <c:strRef>
              <c:f>Sheet1!$A$13</c:f>
              <c:strCache>
                <c:ptCount val="1"/>
                <c:pt idx="0">
                  <c:v>Visa-restricted countries</c:v>
                </c:pt>
              </c:strCache>
            </c:strRef>
          </c:tx>
          <c:spPr>
            <a:ln w="28575" cap="rnd">
              <a:solidFill>
                <a:schemeClr val="dk1">
                  <a:tint val="55000"/>
                </a:schemeClr>
              </a:solidFill>
              <a:round/>
            </a:ln>
            <a:effectLst/>
          </c:spPr>
          <c:marker>
            <c:symbol val="none"/>
          </c:marker>
          <c:cat>
            <c:numRef>
              <c:f>Sheet1!$B$1:$AP$1</c:f>
              <c:numCache>
                <c:formatCode>General</c:formatCode>
                <c:ptCount val="41"/>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pt idx="36">
                  <c:v>2009.0</c:v>
                </c:pt>
                <c:pt idx="37">
                  <c:v>2010.0</c:v>
                </c:pt>
                <c:pt idx="38">
                  <c:v>2011.0</c:v>
                </c:pt>
                <c:pt idx="39">
                  <c:v>2012.0</c:v>
                </c:pt>
                <c:pt idx="40">
                  <c:v>2013.0</c:v>
                </c:pt>
              </c:numCache>
            </c:numRef>
          </c:cat>
          <c:val>
            <c:numRef>
              <c:f>Sheet1!$B$13:$AP$13</c:f>
              <c:numCache>
                <c:formatCode>General</c:formatCode>
                <c:ptCount val="41"/>
                <c:pt idx="0">
                  <c:v>5906.733999999999</c:v>
                </c:pt>
                <c:pt idx="1">
                  <c:v>5717.242</c:v>
                </c:pt>
                <c:pt idx="2">
                  <c:v>5747.772</c:v>
                </c:pt>
                <c:pt idx="3">
                  <c:v>5807.267000000001</c:v>
                </c:pt>
                <c:pt idx="4">
                  <c:v>5750.015</c:v>
                </c:pt>
                <c:pt idx="5">
                  <c:v>5698.175</c:v>
                </c:pt>
                <c:pt idx="6">
                  <c:v>5724.646</c:v>
                </c:pt>
                <c:pt idx="7">
                  <c:v>5871.69</c:v>
                </c:pt>
                <c:pt idx="8">
                  <c:v>5939.272</c:v>
                </c:pt>
                <c:pt idx="9">
                  <c:v>5986.259</c:v>
                </c:pt>
                <c:pt idx="10">
                  <c:v>6001.204</c:v>
                </c:pt>
                <c:pt idx="11">
                  <c:v>5987.607</c:v>
                </c:pt>
                <c:pt idx="12">
                  <c:v>6114.271</c:v>
                </c:pt>
                <c:pt idx="13">
                  <c:v>6106.294</c:v>
                </c:pt>
                <c:pt idx="14">
                  <c:v>6213.468</c:v>
                </c:pt>
                <c:pt idx="15">
                  <c:v>6229.501</c:v>
                </c:pt>
                <c:pt idx="16">
                  <c:v>6229.056</c:v>
                </c:pt>
                <c:pt idx="17">
                  <c:v>6159.987999999998</c:v>
                </c:pt>
                <c:pt idx="18">
                  <c:v>6198.936</c:v>
                </c:pt>
                <c:pt idx="19">
                  <c:v>6144.651</c:v>
                </c:pt>
                <c:pt idx="20">
                  <c:v>6112.314</c:v>
                </c:pt>
                <c:pt idx="21">
                  <c:v>6097.173000000001</c:v>
                </c:pt>
                <c:pt idx="22">
                  <c:v>6047.021</c:v>
                </c:pt>
                <c:pt idx="23">
                  <c:v>6080.625</c:v>
                </c:pt>
                <c:pt idx="24">
                  <c:v>6096.856</c:v>
                </c:pt>
                <c:pt idx="25">
                  <c:v>6053.311</c:v>
                </c:pt>
                <c:pt idx="26">
                  <c:v>6029.682</c:v>
                </c:pt>
                <c:pt idx="27">
                  <c:v>6042.976999999999</c:v>
                </c:pt>
                <c:pt idx="28">
                  <c:v>6029.748</c:v>
                </c:pt>
                <c:pt idx="29">
                  <c:v>6025.037</c:v>
                </c:pt>
                <c:pt idx="30">
                  <c:v>6058.806</c:v>
                </c:pt>
                <c:pt idx="31">
                  <c:v>6024.454</c:v>
                </c:pt>
                <c:pt idx="32">
                  <c:v>6018.454</c:v>
                </c:pt>
                <c:pt idx="33">
                  <c:v>5938.084</c:v>
                </c:pt>
                <c:pt idx="34">
                  <c:v>5895.436</c:v>
                </c:pt>
                <c:pt idx="35">
                  <c:v>5878.773999999999</c:v>
                </c:pt>
                <c:pt idx="36">
                  <c:v>5802.434999999999</c:v>
                </c:pt>
                <c:pt idx="37">
                  <c:v>5690.157</c:v>
                </c:pt>
                <c:pt idx="38">
                  <c:v>5672.063</c:v>
                </c:pt>
                <c:pt idx="39">
                  <c:v>5644.705</c:v>
                </c:pt>
                <c:pt idx="40">
                  <c:v>5652.264</c:v>
                </c:pt>
              </c:numCache>
            </c:numRef>
          </c:val>
          <c:smooth val="0"/>
        </c:ser>
        <c:dLbls>
          <c:showLegendKey val="0"/>
          <c:showVal val="0"/>
          <c:showCatName val="0"/>
          <c:showSerName val="0"/>
          <c:showPercent val="0"/>
          <c:showBubbleSize val="0"/>
        </c:dLbls>
        <c:marker val="1"/>
        <c:smooth val="0"/>
        <c:axId val="-2094654264"/>
        <c:axId val="-2094645416"/>
      </c:lineChart>
      <c:catAx>
        <c:axId val="-2094654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4645416"/>
        <c:crosses val="autoZero"/>
        <c:auto val="1"/>
        <c:lblAlgn val="ctr"/>
        <c:lblOffset val="100"/>
        <c:noMultiLvlLbl val="0"/>
      </c:catAx>
      <c:valAx>
        <c:axId val="-2094645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465426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Sheet2!$B$1</c:f>
              <c:strCache>
                <c:ptCount val="1"/>
                <c:pt idx="0">
                  <c:v>Visa removals (total number)</c:v>
                </c:pt>
              </c:strCache>
            </c:strRef>
          </c:tx>
          <c:spPr>
            <a:ln w="28575" cap="rnd">
              <a:solidFill>
                <a:schemeClr val="bg1">
                  <a:lumMod val="65000"/>
                </a:schemeClr>
              </a:solidFill>
              <a:round/>
            </a:ln>
            <a:effectLst/>
          </c:spPr>
          <c:marker>
            <c:symbol val="none"/>
          </c:marker>
          <c:cat>
            <c:numRef>
              <c:f>Sheet2!$A$3:$A$42</c:f>
              <c:numCache>
                <c:formatCode>General</c:formatCode>
                <c:ptCount val="40"/>
                <c:pt idx="0">
                  <c:v>1974.0</c:v>
                </c:pt>
                <c:pt idx="1">
                  <c:v>1975.0</c:v>
                </c:pt>
                <c:pt idx="2">
                  <c:v>1976.0</c:v>
                </c:pt>
                <c:pt idx="3">
                  <c:v>1977.0</c:v>
                </c:pt>
                <c:pt idx="4">
                  <c:v>1978.0</c:v>
                </c:pt>
                <c:pt idx="5">
                  <c:v>1979.0</c:v>
                </c:pt>
                <c:pt idx="6">
                  <c:v>1980.0</c:v>
                </c:pt>
                <c:pt idx="7">
                  <c:v>1981.0</c:v>
                </c:pt>
                <c:pt idx="8">
                  <c:v>1982.0</c:v>
                </c:pt>
                <c:pt idx="9">
                  <c:v>1983.0</c:v>
                </c:pt>
                <c:pt idx="10">
                  <c:v>1984.0</c:v>
                </c:pt>
                <c:pt idx="11">
                  <c:v>1985.0</c:v>
                </c:pt>
                <c:pt idx="12">
                  <c:v>1986.0</c:v>
                </c:pt>
                <c:pt idx="13">
                  <c:v>1987.0</c:v>
                </c:pt>
                <c:pt idx="14">
                  <c:v>1988.0</c:v>
                </c:pt>
                <c:pt idx="15">
                  <c:v>1989.0</c:v>
                </c:pt>
                <c:pt idx="16">
                  <c:v>1990.0</c:v>
                </c:pt>
                <c:pt idx="17">
                  <c:v>1991.0</c:v>
                </c:pt>
                <c:pt idx="18">
                  <c:v>1992.0</c:v>
                </c:pt>
                <c:pt idx="19">
                  <c:v>1993.0</c:v>
                </c:pt>
                <c:pt idx="20">
                  <c:v>1994.0</c:v>
                </c:pt>
                <c:pt idx="21">
                  <c:v>1995.0</c:v>
                </c:pt>
                <c:pt idx="22">
                  <c:v>1996.0</c:v>
                </c:pt>
                <c:pt idx="23">
                  <c:v>1997.0</c:v>
                </c:pt>
                <c:pt idx="24">
                  <c:v>1998.0</c:v>
                </c:pt>
                <c:pt idx="25">
                  <c:v>1999.0</c:v>
                </c:pt>
                <c:pt idx="26">
                  <c:v>2000.0</c:v>
                </c:pt>
                <c:pt idx="27">
                  <c:v>2001.0</c:v>
                </c:pt>
                <c:pt idx="28">
                  <c:v>2002.0</c:v>
                </c:pt>
                <c:pt idx="29">
                  <c:v>2003.0</c:v>
                </c:pt>
                <c:pt idx="30">
                  <c:v>2004.0</c:v>
                </c:pt>
                <c:pt idx="31">
                  <c:v>2005.0</c:v>
                </c:pt>
                <c:pt idx="32">
                  <c:v>2006.0</c:v>
                </c:pt>
                <c:pt idx="33">
                  <c:v>2007.0</c:v>
                </c:pt>
                <c:pt idx="34">
                  <c:v>2008.0</c:v>
                </c:pt>
                <c:pt idx="35">
                  <c:v>2009.0</c:v>
                </c:pt>
                <c:pt idx="36">
                  <c:v>2010.0</c:v>
                </c:pt>
                <c:pt idx="37">
                  <c:v>2011.0</c:v>
                </c:pt>
                <c:pt idx="38">
                  <c:v>2012.0</c:v>
                </c:pt>
                <c:pt idx="39">
                  <c:v>2013.0</c:v>
                </c:pt>
              </c:numCache>
            </c:numRef>
          </c:cat>
          <c:val>
            <c:numRef>
              <c:f>Sheet2!$B$2:$B$42</c:f>
              <c:numCache>
                <c:formatCode>General</c:formatCode>
                <c:ptCount val="41"/>
                <c:pt idx="1">
                  <c:v>546.0</c:v>
                </c:pt>
                <c:pt idx="2">
                  <c:v>300.0</c:v>
                </c:pt>
                <c:pt idx="3">
                  <c:v>276.0</c:v>
                </c:pt>
                <c:pt idx="4">
                  <c:v>258.0</c:v>
                </c:pt>
                <c:pt idx="5">
                  <c:v>369.0</c:v>
                </c:pt>
                <c:pt idx="6">
                  <c:v>172.0</c:v>
                </c:pt>
                <c:pt idx="7">
                  <c:v>91.0</c:v>
                </c:pt>
                <c:pt idx="8">
                  <c:v>157.0</c:v>
                </c:pt>
                <c:pt idx="9">
                  <c:v>205.0</c:v>
                </c:pt>
                <c:pt idx="10">
                  <c:v>207.0</c:v>
                </c:pt>
                <c:pt idx="11">
                  <c:v>284.0</c:v>
                </c:pt>
                <c:pt idx="12">
                  <c:v>290.0</c:v>
                </c:pt>
                <c:pt idx="13">
                  <c:v>321.0</c:v>
                </c:pt>
                <c:pt idx="14">
                  <c:v>200.0</c:v>
                </c:pt>
                <c:pt idx="15">
                  <c:v>127.0</c:v>
                </c:pt>
                <c:pt idx="16">
                  <c:v>127.0</c:v>
                </c:pt>
                <c:pt idx="17">
                  <c:v>245.0</c:v>
                </c:pt>
                <c:pt idx="18">
                  <c:v>277.0</c:v>
                </c:pt>
                <c:pt idx="19">
                  <c:v>600.0</c:v>
                </c:pt>
                <c:pt idx="20">
                  <c:v>457.0</c:v>
                </c:pt>
                <c:pt idx="21">
                  <c:v>551.0</c:v>
                </c:pt>
                <c:pt idx="22">
                  <c:v>359.0</c:v>
                </c:pt>
                <c:pt idx="23">
                  <c:v>288.0</c:v>
                </c:pt>
                <c:pt idx="24">
                  <c:v>341.0</c:v>
                </c:pt>
                <c:pt idx="25">
                  <c:v>308.0</c:v>
                </c:pt>
                <c:pt idx="26">
                  <c:v>283.0</c:v>
                </c:pt>
                <c:pt idx="27">
                  <c:v>600.0</c:v>
                </c:pt>
                <c:pt idx="28">
                  <c:v>207.0</c:v>
                </c:pt>
                <c:pt idx="29">
                  <c:v>326.0</c:v>
                </c:pt>
                <c:pt idx="30">
                  <c:v>292.0</c:v>
                </c:pt>
                <c:pt idx="31">
                  <c:v>303.0</c:v>
                </c:pt>
                <c:pt idx="32">
                  <c:v>448.0</c:v>
                </c:pt>
                <c:pt idx="33">
                  <c:v>699.0</c:v>
                </c:pt>
                <c:pt idx="34">
                  <c:v>312.0</c:v>
                </c:pt>
                <c:pt idx="35">
                  <c:v>271.0</c:v>
                </c:pt>
                <c:pt idx="36">
                  <c:v>522.0</c:v>
                </c:pt>
                <c:pt idx="37">
                  <c:v>753.0</c:v>
                </c:pt>
                <c:pt idx="38">
                  <c:v>267.0</c:v>
                </c:pt>
                <c:pt idx="39">
                  <c:v>267.0</c:v>
                </c:pt>
                <c:pt idx="40">
                  <c:v>274.0</c:v>
                </c:pt>
              </c:numCache>
            </c:numRef>
          </c:val>
          <c:smooth val="0"/>
        </c:ser>
        <c:ser>
          <c:idx val="2"/>
          <c:order val="1"/>
          <c:tx>
            <c:strRef>
              <c:f>Sheet2!$C$1</c:f>
              <c:strCache>
                <c:ptCount val="1"/>
                <c:pt idx="0">
                  <c:v>Visa introductions (total number)</c:v>
                </c:pt>
              </c:strCache>
            </c:strRef>
          </c:tx>
          <c:spPr>
            <a:ln w="28575" cap="rnd">
              <a:solidFill>
                <a:schemeClr val="tx1"/>
              </a:solidFill>
              <a:round/>
            </a:ln>
            <a:effectLst/>
          </c:spPr>
          <c:marker>
            <c:symbol val="none"/>
          </c:marker>
          <c:cat>
            <c:numRef>
              <c:f>Sheet2!$A$3:$A$42</c:f>
              <c:numCache>
                <c:formatCode>General</c:formatCode>
                <c:ptCount val="40"/>
                <c:pt idx="0">
                  <c:v>1974.0</c:v>
                </c:pt>
                <c:pt idx="1">
                  <c:v>1975.0</c:v>
                </c:pt>
                <c:pt idx="2">
                  <c:v>1976.0</c:v>
                </c:pt>
                <c:pt idx="3">
                  <c:v>1977.0</c:v>
                </c:pt>
                <c:pt idx="4">
                  <c:v>1978.0</c:v>
                </c:pt>
                <c:pt idx="5">
                  <c:v>1979.0</c:v>
                </c:pt>
                <c:pt idx="6">
                  <c:v>1980.0</c:v>
                </c:pt>
                <c:pt idx="7">
                  <c:v>1981.0</c:v>
                </c:pt>
                <c:pt idx="8">
                  <c:v>1982.0</c:v>
                </c:pt>
                <c:pt idx="9">
                  <c:v>1983.0</c:v>
                </c:pt>
                <c:pt idx="10">
                  <c:v>1984.0</c:v>
                </c:pt>
                <c:pt idx="11">
                  <c:v>1985.0</c:v>
                </c:pt>
                <c:pt idx="12">
                  <c:v>1986.0</c:v>
                </c:pt>
                <c:pt idx="13">
                  <c:v>1987.0</c:v>
                </c:pt>
                <c:pt idx="14">
                  <c:v>1988.0</c:v>
                </c:pt>
                <c:pt idx="15">
                  <c:v>1989.0</c:v>
                </c:pt>
                <c:pt idx="16">
                  <c:v>1990.0</c:v>
                </c:pt>
                <c:pt idx="17">
                  <c:v>1991.0</c:v>
                </c:pt>
                <c:pt idx="18">
                  <c:v>1992.0</c:v>
                </c:pt>
                <c:pt idx="19">
                  <c:v>1993.0</c:v>
                </c:pt>
                <c:pt idx="20">
                  <c:v>1994.0</c:v>
                </c:pt>
                <c:pt idx="21">
                  <c:v>1995.0</c:v>
                </c:pt>
                <c:pt idx="22">
                  <c:v>1996.0</c:v>
                </c:pt>
                <c:pt idx="23">
                  <c:v>1997.0</c:v>
                </c:pt>
                <c:pt idx="24">
                  <c:v>1998.0</c:v>
                </c:pt>
                <c:pt idx="25">
                  <c:v>1999.0</c:v>
                </c:pt>
                <c:pt idx="26">
                  <c:v>2000.0</c:v>
                </c:pt>
                <c:pt idx="27">
                  <c:v>2001.0</c:v>
                </c:pt>
                <c:pt idx="28">
                  <c:v>2002.0</c:v>
                </c:pt>
                <c:pt idx="29">
                  <c:v>2003.0</c:v>
                </c:pt>
                <c:pt idx="30">
                  <c:v>2004.0</c:v>
                </c:pt>
                <c:pt idx="31">
                  <c:v>2005.0</c:v>
                </c:pt>
                <c:pt idx="32">
                  <c:v>2006.0</c:v>
                </c:pt>
                <c:pt idx="33">
                  <c:v>2007.0</c:v>
                </c:pt>
                <c:pt idx="34">
                  <c:v>2008.0</c:v>
                </c:pt>
                <c:pt idx="35">
                  <c:v>2009.0</c:v>
                </c:pt>
                <c:pt idx="36">
                  <c:v>2010.0</c:v>
                </c:pt>
                <c:pt idx="37">
                  <c:v>2011.0</c:v>
                </c:pt>
                <c:pt idx="38">
                  <c:v>2012.0</c:v>
                </c:pt>
                <c:pt idx="39">
                  <c:v>2013.0</c:v>
                </c:pt>
              </c:numCache>
            </c:numRef>
          </c:cat>
          <c:val>
            <c:numRef>
              <c:f>Sheet2!$C$2:$C$42</c:f>
              <c:numCache>
                <c:formatCode>General</c:formatCode>
                <c:ptCount val="41"/>
                <c:pt idx="1">
                  <c:v>188.0</c:v>
                </c:pt>
                <c:pt idx="2">
                  <c:v>310.0</c:v>
                </c:pt>
                <c:pt idx="3">
                  <c:v>310.0</c:v>
                </c:pt>
                <c:pt idx="4">
                  <c:v>166.0</c:v>
                </c:pt>
                <c:pt idx="5">
                  <c:v>91.0</c:v>
                </c:pt>
                <c:pt idx="6">
                  <c:v>146.0</c:v>
                </c:pt>
                <c:pt idx="7">
                  <c:v>124.0</c:v>
                </c:pt>
                <c:pt idx="8">
                  <c:v>290.0</c:v>
                </c:pt>
                <c:pt idx="9">
                  <c:v>395.0</c:v>
                </c:pt>
                <c:pt idx="10">
                  <c:v>315.0</c:v>
                </c:pt>
                <c:pt idx="11">
                  <c:v>342.0</c:v>
                </c:pt>
                <c:pt idx="12">
                  <c:v>578.0</c:v>
                </c:pt>
                <c:pt idx="13">
                  <c:v>276.0</c:v>
                </c:pt>
                <c:pt idx="14">
                  <c:v>742.0</c:v>
                </c:pt>
                <c:pt idx="15">
                  <c:v>137.0</c:v>
                </c:pt>
                <c:pt idx="16">
                  <c:v>87.0</c:v>
                </c:pt>
                <c:pt idx="17">
                  <c:v>94.0</c:v>
                </c:pt>
                <c:pt idx="18">
                  <c:v>250.0</c:v>
                </c:pt>
                <c:pt idx="19">
                  <c:v>286.0</c:v>
                </c:pt>
                <c:pt idx="20">
                  <c:v>229.0</c:v>
                </c:pt>
                <c:pt idx="21">
                  <c:v>397.0</c:v>
                </c:pt>
                <c:pt idx="22">
                  <c:v>157.0</c:v>
                </c:pt>
                <c:pt idx="23">
                  <c:v>426.0</c:v>
                </c:pt>
                <c:pt idx="24">
                  <c:v>417.0</c:v>
                </c:pt>
                <c:pt idx="25">
                  <c:v>202.0</c:v>
                </c:pt>
                <c:pt idx="26">
                  <c:v>146.0</c:v>
                </c:pt>
                <c:pt idx="27">
                  <c:v>505.0</c:v>
                </c:pt>
                <c:pt idx="28">
                  <c:v>125.0</c:v>
                </c:pt>
                <c:pt idx="29">
                  <c:v>256.0</c:v>
                </c:pt>
                <c:pt idx="30">
                  <c:v>402.0</c:v>
                </c:pt>
                <c:pt idx="31">
                  <c:v>119.0</c:v>
                </c:pt>
                <c:pt idx="32">
                  <c:v>437.0</c:v>
                </c:pt>
                <c:pt idx="33">
                  <c:v>223.0</c:v>
                </c:pt>
                <c:pt idx="34">
                  <c:v>56.0</c:v>
                </c:pt>
                <c:pt idx="35">
                  <c:v>117.0</c:v>
                </c:pt>
                <c:pt idx="36">
                  <c:v>213.0</c:v>
                </c:pt>
                <c:pt idx="37">
                  <c:v>94.0</c:v>
                </c:pt>
                <c:pt idx="38">
                  <c:v>69.0</c:v>
                </c:pt>
                <c:pt idx="39">
                  <c:v>49.0</c:v>
                </c:pt>
                <c:pt idx="40">
                  <c:v>219.0</c:v>
                </c:pt>
              </c:numCache>
            </c:numRef>
          </c:val>
          <c:smooth val="0"/>
        </c:ser>
        <c:dLbls>
          <c:showLegendKey val="0"/>
          <c:showVal val="0"/>
          <c:showCatName val="0"/>
          <c:showSerName val="0"/>
          <c:showPercent val="0"/>
          <c:showBubbleSize val="0"/>
        </c:dLbls>
        <c:marker val="1"/>
        <c:smooth val="0"/>
        <c:axId val="-2091199512"/>
        <c:axId val="-2091195992"/>
      </c:lineChart>
      <c:catAx>
        <c:axId val="-2091199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091195992"/>
        <c:crosses val="autoZero"/>
        <c:auto val="1"/>
        <c:lblAlgn val="ctr"/>
        <c:lblOffset val="100"/>
        <c:noMultiLvlLbl val="0"/>
      </c:catAx>
      <c:valAx>
        <c:axId val="-2091195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policy changes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091199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'continent destination'!$A$2</c:f>
              <c:strCache>
                <c:ptCount val="1"/>
                <c:pt idx="0">
                  <c:v>Africa</c:v>
                </c:pt>
              </c:strCache>
            </c:strRef>
          </c:tx>
          <c:spPr>
            <a:ln w="28575" cap="rnd">
              <a:solidFill>
                <a:schemeClr val="tx1"/>
              </a:solidFill>
              <a:round/>
            </a:ln>
            <a:effectLst/>
          </c:spPr>
          <c:marker>
            <c:symbol val="none"/>
          </c:marker>
          <c:cat>
            <c:numRef>
              <c:f>'continent destination'!$B$1:$AP$1</c:f>
              <c:numCache>
                <c:formatCode>General</c:formatCode>
                <c:ptCount val="41"/>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pt idx="36">
                  <c:v>2009.0</c:v>
                </c:pt>
                <c:pt idx="37">
                  <c:v>2010.0</c:v>
                </c:pt>
                <c:pt idx="38">
                  <c:v>2011.0</c:v>
                </c:pt>
                <c:pt idx="39">
                  <c:v>2012.0</c:v>
                </c:pt>
                <c:pt idx="40">
                  <c:v>2013.0</c:v>
                </c:pt>
              </c:numCache>
            </c:numRef>
          </c:cat>
          <c:val>
            <c:numRef>
              <c:f>'continent destination'!$B$2:$AP$2</c:f>
              <c:numCache>
                <c:formatCode>General</c:formatCode>
                <c:ptCount val="41"/>
                <c:pt idx="0">
                  <c:v>0.8108395</c:v>
                </c:pt>
                <c:pt idx="1">
                  <c:v>0.8007051</c:v>
                </c:pt>
                <c:pt idx="2">
                  <c:v>0.7813157</c:v>
                </c:pt>
                <c:pt idx="3">
                  <c:v>0.7939014</c:v>
                </c:pt>
                <c:pt idx="4">
                  <c:v>0.787274</c:v>
                </c:pt>
                <c:pt idx="5">
                  <c:v>0.7800502</c:v>
                </c:pt>
                <c:pt idx="6">
                  <c:v>0.7830819</c:v>
                </c:pt>
                <c:pt idx="7">
                  <c:v>0.7888123</c:v>
                </c:pt>
                <c:pt idx="8">
                  <c:v>0.7874125</c:v>
                </c:pt>
                <c:pt idx="9">
                  <c:v>0.8085766</c:v>
                </c:pt>
                <c:pt idx="10">
                  <c:v>0.8032846</c:v>
                </c:pt>
                <c:pt idx="11">
                  <c:v>0.7991647</c:v>
                </c:pt>
                <c:pt idx="12">
                  <c:v>0.7915612</c:v>
                </c:pt>
                <c:pt idx="13">
                  <c:v>0.7975244</c:v>
                </c:pt>
                <c:pt idx="14">
                  <c:v>0.8101174</c:v>
                </c:pt>
                <c:pt idx="15">
                  <c:v>0.807119</c:v>
                </c:pt>
                <c:pt idx="16">
                  <c:v>0.8065041</c:v>
                </c:pt>
                <c:pt idx="17">
                  <c:v>0.8043361</c:v>
                </c:pt>
                <c:pt idx="18">
                  <c:v>0.8017725</c:v>
                </c:pt>
                <c:pt idx="19">
                  <c:v>0.8105177</c:v>
                </c:pt>
                <c:pt idx="20">
                  <c:v>0.8283226</c:v>
                </c:pt>
                <c:pt idx="21">
                  <c:v>0.8231038</c:v>
                </c:pt>
                <c:pt idx="22">
                  <c:v>0.8168734</c:v>
                </c:pt>
                <c:pt idx="23">
                  <c:v>0.8264682</c:v>
                </c:pt>
                <c:pt idx="24">
                  <c:v>0.8370148</c:v>
                </c:pt>
                <c:pt idx="25">
                  <c:v>0.8370389</c:v>
                </c:pt>
                <c:pt idx="26">
                  <c:v>0.8355566</c:v>
                </c:pt>
                <c:pt idx="27">
                  <c:v>0.8480006</c:v>
                </c:pt>
                <c:pt idx="28">
                  <c:v>0.8502816</c:v>
                </c:pt>
                <c:pt idx="29">
                  <c:v>0.8531778</c:v>
                </c:pt>
                <c:pt idx="30">
                  <c:v>0.851662</c:v>
                </c:pt>
                <c:pt idx="31">
                  <c:v>0.8515152</c:v>
                </c:pt>
                <c:pt idx="32">
                  <c:v>0.8527113</c:v>
                </c:pt>
                <c:pt idx="33">
                  <c:v>0.8543062</c:v>
                </c:pt>
                <c:pt idx="34">
                  <c:v>0.8547043</c:v>
                </c:pt>
                <c:pt idx="35">
                  <c:v>0.8531957</c:v>
                </c:pt>
                <c:pt idx="36">
                  <c:v>0.8520842</c:v>
                </c:pt>
                <c:pt idx="37">
                  <c:v>0.8479555</c:v>
                </c:pt>
                <c:pt idx="38">
                  <c:v>0.845256</c:v>
                </c:pt>
                <c:pt idx="39">
                  <c:v>0.845524</c:v>
                </c:pt>
                <c:pt idx="40">
                  <c:v>0.8467572</c:v>
                </c:pt>
              </c:numCache>
            </c:numRef>
          </c:val>
          <c:smooth val="0"/>
        </c:ser>
        <c:ser>
          <c:idx val="1"/>
          <c:order val="1"/>
          <c:tx>
            <c:strRef>
              <c:f>'continent destination'!$A$3</c:f>
              <c:strCache>
                <c:ptCount val="1"/>
                <c:pt idx="0">
                  <c:v>Americas</c:v>
                </c:pt>
              </c:strCache>
            </c:strRef>
          </c:tx>
          <c:spPr>
            <a:ln w="28575" cap="rnd">
              <a:solidFill>
                <a:schemeClr val="bg1">
                  <a:lumMod val="50000"/>
                </a:schemeClr>
              </a:solidFill>
              <a:round/>
            </a:ln>
            <a:effectLst/>
          </c:spPr>
          <c:marker>
            <c:symbol val="none"/>
          </c:marker>
          <c:cat>
            <c:numRef>
              <c:f>'continent destination'!$B$1:$AP$1</c:f>
              <c:numCache>
                <c:formatCode>General</c:formatCode>
                <c:ptCount val="41"/>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pt idx="36">
                  <c:v>2009.0</c:v>
                </c:pt>
                <c:pt idx="37">
                  <c:v>2010.0</c:v>
                </c:pt>
                <c:pt idx="38">
                  <c:v>2011.0</c:v>
                </c:pt>
                <c:pt idx="39">
                  <c:v>2012.0</c:v>
                </c:pt>
                <c:pt idx="40">
                  <c:v>2013.0</c:v>
                </c:pt>
              </c:numCache>
            </c:numRef>
          </c:cat>
          <c:val>
            <c:numRef>
              <c:f>'continent destination'!$B$3:$AP$3</c:f>
              <c:numCache>
                <c:formatCode>General</c:formatCode>
                <c:ptCount val="41"/>
                <c:pt idx="0">
                  <c:v>0.5638824</c:v>
                </c:pt>
                <c:pt idx="1">
                  <c:v>0.5595461</c:v>
                </c:pt>
                <c:pt idx="2">
                  <c:v>0.5722429</c:v>
                </c:pt>
                <c:pt idx="3">
                  <c:v>0.6021289</c:v>
                </c:pt>
                <c:pt idx="4">
                  <c:v>0.6023855</c:v>
                </c:pt>
                <c:pt idx="5">
                  <c:v>0.5941451</c:v>
                </c:pt>
                <c:pt idx="6">
                  <c:v>0.5928446</c:v>
                </c:pt>
                <c:pt idx="7">
                  <c:v>0.6060335</c:v>
                </c:pt>
                <c:pt idx="8">
                  <c:v>0.6207964</c:v>
                </c:pt>
                <c:pt idx="9">
                  <c:v>0.6278611</c:v>
                </c:pt>
                <c:pt idx="10">
                  <c:v>0.6487789</c:v>
                </c:pt>
                <c:pt idx="11">
                  <c:v>0.6423634</c:v>
                </c:pt>
                <c:pt idx="12">
                  <c:v>0.6670734</c:v>
                </c:pt>
                <c:pt idx="13">
                  <c:v>0.6489181</c:v>
                </c:pt>
                <c:pt idx="14">
                  <c:v>0.6688215</c:v>
                </c:pt>
                <c:pt idx="15">
                  <c:v>0.6739084</c:v>
                </c:pt>
                <c:pt idx="16">
                  <c:v>0.6706942</c:v>
                </c:pt>
                <c:pt idx="17">
                  <c:v>0.6456432</c:v>
                </c:pt>
                <c:pt idx="18">
                  <c:v>0.6514915</c:v>
                </c:pt>
                <c:pt idx="19">
                  <c:v>0.6074833</c:v>
                </c:pt>
                <c:pt idx="20">
                  <c:v>0.6129839</c:v>
                </c:pt>
                <c:pt idx="21">
                  <c:v>0.6041413</c:v>
                </c:pt>
                <c:pt idx="22">
                  <c:v>0.5978028</c:v>
                </c:pt>
                <c:pt idx="23">
                  <c:v>0.6026441</c:v>
                </c:pt>
                <c:pt idx="24">
                  <c:v>0.5965369</c:v>
                </c:pt>
                <c:pt idx="25">
                  <c:v>0.5850204</c:v>
                </c:pt>
                <c:pt idx="26">
                  <c:v>0.5773945</c:v>
                </c:pt>
                <c:pt idx="27">
                  <c:v>0.5612245</c:v>
                </c:pt>
                <c:pt idx="28">
                  <c:v>0.5552244</c:v>
                </c:pt>
                <c:pt idx="29">
                  <c:v>0.5578833</c:v>
                </c:pt>
                <c:pt idx="30">
                  <c:v>0.5605502</c:v>
                </c:pt>
                <c:pt idx="31">
                  <c:v>0.5570176</c:v>
                </c:pt>
                <c:pt idx="32">
                  <c:v>0.5647891</c:v>
                </c:pt>
                <c:pt idx="33">
                  <c:v>0.5402793</c:v>
                </c:pt>
                <c:pt idx="34">
                  <c:v>0.5380091</c:v>
                </c:pt>
                <c:pt idx="35">
                  <c:v>0.53792</c:v>
                </c:pt>
                <c:pt idx="36">
                  <c:v>0.5036119</c:v>
                </c:pt>
                <c:pt idx="37">
                  <c:v>0.4959451</c:v>
                </c:pt>
                <c:pt idx="38">
                  <c:v>0.4912218</c:v>
                </c:pt>
                <c:pt idx="39">
                  <c:v>0.479699</c:v>
                </c:pt>
                <c:pt idx="40">
                  <c:v>0.4789254</c:v>
                </c:pt>
              </c:numCache>
            </c:numRef>
          </c:val>
          <c:smooth val="0"/>
        </c:ser>
        <c:ser>
          <c:idx val="2"/>
          <c:order val="2"/>
          <c:tx>
            <c:strRef>
              <c:f>'continent destination'!$A$4</c:f>
              <c:strCache>
                <c:ptCount val="1"/>
                <c:pt idx="0">
                  <c:v>Asia</c:v>
                </c:pt>
              </c:strCache>
            </c:strRef>
          </c:tx>
          <c:spPr>
            <a:ln w="28575" cap="rnd">
              <a:solidFill>
                <a:schemeClr val="tx1">
                  <a:lumMod val="65000"/>
                  <a:lumOff val="35000"/>
                </a:schemeClr>
              </a:solidFill>
              <a:prstDash val="sysDash"/>
              <a:round/>
            </a:ln>
            <a:effectLst/>
          </c:spPr>
          <c:marker>
            <c:symbol val="none"/>
          </c:marker>
          <c:cat>
            <c:numRef>
              <c:f>'continent destination'!$B$1:$AP$1</c:f>
              <c:numCache>
                <c:formatCode>General</c:formatCode>
                <c:ptCount val="41"/>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pt idx="36">
                  <c:v>2009.0</c:v>
                </c:pt>
                <c:pt idx="37">
                  <c:v>2010.0</c:v>
                </c:pt>
                <c:pt idx="38">
                  <c:v>2011.0</c:v>
                </c:pt>
                <c:pt idx="39">
                  <c:v>2012.0</c:v>
                </c:pt>
                <c:pt idx="40">
                  <c:v>2013.0</c:v>
                </c:pt>
              </c:numCache>
            </c:numRef>
          </c:cat>
          <c:val>
            <c:numRef>
              <c:f>'continent destination'!$B$4:$AP$4</c:f>
              <c:numCache>
                <c:formatCode>General</c:formatCode>
                <c:ptCount val="41"/>
                <c:pt idx="0">
                  <c:v>0.8514317</c:v>
                </c:pt>
                <c:pt idx="1">
                  <c:v>0.8245637</c:v>
                </c:pt>
                <c:pt idx="2">
                  <c:v>0.8230975</c:v>
                </c:pt>
                <c:pt idx="3">
                  <c:v>0.7897577</c:v>
                </c:pt>
                <c:pt idx="4">
                  <c:v>0.7875416</c:v>
                </c:pt>
                <c:pt idx="5">
                  <c:v>0.7774526</c:v>
                </c:pt>
                <c:pt idx="6">
                  <c:v>0.7774839</c:v>
                </c:pt>
                <c:pt idx="7">
                  <c:v>0.7780506</c:v>
                </c:pt>
                <c:pt idx="8">
                  <c:v>0.7809917</c:v>
                </c:pt>
                <c:pt idx="9">
                  <c:v>0.7716005</c:v>
                </c:pt>
                <c:pt idx="10">
                  <c:v>0.7654633</c:v>
                </c:pt>
                <c:pt idx="11">
                  <c:v>0.7527242</c:v>
                </c:pt>
                <c:pt idx="12">
                  <c:v>0.7747855</c:v>
                </c:pt>
                <c:pt idx="13">
                  <c:v>0.7807435</c:v>
                </c:pt>
                <c:pt idx="14">
                  <c:v>0.7922372</c:v>
                </c:pt>
                <c:pt idx="15">
                  <c:v>0.7920933</c:v>
                </c:pt>
                <c:pt idx="16">
                  <c:v>0.791617</c:v>
                </c:pt>
                <c:pt idx="17">
                  <c:v>0.7909026</c:v>
                </c:pt>
                <c:pt idx="18">
                  <c:v>0.7894035</c:v>
                </c:pt>
                <c:pt idx="19">
                  <c:v>0.7958457</c:v>
                </c:pt>
                <c:pt idx="20">
                  <c:v>0.8168773</c:v>
                </c:pt>
                <c:pt idx="21">
                  <c:v>0.8225698</c:v>
                </c:pt>
                <c:pt idx="22">
                  <c:v>0.8199608</c:v>
                </c:pt>
                <c:pt idx="23">
                  <c:v>0.8192162</c:v>
                </c:pt>
                <c:pt idx="24">
                  <c:v>0.8211612</c:v>
                </c:pt>
                <c:pt idx="25">
                  <c:v>0.8169232</c:v>
                </c:pt>
                <c:pt idx="26">
                  <c:v>0.81915</c:v>
                </c:pt>
                <c:pt idx="27">
                  <c:v>0.8282288</c:v>
                </c:pt>
                <c:pt idx="28">
                  <c:v>0.8250923</c:v>
                </c:pt>
                <c:pt idx="29">
                  <c:v>0.8236162</c:v>
                </c:pt>
                <c:pt idx="30">
                  <c:v>0.8363336</c:v>
                </c:pt>
                <c:pt idx="31">
                  <c:v>0.8341164</c:v>
                </c:pt>
                <c:pt idx="32">
                  <c:v>0.8278164</c:v>
                </c:pt>
                <c:pt idx="33">
                  <c:v>0.8139173</c:v>
                </c:pt>
                <c:pt idx="34">
                  <c:v>0.8013912</c:v>
                </c:pt>
                <c:pt idx="35">
                  <c:v>0.8018703</c:v>
                </c:pt>
                <c:pt idx="36">
                  <c:v>0.810506</c:v>
                </c:pt>
                <c:pt idx="37">
                  <c:v>0.7933928</c:v>
                </c:pt>
                <c:pt idx="38">
                  <c:v>0.7903339</c:v>
                </c:pt>
                <c:pt idx="39">
                  <c:v>0.78848</c:v>
                </c:pt>
                <c:pt idx="40">
                  <c:v>0.7967924</c:v>
                </c:pt>
              </c:numCache>
            </c:numRef>
          </c:val>
          <c:smooth val="0"/>
        </c:ser>
        <c:ser>
          <c:idx val="3"/>
          <c:order val="3"/>
          <c:tx>
            <c:strRef>
              <c:f>'continent destination'!$A$5</c:f>
              <c:strCache>
                <c:ptCount val="1"/>
                <c:pt idx="0">
                  <c:v>Europe</c:v>
                </c:pt>
              </c:strCache>
            </c:strRef>
          </c:tx>
          <c:spPr>
            <a:ln w="28575" cap="rnd">
              <a:solidFill>
                <a:schemeClr val="tx1"/>
              </a:solidFill>
              <a:prstDash val="sysDot"/>
              <a:round/>
            </a:ln>
            <a:effectLst/>
          </c:spPr>
          <c:marker>
            <c:symbol val="none"/>
          </c:marker>
          <c:cat>
            <c:numRef>
              <c:f>'continent destination'!$B$1:$AP$1</c:f>
              <c:numCache>
                <c:formatCode>General</c:formatCode>
                <c:ptCount val="41"/>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pt idx="36">
                  <c:v>2009.0</c:v>
                </c:pt>
                <c:pt idx="37">
                  <c:v>2010.0</c:v>
                </c:pt>
                <c:pt idx="38">
                  <c:v>2011.0</c:v>
                </c:pt>
                <c:pt idx="39">
                  <c:v>2012.0</c:v>
                </c:pt>
                <c:pt idx="40">
                  <c:v>2013.0</c:v>
                </c:pt>
              </c:numCache>
            </c:numRef>
          </c:cat>
          <c:val>
            <c:numRef>
              <c:f>'continent destination'!$B$5:$AP$5</c:f>
              <c:numCache>
                <c:formatCode>General</c:formatCode>
                <c:ptCount val="41"/>
                <c:pt idx="0">
                  <c:v>0.543659</c:v>
                </c:pt>
                <c:pt idx="1">
                  <c:v>0.5413508</c:v>
                </c:pt>
                <c:pt idx="2">
                  <c:v>0.5423235</c:v>
                </c:pt>
                <c:pt idx="3">
                  <c:v>0.5549505</c:v>
                </c:pt>
                <c:pt idx="4">
                  <c:v>0.5523638</c:v>
                </c:pt>
                <c:pt idx="5">
                  <c:v>0.5496408</c:v>
                </c:pt>
                <c:pt idx="6">
                  <c:v>0.5484809</c:v>
                </c:pt>
                <c:pt idx="7">
                  <c:v>0.5574984</c:v>
                </c:pt>
                <c:pt idx="8">
                  <c:v>0.5653462</c:v>
                </c:pt>
                <c:pt idx="9">
                  <c:v>0.5714948</c:v>
                </c:pt>
                <c:pt idx="10">
                  <c:v>0.5753552</c:v>
                </c:pt>
                <c:pt idx="11">
                  <c:v>0.6043331</c:v>
                </c:pt>
                <c:pt idx="12">
                  <c:v>0.6027523</c:v>
                </c:pt>
                <c:pt idx="13">
                  <c:v>0.5992355</c:v>
                </c:pt>
                <c:pt idx="14">
                  <c:v>0.6189024</c:v>
                </c:pt>
                <c:pt idx="15">
                  <c:v>0.6190549</c:v>
                </c:pt>
                <c:pt idx="16">
                  <c:v>0.6193017</c:v>
                </c:pt>
                <c:pt idx="17">
                  <c:v>0.6189024</c:v>
                </c:pt>
                <c:pt idx="18">
                  <c:v>0.5918108</c:v>
                </c:pt>
                <c:pt idx="19">
                  <c:v>0.62064</c:v>
                </c:pt>
                <c:pt idx="20">
                  <c:v>0.6769387</c:v>
                </c:pt>
                <c:pt idx="21">
                  <c:v>0.6737696</c:v>
                </c:pt>
                <c:pt idx="22">
                  <c:v>0.6682729</c:v>
                </c:pt>
                <c:pt idx="23">
                  <c:v>0.6674334</c:v>
                </c:pt>
                <c:pt idx="24">
                  <c:v>0.6707197</c:v>
                </c:pt>
                <c:pt idx="25">
                  <c:v>0.666099</c:v>
                </c:pt>
                <c:pt idx="26">
                  <c:v>0.6674636</c:v>
                </c:pt>
                <c:pt idx="27">
                  <c:v>0.6629874</c:v>
                </c:pt>
                <c:pt idx="28">
                  <c:v>0.6661853</c:v>
                </c:pt>
                <c:pt idx="29">
                  <c:v>0.6536002</c:v>
                </c:pt>
                <c:pt idx="30">
                  <c:v>0.6538975</c:v>
                </c:pt>
                <c:pt idx="31">
                  <c:v>0.6399427</c:v>
                </c:pt>
                <c:pt idx="32">
                  <c:v>0.6332958</c:v>
                </c:pt>
                <c:pt idx="33">
                  <c:v>0.6264444</c:v>
                </c:pt>
                <c:pt idx="34">
                  <c:v>0.6235201</c:v>
                </c:pt>
                <c:pt idx="35">
                  <c:v>0.6126754</c:v>
                </c:pt>
                <c:pt idx="36">
                  <c:v>0.6118794</c:v>
                </c:pt>
                <c:pt idx="37">
                  <c:v>0.584519</c:v>
                </c:pt>
                <c:pt idx="38">
                  <c:v>0.5769996</c:v>
                </c:pt>
                <c:pt idx="39">
                  <c:v>0.5668821</c:v>
                </c:pt>
                <c:pt idx="40">
                  <c:v>0.5578904</c:v>
                </c:pt>
              </c:numCache>
            </c:numRef>
          </c:val>
          <c:smooth val="0"/>
        </c:ser>
        <c:ser>
          <c:idx val="4"/>
          <c:order val="4"/>
          <c:tx>
            <c:strRef>
              <c:f>'continent destination'!$A$6</c:f>
              <c:strCache>
                <c:ptCount val="1"/>
                <c:pt idx="0">
                  <c:v>Oceania</c:v>
                </c:pt>
              </c:strCache>
            </c:strRef>
          </c:tx>
          <c:spPr>
            <a:ln w="9525" cap="rnd">
              <a:solidFill>
                <a:schemeClr val="tx1"/>
              </a:solidFill>
              <a:round/>
            </a:ln>
            <a:effectLst/>
          </c:spPr>
          <c:marker>
            <c:symbol val="none"/>
          </c:marker>
          <c:cat>
            <c:numRef>
              <c:f>'continent destination'!$B$1:$AP$1</c:f>
              <c:numCache>
                <c:formatCode>General</c:formatCode>
                <c:ptCount val="41"/>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pt idx="36">
                  <c:v>2009.0</c:v>
                </c:pt>
                <c:pt idx="37">
                  <c:v>2010.0</c:v>
                </c:pt>
                <c:pt idx="38">
                  <c:v>2011.0</c:v>
                </c:pt>
                <c:pt idx="39">
                  <c:v>2012.0</c:v>
                </c:pt>
                <c:pt idx="40">
                  <c:v>2013.0</c:v>
                </c:pt>
              </c:numCache>
            </c:numRef>
          </c:cat>
          <c:val>
            <c:numRef>
              <c:f>'continent destination'!$B$6:$AP$6</c:f>
              <c:numCache>
                <c:formatCode>General</c:formatCode>
                <c:ptCount val="41"/>
                <c:pt idx="0">
                  <c:v>0.8558226</c:v>
                </c:pt>
                <c:pt idx="1">
                  <c:v>0.7849265</c:v>
                </c:pt>
                <c:pt idx="2">
                  <c:v>0.9250457</c:v>
                </c:pt>
                <c:pt idx="3">
                  <c:v>0.9260563</c:v>
                </c:pt>
                <c:pt idx="4">
                  <c:v>0.9264448</c:v>
                </c:pt>
                <c:pt idx="5">
                  <c:v>0.9268293</c:v>
                </c:pt>
                <c:pt idx="6">
                  <c:v>0.8413793</c:v>
                </c:pt>
                <c:pt idx="7">
                  <c:v>0.8420168</c:v>
                </c:pt>
                <c:pt idx="8">
                  <c:v>0.8419301</c:v>
                </c:pt>
                <c:pt idx="9">
                  <c:v>0.8434926</c:v>
                </c:pt>
                <c:pt idx="10">
                  <c:v>0.8434926</c:v>
                </c:pt>
                <c:pt idx="11">
                  <c:v>0.9295082</c:v>
                </c:pt>
                <c:pt idx="12">
                  <c:v>0.9298532</c:v>
                </c:pt>
                <c:pt idx="13">
                  <c:v>0.9297386</c:v>
                </c:pt>
                <c:pt idx="14">
                  <c:v>0.9283388</c:v>
                </c:pt>
                <c:pt idx="15">
                  <c:v>0.9186992</c:v>
                </c:pt>
                <c:pt idx="16">
                  <c:v>0.9186992</c:v>
                </c:pt>
                <c:pt idx="17">
                  <c:v>0.9186992</c:v>
                </c:pt>
                <c:pt idx="18">
                  <c:v>0.9181669</c:v>
                </c:pt>
                <c:pt idx="19">
                  <c:v>0.9185668</c:v>
                </c:pt>
                <c:pt idx="20">
                  <c:v>0.9266467</c:v>
                </c:pt>
                <c:pt idx="21">
                  <c:v>0.9125189</c:v>
                </c:pt>
                <c:pt idx="22">
                  <c:v>0.9134328</c:v>
                </c:pt>
                <c:pt idx="23">
                  <c:v>0.9029851</c:v>
                </c:pt>
                <c:pt idx="24">
                  <c:v>0.9</c:v>
                </c:pt>
                <c:pt idx="25">
                  <c:v>0.9004458</c:v>
                </c:pt>
                <c:pt idx="26">
                  <c:v>0.897474</c:v>
                </c:pt>
                <c:pt idx="27">
                  <c:v>0.8849558</c:v>
                </c:pt>
                <c:pt idx="28">
                  <c:v>0.8746313</c:v>
                </c:pt>
                <c:pt idx="29">
                  <c:v>0.8775811</c:v>
                </c:pt>
                <c:pt idx="30">
                  <c:v>0.8781204</c:v>
                </c:pt>
                <c:pt idx="31">
                  <c:v>0.878655</c:v>
                </c:pt>
                <c:pt idx="32">
                  <c:v>0.883041</c:v>
                </c:pt>
                <c:pt idx="33">
                  <c:v>0.874269</c:v>
                </c:pt>
                <c:pt idx="34">
                  <c:v>0.874818</c:v>
                </c:pt>
                <c:pt idx="35">
                  <c:v>0.8719068</c:v>
                </c:pt>
                <c:pt idx="36">
                  <c:v>0.8719068</c:v>
                </c:pt>
                <c:pt idx="37">
                  <c:v>0.797671</c:v>
                </c:pt>
                <c:pt idx="38">
                  <c:v>0.797671</c:v>
                </c:pt>
                <c:pt idx="39">
                  <c:v>0.797671</c:v>
                </c:pt>
                <c:pt idx="40">
                  <c:v>0.797671</c:v>
                </c:pt>
              </c:numCache>
            </c:numRef>
          </c:val>
          <c:smooth val="0"/>
        </c:ser>
        <c:dLbls>
          <c:showLegendKey val="0"/>
          <c:showVal val="0"/>
          <c:showCatName val="0"/>
          <c:showSerName val="0"/>
          <c:showPercent val="0"/>
          <c:showBubbleSize val="0"/>
        </c:dLbls>
        <c:marker val="1"/>
        <c:smooth val="0"/>
        <c:axId val="-2091145016"/>
        <c:axId val="-2091141064"/>
      </c:lineChart>
      <c:catAx>
        <c:axId val="-2091145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141064"/>
        <c:crosses val="autoZero"/>
        <c:auto val="1"/>
        <c:lblAlgn val="ctr"/>
        <c:lblOffset val="100"/>
        <c:tickLblSkip val="5"/>
        <c:tickMarkSkip val="5"/>
        <c:noMultiLvlLbl val="0"/>
      </c:catAx>
      <c:valAx>
        <c:axId val="-2091141064"/>
        <c:scaling>
          <c:orientation val="minMax"/>
          <c:min val="0.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145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'continent origin'!$A$2</c:f>
              <c:strCache>
                <c:ptCount val="1"/>
                <c:pt idx="0">
                  <c:v>Africa</c:v>
                </c:pt>
              </c:strCache>
            </c:strRef>
          </c:tx>
          <c:spPr>
            <a:ln w="28575" cap="rnd">
              <a:solidFill>
                <a:schemeClr val="tx1"/>
              </a:solidFill>
              <a:round/>
            </a:ln>
            <a:effectLst/>
          </c:spPr>
          <c:marker>
            <c:symbol val="none"/>
          </c:marker>
          <c:cat>
            <c:numRef>
              <c:f>'continent origin'!$B$1:$AP$1</c:f>
              <c:numCache>
                <c:formatCode>General</c:formatCode>
                <c:ptCount val="41"/>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pt idx="36">
                  <c:v>2009.0</c:v>
                </c:pt>
                <c:pt idx="37">
                  <c:v>2010.0</c:v>
                </c:pt>
                <c:pt idx="38">
                  <c:v>2011.0</c:v>
                </c:pt>
                <c:pt idx="39">
                  <c:v>2012.0</c:v>
                </c:pt>
                <c:pt idx="40">
                  <c:v>2013.0</c:v>
                </c:pt>
              </c:numCache>
            </c:numRef>
          </c:cat>
          <c:val>
            <c:numRef>
              <c:f>'continent origin'!$B$2:$AP$2</c:f>
              <c:numCache>
                <c:formatCode>General</c:formatCode>
                <c:ptCount val="41"/>
                <c:pt idx="0">
                  <c:v>0.7682282</c:v>
                </c:pt>
                <c:pt idx="1">
                  <c:v>0.7574932</c:v>
                </c:pt>
                <c:pt idx="2">
                  <c:v>0.7630168</c:v>
                </c:pt>
                <c:pt idx="3">
                  <c:v>0.7775525</c:v>
                </c:pt>
                <c:pt idx="4">
                  <c:v>0.7763269</c:v>
                </c:pt>
                <c:pt idx="5">
                  <c:v>0.7743395</c:v>
                </c:pt>
                <c:pt idx="6">
                  <c:v>0.7740775</c:v>
                </c:pt>
                <c:pt idx="7">
                  <c:v>0.7754444</c:v>
                </c:pt>
                <c:pt idx="8">
                  <c:v>0.7725335</c:v>
                </c:pt>
                <c:pt idx="9">
                  <c:v>0.7771078</c:v>
                </c:pt>
                <c:pt idx="10">
                  <c:v>0.7782513</c:v>
                </c:pt>
                <c:pt idx="11">
                  <c:v>0.7785445</c:v>
                </c:pt>
                <c:pt idx="12">
                  <c:v>0.7860728</c:v>
                </c:pt>
                <c:pt idx="13">
                  <c:v>0.784555</c:v>
                </c:pt>
                <c:pt idx="14">
                  <c:v>0.8039905</c:v>
                </c:pt>
                <c:pt idx="15">
                  <c:v>0.8041973</c:v>
                </c:pt>
                <c:pt idx="16">
                  <c:v>0.8036804</c:v>
                </c:pt>
                <c:pt idx="17">
                  <c:v>0.7993627</c:v>
                </c:pt>
                <c:pt idx="18">
                  <c:v>0.8061921</c:v>
                </c:pt>
                <c:pt idx="19">
                  <c:v>0.808517</c:v>
                </c:pt>
                <c:pt idx="20">
                  <c:v>0.8126163</c:v>
                </c:pt>
                <c:pt idx="21">
                  <c:v>0.8235188</c:v>
                </c:pt>
                <c:pt idx="22">
                  <c:v>0.8223428</c:v>
                </c:pt>
                <c:pt idx="23">
                  <c:v>0.8305457</c:v>
                </c:pt>
                <c:pt idx="24">
                  <c:v>0.8382433</c:v>
                </c:pt>
                <c:pt idx="25">
                  <c:v>0.8392583</c:v>
                </c:pt>
                <c:pt idx="26">
                  <c:v>0.8413427</c:v>
                </c:pt>
                <c:pt idx="27">
                  <c:v>0.8432211</c:v>
                </c:pt>
                <c:pt idx="28">
                  <c:v>0.8433041</c:v>
                </c:pt>
                <c:pt idx="29">
                  <c:v>0.8464061</c:v>
                </c:pt>
                <c:pt idx="30">
                  <c:v>0.8536866</c:v>
                </c:pt>
                <c:pt idx="31">
                  <c:v>0.8556911</c:v>
                </c:pt>
                <c:pt idx="32">
                  <c:v>0.861308</c:v>
                </c:pt>
                <c:pt idx="33">
                  <c:v>0.8614976</c:v>
                </c:pt>
                <c:pt idx="34">
                  <c:v>0.8579575</c:v>
                </c:pt>
                <c:pt idx="35">
                  <c:v>0.8577914</c:v>
                </c:pt>
                <c:pt idx="36">
                  <c:v>0.8515543</c:v>
                </c:pt>
                <c:pt idx="37">
                  <c:v>0.8409428</c:v>
                </c:pt>
                <c:pt idx="38">
                  <c:v>0.8410301</c:v>
                </c:pt>
                <c:pt idx="39">
                  <c:v>0.8393578</c:v>
                </c:pt>
                <c:pt idx="40">
                  <c:v>0.8452165</c:v>
                </c:pt>
              </c:numCache>
            </c:numRef>
          </c:val>
          <c:smooth val="0"/>
        </c:ser>
        <c:ser>
          <c:idx val="2"/>
          <c:order val="1"/>
          <c:tx>
            <c:strRef>
              <c:f>'continent origin'!$A$3</c:f>
              <c:strCache>
                <c:ptCount val="1"/>
                <c:pt idx="0">
                  <c:v>Americas</c:v>
                </c:pt>
              </c:strCache>
            </c:strRef>
          </c:tx>
          <c:spPr>
            <a:ln w="28575" cap="rnd">
              <a:solidFill>
                <a:schemeClr val="bg1">
                  <a:lumMod val="50000"/>
                </a:schemeClr>
              </a:solidFill>
              <a:round/>
            </a:ln>
            <a:effectLst/>
          </c:spPr>
          <c:marker>
            <c:symbol val="none"/>
          </c:marker>
          <c:cat>
            <c:numRef>
              <c:f>'continent origin'!$B$1:$AP$1</c:f>
              <c:numCache>
                <c:formatCode>General</c:formatCode>
                <c:ptCount val="41"/>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pt idx="36">
                  <c:v>2009.0</c:v>
                </c:pt>
                <c:pt idx="37">
                  <c:v>2010.0</c:v>
                </c:pt>
                <c:pt idx="38">
                  <c:v>2011.0</c:v>
                </c:pt>
                <c:pt idx="39">
                  <c:v>2012.0</c:v>
                </c:pt>
                <c:pt idx="40">
                  <c:v>2013.0</c:v>
                </c:pt>
              </c:numCache>
            </c:numRef>
          </c:cat>
          <c:val>
            <c:numRef>
              <c:f>'continent origin'!$B$3:$AP$3</c:f>
              <c:numCache>
                <c:formatCode>General</c:formatCode>
                <c:ptCount val="41"/>
                <c:pt idx="0">
                  <c:v>0.6354998</c:v>
                </c:pt>
                <c:pt idx="1">
                  <c:v>0.6160599</c:v>
                </c:pt>
                <c:pt idx="2">
                  <c:v>0.615033</c:v>
                </c:pt>
                <c:pt idx="3">
                  <c:v>0.6181997</c:v>
                </c:pt>
                <c:pt idx="4">
                  <c:v>0.610967</c:v>
                </c:pt>
                <c:pt idx="5">
                  <c:v>0.5937615</c:v>
                </c:pt>
                <c:pt idx="6">
                  <c:v>0.5914282</c:v>
                </c:pt>
                <c:pt idx="7">
                  <c:v>0.6057143</c:v>
                </c:pt>
                <c:pt idx="8">
                  <c:v>0.6172595</c:v>
                </c:pt>
                <c:pt idx="9">
                  <c:v>0.6351821</c:v>
                </c:pt>
                <c:pt idx="10">
                  <c:v>0.6443697</c:v>
                </c:pt>
                <c:pt idx="11">
                  <c:v>0.6475464</c:v>
                </c:pt>
                <c:pt idx="12">
                  <c:v>0.6560566</c:v>
                </c:pt>
                <c:pt idx="13">
                  <c:v>0.6502404</c:v>
                </c:pt>
                <c:pt idx="14">
                  <c:v>0.6640078</c:v>
                </c:pt>
                <c:pt idx="15">
                  <c:v>0.6676866</c:v>
                </c:pt>
                <c:pt idx="16">
                  <c:v>0.6658289</c:v>
                </c:pt>
                <c:pt idx="17">
                  <c:v>0.6573943</c:v>
                </c:pt>
                <c:pt idx="18">
                  <c:v>0.6520166</c:v>
                </c:pt>
                <c:pt idx="19">
                  <c:v>0.646292</c:v>
                </c:pt>
                <c:pt idx="20">
                  <c:v>0.6621919</c:v>
                </c:pt>
                <c:pt idx="21">
                  <c:v>0.6609161</c:v>
                </c:pt>
                <c:pt idx="22">
                  <c:v>0.65814</c:v>
                </c:pt>
                <c:pt idx="23">
                  <c:v>0.6534762</c:v>
                </c:pt>
                <c:pt idx="24">
                  <c:v>0.6601555</c:v>
                </c:pt>
                <c:pt idx="25">
                  <c:v>0.6516954</c:v>
                </c:pt>
                <c:pt idx="26">
                  <c:v>0.6481555</c:v>
                </c:pt>
                <c:pt idx="27">
                  <c:v>0.6459676</c:v>
                </c:pt>
                <c:pt idx="28">
                  <c:v>0.6449043</c:v>
                </c:pt>
                <c:pt idx="29">
                  <c:v>0.6408588</c:v>
                </c:pt>
                <c:pt idx="30">
                  <c:v>0.6437731</c:v>
                </c:pt>
                <c:pt idx="31">
                  <c:v>0.6400194</c:v>
                </c:pt>
                <c:pt idx="32">
                  <c:v>0.6345089</c:v>
                </c:pt>
                <c:pt idx="33">
                  <c:v>0.6226928</c:v>
                </c:pt>
                <c:pt idx="34">
                  <c:v>0.6191576</c:v>
                </c:pt>
                <c:pt idx="35">
                  <c:v>0.6166507</c:v>
                </c:pt>
                <c:pt idx="36">
                  <c:v>0.610202</c:v>
                </c:pt>
                <c:pt idx="37">
                  <c:v>0.5855502</c:v>
                </c:pt>
                <c:pt idx="38">
                  <c:v>0.5802871</c:v>
                </c:pt>
                <c:pt idx="39">
                  <c:v>0.5811694</c:v>
                </c:pt>
                <c:pt idx="40">
                  <c:v>0.5785066</c:v>
                </c:pt>
              </c:numCache>
            </c:numRef>
          </c:val>
          <c:smooth val="0"/>
        </c:ser>
        <c:ser>
          <c:idx val="3"/>
          <c:order val="2"/>
          <c:tx>
            <c:strRef>
              <c:f>'continent origin'!$A$4</c:f>
              <c:strCache>
                <c:ptCount val="1"/>
                <c:pt idx="0">
                  <c:v>Asia</c:v>
                </c:pt>
              </c:strCache>
            </c:strRef>
          </c:tx>
          <c:spPr>
            <a:ln w="28575" cap="rnd">
              <a:solidFill>
                <a:schemeClr val="tx1">
                  <a:lumMod val="65000"/>
                  <a:lumOff val="35000"/>
                </a:schemeClr>
              </a:solidFill>
              <a:prstDash val="sysDash"/>
              <a:round/>
            </a:ln>
            <a:effectLst/>
          </c:spPr>
          <c:marker>
            <c:symbol val="none"/>
          </c:marker>
          <c:cat>
            <c:numRef>
              <c:f>'continent origin'!$B$1:$AP$1</c:f>
              <c:numCache>
                <c:formatCode>General</c:formatCode>
                <c:ptCount val="41"/>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pt idx="36">
                  <c:v>2009.0</c:v>
                </c:pt>
                <c:pt idx="37">
                  <c:v>2010.0</c:v>
                </c:pt>
                <c:pt idx="38">
                  <c:v>2011.0</c:v>
                </c:pt>
                <c:pt idx="39">
                  <c:v>2012.0</c:v>
                </c:pt>
                <c:pt idx="40">
                  <c:v>2013.0</c:v>
                </c:pt>
              </c:numCache>
            </c:numRef>
          </c:cat>
          <c:val>
            <c:numRef>
              <c:f>'continent origin'!$B$4:$AP$4</c:f>
              <c:numCache>
                <c:formatCode>General</c:formatCode>
                <c:ptCount val="41"/>
                <c:pt idx="0">
                  <c:v>0.8470116</c:v>
                </c:pt>
                <c:pt idx="1">
                  <c:v>0.8293158</c:v>
                </c:pt>
                <c:pt idx="2">
                  <c:v>0.8306485</c:v>
                </c:pt>
                <c:pt idx="3">
                  <c:v>0.8342335</c:v>
                </c:pt>
                <c:pt idx="4">
                  <c:v>0.8297813</c:v>
                </c:pt>
                <c:pt idx="5">
                  <c:v>0.8274238</c:v>
                </c:pt>
                <c:pt idx="6">
                  <c:v>0.8297784</c:v>
                </c:pt>
                <c:pt idx="7">
                  <c:v>0.8289676</c:v>
                </c:pt>
                <c:pt idx="8">
                  <c:v>0.8380725</c:v>
                </c:pt>
                <c:pt idx="9">
                  <c:v>0.8462185</c:v>
                </c:pt>
                <c:pt idx="10">
                  <c:v>0.8491597</c:v>
                </c:pt>
                <c:pt idx="11">
                  <c:v>0.8517684</c:v>
                </c:pt>
                <c:pt idx="12">
                  <c:v>0.858754</c:v>
                </c:pt>
                <c:pt idx="13">
                  <c:v>0.8532409</c:v>
                </c:pt>
                <c:pt idx="14">
                  <c:v>0.8660449</c:v>
                </c:pt>
                <c:pt idx="15">
                  <c:v>0.8628008</c:v>
                </c:pt>
                <c:pt idx="16">
                  <c:v>0.8638637</c:v>
                </c:pt>
                <c:pt idx="17">
                  <c:v>0.8554913</c:v>
                </c:pt>
                <c:pt idx="18">
                  <c:v>0.8546207</c:v>
                </c:pt>
                <c:pt idx="19">
                  <c:v>0.8548409</c:v>
                </c:pt>
                <c:pt idx="20">
                  <c:v>0.8579189</c:v>
                </c:pt>
                <c:pt idx="21">
                  <c:v>0.853355</c:v>
                </c:pt>
                <c:pt idx="22">
                  <c:v>0.8492424</c:v>
                </c:pt>
                <c:pt idx="23">
                  <c:v>0.8570491</c:v>
                </c:pt>
                <c:pt idx="24">
                  <c:v>0.8573605</c:v>
                </c:pt>
                <c:pt idx="25">
                  <c:v>0.8482985</c:v>
                </c:pt>
                <c:pt idx="26">
                  <c:v>0.8456022</c:v>
                </c:pt>
                <c:pt idx="27">
                  <c:v>0.8486635</c:v>
                </c:pt>
                <c:pt idx="28">
                  <c:v>0.8491253</c:v>
                </c:pt>
                <c:pt idx="29">
                  <c:v>0.8425523</c:v>
                </c:pt>
                <c:pt idx="30">
                  <c:v>0.847908</c:v>
                </c:pt>
                <c:pt idx="31">
                  <c:v>0.8439261</c:v>
                </c:pt>
                <c:pt idx="32">
                  <c:v>0.8434308</c:v>
                </c:pt>
                <c:pt idx="33">
                  <c:v>0.8359112</c:v>
                </c:pt>
                <c:pt idx="34">
                  <c:v>0.8314849</c:v>
                </c:pt>
                <c:pt idx="35">
                  <c:v>0.8302734</c:v>
                </c:pt>
                <c:pt idx="36">
                  <c:v>0.8268216</c:v>
                </c:pt>
                <c:pt idx="37">
                  <c:v>0.8208008</c:v>
                </c:pt>
                <c:pt idx="38">
                  <c:v>0.8169124</c:v>
                </c:pt>
                <c:pt idx="39">
                  <c:v>0.8119541</c:v>
                </c:pt>
                <c:pt idx="40">
                  <c:v>0.8109372</c:v>
                </c:pt>
              </c:numCache>
            </c:numRef>
          </c:val>
          <c:smooth val="0"/>
        </c:ser>
        <c:ser>
          <c:idx val="4"/>
          <c:order val="3"/>
          <c:tx>
            <c:strRef>
              <c:f>'continent origin'!$A$5</c:f>
              <c:strCache>
                <c:ptCount val="1"/>
                <c:pt idx="0">
                  <c:v>Europe</c:v>
                </c:pt>
              </c:strCache>
            </c:strRef>
          </c:tx>
          <c:spPr>
            <a:ln w="28575" cap="rnd">
              <a:solidFill>
                <a:schemeClr val="tx1"/>
              </a:solidFill>
              <a:prstDash val="sysDot"/>
              <a:round/>
            </a:ln>
            <a:effectLst/>
          </c:spPr>
          <c:marker>
            <c:symbol val="none"/>
          </c:marker>
          <c:cat>
            <c:numRef>
              <c:f>'continent origin'!$B$1:$AP$1</c:f>
              <c:numCache>
                <c:formatCode>General</c:formatCode>
                <c:ptCount val="41"/>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pt idx="36">
                  <c:v>2009.0</c:v>
                </c:pt>
                <c:pt idx="37">
                  <c:v>2010.0</c:v>
                </c:pt>
                <c:pt idx="38">
                  <c:v>2011.0</c:v>
                </c:pt>
                <c:pt idx="39">
                  <c:v>2012.0</c:v>
                </c:pt>
                <c:pt idx="40">
                  <c:v>2013.0</c:v>
                </c:pt>
              </c:numCache>
            </c:numRef>
          </c:cat>
          <c:val>
            <c:numRef>
              <c:f>'continent origin'!$B$5:$AP$5</c:f>
              <c:numCache>
                <c:formatCode>General</c:formatCode>
                <c:ptCount val="41"/>
                <c:pt idx="0">
                  <c:v>0.6216266</c:v>
                </c:pt>
                <c:pt idx="1">
                  <c:v>0.602926</c:v>
                </c:pt>
                <c:pt idx="2">
                  <c:v>0.5942531</c:v>
                </c:pt>
                <c:pt idx="3">
                  <c:v>0.5911347</c:v>
                </c:pt>
                <c:pt idx="4">
                  <c:v>0.5908778</c:v>
                </c:pt>
                <c:pt idx="5">
                  <c:v>0.5841178</c:v>
                </c:pt>
                <c:pt idx="6">
                  <c:v>0.5810372</c:v>
                </c:pt>
                <c:pt idx="7">
                  <c:v>0.5804051</c:v>
                </c:pt>
                <c:pt idx="8">
                  <c:v>0.5864636</c:v>
                </c:pt>
                <c:pt idx="9">
                  <c:v>0.5925221</c:v>
                </c:pt>
                <c:pt idx="10">
                  <c:v>0.5926952</c:v>
                </c:pt>
                <c:pt idx="11">
                  <c:v>0.5945334</c:v>
                </c:pt>
                <c:pt idx="12">
                  <c:v>0.6027158</c:v>
                </c:pt>
                <c:pt idx="13">
                  <c:v>0.6061962</c:v>
                </c:pt>
                <c:pt idx="14">
                  <c:v>0.6142857</c:v>
                </c:pt>
                <c:pt idx="15">
                  <c:v>0.6120482</c:v>
                </c:pt>
                <c:pt idx="16">
                  <c:v>0.6089501</c:v>
                </c:pt>
                <c:pt idx="17">
                  <c:v>0.5969536</c:v>
                </c:pt>
                <c:pt idx="18">
                  <c:v>0.5718355</c:v>
                </c:pt>
                <c:pt idx="19">
                  <c:v>0.5625743</c:v>
                </c:pt>
                <c:pt idx="20">
                  <c:v>0.6597149</c:v>
                </c:pt>
                <c:pt idx="21">
                  <c:v>0.6317204</c:v>
                </c:pt>
                <c:pt idx="22">
                  <c:v>0.6237531</c:v>
                </c:pt>
                <c:pt idx="23">
                  <c:v>0.6263046</c:v>
                </c:pt>
                <c:pt idx="24">
                  <c:v>0.6260028</c:v>
                </c:pt>
                <c:pt idx="25">
                  <c:v>0.610446</c:v>
                </c:pt>
                <c:pt idx="26">
                  <c:v>0.6082438</c:v>
                </c:pt>
                <c:pt idx="27">
                  <c:v>0.6043689</c:v>
                </c:pt>
                <c:pt idx="28">
                  <c:v>0.6030359</c:v>
                </c:pt>
                <c:pt idx="29">
                  <c:v>0.6008509</c:v>
                </c:pt>
                <c:pt idx="30">
                  <c:v>0.5946412</c:v>
                </c:pt>
                <c:pt idx="31">
                  <c:v>0.586725</c:v>
                </c:pt>
                <c:pt idx="32">
                  <c:v>0.5804275</c:v>
                </c:pt>
                <c:pt idx="33">
                  <c:v>0.5530814</c:v>
                </c:pt>
                <c:pt idx="34">
                  <c:v>0.5516227</c:v>
                </c:pt>
                <c:pt idx="35">
                  <c:v>0.5448635</c:v>
                </c:pt>
                <c:pt idx="36">
                  <c:v>0.534793</c:v>
                </c:pt>
                <c:pt idx="37">
                  <c:v>0.5138708</c:v>
                </c:pt>
                <c:pt idx="38">
                  <c:v>0.5043346</c:v>
                </c:pt>
                <c:pt idx="39">
                  <c:v>0.4966794</c:v>
                </c:pt>
                <c:pt idx="40">
                  <c:v>0.4926719</c:v>
                </c:pt>
              </c:numCache>
            </c:numRef>
          </c:val>
          <c:smooth val="0"/>
        </c:ser>
        <c:ser>
          <c:idx val="5"/>
          <c:order val="4"/>
          <c:tx>
            <c:strRef>
              <c:f>'continent origin'!$A$6</c:f>
              <c:strCache>
                <c:ptCount val="1"/>
                <c:pt idx="0">
                  <c:v>Oceania</c:v>
                </c:pt>
              </c:strCache>
            </c:strRef>
          </c:tx>
          <c:spPr>
            <a:ln w="9525" cap="rnd">
              <a:solidFill>
                <a:schemeClr val="tx1"/>
              </a:solidFill>
              <a:round/>
            </a:ln>
            <a:effectLst/>
          </c:spPr>
          <c:marker>
            <c:symbol val="none"/>
          </c:marker>
          <c:cat>
            <c:numRef>
              <c:f>'continent origin'!$B$1:$AP$1</c:f>
              <c:numCache>
                <c:formatCode>General</c:formatCode>
                <c:ptCount val="41"/>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pt idx="36">
                  <c:v>2009.0</c:v>
                </c:pt>
                <c:pt idx="37">
                  <c:v>2010.0</c:v>
                </c:pt>
                <c:pt idx="38">
                  <c:v>2011.0</c:v>
                </c:pt>
                <c:pt idx="39">
                  <c:v>2012.0</c:v>
                </c:pt>
                <c:pt idx="40">
                  <c:v>2013.0</c:v>
                </c:pt>
              </c:numCache>
            </c:numRef>
          </c:cat>
          <c:val>
            <c:numRef>
              <c:f>'continent origin'!$B$6:$AP$6</c:f>
              <c:numCache>
                <c:formatCode>General</c:formatCode>
                <c:ptCount val="41"/>
                <c:pt idx="0">
                  <c:v>0.6098485</c:v>
                </c:pt>
                <c:pt idx="1">
                  <c:v>0.5667614</c:v>
                </c:pt>
                <c:pt idx="2">
                  <c:v>0.5639285</c:v>
                </c:pt>
                <c:pt idx="3">
                  <c:v>0.581117</c:v>
                </c:pt>
                <c:pt idx="4">
                  <c:v>0.5730525</c:v>
                </c:pt>
                <c:pt idx="5">
                  <c:v>0.5644947</c:v>
                </c:pt>
                <c:pt idx="6">
                  <c:v>0.5735119</c:v>
                </c:pt>
                <c:pt idx="7">
                  <c:v>0.6390333</c:v>
                </c:pt>
                <c:pt idx="8">
                  <c:v>0.6510067</c:v>
                </c:pt>
                <c:pt idx="9">
                  <c:v>0.6490182</c:v>
                </c:pt>
                <c:pt idx="10">
                  <c:v>0.6470296</c:v>
                </c:pt>
                <c:pt idx="11">
                  <c:v>0.64625</c:v>
                </c:pt>
                <c:pt idx="12">
                  <c:v>0.657</c:v>
                </c:pt>
                <c:pt idx="13">
                  <c:v>0.6534849</c:v>
                </c:pt>
                <c:pt idx="14">
                  <c:v>0.675482</c:v>
                </c:pt>
                <c:pt idx="15">
                  <c:v>0.6779535</c:v>
                </c:pt>
                <c:pt idx="16">
                  <c:v>0.6762235</c:v>
                </c:pt>
                <c:pt idx="17">
                  <c:v>0.6674859</c:v>
                </c:pt>
                <c:pt idx="18">
                  <c:v>0.6607099</c:v>
                </c:pt>
                <c:pt idx="19">
                  <c:v>0.6437893</c:v>
                </c:pt>
                <c:pt idx="20">
                  <c:v>0.6605526</c:v>
                </c:pt>
                <c:pt idx="21">
                  <c:v>0.6559067</c:v>
                </c:pt>
                <c:pt idx="22">
                  <c:v>0.6543376</c:v>
                </c:pt>
                <c:pt idx="23">
                  <c:v>0.6477916</c:v>
                </c:pt>
                <c:pt idx="24">
                  <c:v>0.6433882</c:v>
                </c:pt>
                <c:pt idx="25">
                  <c:v>0.6402958</c:v>
                </c:pt>
                <c:pt idx="26">
                  <c:v>0.6345596</c:v>
                </c:pt>
                <c:pt idx="27">
                  <c:v>0.6418009</c:v>
                </c:pt>
                <c:pt idx="28">
                  <c:v>0.6407554</c:v>
                </c:pt>
                <c:pt idx="29">
                  <c:v>0.6451471</c:v>
                </c:pt>
                <c:pt idx="30">
                  <c:v>0.6490997</c:v>
                </c:pt>
                <c:pt idx="31">
                  <c:v>0.6416539</c:v>
                </c:pt>
                <c:pt idx="32">
                  <c:v>0.6442688</c:v>
                </c:pt>
                <c:pt idx="33">
                  <c:v>0.6352657</c:v>
                </c:pt>
                <c:pt idx="34">
                  <c:v>0.6308696</c:v>
                </c:pt>
                <c:pt idx="35">
                  <c:v>0.6303266</c:v>
                </c:pt>
                <c:pt idx="36">
                  <c:v>0.6218088</c:v>
                </c:pt>
                <c:pt idx="37">
                  <c:v>0.6158339</c:v>
                </c:pt>
                <c:pt idx="38">
                  <c:v>0.6123729</c:v>
                </c:pt>
                <c:pt idx="39">
                  <c:v>0.6152174</c:v>
                </c:pt>
                <c:pt idx="40">
                  <c:v>0.6141023</c:v>
                </c:pt>
              </c:numCache>
            </c:numRef>
          </c:val>
          <c:smooth val="0"/>
        </c:ser>
        <c:dLbls>
          <c:showLegendKey val="0"/>
          <c:showVal val="0"/>
          <c:showCatName val="0"/>
          <c:showSerName val="0"/>
          <c:showPercent val="0"/>
          <c:showBubbleSize val="0"/>
        </c:dLbls>
        <c:marker val="1"/>
        <c:smooth val="0"/>
        <c:axId val="-2091096920"/>
        <c:axId val="-2091093160"/>
      </c:lineChart>
      <c:catAx>
        <c:axId val="-2091096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093160"/>
        <c:crosses val="autoZero"/>
        <c:auto val="1"/>
        <c:lblAlgn val="ctr"/>
        <c:lblOffset val="100"/>
        <c:tickLblSkip val="5"/>
        <c:noMultiLvlLbl val="0"/>
      </c:catAx>
      <c:valAx>
        <c:axId val="-2091093160"/>
        <c:scaling>
          <c:orientation val="minMax"/>
          <c:max val="1.0"/>
          <c:min val="0.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096920"/>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'continent of dest_OECD origin'!$A$2</c:f>
              <c:strCache>
                <c:ptCount val="1"/>
                <c:pt idx="0">
                  <c:v>Africa</c:v>
                </c:pt>
              </c:strCache>
            </c:strRef>
          </c:tx>
          <c:spPr>
            <a:ln w="28575" cap="rnd">
              <a:solidFill>
                <a:schemeClr val="tx1"/>
              </a:solidFill>
              <a:round/>
            </a:ln>
            <a:effectLst/>
          </c:spPr>
          <c:marker>
            <c:symbol val="none"/>
          </c:marker>
          <c:cat>
            <c:numRef>
              <c:f>'continent of dest_OECD origin'!$B$1:$AP$1</c:f>
              <c:numCache>
                <c:formatCode>General</c:formatCode>
                <c:ptCount val="41"/>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pt idx="36">
                  <c:v>2009.0</c:v>
                </c:pt>
                <c:pt idx="37">
                  <c:v>2010.0</c:v>
                </c:pt>
                <c:pt idx="38">
                  <c:v>2011.0</c:v>
                </c:pt>
                <c:pt idx="39">
                  <c:v>2012.0</c:v>
                </c:pt>
                <c:pt idx="40">
                  <c:v>2013.0</c:v>
                </c:pt>
              </c:numCache>
            </c:numRef>
          </c:cat>
          <c:val>
            <c:numRef>
              <c:f>'continent of dest_OECD origin'!$B$2:$AP$2</c:f>
              <c:numCache>
                <c:formatCode>General</c:formatCode>
                <c:ptCount val="41"/>
                <c:pt idx="0">
                  <c:v>0.7391304</c:v>
                </c:pt>
                <c:pt idx="1">
                  <c:v>0.7169811</c:v>
                </c:pt>
                <c:pt idx="2">
                  <c:v>0.687291</c:v>
                </c:pt>
                <c:pt idx="3">
                  <c:v>0.6931911</c:v>
                </c:pt>
                <c:pt idx="4">
                  <c:v>0.6964725</c:v>
                </c:pt>
                <c:pt idx="5">
                  <c:v>0.6827697</c:v>
                </c:pt>
                <c:pt idx="6">
                  <c:v>0.6851852</c:v>
                </c:pt>
                <c:pt idx="7">
                  <c:v>0.6876007</c:v>
                </c:pt>
                <c:pt idx="8">
                  <c:v>0.689211</c:v>
                </c:pt>
                <c:pt idx="9">
                  <c:v>0.7069243</c:v>
                </c:pt>
                <c:pt idx="10">
                  <c:v>0.7020934</c:v>
                </c:pt>
                <c:pt idx="11">
                  <c:v>0.7061192</c:v>
                </c:pt>
                <c:pt idx="12">
                  <c:v>0.7045088</c:v>
                </c:pt>
                <c:pt idx="13">
                  <c:v>0.7214171</c:v>
                </c:pt>
                <c:pt idx="14">
                  <c:v>0.736715</c:v>
                </c:pt>
                <c:pt idx="15">
                  <c:v>0.7326892</c:v>
                </c:pt>
                <c:pt idx="16">
                  <c:v>0.7310789</c:v>
                </c:pt>
                <c:pt idx="17">
                  <c:v>0.7206119</c:v>
                </c:pt>
                <c:pt idx="18">
                  <c:v>0.715781</c:v>
                </c:pt>
                <c:pt idx="19">
                  <c:v>0.7230273</c:v>
                </c:pt>
                <c:pt idx="20">
                  <c:v>0.7368827</c:v>
                </c:pt>
                <c:pt idx="21">
                  <c:v>0.720679</c:v>
                </c:pt>
                <c:pt idx="22">
                  <c:v>0.7148148</c:v>
                </c:pt>
                <c:pt idx="23">
                  <c:v>0.7293447</c:v>
                </c:pt>
                <c:pt idx="24">
                  <c:v>0.7597402</c:v>
                </c:pt>
                <c:pt idx="25">
                  <c:v>0.7572751</c:v>
                </c:pt>
                <c:pt idx="26">
                  <c:v>0.7493386</c:v>
                </c:pt>
                <c:pt idx="27">
                  <c:v>0.771164</c:v>
                </c:pt>
                <c:pt idx="28">
                  <c:v>0.7753247</c:v>
                </c:pt>
                <c:pt idx="29">
                  <c:v>0.7889611</c:v>
                </c:pt>
                <c:pt idx="30">
                  <c:v>0.7844156</c:v>
                </c:pt>
                <c:pt idx="31">
                  <c:v>0.7837662</c:v>
                </c:pt>
                <c:pt idx="32">
                  <c:v>0.7850649</c:v>
                </c:pt>
                <c:pt idx="33">
                  <c:v>0.7850649</c:v>
                </c:pt>
                <c:pt idx="34">
                  <c:v>0.7857143</c:v>
                </c:pt>
                <c:pt idx="35">
                  <c:v>0.7857143</c:v>
                </c:pt>
                <c:pt idx="36">
                  <c:v>0.7850649</c:v>
                </c:pt>
                <c:pt idx="37">
                  <c:v>0.7811688</c:v>
                </c:pt>
                <c:pt idx="38">
                  <c:v>0.7897727</c:v>
                </c:pt>
                <c:pt idx="39">
                  <c:v>0.7924107</c:v>
                </c:pt>
                <c:pt idx="40">
                  <c:v>0.8003472</c:v>
                </c:pt>
              </c:numCache>
            </c:numRef>
          </c:val>
          <c:smooth val="0"/>
        </c:ser>
        <c:ser>
          <c:idx val="2"/>
          <c:order val="1"/>
          <c:tx>
            <c:strRef>
              <c:f>'continent of dest_OECD origin'!$A$3</c:f>
              <c:strCache>
                <c:ptCount val="1"/>
                <c:pt idx="0">
                  <c:v>Americas</c:v>
                </c:pt>
              </c:strCache>
            </c:strRef>
          </c:tx>
          <c:spPr>
            <a:ln w="28575" cap="rnd">
              <a:solidFill>
                <a:schemeClr val="bg1">
                  <a:lumMod val="50000"/>
                </a:schemeClr>
              </a:solidFill>
              <a:round/>
            </a:ln>
            <a:effectLst/>
          </c:spPr>
          <c:marker>
            <c:symbol val="none"/>
          </c:marker>
          <c:cat>
            <c:numRef>
              <c:f>'continent of dest_OECD origin'!$B$1:$AP$1</c:f>
              <c:numCache>
                <c:formatCode>General</c:formatCode>
                <c:ptCount val="41"/>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pt idx="36">
                  <c:v>2009.0</c:v>
                </c:pt>
                <c:pt idx="37">
                  <c:v>2010.0</c:v>
                </c:pt>
                <c:pt idx="38">
                  <c:v>2011.0</c:v>
                </c:pt>
                <c:pt idx="39">
                  <c:v>2012.0</c:v>
                </c:pt>
                <c:pt idx="40">
                  <c:v>2013.0</c:v>
                </c:pt>
              </c:numCache>
            </c:numRef>
          </c:cat>
          <c:val>
            <c:numRef>
              <c:f>'continent of dest_OECD origin'!$B$3:$AP$3</c:f>
              <c:numCache>
                <c:formatCode>General</c:formatCode>
                <c:ptCount val="41"/>
                <c:pt idx="0">
                  <c:v>0.2997712</c:v>
                </c:pt>
                <c:pt idx="1">
                  <c:v>0.2821462</c:v>
                </c:pt>
                <c:pt idx="2">
                  <c:v>0.2849214</c:v>
                </c:pt>
                <c:pt idx="3">
                  <c:v>0.2960222</c:v>
                </c:pt>
                <c:pt idx="4">
                  <c:v>0.2950971</c:v>
                </c:pt>
                <c:pt idx="5">
                  <c:v>0.2904718</c:v>
                </c:pt>
                <c:pt idx="6">
                  <c:v>0.2923219</c:v>
                </c:pt>
                <c:pt idx="7">
                  <c:v>0.2908213</c:v>
                </c:pt>
                <c:pt idx="8">
                  <c:v>0.3120773</c:v>
                </c:pt>
                <c:pt idx="9">
                  <c:v>0.3198068</c:v>
                </c:pt>
                <c:pt idx="10">
                  <c:v>0.3333333</c:v>
                </c:pt>
                <c:pt idx="11">
                  <c:v>0.3171937</c:v>
                </c:pt>
                <c:pt idx="12">
                  <c:v>0.3468379</c:v>
                </c:pt>
                <c:pt idx="13">
                  <c:v>0.3431002</c:v>
                </c:pt>
                <c:pt idx="14">
                  <c:v>0.3676749</c:v>
                </c:pt>
                <c:pt idx="15">
                  <c:v>0.3714556</c:v>
                </c:pt>
                <c:pt idx="16">
                  <c:v>0.3620038</c:v>
                </c:pt>
                <c:pt idx="17">
                  <c:v>0.306198</c:v>
                </c:pt>
                <c:pt idx="18">
                  <c:v>0.3080481</c:v>
                </c:pt>
                <c:pt idx="19">
                  <c:v>0.2436594</c:v>
                </c:pt>
                <c:pt idx="20">
                  <c:v>0.2465278</c:v>
                </c:pt>
                <c:pt idx="21">
                  <c:v>0.2109375</c:v>
                </c:pt>
                <c:pt idx="22">
                  <c:v>0.2208333</c:v>
                </c:pt>
                <c:pt idx="23">
                  <c:v>0.2411859</c:v>
                </c:pt>
                <c:pt idx="24">
                  <c:v>0.2418155</c:v>
                </c:pt>
                <c:pt idx="25">
                  <c:v>0.228863</c:v>
                </c:pt>
                <c:pt idx="26">
                  <c:v>0.2193878</c:v>
                </c:pt>
                <c:pt idx="27">
                  <c:v>0.2069971</c:v>
                </c:pt>
                <c:pt idx="28">
                  <c:v>0.1909621</c:v>
                </c:pt>
                <c:pt idx="29">
                  <c:v>0.1924198</c:v>
                </c:pt>
                <c:pt idx="30">
                  <c:v>0.1865889</c:v>
                </c:pt>
                <c:pt idx="31">
                  <c:v>0.1771137</c:v>
                </c:pt>
                <c:pt idx="32">
                  <c:v>0.1671533</c:v>
                </c:pt>
                <c:pt idx="33">
                  <c:v>0.1311953</c:v>
                </c:pt>
                <c:pt idx="34">
                  <c:v>0.1290087</c:v>
                </c:pt>
                <c:pt idx="35">
                  <c:v>0.1348397</c:v>
                </c:pt>
                <c:pt idx="36">
                  <c:v>0.090379</c:v>
                </c:pt>
                <c:pt idx="37">
                  <c:v>0.0860058</c:v>
                </c:pt>
                <c:pt idx="38">
                  <c:v>0.0829082</c:v>
                </c:pt>
                <c:pt idx="39">
                  <c:v>0.0804521</c:v>
                </c:pt>
                <c:pt idx="40">
                  <c:v>0.0849185</c:v>
                </c:pt>
              </c:numCache>
            </c:numRef>
          </c:val>
          <c:smooth val="0"/>
        </c:ser>
        <c:ser>
          <c:idx val="3"/>
          <c:order val="2"/>
          <c:tx>
            <c:strRef>
              <c:f>'continent of dest_OECD origin'!$A$4</c:f>
              <c:strCache>
                <c:ptCount val="1"/>
                <c:pt idx="0">
                  <c:v>Asia</c:v>
                </c:pt>
              </c:strCache>
            </c:strRef>
          </c:tx>
          <c:spPr>
            <a:ln w="28575" cap="rnd">
              <a:solidFill>
                <a:schemeClr val="tx1">
                  <a:lumMod val="65000"/>
                  <a:lumOff val="35000"/>
                </a:schemeClr>
              </a:solidFill>
              <a:prstDash val="sysDash"/>
              <a:round/>
            </a:ln>
            <a:effectLst/>
          </c:spPr>
          <c:marker>
            <c:symbol val="none"/>
          </c:marker>
          <c:cat>
            <c:numRef>
              <c:f>'continent of dest_OECD origin'!$B$1:$AP$1</c:f>
              <c:numCache>
                <c:formatCode>General</c:formatCode>
                <c:ptCount val="41"/>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pt idx="36">
                  <c:v>2009.0</c:v>
                </c:pt>
                <c:pt idx="37">
                  <c:v>2010.0</c:v>
                </c:pt>
                <c:pt idx="38">
                  <c:v>2011.0</c:v>
                </c:pt>
                <c:pt idx="39">
                  <c:v>2012.0</c:v>
                </c:pt>
                <c:pt idx="40">
                  <c:v>2013.0</c:v>
                </c:pt>
              </c:numCache>
            </c:numRef>
          </c:cat>
          <c:val>
            <c:numRef>
              <c:f>'continent of dest_OECD origin'!$B$4:$AP$4</c:f>
              <c:numCache>
                <c:formatCode>General</c:formatCode>
                <c:ptCount val="41"/>
                <c:pt idx="0">
                  <c:v>0.7309368</c:v>
                </c:pt>
                <c:pt idx="1">
                  <c:v>0.7258236</c:v>
                </c:pt>
                <c:pt idx="2">
                  <c:v>0.7205101</c:v>
                </c:pt>
                <c:pt idx="3">
                  <c:v>0.686722</c:v>
                </c:pt>
                <c:pt idx="4">
                  <c:v>0.685441</c:v>
                </c:pt>
                <c:pt idx="5">
                  <c:v>0.6769394</c:v>
                </c:pt>
                <c:pt idx="6">
                  <c:v>0.6769394</c:v>
                </c:pt>
                <c:pt idx="7">
                  <c:v>0.6705632</c:v>
                </c:pt>
                <c:pt idx="8">
                  <c:v>0.685441</c:v>
                </c:pt>
                <c:pt idx="9">
                  <c:v>0.6822529</c:v>
                </c:pt>
                <c:pt idx="10">
                  <c:v>0.6695005</c:v>
                </c:pt>
                <c:pt idx="11">
                  <c:v>0.6450585</c:v>
                </c:pt>
                <c:pt idx="12">
                  <c:v>0.6599362</c:v>
                </c:pt>
                <c:pt idx="13">
                  <c:v>0.6758767</c:v>
                </c:pt>
                <c:pt idx="14">
                  <c:v>0.6769394</c:v>
                </c:pt>
                <c:pt idx="15">
                  <c:v>0.6758767</c:v>
                </c:pt>
                <c:pt idx="16">
                  <c:v>0.6758767</c:v>
                </c:pt>
                <c:pt idx="17">
                  <c:v>0.6780021</c:v>
                </c:pt>
                <c:pt idx="18">
                  <c:v>0.6778017</c:v>
                </c:pt>
                <c:pt idx="19">
                  <c:v>0.6981934</c:v>
                </c:pt>
                <c:pt idx="20">
                  <c:v>0.740905</c:v>
                </c:pt>
                <c:pt idx="21">
                  <c:v>0.7400178</c:v>
                </c:pt>
                <c:pt idx="22">
                  <c:v>0.7472894</c:v>
                </c:pt>
                <c:pt idx="23">
                  <c:v>0.7328308</c:v>
                </c:pt>
                <c:pt idx="24">
                  <c:v>0.7387247</c:v>
                </c:pt>
                <c:pt idx="25">
                  <c:v>0.7363919</c:v>
                </c:pt>
                <c:pt idx="26">
                  <c:v>0.7332815</c:v>
                </c:pt>
                <c:pt idx="27">
                  <c:v>0.7377049</c:v>
                </c:pt>
                <c:pt idx="28">
                  <c:v>0.7354695</c:v>
                </c:pt>
                <c:pt idx="29">
                  <c:v>0.7354695</c:v>
                </c:pt>
                <c:pt idx="30">
                  <c:v>0.7354695</c:v>
                </c:pt>
                <c:pt idx="31">
                  <c:v>0.7201768</c:v>
                </c:pt>
                <c:pt idx="32">
                  <c:v>0.7324888</c:v>
                </c:pt>
                <c:pt idx="33">
                  <c:v>0.695231</c:v>
                </c:pt>
                <c:pt idx="34">
                  <c:v>0.6832117</c:v>
                </c:pt>
                <c:pt idx="35">
                  <c:v>0.6852646</c:v>
                </c:pt>
                <c:pt idx="36">
                  <c:v>0.7000716</c:v>
                </c:pt>
                <c:pt idx="37">
                  <c:v>0.6917024</c:v>
                </c:pt>
                <c:pt idx="38">
                  <c:v>0.6914893</c:v>
                </c:pt>
                <c:pt idx="39">
                  <c:v>0.6883605</c:v>
                </c:pt>
                <c:pt idx="40">
                  <c:v>0.6812255</c:v>
                </c:pt>
              </c:numCache>
            </c:numRef>
          </c:val>
          <c:smooth val="0"/>
        </c:ser>
        <c:ser>
          <c:idx val="4"/>
          <c:order val="3"/>
          <c:tx>
            <c:strRef>
              <c:f>'continent of dest_OECD origin'!$A$5</c:f>
              <c:strCache>
                <c:ptCount val="1"/>
                <c:pt idx="0">
                  <c:v>Europe</c:v>
                </c:pt>
              </c:strCache>
            </c:strRef>
          </c:tx>
          <c:spPr>
            <a:ln w="28575" cap="rnd">
              <a:solidFill>
                <a:schemeClr val="tx1"/>
              </a:solidFill>
              <a:prstDash val="sysDot"/>
              <a:round/>
            </a:ln>
            <a:effectLst/>
          </c:spPr>
          <c:marker>
            <c:symbol val="none"/>
          </c:marker>
          <c:cat>
            <c:numRef>
              <c:f>'continent of dest_OECD origin'!$B$1:$AP$1</c:f>
              <c:numCache>
                <c:formatCode>General</c:formatCode>
                <c:ptCount val="41"/>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pt idx="36">
                  <c:v>2009.0</c:v>
                </c:pt>
                <c:pt idx="37">
                  <c:v>2010.0</c:v>
                </c:pt>
                <c:pt idx="38">
                  <c:v>2011.0</c:v>
                </c:pt>
                <c:pt idx="39">
                  <c:v>2012.0</c:v>
                </c:pt>
                <c:pt idx="40">
                  <c:v>2013.0</c:v>
                </c:pt>
              </c:numCache>
            </c:numRef>
          </c:cat>
          <c:val>
            <c:numRef>
              <c:f>'continent of dest_OECD origin'!$B$5:$AP$5</c:f>
              <c:numCache>
                <c:formatCode>General</c:formatCode>
                <c:ptCount val="41"/>
                <c:pt idx="0">
                  <c:v>0.201087</c:v>
                </c:pt>
                <c:pt idx="1">
                  <c:v>0.1956522</c:v>
                </c:pt>
                <c:pt idx="2">
                  <c:v>0.1929348</c:v>
                </c:pt>
                <c:pt idx="3">
                  <c:v>0.1888587</c:v>
                </c:pt>
                <c:pt idx="4">
                  <c:v>0.1875</c:v>
                </c:pt>
                <c:pt idx="5">
                  <c:v>0.1875</c:v>
                </c:pt>
                <c:pt idx="6">
                  <c:v>0.1861413</c:v>
                </c:pt>
                <c:pt idx="7">
                  <c:v>0.1875</c:v>
                </c:pt>
                <c:pt idx="8">
                  <c:v>0.1956522</c:v>
                </c:pt>
                <c:pt idx="9">
                  <c:v>0.1970109</c:v>
                </c:pt>
                <c:pt idx="10">
                  <c:v>0.1997283</c:v>
                </c:pt>
                <c:pt idx="11">
                  <c:v>0.2255435</c:v>
                </c:pt>
                <c:pt idx="12">
                  <c:v>0.2241848</c:v>
                </c:pt>
                <c:pt idx="13">
                  <c:v>0.2228261</c:v>
                </c:pt>
                <c:pt idx="14">
                  <c:v>0.25</c:v>
                </c:pt>
                <c:pt idx="15">
                  <c:v>0.25</c:v>
                </c:pt>
                <c:pt idx="16">
                  <c:v>0.2472826</c:v>
                </c:pt>
                <c:pt idx="17">
                  <c:v>0.2309783</c:v>
                </c:pt>
                <c:pt idx="18">
                  <c:v>0.1865358</c:v>
                </c:pt>
                <c:pt idx="19">
                  <c:v>0.2340153</c:v>
                </c:pt>
                <c:pt idx="20">
                  <c:v>0.3399374</c:v>
                </c:pt>
                <c:pt idx="21">
                  <c:v>0.2820258</c:v>
                </c:pt>
                <c:pt idx="22">
                  <c:v>0.2841797</c:v>
                </c:pt>
                <c:pt idx="23">
                  <c:v>0.2528195</c:v>
                </c:pt>
                <c:pt idx="24">
                  <c:v>0.2321117</c:v>
                </c:pt>
                <c:pt idx="25">
                  <c:v>0.2146508</c:v>
                </c:pt>
                <c:pt idx="26">
                  <c:v>0.2246256</c:v>
                </c:pt>
                <c:pt idx="27">
                  <c:v>0.2038269</c:v>
                </c:pt>
                <c:pt idx="28">
                  <c:v>0.2038269</c:v>
                </c:pt>
                <c:pt idx="29">
                  <c:v>0.1896839</c:v>
                </c:pt>
                <c:pt idx="30">
                  <c:v>0.1821963</c:v>
                </c:pt>
                <c:pt idx="31">
                  <c:v>0.140599</c:v>
                </c:pt>
                <c:pt idx="32">
                  <c:v>0.1331115</c:v>
                </c:pt>
                <c:pt idx="33">
                  <c:v>0.1139767</c:v>
                </c:pt>
                <c:pt idx="34">
                  <c:v>0.1073171</c:v>
                </c:pt>
                <c:pt idx="35">
                  <c:v>0.0869919</c:v>
                </c:pt>
                <c:pt idx="36">
                  <c:v>0.0837398</c:v>
                </c:pt>
                <c:pt idx="37">
                  <c:v>0.0821138</c:v>
                </c:pt>
                <c:pt idx="38">
                  <c:v>0.0790598</c:v>
                </c:pt>
                <c:pt idx="39">
                  <c:v>0.0761566</c:v>
                </c:pt>
                <c:pt idx="40">
                  <c:v>0.0565897</c:v>
                </c:pt>
              </c:numCache>
            </c:numRef>
          </c:val>
          <c:smooth val="0"/>
        </c:ser>
        <c:ser>
          <c:idx val="5"/>
          <c:order val="4"/>
          <c:tx>
            <c:strRef>
              <c:f>'continent of dest_OECD origin'!$A$6</c:f>
              <c:strCache>
                <c:ptCount val="1"/>
                <c:pt idx="0">
                  <c:v>Oceania</c:v>
                </c:pt>
              </c:strCache>
            </c:strRef>
          </c:tx>
          <c:spPr>
            <a:ln w="9525" cap="rnd">
              <a:solidFill>
                <a:schemeClr val="tx1"/>
              </a:solidFill>
              <a:round/>
            </a:ln>
            <a:effectLst/>
          </c:spPr>
          <c:marker>
            <c:symbol val="none"/>
          </c:marker>
          <c:cat>
            <c:numRef>
              <c:f>'continent of dest_OECD origin'!$B$1:$AP$1</c:f>
              <c:numCache>
                <c:formatCode>General</c:formatCode>
                <c:ptCount val="41"/>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pt idx="36">
                  <c:v>2009.0</c:v>
                </c:pt>
                <c:pt idx="37">
                  <c:v>2010.0</c:v>
                </c:pt>
                <c:pt idx="38">
                  <c:v>2011.0</c:v>
                </c:pt>
                <c:pt idx="39">
                  <c:v>2012.0</c:v>
                </c:pt>
                <c:pt idx="40">
                  <c:v>2013.0</c:v>
                </c:pt>
              </c:numCache>
            </c:numRef>
          </c:cat>
          <c:val>
            <c:numRef>
              <c:f>'continent of dest_OECD origin'!$B$6:$AP$6</c:f>
              <c:numCache>
                <c:formatCode>General</c:formatCode>
                <c:ptCount val="41"/>
                <c:pt idx="0">
                  <c:v>0.7101449</c:v>
                </c:pt>
                <c:pt idx="1">
                  <c:v>0.7101449</c:v>
                </c:pt>
                <c:pt idx="2">
                  <c:v>0.7391304</c:v>
                </c:pt>
                <c:pt idx="3">
                  <c:v>0.7391304</c:v>
                </c:pt>
                <c:pt idx="4">
                  <c:v>0.7391304</c:v>
                </c:pt>
                <c:pt idx="5">
                  <c:v>0.7391304</c:v>
                </c:pt>
                <c:pt idx="6">
                  <c:v>0.5217391</c:v>
                </c:pt>
                <c:pt idx="7">
                  <c:v>0.5072464</c:v>
                </c:pt>
                <c:pt idx="8">
                  <c:v>0.5072464</c:v>
                </c:pt>
                <c:pt idx="9">
                  <c:v>0.5072464</c:v>
                </c:pt>
                <c:pt idx="10">
                  <c:v>0.5072464</c:v>
                </c:pt>
                <c:pt idx="11">
                  <c:v>0.7246377</c:v>
                </c:pt>
                <c:pt idx="12">
                  <c:v>0.7246377</c:v>
                </c:pt>
                <c:pt idx="13">
                  <c:v>0.6521739</c:v>
                </c:pt>
                <c:pt idx="14">
                  <c:v>0.6521739</c:v>
                </c:pt>
                <c:pt idx="15">
                  <c:v>0.6521739</c:v>
                </c:pt>
                <c:pt idx="16">
                  <c:v>0.6521739</c:v>
                </c:pt>
                <c:pt idx="17">
                  <c:v>0.6521739</c:v>
                </c:pt>
                <c:pt idx="18">
                  <c:v>0.6521739</c:v>
                </c:pt>
                <c:pt idx="19">
                  <c:v>0.6521739</c:v>
                </c:pt>
                <c:pt idx="20">
                  <c:v>0.6666667</c:v>
                </c:pt>
                <c:pt idx="21">
                  <c:v>0.6527778</c:v>
                </c:pt>
                <c:pt idx="22">
                  <c:v>0.6666667</c:v>
                </c:pt>
                <c:pt idx="23">
                  <c:v>0.6794872</c:v>
                </c:pt>
                <c:pt idx="24">
                  <c:v>0.6904762</c:v>
                </c:pt>
                <c:pt idx="25">
                  <c:v>0.6904762</c:v>
                </c:pt>
                <c:pt idx="26">
                  <c:v>0.6904762</c:v>
                </c:pt>
                <c:pt idx="27">
                  <c:v>0.6904762</c:v>
                </c:pt>
                <c:pt idx="28">
                  <c:v>0.6666667</c:v>
                </c:pt>
                <c:pt idx="29">
                  <c:v>0.6785714</c:v>
                </c:pt>
                <c:pt idx="30">
                  <c:v>0.6785714</c:v>
                </c:pt>
                <c:pt idx="31">
                  <c:v>0.6666667</c:v>
                </c:pt>
                <c:pt idx="32">
                  <c:v>0.6666667</c:v>
                </c:pt>
                <c:pt idx="33">
                  <c:v>0.6547619</c:v>
                </c:pt>
                <c:pt idx="34">
                  <c:v>0.6547619</c:v>
                </c:pt>
                <c:pt idx="35">
                  <c:v>0.6547619</c:v>
                </c:pt>
                <c:pt idx="36">
                  <c:v>0.6547619</c:v>
                </c:pt>
                <c:pt idx="37">
                  <c:v>0.4047619</c:v>
                </c:pt>
                <c:pt idx="38">
                  <c:v>0.4375</c:v>
                </c:pt>
                <c:pt idx="39">
                  <c:v>0.4375</c:v>
                </c:pt>
                <c:pt idx="40">
                  <c:v>0.4375</c:v>
                </c:pt>
              </c:numCache>
            </c:numRef>
          </c:val>
          <c:smooth val="0"/>
        </c:ser>
        <c:dLbls>
          <c:showLegendKey val="0"/>
          <c:showVal val="0"/>
          <c:showCatName val="0"/>
          <c:showSerName val="0"/>
          <c:showPercent val="0"/>
          <c:showBubbleSize val="0"/>
        </c:dLbls>
        <c:marker val="1"/>
        <c:smooth val="0"/>
        <c:axId val="-2091051096"/>
        <c:axId val="-2091047336"/>
      </c:lineChart>
      <c:catAx>
        <c:axId val="-2091051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047336"/>
        <c:crosses val="autoZero"/>
        <c:auto val="1"/>
        <c:lblAlgn val="ctr"/>
        <c:lblOffset val="100"/>
        <c:tickLblSkip val="5"/>
        <c:noMultiLvlLbl val="0"/>
      </c:catAx>
      <c:valAx>
        <c:axId val="-2091047336"/>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051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'cont of origin_OECD destination'!$A$2</c:f>
              <c:strCache>
                <c:ptCount val="1"/>
                <c:pt idx="0">
                  <c:v>Africa</c:v>
                </c:pt>
              </c:strCache>
            </c:strRef>
          </c:tx>
          <c:spPr>
            <a:ln w="28575" cap="rnd">
              <a:solidFill>
                <a:schemeClr val="tx1"/>
              </a:solidFill>
              <a:round/>
            </a:ln>
            <a:effectLst/>
          </c:spPr>
          <c:marker>
            <c:symbol val="none"/>
          </c:marker>
          <c:cat>
            <c:numRef>
              <c:f>'cont of origin_OECD destination'!$B$1:$AP$1</c:f>
              <c:numCache>
                <c:formatCode>General</c:formatCode>
                <c:ptCount val="41"/>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pt idx="36">
                  <c:v>2009.0</c:v>
                </c:pt>
                <c:pt idx="37">
                  <c:v>2010.0</c:v>
                </c:pt>
                <c:pt idx="38">
                  <c:v>2011.0</c:v>
                </c:pt>
                <c:pt idx="39">
                  <c:v>2012.0</c:v>
                </c:pt>
                <c:pt idx="40">
                  <c:v>2013.0</c:v>
                </c:pt>
              </c:numCache>
            </c:numRef>
          </c:cat>
          <c:val>
            <c:numRef>
              <c:f>'cont of origin_OECD destination'!$B$2:$AP$2</c:f>
              <c:numCache>
                <c:formatCode>General</c:formatCode>
                <c:ptCount val="41"/>
                <c:pt idx="0">
                  <c:v>0.7280296</c:v>
                </c:pt>
                <c:pt idx="1">
                  <c:v>0.7273551</c:v>
                </c:pt>
                <c:pt idx="2">
                  <c:v>0.75</c:v>
                </c:pt>
                <c:pt idx="3">
                  <c:v>0.7735849</c:v>
                </c:pt>
                <c:pt idx="4">
                  <c:v>0.7721417</c:v>
                </c:pt>
                <c:pt idx="5">
                  <c:v>0.7786561</c:v>
                </c:pt>
                <c:pt idx="6">
                  <c:v>0.7794467</c:v>
                </c:pt>
                <c:pt idx="7">
                  <c:v>0.7794467</c:v>
                </c:pt>
                <c:pt idx="8">
                  <c:v>0.7770751</c:v>
                </c:pt>
                <c:pt idx="9">
                  <c:v>0.7762846</c:v>
                </c:pt>
                <c:pt idx="10">
                  <c:v>0.7762846</c:v>
                </c:pt>
                <c:pt idx="11">
                  <c:v>0.7841897</c:v>
                </c:pt>
                <c:pt idx="12">
                  <c:v>0.7826087</c:v>
                </c:pt>
                <c:pt idx="13">
                  <c:v>0.7816456</c:v>
                </c:pt>
                <c:pt idx="14">
                  <c:v>0.7974684</c:v>
                </c:pt>
                <c:pt idx="15">
                  <c:v>0.8047431</c:v>
                </c:pt>
                <c:pt idx="16">
                  <c:v>0.8071146</c:v>
                </c:pt>
                <c:pt idx="17">
                  <c:v>0.8047431</c:v>
                </c:pt>
                <c:pt idx="18">
                  <c:v>0.8229814</c:v>
                </c:pt>
                <c:pt idx="19">
                  <c:v>0.8354037</c:v>
                </c:pt>
                <c:pt idx="20">
                  <c:v>0.8422619</c:v>
                </c:pt>
                <c:pt idx="21">
                  <c:v>0.8625731</c:v>
                </c:pt>
                <c:pt idx="22">
                  <c:v>0.8750877</c:v>
                </c:pt>
                <c:pt idx="23">
                  <c:v>0.8967611</c:v>
                </c:pt>
                <c:pt idx="24">
                  <c:v>0.9129072</c:v>
                </c:pt>
                <c:pt idx="25">
                  <c:v>0.914787</c:v>
                </c:pt>
                <c:pt idx="26">
                  <c:v>0.9172933</c:v>
                </c:pt>
                <c:pt idx="27">
                  <c:v>0.9210526</c:v>
                </c:pt>
                <c:pt idx="28">
                  <c:v>0.9243799</c:v>
                </c:pt>
                <c:pt idx="29">
                  <c:v>0.9358742</c:v>
                </c:pt>
                <c:pt idx="30">
                  <c:v>0.9352692</c:v>
                </c:pt>
                <c:pt idx="31">
                  <c:v>0.9376891</c:v>
                </c:pt>
                <c:pt idx="32">
                  <c:v>0.938294</c:v>
                </c:pt>
                <c:pt idx="33">
                  <c:v>0.938899</c:v>
                </c:pt>
                <c:pt idx="34">
                  <c:v>0.9401089</c:v>
                </c:pt>
                <c:pt idx="35">
                  <c:v>0.938899</c:v>
                </c:pt>
                <c:pt idx="36">
                  <c:v>0.9376891</c:v>
                </c:pt>
                <c:pt idx="37">
                  <c:v>0.9183303</c:v>
                </c:pt>
                <c:pt idx="38">
                  <c:v>0.9144073</c:v>
                </c:pt>
                <c:pt idx="39">
                  <c:v>0.9138756</c:v>
                </c:pt>
                <c:pt idx="40">
                  <c:v>0.9133772</c:v>
                </c:pt>
              </c:numCache>
            </c:numRef>
          </c:val>
          <c:smooth val="0"/>
        </c:ser>
        <c:ser>
          <c:idx val="2"/>
          <c:order val="1"/>
          <c:tx>
            <c:strRef>
              <c:f>'cont of origin_OECD destination'!$A$3</c:f>
              <c:strCache>
                <c:ptCount val="1"/>
                <c:pt idx="0">
                  <c:v>Americas</c:v>
                </c:pt>
              </c:strCache>
            </c:strRef>
          </c:tx>
          <c:spPr>
            <a:ln w="28575" cap="rnd">
              <a:solidFill>
                <a:schemeClr val="bg1">
                  <a:lumMod val="50000"/>
                </a:schemeClr>
              </a:solidFill>
              <a:round/>
            </a:ln>
            <a:effectLst/>
          </c:spPr>
          <c:marker>
            <c:symbol val="none"/>
          </c:marker>
          <c:cat>
            <c:numRef>
              <c:f>'cont of origin_OECD destination'!$B$1:$AP$1</c:f>
              <c:numCache>
                <c:formatCode>General</c:formatCode>
                <c:ptCount val="41"/>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pt idx="36">
                  <c:v>2009.0</c:v>
                </c:pt>
                <c:pt idx="37">
                  <c:v>2010.0</c:v>
                </c:pt>
                <c:pt idx="38">
                  <c:v>2011.0</c:v>
                </c:pt>
                <c:pt idx="39">
                  <c:v>2012.0</c:v>
                </c:pt>
                <c:pt idx="40">
                  <c:v>2013.0</c:v>
                </c:pt>
              </c:numCache>
            </c:numRef>
          </c:cat>
          <c:val>
            <c:numRef>
              <c:f>'cont of origin_OECD destination'!$B$3:$AP$3</c:f>
              <c:numCache>
                <c:formatCode>General</c:formatCode>
                <c:ptCount val="41"/>
                <c:pt idx="0">
                  <c:v>0.2865613</c:v>
                </c:pt>
                <c:pt idx="1">
                  <c:v>0.2727273</c:v>
                </c:pt>
                <c:pt idx="2">
                  <c:v>0.3043478</c:v>
                </c:pt>
                <c:pt idx="3">
                  <c:v>0.3109641</c:v>
                </c:pt>
                <c:pt idx="4">
                  <c:v>0.2996219</c:v>
                </c:pt>
                <c:pt idx="5">
                  <c:v>0.2835539</c:v>
                </c:pt>
                <c:pt idx="6">
                  <c:v>0.2816635</c:v>
                </c:pt>
                <c:pt idx="7">
                  <c:v>0.3016304</c:v>
                </c:pt>
                <c:pt idx="8">
                  <c:v>0.3141083</c:v>
                </c:pt>
                <c:pt idx="9">
                  <c:v>0.3418585</c:v>
                </c:pt>
                <c:pt idx="10">
                  <c:v>0.3478261</c:v>
                </c:pt>
                <c:pt idx="11">
                  <c:v>0.3536789</c:v>
                </c:pt>
                <c:pt idx="12">
                  <c:v>0.3536789</c:v>
                </c:pt>
                <c:pt idx="13">
                  <c:v>0.3511706</c:v>
                </c:pt>
                <c:pt idx="14">
                  <c:v>0.3662207</c:v>
                </c:pt>
                <c:pt idx="15">
                  <c:v>0.3795986</c:v>
                </c:pt>
                <c:pt idx="16">
                  <c:v>0.3754181</c:v>
                </c:pt>
                <c:pt idx="17">
                  <c:v>0.3745819</c:v>
                </c:pt>
                <c:pt idx="18">
                  <c:v>0.3896321</c:v>
                </c:pt>
                <c:pt idx="19">
                  <c:v>0.382107</c:v>
                </c:pt>
                <c:pt idx="20">
                  <c:v>0.3886218</c:v>
                </c:pt>
                <c:pt idx="21">
                  <c:v>0.3982372</c:v>
                </c:pt>
                <c:pt idx="22">
                  <c:v>0.4115385</c:v>
                </c:pt>
                <c:pt idx="23">
                  <c:v>0.4215976</c:v>
                </c:pt>
                <c:pt idx="24">
                  <c:v>0.4436813</c:v>
                </c:pt>
                <c:pt idx="25">
                  <c:v>0.4464286</c:v>
                </c:pt>
                <c:pt idx="26">
                  <c:v>0.4464286</c:v>
                </c:pt>
                <c:pt idx="27">
                  <c:v>0.4306319</c:v>
                </c:pt>
                <c:pt idx="28">
                  <c:v>0.4436339</c:v>
                </c:pt>
                <c:pt idx="29">
                  <c:v>0.4376658</c:v>
                </c:pt>
                <c:pt idx="30">
                  <c:v>0.4363395</c:v>
                </c:pt>
                <c:pt idx="31">
                  <c:v>0.4462865</c:v>
                </c:pt>
                <c:pt idx="32">
                  <c:v>0.4343501</c:v>
                </c:pt>
                <c:pt idx="33">
                  <c:v>0.4310345</c:v>
                </c:pt>
                <c:pt idx="34">
                  <c:v>0.4403183</c:v>
                </c:pt>
                <c:pt idx="35">
                  <c:v>0.4383289</c:v>
                </c:pt>
                <c:pt idx="36">
                  <c:v>0.4343501</c:v>
                </c:pt>
                <c:pt idx="37">
                  <c:v>0.3819629</c:v>
                </c:pt>
                <c:pt idx="38">
                  <c:v>0.3548951</c:v>
                </c:pt>
                <c:pt idx="39">
                  <c:v>0.3548951</c:v>
                </c:pt>
                <c:pt idx="40">
                  <c:v>0.3533654</c:v>
                </c:pt>
              </c:numCache>
            </c:numRef>
          </c:val>
          <c:smooth val="0"/>
        </c:ser>
        <c:ser>
          <c:idx val="3"/>
          <c:order val="2"/>
          <c:tx>
            <c:strRef>
              <c:f>'cont of origin_OECD destination'!$A$4</c:f>
              <c:strCache>
                <c:ptCount val="1"/>
                <c:pt idx="0">
                  <c:v>Asia</c:v>
                </c:pt>
              </c:strCache>
            </c:strRef>
          </c:tx>
          <c:spPr>
            <a:ln w="28575" cap="rnd">
              <a:solidFill>
                <a:schemeClr val="tx1">
                  <a:lumMod val="65000"/>
                  <a:lumOff val="35000"/>
                </a:schemeClr>
              </a:solidFill>
              <a:prstDash val="sysDash"/>
              <a:round/>
            </a:ln>
            <a:effectLst/>
          </c:spPr>
          <c:marker>
            <c:symbol val="none"/>
          </c:marker>
          <c:cat>
            <c:numRef>
              <c:f>'cont of origin_OECD destination'!$B$1:$AP$1</c:f>
              <c:numCache>
                <c:formatCode>General</c:formatCode>
                <c:ptCount val="41"/>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pt idx="36">
                  <c:v>2009.0</c:v>
                </c:pt>
                <c:pt idx="37">
                  <c:v>2010.0</c:v>
                </c:pt>
                <c:pt idx="38">
                  <c:v>2011.0</c:v>
                </c:pt>
                <c:pt idx="39">
                  <c:v>2012.0</c:v>
                </c:pt>
                <c:pt idx="40">
                  <c:v>2013.0</c:v>
                </c:pt>
              </c:numCache>
            </c:numRef>
          </c:cat>
          <c:val>
            <c:numRef>
              <c:f>'cont of origin_OECD destination'!$B$4:$AP$4</c:f>
              <c:numCache>
                <c:formatCode>General</c:formatCode>
                <c:ptCount val="41"/>
                <c:pt idx="0">
                  <c:v>0.7976319</c:v>
                </c:pt>
                <c:pt idx="1">
                  <c:v>0.7911733</c:v>
                </c:pt>
                <c:pt idx="2">
                  <c:v>0.8073197</c:v>
                </c:pt>
                <c:pt idx="3">
                  <c:v>0.8083961</c:v>
                </c:pt>
                <c:pt idx="4">
                  <c:v>0.8083961</c:v>
                </c:pt>
                <c:pt idx="5">
                  <c:v>0.8051668</c:v>
                </c:pt>
                <c:pt idx="6">
                  <c:v>0.8116254</c:v>
                </c:pt>
                <c:pt idx="7">
                  <c:v>0.8073197</c:v>
                </c:pt>
                <c:pt idx="8">
                  <c:v>0.8256189</c:v>
                </c:pt>
                <c:pt idx="9">
                  <c:v>0.8385361</c:v>
                </c:pt>
                <c:pt idx="10">
                  <c:v>0.8406889</c:v>
                </c:pt>
                <c:pt idx="11">
                  <c:v>0.8428417</c:v>
                </c:pt>
                <c:pt idx="12">
                  <c:v>0.8455882</c:v>
                </c:pt>
                <c:pt idx="13">
                  <c:v>0.8455882</c:v>
                </c:pt>
                <c:pt idx="14">
                  <c:v>0.8530021</c:v>
                </c:pt>
                <c:pt idx="15">
                  <c:v>0.8509317</c:v>
                </c:pt>
                <c:pt idx="16">
                  <c:v>0.8561077</c:v>
                </c:pt>
                <c:pt idx="17">
                  <c:v>0.8550724</c:v>
                </c:pt>
                <c:pt idx="18">
                  <c:v>0.8434783</c:v>
                </c:pt>
                <c:pt idx="19">
                  <c:v>0.8445652</c:v>
                </c:pt>
                <c:pt idx="20">
                  <c:v>0.8661348</c:v>
                </c:pt>
                <c:pt idx="21">
                  <c:v>0.8634752</c:v>
                </c:pt>
                <c:pt idx="22">
                  <c:v>0.8570213</c:v>
                </c:pt>
                <c:pt idx="23">
                  <c:v>0.8576105</c:v>
                </c:pt>
                <c:pt idx="24">
                  <c:v>0.8579028</c:v>
                </c:pt>
                <c:pt idx="25">
                  <c:v>0.8556548</c:v>
                </c:pt>
                <c:pt idx="26">
                  <c:v>0.8489583</c:v>
                </c:pt>
                <c:pt idx="27">
                  <c:v>0.845</c:v>
                </c:pt>
                <c:pt idx="28">
                  <c:v>0.8537931</c:v>
                </c:pt>
                <c:pt idx="29">
                  <c:v>0.8317242</c:v>
                </c:pt>
                <c:pt idx="30">
                  <c:v>0.8384043</c:v>
                </c:pt>
                <c:pt idx="31">
                  <c:v>0.836376</c:v>
                </c:pt>
                <c:pt idx="32">
                  <c:v>0.831643</c:v>
                </c:pt>
                <c:pt idx="33">
                  <c:v>0.8282623</c:v>
                </c:pt>
                <c:pt idx="34">
                  <c:v>0.8269101</c:v>
                </c:pt>
                <c:pt idx="35">
                  <c:v>0.8235294</c:v>
                </c:pt>
                <c:pt idx="36">
                  <c:v>0.8235294</c:v>
                </c:pt>
                <c:pt idx="37">
                  <c:v>0.8154158</c:v>
                </c:pt>
                <c:pt idx="38">
                  <c:v>0.8125373</c:v>
                </c:pt>
                <c:pt idx="39">
                  <c:v>0.8023881</c:v>
                </c:pt>
                <c:pt idx="40">
                  <c:v>0.8002451</c:v>
                </c:pt>
              </c:numCache>
            </c:numRef>
          </c:val>
          <c:smooth val="0"/>
        </c:ser>
        <c:ser>
          <c:idx val="4"/>
          <c:order val="3"/>
          <c:tx>
            <c:strRef>
              <c:f>'cont of origin_OECD destination'!$A$5</c:f>
              <c:strCache>
                <c:ptCount val="1"/>
                <c:pt idx="0">
                  <c:v>Europe</c:v>
                </c:pt>
              </c:strCache>
            </c:strRef>
          </c:tx>
          <c:spPr>
            <a:ln w="28575" cap="rnd">
              <a:solidFill>
                <a:schemeClr val="tx1"/>
              </a:solidFill>
              <a:prstDash val="sysDot"/>
              <a:round/>
            </a:ln>
            <a:effectLst/>
          </c:spPr>
          <c:marker>
            <c:symbol val="none"/>
          </c:marker>
          <c:cat>
            <c:numRef>
              <c:f>'cont of origin_OECD destination'!$B$1:$AP$1</c:f>
              <c:numCache>
                <c:formatCode>General</c:formatCode>
                <c:ptCount val="41"/>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pt idx="36">
                  <c:v>2009.0</c:v>
                </c:pt>
                <c:pt idx="37">
                  <c:v>2010.0</c:v>
                </c:pt>
                <c:pt idx="38">
                  <c:v>2011.0</c:v>
                </c:pt>
                <c:pt idx="39">
                  <c:v>2012.0</c:v>
                </c:pt>
                <c:pt idx="40">
                  <c:v>2013.0</c:v>
                </c:pt>
              </c:numCache>
            </c:numRef>
          </c:cat>
          <c:val>
            <c:numRef>
              <c:f>'cont of origin_OECD destination'!$B$5:$AP$5</c:f>
              <c:numCache>
                <c:formatCode>General</c:formatCode>
                <c:ptCount val="41"/>
                <c:pt idx="0">
                  <c:v>0.3083004</c:v>
                </c:pt>
                <c:pt idx="1">
                  <c:v>0.3069829</c:v>
                </c:pt>
                <c:pt idx="2">
                  <c:v>0.3056653</c:v>
                </c:pt>
                <c:pt idx="3">
                  <c:v>0.2964427</c:v>
                </c:pt>
                <c:pt idx="4">
                  <c:v>0.2951252</c:v>
                </c:pt>
                <c:pt idx="5">
                  <c:v>0.2924901</c:v>
                </c:pt>
                <c:pt idx="6">
                  <c:v>0.2832675</c:v>
                </c:pt>
                <c:pt idx="7">
                  <c:v>0.2806324</c:v>
                </c:pt>
                <c:pt idx="8">
                  <c:v>0.2793149</c:v>
                </c:pt>
                <c:pt idx="9">
                  <c:v>0.2806324</c:v>
                </c:pt>
                <c:pt idx="10">
                  <c:v>0.2832675</c:v>
                </c:pt>
                <c:pt idx="11">
                  <c:v>0.2832675</c:v>
                </c:pt>
                <c:pt idx="12">
                  <c:v>0.2832675</c:v>
                </c:pt>
                <c:pt idx="13">
                  <c:v>0.2753623</c:v>
                </c:pt>
                <c:pt idx="14">
                  <c:v>0.2832675</c:v>
                </c:pt>
                <c:pt idx="15">
                  <c:v>0.2793149</c:v>
                </c:pt>
                <c:pt idx="16">
                  <c:v>0.2766798</c:v>
                </c:pt>
                <c:pt idx="17">
                  <c:v>0.2661397</c:v>
                </c:pt>
                <c:pt idx="18">
                  <c:v>0.2214674</c:v>
                </c:pt>
                <c:pt idx="19">
                  <c:v>0.1813261</c:v>
                </c:pt>
                <c:pt idx="20">
                  <c:v>0.380814</c:v>
                </c:pt>
                <c:pt idx="21">
                  <c:v>0.351626</c:v>
                </c:pt>
                <c:pt idx="22">
                  <c:v>0.3554545</c:v>
                </c:pt>
                <c:pt idx="23">
                  <c:v>0.3417832</c:v>
                </c:pt>
                <c:pt idx="24">
                  <c:v>0.3173701</c:v>
                </c:pt>
                <c:pt idx="25">
                  <c:v>0.3051948</c:v>
                </c:pt>
                <c:pt idx="26">
                  <c:v>0.3068182</c:v>
                </c:pt>
                <c:pt idx="27">
                  <c:v>0.2775974</c:v>
                </c:pt>
                <c:pt idx="28">
                  <c:v>0.2688088</c:v>
                </c:pt>
                <c:pt idx="29">
                  <c:v>0.2570533</c:v>
                </c:pt>
                <c:pt idx="30">
                  <c:v>0.2460815</c:v>
                </c:pt>
                <c:pt idx="31">
                  <c:v>0.2628352</c:v>
                </c:pt>
                <c:pt idx="32">
                  <c:v>0.2590038</c:v>
                </c:pt>
                <c:pt idx="33">
                  <c:v>0.2528736</c:v>
                </c:pt>
                <c:pt idx="34">
                  <c:v>0.2668666</c:v>
                </c:pt>
                <c:pt idx="35">
                  <c:v>0.2563718</c:v>
                </c:pt>
                <c:pt idx="36">
                  <c:v>0.2488756</c:v>
                </c:pt>
                <c:pt idx="37">
                  <c:v>0.2061469</c:v>
                </c:pt>
                <c:pt idx="38">
                  <c:v>0.1624501</c:v>
                </c:pt>
                <c:pt idx="39">
                  <c:v>0.1362126</c:v>
                </c:pt>
                <c:pt idx="40">
                  <c:v>0.137696</c:v>
                </c:pt>
              </c:numCache>
            </c:numRef>
          </c:val>
          <c:smooth val="0"/>
        </c:ser>
        <c:ser>
          <c:idx val="5"/>
          <c:order val="4"/>
          <c:tx>
            <c:strRef>
              <c:f>'cont of origin_OECD destination'!$A$6</c:f>
              <c:strCache>
                <c:ptCount val="1"/>
                <c:pt idx="0">
                  <c:v>Oceania</c:v>
                </c:pt>
              </c:strCache>
            </c:strRef>
          </c:tx>
          <c:spPr>
            <a:ln w="9525" cap="rnd">
              <a:solidFill>
                <a:schemeClr val="tx1"/>
              </a:solidFill>
              <a:round/>
            </a:ln>
            <a:effectLst/>
          </c:spPr>
          <c:marker>
            <c:symbol val="none"/>
          </c:marker>
          <c:cat>
            <c:numRef>
              <c:f>'cont of origin_OECD destination'!$B$1:$AP$1</c:f>
              <c:numCache>
                <c:formatCode>General</c:formatCode>
                <c:ptCount val="41"/>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pt idx="36">
                  <c:v>2009.0</c:v>
                </c:pt>
                <c:pt idx="37">
                  <c:v>2010.0</c:v>
                </c:pt>
                <c:pt idx="38">
                  <c:v>2011.0</c:v>
                </c:pt>
                <c:pt idx="39">
                  <c:v>2012.0</c:v>
                </c:pt>
                <c:pt idx="40">
                  <c:v>2013.0</c:v>
                </c:pt>
              </c:numCache>
            </c:numRef>
          </c:cat>
          <c:val>
            <c:numRef>
              <c:f>'cont of origin_OECD destination'!$B$6:$AP$6</c:f>
              <c:numCache>
                <c:formatCode>General</c:formatCode>
                <c:ptCount val="41"/>
                <c:pt idx="0">
                  <c:v>0.2934783</c:v>
                </c:pt>
                <c:pt idx="1">
                  <c:v>0.2690217</c:v>
                </c:pt>
                <c:pt idx="2">
                  <c:v>0.2907609</c:v>
                </c:pt>
                <c:pt idx="3">
                  <c:v>0.3273657</c:v>
                </c:pt>
                <c:pt idx="4">
                  <c:v>0.3043478</c:v>
                </c:pt>
                <c:pt idx="5">
                  <c:v>0.3043478</c:v>
                </c:pt>
                <c:pt idx="6">
                  <c:v>0.3432494</c:v>
                </c:pt>
                <c:pt idx="7">
                  <c:v>0.4545455</c:v>
                </c:pt>
                <c:pt idx="8">
                  <c:v>0.4669187</c:v>
                </c:pt>
                <c:pt idx="9">
                  <c:v>0.4593573</c:v>
                </c:pt>
                <c:pt idx="10">
                  <c:v>0.4593573</c:v>
                </c:pt>
                <c:pt idx="11">
                  <c:v>0.4517958</c:v>
                </c:pt>
                <c:pt idx="12">
                  <c:v>0.4404537</c:v>
                </c:pt>
                <c:pt idx="13">
                  <c:v>0.4442344</c:v>
                </c:pt>
                <c:pt idx="14">
                  <c:v>0.4688091</c:v>
                </c:pt>
                <c:pt idx="15">
                  <c:v>0.4688091</c:v>
                </c:pt>
                <c:pt idx="16">
                  <c:v>0.4499055</c:v>
                </c:pt>
                <c:pt idx="17">
                  <c:v>0.4385633</c:v>
                </c:pt>
                <c:pt idx="18">
                  <c:v>0.4347826</c:v>
                </c:pt>
                <c:pt idx="19">
                  <c:v>0.4139886</c:v>
                </c:pt>
                <c:pt idx="20">
                  <c:v>0.4184783</c:v>
                </c:pt>
                <c:pt idx="21">
                  <c:v>0.415608</c:v>
                </c:pt>
                <c:pt idx="22">
                  <c:v>0.4337979</c:v>
                </c:pt>
                <c:pt idx="23">
                  <c:v>0.4455611</c:v>
                </c:pt>
                <c:pt idx="24">
                  <c:v>0.4689441</c:v>
                </c:pt>
                <c:pt idx="25">
                  <c:v>0.4720497</c:v>
                </c:pt>
                <c:pt idx="26">
                  <c:v>0.4534161</c:v>
                </c:pt>
                <c:pt idx="27">
                  <c:v>0.4596273</c:v>
                </c:pt>
                <c:pt idx="28">
                  <c:v>0.4647676</c:v>
                </c:pt>
                <c:pt idx="29">
                  <c:v>0.4692654</c:v>
                </c:pt>
                <c:pt idx="30">
                  <c:v>0.4677661</c:v>
                </c:pt>
                <c:pt idx="31">
                  <c:v>0.4677661</c:v>
                </c:pt>
                <c:pt idx="32">
                  <c:v>0.4557721</c:v>
                </c:pt>
                <c:pt idx="33">
                  <c:v>0.4572714</c:v>
                </c:pt>
                <c:pt idx="34">
                  <c:v>0.4587706</c:v>
                </c:pt>
                <c:pt idx="35">
                  <c:v>0.4572714</c:v>
                </c:pt>
                <c:pt idx="36">
                  <c:v>0.4647676</c:v>
                </c:pt>
                <c:pt idx="37">
                  <c:v>0.4527736</c:v>
                </c:pt>
                <c:pt idx="38">
                  <c:v>0.4505929</c:v>
                </c:pt>
                <c:pt idx="39">
                  <c:v>0.4505929</c:v>
                </c:pt>
                <c:pt idx="40">
                  <c:v>0.4483696</c:v>
                </c:pt>
              </c:numCache>
            </c:numRef>
          </c:val>
          <c:smooth val="0"/>
        </c:ser>
        <c:dLbls>
          <c:showLegendKey val="0"/>
          <c:showVal val="0"/>
          <c:showCatName val="0"/>
          <c:showSerName val="0"/>
          <c:showPercent val="0"/>
          <c:showBubbleSize val="0"/>
        </c:dLbls>
        <c:marker val="1"/>
        <c:smooth val="0"/>
        <c:axId val="-2090997352"/>
        <c:axId val="-2090993592"/>
      </c:lineChart>
      <c:catAx>
        <c:axId val="-2090997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0993592"/>
        <c:crosses val="autoZero"/>
        <c:auto val="1"/>
        <c:lblAlgn val="ctr"/>
        <c:lblOffset val="100"/>
        <c:tickLblSkip val="5"/>
        <c:noMultiLvlLbl val="0"/>
      </c:catAx>
      <c:valAx>
        <c:axId val="-2090993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0997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Sheet5!$F$6</c:f>
              <c:strCache>
                <c:ptCount val="1"/>
                <c:pt idx="0">
                  <c:v>Internal</c:v>
                </c:pt>
              </c:strCache>
            </c:strRef>
          </c:tx>
          <c:spPr>
            <a:solidFill>
              <a:schemeClr val="tx1">
                <a:lumMod val="95000"/>
                <a:lumOff val="5000"/>
              </a:schemeClr>
            </a:solidFill>
            <a:ln>
              <a:noFill/>
            </a:ln>
            <a:effectLst/>
          </c:spPr>
          <c:invertIfNegative val="0"/>
          <c:cat>
            <c:strRef>
              <c:f>Sheet5!$E$7:$E$26</c:f>
              <c:strCache>
                <c:ptCount val="20"/>
                <c:pt idx="0">
                  <c:v>EFTA/EU</c:v>
                </c:pt>
                <c:pt idx="1">
                  <c:v>GCC</c:v>
                </c:pt>
                <c:pt idx="2">
                  <c:v>CARICOM</c:v>
                </c:pt>
                <c:pt idx="3">
                  <c:v>SACU</c:v>
                </c:pt>
                <c:pt idx="4">
                  <c:v>MERCOSUR</c:v>
                </c:pt>
                <c:pt idx="5">
                  <c:v>CIS</c:v>
                </c:pt>
                <c:pt idx="6">
                  <c:v>CACM</c:v>
                </c:pt>
                <c:pt idx="7">
                  <c:v>ECOWAS</c:v>
                </c:pt>
                <c:pt idx="8">
                  <c:v>CEFTA</c:v>
                </c:pt>
                <c:pt idx="9">
                  <c:v>NAFTA</c:v>
                </c:pt>
                <c:pt idx="10">
                  <c:v>CAN</c:v>
                </c:pt>
                <c:pt idx="11">
                  <c:v>EAC</c:v>
                </c:pt>
                <c:pt idx="12">
                  <c:v>LAIA</c:v>
                </c:pt>
                <c:pt idx="13">
                  <c:v>AFTA</c:v>
                </c:pt>
                <c:pt idx="14">
                  <c:v>CEMAC</c:v>
                </c:pt>
                <c:pt idx="15">
                  <c:v>SADC</c:v>
                </c:pt>
                <c:pt idx="16">
                  <c:v>PAFTA</c:v>
                </c:pt>
                <c:pt idx="17">
                  <c:v>SAFTA</c:v>
                </c:pt>
                <c:pt idx="18">
                  <c:v>APTA</c:v>
                </c:pt>
                <c:pt idx="19">
                  <c:v>COMESA</c:v>
                </c:pt>
              </c:strCache>
            </c:strRef>
          </c:cat>
          <c:val>
            <c:numRef>
              <c:f>Sheet5!$F$7:$F$26</c:f>
              <c:numCache>
                <c:formatCode>0.000</c:formatCode>
                <c:ptCount val="20"/>
                <c:pt idx="0">
                  <c:v>0.001747</c:v>
                </c:pt>
                <c:pt idx="1">
                  <c:v>0.001</c:v>
                </c:pt>
                <c:pt idx="2">
                  <c:v>0.077401</c:v>
                </c:pt>
                <c:pt idx="3">
                  <c:v>0.1</c:v>
                </c:pt>
                <c:pt idx="4">
                  <c:v>0.109589</c:v>
                </c:pt>
                <c:pt idx="5">
                  <c:v>0.1710723</c:v>
                </c:pt>
                <c:pt idx="6">
                  <c:v>0.1893939</c:v>
                </c:pt>
                <c:pt idx="7">
                  <c:v>0.1937518</c:v>
                </c:pt>
                <c:pt idx="8">
                  <c:v>0.1969315</c:v>
                </c:pt>
                <c:pt idx="9">
                  <c:v>0.2</c:v>
                </c:pt>
                <c:pt idx="10">
                  <c:v>0.2198276</c:v>
                </c:pt>
                <c:pt idx="11">
                  <c:v>0.2527473</c:v>
                </c:pt>
                <c:pt idx="12">
                  <c:v>0.3748852</c:v>
                </c:pt>
                <c:pt idx="13">
                  <c:v>0.4309825</c:v>
                </c:pt>
                <c:pt idx="14">
                  <c:v>0.4772727</c:v>
                </c:pt>
                <c:pt idx="15">
                  <c:v>0.5007014</c:v>
                </c:pt>
                <c:pt idx="16">
                  <c:v>0.6389679</c:v>
                </c:pt>
                <c:pt idx="17">
                  <c:v>0.6454545</c:v>
                </c:pt>
                <c:pt idx="18">
                  <c:v>0.7579545</c:v>
                </c:pt>
                <c:pt idx="19">
                  <c:v>0.7897712</c:v>
                </c:pt>
              </c:numCache>
            </c:numRef>
          </c:val>
        </c:ser>
        <c:ser>
          <c:idx val="1"/>
          <c:order val="1"/>
          <c:tx>
            <c:strRef>
              <c:f>Sheet5!$G$6</c:f>
              <c:strCache>
                <c:ptCount val="1"/>
                <c:pt idx="0">
                  <c:v>External</c:v>
                </c:pt>
              </c:strCache>
            </c:strRef>
          </c:tx>
          <c:spPr>
            <a:solidFill>
              <a:schemeClr val="bg1">
                <a:lumMod val="50000"/>
              </a:schemeClr>
            </a:solidFill>
            <a:ln>
              <a:noFill/>
            </a:ln>
            <a:effectLst/>
          </c:spPr>
          <c:invertIfNegative val="0"/>
          <c:cat>
            <c:strRef>
              <c:f>Sheet5!$E$7:$E$26</c:f>
              <c:strCache>
                <c:ptCount val="20"/>
                <c:pt idx="0">
                  <c:v>EFTA/EU</c:v>
                </c:pt>
                <c:pt idx="1">
                  <c:v>GCC</c:v>
                </c:pt>
                <c:pt idx="2">
                  <c:v>CARICOM</c:v>
                </c:pt>
                <c:pt idx="3">
                  <c:v>SACU</c:v>
                </c:pt>
                <c:pt idx="4">
                  <c:v>MERCOSUR</c:v>
                </c:pt>
                <c:pt idx="5">
                  <c:v>CIS</c:v>
                </c:pt>
                <c:pt idx="6">
                  <c:v>CACM</c:v>
                </c:pt>
                <c:pt idx="7">
                  <c:v>ECOWAS</c:v>
                </c:pt>
                <c:pt idx="8">
                  <c:v>CEFTA</c:v>
                </c:pt>
                <c:pt idx="9">
                  <c:v>NAFTA</c:v>
                </c:pt>
                <c:pt idx="10">
                  <c:v>CAN</c:v>
                </c:pt>
                <c:pt idx="11">
                  <c:v>EAC</c:v>
                </c:pt>
                <c:pt idx="12">
                  <c:v>LAIA</c:v>
                </c:pt>
                <c:pt idx="13">
                  <c:v>AFTA</c:v>
                </c:pt>
                <c:pt idx="14">
                  <c:v>CEMAC</c:v>
                </c:pt>
                <c:pt idx="15">
                  <c:v>SADC</c:v>
                </c:pt>
                <c:pt idx="16">
                  <c:v>PAFTA</c:v>
                </c:pt>
                <c:pt idx="17">
                  <c:v>SAFTA</c:v>
                </c:pt>
                <c:pt idx="18">
                  <c:v>APTA</c:v>
                </c:pt>
                <c:pt idx="19">
                  <c:v>COMESA</c:v>
                </c:pt>
              </c:strCache>
            </c:strRef>
          </c:cat>
          <c:val>
            <c:numRef>
              <c:f>Sheet5!$G$7:$G$26</c:f>
              <c:numCache>
                <c:formatCode>0.000</c:formatCode>
                <c:ptCount val="20"/>
                <c:pt idx="0">
                  <c:v>0.5804004</c:v>
                </c:pt>
                <c:pt idx="1">
                  <c:v>0.9772937</c:v>
                </c:pt>
                <c:pt idx="2">
                  <c:v>0.4637137</c:v>
                </c:pt>
                <c:pt idx="3">
                  <c:v>0.5974805</c:v>
                </c:pt>
                <c:pt idx="4">
                  <c:v>0.678159</c:v>
                </c:pt>
                <c:pt idx="5">
                  <c:v>0.915061</c:v>
                </c:pt>
                <c:pt idx="6">
                  <c:v>0.7282414</c:v>
                </c:pt>
                <c:pt idx="7">
                  <c:v>0.872494</c:v>
                </c:pt>
                <c:pt idx="8">
                  <c:v>0.6525824</c:v>
                </c:pt>
                <c:pt idx="9">
                  <c:v>0.6757393</c:v>
                </c:pt>
                <c:pt idx="10">
                  <c:v>0.5213223</c:v>
                </c:pt>
                <c:pt idx="11">
                  <c:v>0.8966293</c:v>
                </c:pt>
                <c:pt idx="12">
                  <c:v>0.6438478</c:v>
                </c:pt>
                <c:pt idx="13">
                  <c:v>0.6405632</c:v>
                </c:pt>
                <c:pt idx="14">
                  <c:v>0.9617746</c:v>
                </c:pt>
                <c:pt idx="15">
                  <c:v>0.7633057</c:v>
                </c:pt>
                <c:pt idx="16">
                  <c:v>0.8908063</c:v>
                </c:pt>
                <c:pt idx="17">
                  <c:v>0.8667032</c:v>
                </c:pt>
                <c:pt idx="18">
                  <c:v>0.729039</c:v>
                </c:pt>
                <c:pt idx="19">
                  <c:v>0.8427212</c:v>
                </c:pt>
              </c:numCache>
            </c:numRef>
          </c:val>
        </c:ser>
        <c:dLbls>
          <c:showLegendKey val="0"/>
          <c:showVal val="0"/>
          <c:showCatName val="0"/>
          <c:showSerName val="0"/>
          <c:showPercent val="0"/>
          <c:showBubbleSize val="0"/>
        </c:dLbls>
        <c:gapWidth val="219"/>
        <c:overlap val="-27"/>
        <c:axId val="-2097059096"/>
        <c:axId val="-2097055784"/>
      </c:barChart>
      <c:catAx>
        <c:axId val="-2097059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97055784"/>
        <c:crosses val="autoZero"/>
        <c:auto val="1"/>
        <c:lblAlgn val="ctr"/>
        <c:lblOffset val="100"/>
        <c:noMultiLvlLbl val="0"/>
      </c:catAx>
      <c:valAx>
        <c:axId val="-2097055784"/>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0970590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European Union</a:t>
            </a:r>
          </a:p>
        </c:rich>
      </c:tx>
      <c:overlay val="0"/>
      <c:spPr>
        <a:noFill/>
        <a:ln>
          <a:noFill/>
        </a:ln>
        <a:effectLst/>
      </c:spPr>
    </c:title>
    <c:autoTitleDeleted val="0"/>
    <c:plotArea>
      <c:layout/>
      <c:lineChart>
        <c:grouping val="standard"/>
        <c:varyColors val="0"/>
        <c:ser>
          <c:idx val="0"/>
          <c:order val="0"/>
          <c:tx>
            <c:v>actual EU members vs EU-28</c:v>
          </c:tx>
          <c:spPr>
            <a:ln w="28575" cap="rnd">
              <a:solidFill>
                <a:schemeClr val="dk1">
                  <a:tint val="88500"/>
                </a:schemeClr>
              </a:solidFill>
              <a:round/>
            </a:ln>
            <a:effectLst/>
          </c:spPr>
          <c:marker>
            <c:symbol val="none"/>
          </c:marker>
          <c:cat>
            <c:numRef>
              <c:f>Sheet6!$C$2:$C$42</c:f>
              <c:numCache>
                <c:formatCode>General</c:formatCode>
                <c:ptCount val="41"/>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pt idx="36">
                  <c:v>2009.0</c:v>
                </c:pt>
                <c:pt idx="37">
                  <c:v>2010.0</c:v>
                </c:pt>
                <c:pt idx="38">
                  <c:v>2011.0</c:v>
                </c:pt>
                <c:pt idx="39">
                  <c:v>2012.0</c:v>
                </c:pt>
                <c:pt idx="40">
                  <c:v>2013.0</c:v>
                </c:pt>
              </c:numCache>
            </c:numRef>
          </c:cat>
          <c:val>
            <c:numRef>
              <c:f>Sheet6!$D$2:$D$42</c:f>
              <c:numCache>
                <c:formatCode>General</c:formatCode>
                <c:ptCount val="41"/>
                <c:pt idx="0">
                  <c:v>0.7505322</c:v>
                </c:pt>
                <c:pt idx="1">
                  <c:v>0.7466817</c:v>
                </c:pt>
                <c:pt idx="2">
                  <c:v>0.7467255</c:v>
                </c:pt>
                <c:pt idx="3">
                  <c:v>0.7489704</c:v>
                </c:pt>
                <c:pt idx="4">
                  <c:v>0.7495937</c:v>
                </c:pt>
                <c:pt idx="5">
                  <c:v>0.7486367</c:v>
                </c:pt>
                <c:pt idx="6">
                  <c:v>0.7510222</c:v>
                </c:pt>
                <c:pt idx="7">
                  <c:v>0.7527344</c:v>
                </c:pt>
                <c:pt idx="8">
                  <c:v>0.7578671</c:v>
                </c:pt>
                <c:pt idx="9">
                  <c:v>0.7615473</c:v>
                </c:pt>
                <c:pt idx="10">
                  <c:v>0.7641777</c:v>
                </c:pt>
                <c:pt idx="11">
                  <c:v>0.7722386</c:v>
                </c:pt>
                <c:pt idx="12">
                  <c:v>0.7722503</c:v>
                </c:pt>
                <c:pt idx="13">
                  <c:v>0.7709197</c:v>
                </c:pt>
                <c:pt idx="14">
                  <c:v>0.7756317</c:v>
                </c:pt>
                <c:pt idx="15">
                  <c:v>0.7730409</c:v>
                </c:pt>
                <c:pt idx="16">
                  <c:v>0.7719529</c:v>
                </c:pt>
                <c:pt idx="17">
                  <c:v>0.7759905</c:v>
                </c:pt>
                <c:pt idx="18">
                  <c:v>0.6857684</c:v>
                </c:pt>
                <c:pt idx="19">
                  <c:v>0.6680951</c:v>
                </c:pt>
                <c:pt idx="20">
                  <c:v>0.6905123</c:v>
                </c:pt>
                <c:pt idx="21">
                  <c:v>0.6211197</c:v>
                </c:pt>
                <c:pt idx="22">
                  <c:v>0.260582</c:v>
                </c:pt>
                <c:pt idx="23">
                  <c:v>0.223545</c:v>
                </c:pt>
                <c:pt idx="24">
                  <c:v>0.218254</c:v>
                </c:pt>
                <c:pt idx="25">
                  <c:v>0.1917989</c:v>
                </c:pt>
                <c:pt idx="26">
                  <c:v>0.1865079</c:v>
                </c:pt>
                <c:pt idx="27">
                  <c:v>0.1018519</c:v>
                </c:pt>
                <c:pt idx="28">
                  <c:v>0.0992064</c:v>
                </c:pt>
                <c:pt idx="29">
                  <c:v>0.0489418</c:v>
                </c:pt>
                <c:pt idx="30">
                  <c:v>0.026455</c:v>
                </c:pt>
                <c:pt idx="31">
                  <c:v>0.0171958</c:v>
                </c:pt>
                <c:pt idx="32">
                  <c:v>0.0092593</c:v>
                </c:pt>
                <c:pt idx="33">
                  <c:v>0.010582</c:v>
                </c:pt>
                <c:pt idx="34">
                  <c:v>0.0079365</c:v>
                </c:pt>
                <c:pt idx="35">
                  <c:v>0.0026455</c:v>
                </c:pt>
                <c:pt idx="36">
                  <c:v>0.0026455</c:v>
                </c:pt>
                <c:pt idx="37">
                  <c:v>0.0013228</c:v>
                </c:pt>
                <c:pt idx="38">
                  <c:v>0.0013228</c:v>
                </c:pt>
                <c:pt idx="39">
                  <c:v>0.0013228</c:v>
                </c:pt>
                <c:pt idx="40">
                  <c:v>0.0013717</c:v>
                </c:pt>
              </c:numCache>
            </c:numRef>
          </c:val>
          <c:smooth val="0"/>
        </c:ser>
        <c:ser>
          <c:idx val="1"/>
          <c:order val="1"/>
          <c:tx>
            <c:v>actual EU members vs non-EU-28</c:v>
          </c:tx>
          <c:spPr>
            <a:ln w="28575" cap="rnd">
              <a:solidFill>
                <a:schemeClr val="dk1">
                  <a:tint val="55000"/>
                </a:schemeClr>
              </a:solidFill>
              <a:round/>
            </a:ln>
            <a:effectLst/>
          </c:spPr>
          <c:marker>
            <c:symbol val="none"/>
          </c:marker>
          <c:cat>
            <c:numRef>
              <c:f>Sheet6!$C$2:$C$42</c:f>
              <c:numCache>
                <c:formatCode>General</c:formatCode>
                <c:ptCount val="41"/>
                <c:pt idx="0">
                  <c:v>1973.0</c:v>
                </c:pt>
                <c:pt idx="1">
                  <c:v>1974.0</c:v>
                </c:pt>
                <c:pt idx="2">
                  <c:v>1975.0</c:v>
                </c:pt>
                <c:pt idx="3">
                  <c:v>1976.0</c:v>
                </c:pt>
                <c:pt idx="4">
                  <c:v>1977.0</c:v>
                </c:pt>
                <c:pt idx="5">
                  <c:v>1978.0</c:v>
                </c:pt>
                <c:pt idx="6">
                  <c:v>1979.0</c:v>
                </c:pt>
                <c:pt idx="7">
                  <c:v>1980.0</c:v>
                </c:pt>
                <c:pt idx="8">
                  <c:v>1981.0</c:v>
                </c:pt>
                <c:pt idx="9">
                  <c:v>1982.0</c:v>
                </c:pt>
                <c:pt idx="10">
                  <c:v>1983.0</c:v>
                </c:pt>
                <c:pt idx="11">
                  <c:v>1984.0</c:v>
                </c:pt>
                <c:pt idx="12">
                  <c:v>1985.0</c:v>
                </c:pt>
                <c:pt idx="13">
                  <c:v>1986.0</c:v>
                </c:pt>
                <c:pt idx="14">
                  <c:v>1987.0</c:v>
                </c:pt>
                <c:pt idx="15">
                  <c:v>1988.0</c:v>
                </c:pt>
                <c:pt idx="16">
                  <c:v>1989.0</c:v>
                </c:pt>
                <c:pt idx="17">
                  <c:v>1990.0</c:v>
                </c:pt>
                <c:pt idx="18">
                  <c:v>1991.0</c:v>
                </c:pt>
                <c:pt idx="19">
                  <c:v>1992.0</c:v>
                </c:pt>
                <c:pt idx="20">
                  <c:v>1993.0</c:v>
                </c:pt>
                <c:pt idx="21">
                  <c:v>1994.0</c:v>
                </c:pt>
                <c:pt idx="22">
                  <c:v>1995.0</c:v>
                </c:pt>
                <c:pt idx="23">
                  <c:v>1996.0</c:v>
                </c:pt>
                <c:pt idx="24">
                  <c:v>1997.0</c:v>
                </c:pt>
                <c:pt idx="25">
                  <c:v>1998.0</c:v>
                </c:pt>
                <c:pt idx="26">
                  <c:v>1999.0</c:v>
                </c:pt>
                <c:pt idx="27">
                  <c:v>2000.0</c:v>
                </c:pt>
                <c:pt idx="28">
                  <c:v>2001.0</c:v>
                </c:pt>
                <c:pt idx="29">
                  <c:v>2002.0</c:v>
                </c:pt>
                <c:pt idx="30">
                  <c:v>2003.0</c:v>
                </c:pt>
                <c:pt idx="31">
                  <c:v>2004.0</c:v>
                </c:pt>
                <c:pt idx="32">
                  <c:v>2005.0</c:v>
                </c:pt>
                <c:pt idx="33">
                  <c:v>2006.0</c:v>
                </c:pt>
                <c:pt idx="34">
                  <c:v>2007.0</c:v>
                </c:pt>
                <c:pt idx="35">
                  <c:v>2008.0</c:v>
                </c:pt>
                <c:pt idx="36">
                  <c:v>2009.0</c:v>
                </c:pt>
                <c:pt idx="37">
                  <c:v>2010.0</c:v>
                </c:pt>
                <c:pt idx="38">
                  <c:v>2011.0</c:v>
                </c:pt>
                <c:pt idx="39">
                  <c:v>2012.0</c:v>
                </c:pt>
                <c:pt idx="40">
                  <c:v>2013.0</c:v>
                </c:pt>
              </c:numCache>
            </c:numRef>
          </c:cat>
          <c:val>
            <c:numRef>
              <c:f>Sheet6!$E$2:$E$42</c:f>
              <c:numCache>
                <c:formatCode>General</c:formatCode>
                <c:ptCount val="41"/>
                <c:pt idx="0">
                  <c:v>0.7129824</c:v>
                </c:pt>
                <c:pt idx="1">
                  <c:v>0.6922815</c:v>
                </c:pt>
                <c:pt idx="2">
                  <c:v>0.6915379</c:v>
                </c:pt>
                <c:pt idx="3">
                  <c:v>0.699306</c:v>
                </c:pt>
                <c:pt idx="4">
                  <c:v>0.6954922</c:v>
                </c:pt>
                <c:pt idx="5">
                  <c:v>0.6883416</c:v>
                </c:pt>
                <c:pt idx="6">
                  <c:v>0.6870181</c:v>
                </c:pt>
                <c:pt idx="7">
                  <c:v>0.6956282</c:v>
                </c:pt>
                <c:pt idx="8">
                  <c:v>0.7011504</c:v>
                </c:pt>
                <c:pt idx="9">
                  <c:v>0.7086281</c:v>
                </c:pt>
                <c:pt idx="10">
                  <c:v>0.7117644</c:v>
                </c:pt>
                <c:pt idx="11">
                  <c:v>0.7124999</c:v>
                </c:pt>
                <c:pt idx="12">
                  <c:v>0.7220939</c:v>
                </c:pt>
                <c:pt idx="13">
                  <c:v>0.7191597</c:v>
                </c:pt>
                <c:pt idx="14">
                  <c:v>0.7355065</c:v>
                </c:pt>
                <c:pt idx="15">
                  <c:v>0.7359884</c:v>
                </c:pt>
                <c:pt idx="16">
                  <c:v>0.7348475</c:v>
                </c:pt>
                <c:pt idx="17">
                  <c:v>0.7259051</c:v>
                </c:pt>
                <c:pt idx="18">
                  <c:v>0.7302043</c:v>
                </c:pt>
                <c:pt idx="19">
                  <c:v>0.7263419</c:v>
                </c:pt>
                <c:pt idx="20">
                  <c:v>0.7499111</c:v>
                </c:pt>
                <c:pt idx="21">
                  <c:v>0.7482706</c:v>
                </c:pt>
                <c:pt idx="22">
                  <c:v>0.7447836</c:v>
                </c:pt>
                <c:pt idx="23">
                  <c:v>0.7480782</c:v>
                </c:pt>
                <c:pt idx="24">
                  <c:v>0.7512746</c:v>
                </c:pt>
                <c:pt idx="25">
                  <c:v>0.7450489</c:v>
                </c:pt>
                <c:pt idx="26">
                  <c:v>0.7431406</c:v>
                </c:pt>
                <c:pt idx="27">
                  <c:v>0.7458438</c:v>
                </c:pt>
                <c:pt idx="28">
                  <c:v>0.7453255</c:v>
                </c:pt>
                <c:pt idx="29">
                  <c:v>0.7445648</c:v>
                </c:pt>
                <c:pt idx="30">
                  <c:v>0.7484491</c:v>
                </c:pt>
                <c:pt idx="31">
                  <c:v>0.7448848</c:v>
                </c:pt>
                <c:pt idx="32">
                  <c:v>0.7435439</c:v>
                </c:pt>
                <c:pt idx="33">
                  <c:v>0.7326608</c:v>
                </c:pt>
                <c:pt idx="34">
                  <c:v>0.7283136</c:v>
                </c:pt>
                <c:pt idx="35">
                  <c:v>0.7259898</c:v>
                </c:pt>
                <c:pt idx="36">
                  <c:v>0.7191506</c:v>
                </c:pt>
                <c:pt idx="37">
                  <c:v>0.7045187</c:v>
                </c:pt>
                <c:pt idx="38">
                  <c:v>0.7001345</c:v>
                </c:pt>
                <c:pt idx="39">
                  <c:v>0.6975491</c:v>
                </c:pt>
                <c:pt idx="40">
                  <c:v>0.697226</c:v>
                </c:pt>
              </c:numCache>
            </c:numRef>
          </c:val>
          <c:smooth val="0"/>
        </c:ser>
        <c:dLbls>
          <c:showLegendKey val="0"/>
          <c:showVal val="0"/>
          <c:showCatName val="0"/>
          <c:showSerName val="0"/>
          <c:showPercent val="0"/>
          <c:showBubbleSize val="0"/>
        </c:dLbls>
        <c:marker val="1"/>
        <c:smooth val="0"/>
        <c:axId val="-2097021656"/>
        <c:axId val="-2097018104"/>
      </c:lineChart>
      <c:catAx>
        <c:axId val="-2097021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7018104"/>
        <c:crosses val="autoZero"/>
        <c:auto val="1"/>
        <c:lblAlgn val="ctr"/>
        <c:lblOffset val="100"/>
        <c:tickLblSkip val="5"/>
        <c:noMultiLvlLbl val="0"/>
      </c:catAx>
      <c:valAx>
        <c:axId val="-2097018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7021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8602E-401C-3E4F-9D1E-F8FE5CEFD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16051</Words>
  <Characters>91497</Characters>
  <Application>Microsoft Macintosh Word</Application>
  <DocSecurity>0</DocSecurity>
  <Lines>762</Lines>
  <Paragraphs>214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Queen Elizabeth House</Company>
  <LinksUpToDate>false</LinksUpToDate>
  <CharactersWithSpaces>107334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QEH</dc:creator>
  <cp:lastModifiedBy>M VILLARES VARELA</cp:lastModifiedBy>
  <cp:revision>5</cp:revision>
  <cp:lastPrinted>2017-04-03T15:03:00Z</cp:lastPrinted>
  <dcterms:created xsi:type="dcterms:W3CDTF">2018-02-28T14:52:00Z</dcterms:created>
  <dcterms:modified xsi:type="dcterms:W3CDTF">2018-02-28T14:54:00Z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815039767</vt:i4>
  </property>
</Properties>
</file>