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F2440" w14:textId="77777777" w:rsidR="00A83DA1" w:rsidRPr="00B23BA4" w:rsidRDefault="00A83DA1" w:rsidP="00A83DA1">
      <w:pPr>
        <w:spacing w:after="200"/>
        <w:rPr>
          <w:b/>
          <w:sz w:val="28"/>
          <w:szCs w:val="28"/>
        </w:rPr>
      </w:pPr>
      <w:r w:rsidRPr="00B23BA4">
        <w:rPr>
          <w:b/>
          <w:sz w:val="28"/>
          <w:szCs w:val="28"/>
        </w:rPr>
        <w:t>Combining Focus Group Discussions and Choice Experiments for economic valuation of peatland restoration:</w:t>
      </w:r>
      <w:r>
        <w:rPr>
          <w:b/>
          <w:sz w:val="28"/>
          <w:szCs w:val="28"/>
        </w:rPr>
        <w:t xml:space="preserve"> </w:t>
      </w:r>
      <w:r w:rsidRPr="00B23BA4">
        <w:rPr>
          <w:b/>
          <w:sz w:val="28"/>
          <w:szCs w:val="28"/>
        </w:rPr>
        <w:t>a case study in Central Kalimantan, Indonesia</w:t>
      </w:r>
    </w:p>
    <w:p w14:paraId="5F9E7966" w14:textId="77777777" w:rsidR="00A83DA1" w:rsidRPr="00B23BA4" w:rsidRDefault="00A83DA1" w:rsidP="00A83DA1">
      <w:pPr>
        <w:spacing w:after="200"/>
        <w:jc w:val="both"/>
        <w:rPr>
          <w:b/>
        </w:rPr>
      </w:pPr>
    </w:p>
    <w:p w14:paraId="5DA42933" w14:textId="77777777" w:rsidR="00A83DA1" w:rsidRPr="00CA6C56" w:rsidRDefault="00A83DA1" w:rsidP="00A83DA1">
      <w:pPr>
        <w:spacing w:after="200"/>
        <w:rPr>
          <w:lang w:val="nl-NL"/>
        </w:rPr>
      </w:pPr>
      <w:r w:rsidRPr="00CA6C56">
        <w:rPr>
          <w:b/>
          <w:lang w:val="nl-NL"/>
        </w:rPr>
        <w:t>Authors:</w:t>
      </w:r>
      <w:r w:rsidRPr="00CA6C56">
        <w:rPr>
          <w:lang w:val="nl-NL"/>
        </w:rPr>
        <w:t xml:space="preserve"> </w:t>
      </w:r>
    </w:p>
    <w:p w14:paraId="7DCD7FFC" w14:textId="77777777" w:rsidR="00A83DA1" w:rsidRPr="00CA6C56" w:rsidRDefault="00A83DA1" w:rsidP="00A83DA1">
      <w:pPr>
        <w:spacing w:after="200"/>
        <w:rPr>
          <w:b/>
          <w:lang w:val="nl-NL"/>
        </w:rPr>
      </w:pPr>
      <w:r w:rsidRPr="00CA6C56">
        <w:rPr>
          <w:lang w:val="nl-NL"/>
        </w:rPr>
        <w:t>M. Schaafsma</w:t>
      </w:r>
      <w:r>
        <w:rPr>
          <w:vertAlign w:val="superscript"/>
          <w:lang w:val="nl-NL"/>
        </w:rPr>
        <w:t>a</w:t>
      </w:r>
      <w:r w:rsidRPr="00CA6C56">
        <w:rPr>
          <w:vertAlign w:val="superscript"/>
          <w:lang w:val="nl-NL"/>
        </w:rPr>
        <w:t>*</w:t>
      </w:r>
      <w:r w:rsidRPr="00CA6C56">
        <w:rPr>
          <w:b/>
          <w:lang w:val="nl-NL"/>
        </w:rPr>
        <w:t xml:space="preserve">, </w:t>
      </w:r>
      <w:r w:rsidRPr="00CA6C56">
        <w:rPr>
          <w:lang w:val="nl-NL"/>
        </w:rPr>
        <w:t>P.J.H. van Beukering</w:t>
      </w:r>
      <w:r>
        <w:rPr>
          <w:vertAlign w:val="superscript"/>
          <w:lang w:val="nl-NL"/>
        </w:rPr>
        <w:t>b</w:t>
      </w:r>
      <w:r w:rsidRPr="00CA6C56">
        <w:rPr>
          <w:lang w:val="nl-NL"/>
        </w:rPr>
        <w:t>, I. Oskolokaite</w:t>
      </w:r>
      <w:r>
        <w:rPr>
          <w:vertAlign w:val="superscript"/>
          <w:lang w:val="nl-NL"/>
        </w:rPr>
        <w:t>b</w:t>
      </w:r>
      <w:r w:rsidRPr="00CA6C56">
        <w:rPr>
          <w:lang w:val="nl-NL"/>
        </w:rPr>
        <w:t xml:space="preserve">. </w:t>
      </w:r>
    </w:p>
    <w:p w14:paraId="4FB3ED6B" w14:textId="77777777" w:rsidR="00A83DA1" w:rsidRPr="00B23BA4" w:rsidRDefault="00A83DA1" w:rsidP="00A83DA1">
      <w:pPr>
        <w:autoSpaceDE w:val="0"/>
        <w:autoSpaceDN w:val="0"/>
        <w:adjustRightInd w:val="0"/>
        <w:rPr>
          <w:color w:val="000000" w:themeColor="text1"/>
        </w:rPr>
      </w:pPr>
      <w:r w:rsidRPr="00B23BA4">
        <w:rPr>
          <w:vertAlign w:val="superscript"/>
        </w:rPr>
        <w:t xml:space="preserve">a </w:t>
      </w:r>
      <w:r w:rsidRPr="00B23BA4">
        <w:t xml:space="preserve">Geography and Environment, </w:t>
      </w:r>
      <w:r w:rsidRPr="00B23BA4">
        <w:rPr>
          <w:color w:val="000000"/>
        </w:rPr>
        <w:t>University Road, University of Southampton, SO17 1BJ, United Kingdom. Email: M.Schaafsma@soton.ac.uk</w:t>
      </w:r>
    </w:p>
    <w:p w14:paraId="44A7F9E9" w14:textId="77777777" w:rsidR="00A83DA1" w:rsidRPr="001E7061" w:rsidRDefault="00A83DA1" w:rsidP="00A83DA1">
      <w:pPr>
        <w:rPr>
          <w:rFonts w:ascii="Segoe UI" w:hAnsi="Segoe UI" w:cs="Segoe UI"/>
          <w:color w:val="000000"/>
        </w:rPr>
      </w:pPr>
      <w:r w:rsidRPr="00B23BA4">
        <w:rPr>
          <w:vertAlign w:val="superscript"/>
        </w:rPr>
        <w:t xml:space="preserve">b </w:t>
      </w:r>
      <w:r w:rsidRPr="00B23BA4">
        <w:t xml:space="preserve">Institute for Environmental Studies (IVM), Department of Environmental Economics, VU University Amsterdam, </w:t>
      </w:r>
      <w:r w:rsidRPr="00B23BA4">
        <w:rPr>
          <w:color w:val="000000"/>
          <w:shd w:val="clear" w:color="auto" w:fill="FFFFFF"/>
        </w:rPr>
        <w:t xml:space="preserve">De </w:t>
      </w:r>
      <w:proofErr w:type="spellStart"/>
      <w:r w:rsidRPr="00B23BA4">
        <w:rPr>
          <w:color w:val="000000"/>
          <w:shd w:val="clear" w:color="auto" w:fill="FFFFFF"/>
        </w:rPr>
        <w:t>Boelelaan</w:t>
      </w:r>
      <w:proofErr w:type="spellEnd"/>
      <w:r w:rsidRPr="00B23BA4">
        <w:rPr>
          <w:color w:val="000000"/>
          <w:shd w:val="clear" w:color="auto" w:fill="FFFFFF"/>
        </w:rPr>
        <w:t xml:space="preserve"> 1087, 1081 HV Amsterdam, </w:t>
      </w:r>
      <w:r w:rsidRPr="00B23BA4">
        <w:rPr>
          <w:color w:val="000000"/>
        </w:rPr>
        <w:br/>
      </w:r>
      <w:r w:rsidRPr="001E7061">
        <w:rPr>
          <w:color w:val="000000"/>
          <w:shd w:val="clear" w:color="auto" w:fill="FFFFFF"/>
        </w:rPr>
        <w:t xml:space="preserve">The Netherlands. Emails: </w:t>
      </w:r>
      <w:hyperlink r:id="rId8" w:history="1">
        <w:r w:rsidRPr="001E7061">
          <w:rPr>
            <w:rStyle w:val="Hyperlink"/>
            <w:shd w:val="clear" w:color="auto" w:fill="FFFFFF"/>
          </w:rPr>
          <w:t>Pieter.van.beukering@vu.nl</w:t>
        </w:r>
      </w:hyperlink>
      <w:r w:rsidRPr="001E7061">
        <w:rPr>
          <w:color w:val="000000"/>
          <w:shd w:val="clear" w:color="auto" w:fill="FFFFFF"/>
        </w:rPr>
        <w:t xml:space="preserve"> ; </w:t>
      </w:r>
      <w:hyperlink r:id="rId9" w:history="1">
        <w:r w:rsidRPr="001E7061">
          <w:rPr>
            <w:rStyle w:val="Hyperlink"/>
          </w:rPr>
          <w:t>ieva.oskolokaite@gmail.com</w:t>
        </w:r>
      </w:hyperlink>
    </w:p>
    <w:p w14:paraId="7B2B49E4" w14:textId="77777777" w:rsidR="00A83DA1" w:rsidRPr="00B23BA4" w:rsidRDefault="00A83DA1" w:rsidP="00A83DA1">
      <w:pPr>
        <w:spacing w:after="200"/>
        <w:rPr>
          <w:b/>
        </w:rPr>
      </w:pPr>
    </w:p>
    <w:p w14:paraId="46BE9F65" w14:textId="77777777" w:rsidR="00A83DA1" w:rsidRPr="00F15F1F" w:rsidRDefault="00A83DA1" w:rsidP="00A83DA1">
      <w:pPr>
        <w:spacing w:after="200"/>
      </w:pPr>
      <w:r w:rsidRPr="00B23BA4">
        <w:rPr>
          <w:b/>
        </w:rPr>
        <w:t>*Corresponding author:</w:t>
      </w:r>
      <w:r w:rsidRPr="00B23BA4">
        <w:t xml:space="preserve"> </w:t>
      </w:r>
      <w:r w:rsidRPr="00B23BA4">
        <w:tab/>
        <w:t>M.Schaafsma@soton.ac.uk</w:t>
      </w:r>
    </w:p>
    <w:p w14:paraId="40BE7624" w14:textId="77777777" w:rsidR="00A83DA1" w:rsidRDefault="00A83DA1">
      <w:pPr>
        <w:spacing w:after="200" w:line="276" w:lineRule="auto"/>
        <w:rPr>
          <w:b/>
          <w:sz w:val="28"/>
          <w:szCs w:val="28"/>
        </w:rPr>
      </w:pPr>
    </w:p>
    <w:p w14:paraId="57D7FD77" w14:textId="77777777" w:rsidR="00A83DA1" w:rsidRDefault="00A83DA1">
      <w:pPr>
        <w:spacing w:after="200" w:line="276" w:lineRule="auto"/>
        <w:rPr>
          <w:b/>
          <w:sz w:val="28"/>
          <w:szCs w:val="28"/>
        </w:rPr>
      </w:pPr>
    </w:p>
    <w:p w14:paraId="788BF2E6" w14:textId="77777777" w:rsidR="00A83DA1" w:rsidRPr="00B23BA4" w:rsidRDefault="00A83DA1" w:rsidP="00A83DA1">
      <w:pPr>
        <w:spacing w:after="200"/>
        <w:rPr>
          <w:b/>
        </w:rPr>
      </w:pPr>
      <w:r w:rsidRPr="00B23BA4">
        <w:rPr>
          <w:b/>
        </w:rPr>
        <w:t>Highlights</w:t>
      </w:r>
    </w:p>
    <w:p w14:paraId="2BF247FC" w14:textId="77777777" w:rsidR="00A83DA1" w:rsidRPr="00B23BA4" w:rsidRDefault="00A83DA1" w:rsidP="00A83DA1">
      <w:pPr>
        <w:pStyle w:val="ListParagraph"/>
        <w:numPr>
          <w:ilvl w:val="0"/>
          <w:numId w:val="10"/>
        </w:numPr>
        <w:spacing w:after="200"/>
        <w:rPr>
          <w:lang w:eastAsia="nl-NL"/>
        </w:rPr>
      </w:pPr>
      <w:r w:rsidRPr="00B23BA4">
        <w:rPr>
          <w:lang w:eastAsia="nl-NL"/>
        </w:rPr>
        <w:t>Farmers support peatland restoration in Kalimantan by planting local</w:t>
      </w:r>
      <w:r>
        <w:rPr>
          <w:lang w:eastAsia="nl-NL"/>
        </w:rPr>
        <w:t xml:space="preserve"> tree</w:t>
      </w:r>
      <w:r w:rsidRPr="00B23BA4">
        <w:rPr>
          <w:lang w:eastAsia="nl-NL"/>
        </w:rPr>
        <w:t xml:space="preserve"> species</w:t>
      </w:r>
      <w:r>
        <w:rPr>
          <w:lang w:eastAsia="nl-NL"/>
        </w:rPr>
        <w:t>.</w:t>
      </w:r>
    </w:p>
    <w:p w14:paraId="08C04DB7" w14:textId="77777777" w:rsidR="00A83DA1" w:rsidRPr="00B23BA4" w:rsidRDefault="00A83DA1" w:rsidP="00A83DA1">
      <w:pPr>
        <w:pStyle w:val="ListParagraph"/>
        <w:numPr>
          <w:ilvl w:val="0"/>
          <w:numId w:val="10"/>
        </w:numPr>
        <w:spacing w:after="200"/>
        <w:rPr>
          <w:lang w:eastAsia="nl-NL"/>
        </w:rPr>
      </w:pPr>
      <w:r w:rsidRPr="00B23BA4">
        <w:rPr>
          <w:lang w:eastAsia="nl-NL"/>
        </w:rPr>
        <w:t xml:space="preserve">Food security </w:t>
      </w:r>
      <w:r>
        <w:rPr>
          <w:lang w:eastAsia="nl-NL"/>
        </w:rPr>
        <w:t>concerns</w:t>
      </w:r>
      <w:r w:rsidRPr="00B23BA4">
        <w:rPr>
          <w:lang w:eastAsia="nl-NL"/>
        </w:rPr>
        <w:t xml:space="preserve"> limit the proportion of land farmers prefer to restore</w:t>
      </w:r>
      <w:r>
        <w:rPr>
          <w:lang w:eastAsia="nl-NL"/>
        </w:rPr>
        <w:t>.</w:t>
      </w:r>
    </w:p>
    <w:p w14:paraId="54721DAD" w14:textId="77777777" w:rsidR="00A83DA1" w:rsidRPr="00B23BA4" w:rsidRDefault="00A83DA1" w:rsidP="00A83DA1">
      <w:pPr>
        <w:pStyle w:val="ListParagraph"/>
        <w:numPr>
          <w:ilvl w:val="0"/>
          <w:numId w:val="10"/>
        </w:numPr>
        <w:spacing w:after="200"/>
        <w:rPr>
          <w:lang w:eastAsia="nl-NL"/>
        </w:rPr>
      </w:pPr>
      <w:r w:rsidRPr="00B23BA4">
        <w:rPr>
          <w:lang w:eastAsia="nl-NL"/>
        </w:rPr>
        <w:t>Combining focus group</w:t>
      </w:r>
      <w:r>
        <w:rPr>
          <w:lang w:eastAsia="nl-NL"/>
        </w:rPr>
        <w:t>s</w:t>
      </w:r>
      <w:r w:rsidRPr="00B23BA4">
        <w:rPr>
          <w:lang w:eastAsia="nl-NL"/>
        </w:rPr>
        <w:t xml:space="preserve"> and choice experiments enriches valuation </w:t>
      </w:r>
      <w:r>
        <w:rPr>
          <w:lang w:eastAsia="nl-NL"/>
        </w:rPr>
        <w:t>results.</w:t>
      </w:r>
    </w:p>
    <w:p w14:paraId="38E95887" w14:textId="77777777" w:rsidR="00A83DA1" w:rsidRPr="00B23BA4" w:rsidRDefault="00A83DA1" w:rsidP="00A83DA1">
      <w:pPr>
        <w:pStyle w:val="ListParagraph"/>
        <w:numPr>
          <w:ilvl w:val="0"/>
          <w:numId w:val="10"/>
        </w:numPr>
        <w:spacing w:after="200"/>
        <w:rPr>
          <w:lang w:eastAsia="nl-NL"/>
        </w:rPr>
      </w:pPr>
      <w:r>
        <w:t>Raising</w:t>
      </w:r>
      <w:r w:rsidRPr="00546B8B">
        <w:t xml:space="preserve"> awareness about the </w:t>
      </w:r>
      <w:r>
        <w:t>ecosystem services</w:t>
      </w:r>
      <w:r w:rsidRPr="00546B8B">
        <w:t xml:space="preserve"> </w:t>
      </w:r>
      <w:r>
        <w:t>may increase lo</w:t>
      </w:r>
      <w:r w:rsidRPr="00546B8B">
        <w:t>cal support</w:t>
      </w:r>
      <w:r>
        <w:rPr>
          <w:lang w:eastAsia="nl-NL"/>
        </w:rPr>
        <w:t>.</w:t>
      </w:r>
    </w:p>
    <w:p w14:paraId="41A2397A" w14:textId="7EF35384" w:rsidR="00A83DA1" w:rsidRDefault="00A83DA1">
      <w:pPr>
        <w:spacing w:after="200" w:line="276" w:lineRule="auto"/>
        <w:rPr>
          <w:b/>
          <w:sz w:val="28"/>
          <w:szCs w:val="28"/>
        </w:rPr>
      </w:pPr>
      <w:r>
        <w:rPr>
          <w:b/>
          <w:sz w:val="28"/>
          <w:szCs w:val="28"/>
        </w:rPr>
        <w:br w:type="page"/>
      </w:r>
    </w:p>
    <w:p w14:paraId="4DD0F7F4" w14:textId="0F300E53" w:rsidR="00BE3EA7" w:rsidRPr="001E3755" w:rsidRDefault="00796D73" w:rsidP="00BA2E8E">
      <w:pPr>
        <w:spacing w:after="200"/>
        <w:rPr>
          <w:b/>
          <w:sz w:val="28"/>
          <w:szCs w:val="28"/>
        </w:rPr>
      </w:pPr>
      <w:r w:rsidRPr="001E3755">
        <w:rPr>
          <w:b/>
          <w:sz w:val="28"/>
          <w:szCs w:val="28"/>
        </w:rPr>
        <w:lastRenderedPageBreak/>
        <w:t>Combining Focus Group Discussions and Choice Experiment</w:t>
      </w:r>
      <w:r w:rsidR="002B4C13" w:rsidRPr="001E3755">
        <w:rPr>
          <w:b/>
          <w:sz w:val="28"/>
          <w:szCs w:val="28"/>
        </w:rPr>
        <w:t>s</w:t>
      </w:r>
      <w:r w:rsidRPr="001E3755">
        <w:rPr>
          <w:b/>
          <w:sz w:val="28"/>
          <w:szCs w:val="28"/>
        </w:rPr>
        <w:t xml:space="preserve"> for </w:t>
      </w:r>
      <w:r w:rsidR="00BE3EA7" w:rsidRPr="001E3755">
        <w:rPr>
          <w:b/>
          <w:sz w:val="28"/>
          <w:szCs w:val="28"/>
        </w:rPr>
        <w:t>economic valuation of peatland restoration</w:t>
      </w:r>
      <w:r w:rsidRPr="001E3755">
        <w:rPr>
          <w:b/>
          <w:sz w:val="28"/>
          <w:szCs w:val="28"/>
        </w:rPr>
        <w:t>:</w:t>
      </w:r>
      <w:r w:rsidR="00BA2E8E" w:rsidRPr="001E3755">
        <w:rPr>
          <w:b/>
          <w:sz w:val="28"/>
          <w:szCs w:val="28"/>
        </w:rPr>
        <w:t xml:space="preserve"> </w:t>
      </w:r>
      <w:r w:rsidRPr="001E3755">
        <w:rPr>
          <w:b/>
          <w:sz w:val="28"/>
          <w:szCs w:val="28"/>
        </w:rPr>
        <w:t>a case study</w:t>
      </w:r>
      <w:r w:rsidR="00BE3EA7" w:rsidRPr="001E3755">
        <w:rPr>
          <w:b/>
          <w:sz w:val="28"/>
          <w:szCs w:val="28"/>
        </w:rPr>
        <w:t xml:space="preserve"> in Central Kalimantan, Indonesia</w:t>
      </w:r>
    </w:p>
    <w:p w14:paraId="64C5398F" w14:textId="77777777" w:rsidR="00BE3EA7" w:rsidRPr="001E3755" w:rsidRDefault="00BE3EA7" w:rsidP="00B41F9A">
      <w:pPr>
        <w:spacing w:after="200"/>
        <w:jc w:val="both"/>
        <w:rPr>
          <w:b/>
        </w:rPr>
      </w:pPr>
    </w:p>
    <w:p w14:paraId="586E5B4B" w14:textId="77777777" w:rsidR="00BE3EA7" w:rsidRPr="001E3755" w:rsidRDefault="00BE3EA7" w:rsidP="00B41F9A">
      <w:pPr>
        <w:spacing w:after="200"/>
        <w:rPr>
          <w:lang w:eastAsia="nl-NL"/>
        </w:rPr>
      </w:pPr>
      <w:r w:rsidRPr="001E3755">
        <w:rPr>
          <w:b/>
        </w:rPr>
        <w:t>ABSTRACT</w:t>
      </w:r>
    </w:p>
    <w:p w14:paraId="5464FC46" w14:textId="7FA71021" w:rsidR="00BE3EA7" w:rsidRPr="004E50F4" w:rsidRDefault="00BE3EA7" w:rsidP="008656A3">
      <w:pPr>
        <w:autoSpaceDE w:val="0"/>
        <w:autoSpaceDN w:val="0"/>
        <w:adjustRightInd w:val="0"/>
        <w:spacing w:after="200"/>
        <w:rPr>
          <w:lang w:eastAsia="nl-NL"/>
        </w:rPr>
      </w:pPr>
      <w:r w:rsidRPr="004E50F4">
        <w:rPr>
          <w:lang w:eastAsia="nl-NL"/>
        </w:rPr>
        <w:t>This study explores the benefits of combining results of qualitative focus group discussions (FGD</w:t>
      </w:r>
      <w:r w:rsidR="004E50F4" w:rsidRPr="004E50F4">
        <w:rPr>
          <w:lang w:eastAsia="nl-NL"/>
        </w:rPr>
        <w:t>s</w:t>
      </w:r>
      <w:r w:rsidRPr="004E50F4">
        <w:rPr>
          <w:lang w:eastAsia="nl-NL"/>
        </w:rPr>
        <w:t xml:space="preserve">) with a quantitative choice experiment (CE) in a </w:t>
      </w:r>
      <w:r w:rsidR="00A83DA1">
        <w:rPr>
          <w:lang w:eastAsia="nl-NL"/>
        </w:rPr>
        <w:t>low-income</w:t>
      </w:r>
      <w:r w:rsidRPr="004E50F4">
        <w:rPr>
          <w:lang w:eastAsia="nl-NL"/>
        </w:rPr>
        <w:t xml:space="preserve"> country context. The assessment addresses the compensation needed by local communities in Central Kalimantan to cooperate in peatland restoration programs.</w:t>
      </w:r>
      <w:r w:rsidR="004E50F4" w:rsidRPr="004E50F4">
        <w:rPr>
          <w:lang w:eastAsia="nl-NL"/>
        </w:rPr>
        <w:t xml:space="preserve"> </w:t>
      </w:r>
      <w:bookmarkStart w:id="0" w:name="_Hlk484108385"/>
      <w:r w:rsidR="004E50F4" w:rsidRPr="009621DC">
        <w:rPr>
          <w:rFonts w:eastAsiaTheme="minorHAnsi"/>
          <w:lang w:val="en-US" w:eastAsia="en-US"/>
        </w:rPr>
        <w:t xml:space="preserve">The main policy message of the study is that such programs would have to provide arrangements </w:t>
      </w:r>
      <w:r w:rsidR="004E50F4">
        <w:rPr>
          <w:rFonts w:eastAsiaTheme="minorHAnsi"/>
          <w:lang w:val="en-US" w:eastAsia="en-US"/>
        </w:rPr>
        <w:t>that secure a stable income and food supply</w:t>
      </w:r>
      <w:r w:rsidR="00614FBE">
        <w:rPr>
          <w:rFonts w:eastAsiaTheme="minorHAnsi"/>
          <w:lang w:val="en-US" w:eastAsia="en-US"/>
        </w:rPr>
        <w:t xml:space="preserve">, as well as </w:t>
      </w:r>
      <w:r w:rsidR="00614FBE" w:rsidRPr="00B22DE9">
        <w:rPr>
          <w:rFonts w:eastAsiaTheme="minorHAnsi"/>
          <w:lang w:val="en-US" w:eastAsia="en-US"/>
        </w:rPr>
        <w:t>creat</w:t>
      </w:r>
      <w:r w:rsidR="00614FBE">
        <w:rPr>
          <w:rFonts w:eastAsiaTheme="minorHAnsi"/>
          <w:lang w:val="en-US" w:eastAsia="en-US"/>
        </w:rPr>
        <w:t>e</w:t>
      </w:r>
      <w:r w:rsidR="00614FBE" w:rsidRPr="00B22DE9">
        <w:rPr>
          <w:rFonts w:eastAsiaTheme="minorHAnsi"/>
          <w:lang w:val="en-US" w:eastAsia="en-US"/>
        </w:rPr>
        <w:t xml:space="preserve"> awareness</w:t>
      </w:r>
      <w:r w:rsidR="00614FBE">
        <w:rPr>
          <w:rFonts w:eastAsiaTheme="minorHAnsi"/>
          <w:lang w:val="en-US" w:eastAsia="en-US"/>
        </w:rPr>
        <w:t xml:space="preserve"> of the </w:t>
      </w:r>
      <w:r w:rsidR="009621DC">
        <w:rPr>
          <w:rFonts w:eastAsiaTheme="minorHAnsi"/>
          <w:lang w:val="en-US" w:eastAsia="en-US"/>
        </w:rPr>
        <w:t>long-term</w:t>
      </w:r>
      <w:r w:rsidR="00614FBE">
        <w:rPr>
          <w:rFonts w:eastAsiaTheme="minorHAnsi"/>
          <w:lang w:val="en-US" w:eastAsia="en-US"/>
        </w:rPr>
        <w:t xml:space="preserve"> benefits of peatland restoration</w:t>
      </w:r>
      <w:r w:rsidR="004E50F4" w:rsidRPr="009621DC">
        <w:rPr>
          <w:rFonts w:eastAsiaTheme="minorHAnsi"/>
          <w:lang w:val="en-US" w:eastAsia="en-US"/>
        </w:rPr>
        <w:t>.</w:t>
      </w:r>
      <w:r w:rsidR="004E50F4">
        <w:rPr>
          <w:lang w:eastAsia="nl-NL"/>
        </w:rPr>
        <w:t xml:space="preserve"> </w:t>
      </w:r>
      <w:bookmarkEnd w:id="0"/>
      <w:r w:rsidR="004E50F4">
        <w:rPr>
          <w:lang w:eastAsia="nl-NL"/>
        </w:rPr>
        <w:t>T</w:t>
      </w:r>
      <w:r w:rsidRPr="004E50F4">
        <w:rPr>
          <w:lang w:eastAsia="nl-NL"/>
        </w:rPr>
        <w:t xml:space="preserve">he results of this study </w:t>
      </w:r>
      <w:r w:rsidR="004E50F4">
        <w:rPr>
          <w:lang w:eastAsia="nl-NL"/>
        </w:rPr>
        <w:t>demonstrate the value</w:t>
      </w:r>
      <w:r w:rsidRPr="004E50F4">
        <w:rPr>
          <w:lang w:eastAsia="nl-NL"/>
        </w:rPr>
        <w:t xml:space="preserve"> of</w:t>
      </w:r>
      <w:r w:rsidR="004E50F4">
        <w:rPr>
          <w:lang w:eastAsia="nl-NL"/>
        </w:rPr>
        <w:t xml:space="preserve"> combining</w:t>
      </w:r>
      <w:r w:rsidRPr="004E50F4">
        <w:rPr>
          <w:lang w:eastAsia="nl-NL"/>
        </w:rPr>
        <w:t xml:space="preserve"> qualitat</w:t>
      </w:r>
      <w:r w:rsidR="00FB287B" w:rsidRPr="004E50F4">
        <w:rPr>
          <w:lang w:eastAsia="nl-NL"/>
        </w:rPr>
        <w:t xml:space="preserve">ive and quantitative methods </w:t>
      </w:r>
      <w:r w:rsidR="00E06967" w:rsidRPr="004E50F4">
        <w:rPr>
          <w:lang w:eastAsia="nl-NL"/>
        </w:rPr>
        <w:t xml:space="preserve">to </w:t>
      </w:r>
      <w:r w:rsidR="00FB287B" w:rsidRPr="004E50F4">
        <w:rPr>
          <w:lang w:eastAsia="nl-NL"/>
        </w:rPr>
        <w:t>improve the reliability and validity of studies</w:t>
      </w:r>
      <w:r w:rsidRPr="004E50F4">
        <w:rPr>
          <w:lang w:eastAsia="nl-NL"/>
        </w:rPr>
        <w:t xml:space="preserve"> assess</w:t>
      </w:r>
      <w:r w:rsidR="00FB287B" w:rsidRPr="004E50F4">
        <w:rPr>
          <w:lang w:eastAsia="nl-NL"/>
        </w:rPr>
        <w:t>ing</w:t>
      </w:r>
      <w:r w:rsidRPr="004E50F4">
        <w:rPr>
          <w:lang w:eastAsia="nl-NL"/>
        </w:rPr>
        <w:t xml:space="preserve"> the value of eco</w:t>
      </w:r>
      <w:r w:rsidR="00833827">
        <w:rPr>
          <w:lang w:eastAsia="nl-NL"/>
        </w:rPr>
        <w:t>system</w:t>
      </w:r>
      <w:r w:rsidRPr="004E50F4">
        <w:rPr>
          <w:lang w:eastAsia="nl-NL"/>
        </w:rPr>
        <w:t xml:space="preserve"> services</w:t>
      </w:r>
      <w:r w:rsidR="00CA0CED" w:rsidRPr="004E50F4">
        <w:rPr>
          <w:lang w:eastAsia="nl-NL"/>
        </w:rPr>
        <w:t xml:space="preserve">. </w:t>
      </w:r>
      <w:r w:rsidR="004E50F4" w:rsidRPr="004E50F4">
        <w:rPr>
          <w:lang w:eastAsia="nl-NL"/>
        </w:rPr>
        <w:t xml:space="preserve">FGDs </w:t>
      </w:r>
      <w:r w:rsidR="00614FBE">
        <w:rPr>
          <w:lang w:eastAsia="nl-NL"/>
        </w:rPr>
        <w:t>prove to be</w:t>
      </w:r>
      <w:r w:rsidR="00614FBE" w:rsidRPr="004E50F4">
        <w:rPr>
          <w:lang w:eastAsia="nl-NL"/>
        </w:rPr>
        <w:t xml:space="preserve"> </w:t>
      </w:r>
      <w:r w:rsidR="00CA0CED" w:rsidRPr="004E50F4">
        <w:rPr>
          <w:lang w:eastAsia="nl-NL"/>
        </w:rPr>
        <w:t xml:space="preserve">paramount </w:t>
      </w:r>
      <w:r w:rsidRPr="004E50F4">
        <w:rPr>
          <w:lang w:eastAsia="nl-NL"/>
        </w:rPr>
        <w:t>to understand</w:t>
      </w:r>
      <w:r w:rsidR="00CA0CED" w:rsidRPr="004E50F4">
        <w:rPr>
          <w:lang w:eastAsia="nl-NL"/>
        </w:rPr>
        <w:t>ing</w:t>
      </w:r>
      <w:r w:rsidRPr="004E50F4">
        <w:rPr>
          <w:lang w:eastAsia="nl-NL"/>
        </w:rPr>
        <w:t xml:space="preserve"> the underlying attitudes and motives</w:t>
      </w:r>
      <w:r w:rsidR="00DB4394" w:rsidRPr="004E50F4">
        <w:rPr>
          <w:lang w:eastAsia="nl-NL"/>
        </w:rPr>
        <w:t xml:space="preserve"> towards the </w:t>
      </w:r>
      <w:r w:rsidR="00CA0CED" w:rsidRPr="004E50F4">
        <w:rPr>
          <w:lang w:eastAsia="nl-NL"/>
        </w:rPr>
        <w:t>proposed scenarios</w:t>
      </w:r>
      <w:r w:rsidR="00DB4394" w:rsidRPr="004E50F4">
        <w:rPr>
          <w:lang w:eastAsia="nl-NL"/>
        </w:rPr>
        <w:t xml:space="preserve"> and its institutional context</w:t>
      </w:r>
      <w:r w:rsidRPr="004E50F4">
        <w:rPr>
          <w:lang w:eastAsia="nl-NL"/>
        </w:rPr>
        <w:t xml:space="preserve">. </w:t>
      </w:r>
      <w:r w:rsidR="00DB4394" w:rsidRPr="004E50F4">
        <w:rPr>
          <w:lang w:eastAsia="nl-NL"/>
        </w:rPr>
        <w:t>FGD</w:t>
      </w:r>
      <w:r w:rsidR="004E50F4" w:rsidRPr="004E50F4">
        <w:rPr>
          <w:lang w:eastAsia="nl-NL"/>
        </w:rPr>
        <w:t>s</w:t>
      </w:r>
      <w:r w:rsidR="00DB4394" w:rsidRPr="004E50F4">
        <w:rPr>
          <w:lang w:eastAsia="nl-NL"/>
        </w:rPr>
        <w:t xml:space="preserve"> provide the possibility to identify the specific terms and conditions on which respondents </w:t>
      </w:r>
      <w:r w:rsidR="00CA0CED" w:rsidRPr="004E50F4">
        <w:rPr>
          <w:lang w:eastAsia="nl-NL"/>
        </w:rPr>
        <w:t>would</w:t>
      </w:r>
      <w:r w:rsidR="00DB4394" w:rsidRPr="004E50F4">
        <w:rPr>
          <w:lang w:eastAsia="nl-NL"/>
        </w:rPr>
        <w:t xml:space="preserve"> accept land-use change scenarios and help to understand preferences regarding the distribution of costs and benefits over time. </w:t>
      </w:r>
      <w:r w:rsidR="00CA0CED" w:rsidRPr="004E50F4">
        <w:rPr>
          <w:lang w:eastAsia="nl-NL"/>
        </w:rPr>
        <w:t>Yet t</w:t>
      </w:r>
      <w:r w:rsidR="00DB4394" w:rsidRPr="004E50F4">
        <w:rPr>
          <w:lang w:eastAsia="nl-NL"/>
        </w:rPr>
        <w:t xml:space="preserve">he individual CE responses </w:t>
      </w:r>
      <w:r w:rsidR="00614FBE" w:rsidRPr="004E50F4">
        <w:rPr>
          <w:lang w:eastAsia="nl-NL"/>
        </w:rPr>
        <w:t>offer</w:t>
      </w:r>
      <w:r w:rsidR="00DB4394" w:rsidRPr="004E50F4">
        <w:rPr>
          <w:lang w:eastAsia="nl-NL"/>
        </w:rPr>
        <w:t xml:space="preserve"> important quantitative information about the magnitude of welfare changes associated with </w:t>
      </w:r>
      <w:r w:rsidR="008656A3" w:rsidRPr="004E50F4">
        <w:rPr>
          <w:lang w:eastAsia="nl-NL"/>
        </w:rPr>
        <w:t>restoration</w:t>
      </w:r>
      <w:r w:rsidR="00614FBE">
        <w:rPr>
          <w:lang w:eastAsia="nl-NL"/>
        </w:rPr>
        <w:t>. Moreover</w:t>
      </w:r>
      <w:r w:rsidR="00867CC9" w:rsidRPr="004E50F4">
        <w:rPr>
          <w:lang w:eastAsia="nl-NL"/>
        </w:rPr>
        <w:t>,</w:t>
      </w:r>
      <w:r w:rsidR="00DB4394" w:rsidRPr="004E50F4">
        <w:rPr>
          <w:lang w:eastAsia="nl-NL"/>
        </w:rPr>
        <w:t xml:space="preserve"> the privacy of the elicitation pro</w:t>
      </w:r>
      <w:r w:rsidR="005043B9" w:rsidRPr="004E50F4">
        <w:rPr>
          <w:lang w:eastAsia="nl-NL"/>
        </w:rPr>
        <w:t>cess avoids peer-pressure.</w:t>
      </w:r>
    </w:p>
    <w:p w14:paraId="45CB5D92" w14:textId="0F1C0CD8" w:rsidR="00BE3EA7" w:rsidRPr="001E3755" w:rsidRDefault="00BE3EA7" w:rsidP="00C65F0E">
      <w:pPr>
        <w:spacing w:after="200"/>
        <w:jc w:val="both"/>
        <w:rPr>
          <w:lang w:eastAsia="nl-NL"/>
        </w:rPr>
      </w:pPr>
      <w:r w:rsidRPr="001E3755">
        <w:rPr>
          <w:b/>
        </w:rPr>
        <w:t xml:space="preserve">Keywords: </w:t>
      </w:r>
      <w:r w:rsidR="00F939E5" w:rsidRPr="001E3755">
        <w:rPr>
          <w:lang w:eastAsia="nl-NL"/>
        </w:rPr>
        <w:t>Choice Experiment, Focus Group Discussion</w:t>
      </w:r>
      <w:r w:rsidR="004F6189" w:rsidRPr="001E3755">
        <w:rPr>
          <w:lang w:eastAsia="nl-NL"/>
        </w:rPr>
        <w:t xml:space="preserve">, Indonesia, Peatlands, </w:t>
      </w:r>
      <w:r w:rsidR="00DB4394" w:rsidRPr="001E3755">
        <w:rPr>
          <w:lang w:eastAsia="nl-NL"/>
        </w:rPr>
        <w:t>Mixed methods</w:t>
      </w:r>
      <w:r w:rsidRPr="001E3755">
        <w:rPr>
          <w:lang w:eastAsia="nl-NL"/>
        </w:rPr>
        <w:t>, Valuation</w:t>
      </w:r>
      <w:r w:rsidRPr="001E3755">
        <w:rPr>
          <w:lang w:eastAsia="nl-NL"/>
        </w:rPr>
        <w:br w:type="page"/>
      </w:r>
    </w:p>
    <w:p w14:paraId="25D1793D" w14:textId="3587546F" w:rsidR="00BE3EA7" w:rsidRPr="001E3755" w:rsidRDefault="00BE3EA7" w:rsidP="00497008">
      <w:pPr>
        <w:pStyle w:val="ListParagraph"/>
        <w:numPr>
          <w:ilvl w:val="0"/>
          <w:numId w:val="11"/>
        </w:numPr>
        <w:rPr>
          <w:b/>
        </w:rPr>
      </w:pPr>
      <w:r w:rsidRPr="001E3755">
        <w:rPr>
          <w:b/>
        </w:rPr>
        <w:lastRenderedPageBreak/>
        <w:t>INTRODUCTION</w:t>
      </w:r>
    </w:p>
    <w:p w14:paraId="7024F2C6" w14:textId="4840D65C" w:rsidR="00E63601" w:rsidRPr="001E3755" w:rsidRDefault="00E63601" w:rsidP="00BC691C">
      <w:pPr>
        <w:spacing w:after="200"/>
      </w:pPr>
      <w:r w:rsidRPr="001E3755">
        <w:t xml:space="preserve">Monetary valuation </w:t>
      </w:r>
      <w:r w:rsidR="00CA0CED" w:rsidRPr="001E3755">
        <w:t>studies are</w:t>
      </w:r>
      <w:r w:rsidRPr="001E3755">
        <w:t xml:space="preserve"> increasingly </w:t>
      </w:r>
      <w:r w:rsidR="00BC691C">
        <w:t>used</w:t>
      </w:r>
      <w:r w:rsidR="00BC691C" w:rsidRPr="001E3755">
        <w:t xml:space="preserve"> </w:t>
      </w:r>
      <w:r w:rsidRPr="001E3755">
        <w:t xml:space="preserve">in environmental </w:t>
      </w:r>
      <w:r w:rsidR="00CA0CED" w:rsidRPr="001E3755">
        <w:t>decision-making</w:t>
      </w:r>
      <w:r w:rsidRPr="001E3755">
        <w:t xml:space="preserve"> to evaluate the efficiency, in terms of social welfare improvements, of ecosystem management. Valuation results can be used in appraisal tools such as social (</w:t>
      </w:r>
      <w:r w:rsidR="00CA0CED" w:rsidRPr="001E3755">
        <w:t xml:space="preserve">or </w:t>
      </w:r>
      <w:r w:rsidRPr="001E3755">
        <w:t>extended) cost benefit analysis, and for the design of policy instruments such as Payments for Environmental (or Ecosystem) Services</w:t>
      </w:r>
      <w:r w:rsidR="001932EF" w:rsidRPr="001E3755">
        <w:t xml:space="preserve"> or other pricing mechanisms</w:t>
      </w:r>
      <w:r w:rsidR="0062450E">
        <w:t xml:space="preserve"> (</w:t>
      </w:r>
      <w:proofErr w:type="spellStart"/>
      <w:r w:rsidR="0062450E">
        <w:t>Bouma</w:t>
      </w:r>
      <w:proofErr w:type="spellEnd"/>
      <w:r w:rsidR="0062450E">
        <w:t xml:space="preserve"> and Van </w:t>
      </w:r>
      <w:proofErr w:type="spellStart"/>
      <w:r w:rsidR="0062450E">
        <w:t>Beukering</w:t>
      </w:r>
      <w:proofErr w:type="spellEnd"/>
      <w:r w:rsidR="0062450E">
        <w:t xml:space="preserve"> 2015)</w:t>
      </w:r>
      <w:r w:rsidRPr="001E3755">
        <w:t>.</w:t>
      </w:r>
    </w:p>
    <w:p w14:paraId="64A60842" w14:textId="587D2812" w:rsidR="008A62FA" w:rsidRPr="001E3755" w:rsidRDefault="00E63601" w:rsidP="00B41F9A">
      <w:pPr>
        <w:spacing w:after="200"/>
      </w:pPr>
      <w:r w:rsidRPr="001E3755">
        <w:t>The use of monetary values in environmental management has been criticized widely, on technical</w:t>
      </w:r>
      <w:r w:rsidR="00466EBB" w:rsidRPr="001E3755">
        <w:t>, psychological and</w:t>
      </w:r>
      <w:r w:rsidRPr="001E3755">
        <w:t xml:space="preserve"> philosophical grounds (see</w:t>
      </w:r>
      <w:r w:rsidR="00466EBB" w:rsidRPr="001E3755">
        <w:t xml:space="preserve"> e.g.</w:t>
      </w:r>
      <w:r w:rsidRPr="001E3755">
        <w:t xml:space="preserve"> </w:t>
      </w:r>
      <w:proofErr w:type="spellStart"/>
      <w:r w:rsidR="00466EBB" w:rsidRPr="001E3755">
        <w:t>Kallis</w:t>
      </w:r>
      <w:proofErr w:type="spellEnd"/>
      <w:r w:rsidR="00466EBB" w:rsidRPr="001E3755">
        <w:t xml:space="preserve"> et al. 2013</w:t>
      </w:r>
      <w:r w:rsidR="00DF7507" w:rsidRPr="001E3755">
        <w:t xml:space="preserve">, </w:t>
      </w:r>
      <w:proofErr w:type="spellStart"/>
      <w:r w:rsidR="00DF7507" w:rsidRPr="001E3755">
        <w:t>Spash</w:t>
      </w:r>
      <w:proofErr w:type="spellEnd"/>
      <w:r w:rsidR="00DF7507" w:rsidRPr="001E3755">
        <w:t xml:space="preserve"> 2007</w:t>
      </w:r>
      <w:r w:rsidR="00466EBB" w:rsidRPr="001E3755">
        <w:t>)</w:t>
      </w:r>
      <w:r w:rsidRPr="001E3755">
        <w:t xml:space="preserve">, whilst </w:t>
      </w:r>
      <w:r w:rsidR="001F2224" w:rsidRPr="001E3755">
        <w:t>counter</w:t>
      </w:r>
      <w:r w:rsidR="00B70FE8" w:rsidRPr="001E3755">
        <w:t xml:space="preserve"> arguments are provided in e</w:t>
      </w:r>
      <w:r w:rsidR="001F2224" w:rsidRPr="001E3755">
        <w:t>.</w:t>
      </w:r>
      <w:r w:rsidR="00B70FE8" w:rsidRPr="001E3755">
        <w:t xml:space="preserve">g. </w:t>
      </w:r>
      <w:proofErr w:type="spellStart"/>
      <w:r w:rsidR="00B70FE8" w:rsidRPr="001E3755">
        <w:t>Gsottbauer</w:t>
      </w:r>
      <w:proofErr w:type="spellEnd"/>
      <w:r w:rsidR="00B70FE8" w:rsidRPr="001E3755">
        <w:t xml:space="preserve"> et al. </w:t>
      </w:r>
      <w:r w:rsidR="00592D0F" w:rsidRPr="001E3755">
        <w:t>(</w:t>
      </w:r>
      <w:r w:rsidR="00B70FE8" w:rsidRPr="001E3755">
        <w:t>2015</w:t>
      </w:r>
      <w:r w:rsidR="00592D0F" w:rsidRPr="001E3755">
        <w:t>)</w:t>
      </w:r>
      <w:r w:rsidR="00B70FE8" w:rsidRPr="001E3755">
        <w:t xml:space="preserve">. </w:t>
      </w:r>
      <w:r w:rsidR="0064735B" w:rsidRPr="001E3755">
        <w:t xml:space="preserve">Proponents of </w:t>
      </w:r>
      <w:r w:rsidR="00E919FA" w:rsidRPr="001E3755">
        <w:t>monetary</w:t>
      </w:r>
      <w:r w:rsidR="001F2224" w:rsidRPr="001E3755">
        <w:t xml:space="preserve"> </w:t>
      </w:r>
      <w:r w:rsidR="0064735B" w:rsidRPr="001E3755">
        <w:t>valuation</w:t>
      </w:r>
      <w:r w:rsidR="001F2224" w:rsidRPr="001E3755">
        <w:t xml:space="preserve"> methods</w:t>
      </w:r>
      <w:r w:rsidR="00020AAC" w:rsidRPr="001E3755">
        <w:t xml:space="preserve"> using Stated Preference (SP) techniques</w:t>
      </w:r>
      <w:r w:rsidR="0064735B" w:rsidRPr="001E3755">
        <w:t xml:space="preserve"> argue that many of the </w:t>
      </w:r>
      <w:r w:rsidR="00EA45CB" w:rsidRPr="001E3755">
        <w:t xml:space="preserve">limitations </w:t>
      </w:r>
      <w:r w:rsidR="0064735B" w:rsidRPr="001E3755">
        <w:t>can be improved by appropriate survey design (</w:t>
      </w:r>
      <w:r w:rsidR="008A62FA" w:rsidRPr="001E3755">
        <w:t xml:space="preserve">e.g. </w:t>
      </w:r>
      <w:r w:rsidR="0064735B" w:rsidRPr="001E3755">
        <w:t>Carson</w:t>
      </w:r>
      <w:r w:rsidR="008A62FA" w:rsidRPr="001E3755">
        <w:t xml:space="preserve"> 2012</w:t>
      </w:r>
      <w:r w:rsidR="0064735B" w:rsidRPr="001E3755">
        <w:t xml:space="preserve">, </w:t>
      </w:r>
      <w:r w:rsidR="008A62FA" w:rsidRPr="001E3755">
        <w:t xml:space="preserve">Loomis 2011, </w:t>
      </w:r>
      <w:proofErr w:type="spellStart"/>
      <w:r w:rsidR="0064735B" w:rsidRPr="001E3755">
        <w:t>Vossler</w:t>
      </w:r>
      <w:proofErr w:type="spellEnd"/>
      <w:r w:rsidR="008A62FA" w:rsidRPr="001E3755">
        <w:t xml:space="preserve"> and Watson 2013</w:t>
      </w:r>
      <w:r w:rsidR="0064735B" w:rsidRPr="001E3755">
        <w:t>)</w:t>
      </w:r>
      <w:r w:rsidR="00D07241" w:rsidRPr="001E3755">
        <w:t>. Although</w:t>
      </w:r>
      <w:r w:rsidR="0064735B" w:rsidRPr="001E3755">
        <w:t xml:space="preserve"> it could be argued that many published studies do not meet these survey design criteria</w:t>
      </w:r>
      <w:r w:rsidR="00D07241" w:rsidRPr="001E3755">
        <w:t xml:space="preserve">, monetary valuation, including choice experiments, remains the most prevalent approach </w:t>
      </w:r>
      <w:r w:rsidR="0062450E">
        <w:t>to inform environmental management</w:t>
      </w:r>
      <w:r w:rsidR="0062450E" w:rsidRPr="001E3755">
        <w:t xml:space="preserve"> </w:t>
      </w:r>
      <w:r w:rsidR="00D07241" w:rsidRPr="001E3755">
        <w:t>at present</w:t>
      </w:r>
      <w:r w:rsidR="0064735B" w:rsidRPr="001E3755">
        <w:t>.</w:t>
      </w:r>
      <w:r w:rsidR="001F2224" w:rsidRPr="001E3755">
        <w:t xml:space="preserve"> </w:t>
      </w:r>
      <w:r w:rsidR="00E00BEC" w:rsidRPr="001E3755">
        <w:t>Opponents have argued for more emphasis on non-monetary</w:t>
      </w:r>
      <w:r w:rsidR="00592D0F" w:rsidRPr="001E3755">
        <w:t xml:space="preserve"> and </w:t>
      </w:r>
      <w:r w:rsidR="00020AAC" w:rsidRPr="001E3755">
        <w:rPr>
          <w:szCs w:val="22"/>
        </w:rPr>
        <w:t>analytic</w:t>
      </w:r>
      <w:r w:rsidR="003B3358" w:rsidRPr="001E3755">
        <w:rPr>
          <w:szCs w:val="22"/>
        </w:rPr>
        <w:t>-</w:t>
      </w:r>
      <w:r w:rsidR="00020AAC" w:rsidRPr="001E3755">
        <w:t>deliberative</w:t>
      </w:r>
      <w:r w:rsidR="00E00BEC" w:rsidRPr="001E3755">
        <w:t xml:space="preserve"> valuation techniques to overcome</w:t>
      </w:r>
      <w:r w:rsidR="0003256C" w:rsidRPr="001E3755">
        <w:t xml:space="preserve"> some of the limitations of</w:t>
      </w:r>
      <w:r w:rsidR="008A62FA" w:rsidRPr="001E3755">
        <w:t xml:space="preserve"> individual</w:t>
      </w:r>
      <w:r w:rsidR="00E00BEC" w:rsidRPr="001E3755">
        <w:t xml:space="preserve"> </w:t>
      </w:r>
      <w:r w:rsidR="008A62FA" w:rsidRPr="001E3755">
        <w:t>SP</w:t>
      </w:r>
      <w:r w:rsidR="0003256C" w:rsidRPr="001E3755">
        <w:t xml:space="preserve"> studies</w:t>
      </w:r>
      <w:r w:rsidR="00E00BEC" w:rsidRPr="001E3755">
        <w:t xml:space="preserve"> (e.g. </w:t>
      </w:r>
      <w:proofErr w:type="spellStart"/>
      <w:r w:rsidR="00E00BEC" w:rsidRPr="001E3755">
        <w:t>Kenter</w:t>
      </w:r>
      <w:proofErr w:type="spellEnd"/>
      <w:r w:rsidR="00E00BEC" w:rsidRPr="001E3755">
        <w:t xml:space="preserve"> et al. </w:t>
      </w:r>
      <w:r w:rsidR="00466EBB" w:rsidRPr="001E3755">
        <w:t>2016</w:t>
      </w:r>
      <w:r w:rsidR="00E00BEC" w:rsidRPr="001E3755">
        <w:t xml:space="preserve">, </w:t>
      </w:r>
      <w:proofErr w:type="spellStart"/>
      <w:r w:rsidR="008A62FA" w:rsidRPr="001E3755">
        <w:t>V</w:t>
      </w:r>
      <w:r w:rsidR="00614DF1" w:rsidRPr="001E3755">
        <w:rPr>
          <w:rFonts w:asciiTheme="majorBidi" w:hAnsiTheme="majorBidi" w:cstheme="majorBidi"/>
          <w:sz w:val="22"/>
          <w:szCs w:val="22"/>
          <w:shd w:val="clear" w:color="auto" w:fill="FFFFFF"/>
        </w:rPr>
        <w:t>ö</w:t>
      </w:r>
      <w:r w:rsidR="008A62FA" w:rsidRPr="001E3755">
        <w:t>lker</w:t>
      </w:r>
      <w:proofErr w:type="spellEnd"/>
      <w:r w:rsidR="008A62FA" w:rsidRPr="001E3755">
        <w:t xml:space="preserve"> and </w:t>
      </w:r>
      <w:proofErr w:type="spellStart"/>
      <w:r w:rsidR="008A62FA" w:rsidRPr="001E3755">
        <w:t>Lienhoop</w:t>
      </w:r>
      <w:proofErr w:type="spellEnd"/>
      <w:r w:rsidR="008A62FA" w:rsidRPr="001E3755">
        <w:t xml:space="preserve"> 2016</w:t>
      </w:r>
      <w:r w:rsidR="00E00BEC" w:rsidRPr="001E3755">
        <w:t>).</w:t>
      </w:r>
      <w:r w:rsidR="008A62FA" w:rsidRPr="001E3755">
        <w:t xml:space="preserve"> </w:t>
      </w:r>
    </w:p>
    <w:p w14:paraId="039703B8" w14:textId="64E6E197" w:rsidR="00634221" w:rsidRPr="00546B8B" w:rsidRDefault="00BC4693" w:rsidP="00BC691C">
      <w:pPr>
        <w:spacing w:after="200"/>
      </w:pPr>
      <w:r w:rsidRPr="001E3755">
        <w:t xml:space="preserve">The number </w:t>
      </w:r>
      <w:r w:rsidR="00E130AF" w:rsidRPr="001E3755">
        <w:t xml:space="preserve">of published </w:t>
      </w:r>
      <w:r w:rsidR="008B57FC">
        <w:t xml:space="preserve">choice experiments (CEs) </w:t>
      </w:r>
      <w:r w:rsidR="00BC691C">
        <w:t>ha</w:t>
      </w:r>
      <w:r w:rsidR="00E130AF" w:rsidRPr="001E3755">
        <w:t>s increas</w:t>
      </w:r>
      <w:r w:rsidR="00BC691C">
        <w:t>ed</w:t>
      </w:r>
      <w:r w:rsidR="00E130AF" w:rsidRPr="001E3755">
        <w:t xml:space="preserve"> </w:t>
      </w:r>
      <w:r w:rsidR="00BC691C" w:rsidRPr="001E3755">
        <w:t xml:space="preserve">rapidly </w:t>
      </w:r>
      <w:r w:rsidR="00E130AF" w:rsidRPr="001E3755">
        <w:t>but</w:t>
      </w:r>
      <w:r w:rsidRPr="001E3755">
        <w:t xml:space="preserve"> </w:t>
      </w:r>
      <w:r w:rsidR="009621DC">
        <w:t>includes</w:t>
      </w:r>
      <w:r w:rsidR="009621DC" w:rsidRPr="001E3755">
        <w:t xml:space="preserve"> </w:t>
      </w:r>
      <w:r w:rsidRPr="001E3755">
        <w:t xml:space="preserve">only a few tests of reliability and validity </w:t>
      </w:r>
      <w:r w:rsidR="00BC691C">
        <w:t>for which</w:t>
      </w:r>
      <w:r w:rsidR="00BC691C" w:rsidRPr="001E3755">
        <w:t xml:space="preserve"> </w:t>
      </w:r>
      <w:r w:rsidRPr="001E3755">
        <w:t>the results are mixed (</w:t>
      </w:r>
      <w:proofErr w:type="spellStart"/>
      <w:r w:rsidRPr="001E3755">
        <w:rPr>
          <w:lang w:eastAsia="fr-FR"/>
        </w:rPr>
        <w:t>Rakotonarivo</w:t>
      </w:r>
      <w:proofErr w:type="spellEnd"/>
      <w:r w:rsidRPr="001E3755">
        <w:rPr>
          <w:lang w:eastAsia="fr-FR"/>
        </w:rPr>
        <w:t xml:space="preserve"> et al. </w:t>
      </w:r>
      <w:r w:rsidR="00067D3D" w:rsidRPr="001E3755">
        <w:rPr>
          <w:lang w:eastAsia="fr-FR"/>
        </w:rPr>
        <w:t>2016</w:t>
      </w:r>
      <w:r w:rsidRPr="001E3755">
        <w:rPr>
          <w:lang w:eastAsia="fr-FR"/>
        </w:rPr>
        <w:t>)</w:t>
      </w:r>
      <w:r w:rsidRPr="001E3755">
        <w:t xml:space="preserve">. </w:t>
      </w:r>
      <w:r w:rsidR="00E06967" w:rsidRPr="001E3755">
        <w:t>Q</w:t>
      </w:r>
      <w:r w:rsidR="00634221" w:rsidRPr="001E3755">
        <w:t xml:space="preserve">ualitative approaches offer a venue for testing reliability and validity (ibid.). </w:t>
      </w:r>
      <w:r w:rsidR="00266C03" w:rsidRPr="001E3755">
        <w:t>F</w:t>
      </w:r>
      <w:r w:rsidR="00913EDC" w:rsidRPr="001E3755">
        <w:t>ocus group discussions</w:t>
      </w:r>
      <w:r w:rsidR="008B57FC">
        <w:t xml:space="preserve"> (FGDs)</w:t>
      </w:r>
      <w:r w:rsidR="00913EDC" w:rsidRPr="001E3755">
        <w:t xml:space="preserve"> </w:t>
      </w:r>
      <w:r w:rsidR="00E919FA" w:rsidRPr="001E3755">
        <w:t>are</w:t>
      </w:r>
      <w:r w:rsidR="00913EDC" w:rsidRPr="001E3755">
        <w:t xml:space="preserve"> </w:t>
      </w:r>
      <w:r w:rsidR="00C04AB6" w:rsidRPr="001E3755">
        <w:t>a participatory method that can be used, in the context of environmental valuation, as a non-monetary valuation method to assess the motivation of people’s value expressions (Christie et al. 2</w:t>
      </w:r>
      <w:r w:rsidR="0003256C" w:rsidRPr="001E3755">
        <w:t>01</w:t>
      </w:r>
      <w:r w:rsidR="00C04AB6" w:rsidRPr="001E3755">
        <w:t>2)</w:t>
      </w:r>
      <w:r w:rsidR="00266C03" w:rsidRPr="001E3755">
        <w:t xml:space="preserve">, </w:t>
      </w:r>
      <w:r w:rsidR="00283FD7" w:rsidRPr="001E3755">
        <w:t>and</w:t>
      </w:r>
      <w:r w:rsidR="00266C03" w:rsidRPr="001E3755">
        <w:t xml:space="preserve"> they are typically focused on current, rather than deliberated, opinions</w:t>
      </w:r>
      <w:r w:rsidR="00C04AB6" w:rsidRPr="001E3755">
        <w:t>.</w:t>
      </w:r>
      <w:r w:rsidR="003A795C" w:rsidRPr="001E3755">
        <w:t xml:space="preserve"> They have a semi-structured format and take place in a group setting. </w:t>
      </w:r>
      <w:r w:rsidR="0064735B" w:rsidRPr="001E3755">
        <w:t>In combination with SP surveys, FGD</w:t>
      </w:r>
      <w:r w:rsidR="004C5489">
        <w:t>s</w:t>
      </w:r>
      <w:r w:rsidR="0064735B" w:rsidRPr="001E3755">
        <w:t xml:space="preserve"> </w:t>
      </w:r>
      <w:r w:rsidR="00671D63">
        <w:t xml:space="preserve">are </w:t>
      </w:r>
      <w:r w:rsidR="0062450E">
        <w:t>especially</w:t>
      </w:r>
      <w:r w:rsidR="00671D63">
        <w:t xml:space="preserve"> useful</w:t>
      </w:r>
      <w:r w:rsidR="0064735B" w:rsidRPr="001E3755">
        <w:t xml:space="preserve"> </w:t>
      </w:r>
      <w:r w:rsidR="00266C03" w:rsidRPr="001E3755">
        <w:t xml:space="preserve">prior to quantitative SP </w:t>
      </w:r>
      <w:r w:rsidR="0064735B" w:rsidRPr="001E3755">
        <w:t>to</w:t>
      </w:r>
      <w:r w:rsidR="0062450E">
        <w:t xml:space="preserve"> identify relevant hypotheses, and to</w:t>
      </w:r>
      <w:r w:rsidR="00634221" w:rsidRPr="001E3755">
        <w:t xml:space="preserve"> inform, pre-test and</w:t>
      </w:r>
      <w:r w:rsidR="0064735B" w:rsidRPr="001E3755">
        <w:t xml:space="preserve"> improve the </w:t>
      </w:r>
      <w:r w:rsidR="00634221" w:rsidRPr="001E3755">
        <w:t xml:space="preserve">survey </w:t>
      </w:r>
      <w:r w:rsidR="0064735B" w:rsidRPr="001E3755">
        <w:t>design</w:t>
      </w:r>
      <w:r w:rsidR="0062790B">
        <w:t xml:space="preserve"> </w:t>
      </w:r>
      <w:r w:rsidR="00266C03" w:rsidRPr="001E3755">
        <w:t>(e.g.</w:t>
      </w:r>
      <w:r w:rsidR="00265F29" w:rsidRPr="001E3755">
        <w:t xml:space="preserve"> Hanley et al. 1998</w:t>
      </w:r>
      <w:r w:rsidR="00765FCB" w:rsidRPr="001E3755">
        <w:t>,</w:t>
      </w:r>
      <w:r w:rsidR="00671D63">
        <w:t xml:space="preserve"> Johnston et al. 2017,</w:t>
      </w:r>
      <w:r w:rsidR="00765FCB" w:rsidRPr="001E3755">
        <w:t xml:space="preserve"> </w:t>
      </w:r>
      <w:proofErr w:type="spellStart"/>
      <w:r w:rsidR="00765FCB" w:rsidRPr="001E3755">
        <w:t>Kenter</w:t>
      </w:r>
      <w:proofErr w:type="spellEnd"/>
      <w:r w:rsidR="00765FCB" w:rsidRPr="001E3755">
        <w:t xml:space="preserve"> et al. 2016b</w:t>
      </w:r>
      <w:r w:rsidR="00265F29" w:rsidRPr="001E3755">
        <w:t>)</w:t>
      </w:r>
      <w:r w:rsidR="00634221" w:rsidRPr="001E3755">
        <w:t>.</w:t>
      </w:r>
      <w:r w:rsidR="00266C03" w:rsidRPr="001E3755">
        <w:t xml:space="preserve"> </w:t>
      </w:r>
      <w:r w:rsidR="001932EF" w:rsidRPr="001E3755">
        <w:t>FGD</w:t>
      </w:r>
      <w:r w:rsidR="004C5489">
        <w:t>s</w:t>
      </w:r>
      <w:r w:rsidR="00C04AB6" w:rsidRPr="001E3755">
        <w:t xml:space="preserve"> can</w:t>
      </w:r>
      <w:r w:rsidR="00634221" w:rsidRPr="001E3755">
        <w:t xml:space="preserve"> also</w:t>
      </w:r>
      <w:r w:rsidR="00C04AB6" w:rsidRPr="001E3755">
        <w:t xml:space="preserve"> provide</w:t>
      </w:r>
      <w:r w:rsidR="00266C03" w:rsidRPr="001E3755">
        <w:t xml:space="preserve"> diagnostic</w:t>
      </w:r>
      <w:r w:rsidR="00C04AB6" w:rsidRPr="001E3755">
        <w:t xml:space="preserve"> information</w:t>
      </w:r>
      <w:r w:rsidR="00266C03" w:rsidRPr="001E3755">
        <w:t xml:space="preserve"> after SP </w:t>
      </w:r>
      <w:r w:rsidR="00634221" w:rsidRPr="00676E98">
        <w:t>elicitation</w:t>
      </w:r>
      <w:r w:rsidR="00C04AB6" w:rsidRPr="00676E98">
        <w:t xml:space="preserve"> about, for example, differences between the researchers’ and respondents’ beliefs about the va</w:t>
      </w:r>
      <w:r w:rsidR="00C04AB6" w:rsidRPr="00546B8B">
        <w:t xml:space="preserve">luation scenario </w:t>
      </w:r>
      <w:r w:rsidR="00265F29" w:rsidRPr="00546B8B">
        <w:t>(Carson 2012</w:t>
      </w:r>
      <w:r w:rsidR="00D4258F">
        <w:t>, Chilton and Hutchinson 1999</w:t>
      </w:r>
      <w:r w:rsidR="00265F29" w:rsidRPr="00546B8B">
        <w:t>)</w:t>
      </w:r>
      <w:r w:rsidR="003C12B9" w:rsidRPr="00546B8B">
        <w:t>, or to validate</w:t>
      </w:r>
      <w:r w:rsidR="00634221" w:rsidRPr="00546B8B">
        <w:t xml:space="preserve"> WTP values and assess the acceptability of</w:t>
      </w:r>
      <w:r w:rsidR="003C12B9" w:rsidRPr="00546B8B">
        <w:t xml:space="preserve"> SP survey results among respondents (e.g. Brouwer et al. </w:t>
      </w:r>
      <w:r w:rsidR="00401940" w:rsidRPr="00546B8B">
        <w:t xml:space="preserve">1999, Clark et al. 2000, </w:t>
      </w:r>
      <w:proofErr w:type="spellStart"/>
      <w:r w:rsidR="00401940" w:rsidRPr="00546B8B">
        <w:t>Powe</w:t>
      </w:r>
      <w:proofErr w:type="spellEnd"/>
      <w:r w:rsidR="00401940" w:rsidRPr="00546B8B">
        <w:t xml:space="preserve"> et al.</w:t>
      </w:r>
      <w:r w:rsidR="003C12B9" w:rsidRPr="00546B8B">
        <w:t xml:space="preserve"> 2005</w:t>
      </w:r>
      <w:r w:rsidR="00E130AF" w:rsidRPr="00546B8B">
        <w:t>,</w:t>
      </w:r>
      <w:r w:rsidR="00634221" w:rsidRPr="00546B8B">
        <w:t xml:space="preserve"> </w:t>
      </w:r>
      <w:proofErr w:type="spellStart"/>
      <w:r w:rsidR="00634221" w:rsidRPr="00546B8B">
        <w:t>Powe</w:t>
      </w:r>
      <w:proofErr w:type="spellEnd"/>
      <w:r w:rsidR="00634221" w:rsidRPr="00546B8B">
        <w:t xml:space="preserve"> 2007,</w:t>
      </w:r>
      <w:r w:rsidR="00401940" w:rsidRPr="00546B8B">
        <w:t xml:space="preserve"> </w:t>
      </w:r>
      <w:proofErr w:type="spellStart"/>
      <w:r w:rsidR="00401940" w:rsidRPr="00546B8B">
        <w:t>Spash</w:t>
      </w:r>
      <w:proofErr w:type="spellEnd"/>
      <w:r w:rsidR="003C12B9" w:rsidRPr="00546B8B">
        <w:t xml:space="preserve"> 2007)</w:t>
      </w:r>
      <w:r w:rsidR="00C04AB6" w:rsidRPr="00546B8B">
        <w:t>.</w:t>
      </w:r>
      <w:r w:rsidR="003A795C" w:rsidRPr="00546B8B">
        <w:t xml:space="preserve"> </w:t>
      </w:r>
    </w:p>
    <w:p w14:paraId="3086073A" w14:textId="1509A0AB" w:rsidR="00266C03" w:rsidRPr="00546B8B" w:rsidRDefault="003830EC" w:rsidP="00266C03">
      <w:pPr>
        <w:spacing w:after="200"/>
      </w:pPr>
      <w:r>
        <w:t>W</w:t>
      </w:r>
      <w:r w:rsidR="0062790B">
        <w:t xml:space="preserve">e argue that the </w:t>
      </w:r>
      <w:r>
        <w:t xml:space="preserve">above </w:t>
      </w:r>
      <w:r w:rsidR="0062790B">
        <w:t xml:space="preserve">approaches suffer from </w:t>
      </w:r>
      <w:r>
        <w:t>critical</w:t>
      </w:r>
      <w:r w:rsidR="0062790B">
        <w:t xml:space="preserve"> limitations. </w:t>
      </w:r>
      <w:bookmarkStart w:id="1" w:name="_Hlk484088963"/>
      <w:r w:rsidR="0062790B">
        <w:t>Firstly, a</w:t>
      </w:r>
      <w:r w:rsidR="001F4DDA">
        <w:t>s also noticed for the use of focus groups in combination with contingent valuation</w:t>
      </w:r>
      <w:r w:rsidR="008B57FC">
        <w:t xml:space="preserve"> (CV)</w:t>
      </w:r>
      <w:r w:rsidR="001F4DDA">
        <w:t xml:space="preserve"> (Chilton and Hutchinson 1999)</w:t>
      </w:r>
      <w:r w:rsidR="003B3358" w:rsidRPr="001E3755">
        <w:t xml:space="preserve">, </w:t>
      </w:r>
      <w:bookmarkStart w:id="2" w:name="_Hlk484104885"/>
      <w:r w:rsidR="003B3358" w:rsidRPr="001E3755">
        <w:t xml:space="preserve">most </w:t>
      </w:r>
      <w:r w:rsidR="003F79F0">
        <w:t>studies</w:t>
      </w:r>
      <w:r w:rsidR="00753DDE" w:rsidRPr="001E3755">
        <w:t xml:space="preserve"> referenced above</w:t>
      </w:r>
      <w:r w:rsidR="00266C03" w:rsidRPr="001E3755">
        <w:t xml:space="preserve"> </w:t>
      </w:r>
      <w:r w:rsidR="003B3358" w:rsidRPr="001E3755">
        <w:t>have</w:t>
      </w:r>
      <w:r w:rsidR="00266C03" w:rsidRPr="001E3755">
        <w:t xml:space="preserve"> limited their</w:t>
      </w:r>
      <w:r w:rsidR="003F79F0">
        <w:t xml:space="preserve"> FGD</w:t>
      </w:r>
      <w:r w:rsidR="00266C03" w:rsidRPr="001E3755">
        <w:t xml:space="preserve"> focus</w:t>
      </w:r>
      <w:bookmarkEnd w:id="2"/>
      <w:r w:rsidR="00266C03" w:rsidRPr="001E3755">
        <w:t xml:space="preserve"> on </w:t>
      </w:r>
      <w:r>
        <w:t xml:space="preserve">either </w:t>
      </w:r>
      <w:r w:rsidR="00266C03" w:rsidRPr="001E3755">
        <w:t xml:space="preserve">the </w:t>
      </w:r>
      <w:r>
        <w:t xml:space="preserve">study </w:t>
      </w:r>
      <w:r w:rsidR="00634221" w:rsidRPr="001E3755">
        <w:t xml:space="preserve">design or </w:t>
      </w:r>
      <w:r>
        <w:t xml:space="preserve">on the </w:t>
      </w:r>
      <w:r w:rsidR="00634221" w:rsidRPr="001E3755">
        <w:t xml:space="preserve">ex-post </w:t>
      </w:r>
      <w:r w:rsidR="00266C03" w:rsidRPr="001E3755">
        <w:t>evaluation of the survey</w:t>
      </w:r>
      <w:r w:rsidR="009621DC">
        <w:t>. They</w:t>
      </w:r>
      <w:r w:rsidR="003F79F0">
        <w:t xml:space="preserve"> </w:t>
      </w:r>
      <w:r>
        <w:t xml:space="preserve">often disregard the reporting of the </w:t>
      </w:r>
      <w:r w:rsidR="003F79F0">
        <w:t>FGD</w:t>
      </w:r>
      <w:r>
        <w:t xml:space="preserve"> findings: the recorded outc</w:t>
      </w:r>
      <w:r w:rsidR="00D543A7">
        <w:t>ome of the FGD</w:t>
      </w:r>
      <w:r w:rsidR="008B57FC">
        <w:t>s</w:t>
      </w:r>
      <w:r w:rsidR="00261A3D">
        <w:t xml:space="preserve"> remains largely anecdotal </w:t>
      </w:r>
      <w:r w:rsidR="001F4DDA">
        <w:t xml:space="preserve">and </w:t>
      </w:r>
      <w:r w:rsidR="00261A3D">
        <w:t>detail on the FGD data and analysis is often missing</w:t>
      </w:r>
      <w:r w:rsidR="009F6482" w:rsidRPr="001E3755">
        <w:t xml:space="preserve">. </w:t>
      </w:r>
      <w:bookmarkEnd w:id="1"/>
      <w:r w:rsidR="0062790B">
        <w:t>Secondly, w</w:t>
      </w:r>
      <w:r w:rsidR="009F6482" w:rsidRPr="001E3755">
        <w:t xml:space="preserve">hen the FGDs serve the CE analysis, either prior to or after the CE has been implemented, the range of topics they cover </w:t>
      </w:r>
      <w:r w:rsidR="009F6482" w:rsidRPr="00676E98">
        <w:t>may be</w:t>
      </w:r>
      <w:r w:rsidR="00D07241" w:rsidRPr="00676E98">
        <w:t xml:space="preserve"> different or narrower compared with a situation where the FGD is not used to serve the CE a</w:t>
      </w:r>
      <w:r w:rsidR="00D07241" w:rsidRPr="00546B8B">
        <w:t>nalysis</w:t>
      </w:r>
      <w:r w:rsidR="00266C03" w:rsidRPr="00546B8B">
        <w:t>.</w:t>
      </w:r>
      <w:r w:rsidR="00BB358B">
        <w:t xml:space="preserve"> In practice, FGDs for pre-tests tend to focus on the definition of the good under valuation</w:t>
      </w:r>
      <w:r w:rsidR="00BB358B" w:rsidRPr="00546B8B">
        <w:rPr>
          <w:szCs w:val="22"/>
        </w:rPr>
        <w:t>,</w:t>
      </w:r>
      <w:r w:rsidR="00BB358B" w:rsidRPr="001E3755">
        <w:rPr>
          <w:rFonts w:cstheme="minorHAnsi"/>
        </w:rPr>
        <w:t xml:space="preserve"> the interpretation of the scenario text</w:t>
      </w:r>
      <w:r w:rsidR="009621DC">
        <w:rPr>
          <w:rFonts w:cstheme="minorHAnsi"/>
        </w:rPr>
        <w:t>,</w:t>
      </w:r>
      <w:r w:rsidR="00BB358B" w:rsidRPr="001E3755">
        <w:rPr>
          <w:rFonts w:cstheme="minorHAnsi"/>
        </w:rPr>
        <w:t xml:space="preserve"> the </w:t>
      </w:r>
      <w:r w:rsidR="00BB358B">
        <w:rPr>
          <w:rFonts w:cstheme="minorHAnsi"/>
        </w:rPr>
        <w:t xml:space="preserve">selected </w:t>
      </w:r>
      <w:r w:rsidR="00BB358B" w:rsidRPr="001E3755">
        <w:rPr>
          <w:rFonts w:cstheme="minorHAnsi"/>
        </w:rPr>
        <w:t xml:space="preserve">attributes and levels </w:t>
      </w:r>
      <w:r w:rsidR="00BB358B">
        <w:rPr>
          <w:rFonts w:cstheme="minorHAnsi"/>
        </w:rPr>
        <w:t xml:space="preserve">and </w:t>
      </w:r>
      <w:r w:rsidR="00BB358B" w:rsidRPr="001E3755">
        <w:rPr>
          <w:rFonts w:cstheme="minorHAnsi"/>
        </w:rPr>
        <w:t xml:space="preserve">the interpretation of </w:t>
      </w:r>
      <w:r w:rsidR="00BB358B">
        <w:rPr>
          <w:rFonts w:cstheme="minorHAnsi"/>
        </w:rPr>
        <w:t>specific questions and visual material.</w:t>
      </w:r>
      <w:r w:rsidR="001E6FA6">
        <w:rPr>
          <w:rFonts w:cstheme="minorHAnsi"/>
        </w:rPr>
        <w:t xml:space="preserve"> Post-CE FGDs </w:t>
      </w:r>
      <w:r w:rsidR="001E6FA6" w:rsidRPr="001E3755">
        <w:rPr>
          <w:rFonts w:cstheme="minorHAnsi"/>
        </w:rPr>
        <w:t>run the risk to emphasise</w:t>
      </w:r>
      <w:r w:rsidR="001E6FA6" w:rsidRPr="001E3755">
        <w:rPr>
          <w:szCs w:val="22"/>
        </w:rPr>
        <w:t xml:space="preserve"> reliability and validity criteria of CE</w:t>
      </w:r>
      <w:r w:rsidR="001E6FA6">
        <w:rPr>
          <w:szCs w:val="22"/>
        </w:rPr>
        <w:t>s</w:t>
      </w:r>
      <w:r w:rsidR="001E6FA6" w:rsidRPr="001E3755">
        <w:rPr>
          <w:szCs w:val="22"/>
        </w:rPr>
        <w:t>, including opt-out choices</w:t>
      </w:r>
      <w:r w:rsidR="00934038">
        <w:rPr>
          <w:szCs w:val="22"/>
        </w:rPr>
        <w:t xml:space="preserve"> and</w:t>
      </w:r>
      <w:r w:rsidR="001E6FA6" w:rsidRPr="001E3755">
        <w:rPr>
          <w:szCs w:val="22"/>
        </w:rPr>
        <w:t xml:space="preserve"> the </w:t>
      </w:r>
      <w:r w:rsidR="001E6FA6" w:rsidRPr="001E3755">
        <w:rPr>
          <w:szCs w:val="22"/>
        </w:rPr>
        <w:lastRenderedPageBreak/>
        <w:t xml:space="preserve">monetary amounts, </w:t>
      </w:r>
      <w:r w:rsidR="00934038">
        <w:rPr>
          <w:szCs w:val="22"/>
        </w:rPr>
        <w:t>while</w:t>
      </w:r>
      <w:r w:rsidR="001E6FA6" w:rsidRPr="001E3755">
        <w:rPr>
          <w:szCs w:val="22"/>
        </w:rPr>
        <w:t xml:space="preserve"> ignor</w:t>
      </w:r>
      <w:r w:rsidR="00934038">
        <w:rPr>
          <w:szCs w:val="22"/>
        </w:rPr>
        <w:t>ing</w:t>
      </w:r>
      <w:r w:rsidR="001E6FA6" w:rsidRPr="001E3755">
        <w:rPr>
          <w:szCs w:val="22"/>
        </w:rPr>
        <w:t xml:space="preserve"> other </w:t>
      </w:r>
      <w:r w:rsidR="00934038">
        <w:rPr>
          <w:szCs w:val="22"/>
        </w:rPr>
        <w:t xml:space="preserve">critical decision and contextual </w:t>
      </w:r>
      <w:r w:rsidR="001E6FA6" w:rsidRPr="001E3755">
        <w:rPr>
          <w:szCs w:val="22"/>
        </w:rPr>
        <w:t>factors</w:t>
      </w:r>
      <w:r w:rsidR="001E6FA6">
        <w:rPr>
          <w:szCs w:val="22"/>
        </w:rPr>
        <w:t>.</w:t>
      </w:r>
      <w:r w:rsidR="003B3358" w:rsidRPr="00546B8B">
        <w:t xml:space="preserve"> </w:t>
      </w:r>
      <w:r w:rsidR="0062790B">
        <w:t>Finally</w:t>
      </w:r>
      <w:r w:rsidR="00EA45CB" w:rsidRPr="00546B8B">
        <w:t xml:space="preserve">, as the discussions in post-CE FGDs </w:t>
      </w:r>
      <w:r w:rsidR="00D07241" w:rsidRPr="00546B8B">
        <w:t xml:space="preserve">usually involve </w:t>
      </w:r>
      <w:r w:rsidR="009F6482" w:rsidRPr="00546B8B">
        <w:t>the</w:t>
      </w:r>
      <w:r w:rsidR="00D07241" w:rsidRPr="00546B8B">
        <w:t xml:space="preserve"> same respondents, the discussion results may be biased by the framing or narrative of the CEs</w:t>
      </w:r>
      <w:r w:rsidR="009F6482" w:rsidRPr="00546B8B">
        <w:t xml:space="preserve"> that the respondents have been exposed to</w:t>
      </w:r>
      <w:r w:rsidR="00D07241" w:rsidRPr="00546B8B">
        <w:t>.</w:t>
      </w:r>
    </w:p>
    <w:p w14:paraId="29B7976B" w14:textId="639BF332" w:rsidR="003B3358" w:rsidRPr="001E3755" w:rsidRDefault="003B3358" w:rsidP="00A52A25">
      <w:pPr>
        <w:spacing w:after="200"/>
      </w:pPr>
      <w:r w:rsidRPr="001E3755">
        <w:t>Th</w:t>
      </w:r>
      <w:r w:rsidR="00F6554C" w:rsidRPr="001E3755">
        <w:t>e research aim of th</w:t>
      </w:r>
      <w:r w:rsidRPr="001E3755">
        <w:t xml:space="preserve">is paper </w:t>
      </w:r>
      <w:r w:rsidR="00F6554C" w:rsidRPr="001E3755">
        <w:t xml:space="preserve">is </w:t>
      </w:r>
      <w:r w:rsidRPr="001E3755">
        <w:t xml:space="preserve">to test </w:t>
      </w:r>
      <w:r w:rsidR="009C533D" w:rsidRPr="001E3755">
        <w:t>whether CEs and FG</w:t>
      </w:r>
      <w:r w:rsidR="00F6554C" w:rsidRPr="001E3755">
        <w:t>D</w:t>
      </w:r>
      <w:r w:rsidR="009C533D" w:rsidRPr="001E3755">
        <w:t xml:space="preserve">s result in similar policy recommendations and </w:t>
      </w:r>
      <w:r w:rsidR="00934038">
        <w:t xml:space="preserve">to </w:t>
      </w:r>
      <w:r w:rsidR="009C533D" w:rsidRPr="001E3755">
        <w:t xml:space="preserve">evaluate the (dis)advantages of combining these methods. </w:t>
      </w:r>
      <w:r w:rsidR="00F6554C" w:rsidRPr="001E3755">
        <w:t>We</w:t>
      </w:r>
      <w:r w:rsidR="00A52A25" w:rsidRPr="001E3755">
        <w:t xml:space="preserve"> triangulate the results of the</w:t>
      </w:r>
      <w:r w:rsidR="00BC4693" w:rsidRPr="001E3755">
        <w:t xml:space="preserve"> individual discrete </w:t>
      </w:r>
      <w:r w:rsidRPr="001E3755">
        <w:t xml:space="preserve">CE </w:t>
      </w:r>
      <w:r w:rsidR="00EF4456" w:rsidRPr="001E3755">
        <w:t>with FGD results</w:t>
      </w:r>
      <w:r w:rsidR="009F6482" w:rsidRPr="001E3755">
        <w:t>, where the CE and FGDs are implemented simultaneously and involve different samples</w:t>
      </w:r>
      <w:r w:rsidR="009C533D" w:rsidRPr="001E3755">
        <w:t xml:space="preserve">. </w:t>
      </w:r>
      <w:r w:rsidR="00352D04" w:rsidRPr="001E3755">
        <w:t xml:space="preserve">The study builds on work by </w:t>
      </w:r>
      <w:proofErr w:type="spellStart"/>
      <w:r w:rsidR="00352D04" w:rsidRPr="001E3755">
        <w:t>Powe</w:t>
      </w:r>
      <w:proofErr w:type="spellEnd"/>
      <w:r w:rsidR="00352D04" w:rsidRPr="001E3755">
        <w:t xml:space="preserve"> (2007), in which evidence of, and avenues for research on, mixing </w:t>
      </w:r>
      <w:r w:rsidR="008B57FC">
        <w:t>CV</w:t>
      </w:r>
      <w:r w:rsidR="00352D04" w:rsidRPr="001E3755">
        <w:t xml:space="preserve"> studies and FGD</w:t>
      </w:r>
      <w:r w:rsidR="00FF1201">
        <w:t>s</w:t>
      </w:r>
      <w:r w:rsidR="00352D04" w:rsidRPr="001E3755">
        <w:t xml:space="preserve"> were explored. We </w:t>
      </w:r>
      <w:r w:rsidR="00A52A25" w:rsidRPr="001E3755">
        <w:t>highlight some</w:t>
      </w:r>
      <w:r w:rsidR="00352D04" w:rsidRPr="001E3755">
        <w:t xml:space="preserve"> additional advantages specific to CE and FGD combinations</w:t>
      </w:r>
      <w:r w:rsidR="00A52A25" w:rsidRPr="001E3755">
        <w:t xml:space="preserve"> </w:t>
      </w:r>
      <w:r w:rsidR="00934038">
        <w:t>in</w:t>
      </w:r>
      <w:r w:rsidR="00934038" w:rsidRPr="001E3755">
        <w:t xml:space="preserve"> </w:t>
      </w:r>
      <w:r w:rsidR="00A52A25" w:rsidRPr="001E3755">
        <w:t>low-income country settings</w:t>
      </w:r>
      <w:r w:rsidR="00352D04" w:rsidRPr="001E3755">
        <w:t xml:space="preserve">. </w:t>
      </w:r>
    </w:p>
    <w:p w14:paraId="5127663F" w14:textId="317A3E6D" w:rsidR="005E58C6" w:rsidRPr="00546B8B" w:rsidRDefault="001932EF" w:rsidP="00613F2A">
      <w:pPr>
        <w:spacing w:after="120"/>
        <w:rPr>
          <w:szCs w:val="22"/>
        </w:rPr>
      </w:pPr>
      <w:r w:rsidRPr="001E3755">
        <w:t xml:space="preserve">The methods are applied to a case study in Kalimantan, Indonesia, </w:t>
      </w:r>
      <w:r w:rsidR="001C191F" w:rsidRPr="001E3755">
        <w:t>which sought</w:t>
      </w:r>
      <w:r w:rsidRPr="001E3755">
        <w:t xml:space="preserve"> </w:t>
      </w:r>
      <w:r w:rsidR="000213A5" w:rsidRPr="001E3755">
        <w:t xml:space="preserve">to identify the willingness of local farming communities to participate in a program to </w:t>
      </w:r>
      <w:r w:rsidR="001B77BA">
        <w:t>plant trees on</w:t>
      </w:r>
      <w:r w:rsidR="001B77BA" w:rsidRPr="001E3755">
        <w:t xml:space="preserve"> </w:t>
      </w:r>
      <w:r w:rsidR="000213A5" w:rsidRPr="001E3755">
        <w:t xml:space="preserve">drained peatland areas, and the level of compensation (if any) demanded. </w:t>
      </w:r>
      <w:r w:rsidR="008B57FC">
        <w:rPr>
          <w:szCs w:val="22"/>
        </w:rPr>
        <w:t>Changes in peatland management we</w:t>
      </w:r>
      <w:r w:rsidR="00E00BEC" w:rsidRPr="001E3755">
        <w:rPr>
          <w:szCs w:val="22"/>
        </w:rPr>
        <w:t xml:space="preserve">re expected </w:t>
      </w:r>
      <w:r w:rsidR="005E58C6" w:rsidRPr="001E3755">
        <w:rPr>
          <w:szCs w:val="22"/>
        </w:rPr>
        <w:t>bear</w:t>
      </w:r>
      <w:r w:rsidR="00E00BEC" w:rsidRPr="001E3755">
        <w:rPr>
          <w:szCs w:val="22"/>
        </w:rPr>
        <w:t xml:space="preserve"> local costs, in terms of investment in alternative land use practices</w:t>
      </w:r>
      <w:r w:rsidR="009172B3" w:rsidRPr="00676E98">
        <w:rPr>
          <w:szCs w:val="22"/>
        </w:rPr>
        <w:t>. However</w:t>
      </w:r>
      <w:r w:rsidR="00E00BEC" w:rsidRPr="00676E98">
        <w:rPr>
          <w:szCs w:val="22"/>
        </w:rPr>
        <w:t>,</w:t>
      </w:r>
      <w:r w:rsidR="009172B3" w:rsidRPr="00546B8B">
        <w:rPr>
          <w:szCs w:val="22"/>
        </w:rPr>
        <w:t xml:space="preserve"> improved peatland ecosystem management</w:t>
      </w:r>
      <w:r w:rsidR="00E00BEC" w:rsidRPr="00546B8B">
        <w:rPr>
          <w:szCs w:val="22"/>
        </w:rPr>
        <w:t xml:space="preserve"> </w:t>
      </w:r>
      <w:r w:rsidR="008B57FC">
        <w:rPr>
          <w:szCs w:val="22"/>
        </w:rPr>
        <w:t>wa</w:t>
      </w:r>
      <w:r w:rsidR="009172B3" w:rsidRPr="00546B8B">
        <w:rPr>
          <w:szCs w:val="22"/>
        </w:rPr>
        <w:t>s also expected to generate</w:t>
      </w:r>
      <w:r w:rsidR="00E00BEC" w:rsidRPr="00546B8B">
        <w:rPr>
          <w:szCs w:val="22"/>
        </w:rPr>
        <w:t xml:space="preserve"> local </w:t>
      </w:r>
      <w:r w:rsidR="006D3FD4" w:rsidRPr="00546B8B">
        <w:rPr>
          <w:szCs w:val="22"/>
        </w:rPr>
        <w:t xml:space="preserve">ecosystem service </w:t>
      </w:r>
      <w:r w:rsidR="00E00BEC" w:rsidRPr="00546B8B">
        <w:rPr>
          <w:szCs w:val="22"/>
        </w:rPr>
        <w:t xml:space="preserve">benefits </w:t>
      </w:r>
      <w:r w:rsidR="009F6482" w:rsidRPr="00546B8B">
        <w:rPr>
          <w:szCs w:val="22"/>
        </w:rPr>
        <w:t>from</w:t>
      </w:r>
      <w:r w:rsidR="009172B3" w:rsidRPr="00546B8B">
        <w:rPr>
          <w:szCs w:val="22"/>
        </w:rPr>
        <w:t xml:space="preserve"> a reduced risk of</w:t>
      </w:r>
      <w:r w:rsidR="009F6482" w:rsidRPr="00546B8B">
        <w:rPr>
          <w:szCs w:val="22"/>
        </w:rPr>
        <w:t xml:space="preserve"> </w:t>
      </w:r>
      <w:r w:rsidR="001B77BA">
        <w:rPr>
          <w:szCs w:val="22"/>
        </w:rPr>
        <w:t>peat</w:t>
      </w:r>
      <w:r w:rsidR="001B77BA" w:rsidRPr="00546B8B">
        <w:rPr>
          <w:szCs w:val="22"/>
        </w:rPr>
        <w:t xml:space="preserve"> </w:t>
      </w:r>
      <w:r w:rsidR="009F6482" w:rsidRPr="00546B8B">
        <w:rPr>
          <w:szCs w:val="22"/>
        </w:rPr>
        <w:t>fire</w:t>
      </w:r>
      <w:r w:rsidR="006D3FD4" w:rsidRPr="00546B8B">
        <w:rPr>
          <w:szCs w:val="22"/>
        </w:rPr>
        <w:t xml:space="preserve"> and flood events, provisioning ecosystem services, such as timber, non-timber products, fish and other fauna, and cultural services associated with sustainable </w:t>
      </w:r>
      <w:r w:rsidR="001B77BA">
        <w:rPr>
          <w:szCs w:val="22"/>
        </w:rPr>
        <w:t>tree</w:t>
      </w:r>
      <w:r w:rsidR="001B77BA" w:rsidRPr="00546B8B">
        <w:rPr>
          <w:szCs w:val="22"/>
        </w:rPr>
        <w:t xml:space="preserve"> </w:t>
      </w:r>
      <w:r w:rsidR="006D3FD4" w:rsidRPr="00546B8B">
        <w:rPr>
          <w:szCs w:val="22"/>
        </w:rPr>
        <w:t>use</w:t>
      </w:r>
      <w:r w:rsidR="00E00BEC" w:rsidRPr="00546B8B">
        <w:rPr>
          <w:szCs w:val="22"/>
        </w:rPr>
        <w:t xml:space="preserve">. </w:t>
      </w:r>
      <w:r w:rsidR="005E58C6" w:rsidRPr="00546B8B">
        <w:rPr>
          <w:szCs w:val="22"/>
        </w:rPr>
        <w:t xml:space="preserve">The fires lead to damage to property and crops, heavy smoke haze events that cause health risks, such as respiratory diseases, and reduce school attendance. </w:t>
      </w:r>
    </w:p>
    <w:p w14:paraId="70F302E9" w14:textId="5439390C" w:rsidR="001932EF" w:rsidRPr="00546B8B" w:rsidRDefault="00E00BEC" w:rsidP="006B5307">
      <w:pPr>
        <w:spacing w:after="120"/>
        <w:rPr>
          <w:szCs w:val="22"/>
        </w:rPr>
      </w:pPr>
      <w:r w:rsidRPr="00546B8B">
        <w:rPr>
          <w:szCs w:val="22"/>
        </w:rPr>
        <w:t>The design of compensation payment</w:t>
      </w:r>
      <w:r w:rsidR="00352D04" w:rsidRPr="00546B8B">
        <w:rPr>
          <w:szCs w:val="22"/>
        </w:rPr>
        <w:t xml:space="preserve"> </w:t>
      </w:r>
      <w:r w:rsidRPr="00546B8B">
        <w:rPr>
          <w:szCs w:val="22"/>
        </w:rPr>
        <w:t>s</w:t>
      </w:r>
      <w:r w:rsidR="00352D04" w:rsidRPr="00546B8B">
        <w:rPr>
          <w:szCs w:val="22"/>
        </w:rPr>
        <w:t>chemes</w:t>
      </w:r>
      <w:r w:rsidRPr="00546B8B">
        <w:rPr>
          <w:szCs w:val="22"/>
        </w:rPr>
        <w:t xml:space="preserve"> requires </w:t>
      </w:r>
      <w:r w:rsidR="00352D04" w:rsidRPr="00546B8B">
        <w:rPr>
          <w:szCs w:val="22"/>
        </w:rPr>
        <w:t>understanding</w:t>
      </w:r>
      <w:r w:rsidRPr="00546B8B">
        <w:rPr>
          <w:szCs w:val="22"/>
        </w:rPr>
        <w:t xml:space="preserve"> the needs of local communities (Engel and Palmer 2008), for which </w:t>
      </w:r>
      <w:r w:rsidR="00352D04" w:rsidRPr="00546B8B">
        <w:rPr>
          <w:szCs w:val="22"/>
        </w:rPr>
        <w:t>FGDs</w:t>
      </w:r>
      <w:r w:rsidRPr="00546B8B">
        <w:rPr>
          <w:szCs w:val="22"/>
        </w:rPr>
        <w:t xml:space="preserve"> are well suited</w:t>
      </w:r>
      <w:r w:rsidR="00352D04" w:rsidRPr="00546B8B">
        <w:rPr>
          <w:szCs w:val="22"/>
        </w:rPr>
        <w:t xml:space="preserve">, as well as a quantitative assessment of </w:t>
      </w:r>
      <w:r w:rsidRPr="00546B8B">
        <w:rPr>
          <w:szCs w:val="22"/>
        </w:rPr>
        <w:t xml:space="preserve">the </w:t>
      </w:r>
      <w:r w:rsidR="00352D04" w:rsidRPr="00546B8B">
        <w:rPr>
          <w:szCs w:val="22"/>
        </w:rPr>
        <w:t xml:space="preserve">(non-)monetary </w:t>
      </w:r>
      <w:r w:rsidRPr="00546B8B">
        <w:rPr>
          <w:szCs w:val="22"/>
        </w:rPr>
        <w:t>costs and benefits that communities may face when programmes to secure environmental services are implemented</w:t>
      </w:r>
      <w:r w:rsidR="00352D04" w:rsidRPr="00546B8B">
        <w:rPr>
          <w:szCs w:val="22"/>
        </w:rPr>
        <w:t xml:space="preserve">, which justifies </w:t>
      </w:r>
      <w:r w:rsidRPr="00546B8B">
        <w:rPr>
          <w:szCs w:val="22"/>
        </w:rPr>
        <w:t xml:space="preserve">using </w:t>
      </w:r>
      <w:r w:rsidR="00352D04" w:rsidRPr="00546B8B">
        <w:rPr>
          <w:szCs w:val="22"/>
        </w:rPr>
        <w:t xml:space="preserve">a </w:t>
      </w:r>
      <w:r w:rsidRPr="00546B8B">
        <w:rPr>
          <w:szCs w:val="22"/>
        </w:rPr>
        <w:t>CE</w:t>
      </w:r>
      <w:r w:rsidR="00352D04" w:rsidRPr="00546B8B">
        <w:rPr>
          <w:szCs w:val="22"/>
        </w:rPr>
        <w:t>.</w:t>
      </w:r>
      <w:r w:rsidR="00010E03" w:rsidRPr="00546B8B">
        <w:rPr>
          <w:szCs w:val="22"/>
        </w:rPr>
        <w:t xml:space="preserve"> </w:t>
      </w:r>
      <w:r w:rsidR="006B5307" w:rsidRPr="00546B8B">
        <w:rPr>
          <w:szCs w:val="22"/>
        </w:rPr>
        <w:t>T</w:t>
      </w:r>
      <w:r w:rsidR="00010E03" w:rsidRPr="00546B8B">
        <w:rPr>
          <w:szCs w:val="22"/>
        </w:rPr>
        <w:t xml:space="preserve">he values and perceptions towards intact </w:t>
      </w:r>
      <w:r w:rsidR="00934038">
        <w:rPr>
          <w:szCs w:val="22"/>
        </w:rPr>
        <w:t>versus</w:t>
      </w:r>
      <w:r w:rsidR="00934038" w:rsidRPr="00546B8B">
        <w:rPr>
          <w:szCs w:val="22"/>
        </w:rPr>
        <w:t xml:space="preserve"> </w:t>
      </w:r>
      <w:r w:rsidR="00010E03" w:rsidRPr="00546B8B">
        <w:rPr>
          <w:szCs w:val="22"/>
        </w:rPr>
        <w:t>highly degraded</w:t>
      </w:r>
      <w:r w:rsidR="00352D04" w:rsidRPr="00546B8B">
        <w:rPr>
          <w:szCs w:val="22"/>
        </w:rPr>
        <w:t xml:space="preserve"> </w:t>
      </w:r>
      <w:r w:rsidR="00010E03" w:rsidRPr="00546B8B">
        <w:rPr>
          <w:szCs w:val="22"/>
        </w:rPr>
        <w:t>natural forests have been studied in non-monetary terms (Abram et al. 2014)</w:t>
      </w:r>
      <w:r w:rsidR="006B5307" w:rsidRPr="00546B8B">
        <w:rPr>
          <w:szCs w:val="22"/>
        </w:rPr>
        <w:t xml:space="preserve"> and using market prices (</w:t>
      </w:r>
      <w:proofErr w:type="spellStart"/>
      <w:r w:rsidR="006B5307" w:rsidRPr="00546B8B">
        <w:rPr>
          <w:szCs w:val="22"/>
        </w:rPr>
        <w:t>Suwarno</w:t>
      </w:r>
      <w:proofErr w:type="spellEnd"/>
      <w:r w:rsidR="006B5307" w:rsidRPr="00546B8B">
        <w:rPr>
          <w:szCs w:val="22"/>
        </w:rPr>
        <w:t xml:space="preserve"> et al. 2016). T</w:t>
      </w:r>
      <w:r w:rsidR="001F2224" w:rsidRPr="00546B8B">
        <w:rPr>
          <w:szCs w:val="22"/>
        </w:rPr>
        <w:t>his study presents only the third CE</w:t>
      </w:r>
      <w:r w:rsidR="00010E03" w:rsidRPr="00546B8B">
        <w:rPr>
          <w:szCs w:val="22"/>
        </w:rPr>
        <w:t xml:space="preserve"> </w:t>
      </w:r>
      <w:r w:rsidR="001F2224" w:rsidRPr="00546B8B">
        <w:rPr>
          <w:szCs w:val="22"/>
        </w:rPr>
        <w:t xml:space="preserve">conducted among local Indonesian community members </w:t>
      </w:r>
      <w:r w:rsidR="00010E03" w:rsidRPr="00546B8B">
        <w:rPr>
          <w:szCs w:val="22"/>
        </w:rPr>
        <w:t xml:space="preserve">after </w:t>
      </w:r>
      <w:proofErr w:type="spellStart"/>
      <w:r w:rsidR="00010E03" w:rsidRPr="00546B8B">
        <w:rPr>
          <w:szCs w:val="22"/>
        </w:rPr>
        <w:t>Glenk</w:t>
      </w:r>
      <w:proofErr w:type="spellEnd"/>
      <w:r w:rsidR="00010E03" w:rsidRPr="00546B8B">
        <w:rPr>
          <w:szCs w:val="22"/>
        </w:rPr>
        <w:t xml:space="preserve"> et al. (2006) and </w:t>
      </w:r>
      <w:proofErr w:type="spellStart"/>
      <w:r w:rsidR="00010E03" w:rsidRPr="00546B8B">
        <w:rPr>
          <w:szCs w:val="22"/>
        </w:rPr>
        <w:t>Barkmann</w:t>
      </w:r>
      <w:proofErr w:type="spellEnd"/>
      <w:r w:rsidR="00010E03" w:rsidRPr="00546B8B">
        <w:rPr>
          <w:szCs w:val="22"/>
        </w:rPr>
        <w:t xml:space="preserve"> et al.</w:t>
      </w:r>
      <w:r w:rsidR="00010E03" w:rsidRPr="00546B8B">
        <w:rPr>
          <w:i/>
          <w:szCs w:val="22"/>
        </w:rPr>
        <w:t xml:space="preserve"> </w:t>
      </w:r>
      <w:r w:rsidR="00010E03" w:rsidRPr="00546B8B">
        <w:rPr>
          <w:szCs w:val="22"/>
        </w:rPr>
        <w:t xml:space="preserve">(2008) </w:t>
      </w:r>
      <w:r w:rsidR="001F2224" w:rsidRPr="00546B8B">
        <w:rPr>
          <w:szCs w:val="22"/>
        </w:rPr>
        <w:t>and it is unique in its focus on peatland restoration</w:t>
      </w:r>
      <w:r w:rsidR="006B5307" w:rsidRPr="00546B8B">
        <w:rPr>
          <w:szCs w:val="22"/>
        </w:rPr>
        <w:t xml:space="preserve"> on smallholder land</w:t>
      </w:r>
      <w:r w:rsidR="001F2224" w:rsidRPr="00546B8B">
        <w:rPr>
          <w:szCs w:val="22"/>
        </w:rPr>
        <w:t>.</w:t>
      </w:r>
    </w:p>
    <w:p w14:paraId="35C3A466" w14:textId="77777777" w:rsidR="00E00BEC" w:rsidRPr="00546B8B" w:rsidRDefault="00E00BEC" w:rsidP="00AF0C49">
      <w:pPr>
        <w:spacing w:after="120"/>
        <w:rPr>
          <w:szCs w:val="22"/>
        </w:rPr>
      </w:pPr>
    </w:p>
    <w:p w14:paraId="2D86AB5B" w14:textId="1835859A" w:rsidR="00B41F9A" w:rsidRPr="00546B8B" w:rsidRDefault="00B41F9A" w:rsidP="00497008">
      <w:pPr>
        <w:pStyle w:val="Heading2"/>
        <w:numPr>
          <w:ilvl w:val="0"/>
          <w:numId w:val="11"/>
        </w:numPr>
        <w:spacing w:after="120" w:line="240" w:lineRule="auto"/>
      </w:pPr>
      <w:r w:rsidRPr="00546B8B">
        <w:t>CASE STUDY SITE</w:t>
      </w:r>
    </w:p>
    <w:p w14:paraId="226894C8" w14:textId="53CED172" w:rsidR="00B41F9A" w:rsidRPr="00546B8B" w:rsidRDefault="00B41F9A" w:rsidP="00AF0C49">
      <w:pPr>
        <w:pStyle w:val="NormalJustified"/>
        <w:spacing w:after="120"/>
        <w:jc w:val="left"/>
      </w:pPr>
      <w:r w:rsidRPr="00546B8B">
        <w:t>The study took place in the Southern part of Central Kalimantan</w:t>
      </w:r>
      <w:r w:rsidR="00F6554C" w:rsidRPr="00546B8B">
        <w:t xml:space="preserve"> in Indonesia</w:t>
      </w:r>
      <w:r w:rsidRPr="00546B8B">
        <w:t>, which is one of the areas with the highest degree of peatland degradation in South-East Asia. The study</w:t>
      </w:r>
      <w:r w:rsidR="00F6554C" w:rsidRPr="00546B8B">
        <w:t xml:space="preserve"> </w:t>
      </w:r>
      <w:r w:rsidR="001012FB">
        <w:t>concentrated on</w:t>
      </w:r>
      <w:r w:rsidRPr="00546B8B">
        <w:t xml:space="preserve"> </w:t>
      </w:r>
      <w:r w:rsidR="00F6554C" w:rsidRPr="00546B8B">
        <w:t>the Central Kalimantan Peatland Project (CKPP), formed by a</w:t>
      </w:r>
      <w:r w:rsidR="00F6554C" w:rsidRPr="00546B8B">
        <w:rPr>
          <w:szCs w:val="22"/>
        </w:rPr>
        <w:t xml:space="preserve"> consortium of NGOs, </w:t>
      </w:r>
      <w:r w:rsidR="00F6554C" w:rsidRPr="00546B8B">
        <w:t>which ran from 2006 to 2008. CKPP worked in a specific area in Central Kalimantan to protect the remaining peat</w:t>
      </w:r>
      <w:r w:rsidR="001012FB">
        <w:t xml:space="preserve"> </w:t>
      </w:r>
      <w:r w:rsidR="00F6554C" w:rsidRPr="00546B8B">
        <w:t>swamp forests and restore the degraded peatlands (</w:t>
      </w:r>
      <w:hyperlink r:id="rId10" w:history="1">
        <w:r w:rsidR="00F6554C" w:rsidRPr="001E3755">
          <w:rPr>
            <w:rStyle w:val="Hyperlink"/>
            <w:color w:val="auto"/>
          </w:rPr>
          <w:t>http://ckpp.wetlands.org</w:t>
        </w:r>
      </w:hyperlink>
      <w:r w:rsidR="00F6554C" w:rsidRPr="001E3755">
        <w:t xml:space="preserve">). This CKPP area was part of </w:t>
      </w:r>
      <w:r w:rsidRPr="001E3755">
        <w:t xml:space="preserve">the </w:t>
      </w:r>
      <w:proofErr w:type="gramStart"/>
      <w:r w:rsidR="00F6554C" w:rsidRPr="001E3755">
        <w:t>one million hectare</w:t>
      </w:r>
      <w:proofErr w:type="gramEnd"/>
      <w:r w:rsidR="00F6554C" w:rsidRPr="001E3755">
        <w:t xml:space="preserve"> </w:t>
      </w:r>
      <w:r w:rsidRPr="001E3755">
        <w:t>Mega Rice Project area</w:t>
      </w:r>
      <w:r w:rsidR="00F6554C" w:rsidRPr="001E3755">
        <w:t xml:space="preserve">, </w:t>
      </w:r>
      <w:r w:rsidRPr="00676E98">
        <w:t>one of the few regions in the world covered with tropical peatlands. Little of the peat swamp forest remains and the degraded area is nowadays use</w:t>
      </w:r>
      <w:r w:rsidRPr="00546B8B">
        <w:t>d for agriculture, industrial plantations and settlements</w:t>
      </w:r>
      <w:r w:rsidR="00C22406">
        <w:t>,</w:t>
      </w:r>
      <w:r w:rsidRPr="00546B8B">
        <w:t xml:space="preserve"> or is left as fallow land. </w:t>
      </w:r>
    </w:p>
    <w:p w14:paraId="778F87E0" w14:textId="5F2AEA12" w:rsidR="00890742" w:rsidRPr="00546B8B" w:rsidRDefault="00B41F9A" w:rsidP="001425D1">
      <w:pPr>
        <w:pStyle w:val="NormalJustified"/>
        <w:spacing w:after="120"/>
        <w:jc w:val="left"/>
      </w:pPr>
      <w:r w:rsidRPr="00546B8B">
        <w:lastRenderedPageBreak/>
        <w:t xml:space="preserve">The </w:t>
      </w:r>
      <w:r w:rsidR="00F6554C" w:rsidRPr="00546B8B">
        <w:t>Mega Rice Project</w:t>
      </w:r>
      <w:r w:rsidRPr="00546B8B">
        <w:t xml:space="preserve">, initiated by the Indonesian </w:t>
      </w:r>
      <w:r w:rsidR="00E34786" w:rsidRPr="00546B8B">
        <w:t xml:space="preserve">government in 1995, converted an </w:t>
      </w:r>
      <w:r w:rsidRPr="00546B8B">
        <w:t>area of</w:t>
      </w:r>
      <w:r w:rsidR="00E34786" w:rsidRPr="00546B8B">
        <w:t xml:space="preserve"> more than </w:t>
      </w:r>
      <w:r w:rsidR="001012FB">
        <w:t>one</w:t>
      </w:r>
      <w:r w:rsidR="001012FB" w:rsidRPr="00546B8B">
        <w:t xml:space="preserve"> </w:t>
      </w:r>
      <w:r w:rsidR="00E34786" w:rsidRPr="00546B8B">
        <w:t>million ha of</w:t>
      </w:r>
      <w:r w:rsidRPr="00546B8B">
        <w:t xml:space="preserve"> peatland forest into rice fields. The drainage and irrigation canals that were constructed to irrigate the fields have led to systematic drainage of the peatland areas. As a result, the area is continuously suffering from river floods </w:t>
      </w:r>
      <w:r w:rsidR="00010E03" w:rsidRPr="00546B8B">
        <w:t>and, in combination with El Niñ</w:t>
      </w:r>
      <w:r w:rsidR="00E50FB2" w:rsidRPr="00546B8B">
        <w:t xml:space="preserve">o events, peatland fires </w:t>
      </w:r>
      <w:r w:rsidRPr="00546B8B">
        <w:t>(</w:t>
      </w:r>
      <w:proofErr w:type="spellStart"/>
      <w:r w:rsidR="00E50FB2" w:rsidRPr="00546B8B">
        <w:t>Galudra</w:t>
      </w:r>
      <w:proofErr w:type="spellEnd"/>
      <w:r w:rsidR="00E50FB2" w:rsidRPr="00546B8B">
        <w:t xml:space="preserve"> et al. 2011</w:t>
      </w:r>
      <w:r w:rsidR="00DF7507" w:rsidRPr="00546B8B">
        <w:t>, Wetland International 2007</w:t>
      </w:r>
      <w:r w:rsidRPr="00546B8B">
        <w:t xml:space="preserve">). </w:t>
      </w:r>
      <w:r w:rsidR="00890742" w:rsidRPr="00546B8B">
        <w:t>Peatland fires are a large re-occurring problem in Central Kalimantan</w:t>
      </w:r>
      <w:r w:rsidR="00EE63C7" w:rsidRPr="00546B8B">
        <w:t xml:space="preserve"> with </w:t>
      </w:r>
      <w:r w:rsidR="001012FB">
        <w:t xml:space="preserve">high </w:t>
      </w:r>
      <w:r w:rsidR="00EE63C7" w:rsidRPr="00546B8B">
        <w:t>costs at regional and global levels</w:t>
      </w:r>
      <w:r w:rsidR="001012FB">
        <w:t xml:space="preserve"> such as</w:t>
      </w:r>
      <w:r w:rsidR="00EE63C7" w:rsidRPr="00546B8B">
        <w:t xml:space="preserve"> </w:t>
      </w:r>
      <w:r w:rsidR="005E58C6" w:rsidRPr="00546B8B">
        <w:t xml:space="preserve">loss of biodiversity, </w:t>
      </w:r>
      <w:r w:rsidR="00EE63C7" w:rsidRPr="00546B8B">
        <w:t xml:space="preserve">forest </w:t>
      </w:r>
      <w:r w:rsidR="005E58C6" w:rsidRPr="00546B8B">
        <w:t>ecosystems and the associated ecosystem services,</w:t>
      </w:r>
      <w:r w:rsidR="00EE63C7" w:rsidRPr="00546B8B">
        <w:t xml:space="preserve"> </w:t>
      </w:r>
      <w:r w:rsidR="001012FB">
        <w:t xml:space="preserve">smoke-related </w:t>
      </w:r>
      <w:r w:rsidR="00EE63C7" w:rsidRPr="00546B8B">
        <w:t>(trans-)national</w:t>
      </w:r>
      <w:r w:rsidR="00890742" w:rsidRPr="00546B8B">
        <w:t xml:space="preserve"> health</w:t>
      </w:r>
      <w:r w:rsidR="006D3FD4" w:rsidRPr="00546B8B">
        <w:t xml:space="preserve"> </w:t>
      </w:r>
      <w:r w:rsidR="00890742" w:rsidRPr="00546B8B">
        <w:t xml:space="preserve">problems, </w:t>
      </w:r>
      <w:r w:rsidR="00EE63C7" w:rsidRPr="00546B8B">
        <w:t xml:space="preserve">and </w:t>
      </w:r>
      <w:r w:rsidR="00890742" w:rsidRPr="00546B8B">
        <w:t>large emissions of greenhouse gases (</w:t>
      </w:r>
      <w:r w:rsidR="007712C9" w:rsidRPr="00546B8B">
        <w:t>Page et al. 2009</w:t>
      </w:r>
      <w:r w:rsidR="00E11E3F" w:rsidRPr="00546B8B">
        <w:t xml:space="preserve">, </w:t>
      </w:r>
      <w:proofErr w:type="spellStart"/>
      <w:r w:rsidR="00E11E3F" w:rsidRPr="00546B8B">
        <w:t>Someshwar</w:t>
      </w:r>
      <w:proofErr w:type="spellEnd"/>
      <w:r w:rsidR="00E11E3F" w:rsidRPr="00546B8B">
        <w:t xml:space="preserve"> et al. 2011</w:t>
      </w:r>
      <w:r w:rsidR="00890742" w:rsidRPr="00546B8B">
        <w:t xml:space="preserve">). </w:t>
      </w:r>
      <w:r w:rsidR="001425D1" w:rsidRPr="00546B8B">
        <w:t>Palm oil expansion brings i</w:t>
      </w:r>
      <w:r w:rsidR="006B5307" w:rsidRPr="00546B8B">
        <w:t>n large short-term revenues</w:t>
      </w:r>
      <w:r w:rsidR="001012FB">
        <w:t xml:space="preserve"> but also</w:t>
      </w:r>
      <w:r w:rsidR="001425D1" w:rsidRPr="00546B8B">
        <w:t xml:space="preserve"> causes further deforestation</w:t>
      </w:r>
      <w:r w:rsidR="001012FB">
        <w:t xml:space="preserve">: </w:t>
      </w:r>
      <w:r w:rsidR="001425D1" w:rsidRPr="00546B8B">
        <w:t xml:space="preserve">the associated </w:t>
      </w:r>
      <w:r w:rsidR="008F5A12" w:rsidRPr="00546B8B">
        <w:t xml:space="preserve">social </w:t>
      </w:r>
      <w:r w:rsidR="001425D1" w:rsidRPr="00546B8B">
        <w:t>costs of CO</w:t>
      </w:r>
      <w:r w:rsidR="001425D1" w:rsidRPr="00546B8B">
        <w:rPr>
          <w:vertAlign w:val="subscript"/>
        </w:rPr>
        <w:t>2</w:t>
      </w:r>
      <w:r w:rsidR="001425D1" w:rsidRPr="00546B8B">
        <w:t xml:space="preserve"> emissions and biodiversity loss outweigh the benefits of palm oil (</w:t>
      </w:r>
      <w:r w:rsidR="008F5A12" w:rsidRPr="00546B8B">
        <w:t xml:space="preserve">Naidoo et al. 2009, </w:t>
      </w:r>
      <w:proofErr w:type="spellStart"/>
      <w:r w:rsidR="001425D1" w:rsidRPr="00546B8B">
        <w:t>Sumarga</w:t>
      </w:r>
      <w:proofErr w:type="spellEnd"/>
      <w:r w:rsidR="001425D1" w:rsidRPr="00546B8B">
        <w:t xml:space="preserve"> and Hein 2016</w:t>
      </w:r>
      <w:r w:rsidR="008F5A12" w:rsidRPr="00546B8B">
        <w:t>, but see Fisher et al. 2011)</w:t>
      </w:r>
      <w:r w:rsidR="001425D1" w:rsidRPr="00546B8B">
        <w:t xml:space="preserve">. </w:t>
      </w:r>
    </w:p>
    <w:p w14:paraId="21208484" w14:textId="14FE2952" w:rsidR="00B41F9A" w:rsidRPr="001E3755" w:rsidRDefault="001425D1" w:rsidP="001E3755">
      <w:pPr>
        <w:autoSpaceDE w:val="0"/>
        <w:autoSpaceDN w:val="0"/>
        <w:adjustRightInd w:val="0"/>
        <w:spacing w:after="120"/>
        <w:rPr>
          <w:rFonts w:eastAsiaTheme="minorHAnsi"/>
          <w:sz w:val="23"/>
          <w:szCs w:val="23"/>
          <w:lang w:val="en-US" w:eastAsia="en-US"/>
        </w:rPr>
      </w:pPr>
      <w:r w:rsidRPr="001E3755">
        <w:t>The floods and fires, in combination</w:t>
      </w:r>
      <w:r w:rsidR="00B41F9A" w:rsidRPr="001E3755">
        <w:t xml:space="preserve"> with unfavourable agricultural conditions of peatland soil, contribute to levels of poverty that are </w:t>
      </w:r>
      <w:r w:rsidR="00010E03" w:rsidRPr="001E3755">
        <w:t>two</w:t>
      </w:r>
      <w:r w:rsidR="00B41F9A" w:rsidRPr="001E3755">
        <w:t xml:space="preserve"> to </w:t>
      </w:r>
      <w:r w:rsidR="00010E03" w:rsidRPr="001E3755">
        <w:t>four</w:t>
      </w:r>
      <w:r w:rsidR="00B41F9A" w:rsidRPr="001E3755">
        <w:t xml:space="preserve"> times higher than in the rest of Indonesia (Wetlands International 2007).</w:t>
      </w:r>
      <w:r w:rsidR="006B5307" w:rsidRPr="001E3755">
        <w:t xml:space="preserve"> </w:t>
      </w:r>
      <w:r w:rsidR="00B41F9A" w:rsidRPr="001E3755">
        <w:t>A</w:t>
      </w:r>
      <w:r w:rsidR="00B41F9A" w:rsidRPr="001E3755">
        <w:rPr>
          <w:rFonts w:eastAsia="MS Mincho"/>
        </w:rPr>
        <w:t xml:space="preserve">griculture is still the most important source of income for </w:t>
      </w:r>
      <w:proofErr w:type="gramStart"/>
      <w:r w:rsidR="00B41F9A" w:rsidRPr="001E3755">
        <w:rPr>
          <w:rFonts w:eastAsia="MS Mincho"/>
        </w:rPr>
        <w:t>the majority of</w:t>
      </w:r>
      <w:proofErr w:type="gramEnd"/>
      <w:r w:rsidR="00B41F9A" w:rsidRPr="001E3755">
        <w:rPr>
          <w:rFonts w:eastAsia="MS Mincho"/>
        </w:rPr>
        <w:t xml:space="preserve"> local communities (</w:t>
      </w:r>
      <w:proofErr w:type="spellStart"/>
      <w:r w:rsidR="00B41F9A" w:rsidRPr="001E3755">
        <w:rPr>
          <w:rFonts w:eastAsia="MS Mincho"/>
        </w:rPr>
        <w:t>Wiken</w:t>
      </w:r>
      <w:proofErr w:type="spellEnd"/>
      <w:r w:rsidR="00B41F9A" w:rsidRPr="001E3755">
        <w:rPr>
          <w:rFonts w:eastAsia="MS Mincho"/>
        </w:rPr>
        <w:t xml:space="preserve"> et al. 2004). </w:t>
      </w:r>
      <w:r w:rsidR="00B41F9A" w:rsidRPr="001E3755">
        <w:t xml:space="preserve">Compared to other areas of Indonesia, Central Kalimantan is not densely populated. Besides indigenous Dayak communities, there are communities of </w:t>
      </w:r>
      <w:proofErr w:type="spellStart"/>
      <w:r w:rsidR="00B41F9A" w:rsidRPr="001E3755">
        <w:t>transmigrants</w:t>
      </w:r>
      <w:proofErr w:type="spellEnd"/>
      <w:r w:rsidR="00B41F9A" w:rsidRPr="001E3755">
        <w:t xml:space="preserve"> from other islands or other areas of Kalimantan, who were resettled as part of Indonesian transmigration programs or invited to help </w:t>
      </w:r>
      <w:r w:rsidR="00F6554C" w:rsidRPr="001E3755">
        <w:t>with the</w:t>
      </w:r>
      <w:r w:rsidR="00B41F9A" w:rsidRPr="001E3755">
        <w:t xml:space="preserve"> </w:t>
      </w:r>
      <w:r w:rsidR="00F6554C" w:rsidRPr="001E3755">
        <w:t xml:space="preserve">Mega Rice Project </w:t>
      </w:r>
      <w:r w:rsidR="00890742" w:rsidRPr="001E3755">
        <w:t>(</w:t>
      </w:r>
      <w:proofErr w:type="spellStart"/>
      <w:r w:rsidR="00890742" w:rsidRPr="001E3755">
        <w:t>Galudra</w:t>
      </w:r>
      <w:proofErr w:type="spellEnd"/>
      <w:r w:rsidR="00890742" w:rsidRPr="001E3755">
        <w:t xml:space="preserve"> et al. 2011)</w:t>
      </w:r>
      <w:r w:rsidR="00B41F9A" w:rsidRPr="001E3755">
        <w:t xml:space="preserve">. Transmigration has resulted in additional pressure on the limited natural resources and conflicts over land </w:t>
      </w:r>
      <w:r w:rsidR="00890742" w:rsidRPr="001E3755">
        <w:t xml:space="preserve">rights and </w:t>
      </w:r>
      <w:r w:rsidR="005043B9" w:rsidRPr="001E3755">
        <w:t>uses.</w:t>
      </w:r>
      <w:r w:rsidR="00175E6F" w:rsidRPr="001E3755">
        <w:t xml:space="preserve"> </w:t>
      </w:r>
      <w:r w:rsidR="00175E6F" w:rsidRPr="001E3755">
        <w:rPr>
          <w:rFonts w:eastAsiaTheme="minorHAnsi"/>
          <w:sz w:val="23"/>
          <w:szCs w:val="23"/>
          <w:lang w:val="en-US" w:eastAsia="en-US"/>
        </w:rPr>
        <w:t xml:space="preserve">The </w:t>
      </w:r>
      <w:r w:rsidR="001012FB">
        <w:rPr>
          <w:rFonts w:eastAsiaTheme="minorHAnsi"/>
          <w:sz w:val="23"/>
          <w:szCs w:val="23"/>
          <w:lang w:val="en-US" w:eastAsia="en-US"/>
        </w:rPr>
        <w:t>limited</w:t>
      </w:r>
      <w:r w:rsidR="001012FB" w:rsidRPr="001E3755">
        <w:rPr>
          <w:rFonts w:eastAsiaTheme="minorHAnsi"/>
          <w:sz w:val="23"/>
          <w:szCs w:val="23"/>
          <w:lang w:val="en-US" w:eastAsia="en-US"/>
        </w:rPr>
        <w:t xml:space="preserve"> </w:t>
      </w:r>
      <w:r w:rsidR="00175E6F" w:rsidRPr="001E3755">
        <w:rPr>
          <w:rFonts w:eastAsiaTheme="minorHAnsi"/>
          <w:sz w:val="23"/>
          <w:szCs w:val="23"/>
          <w:lang w:val="en-US" w:eastAsia="en-US"/>
        </w:rPr>
        <w:t>governmental support</w:t>
      </w:r>
      <w:r w:rsidR="00613F2A" w:rsidRPr="001E3755">
        <w:rPr>
          <w:rFonts w:eastAsiaTheme="minorHAnsi"/>
          <w:sz w:val="23"/>
          <w:szCs w:val="23"/>
          <w:lang w:val="en-US" w:eastAsia="en-US"/>
        </w:rPr>
        <w:t xml:space="preserve"> </w:t>
      </w:r>
      <w:r w:rsidR="00175E6F" w:rsidRPr="001E3755">
        <w:rPr>
          <w:rFonts w:eastAsiaTheme="minorHAnsi"/>
          <w:sz w:val="23"/>
          <w:szCs w:val="23"/>
          <w:lang w:val="en-US" w:eastAsia="en-US"/>
        </w:rPr>
        <w:t xml:space="preserve">for indigenous communities and traditional land use practices </w:t>
      </w:r>
      <w:r w:rsidR="001012FB">
        <w:rPr>
          <w:rFonts w:eastAsiaTheme="minorHAnsi"/>
          <w:sz w:val="23"/>
          <w:szCs w:val="23"/>
          <w:lang w:val="en-US" w:eastAsia="en-US"/>
        </w:rPr>
        <w:t xml:space="preserve">contrasts with </w:t>
      </w:r>
      <w:r w:rsidR="00175E6F" w:rsidRPr="001E3755">
        <w:rPr>
          <w:rFonts w:eastAsiaTheme="minorHAnsi"/>
          <w:sz w:val="23"/>
          <w:szCs w:val="23"/>
          <w:lang w:val="en-US" w:eastAsia="en-US"/>
        </w:rPr>
        <w:t xml:space="preserve">the benefits received by </w:t>
      </w:r>
      <w:proofErr w:type="spellStart"/>
      <w:r w:rsidR="00175E6F" w:rsidRPr="001E3755">
        <w:rPr>
          <w:rFonts w:eastAsiaTheme="minorHAnsi"/>
          <w:sz w:val="23"/>
          <w:szCs w:val="23"/>
          <w:lang w:val="en-US" w:eastAsia="en-US"/>
        </w:rPr>
        <w:t>transmigrants</w:t>
      </w:r>
      <w:proofErr w:type="spellEnd"/>
      <w:r w:rsidR="000E6553">
        <w:rPr>
          <w:rFonts w:eastAsiaTheme="minorHAnsi"/>
          <w:sz w:val="23"/>
          <w:szCs w:val="23"/>
          <w:lang w:val="en-US" w:eastAsia="en-US"/>
        </w:rPr>
        <w:t>. This difference</w:t>
      </w:r>
      <w:r w:rsidR="009621DC">
        <w:rPr>
          <w:rFonts w:eastAsiaTheme="minorHAnsi"/>
          <w:sz w:val="23"/>
          <w:szCs w:val="23"/>
          <w:lang w:val="en-US" w:eastAsia="en-US"/>
        </w:rPr>
        <w:t xml:space="preserve"> </w:t>
      </w:r>
      <w:r w:rsidR="00175E6F" w:rsidRPr="001E3755">
        <w:rPr>
          <w:rFonts w:eastAsiaTheme="minorHAnsi"/>
          <w:sz w:val="23"/>
          <w:szCs w:val="23"/>
          <w:lang w:val="en-US" w:eastAsia="en-US"/>
        </w:rPr>
        <w:t>has led to social unrest and even violence.</w:t>
      </w:r>
    </w:p>
    <w:p w14:paraId="229B07AE" w14:textId="69BD7597" w:rsidR="006A1951" w:rsidRPr="00546B8B" w:rsidRDefault="00B41F9A">
      <w:pPr>
        <w:pStyle w:val="NormalJustified"/>
        <w:spacing w:after="120"/>
        <w:jc w:val="left"/>
      </w:pPr>
      <w:r w:rsidRPr="001E3755">
        <w:t xml:space="preserve">Our </w:t>
      </w:r>
      <w:r w:rsidR="00F6554C" w:rsidRPr="001E3755">
        <w:t xml:space="preserve">study </w:t>
      </w:r>
      <w:r w:rsidRPr="001E3755">
        <w:t>focuse</w:t>
      </w:r>
      <w:r w:rsidR="00F6554C" w:rsidRPr="00676E98">
        <w:t>d</w:t>
      </w:r>
      <w:r w:rsidRPr="00676E98">
        <w:t xml:space="preserve"> on the ban on fire issued in 2007 by the government of Central Kalimantan whi</w:t>
      </w:r>
      <w:r w:rsidR="008B57FC">
        <w:t>ch entirely forbade</w:t>
      </w:r>
      <w:r w:rsidRPr="00546B8B">
        <w:t xml:space="preserve"> the use of fire in agricultural practices </w:t>
      </w:r>
      <w:r w:rsidR="00F6554C" w:rsidRPr="00546B8B">
        <w:t>to</w:t>
      </w:r>
      <w:r w:rsidRPr="00546B8B">
        <w:t xml:space="preserve"> combat peatland fires. This ban had serious negative consequences</w:t>
      </w:r>
      <w:r w:rsidR="00AF1345" w:rsidRPr="00546B8B">
        <w:t xml:space="preserve"> for farmers in the region, as burning</w:t>
      </w:r>
      <w:r w:rsidRPr="00546B8B">
        <w:t xml:space="preserve"> the top layer of peat is the tradition</w:t>
      </w:r>
      <w:r w:rsidR="008B57FC">
        <w:t>al</w:t>
      </w:r>
      <w:r w:rsidRPr="00546B8B">
        <w:t xml:space="preserve"> method for clearing land, producing fertilizers and increasing the </w:t>
      </w:r>
      <w:r w:rsidR="000E6553">
        <w:t>pH</w:t>
      </w:r>
      <w:r w:rsidRPr="00546B8B">
        <w:t xml:space="preserve"> level. Burning is also used to claim ownership of land. </w:t>
      </w:r>
      <w:r w:rsidR="00D56AA0" w:rsidRPr="00546B8B">
        <w:t>To restore the hydrology and ecology of the peat areas, projects have been set up to build dams that block canals (</w:t>
      </w:r>
      <w:proofErr w:type="spellStart"/>
      <w:r w:rsidR="00D56AA0" w:rsidRPr="00546B8B">
        <w:t>Jaenicke</w:t>
      </w:r>
      <w:proofErr w:type="spellEnd"/>
      <w:r w:rsidR="00D56AA0" w:rsidRPr="00546B8B">
        <w:t xml:space="preserve"> et al. 2011), helping to ‘rewet’ peatland, re-establish vegetation, reduce fire risks, and increase carbon storage.</w:t>
      </w:r>
    </w:p>
    <w:p w14:paraId="5ED515DD" w14:textId="7939FF19" w:rsidR="0077519C" w:rsidRPr="00546B8B" w:rsidRDefault="000E6553" w:rsidP="00AF0C49">
      <w:pPr>
        <w:pStyle w:val="NormalJustified"/>
        <w:spacing w:after="120"/>
        <w:jc w:val="left"/>
      </w:pPr>
      <w:r>
        <w:t>T</w:t>
      </w:r>
      <w:r w:rsidR="00F6554C" w:rsidRPr="00546B8B">
        <w:t>his study</w:t>
      </w:r>
      <w:r>
        <w:t xml:space="preserve"> </w:t>
      </w:r>
      <w:r w:rsidR="006A1951" w:rsidRPr="00546B8B">
        <w:t>aim</w:t>
      </w:r>
      <w:r w:rsidR="00F6554C" w:rsidRPr="00546B8B">
        <w:t xml:space="preserve">ed to </w:t>
      </w:r>
      <w:r>
        <w:t xml:space="preserve">increase CKPP’s </w:t>
      </w:r>
      <w:r w:rsidR="00F6554C" w:rsidRPr="00546B8B">
        <w:t>understand</w:t>
      </w:r>
      <w:r>
        <w:t>ing of</w:t>
      </w:r>
      <w:r w:rsidR="00F6554C" w:rsidRPr="00546B8B">
        <w:t xml:space="preserve"> </w:t>
      </w:r>
      <w:r w:rsidR="006A1951" w:rsidRPr="00546B8B">
        <w:t xml:space="preserve">the feasibility of </w:t>
      </w:r>
      <w:r>
        <w:t xml:space="preserve">various </w:t>
      </w:r>
      <w:r w:rsidR="0077519C" w:rsidRPr="00546B8B">
        <w:t xml:space="preserve">farmer-led </w:t>
      </w:r>
      <w:r w:rsidR="001B77BA">
        <w:t>tree-planting</w:t>
      </w:r>
      <w:r w:rsidR="001B77BA" w:rsidRPr="00546B8B">
        <w:t xml:space="preserve"> </w:t>
      </w:r>
      <w:r w:rsidR="0077519C" w:rsidRPr="00546B8B">
        <w:t>projects</w:t>
      </w:r>
      <w:r w:rsidR="002D215B" w:rsidRPr="001E3755">
        <w:rPr>
          <w:szCs w:val="22"/>
        </w:rPr>
        <w:t>. In these projects,</w:t>
      </w:r>
      <w:r w:rsidR="006A1951" w:rsidRPr="001E3755">
        <w:t xml:space="preserve"> local farmers</w:t>
      </w:r>
      <w:r w:rsidR="002D215B" w:rsidRPr="001E3755">
        <w:t xml:space="preserve"> would</w:t>
      </w:r>
      <w:r w:rsidR="006A1951" w:rsidRPr="001E3755">
        <w:t xml:space="preserve"> </w:t>
      </w:r>
      <w:r w:rsidR="001B77BA">
        <w:t>plant trees on</w:t>
      </w:r>
      <w:r w:rsidR="001B77BA" w:rsidRPr="001E3755">
        <w:t xml:space="preserve"> </w:t>
      </w:r>
      <w:r w:rsidR="006A1951" w:rsidRPr="001E3755">
        <w:t xml:space="preserve">their </w:t>
      </w:r>
      <w:r w:rsidR="0077519C" w:rsidRPr="001E3755">
        <w:t>own plots</w:t>
      </w:r>
      <w:r w:rsidR="006A1951" w:rsidRPr="001E3755">
        <w:t xml:space="preserve">, </w:t>
      </w:r>
      <w:r w:rsidR="0077519C" w:rsidRPr="001E3755">
        <w:t>as o</w:t>
      </w:r>
      <w:r w:rsidR="006A1951" w:rsidRPr="001E3755">
        <w:t xml:space="preserve">pposed to large-scale </w:t>
      </w:r>
      <w:r w:rsidR="0077519C" w:rsidRPr="001E3755">
        <w:t xml:space="preserve">government-led </w:t>
      </w:r>
      <w:r w:rsidR="006A1951" w:rsidRPr="001E3755">
        <w:t>projects. Farmer-</w:t>
      </w:r>
      <w:r w:rsidR="0077519C" w:rsidRPr="001E3755">
        <w:t>led</w:t>
      </w:r>
      <w:r w:rsidR="006A1951" w:rsidRPr="001E3755">
        <w:t xml:space="preserve"> restoration projects impose costs on farmers, such as the investment in tree seedlings</w:t>
      </w:r>
      <w:r w:rsidR="008B57FC">
        <w:t xml:space="preserve"> and</w:t>
      </w:r>
      <w:r w:rsidR="0077519C" w:rsidRPr="001E3755">
        <w:t xml:space="preserve"> fire-free</w:t>
      </w:r>
      <w:r w:rsidR="006A1951" w:rsidRPr="001E3755">
        <w:t xml:space="preserve"> land clearing methods</w:t>
      </w:r>
      <w:r w:rsidR="0077519C" w:rsidRPr="00676E98">
        <w:t>. Therefore, some form of actual</w:t>
      </w:r>
      <w:r w:rsidR="006A1951" w:rsidRPr="00676E98">
        <w:t xml:space="preserve"> compensation </w:t>
      </w:r>
      <w:r w:rsidR="0077519C" w:rsidRPr="00676E98">
        <w:t>may be needed</w:t>
      </w:r>
      <w:r w:rsidR="006A1951" w:rsidRPr="00546B8B">
        <w:t xml:space="preserve">. </w:t>
      </w:r>
      <w:r w:rsidR="0077519C" w:rsidRPr="00546B8B">
        <w:t xml:space="preserve">Benefits of </w:t>
      </w:r>
      <w:r w:rsidR="001B77BA">
        <w:t>tree-planting</w:t>
      </w:r>
      <w:r w:rsidR="001B77BA" w:rsidRPr="00546B8B">
        <w:t xml:space="preserve"> </w:t>
      </w:r>
      <w:r w:rsidR="006A1951" w:rsidRPr="00546B8B">
        <w:t>and mitigation of peatland fires in terms of health risk reduction, flood risk mitigation and biodiversity conservation</w:t>
      </w:r>
      <w:r w:rsidR="0077519C" w:rsidRPr="00546B8B">
        <w:t xml:space="preserve"> are enjoyed by the global community. An argument could be made for a payment mechanism funded by this</w:t>
      </w:r>
      <w:r w:rsidR="006A1951" w:rsidRPr="00546B8B">
        <w:t xml:space="preserve"> </w:t>
      </w:r>
      <w:r w:rsidR="0077519C" w:rsidRPr="00546B8B">
        <w:t>wide</w:t>
      </w:r>
      <w:r w:rsidR="006A1951" w:rsidRPr="00546B8B">
        <w:t xml:space="preserve">r community </w:t>
      </w:r>
      <w:r w:rsidR="0077519C" w:rsidRPr="00546B8B">
        <w:t>paid</w:t>
      </w:r>
      <w:r w:rsidR="006A1951" w:rsidRPr="00546B8B">
        <w:t xml:space="preserve"> to local farmers as an incentive to change their current la</w:t>
      </w:r>
      <w:r w:rsidR="008B57FC">
        <w:t xml:space="preserve">nd </w:t>
      </w:r>
      <w:r w:rsidR="006A1951" w:rsidRPr="00546B8B">
        <w:t xml:space="preserve">use. </w:t>
      </w:r>
      <w:r w:rsidR="00EC08AD" w:rsidRPr="00546B8B">
        <w:t>However, changing land use has major implications for local livelihoods. T</w:t>
      </w:r>
      <w:r w:rsidR="0077519C" w:rsidRPr="00546B8B">
        <w:t xml:space="preserve">he objective </w:t>
      </w:r>
      <w:r w:rsidR="00EC08AD" w:rsidRPr="00546B8B">
        <w:t>of this study</w:t>
      </w:r>
      <w:r w:rsidR="008B57FC">
        <w:t xml:space="preserve"> wa</w:t>
      </w:r>
      <w:r w:rsidR="0077519C" w:rsidRPr="00546B8B">
        <w:t xml:space="preserve">s to </w:t>
      </w:r>
      <w:r w:rsidR="00D56AA0" w:rsidRPr="00546B8B">
        <w:t>assess preferences among local community members</w:t>
      </w:r>
      <w:r w:rsidR="0077519C" w:rsidRPr="00546B8B">
        <w:t xml:space="preserve"> in Central Kalimantan </w:t>
      </w:r>
      <w:r w:rsidR="00D56AA0" w:rsidRPr="00546B8B">
        <w:t>towards peatland restoration,</w:t>
      </w:r>
      <w:r w:rsidR="0077519C" w:rsidRPr="00546B8B">
        <w:t xml:space="preserve"> and to determine their willingness to participate in </w:t>
      </w:r>
      <w:r w:rsidR="00D56AA0" w:rsidRPr="00546B8B">
        <w:t>farmer-led restoration</w:t>
      </w:r>
      <w:r w:rsidR="0077519C" w:rsidRPr="00546B8B">
        <w:t xml:space="preserve"> programs.</w:t>
      </w:r>
    </w:p>
    <w:p w14:paraId="5885337E" w14:textId="77777777" w:rsidR="00B41F9A" w:rsidRPr="00546B8B" w:rsidRDefault="00B41F9A" w:rsidP="00AF0C49">
      <w:pPr>
        <w:spacing w:after="120"/>
        <w:rPr>
          <w:szCs w:val="22"/>
        </w:rPr>
      </w:pPr>
    </w:p>
    <w:p w14:paraId="09153CB2" w14:textId="54A2AB2B" w:rsidR="00E00BEC" w:rsidRPr="00546B8B" w:rsidRDefault="00B41F9A" w:rsidP="00AF0C49">
      <w:pPr>
        <w:spacing w:after="120"/>
        <w:rPr>
          <w:b/>
          <w:szCs w:val="22"/>
        </w:rPr>
      </w:pPr>
      <w:r w:rsidRPr="00546B8B">
        <w:rPr>
          <w:b/>
          <w:szCs w:val="22"/>
        </w:rPr>
        <w:t>3</w:t>
      </w:r>
      <w:r w:rsidR="00497008" w:rsidRPr="00546B8B">
        <w:rPr>
          <w:b/>
          <w:szCs w:val="22"/>
        </w:rPr>
        <w:t xml:space="preserve">. </w:t>
      </w:r>
      <w:r w:rsidR="00E00BEC" w:rsidRPr="00546B8B">
        <w:rPr>
          <w:b/>
          <w:szCs w:val="22"/>
        </w:rPr>
        <w:t>METHODS</w:t>
      </w:r>
    </w:p>
    <w:p w14:paraId="0EC63CED" w14:textId="29ADCBDC" w:rsidR="00B41F9A" w:rsidRPr="00546B8B" w:rsidRDefault="00B41F9A" w:rsidP="00AF0C49">
      <w:pPr>
        <w:spacing w:after="120"/>
        <w:rPr>
          <w:b/>
          <w:szCs w:val="22"/>
        </w:rPr>
      </w:pPr>
      <w:r w:rsidRPr="00546B8B">
        <w:rPr>
          <w:b/>
          <w:szCs w:val="22"/>
        </w:rPr>
        <w:lastRenderedPageBreak/>
        <w:t xml:space="preserve">3.1 </w:t>
      </w:r>
      <w:r w:rsidR="007502E5">
        <w:rPr>
          <w:b/>
          <w:szCs w:val="22"/>
        </w:rPr>
        <w:t xml:space="preserve">Design of </w:t>
      </w:r>
      <w:r w:rsidRPr="00546B8B">
        <w:rPr>
          <w:b/>
          <w:szCs w:val="22"/>
        </w:rPr>
        <w:t>Choice Experiment</w:t>
      </w:r>
    </w:p>
    <w:p w14:paraId="661C15C7" w14:textId="02887397" w:rsidR="00E00BEC" w:rsidRPr="00546B8B" w:rsidRDefault="008B57FC" w:rsidP="00AF0C49">
      <w:pPr>
        <w:spacing w:after="120"/>
        <w:rPr>
          <w:szCs w:val="22"/>
        </w:rPr>
      </w:pPr>
      <w:r>
        <w:rPr>
          <w:szCs w:val="22"/>
        </w:rPr>
        <w:t>CEs</w:t>
      </w:r>
      <w:r w:rsidR="00E00BEC" w:rsidRPr="00546B8B">
        <w:rPr>
          <w:szCs w:val="22"/>
        </w:rPr>
        <w:t xml:space="preserve"> are a SP technique to elicit respondents’ preferences in terms of the costs and benefits they expect to attain from different attributes of hypothetical profiles. CEs are based on random utility theory (</w:t>
      </w:r>
      <w:proofErr w:type="spellStart"/>
      <w:r w:rsidR="00E130AF" w:rsidRPr="00546B8B">
        <w:rPr>
          <w:szCs w:val="22"/>
        </w:rPr>
        <w:t>Manski</w:t>
      </w:r>
      <w:proofErr w:type="spellEnd"/>
      <w:r w:rsidR="00E00BEC" w:rsidRPr="00546B8B">
        <w:rPr>
          <w:szCs w:val="22"/>
        </w:rPr>
        <w:t xml:space="preserve"> 1977) and draw on Lancaster’s attribute-based </w:t>
      </w:r>
      <w:r w:rsidR="00E130AF" w:rsidRPr="00546B8B">
        <w:rPr>
          <w:szCs w:val="22"/>
        </w:rPr>
        <w:t>utility theory (Lancaster</w:t>
      </w:r>
      <w:r w:rsidR="00E00BEC" w:rsidRPr="00546B8B">
        <w:rPr>
          <w:szCs w:val="22"/>
        </w:rPr>
        <w:t xml:space="preserve"> 1966). In a CE, respondents are asked to choose their preferred alternative from different hypothetical bundles of goods, which are described in terms of their characteristics (attributes), including a monetary attribute (Hanley et al. 1998). The inclusion of a monetary indicator among the attributes allows for the estimation of the value in monetary terms of each of these attributes, which can for instance represent different aspects of a policy programme.</w:t>
      </w:r>
    </w:p>
    <w:p w14:paraId="5E7C70A5" w14:textId="62C45558" w:rsidR="00B41F9A" w:rsidRPr="00546B8B" w:rsidRDefault="00B41F9A" w:rsidP="00B41F9A">
      <w:pPr>
        <w:spacing w:after="200"/>
        <w:rPr>
          <w:szCs w:val="22"/>
        </w:rPr>
      </w:pPr>
      <w:r w:rsidRPr="00546B8B">
        <w:rPr>
          <w:szCs w:val="22"/>
        </w:rPr>
        <w:t>One of the main reliability problems of environmental valuation SP studies arises when respondents are unfamiliar with ecosystems</w:t>
      </w:r>
      <w:r w:rsidR="008B57FC">
        <w:rPr>
          <w:szCs w:val="22"/>
        </w:rPr>
        <w:t xml:space="preserve"> or</w:t>
      </w:r>
      <w:r w:rsidRPr="00546B8B">
        <w:rPr>
          <w:szCs w:val="22"/>
        </w:rPr>
        <w:t xml:space="preserve"> the goods and services they provide</w:t>
      </w:r>
      <w:r w:rsidR="000E6553">
        <w:rPr>
          <w:szCs w:val="22"/>
        </w:rPr>
        <w:t>,</w:t>
      </w:r>
      <w:r w:rsidRPr="00546B8B">
        <w:rPr>
          <w:szCs w:val="22"/>
        </w:rPr>
        <w:t xml:space="preserve"> or</w:t>
      </w:r>
      <w:r w:rsidR="000E6553">
        <w:rPr>
          <w:szCs w:val="22"/>
        </w:rPr>
        <w:t xml:space="preserve"> when they are</w:t>
      </w:r>
      <w:r w:rsidRPr="00546B8B">
        <w:rPr>
          <w:szCs w:val="22"/>
        </w:rPr>
        <w:t xml:space="preserve"> unaware of the environmental problems as discussed in the </w:t>
      </w:r>
      <w:r w:rsidR="000E6553">
        <w:rPr>
          <w:szCs w:val="22"/>
        </w:rPr>
        <w:t>valuation study</w:t>
      </w:r>
      <w:r w:rsidRPr="00546B8B">
        <w:rPr>
          <w:szCs w:val="22"/>
        </w:rPr>
        <w:t>. Unfamiliarity with the ecosystem under valuation can result in biases in WTP estimates, primarily information biases resulting from inaccurate or imprecise scenario description in the survey and misspecification biases from the respondent’s side if the presented information is not fully understood (</w:t>
      </w:r>
      <w:proofErr w:type="spellStart"/>
      <w:r w:rsidRPr="00546B8B">
        <w:rPr>
          <w:szCs w:val="22"/>
        </w:rPr>
        <w:t>Barkmann</w:t>
      </w:r>
      <w:proofErr w:type="spellEnd"/>
      <w:r w:rsidRPr="00546B8B">
        <w:rPr>
          <w:szCs w:val="22"/>
        </w:rPr>
        <w:t xml:space="preserve"> et al</w:t>
      </w:r>
      <w:r w:rsidR="00E130AF" w:rsidRPr="00546B8B">
        <w:rPr>
          <w:szCs w:val="22"/>
        </w:rPr>
        <w:t>. 2008, Nunes and Van den Bergh</w:t>
      </w:r>
      <w:r w:rsidR="001055DB" w:rsidRPr="00546B8B">
        <w:rPr>
          <w:szCs w:val="22"/>
        </w:rPr>
        <w:t xml:space="preserve"> 2001). Local health benefits or the effects of new land use techniques on hydrology and yield are examples of unfamiliar goods and services that may be relevant in this case study.</w:t>
      </w:r>
    </w:p>
    <w:p w14:paraId="2F1D46BF" w14:textId="03A11411" w:rsidR="00265F29" w:rsidRPr="00546B8B" w:rsidRDefault="00265F29" w:rsidP="00E130AF">
      <w:pPr>
        <w:spacing w:after="200"/>
        <w:rPr>
          <w:szCs w:val="22"/>
        </w:rPr>
      </w:pPr>
      <w:r w:rsidRPr="00546B8B">
        <w:rPr>
          <w:szCs w:val="22"/>
        </w:rPr>
        <w:t>SP v</w:t>
      </w:r>
      <w:r w:rsidR="00E00BEC" w:rsidRPr="00546B8B">
        <w:rPr>
          <w:szCs w:val="22"/>
        </w:rPr>
        <w:t xml:space="preserve">aluation studies in </w:t>
      </w:r>
      <w:r w:rsidR="007A0AEE">
        <w:rPr>
          <w:szCs w:val="22"/>
        </w:rPr>
        <w:t>low-income</w:t>
      </w:r>
      <w:r w:rsidR="007A0AEE" w:rsidRPr="00546B8B">
        <w:rPr>
          <w:szCs w:val="22"/>
        </w:rPr>
        <w:t xml:space="preserve"> </w:t>
      </w:r>
      <w:r w:rsidR="00E00BEC" w:rsidRPr="00546B8B">
        <w:rPr>
          <w:szCs w:val="22"/>
        </w:rPr>
        <w:t>countries</w:t>
      </w:r>
      <w:r w:rsidRPr="00546B8B">
        <w:rPr>
          <w:szCs w:val="22"/>
        </w:rPr>
        <w:t xml:space="preserve"> are</w:t>
      </w:r>
      <w:r w:rsidR="00E00BEC" w:rsidRPr="00546B8B">
        <w:rPr>
          <w:szCs w:val="22"/>
        </w:rPr>
        <w:t xml:space="preserve"> </w:t>
      </w:r>
      <w:r w:rsidRPr="00546B8B">
        <w:rPr>
          <w:szCs w:val="22"/>
        </w:rPr>
        <w:t>typically chara</w:t>
      </w:r>
      <w:r w:rsidR="00B14FB5" w:rsidRPr="00546B8B">
        <w:rPr>
          <w:szCs w:val="22"/>
        </w:rPr>
        <w:t>cterised by high response rates</w:t>
      </w:r>
      <w:r w:rsidRPr="00546B8B">
        <w:rPr>
          <w:szCs w:val="22"/>
        </w:rPr>
        <w:t xml:space="preserve"> and low costs per </w:t>
      </w:r>
      <w:r w:rsidR="00E130AF" w:rsidRPr="00546B8B">
        <w:rPr>
          <w:szCs w:val="22"/>
        </w:rPr>
        <w:t>interview (Whittington</w:t>
      </w:r>
      <w:r w:rsidRPr="00546B8B">
        <w:rPr>
          <w:szCs w:val="22"/>
        </w:rPr>
        <w:t xml:space="preserve"> 1998). This </w:t>
      </w:r>
      <w:r w:rsidR="00B14FB5" w:rsidRPr="00546B8B">
        <w:rPr>
          <w:szCs w:val="22"/>
        </w:rPr>
        <w:t>is advantageous for</w:t>
      </w:r>
      <w:r w:rsidRPr="00546B8B">
        <w:rPr>
          <w:szCs w:val="22"/>
        </w:rPr>
        <w:t xml:space="preserve"> quantitative survey research as</w:t>
      </w:r>
      <w:r w:rsidR="00B41F9A" w:rsidRPr="00546B8B">
        <w:rPr>
          <w:szCs w:val="22"/>
        </w:rPr>
        <w:t xml:space="preserve"> large</w:t>
      </w:r>
      <w:r w:rsidRPr="00546B8B">
        <w:rPr>
          <w:szCs w:val="22"/>
        </w:rPr>
        <w:t xml:space="preserve"> sample sizes can be used.</w:t>
      </w:r>
      <w:r w:rsidR="00B41F9A" w:rsidRPr="00546B8B">
        <w:rPr>
          <w:szCs w:val="22"/>
        </w:rPr>
        <w:t xml:space="preserve"> However, </w:t>
      </w:r>
      <w:r w:rsidR="00DF64C6" w:rsidRPr="00546B8B">
        <w:rPr>
          <w:szCs w:val="22"/>
        </w:rPr>
        <w:t xml:space="preserve">SP methods have been criticised for using money-indicators in non-cash economies (see e.g. </w:t>
      </w:r>
      <w:proofErr w:type="spellStart"/>
      <w:r w:rsidR="00DF64C6" w:rsidRPr="00546B8B">
        <w:rPr>
          <w:szCs w:val="22"/>
        </w:rPr>
        <w:t>Köhlin</w:t>
      </w:r>
      <w:proofErr w:type="spellEnd"/>
      <w:r w:rsidR="00DF64C6" w:rsidRPr="00546B8B">
        <w:rPr>
          <w:szCs w:val="22"/>
        </w:rPr>
        <w:t xml:space="preserve"> 2001).</w:t>
      </w:r>
      <w:r w:rsidR="00DF64C6">
        <w:rPr>
          <w:szCs w:val="22"/>
        </w:rPr>
        <w:t xml:space="preserve">  Moreover,</w:t>
      </w:r>
      <w:r w:rsidR="00DF64C6" w:rsidRPr="00546B8B">
        <w:rPr>
          <w:szCs w:val="22"/>
        </w:rPr>
        <w:t xml:space="preserve"> </w:t>
      </w:r>
      <w:r w:rsidR="00B14FB5" w:rsidRPr="00546B8B">
        <w:rPr>
          <w:szCs w:val="22"/>
        </w:rPr>
        <w:t>literacy rates in r</w:t>
      </w:r>
      <w:r w:rsidR="00B41F9A" w:rsidRPr="00546B8B">
        <w:rPr>
          <w:szCs w:val="22"/>
        </w:rPr>
        <w:t xml:space="preserve">ural areas in </w:t>
      </w:r>
      <w:r w:rsidR="007A0AEE">
        <w:rPr>
          <w:szCs w:val="22"/>
        </w:rPr>
        <w:t>low-income</w:t>
      </w:r>
      <w:r w:rsidR="007A0AEE" w:rsidRPr="00546B8B">
        <w:rPr>
          <w:szCs w:val="22"/>
        </w:rPr>
        <w:t xml:space="preserve"> </w:t>
      </w:r>
      <w:r w:rsidR="00B41F9A" w:rsidRPr="00546B8B">
        <w:rPr>
          <w:szCs w:val="22"/>
        </w:rPr>
        <w:t xml:space="preserve">countries are typically </w:t>
      </w:r>
      <w:r w:rsidR="00B14FB5" w:rsidRPr="00546B8B">
        <w:rPr>
          <w:szCs w:val="22"/>
        </w:rPr>
        <w:t>low</w:t>
      </w:r>
      <w:r w:rsidR="007B7D5D" w:rsidRPr="00546B8B">
        <w:rPr>
          <w:szCs w:val="22"/>
        </w:rPr>
        <w:t xml:space="preserve">, which has been found to result in confusion or misunderstandings when respondents are </w:t>
      </w:r>
      <w:r w:rsidR="00E00BEC" w:rsidRPr="00546B8B">
        <w:rPr>
          <w:szCs w:val="22"/>
        </w:rPr>
        <w:t xml:space="preserve">asked to value complex goods with numerical questions, for example with payment cards in </w:t>
      </w:r>
      <w:r w:rsidR="007B7D5D" w:rsidRPr="00546B8B">
        <w:rPr>
          <w:szCs w:val="22"/>
        </w:rPr>
        <w:t>CV studies</w:t>
      </w:r>
      <w:r w:rsidR="00E130AF" w:rsidRPr="00546B8B">
        <w:rPr>
          <w:szCs w:val="22"/>
        </w:rPr>
        <w:t xml:space="preserve"> (</w:t>
      </w:r>
      <w:r w:rsidR="00E00BEC" w:rsidRPr="00546B8B">
        <w:rPr>
          <w:szCs w:val="22"/>
        </w:rPr>
        <w:t>Wang and Whittington 2005</w:t>
      </w:r>
      <w:r w:rsidR="00E11E3F" w:rsidRPr="00546B8B">
        <w:rPr>
          <w:szCs w:val="22"/>
        </w:rPr>
        <w:t>, Whittington 2002</w:t>
      </w:r>
      <w:r w:rsidR="00E00BEC" w:rsidRPr="00546B8B">
        <w:rPr>
          <w:szCs w:val="22"/>
        </w:rPr>
        <w:t xml:space="preserve">). </w:t>
      </w:r>
      <w:r w:rsidRPr="00546B8B">
        <w:rPr>
          <w:szCs w:val="22"/>
        </w:rPr>
        <w:t xml:space="preserve">Furthermore, cultural differences may affect the validity of certain approaches and the results they produce. Whittington (1998) gives an example of a CV study </w:t>
      </w:r>
      <w:r w:rsidR="00B41F9A" w:rsidRPr="00546B8B">
        <w:rPr>
          <w:szCs w:val="22"/>
        </w:rPr>
        <w:t>where</w:t>
      </w:r>
      <w:r w:rsidRPr="00546B8B">
        <w:rPr>
          <w:szCs w:val="22"/>
        </w:rPr>
        <w:t xml:space="preserve"> cross-cultural differences lead to inflation of WTP statements</w:t>
      </w:r>
      <w:r w:rsidR="007B7D5D" w:rsidRPr="00546B8B">
        <w:rPr>
          <w:szCs w:val="22"/>
        </w:rPr>
        <w:t>: i</w:t>
      </w:r>
      <w:r w:rsidR="00B41F9A" w:rsidRPr="00546B8B">
        <w:rPr>
          <w:szCs w:val="22"/>
        </w:rPr>
        <w:t>n Indonesia, Whittington</w:t>
      </w:r>
      <w:r w:rsidRPr="00546B8B">
        <w:rPr>
          <w:szCs w:val="22"/>
        </w:rPr>
        <w:t xml:space="preserve"> argues</w:t>
      </w:r>
      <w:r w:rsidR="00B41F9A" w:rsidRPr="00546B8B">
        <w:rPr>
          <w:szCs w:val="22"/>
        </w:rPr>
        <w:t>,</w:t>
      </w:r>
      <w:r w:rsidRPr="00546B8B">
        <w:rPr>
          <w:szCs w:val="22"/>
        </w:rPr>
        <w:t xml:space="preserve"> some ‘yes’-answers to a WTP question are a polite way of saying ‘no’ and should be recoded according to the conditions under which respondents would be willing to pay often stated after the ‘yes’-answer. </w:t>
      </w:r>
      <w:r w:rsidR="00B40953" w:rsidRPr="00546B8B">
        <w:rPr>
          <w:szCs w:val="22"/>
        </w:rPr>
        <w:t xml:space="preserve">Whilst these issues give no reason to believe that respondents in </w:t>
      </w:r>
      <w:r w:rsidR="007A0AEE">
        <w:rPr>
          <w:szCs w:val="22"/>
        </w:rPr>
        <w:t>low-income</w:t>
      </w:r>
      <w:r w:rsidR="007A0AEE" w:rsidRPr="00546B8B">
        <w:rPr>
          <w:szCs w:val="22"/>
        </w:rPr>
        <w:t xml:space="preserve"> </w:t>
      </w:r>
      <w:r w:rsidR="00B40953" w:rsidRPr="00546B8B">
        <w:rPr>
          <w:szCs w:val="22"/>
        </w:rPr>
        <w:t>countries state systematically less (or more) ‘reasoned’ and ‘deliberate’ preferences than others (Mangham et al. 2009), there may be a larger motivation for researchers and practitioners to triangulate the results of the CE with qualitative methods to gain better understanding of the responses obtained.</w:t>
      </w:r>
      <w:r w:rsidR="007B7D5D" w:rsidRPr="00546B8B">
        <w:rPr>
          <w:szCs w:val="22"/>
        </w:rPr>
        <w:t xml:space="preserve"> </w:t>
      </w:r>
    </w:p>
    <w:p w14:paraId="10AE49B8" w14:textId="699AAC46" w:rsidR="00AA37EE" w:rsidRPr="00546B8B" w:rsidRDefault="00AA37EE" w:rsidP="00613F2A">
      <w:pPr>
        <w:pStyle w:val="NormalJustified"/>
        <w:spacing w:after="120"/>
        <w:jc w:val="left"/>
      </w:pPr>
      <w:r w:rsidRPr="001E3755">
        <w:t>The CE</w:t>
      </w:r>
      <w:r w:rsidR="003216E2">
        <w:t xml:space="preserve"> in this study</w:t>
      </w:r>
      <w:r w:rsidRPr="001E3755">
        <w:t xml:space="preserve"> </w:t>
      </w:r>
      <w:r w:rsidR="00F6554C" w:rsidRPr="001E3755">
        <w:t xml:space="preserve">was designed </w:t>
      </w:r>
      <w:r w:rsidRPr="001E3755">
        <w:t xml:space="preserve">to assess the Willingness-To-Accept compensation (WTA) for </w:t>
      </w:r>
      <w:r w:rsidR="001B77BA">
        <w:t>planting trees</w:t>
      </w:r>
      <w:r w:rsidR="001B77BA" w:rsidRPr="001E3755">
        <w:t xml:space="preserve"> </w:t>
      </w:r>
      <w:r w:rsidRPr="001E3755">
        <w:t>o</w:t>
      </w:r>
      <w:r w:rsidR="001B77BA">
        <w:t>n</w:t>
      </w:r>
      <w:r w:rsidRPr="001E3755">
        <w:t xml:space="preserve"> agricultural land and limiting the use of fire. </w:t>
      </w:r>
      <w:r w:rsidR="007C0AC3" w:rsidRPr="00676E98">
        <w:t>The selection of the CE attributes was based on c</w:t>
      </w:r>
      <w:r w:rsidRPr="00546B8B">
        <w:t>onsultations with the CKPP consortium and local sociology and agriculture experts</w:t>
      </w:r>
      <w:r w:rsidR="00410BE9">
        <w:t>, and three f</w:t>
      </w:r>
      <w:r w:rsidR="00172814">
        <w:t>ield trip</w:t>
      </w:r>
      <w:r w:rsidR="00410BE9">
        <w:t>s</w:t>
      </w:r>
      <w:r w:rsidR="007C0AC3" w:rsidRPr="00546B8B">
        <w:t>. During the consultations, the objectives of CKP</w:t>
      </w:r>
      <w:r w:rsidR="008B57FC">
        <w:t>P</w:t>
      </w:r>
      <w:r w:rsidR="007C0AC3" w:rsidRPr="00546B8B">
        <w:t xml:space="preserve"> and </w:t>
      </w:r>
      <w:r w:rsidRPr="00546B8B">
        <w:t>the local social, economic and ecological conditions and farming practices</w:t>
      </w:r>
      <w:r w:rsidR="007C0AC3" w:rsidRPr="00546B8B">
        <w:t xml:space="preserve"> were discussed</w:t>
      </w:r>
      <w:r w:rsidRPr="00546B8B">
        <w:t xml:space="preserve">. These consultations resulted in the selection of </w:t>
      </w:r>
      <w:r w:rsidR="008F6ABC" w:rsidRPr="00546B8B">
        <w:t xml:space="preserve">one monetary </w:t>
      </w:r>
      <w:r w:rsidR="008F6ABC">
        <w:t xml:space="preserve">and </w:t>
      </w:r>
      <w:r w:rsidRPr="00546B8B">
        <w:t>four non-monetary attributes (see Table 1).</w:t>
      </w:r>
      <w:r w:rsidR="00613F2A" w:rsidRPr="00546B8B">
        <w:t xml:space="preserve"> Other candidate attributes, such as the temporal distribution of benefits and costs, were considered but deemed to complicate the CE too much.</w:t>
      </w:r>
      <w:r w:rsidRPr="00546B8B">
        <w:t xml:space="preserve"> The attributes represented </w:t>
      </w:r>
      <w:r w:rsidRPr="00546B8B">
        <w:lastRenderedPageBreak/>
        <w:t xml:space="preserve">different potential </w:t>
      </w:r>
      <w:r w:rsidR="00613F2A" w:rsidRPr="00546B8B">
        <w:t>restoration</w:t>
      </w:r>
      <w:r w:rsidR="007C0AC3" w:rsidRPr="00546B8B">
        <w:t xml:space="preserve"> </w:t>
      </w:r>
      <w:r w:rsidR="00613F2A" w:rsidRPr="00546B8B">
        <w:t>strategies</w:t>
      </w:r>
      <w:r w:rsidRPr="00546B8B">
        <w:t xml:space="preserve"> considered by the CKPP consortium</w:t>
      </w:r>
      <w:r w:rsidR="00613F2A" w:rsidRPr="00546B8B">
        <w:t>, for</w:t>
      </w:r>
      <w:r w:rsidR="008F6ABC">
        <w:t xml:space="preserve"> which</w:t>
      </w:r>
      <w:r w:rsidR="00613F2A" w:rsidRPr="00546B8B">
        <w:t xml:space="preserve"> they wanted information on local perceptions</w:t>
      </w:r>
      <w:r w:rsidRPr="00546B8B">
        <w:t xml:space="preserve">. </w:t>
      </w:r>
      <w:r w:rsidR="00942DFF" w:rsidRPr="00546B8B">
        <w:t xml:space="preserve">Three rounds of pre-tests were organised in August </w:t>
      </w:r>
      <w:r w:rsidR="00613F2A" w:rsidRPr="00546B8B">
        <w:t xml:space="preserve">2007 </w:t>
      </w:r>
      <w:r w:rsidR="004B3BAE" w:rsidRPr="00546B8B">
        <w:t xml:space="preserve">with individual respondents </w:t>
      </w:r>
      <w:r w:rsidR="00942DFF" w:rsidRPr="00546B8B">
        <w:t>in different types of villages</w:t>
      </w:r>
      <w:r w:rsidR="00B35B58" w:rsidRPr="00546B8B">
        <w:t xml:space="preserve"> </w:t>
      </w:r>
      <w:proofErr w:type="gramStart"/>
      <w:r w:rsidR="00B35B58" w:rsidRPr="00546B8B">
        <w:t>similar to</w:t>
      </w:r>
      <w:proofErr w:type="gramEnd"/>
      <w:r w:rsidR="00B35B58" w:rsidRPr="00546B8B">
        <w:t xml:space="preserve"> those in the final survey</w:t>
      </w:r>
      <w:r w:rsidR="00942DFF" w:rsidRPr="00546B8B">
        <w:t xml:space="preserve"> (see Section 3.</w:t>
      </w:r>
      <w:r w:rsidR="008B57FC">
        <w:t>3</w:t>
      </w:r>
      <w:r w:rsidR="00942DFF" w:rsidRPr="00546B8B">
        <w:t xml:space="preserve">) to improve and finalise the </w:t>
      </w:r>
      <w:r w:rsidR="006B4808" w:rsidRPr="00546B8B">
        <w:t>survey questions and CE design</w:t>
      </w:r>
      <w:r w:rsidR="00613F2A" w:rsidRPr="00546B8B">
        <w:t>, including the evaluation of the attributes and their levels</w:t>
      </w:r>
      <w:r w:rsidR="00942DFF" w:rsidRPr="00546B8B">
        <w:t>.</w:t>
      </w:r>
      <w:r w:rsidR="00D6791C">
        <w:t xml:space="preserve"> </w:t>
      </w:r>
      <w:bookmarkStart w:id="3" w:name="_Hlk484092613"/>
      <w:r w:rsidR="00D6791C">
        <w:t xml:space="preserve">The pre-tests led to the inclusion of a set of attitudinal questions, for example, about the fear of not receiving any compensation. </w:t>
      </w:r>
      <w:bookmarkEnd w:id="3"/>
      <w:r w:rsidR="00172814">
        <w:t>Further pretesting</w:t>
      </w:r>
      <w:r w:rsidR="00B4280A">
        <w:t xml:space="preserve"> using focus groups or in-depth qualitative interviews</w:t>
      </w:r>
      <w:r w:rsidR="00172814">
        <w:t xml:space="preserve"> was not feasible within the project’s budget.</w:t>
      </w:r>
    </w:p>
    <w:p w14:paraId="0B19F33D" w14:textId="4A1346F6" w:rsidR="00121A15" w:rsidRDefault="00AA37EE" w:rsidP="00BC691C">
      <w:pPr>
        <w:pStyle w:val="NormalJustified"/>
        <w:spacing w:after="120"/>
        <w:jc w:val="left"/>
      </w:pPr>
      <w:r w:rsidRPr="00546B8B">
        <w:t>The first attribute</w:t>
      </w:r>
      <w:r w:rsidR="008B57FC">
        <w:t xml:space="preserve"> reflected</w:t>
      </w:r>
      <w:r w:rsidRPr="00546B8B">
        <w:t xml:space="preserve"> </w:t>
      </w:r>
      <w:r w:rsidR="00985349">
        <w:t>conversion of</w:t>
      </w:r>
      <w:r w:rsidRPr="00546B8B">
        <w:t xml:space="preserve"> current agricultural land including fallows</w:t>
      </w:r>
      <w:r w:rsidR="00985349">
        <w:t xml:space="preserve"> to </w:t>
      </w:r>
      <w:r w:rsidR="008B57FC">
        <w:t xml:space="preserve">a </w:t>
      </w:r>
      <w:r w:rsidR="00985349">
        <w:t>tree-based farming system (‘tree-planting’)</w:t>
      </w:r>
      <w:r w:rsidRPr="00546B8B">
        <w:t xml:space="preserve">, </w:t>
      </w:r>
      <w:r w:rsidR="00985349">
        <w:t>expressed as</w:t>
      </w:r>
      <w:r w:rsidR="00985349" w:rsidRPr="00546B8B">
        <w:t xml:space="preserve"> </w:t>
      </w:r>
      <w:r w:rsidRPr="00546B8B">
        <w:t xml:space="preserve">the extent of the land use change that farmers commit to. </w:t>
      </w:r>
      <w:r w:rsidR="00985349">
        <w:t>Tree-planting</w:t>
      </w:r>
      <w:r w:rsidR="00985349" w:rsidRPr="00546B8B">
        <w:t xml:space="preserve"> </w:t>
      </w:r>
      <w:r w:rsidR="008B57FC">
        <w:t>would impose</w:t>
      </w:r>
      <w:r w:rsidRPr="00546B8B">
        <w:t xml:space="preserve"> short-term costs on farmers as trees require time to grow whilst less land can be used for crops that generate more immediate </w:t>
      </w:r>
      <w:r w:rsidR="008F6ABC">
        <w:t>returns</w:t>
      </w:r>
      <w:r w:rsidR="00D74901" w:rsidRPr="00546B8B">
        <w:t>, which was acknowledged in the CE scenario text</w:t>
      </w:r>
      <w:r w:rsidRPr="00546B8B">
        <w:t xml:space="preserve">. In the longer term, </w:t>
      </w:r>
      <w:r w:rsidR="00121A15">
        <w:t xml:space="preserve">direct </w:t>
      </w:r>
      <w:r w:rsidR="00EE63C7" w:rsidRPr="00546B8B">
        <w:t>benefits of the trees, such as sustainably harvested timber,</w:t>
      </w:r>
      <w:r w:rsidR="000F1E3A" w:rsidRPr="00546B8B">
        <w:t xml:space="preserve"> local rubber,</w:t>
      </w:r>
      <w:r w:rsidR="00EE63C7" w:rsidRPr="00546B8B">
        <w:t xml:space="preserve"> fruits and other non-timber forest products</w:t>
      </w:r>
      <w:r w:rsidR="00121A15">
        <w:t xml:space="preserve"> </w:t>
      </w:r>
      <w:r w:rsidR="008B57FC">
        <w:t>we</w:t>
      </w:r>
      <w:r w:rsidR="00121A15" w:rsidRPr="00546B8B">
        <w:t>re expected</w:t>
      </w:r>
      <w:r w:rsidR="00121A15">
        <w:t xml:space="preserve">, along with indirect </w:t>
      </w:r>
      <w:r w:rsidR="00121A15" w:rsidRPr="00546B8B">
        <w:t xml:space="preserve">benefits </w:t>
      </w:r>
      <w:r w:rsidR="00121A15">
        <w:t xml:space="preserve">such as </w:t>
      </w:r>
      <w:r w:rsidR="00121A15" w:rsidRPr="00546B8B">
        <w:t>health and safety improvements</w:t>
      </w:r>
      <w:r w:rsidRPr="00546B8B">
        <w:t xml:space="preserve">. The expected </w:t>
      </w:r>
      <w:r w:rsidR="00E86684" w:rsidRPr="00546B8B">
        <w:t>sign</w:t>
      </w:r>
      <w:r w:rsidRPr="00546B8B">
        <w:t xml:space="preserve"> of this attribute</w:t>
      </w:r>
      <w:r w:rsidR="00E86684" w:rsidRPr="00546B8B">
        <w:t xml:space="preserve"> parameter</w:t>
      </w:r>
      <w:r w:rsidR="00B875CE" w:rsidRPr="00546B8B">
        <w:t xml:space="preserve"> (i.e. its effect on choice probabilities)</w:t>
      </w:r>
      <w:r w:rsidR="008B57FC">
        <w:t xml:space="preserve"> hence depended</w:t>
      </w:r>
      <w:r w:rsidRPr="00546B8B">
        <w:t xml:space="preserve"> on respondents’ time preferences</w:t>
      </w:r>
      <w:r w:rsidR="00B875CE" w:rsidRPr="00546B8B">
        <w:t xml:space="preserve"> and expected net benefits from </w:t>
      </w:r>
      <w:r w:rsidR="00985349">
        <w:t>tree-planting</w:t>
      </w:r>
      <w:r w:rsidRPr="00546B8B">
        <w:t>.</w:t>
      </w:r>
      <w:r w:rsidR="00A67BD0" w:rsidRPr="00546B8B">
        <w:t xml:space="preserve"> The response to this attribute was therefore expected to vary across respondents and be</w:t>
      </w:r>
      <w:r w:rsidR="004B3BAE" w:rsidRPr="00546B8B">
        <w:t xml:space="preserve"> related to</w:t>
      </w:r>
      <w:r w:rsidR="00A67BD0" w:rsidRPr="00546B8B">
        <w:t xml:space="preserve"> a mix of factors, including current revenues, expected costs of reforestation (labour), expected revenues of local trees and timing of those revenues, access to markets, and size of land.</w:t>
      </w:r>
      <w:r w:rsidRPr="00546B8B">
        <w:t xml:space="preserve"> </w:t>
      </w:r>
    </w:p>
    <w:p w14:paraId="094ED36A" w14:textId="25B0F154" w:rsidR="00AA37EE" w:rsidRPr="00546B8B" w:rsidRDefault="00AA37EE" w:rsidP="00BC691C">
      <w:pPr>
        <w:pStyle w:val="NormalJustified"/>
        <w:spacing w:after="120"/>
        <w:jc w:val="left"/>
      </w:pPr>
      <w:r w:rsidRPr="00546B8B">
        <w:t xml:space="preserve">The second attribute, </w:t>
      </w:r>
      <w:r w:rsidR="008B57FC">
        <w:t>loosening the</w:t>
      </w:r>
      <w:r w:rsidRPr="00546B8B">
        <w:t xml:space="preserve"> restriction on the use of fire</w:t>
      </w:r>
      <w:r w:rsidR="006B4808" w:rsidRPr="00546B8B">
        <w:t xml:space="preserve"> </w:t>
      </w:r>
      <w:r w:rsidR="008B57FC">
        <w:t>of</w:t>
      </w:r>
      <w:r w:rsidR="006B4808" w:rsidRPr="00546B8B">
        <w:t xml:space="preserve"> the fire policy</w:t>
      </w:r>
      <w:r w:rsidRPr="00546B8B">
        <w:t xml:space="preserve">, was expected to have a </w:t>
      </w:r>
      <w:r w:rsidR="008B57FC">
        <w:t>positive</w:t>
      </w:r>
      <w:r w:rsidRPr="00546B8B">
        <w:t xml:space="preserve"> impact on the probability that respondents would choose </w:t>
      </w:r>
      <w:r w:rsidR="00B875CE" w:rsidRPr="00546B8B">
        <w:t>a</w:t>
      </w:r>
      <w:r w:rsidRPr="00546B8B">
        <w:t xml:space="preserve"> </w:t>
      </w:r>
      <w:r w:rsidR="00985349">
        <w:t>tree-planting</w:t>
      </w:r>
      <w:r w:rsidR="00985349" w:rsidRPr="00546B8B">
        <w:t xml:space="preserve"> </w:t>
      </w:r>
      <w:r w:rsidRPr="00546B8B">
        <w:t>scenario.</w:t>
      </w:r>
    </w:p>
    <w:p w14:paraId="74C225DD" w14:textId="78457FA7" w:rsidR="00576147" w:rsidRPr="00546B8B" w:rsidRDefault="00E86684" w:rsidP="00AA37EE">
      <w:pPr>
        <w:pStyle w:val="NormalJustified"/>
        <w:spacing w:after="120"/>
        <w:jc w:val="left"/>
        <w:sectPr w:rsidR="00576147" w:rsidRPr="00546B8B" w:rsidSect="00C65F0E">
          <w:footerReference w:type="default" r:id="rId11"/>
          <w:pgSz w:w="11906" w:h="16838" w:code="9"/>
          <w:pgMar w:top="1440" w:right="1797" w:bottom="1440" w:left="1797" w:header="709" w:footer="709" w:gutter="0"/>
          <w:lnNumType w:countBy="1"/>
          <w:cols w:space="708"/>
          <w:docGrid w:linePitch="360"/>
        </w:sectPr>
      </w:pPr>
      <w:r w:rsidRPr="00546B8B">
        <w:t xml:space="preserve">The third attribute </w:t>
      </w:r>
      <w:r w:rsidR="00AA37EE" w:rsidRPr="00546B8B">
        <w:t xml:space="preserve">was included to assess to what extent respondents would be willing to contribute to the project by helping a certain number of days in community activities. These activities </w:t>
      </w:r>
      <w:r w:rsidR="008B57FC">
        <w:t xml:space="preserve">would </w:t>
      </w:r>
      <w:r w:rsidR="00AA37EE" w:rsidRPr="00546B8B">
        <w:t>impose costs on farmers in terms of reduced working days. However, a successful project</w:t>
      </w:r>
      <w:r w:rsidR="008B57FC">
        <w:t xml:space="preserve"> would</w:t>
      </w:r>
      <w:r w:rsidR="00AA37EE" w:rsidRPr="00546B8B">
        <w:t xml:space="preserve"> also contribute to welfare, such as improvement in the health care and safety situation and other ecological services from peatlands, and may help build social capital. Therefore, a higher number of community services days involve</w:t>
      </w:r>
      <w:r w:rsidR="008B57FC">
        <w:t>d</w:t>
      </w:r>
      <w:r w:rsidR="00AA37EE" w:rsidRPr="00546B8B">
        <w:t xml:space="preserve"> a</w:t>
      </w:r>
      <w:r w:rsidR="00A97479" w:rsidRPr="00546B8B">
        <w:t>n individual</w:t>
      </w:r>
      <w:r w:rsidR="00AA37EE" w:rsidRPr="00546B8B">
        <w:t xml:space="preserve"> trade-off between short-term costs and long-term benefits as well as individual </w:t>
      </w:r>
      <w:r w:rsidR="005043B9" w:rsidRPr="00546B8B">
        <w:t>and social costs and benefits</w:t>
      </w:r>
      <w:r w:rsidR="00B875CE" w:rsidRPr="00546B8B">
        <w:t xml:space="preserve">; </w:t>
      </w:r>
      <w:r w:rsidR="008B57FC">
        <w:t xml:space="preserve">the effect of </w:t>
      </w:r>
      <w:r w:rsidR="00B875CE" w:rsidRPr="00546B8B">
        <w:t>this attribute</w:t>
      </w:r>
      <w:r w:rsidR="008B57FC">
        <w:t xml:space="preserve"> on choice probabilities</w:t>
      </w:r>
      <w:r w:rsidR="00B875CE" w:rsidRPr="00546B8B">
        <w:t xml:space="preserve"> was </w:t>
      </w:r>
      <w:r w:rsidR="00952853">
        <w:t>hence</w:t>
      </w:r>
      <w:r w:rsidR="00B875CE" w:rsidRPr="00546B8B">
        <w:t xml:space="preserve"> expected to range from positive to negative. </w:t>
      </w:r>
    </w:p>
    <w:p w14:paraId="2B7CCF5F" w14:textId="77777777" w:rsidR="00576147" w:rsidRPr="001E3755" w:rsidRDefault="00576147" w:rsidP="00576147">
      <w:pPr>
        <w:pStyle w:val="Caption"/>
        <w:keepNext/>
        <w:spacing w:line="200" w:lineRule="atLeast"/>
      </w:pPr>
      <w:r w:rsidRPr="00546B8B">
        <w:lastRenderedPageBreak/>
        <w:t xml:space="preserve">Table </w:t>
      </w:r>
      <w:fldSimple w:instr=" SEQ Tabel \* ARABIC ">
        <w:r w:rsidRPr="001E3755">
          <w:rPr>
            <w:noProof/>
          </w:rPr>
          <w:t>1</w:t>
        </w:r>
      </w:fldSimple>
      <w:r w:rsidRPr="001E3755">
        <w:t xml:space="preserve"> CE Attributes and levels</w:t>
      </w:r>
    </w:p>
    <w:tbl>
      <w:tblPr>
        <w:tblW w:w="13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4"/>
        <w:gridCol w:w="2863"/>
        <w:gridCol w:w="2863"/>
        <w:gridCol w:w="2863"/>
        <w:gridCol w:w="2386"/>
      </w:tblGrid>
      <w:tr w:rsidR="00576147" w:rsidRPr="001E3755" w14:paraId="466BE624" w14:textId="77777777" w:rsidTr="007F179B">
        <w:tc>
          <w:tcPr>
            <w:tcW w:w="2464" w:type="dxa"/>
          </w:tcPr>
          <w:p w14:paraId="6E2C380A" w14:textId="77777777" w:rsidR="00576147" w:rsidRPr="001E3755" w:rsidRDefault="00576147" w:rsidP="007F179B">
            <w:pPr>
              <w:spacing w:line="200" w:lineRule="atLeast"/>
              <w:jc w:val="both"/>
            </w:pPr>
            <w:r w:rsidRPr="001E3755">
              <w:t>Attribute</w:t>
            </w:r>
          </w:p>
        </w:tc>
        <w:tc>
          <w:tcPr>
            <w:tcW w:w="2863" w:type="dxa"/>
            <w:tcBorders>
              <w:right w:val="nil"/>
            </w:tcBorders>
          </w:tcPr>
          <w:p w14:paraId="316ED13E" w14:textId="77777777" w:rsidR="00576147" w:rsidRPr="001E3755" w:rsidRDefault="00576147" w:rsidP="007F179B">
            <w:pPr>
              <w:spacing w:line="200" w:lineRule="atLeast"/>
              <w:jc w:val="both"/>
            </w:pPr>
            <w:r w:rsidRPr="001E3755">
              <w:t>Levels</w:t>
            </w:r>
          </w:p>
        </w:tc>
        <w:tc>
          <w:tcPr>
            <w:tcW w:w="2863" w:type="dxa"/>
            <w:tcBorders>
              <w:left w:val="nil"/>
              <w:right w:val="nil"/>
            </w:tcBorders>
          </w:tcPr>
          <w:p w14:paraId="035E09E0" w14:textId="77777777" w:rsidR="00576147" w:rsidRPr="001E3755" w:rsidRDefault="00576147" w:rsidP="007F179B">
            <w:pPr>
              <w:spacing w:line="200" w:lineRule="atLeast"/>
              <w:jc w:val="both"/>
              <w:rPr>
                <w:sz w:val="20"/>
                <w:szCs w:val="20"/>
              </w:rPr>
            </w:pPr>
          </w:p>
        </w:tc>
        <w:tc>
          <w:tcPr>
            <w:tcW w:w="2863" w:type="dxa"/>
            <w:tcBorders>
              <w:left w:val="nil"/>
              <w:right w:val="nil"/>
            </w:tcBorders>
          </w:tcPr>
          <w:p w14:paraId="49AD7B64" w14:textId="77777777" w:rsidR="00576147" w:rsidRPr="001E3755" w:rsidRDefault="00576147" w:rsidP="007F179B">
            <w:pPr>
              <w:spacing w:line="200" w:lineRule="atLeast"/>
              <w:jc w:val="both"/>
              <w:rPr>
                <w:sz w:val="20"/>
                <w:szCs w:val="20"/>
              </w:rPr>
            </w:pPr>
          </w:p>
        </w:tc>
        <w:tc>
          <w:tcPr>
            <w:tcW w:w="2386" w:type="dxa"/>
            <w:tcBorders>
              <w:left w:val="nil"/>
            </w:tcBorders>
          </w:tcPr>
          <w:p w14:paraId="1F637AD4" w14:textId="77777777" w:rsidR="00576147" w:rsidRPr="001E3755" w:rsidRDefault="00576147" w:rsidP="007F179B">
            <w:pPr>
              <w:spacing w:line="200" w:lineRule="atLeast"/>
              <w:jc w:val="both"/>
              <w:rPr>
                <w:sz w:val="20"/>
                <w:szCs w:val="20"/>
              </w:rPr>
            </w:pPr>
          </w:p>
        </w:tc>
      </w:tr>
      <w:tr w:rsidR="00576147" w:rsidRPr="001E3755" w14:paraId="253F278C" w14:textId="77777777" w:rsidTr="007F179B">
        <w:tc>
          <w:tcPr>
            <w:tcW w:w="2464" w:type="dxa"/>
            <w:vMerge w:val="restart"/>
          </w:tcPr>
          <w:p w14:paraId="3468C5BA" w14:textId="6DC4E80D" w:rsidR="00576147" w:rsidRPr="001E3755" w:rsidRDefault="00985349" w:rsidP="007F179B">
            <w:pPr>
              <w:pStyle w:val="CommentText"/>
              <w:suppressLineNumbers w:val="0"/>
              <w:tabs>
                <w:tab w:val="clear" w:pos="340"/>
                <w:tab w:val="clear" w:pos="1418"/>
                <w:tab w:val="clear" w:pos="2268"/>
                <w:tab w:val="clear" w:pos="3119"/>
                <w:tab w:val="clear" w:pos="3969"/>
                <w:tab w:val="clear" w:pos="4820"/>
                <w:tab w:val="clear" w:pos="5670"/>
                <w:tab w:val="clear" w:pos="6521"/>
                <w:tab w:val="clear" w:pos="7938"/>
              </w:tabs>
              <w:suppressAutoHyphens w:val="0"/>
              <w:spacing w:after="0" w:line="200" w:lineRule="atLeast"/>
              <w:rPr>
                <w:b/>
                <w:sz w:val="24"/>
                <w:szCs w:val="24"/>
                <w:lang w:eastAsia="en-GB"/>
              </w:rPr>
            </w:pPr>
            <w:r>
              <w:rPr>
                <w:b/>
                <w:sz w:val="24"/>
                <w:szCs w:val="24"/>
                <w:lang w:eastAsia="en-GB"/>
              </w:rPr>
              <w:t>Tree-planting</w:t>
            </w:r>
            <w:r w:rsidRPr="001E3755">
              <w:rPr>
                <w:b/>
                <w:sz w:val="24"/>
                <w:szCs w:val="24"/>
                <w:lang w:eastAsia="en-GB"/>
              </w:rPr>
              <w:t xml:space="preserve"> </w:t>
            </w:r>
            <w:r w:rsidR="00576147" w:rsidRPr="001E3755">
              <w:rPr>
                <w:b/>
                <w:sz w:val="24"/>
                <w:szCs w:val="24"/>
                <w:lang w:eastAsia="en-GB"/>
              </w:rPr>
              <w:t>o</w:t>
            </w:r>
            <w:r>
              <w:rPr>
                <w:b/>
                <w:sz w:val="24"/>
                <w:szCs w:val="24"/>
                <w:lang w:eastAsia="en-GB"/>
              </w:rPr>
              <w:t>n</w:t>
            </w:r>
            <w:r w:rsidR="00576147" w:rsidRPr="001E3755">
              <w:rPr>
                <w:b/>
                <w:sz w:val="24"/>
                <w:szCs w:val="24"/>
                <w:lang w:eastAsia="en-GB"/>
              </w:rPr>
              <w:t xml:space="preserve"> current agricultural or waste land</w:t>
            </w:r>
          </w:p>
        </w:tc>
        <w:tc>
          <w:tcPr>
            <w:tcW w:w="2863" w:type="dxa"/>
            <w:tcBorders>
              <w:bottom w:val="nil"/>
              <w:right w:val="nil"/>
            </w:tcBorders>
          </w:tcPr>
          <w:p w14:paraId="32763176" w14:textId="77777777" w:rsidR="00576147" w:rsidRPr="001E3755" w:rsidRDefault="00576147" w:rsidP="007F179B">
            <w:pPr>
              <w:spacing w:line="200" w:lineRule="atLeast"/>
              <w:jc w:val="both"/>
              <w:rPr>
                <w:sz w:val="20"/>
                <w:szCs w:val="20"/>
              </w:rPr>
            </w:pPr>
            <w:r w:rsidRPr="001E3755">
              <w:rPr>
                <w:rFonts w:ascii="Tahoma" w:hAnsi="Tahoma" w:cs="Tahoma"/>
              </w:rPr>
              <w:object w:dxaOrig="4034" w:dyaOrig="3150" w14:anchorId="7F39C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7.75pt" o:ole="">
                  <v:imagedata r:id="rId12" o:title=""/>
                </v:shape>
                <o:OLEObject Type="Embed" ProgID="MSPhotoEd.3" ShapeID="_x0000_i1025" DrawAspect="Content" ObjectID="_1567000539" r:id="rId13"/>
              </w:object>
            </w:r>
          </w:p>
        </w:tc>
        <w:tc>
          <w:tcPr>
            <w:tcW w:w="2863" w:type="dxa"/>
            <w:tcBorders>
              <w:left w:val="nil"/>
              <w:bottom w:val="nil"/>
              <w:right w:val="nil"/>
            </w:tcBorders>
          </w:tcPr>
          <w:p w14:paraId="7B543AE1" w14:textId="77777777" w:rsidR="00576147" w:rsidRPr="001E3755" w:rsidRDefault="00576147" w:rsidP="007F179B">
            <w:pPr>
              <w:spacing w:line="200" w:lineRule="atLeast"/>
              <w:jc w:val="both"/>
              <w:rPr>
                <w:sz w:val="20"/>
                <w:szCs w:val="20"/>
              </w:rPr>
            </w:pPr>
            <w:r w:rsidRPr="001E3755">
              <w:rPr>
                <w:rFonts w:ascii="Tahoma" w:hAnsi="Tahoma" w:cs="Tahoma"/>
              </w:rPr>
              <w:object w:dxaOrig="4141" w:dyaOrig="3180" w14:anchorId="67E1A2B9">
                <v:shape id="_x0000_i1026" type="#_x0000_t75" style="width:74.25pt;height:57pt" o:ole="">
                  <v:imagedata r:id="rId14" o:title=""/>
                </v:shape>
                <o:OLEObject Type="Embed" ProgID="MSPhotoEd.3" ShapeID="_x0000_i1026" DrawAspect="Content" ObjectID="_1567000540" r:id="rId15"/>
              </w:object>
            </w:r>
          </w:p>
        </w:tc>
        <w:tc>
          <w:tcPr>
            <w:tcW w:w="2863" w:type="dxa"/>
            <w:tcBorders>
              <w:left w:val="nil"/>
              <w:bottom w:val="nil"/>
              <w:right w:val="nil"/>
            </w:tcBorders>
          </w:tcPr>
          <w:p w14:paraId="6963C0B9" w14:textId="77777777" w:rsidR="00576147" w:rsidRPr="001E3755" w:rsidRDefault="00576147" w:rsidP="007F179B">
            <w:pPr>
              <w:spacing w:line="200" w:lineRule="atLeast"/>
              <w:jc w:val="both"/>
              <w:rPr>
                <w:sz w:val="20"/>
                <w:szCs w:val="20"/>
              </w:rPr>
            </w:pPr>
            <w:r w:rsidRPr="001E3755">
              <w:rPr>
                <w:rFonts w:ascii="Tahoma" w:hAnsi="Tahoma" w:cs="Tahoma"/>
              </w:rPr>
              <w:object w:dxaOrig="4124" w:dyaOrig="3225" w14:anchorId="562C82ED">
                <v:shape id="_x0000_i1027" type="#_x0000_t75" style="width:75pt;height:58.5pt" o:ole="">
                  <v:imagedata r:id="rId16" o:title=""/>
                </v:shape>
                <o:OLEObject Type="Embed" ProgID="MSPhotoEd.3" ShapeID="_x0000_i1027" DrawAspect="Content" ObjectID="_1567000541" r:id="rId17"/>
              </w:object>
            </w:r>
          </w:p>
        </w:tc>
        <w:tc>
          <w:tcPr>
            <w:tcW w:w="2386" w:type="dxa"/>
            <w:tcBorders>
              <w:left w:val="nil"/>
              <w:bottom w:val="nil"/>
            </w:tcBorders>
          </w:tcPr>
          <w:p w14:paraId="32E56421" w14:textId="77777777" w:rsidR="00576147" w:rsidRPr="001E3755" w:rsidRDefault="00576147" w:rsidP="007F179B">
            <w:pPr>
              <w:spacing w:line="200" w:lineRule="atLeast"/>
              <w:jc w:val="both"/>
              <w:rPr>
                <w:sz w:val="20"/>
                <w:szCs w:val="20"/>
              </w:rPr>
            </w:pPr>
            <w:r w:rsidRPr="001E3755">
              <w:object w:dxaOrig="4305" w:dyaOrig="3285" w14:anchorId="04A79146">
                <v:shape id="_x0000_i1028" type="#_x0000_t75" style="width:76.5pt;height:57.75pt" o:ole="">
                  <v:imagedata r:id="rId18" o:title=""/>
                </v:shape>
                <o:OLEObject Type="Embed" ProgID="PBrush" ShapeID="_x0000_i1028" DrawAspect="Content" ObjectID="_1567000542" r:id="rId19"/>
              </w:object>
            </w:r>
          </w:p>
        </w:tc>
      </w:tr>
      <w:tr w:rsidR="00576147" w:rsidRPr="001E3755" w14:paraId="55C7B04A" w14:textId="77777777" w:rsidTr="007F179B">
        <w:trPr>
          <w:trHeight w:val="208"/>
        </w:trPr>
        <w:tc>
          <w:tcPr>
            <w:tcW w:w="2464" w:type="dxa"/>
            <w:vMerge/>
          </w:tcPr>
          <w:p w14:paraId="02DCEC5F" w14:textId="77777777" w:rsidR="00576147" w:rsidRPr="001E3755" w:rsidRDefault="00576147" w:rsidP="007F179B">
            <w:pPr>
              <w:spacing w:line="200" w:lineRule="atLeast"/>
              <w:jc w:val="both"/>
              <w:rPr>
                <w:b/>
              </w:rPr>
            </w:pPr>
          </w:p>
        </w:tc>
        <w:tc>
          <w:tcPr>
            <w:tcW w:w="2863" w:type="dxa"/>
            <w:tcBorders>
              <w:top w:val="nil"/>
              <w:right w:val="nil"/>
            </w:tcBorders>
          </w:tcPr>
          <w:p w14:paraId="7064A910" w14:textId="77777777" w:rsidR="00576147" w:rsidRPr="001E3755" w:rsidRDefault="00576147" w:rsidP="007F179B">
            <w:pPr>
              <w:spacing w:line="200" w:lineRule="atLeast"/>
              <w:jc w:val="both"/>
              <w:rPr>
                <w:rFonts w:ascii="Tahoma" w:hAnsi="Tahoma" w:cs="Tahoma"/>
                <w:noProof/>
                <w:sz w:val="22"/>
                <w:szCs w:val="22"/>
                <w:lang w:eastAsia="nl-NL"/>
              </w:rPr>
            </w:pPr>
            <w:r w:rsidRPr="001E3755">
              <w:rPr>
                <w:sz w:val="22"/>
                <w:szCs w:val="22"/>
              </w:rPr>
              <w:t>25% forest, 75% crop land</w:t>
            </w:r>
          </w:p>
        </w:tc>
        <w:tc>
          <w:tcPr>
            <w:tcW w:w="2863" w:type="dxa"/>
            <w:tcBorders>
              <w:top w:val="nil"/>
              <w:left w:val="nil"/>
              <w:right w:val="nil"/>
            </w:tcBorders>
          </w:tcPr>
          <w:p w14:paraId="60B6BFA0" w14:textId="77777777" w:rsidR="00576147" w:rsidRPr="001E3755" w:rsidRDefault="00576147" w:rsidP="007F179B">
            <w:pPr>
              <w:spacing w:line="200" w:lineRule="atLeast"/>
              <w:jc w:val="both"/>
              <w:rPr>
                <w:rFonts w:ascii="Tahoma" w:hAnsi="Tahoma" w:cs="Tahoma"/>
                <w:noProof/>
                <w:sz w:val="22"/>
                <w:szCs w:val="22"/>
                <w:lang w:eastAsia="nl-NL"/>
              </w:rPr>
            </w:pPr>
            <w:r w:rsidRPr="001E3755">
              <w:rPr>
                <w:sz w:val="22"/>
                <w:szCs w:val="22"/>
              </w:rPr>
              <w:t>50% forest, 50% crop land</w:t>
            </w:r>
          </w:p>
        </w:tc>
        <w:tc>
          <w:tcPr>
            <w:tcW w:w="2863" w:type="dxa"/>
            <w:tcBorders>
              <w:top w:val="nil"/>
              <w:left w:val="nil"/>
              <w:right w:val="nil"/>
            </w:tcBorders>
          </w:tcPr>
          <w:p w14:paraId="5DE254C9" w14:textId="77777777" w:rsidR="00576147" w:rsidRPr="001E3755" w:rsidRDefault="00576147" w:rsidP="007F179B">
            <w:pPr>
              <w:spacing w:line="200" w:lineRule="atLeast"/>
              <w:jc w:val="both"/>
              <w:rPr>
                <w:sz w:val="22"/>
                <w:szCs w:val="22"/>
              </w:rPr>
            </w:pPr>
            <w:r w:rsidRPr="001E3755">
              <w:rPr>
                <w:sz w:val="22"/>
                <w:szCs w:val="22"/>
              </w:rPr>
              <w:t>75% forest, 25% crop land</w:t>
            </w:r>
          </w:p>
        </w:tc>
        <w:tc>
          <w:tcPr>
            <w:tcW w:w="2386" w:type="dxa"/>
            <w:tcBorders>
              <w:top w:val="nil"/>
              <w:left w:val="nil"/>
            </w:tcBorders>
          </w:tcPr>
          <w:p w14:paraId="4EDB7FEE" w14:textId="77777777" w:rsidR="00576147" w:rsidRPr="001E3755" w:rsidRDefault="00576147" w:rsidP="007F179B">
            <w:pPr>
              <w:spacing w:line="200" w:lineRule="atLeast"/>
              <w:jc w:val="both"/>
              <w:rPr>
                <w:sz w:val="22"/>
                <w:szCs w:val="22"/>
              </w:rPr>
            </w:pPr>
            <w:r w:rsidRPr="001E3755">
              <w:rPr>
                <w:sz w:val="22"/>
                <w:szCs w:val="22"/>
              </w:rPr>
              <w:t>100% forest land</w:t>
            </w:r>
          </w:p>
        </w:tc>
      </w:tr>
      <w:tr w:rsidR="00576147" w:rsidRPr="001E3755" w14:paraId="2ACAB87F" w14:textId="77777777" w:rsidTr="007F179B">
        <w:tc>
          <w:tcPr>
            <w:tcW w:w="2464" w:type="dxa"/>
            <w:vMerge w:val="restart"/>
          </w:tcPr>
          <w:p w14:paraId="68C2F720" w14:textId="77777777" w:rsidR="00576147" w:rsidRPr="001E3755" w:rsidRDefault="00576147" w:rsidP="007F179B">
            <w:pPr>
              <w:spacing w:line="200" w:lineRule="atLeast"/>
              <w:jc w:val="both"/>
              <w:rPr>
                <w:b/>
              </w:rPr>
            </w:pPr>
            <w:r w:rsidRPr="001E3755">
              <w:rPr>
                <w:b/>
              </w:rPr>
              <w:t>Ban on fire</w:t>
            </w:r>
          </w:p>
        </w:tc>
        <w:tc>
          <w:tcPr>
            <w:tcW w:w="2863" w:type="dxa"/>
            <w:tcBorders>
              <w:bottom w:val="nil"/>
              <w:right w:val="nil"/>
            </w:tcBorders>
          </w:tcPr>
          <w:p w14:paraId="1A8F6437" w14:textId="77777777" w:rsidR="00576147" w:rsidRPr="001E3755" w:rsidRDefault="00576147" w:rsidP="007F179B">
            <w:pPr>
              <w:pStyle w:val="TOC1"/>
              <w:tabs>
                <w:tab w:val="clear" w:pos="8221"/>
                <w:tab w:val="left" w:pos="1418"/>
                <w:tab w:val="left" w:pos="2268"/>
                <w:tab w:val="left" w:pos="3119"/>
                <w:tab w:val="left" w:pos="3969"/>
                <w:tab w:val="left" w:pos="4820"/>
                <w:tab w:val="left" w:pos="5670"/>
                <w:tab w:val="left" w:pos="6521"/>
                <w:tab w:val="left" w:pos="7938"/>
              </w:tabs>
              <w:spacing w:before="0" w:line="200" w:lineRule="atLeast"/>
              <w:jc w:val="both"/>
              <w:rPr>
                <w:sz w:val="20"/>
              </w:rPr>
            </w:pPr>
            <w:r w:rsidRPr="001E3755">
              <w:rPr>
                <w:sz w:val="20"/>
              </w:rPr>
              <w:t xml:space="preserve"> </w:t>
            </w:r>
          </w:p>
          <w:p w14:paraId="0A044071" w14:textId="77777777" w:rsidR="00576147" w:rsidRPr="001E3755" w:rsidRDefault="00576147" w:rsidP="007F179B">
            <w:pPr>
              <w:pStyle w:val="TOC1"/>
              <w:tabs>
                <w:tab w:val="clear" w:pos="8221"/>
                <w:tab w:val="left" w:pos="1418"/>
                <w:tab w:val="left" w:pos="2268"/>
                <w:tab w:val="left" w:pos="3119"/>
                <w:tab w:val="left" w:pos="3969"/>
                <w:tab w:val="left" w:pos="4820"/>
                <w:tab w:val="left" w:pos="5670"/>
                <w:tab w:val="left" w:pos="6521"/>
                <w:tab w:val="left" w:pos="7938"/>
              </w:tabs>
              <w:spacing w:before="0" w:line="200" w:lineRule="atLeast"/>
              <w:jc w:val="both"/>
              <w:rPr>
                <w:sz w:val="20"/>
              </w:rPr>
            </w:pPr>
            <w:r w:rsidRPr="001E3755">
              <w:rPr>
                <w:noProof/>
                <w:sz w:val="20"/>
                <w:lang w:val="en-US"/>
              </w:rPr>
              <w:drawing>
                <wp:anchor distT="0" distB="0" distL="114300" distR="114300" simplePos="0" relativeHeight="251656192" behindDoc="1" locked="0" layoutInCell="1" allowOverlap="1" wp14:anchorId="417A1580" wp14:editId="0397A85E">
                  <wp:simplePos x="0" y="0"/>
                  <wp:positionH relativeFrom="column">
                    <wp:posOffset>264795</wp:posOffset>
                  </wp:positionH>
                  <wp:positionV relativeFrom="paragraph">
                    <wp:posOffset>-182880</wp:posOffset>
                  </wp:positionV>
                  <wp:extent cx="490220" cy="619760"/>
                  <wp:effectExtent l="0" t="0" r="5080" b="8890"/>
                  <wp:wrapTight wrapText="bothSides">
                    <wp:wrapPolygon edited="0">
                      <wp:start x="0" y="0"/>
                      <wp:lineTo x="0" y="21246"/>
                      <wp:lineTo x="20984" y="21246"/>
                      <wp:lineTo x="2098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0220"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63" w:type="dxa"/>
            <w:tcBorders>
              <w:left w:val="nil"/>
              <w:bottom w:val="nil"/>
              <w:right w:val="nil"/>
            </w:tcBorders>
          </w:tcPr>
          <w:p w14:paraId="6028D3D7" w14:textId="77777777" w:rsidR="00576147" w:rsidRPr="001E3755" w:rsidRDefault="00576147" w:rsidP="007F179B">
            <w:pPr>
              <w:pStyle w:val="TOC1"/>
              <w:tabs>
                <w:tab w:val="clear" w:pos="8221"/>
                <w:tab w:val="left" w:pos="1418"/>
                <w:tab w:val="left" w:pos="2268"/>
                <w:tab w:val="left" w:pos="3119"/>
                <w:tab w:val="left" w:pos="3969"/>
                <w:tab w:val="left" w:pos="4820"/>
                <w:tab w:val="left" w:pos="5670"/>
                <w:tab w:val="left" w:pos="6521"/>
                <w:tab w:val="left" w:pos="7938"/>
              </w:tabs>
              <w:spacing w:before="0" w:line="200" w:lineRule="atLeast"/>
              <w:jc w:val="both"/>
              <w:rPr>
                <w:sz w:val="20"/>
              </w:rPr>
            </w:pPr>
            <w:r w:rsidRPr="001E3755">
              <w:rPr>
                <w:rFonts w:ascii="Tahoma" w:hAnsi="Tahoma" w:cs="Tahoma"/>
                <w:noProof/>
                <w:lang w:val="en-US"/>
              </w:rPr>
              <w:drawing>
                <wp:anchor distT="0" distB="0" distL="114300" distR="114300" simplePos="0" relativeHeight="251658240" behindDoc="1" locked="0" layoutInCell="1" allowOverlap="1" wp14:anchorId="6C22E1F5" wp14:editId="11435C9B">
                  <wp:simplePos x="0" y="0"/>
                  <wp:positionH relativeFrom="column">
                    <wp:posOffset>378460</wp:posOffset>
                  </wp:positionH>
                  <wp:positionV relativeFrom="paragraph">
                    <wp:posOffset>1270</wp:posOffset>
                  </wp:positionV>
                  <wp:extent cx="469265" cy="619760"/>
                  <wp:effectExtent l="0" t="0" r="6985" b="8890"/>
                  <wp:wrapTight wrapText="bothSides">
                    <wp:wrapPolygon edited="0">
                      <wp:start x="0" y="0"/>
                      <wp:lineTo x="0" y="21246"/>
                      <wp:lineTo x="21045" y="21246"/>
                      <wp:lineTo x="2104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26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63" w:type="dxa"/>
            <w:tcBorders>
              <w:left w:val="nil"/>
              <w:bottom w:val="nil"/>
              <w:right w:val="nil"/>
            </w:tcBorders>
          </w:tcPr>
          <w:p w14:paraId="1953C011" w14:textId="77777777" w:rsidR="00576147" w:rsidRPr="001E3755" w:rsidRDefault="00576147" w:rsidP="007F179B">
            <w:pPr>
              <w:pStyle w:val="TOC1"/>
              <w:tabs>
                <w:tab w:val="clear" w:pos="8221"/>
                <w:tab w:val="left" w:pos="1418"/>
                <w:tab w:val="left" w:pos="2268"/>
                <w:tab w:val="left" w:pos="3119"/>
                <w:tab w:val="left" w:pos="3969"/>
                <w:tab w:val="left" w:pos="4820"/>
                <w:tab w:val="left" w:pos="5670"/>
                <w:tab w:val="left" w:pos="6521"/>
                <w:tab w:val="left" w:pos="7938"/>
              </w:tabs>
              <w:spacing w:before="0" w:line="200" w:lineRule="atLeast"/>
              <w:jc w:val="both"/>
              <w:rPr>
                <w:sz w:val="20"/>
              </w:rPr>
            </w:pPr>
          </w:p>
        </w:tc>
        <w:tc>
          <w:tcPr>
            <w:tcW w:w="2386" w:type="dxa"/>
            <w:tcBorders>
              <w:left w:val="nil"/>
              <w:bottom w:val="nil"/>
            </w:tcBorders>
          </w:tcPr>
          <w:p w14:paraId="3CFC014D" w14:textId="77777777" w:rsidR="00576147" w:rsidRPr="001E3755" w:rsidRDefault="00576147" w:rsidP="007F179B">
            <w:pPr>
              <w:spacing w:line="200" w:lineRule="atLeast"/>
              <w:jc w:val="both"/>
              <w:rPr>
                <w:sz w:val="20"/>
                <w:szCs w:val="20"/>
              </w:rPr>
            </w:pPr>
          </w:p>
        </w:tc>
      </w:tr>
      <w:tr w:rsidR="00576147" w:rsidRPr="001E3755" w14:paraId="24598B6A" w14:textId="77777777" w:rsidTr="007F179B">
        <w:trPr>
          <w:trHeight w:val="257"/>
        </w:trPr>
        <w:tc>
          <w:tcPr>
            <w:tcW w:w="2464" w:type="dxa"/>
            <w:vMerge/>
          </w:tcPr>
          <w:p w14:paraId="3E14AB97" w14:textId="77777777" w:rsidR="00576147" w:rsidRPr="001E3755" w:rsidRDefault="00576147" w:rsidP="007F179B">
            <w:pPr>
              <w:spacing w:line="200" w:lineRule="atLeast"/>
              <w:jc w:val="both"/>
              <w:rPr>
                <w:b/>
              </w:rPr>
            </w:pPr>
          </w:p>
        </w:tc>
        <w:tc>
          <w:tcPr>
            <w:tcW w:w="2863" w:type="dxa"/>
            <w:tcBorders>
              <w:top w:val="nil"/>
              <w:right w:val="nil"/>
            </w:tcBorders>
          </w:tcPr>
          <w:p w14:paraId="3A079653" w14:textId="77777777" w:rsidR="00576147" w:rsidRPr="001E3755" w:rsidRDefault="00576147" w:rsidP="007F179B">
            <w:pPr>
              <w:pStyle w:val="TOC1"/>
              <w:tabs>
                <w:tab w:val="clear" w:pos="8221"/>
                <w:tab w:val="left" w:pos="1418"/>
                <w:tab w:val="left" w:pos="2268"/>
                <w:tab w:val="left" w:pos="3119"/>
                <w:tab w:val="left" w:pos="3969"/>
                <w:tab w:val="left" w:pos="4820"/>
                <w:tab w:val="left" w:pos="5670"/>
                <w:tab w:val="left" w:pos="6521"/>
                <w:tab w:val="left" w:pos="7938"/>
              </w:tabs>
              <w:spacing w:before="0" w:line="200" w:lineRule="atLeast"/>
              <w:jc w:val="both"/>
              <w:rPr>
                <w:sz w:val="22"/>
                <w:szCs w:val="22"/>
              </w:rPr>
            </w:pPr>
            <w:r w:rsidRPr="001E3755">
              <w:rPr>
                <w:sz w:val="22"/>
                <w:szCs w:val="22"/>
              </w:rPr>
              <w:t>No fire allowed</w:t>
            </w:r>
          </w:p>
        </w:tc>
        <w:tc>
          <w:tcPr>
            <w:tcW w:w="2863" w:type="dxa"/>
            <w:tcBorders>
              <w:top w:val="nil"/>
              <w:left w:val="nil"/>
              <w:right w:val="nil"/>
            </w:tcBorders>
          </w:tcPr>
          <w:p w14:paraId="501EB928" w14:textId="77777777" w:rsidR="00576147" w:rsidRPr="001E3755" w:rsidRDefault="00576147" w:rsidP="007F179B">
            <w:pPr>
              <w:spacing w:line="200" w:lineRule="atLeast"/>
              <w:jc w:val="both"/>
              <w:rPr>
                <w:sz w:val="22"/>
                <w:szCs w:val="22"/>
              </w:rPr>
            </w:pPr>
            <w:r w:rsidRPr="001E3755">
              <w:rPr>
                <w:sz w:val="22"/>
                <w:szCs w:val="22"/>
              </w:rPr>
              <w:t>Controlled fire allowed</w:t>
            </w:r>
          </w:p>
        </w:tc>
        <w:tc>
          <w:tcPr>
            <w:tcW w:w="2863" w:type="dxa"/>
            <w:tcBorders>
              <w:top w:val="nil"/>
              <w:left w:val="nil"/>
              <w:right w:val="nil"/>
            </w:tcBorders>
          </w:tcPr>
          <w:p w14:paraId="45B2068D" w14:textId="77777777" w:rsidR="00576147" w:rsidRPr="001E3755" w:rsidRDefault="00576147" w:rsidP="007F179B">
            <w:pPr>
              <w:spacing w:line="200" w:lineRule="atLeast"/>
              <w:jc w:val="both"/>
              <w:rPr>
                <w:sz w:val="20"/>
                <w:szCs w:val="20"/>
              </w:rPr>
            </w:pPr>
          </w:p>
        </w:tc>
        <w:tc>
          <w:tcPr>
            <w:tcW w:w="2386" w:type="dxa"/>
            <w:tcBorders>
              <w:top w:val="nil"/>
              <w:left w:val="nil"/>
            </w:tcBorders>
          </w:tcPr>
          <w:p w14:paraId="59B232F3" w14:textId="77777777" w:rsidR="00576147" w:rsidRPr="001E3755" w:rsidRDefault="00576147" w:rsidP="007F179B">
            <w:pPr>
              <w:spacing w:line="200" w:lineRule="atLeast"/>
              <w:jc w:val="both"/>
              <w:rPr>
                <w:sz w:val="20"/>
                <w:szCs w:val="20"/>
              </w:rPr>
            </w:pPr>
          </w:p>
        </w:tc>
      </w:tr>
      <w:tr w:rsidR="00576147" w:rsidRPr="001E3755" w14:paraId="703294CC" w14:textId="77777777" w:rsidTr="007F179B">
        <w:tc>
          <w:tcPr>
            <w:tcW w:w="2464" w:type="dxa"/>
            <w:vMerge w:val="restart"/>
          </w:tcPr>
          <w:p w14:paraId="1A463402" w14:textId="77777777" w:rsidR="00576147" w:rsidRPr="001E3755" w:rsidRDefault="00576147" w:rsidP="007F179B">
            <w:pPr>
              <w:spacing w:line="200" w:lineRule="atLeast"/>
              <w:jc w:val="both"/>
              <w:rPr>
                <w:b/>
              </w:rPr>
            </w:pPr>
            <w:r w:rsidRPr="001E3755">
              <w:rPr>
                <w:b/>
              </w:rPr>
              <w:t>Community activities provided by farmers</w:t>
            </w:r>
          </w:p>
        </w:tc>
        <w:tc>
          <w:tcPr>
            <w:tcW w:w="2863" w:type="dxa"/>
            <w:tcBorders>
              <w:bottom w:val="nil"/>
              <w:right w:val="nil"/>
            </w:tcBorders>
          </w:tcPr>
          <w:p w14:paraId="1245E3AE" w14:textId="77777777" w:rsidR="00576147" w:rsidRPr="001E3755" w:rsidRDefault="00576147" w:rsidP="007F179B">
            <w:pPr>
              <w:spacing w:line="200" w:lineRule="atLeast"/>
              <w:jc w:val="both"/>
              <w:rPr>
                <w:sz w:val="20"/>
                <w:szCs w:val="20"/>
              </w:rPr>
            </w:pPr>
            <w:r w:rsidRPr="001E3755">
              <w:rPr>
                <w:rFonts w:ascii="Tahoma" w:hAnsi="Tahoma" w:cs="Tahoma"/>
                <w:noProof/>
                <w:lang w:val="en-US" w:eastAsia="en-US"/>
              </w:rPr>
              <w:drawing>
                <wp:inline distT="0" distB="0" distL="0" distR="0" wp14:anchorId="60446FA9" wp14:editId="3C7C9FEE">
                  <wp:extent cx="765810" cy="723265"/>
                  <wp:effectExtent l="0" t="0" r="0" b="635"/>
                  <wp:docPr id="9" name="Picture 9" descr="comser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serv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5810" cy="723265"/>
                          </a:xfrm>
                          <a:prstGeom prst="rect">
                            <a:avLst/>
                          </a:prstGeom>
                          <a:noFill/>
                          <a:ln>
                            <a:noFill/>
                          </a:ln>
                        </pic:spPr>
                      </pic:pic>
                    </a:graphicData>
                  </a:graphic>
                </wp:inline>
              </w:drawing>
            </w:r>
          </w:p>
        </w:tc>
        <w:tc>
          <w:tcPr>
            <w:tcW w:w="2863" w:type="dxa"/>
            <w:tcBorders>
              <w:left w:val="nil"/>
              <w:bottom w:val="nil"/>
              <w:right w:val="nil"/>
            </w:tcBorders>
          </w:tcPr>
          <w:p w14:paraId="1E3C5178" w14:textId="77777777" w:rsidR="00576147" w:rsidRPr="001E3755" w:rsidRDefault="00576147" w:rsidP="007F179B">
            <w:pPr>
              <w:spacing w:line="200" w:lineRule="atLeast"/>
              <w:jc w:val="both"/>
              <w:rPr>
                <w:sz w:val="20"/>
                <w:szCs w:val="20"/>
              </w:rPr>
            </w:pPr>
            <w:r w:rsidRPr="001E3755">
              <w:rPr>
                <w:rFonts w:ascii="Tahoma" w:hAnsi="Tahoma" w:cs="Tahoma"/>
                <w:noProof/>
                <w:lang w:val="en-US" w:eastAsia="en-US"/>
              </w:rPr>
              <w:drawing>
                <wp:inline distT="0" distB="0" distL="0" distR="0" wp14:anchorId="141038C4" wp14:editId="4D5E7FBC">
                  <wp:extent cx="946150" cy="690880"/>
                  <wp:effectExtent l="0" t="0" r="6350" b="0"/>
                  <wp:docPr id="8" name="Picture 8" descr="comserv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serv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6150" cy="690880"/>
                          </a:xfrm>
                          <a:prstGeom prst="rect">
                            <a:avLst/>
                          </a:prstGeom>
                          <a:noFill/>
                          <a:ln>
                            <a:noFill/>
                          </a:ln>
                        </pic:spPr>
                      </pic:pic>
                    </a:graphicData>
                  </a:graphic>
                </wp:inline>
              </w:drawing>
            </w:r>
          </w:p>
        </w:tc>
        <w:tc>
          <w:tcPr>
            <w:tcW w:w="2863" w:type="dxa"/>
            <w:tcBorders>
              <w:left w:val="nil"/>
              <w:bottom w:val="nil"/>
              <w:right w:val="nil"/>
            </w:tcBorders>
          </w:tcPr>
          <w:p w14:paraId="0B0E3879" w14:textId="77777777" w:rsidR="00576147" w:rsidRPr="001E3755" w:rsidRDefault="00576147" w:rsidP="007F179B">
            <w:pPr>
              <w:spacing w:line="200" w:lineRule="atLeast"/>
              <w:jc w:val="both"/>
              <w:rPr>
                <w:sz w:val="20"/>
                <w:szCs w:val="20"/>
              </w:rPr>
            </w:pPr>
            <w:r w:rsidRPr="001E3755">
              <w:rPr>
                <w:rFonts w:ascii="Tahoma" w:hAnsi="Tahoma" w:cs="Tahoma"/>
                <w:noProof/>
                <w:lang w:val="en-US" w:eastAsia="en-US"/>
              </w:rPr>
              <w:drawing>
                <wp:inline distT="0" distB="0" distL="0" distR="0" wp14:anchorId="3D57228B" wp14:editId="52D500C4">
                  <wp:extent cx="988695" cy="723265"/>
                  <wp:effectExtent l="0" t="0" r="1905" b="635"/>
                  <wp:docPr id="7" name="Picture 7" descr="comserv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serv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8695" cy="723265"/>
                          </a:xfrm>
                          <a:prstGeom prst="rect">
                            <a:avLst/>
                          </a:prstGeom>
                          <a:noFill/>
                          <a:ln>
                            <a:noFill/>
                          </a:ln>
                        </pic:spPr>
                      </pic:pic>
                    </a:graphicData>
                  </a:graphic>
                </wp:inline>
              </w:drawing>
            </w:r>
          </w:p>
        </w:tc>
        <w:tc>
          <w:tcPr>
            <w:tcW w:w="2386" w:type="dxa"/>
            <w:tcBorders>
              <w:left w:val="nil"/>
              <w:bottom w:val="nil"/>
            </w:tcBorders>
          </w:tcPr>
          <w:p w14:paraId="3B991F32" w14:textId="77777777" w:rsidR="00576147" w:rsidRPr="001E3755" w:rsidRDefault="00576147" w:rsidP="007F179B">
            <w:pPr>
              <w:spacing w:line="200" w:lineRule="atLeast"/>
              <w:jc w:val="both"/>
              <w:rPr>
                <w:sz w:val="20"/>
                <w:szCs w:val="20"/>
              </w:rPr>
            </w:pPr>
          </w:p>
          <w:p w14:paraId="7C4EA591" w14:textId="77777777" w:rsidR="00576147" w:rsidRPr="001E3755" w:rsidRDefault="00576147" w:rsidP="007F179B">
            <w:pPr>
              <w:spacing w:line="200" w:lineRule="atLeast"/>
              <w:jc w:val="both"/>
              <w:rPr>
                <w:sz w:val="20"/>
                <w:szCs w:val="20"/>
              </w:rPr>
            </w:pPr>
          </w:p>
        </w:tc>
      </w:tr>
      <w:tr w:rsidR="00576147" w:rsidRPr="001E3755" w14:paraId="1E618BEC" w14:textId="77777777" w:rsidTr="007F179B">
        <w:tc>
          <w:tcPr>
            <w:tcW w:w="2464" w:type="dxa"/>
            <w:vMerge/>
          </w:tcPr>
          <w:p w14:paraId="5F835051" w14:textId="77777777" w:rsidR="00576147" w:rsidRPr="001E3755" w:rsidRDefault="00576147" w:rsidP="007F179B">
            <w:pPr>
              <w:spacing w:line="200" w:lineRule="atLeast"/>
              <w:jc w:val="both"/>
              <w:rPr>
                <w:b/>
              </w:rPr>
            </w:pPr>
          </w:p>
        </w:tc>
        <w:tc>
          <w:tcPr>
            <w:tcW w:w="2863" w:type="dxa"/>
            <w:tcBorders>
              <w:top w:val="nil"/>
              <w:right w:val="nil"/>
            </w:tcBorders>
          </w:tcPr>
          <w:p w14:paraId="4BAD1728" w14:textId="77777777" w:rsidR="00576147" w:rsidRPr="001E3755" w:rsidRDefault="00576147" w:rsidP="007F179B">
            <w:pPr>
              <w:spacing w:line="200" w:lineRule="atLeast"/>
              <w:jc w:val="both"/>
              <w:rPr>
                <w:sz w:val="22"/>
                <w:szCs w:val="22"/>
              </w:rPr>
            </w:pPr>
            <w:r w:rsidRPr="001E3755">
              <w:rPr>
                <w:sz w:val="22"/>
                <w:szCs w:val="22"/>
              </w:rPr>
              <w:t>0 days per planting season</w:t>
            </w:r>
          </w:p>
        </w:tc>
        <w:tc>
          <w:tcPr>
            <w:tcW w:w="2863" w:type="dxa"/>
            <w:tcBorders>
              <w:top w:val="nil"/>
              <w:left w:val="nil"/>
              <w:right w:val="nil"/>
            </w:tcBorders>
          </w:tcPr>
          <w:p w14:paraId="4A5E2A4E" w14:textId="77777777" w:rsidR="00576147" w:rsidRPr="001E3755" w:rsidRDefault="00576147" w:rsidP="007F179B">
            <w:pPr>
              <w:spacing w:line="200" w:lineRule="atLeast"/>
              <w:jc w:val="both"/>
              <w:rPr>
                <w:sz w:val="22"/>
                <w:szCs w:val="22"/>
              </w:rPr>
            </w:pPr>
            <w:r w:rsidRPr="001E3755">
              <w:rPr>
                <w:sz w:val="22"/>
                <w:szCs w:val="22"/>
              </w:rPr>
              <w:t>2 days per planting season</w:t>
            </w:r>
          </w:p>
        </w:tc>
        <w:tc>
          <w:tcPr>
            <w:tcW w:w="2863" w:type="dxa"/>
            <w:tcBorders>
              <w:top w:val="nil"/>
              <w:left w:val="nil"/>
              <w:right w:val="nil"/>
            </w:tcBorders>
          </w:tcPr>
          <w:p w14:paraId="1989C4D6" w14:textId="77777777" w:rsidR="00576147" w:rsidRPr="001E3755" w:rsidRDefault="00576147" w:rsidP="007F179B">
            <w:pPr>
              <w:spacing w:line="200" w:lineRule="atLeast"/>
              <w:jc w:val="both"/>
              <w:rPr>
                <w:sz w:val="22"/>
                <w:szCs w:val="22"/>
              </w:rPr>
            </w:pPr>
            <w:r w:rsidRPr="001E3755">
              <w:rPr>
                <w:sz w:val="22"/>
                <w:szCs w:val="22"/>
              </w:rPr>
              <w:t>4 days per planting season</w:t>
            </w:r>
          </w:p>
        </w:tc>
        <w:tc>
          <w:tcPr>
            <w:tcW w:w="2386" w:type="dxa"/>
            <w:tcBorders>
              <w:top w:val="nil"/>
              <w:left w:val="nil"/>
            </w:tcBorders>
          </w:tcPr>
          <w:p w14:paraId="5550F8B1" w14:textId="77777777" w:rsidR="00576147" w:rsidRPr="001E3755" w:rsidRDefault="00576147" w:rsidP="007F179B">
            <w:pPr>
              <w:spacing w:line="200" w:lineRule="atLeast"/>
              <w:jc w:val="both"/>
              <w:rPr>
                <w:sz w:val="20"/>
                <w:szCs w:val="20"/>
              </w:rPr>
            </w:pPr>
          </w:p>
        </w:tc>
      </w:tr>
      <w:tr w:rsidR="00576147" w:rsidRPr="001E3755" w14:paraId="2A3237CD" w14:textId="77777777" w:rsidTr="007F179B">
        <w:tc>
          <w:tcPr>
            <w:tcW w:w="2464" w:type="dxa"/>
            <w:vMerge w:val="restart"/>
          </w:tcPr>
          <w:p w14:paraId="1F41AC9C" w14:textId="77777777" w:rsidR="00576147" w:rsidRPr="001E3755" w:rsidRDefault="00576147" w:rsidP="007F179B">
            <w:pPr>
              <w:spacing w:line="200" w:lineRule="atLeast"/>
              <w:jc w:val="both"/>
              <w:rPr>
                <w:b/>
                <w:lang w:val="it-IT"/>
              </w:rPr>
            </w:pPr>
            <w:r w:rsidRPr="001E3755">
              <w:rPr>
                <w:b/>
                <w:lang w:val="it-IT"/>
              </w:rPr>
              <w:t>Micro-credit/grant</w:t>
            </w:r>
          </w:p>
          <w:p w14:paraId="3587A847" w14:textId="421CC3E5" w:rsidR="00576147" w:rsidRPr="001E3755" w:rsidRDefault="00576147" w:rsidP="007F179B">
            <w:pPr>
              <w:spacing w:line="200" w:lineRule="atLeast"/>
              <w:rPr>
                <w:b/>
                <w:lang w:val="it-IT"/>
              </w:rPr>
            </w:pPr>
            <w:r w:rsidRPr="001E3755">
              <w:rPr>
                <w:b/>
                <w:lang w:val="it-IT"/>
              </w:rPr>
              <w:t>(</w:t>
            </w:r>
            <w:r w:rsidR="00925C0B">
              <w:rPr>
                <w:b/>
                <w:lang w:val="it-IT"/>
              </w:rPr>
              <w:t>Rupiah</w:t>
            </w:r>
            <w:r w:rsidRPr="001E3755">
              <w:rPr>
                <w:b/>
                <w:lang w:val="it-IT"/>
              </w:rPr>
              <w:t>/ha)</w:t>
            </w:r>
          </w:p>
        </w:tc>
        <w:tc>
          <w:tcPr>
            <w:tcW w:w="2863" w:type="dxa"/>
            <w:tcBorders>
              <w:bottom w:val="nil"/>
              <w:right w:val="nil"/>
            </w:tcBorders>
          </w:tcPr>
          <w:p w14:paraId="304F69D6" w14:textId="77777777" w:rsidR="00576147" w:rsidRPr="001E3755" w:rsidRDefault="00576147" w:rsidP="007F179B">
            <w:pPr>
              <w:spacing w:line="200" w:lineRule="atLeast"/>
              <w:jc w:val="both"/>
              <w:rPr>
                <w:sz w:val="20"/>
                <w:szCs w:val="20"/>
              </w:rPr>
            </w:pPr>
            <w:r w:rsidRPr="001E3755">
              <w:rPr>
                <w:rFonts w:ascii="Tahoma" w:hAnsi="Tahoma" w:cs="Tahoma"/>
                <w:noProof/>
                <w:lang w:val="en-US" w:eastAsia="en-US"/>
              </w:rPr>
              <w:drawing>
                <wp:inline distT="0" distB="0" distL="0" distR="0" wp14:anchorId="508B49FA" wp14:editId="0AA1CF72">
                  <wp:extent cx="1052830" cy="638175"/>
                  <wp:effectExtent l="0" t="0" r="0" b="9525"/>
                  <wp:docPr id="6" name="Picture 6" descr="subsidy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bsidy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52830" cy="638175"/>
                          </a:xfrm>
                          <a:prstGeom prst="rect">
                            <a:avLst/>
                          </a:prstGeom>
                          <a:noFill/>
                          <a:ln>
                            <a:noFill/>
                          </a:ln>
                        </pic:spPr>
                      </pic:pic>
                    </a:graphicData>
                  </a:graphic>
                </wp:inline>
              </w:drawing>
            </w:r>
          </w:p>
        </w:tc>
        <w:tc>
          <w:tcPr>
            <w:tcW w:w="2863" w:type="dxa"/>
            <w:tcBorders>
              <w:left w:val="nil"/>
              <w:bottom w:val="nil"/>
              <w:right w:val="nil"/>
            </w:tcBorders>
          </w:tcPr>
          <w:p w14:paraId="719BF980" w14:textId="77777777" w:rsidR="00576147" w:rsidRPr="001E3755" w:rsidRDefault="00576147" w:rsidP="007F179B">
            <w:pPr>
              <w:spacing w:line="200" w:lineRule="atLeast"/>
              <w:jc w:val="both"/>
              <w:rPr>
                <w:sz w:val="20"/>
                <w:szCs w:val="20"/>
              </w:rPr>
            </w:pPr>
            <w:r w:rsidRPr="001E3755">
              <w:rPr>
                <w:rFonts w:ascii="Tahoma" w:hAnsi="Tahoma" w:cs="Tahoma"/>
                <w:noProof/>
                <w:lang w:val="en-US" w:eastAsia="en-US"/>
              </w:rPr>
              <w:drawing>
                <wp:inline distT="0" distB="0" distL="0" distR="0" wp14:anchorId="7C9FF0CC" wp14:editId="1EE5BEA4">
                  <wp:extent cx="1052830" cy="638175"/>
                  <wp:effectExtent l="0" t="0" r="0" b="9525"/>
                  <wp:docPr id="5" name="Picture 5" descr="subsi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bsidy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2830" cy="638175"/>
                          </a:xfrm>
                          <a:prstGeom prst="rect">
                            <a:avLst/>
                          </a:prstGeom>
                          <a:noFill/>
                          <a:ln>
                            <a:noFill/>
                          </a:ln>
                        </pic:spPr>
                      </pic:pic>
                    </a:graphicData>
                  </a:graphic>
                </wp:inline>
              </w:drawing>
            </w:r>
          </w:p>
        </w:tc>
        <w:tc>
          <w:tcPr>
            <w:tcW w:w="2863" w:type="dxa"/>
            <w:tcBorders>
              <w:left w:val="nil"/>
              <w:bottom w:val="nil"/>
              <w:right w:val="nil"/>
            </w:tcBorders>
          </w:tcPr>
          <w:p w14:paraId="07BF9DA3" w14:textId="77777777" w:rsidR="00576147" w:rsidRPr="001E3755" w:rsidRDefault="00576147" w:rsidP="007F179B">
            <w:pPr>
              <w:spacing w:line="200" w:lineRule="atLeast"/>
              <w:jc w:val="both"/>
              <w:rPr>
                <w:sz w:val="20"/>
                <w:szCs w:val="20"/>
              </w:rPr>
            </w:pPr>
            <w:r w:rsidRPr="001E3755">
              <w:rPr>
                <w:rFonts w:ascii="Tahoma" w:hAnsi="Tahoma" w:cs="Tahoma"/>
                <w:noProof/>
                <w:lang w:val="en-US" w:eastAsia="en-US"/>
              </w:rPr>
              <w:drawing>
                <wp:anchor distT="0" distB="0" distL="114300" distR="114300" simplePos="0" relativeHeight="251660288" behindDoc="1" locked="0" layoutInCell="1" allowOverlap="1" wp14:anchorId="6ECF6F38" wp14:editId="26EAA8C9">
                  <wp:simplePos x="0" y="0"/>
                  <wp:positionH relativeFrom="column">
                    <wp:posOffset>47625</wp:posOffset>
                  </wp:positionH>
                  <wp:positionV relativeFrom="paragraph">
                    <wp:posOffset>42545</wp:posOffset>
                  </wp:positionV>
                  <wp:extent cx="1021715" cy="610235"/>
                  <wp:effectExtent l="0" t="0" r="6985" b="0"/>
                  <wp:wrapTight wrapText="bothSides">
                    <wp:wrapPolygon edited="0">
                      <wp:start x="0" y="0"/>
                      <wp:lineTo x="0" y="20903"/>
                      <wp:lineTo x="21345" y="20903"/>
                      <wp:lineTo x="21345" y="0"/>
                      <wp:lineTo x="0" y="0"/>
                    </wp:wrapPolygon>
                  </wp:wrapTight>
                  <wp:docPr id="10" name="Picture 10" descr="subsi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bsidy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1715" cy="6102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86" w:type="dxa"/>
            <w:tcBorders>
              <w:left w:val="nil"/>
              <w:bottom w:val="nil"/>
            </w:tcBorders>
          </w:tcPr>
          <w:p w14:paraId="5D0F2CB0" w14:textId="77777777" w:rsidR="00576147" w:rsidRPr="001E3755" w:rsidRDefault="00576147" w:rsidP="007F179B">
            <w:pPr>
              <w:spacing w:line="200" w:lineRule="atLeast"/>
              <w:jc w:val="both"/>
              <w:rPr>
                <w:sz w:val="20"/>
                <w:szCs w:val="20"/>
              </w:rPr>
            </w:pPr>
            <w:r w:rsidRPr="001E3755">
              <w:rPr>
                <w:rFonts w:ascii="Tahoma" w:hAnsi="Tahoma" w:cs="Tahoma"/>
                <w:noProof/>
                <w:lang w:val="en-US" w:eastAsia="en-US"/>
              </w:rPr>
              <w:drawing>
                <wp:inline distT="0" distB="0" distL="0" distR="0" wp14:anchorId="135A0129" wp14:editId="7EEB4913">
                  <wp:extent cx="1052830" cy="627380"/>
                  <wp:effectExtent l="0" t="0" r="0" b="1270"/>
                  <wp:docPr id="4" name="Picture 4" descr="subsid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bsidy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52830" cy="627380"/>
                          </a:xfrm>
                          <a:prstGeom prst="rect">
                            <a:avLst/>
                          </a:prstGeom>
                          <a:noFill/>
                          <a:ln>
                            <a:noFill/>
                          </a:ln>
                        </pic:spPr>
                      </pic:pic>
                    </a:graphicData>
                  </a:graphic>
                </wp:inline>
              </w:drawing>
            </w:r>
          </w:p>
        </w:tc>
      </w:tr>
      <w:tr w:rsidR="00576147" w:rsidRPr="001E3755" w14:paraId="15FF3CDA" w14:textId="77777777" w:rsidTr="007F179B">
        <w:tc>
          <w:tcPr>
            <w:tcW w:w="2464" w:type="dxa"/>
            <w:vMerge/>
          </w:tcPr>
          <w:p w14:paraId="63938179" w14:textId="77777777" w:rsidR="00576147" w:rsidRPr="001E3755" w:rsidRDefault="00576147" w:rsidP="007F179B">
            <w:pPr>
              <w:pStyle w:val="CommentText"/>
              <w:suppressLineNumbers w:val="0"/>
              <w:tabs>
                <w:tab w:val="clear" w:pos="340"/>
                <w:tab w:val="clear" w:pos="1418"/>
                <w:tab w:val="clear" w:pos="2268"/>
                <w:tab w:val="clear" w:pos="3119"/>
                <w:tab w:val="clear" w:pos="3969"/>
                <w:tab w:val="clear" w:pos="4820"/>
                <w:tab w:val="clear" w:pos="5670"/>
                <w:tab w:val="clear" w:pos="6521"/>
                <w:tab w:val="clear" w:pos="7938"/>
              </w:tabs>
              <w:suppressAutoHyphens w:val="0"/>
              <w:spacing w:after="0" w:line="200" w:lineRule="atLeast"/>
              <w:jc w:val="both"/>
              <w:rPr>
                <w:b/>
                <w:sz w:val="24"/>
                <w:szCs w:val="24"/>
                <w:lang w:eastAsia="en-GB"/>
              </w:rPr>
            </w:pPr>
          </w:p>
        </w:tc>
        <w:tc>
          <w:tcPr>
            <w:tcW w:w="2863" w:type="dxa"/>
            <w:tcBorders>
              <w:top w:val="nil"/>
              <w:right w:val="nil"/>
            </w:tcBorders>
          </w:tcPr>
          <w:p w14:paraId="2CDADC2B" w14:textId="78672D6E" w:rsidR="00576147" w:rsidRPr="001E3755" w:rsidRDefault="00925C0B" w:rsidP="007F179B">
            <w:pPr>
              <w:spacing w:line="200" w:lineRule="atLeast"/>
              <w:jc w:val="both"/>
              <w:rPr>
                <w:sz w:val="22"/>
                <w:szCs w:val="22"/>
              </w:rPr>
            </w:pPr>
            <w:r>
              <w:rPr>
                <w:sz w:val="22"/>
                <w:szCs w:val="22"/>
              </w:rPr>
              <w:t>Rupiah</w:t>
            </w:r>
            <w:r w:rsidR="00576147" w:rsidRPr="001E3755">
              <w:rPr>
                <w:sz w:val="22"/>
                <w:szCs w:val="22"/>
              </w:rPr>
              <w:t xml:space="preserve"> 0</w:t>
            </w:r>
          </w:p>
        </w:tc>
        <w:tc>
          <w:tcPr>
            <w:tcW w:w="2863" w:type="dxa"/>
            <w:tcBorders>
              <w:top w:val="nil"/>
              <w:left w:val="nil"/>
              <w:right w:val="nil"/>
            </w:tcBorders>
          </w:tcPr>
          <w:p w14:paraId="633D35F6" w14:textId="333E900C" w:rsidR="00576147" w:rsidRPr="001E3755" w:rsidRDefault="00925C0B" w:rsidP="007F179B">
            <w:pPr>
              <w:spacing w:line="200" w:lineRule="atLeast"/>
              <w:jc w:val="both"/>
              <w:rPr>
                <w:sz w:val="22"/>
                <w:szCs w:val="22"/>
              </w:rPr>
            </w:pPr>
            <w:r>
              <w:rPr>
                <w:sz w:val="22"/>
                <w:szCs w:val="22"/>
              </w:rPr>
              <w:t>Rupiah</w:t>
            </w:r>
            <w:r w:rsidR="00576147" w:rsidRPr="001E3755">
              <w:rPr>
                <w:sz w:val="22"/>
                <w:szCs w:val="22"/>
              </w:rPr>
              <w:t xml:space="preserve"> 10.000.000</w:t>
            </w:r>
          </w:p>
        </w:tc>
        <w:tc>
          <w:tcPr>
            <w:tcW w:w="2863" w:type="dxa"/>
            <w:tcBorders>
              <w:top w:val="nil"/>
              <w:left w:val="nil"/>
              <w:right w:val="nil"/>
            </w:tcBorders>
          </w:tcPr>
          <w:p w14:paraId="3E4BFE20" w14:textId="5810466A" w:rsidR="00576147" w:rsidRPr="001E3755" w:rsidRDefault="00925C0B" w:rsidP="007F179B">
            <w:pPr>
              <w:spacing w:line="200" w:lineRule="atLeast"/>
              <w:jc w:val="both"/>
              <w:rPr>
                <w:sz w:val="22"/>
                <w:szCs w:val="22"/>
              </w:rPr>
            </w:pPr>
            <w:r>
              <w:rPr>
                <w:sz w:val="22"/>
                <w:szCs w:val="22"/>
              </w:rPr>
              <w:t>Rupiah</w:t>
            </w:r>
            <w:r w:rsidR="00576147" w:rsidRPr="001E3755">
              <w:rPr>
                <w:sz w:val="22"/>
                <w:szCs w:val="22"/>
              </w:rPr>
              <w:t xml:space="preserve"> 15.000.000</w:t>
            </w:r>
          </w:p>
        </w:tc>
        <w:tc>
          <w:tcPr>
            <w:tcW w:w="2386" w:type="dxa"/>
            <w:tcBorders>
              <w:top w:val="nil"/>
              <w:left w:val="nil"/>
            </w:tcBorders>
          </w:tcPr>
          <w:p w14:paraId="0460F0B7" w14:textId="2CFE7B8B" w:rsidR="00576147" w:rsidRPr="001E3755" w:rsidRDefault="00925C0B" w:rsidP="007F179B">
            <w:pPr>
              <w:spacing w:line="200" w:lineRule="atLeast"/>
              <w:jc w:val="both"/>
              <w:rPr>
                <w:sz w:val="22"/>
                <w:szCs w:val="22"/>
              </w:rPr>
            </w:pPr>
            <w:r>
              <w:rPr>
                <w:sz w:val="22"/>
                <w:szCs w:val="22"/>
              </w:rPr>
              <w:t>Rupiah</w:t>
            </w:r>
            <w:r w:rsidR="00576147" w:rsidRPr="001E3755">
              <w:rPr>
                <w:sz w:val="22"/>
                <w:szCs w:val="22"/>
              </w:rPr>
              <w:t xml:space="preserve"> 20.000.000</w:t>
            </w:r>
          </w:p>
        </w:tc>
      </w:tr>
      <w:tr w:rsidR="00576147" w:rsidRPr="001E3755" w14:paraId="75EF2030" w14:textId="77777777" w:rsidTr="007F179B">
        <w:tc>
          <w:tcPr>
            <w:tcW w:w="2464" w:type="dxa"/>
            <w:tcBorders>
              <w:bottom w:val="nil"/>
            </w:tcBorders>
          </w:tcPr>
          <w:p w14:paraId="7BCE3CA7" w14:textId="77777777" w:rsidR="00576147" w:rsidRPr="001E3755" w:rsidRDefault="00576147" w:rsidP="007F179B">
            <w:pPr>
              <w:pStyle w:val="CommentText"/>
              <w:suppressLineNumbers w:val="0"/>
              <w:tabs>
                <w:tab w:val="clear" w:pos="340"/>
                <w:tab w:val="clear" w:pos="1418"/>
                <w:tab w:val="clear" w:pos="2268"/>
                <w:tab w:val="clear" w:pos="3119"/>
                <w:tab w:val="clear" w:pos="3969"/>
                <w:tab w:val="clear" w:pos="4820"/>
                <w:tab w:val="clear" w:pos="5670"/>
                <w:tab w:val="clear" w:pos="6521"/>
                <w:tab w:val="clear" w:pos="7938"/>
              </w:tabs>
              <w:suppressAutoHyphens w:val="0"/>
              <w:spacing w:after="0" w:line="200" w:lineRule="atLeast"/>
              <w:rPr>
                <w:b/>
                <w:sz w:val="24"/>
                <w:szCs w:val="24"/>
                <w:lang w:eastAsia="en-GB"/>
              </w:rPr>
            </w:pPr>
            <w:r w:rsidRPr="001E3755">
              <w:rPr>
                <w:b/>
                <w:sz w:val="24"/>
                <w:szCs w:val="24"/>
                <w:lang w:eastAsia="en-GB"/>
              </w:rPr>
              <w:t>Extra extension services provided to farmers</w:t>
            </w:r>
          </w:p>
        </w:tc>
        <w:tc>
          <w:tcPr>
            <w:tcW w:w="2863" w:type="dxa"/>
            <w:tcBorders>
              <w:bottom w:val="nil"/>
              <w:right w:val="nil"/>
            </w:tcBorders>
          </w:tcPr>
          <w:p w14:paraId="31F9BB1F" w14:textId="77777777" w:rsidR="00576147" w:rsidRPr="001E3755" w:rsidRDefault="00576147" w:rsidP="007F179B">
            <w:pPr>
              <w:spacing w:line="200" w:lineRule="atLeast"/>
              <w:jc w:val="both"/>
              <w:rPr>
                <w:b/>
                <w:sz w:val="20"/>
                <w:szCs w:val="20"/>
              </w:rPr>
            </w:pPr>
            <w:r w:rsidRPr="001E3755">
              <w:rPr>
                <w:noProof/>
                <w:lang w:val="en-US" w:eastAsia="en-US"/>
              </w:rPr>
              <w:drawing>
                <wp:inline distT="0" distB="0" distL="0" distR="0" wp14:anchorId="235F4D2C" wp14:editId="1A2060C9">
                  <wp:extent cx="818515" cy="7442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8515" cy="744220"/>
                          </a:xfrm>
                          <a:prstGeom prst="rect">
                            <a:avLst/>
                          </a:prstGeom>
                          <a:noFill/>
                          <a:ln>
                            <a:noFill/>
                          </a:ln>
                        </pic:spPr>
                      </pic:pic>
                    </a:graphicData>
                  </a:graphic>
                </wp:inline>
              </w:drawing>
            </w:r>
          </w:p>
        </w:tc>
        <w:tc>
          <w:tcPr>
            <w:tcW w:w="2863" w:type="dxa"/>
            <w:tcBorders>
              <w:left w:val="nil"/>
              <w:bottom w:val="nil"/>
              <w:right w:val="nil"/>
            </w:tcBorders>
          </w:tcPr>
          <w:p w14:paraId="548C4FD4" w14:textId="77777777" w:rsidR="00576147" w:rsidRPr="001E3755" w:rsidRDefault="00576147" w:rsidP="007F179B">
            <w:pPr>
              <w:spacing w:line="200" w:lineRule="atLeast"/>
              <w:jc w:val="both"/>
              <w:rPr>
                <w:b/>
                <w:sz w:val="20"/>
                <w:szCs w:val="20"/>
              </w:rPr>
            </w:pPr>
            <w:r w:rsidRPr="001E3755">
              <w:rPr>
                <w:noProof/>
                <w:lang w:val="en-US" w:eastAsia="en-US"/>
              </w:rPr>
              <w:drawing>
                <wp:inline distT="0" distB="0" distL="0" distR="0" wp14:anchorId="672DC3A7" wp14:editId="61B7C631">
                  <wp:extent cx="1243965" cy="765810"/>
                  <wp:effectExtent l="0" t="0" r="0" b="0"/>
                  <wp:docPr id="2" name="Picture 2" descr="ext 3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t 3 days"/>
                          <pic:cNvPicPr>
                            <a:picLocks noChangeAspect="1" noChangeArrowheads="1"/>
                          </pic:cNvPicPr>
                        </pic:nvPicPr>
                        <pic:blipFill>
                          <a:blip r:embed="rId30" cstate="print">
                            <a:extLst>
                              <a:ext uri="{28A0092B-C50C-407E-A947-70E740481C1C}">
                                <a14:useLocalDpi xmlns:a14="http://schemas.microsoft.com/office/drawing/2010/main" val="0"/>
                              </a:ext>
                            </a:extLst>
                          </a:blip>
                          <a:srcRect r="36287" b="48320"/>
                          <a:stretch>
                            <a:fillRect/>
                          </a:stretch>
                        </pic:blipFill>
                        <pic:spPr bwMode="auto">
                          <a:xfrm>
                            <a:off x="0" y="0"/>
                            <a:ext cx="1243965" cy="765810"/>
                          </a:xfrm>
                          <a:prstGeom prst="rect">
                            <a:avLst/>
                          </a:prstGeom>
                          <a:noFill/>
                          <a:ln>
                            <a:noFill/>
                          </a:ln>
                        </pic:spPr>
                      </pic:pic>
                    </a:graphicData>
                  </a:graphic>
                </wp:inline>
              </w:drawing>
            </w:r>
          </w:p>
        </w:tc>
        <w:tc>
          <w:tcPr>
            <w:tcW w:w="2863" w:type="dxa"/>
            <w:tcBorders>
              <w:left w:val="nil"/>
              <w:bottom w:val="nil"/>
              <w:right w:val="nil"/>
            </w:tcBorders>
          </w:tcPr>
          <w:p w14:paraId="25DF615E" w14:textId="77777777" w:rsidR="00576147" w:rsidRPr="001E3755" w:rsidRDefault="00576147" w:rsidP="007F179B">
            <w:pPr>
              <w:spacing w:line="200" w:lineRule="atLeast"/>
              <w:jc w:val="both"/>
              <w:rPr>
                <w:b/>
                <w:sz w:val="20"/>
                <w:szCs w:val="20"/>
              </w:rPr>
            </w:pPr>
            <w:r w:rsidRPr="001E3755">
              <w:rPr>
                <w:noProof/>
                <w:lang w:val="en-US" w:eastAsia="en-US"/>
              </w:rPr>
              <w:drawing>
                <wp:inline distT="0" distB="0" distL="0" distR="0" wp14:anchorId="623B2E8C" wp14:editId="1375AE84">
                  <wp:extent cx="1212215" cy="744220"/>
                  <wp:effectExtent l="0" t="0" r="6985" b="0"/>
                  <wp:docPr id="1" name="Picture 1" descr="ext 6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xt 6 days"/>
                          <pic:cNvPicPr>
                            <a:picLocks noChangeAspect="1" noChangeArrowheads="1"/>
                          </pic:cNvPicPr>
                        </pic:nvPicPr>
                        <pic:blipFill>
                          <a:blip r:embed="rId31" cstate="print">
                            <a:extLst>
                              <a:ext uri="{28A0092B-C50C-407E-A947-70E740481C1C}">
                                <a14:useLocalDpi xmlns:a14="http://schemas.microsoft.com/office/drawing/2010/main" val="0"/>
                              </a:ext>
                            </a:extLst>
                          </a:blip>
                          <a:srcRect r="36617" b="48102"/>
                          <a:stretch>
                            <a:fillRect/>
                          </a:stretch>
                        </pic:blipFill>
                        <pic:spPr bwMode="auto">
                          <a:xfrm>
                            <a:off x="0" y="0"/>
                            <a:ext cx="1212215" cy="744220"/>
                          </a:xfrm>
                          <a:prstGeom prst="rect">
                            <a:avLst/>
                          </a:prstGeom>
                          <a:noFill/>
                          <a:ln>
                            <a:noFill/>
                          </a:ln>
                        </pic:spPr>
                      </pic:pic>
                    </a:graphicData>
                  </a:graphic>
                </wp:inline>
              </w:drawing>
            </w:r>
          </w:p>
        </w:tc>
        <w:tc>
          <w:tcPr>
            <w:tcW w:w="2386" w:type="dxa"/>
            <w:tcBorders>
              <w:left w:val="nil"/>
              <w:bottom w:val="nil"/>
            </w:tcBorders>
          </w:tcPr>
          <w:p w14:paraId="05A71577" w14:textId="77777777" w:rsidR="00576147" w:rsidRPr="001E3755" w:rsidRDefault="00576147" w:rsidP="007F179B">
            <w:pPr>
              <w:spacing w:line="200" w:lineRule="atLeast"/>
              <w:jc w:val="both"/>
              <w:rPr>
                <w:b/>
                <w:sz w:val="20"/>
                <w:szCs w:val="20"/>
              </w:rPr>
            </w:pPr>
          </w:p>
        </w:tc>
      </w:tr>
      <w:tr w:rsidR="00576147" w:rsidRPr="001E3755" w14:paraId="520268C4" w14:textId="77777777" w:rsidTr="007F179B">
        <w:tc>
          <w:tcPr>
            <w:tcW w:w="2464" w:type="dxa"/>
            <w:tcBorders>
              <w:top w:val="nil"/>
              <w:left w:val="single" w:sz="4" w:space="0" w:color="000000"/>
              <w:bottom w:val="single" w:sz="4" w:space="0" w:color="000000"/>
              <w:right w:val="single" w:sz="4" w:space="0" w:color="000000"/>
            </w:tcBorders>
          </w:tcPr>
          <w:p w14:paraId="71B2C6D9" w14:textId="77777777" w:rsidR="00576147" w:rsidRPr="001E3755" w:rsidRDefault="00576147" w:rsidP="007F179B">
            <w:pPr>
              <w:pStyle w:val="CommentText"/>
              <w:suppressLineNumbers w:val="0"/>
              <w:tabs>
                <w:tab w:val="clear" w:pos="340"/>
                <w:tab w:val="clear" w:pos="1418"/>
                <w:tab w:val="clear" w:pos="2268"/>
                <w:tab w:val="clear" w:pos="3119"/>
                <w:tab w:val="clear" w:pos="3969"/>
                <w:tab w:val="clear" w:pos="4820"/>
                <w:tab w:val="clear" w:pos="5670"/>
                <w:tab w:val="clear" w:pos="6521"/>
                <w:tab w:val="clear" w:pos="7938"/>
              </w:tabs>
              <w:suppressAutoHyphens w:val="0"/>
              <w:spacing w:after="0" w:line="200" w:lineRule="atLeast"/>
              <w:rPr>
                <w:b/>
                <w:sz w:val="24"/>
                <w:szCs w:val="24"/>
                <w:lang w:eastAsia="en-GB"/>
              </w:rPr>
            </w:pPr>
          </w:p>
        </w:tc>
        <w:tc>
          <w:tcPr>
            <w:tcW w:w="2863" w:type="dxa"/>
            <w:tcBorders>
              <w:top w:val="nil"/>
              <w:left w:val="single" w:sz="4" w:space="0" w:color="000000"/>
              <w:bottom w:val="single" w:sz="4" w:space="0" w:color="auto"/>
              <w:right w:val="nil"/>
            </w:tcBorders>
          </w:tcPr>
          <w:p w14:paraId="728364F2" w14:textId="77777777" w:rsidR="00576147" w:rsidRPr="001E3755" w:rsidRDefault="00576147" w:rsidP="007F179B">
            <w:pPr>
              <w:spacing w:line="200" w:lineRule="atLeast"/>
              <w:jc w:val="both"/>
              <w:rPr>
                <w:noProof/>
                <w:sz w:val="22"/>
                <w:szCs w:val="22"/>
                <w:lang w:eastAsia="nl-NL"/>
              </w:rPr>
            </w:pPr>
            <w:r w:rsidRPr="001E3755">
              <w:rPr>
                <w:noProof/>
                <w:sz w:val="22"/>
                <w:szCs w:val="22"/>
                <w:lang w:eastAsia="nl-NL"/>
              </w:rPr>
              <w:t>0 days</w:t>
            </w:r>
          </w:p>
        </w:tc>
        <w:tc>
          <w:tcPr>
            <w:tcW w:w="2863" w:type="dxa"/>
            <w:tcBorders>
              <w:top w:val="nil"/>
              <w:left w:val="nil"/>
              <w:bottom w:val="single" w:sz="4" w:space="0" w:color="auto"/>
              <w:right w:val="nil"/>
            </w:tcBorders>
          </w:tcPr>
          <w:p w14:paraId="35C48A55" w14:textId="77777777" w:rsidR="00576147" w:rsidRPr="001E3755" w:rsidRDefault="00576147" w:rsidP="007F179B">
            <w:pPr>
              <w:spacing w:line="200" w:lineRule="atLeast"/>
              <w:jc w:val="both"/>
              <w:rPr>
                <w:noProof/>
                <w:sz w:val="22"/>
                <w:szCs w:val="22"/>
                <w:lang w:eastAsia="nl-NL"/>
              </w:rPr>
            </w:pPr>
            <w:r w:rsidRPr="001E3755">
              <w:rPr>
                <w:noProof/>
                <w:sz w:val="22"/>
                <w:szCs w:val="22"/>
                <w:lang w:eastAsia="nl-NL"/>
              </w:rPr>
              <w:t>3 days per planting season</w:t>
            </w:r>
          </w:p>
        </w:tc>
        <w:tc>
          <w:tcPr>
            <w:tcW w:w="2863" w:type="dxa"/>
            <w:tcBorders>
              <w:top w:val="nil"/>
              <w:left w:val="nil"/>
              <w:bottom w:val="single" w:sz="4" w:space="0" w:color="auto"/>
              <w:right w:val="nil"/>
            </w:tcBorders>
          </w:tcPr>
          <w:p w14:paraId="4FFBA071" w14:textId="77777777" w:rsidR="00576147" w:rsidRPr="001E3755" w:rsidRDefault="00576147" w:rsidP="007F179B">
            <w:pPr>
              <w:spacing w:line="200" w:lineRule="atLeast"/>
              <w:jc w:val="both"/>
              <w:rPr>
                <w:noProof/>
                <w:sz w:val="22"/>
                <w:szCs w:val="22"/>
                <w:lang w:eastAsia="nl-NL"/>
              </w:rPr>
            </w:pPr>
            <w:r w:rsidRPr="001E3755">
              <w:rPr>
                <w:noProof/>
                <w:sz w:val="22"/>
                <w:szCs w:val="22"/>
                <w:lang w:eastAsia="nl-NL"/>
              </w:rPr>
              <w:t>6 days per planting season</w:t>
            </w:r>
          </w:p>
        </w:tc>
        <w:tc>
          <w:tcPr>
            <w:tcW w:w="2386" w:type="dxa"/>
            <w:tcBorders>
              <w:top w:val="nil"/>
              <w:left w:val="nil"/>
              <w:bottom w:val="single" w:sz="4" w:space="0" w:color="auto"/>
              <w:right w:val="single" w:sz="4" w:space="0" w:color="000000"/>
            </w:tcBorders>
          </w:tcPr>
          <w:p w14:paraId="0346E66C" w14:textId="77777777" w:rsidR="00576147" w:rsidRPr="001E3755" w:rsidRDefault="00576147" w:rsidP="007F179B">
            <w:pPr>
              <w:spacing w:line="200" w:lineRule="atLeast"/>
              <w:jc w:val="both"/>
              <w:rPr>
                <w:b/>
                <w:sz w:val="22"/>
                <w:szCs w:val="22"/>
              </w:rPr>
            </w:pPr>
          </w:p>
        </w:tc>
      </w:tr>
    </w:tbl>
    <w:p w14:paraId="553130D4" w14:textId="77777777" w:rsidR="00576147" w:rsidRPr="001E3755" w:rsidRDefault="00576147" w:rsidP="000F22FD">
      <w:pPr>
        <w:pStyle w:val="NormalJustified"/>
        <w:spacing w:after="120"/>
        <w:jc w:val="left"/>
      </w:pPr>
    </w:p>
    <w:p w14:paraId="6A5D145B" w14:textId="77777777" w:rsidR="00576147" w:rsidRPr="001E3755" w:rsidRDefault="00576147" w:rsidP="000F22FD">
      <w:pPr>
        <w:pStyle w:val="NormalJustified"/>
        <w:spacing w:after="120"/>
        <w:jc w:val="left"/>
        <w:sectPr w:rsidR="00576147" w:rsidRPr="001E3755" w:rsidSect="00576147">
          <w:pgSz w:w="16838" w:h="11906" w:orient="landscape" w:code="9"/>
          <w:pgMar w:top="1797" w:right="1440" w:bottom="1797" w:left="1440" w:header="709" w:footer="709" w:gutter="0"/>
          <w:cols w:space="708"/>
          <w:docGrid w:linePitch="360"/>
        </w:sectPr>
      </w:pPr>
    </w:p>
    <w:p w14:paraId="623BCD7B" w14:textId="2BF5B38A" w:rsidR="00121A15" w:rsidRDefault="00AA37EE" w:rsidP="00985349">
      <w:pPr>
        <w:autoSpaceDE w:val="0"/>
        <w:autoSpaceDN w:val="0"/>
        <w:adjustRightInd w:val="0"/>
        <w:spacing w:after="120"/>
      </w:pPr>
      <w:r w:rsidRPr="001E3755">
        <w:lastRenderedPageBreak/>
        <w:t xml:space="preserve">The </w:t>
      </w:r>
      <w:r w:rsidR="00121A15">
        <w:t xml:space="preserve">fourth </w:t>
      </w:r>
      <w:r w:rsidRPr="001E3755">
        <w:t>attribute</w:t>
      </w:r>
      <w:r w:rsidR="00121A15">
        <w:t xml:space="preserve"> represented a monetary benefit which</w:t>
      </w:r>
      <w:r w:rsidRPr="001E3755">
        <w:t xml:space="preserve"> was presented in the form of a conditional credit scheme. Farmers were offered a</w:t>
      </w:r>
      <w:r w:rsidR="00E86684" w:rsidRPr="001E3755">
        <w:t xml:space="preserve"> one-off upfront</w:t>
      </w:r>
      <w:r w:rsidRPr="001E3755">
        <w:t xml:space="preserve"> micro-credit of a certain amount per hectare, which they would only have to pay back if they </w:t>
      </w:r>
      <w:r w:rsidR="00985349">
        <w:t>failed</w:t>
      </w:r>
      <w:r w:rsidRPr="001E3755">
        <w:t xml:space="preserve"> to </w:t>
      </w:r>
      <w:r w:rsidR="00985349">
        <w:t>maintain the newly planted trees on</w:t>
      </w:r>
      <w:r w:rsidR="00985349" w:rsidRPr="001E3755">
        <w:t xml:space="preserve"> </w:t>
      </w:r>
      <w:r w:rsidRPr="001E3755">
        <w:t>their land within five</w:t>
      </w:r>
      <w:r w:rsidR="00E86684" w:rsidRPr="001E3755">
        <w:t xml:space="preserve"> years</w:t>
      </w:r>
      <w:r w:rsidRPr="001E3755">
        <w:t>. The attribute was expressed a per-hectare amount, because the costs and benefits of reforestation depend</w:t>
      </w:r>
      <w:r w:rsidR="00317C93">
        <w:t>ed</w:t>
      </w:r>
      <w:r w:rsidRPr="001E3755">
        <w:t xml:space="preserve"> on the total size of the area</w:t>
      </w:r>
      <w:r w:rsidR="00985349">
        <w:t xml:space="preserve"> planted with trees</w:t>
      </w:r>
      <w:r w:rsidR="00317C93">
        <w:t>, which varied</w:t>
      </w:r>
      <w:r w:rsidRPr="001E3755">
        <w:t xml:space="preserve"> along with the first attribute across respondents.</w:t>
      </w:r>
      <w:r w:rsidR="00576638" w:rsidRPr="001E3755">
        <w:t xml:space="preserve"> The scenario text explained that the </w:t>
      </w:r>
      <w:r w:rsidR="00576638" w:rsidRPr="001E3755">
        <w:rPr>
          <w:rFonts w:eastAsiaTheme="minorHAnsi"/>
          <w:lang w:val="en-US" w:eastAsia="en-US"/>
        </w:rPr>
        <w:t>money would go</w:t>
      </w:r>
      <w:r w:rsidR="00985349">
        <w:rPr>
          <w:rFonts w:eastAsiaTheme="minorHAnsi"/>
          <w:lang w:val="en-US" w:eastAsia="en-US"/>
        </w:rPr>
        <w:t xml:space="preserve"> </w:t>
      </w:r>
      <w:r w:rsidR="00576638" w:rsidRPr="001E3755">
        <w:rPr>
          <w:rFonts w:eastAsiaTheme="minorHAnsi"/>
          <w:lang w:val="en-US" w:eastAsia="en-US"/>
        </w:rPr>
        <w:t>directly to the farmer</w:t>
      </w:r>
      <w:r w:rsidR="00576638" w:rsidRPr="00676E98">
        <w:rPr>
          <w:rFonts w:eastAsiaTheme="minorHAnsi"/>
          <w:lang w:val="en-US" w:eastAsia="en-US"/>
        </w:rPr>
        <w:t xml:space="preserve"> without the involvement of m</w:t>
      </w:r>
      <w:r w:rsidR="00576638" w:rsidRPr="00546B8B">
        <w:rPr>
          <w:rFonts w:eastAsiaTheme="minorHAnsi"/>
          <w:lang w:val="en-US" w:eastAsia="en-US"/>
        </w:rPr>
        <w:t>iddle-men.</w:t>
      </w:r>
      <w:r w:rsidRPr="00546B8B">
        <w:t xml:space="preserve"> The </w:t>
      </w:r>
      <w:r w:rsidR="00E86684" w:rsidRPr="00546B8B">
        <w:t>condition</w:t>
      </w:r>
      <w:r w:rsidRPr="00546B8B">
        <w:t xml:space="preserve"> on the </w:t>
      </w:r>
      <w:r w:rsidR="00E86684" w:rsidRPr="00546B8B">
        <w:t>payment</w:t>
      </w:r>
      <w:r w:rsidRPr="00546B8B">
        <w:t xml:space="preserve"> was used in the survey to ensure that farmers would </w:t>
      </w:r>
      <w:r w:rsidR="001C191F" w:rsidRPr="00546B8B">
        <w:t>consider</w:t>
      </w:r>
      <w:r w:rsidRPr="00546B8B">
        <w:t xml:space="preserve"> the risk of not meeting the loan requirements. In the pre-tests, farmers stated that this risk would limit the maximum amount they would want to </w:t>
      </w:r>
      <w:r w:rsidR="00E86684" w:rsidRPr="00546B8B">
        <w:t>get</w:t>
      </w:r>
      <w:r w:rsidRPr="00546B8B">
        <w:t xml:space="preserve">. </w:t>
      </w:r>
      <w:r w:rsidR="00E86684" w:rsidRPr="00546B8B">
        <w:t>W</w:t>
      </w:r>
      <w:r w:rsidRPr="00546B8B">
        <w:t>e aimed to mitigate the risk of strategic overstatement of compensation needs, which is sometimes found in other</w:t>
      </w:r>
      <w:r w:rsidR="00E11E3F" w:rsidRPr="00546B8B">
        <w:t xml:space="preserve"> WTA surveys (Brown and Gregory</w:t>
      </w:r>
      <w:r w:rsidRPr="00546B8B">
        <w:t xml:space="preserve"> 1999). The highest level of the monetary attribute was set at 20</w:t>
      </w:r>
      <w:r w:rsidR="00DB5804">
        <w:t xml:space="preserve"> </w:t>
      </w:r>
      <w:r w:rsidR="00DB5804" w:rsidRPr="00546B8B">
        <w:t xml:space="preserve">million </w:t>
      </w:r>
      <w:r w:rsidR="00DB5804">
        <w:t>Indonesian Rupiah</w:t>
      </w:r>
      <w:r w:rsidRPr="00546B8B">
        <w:t xml:space="preserve"> </w:t>
      </w:r>
      <w:r w:rsidR="00E86684" w:rsidRPr="00546B8B">
        <w:t>per hectare (1</w:t>
      </w:r>
      <w:r w:rsidR="000A3D8D" w:rsidRPr="00546B8B">
        <w:t>,</w:t>
      </w:r>
      <w:r w:rsidR="00E86684" w:rsidRPr="00546B8B">
        <w:t>538</w:t>
      </w:r>
      <w:r w:rsidRPr="00546B8B">
        <w:t xml:space="preserve"> E</w:t>
      </w:r>
      <w:r w:rsidR="00EF73AC">
        <w:t>uro</w:t>
      </w:r>
      <w:r w:rsidRPr="00546B8B">
        <w:t>/ha in 2007 prices)</w:t>
      </w:r>
      <w:r w:rsidRPr="001E3755">
        <w:rPr>
          <w:rStyle w:val="FootnoteReference"/>
        </w:rPr>
        <w:footnoteReference w:id="1"/>
      </w:r>
      <w:r w:rsidR="000F22FD" w:rsidRPr="001E3755">
        <w:t xml:space="preserve">, approximately equivalent to mean smallholder agriculture revenues per hectare over </w:t>
      </w:r>
      <w:r w:rsidR="00B4280A">
        <w:t>five</w:t>
      </w:r>
      <w:r w:rsidR="000F22FD" w:rsidRPr="001E3755">
        <w:t xml:space="preserve"> years (Law et al. 2015)</w:t>
      </w:r>
      <w:r w:rsidRPr="001E3755">
        <w:t xml:space="preserve">. We expected that the higher was the conditional credit, the higher would be the probability that a respondent chose to </w:t>
      </w:r>
      <w:r w:rsidR="00985349">
        <w:t>plant trees on</w:t>
      </w:r>
      <w:r w:rsidR="00985349" w:rsidRPr="00676E98">
        <w:t xml:space="preserve"> </w:t>
      </w:r>
      <w:r w:rsidRPr="00676E98">
        <w:t>his land</w:t>
      </w:r>
      <w:r w:rsidR="00317C93">
        <w:t xml:space="preserve"> and thus ch</w:t>
      </w:r>
      <w:r w:rsidR="00B875CE" w:rsidRPr="00676E98">
        <w:t>ose one of the options</w:t>
      </w:r>
      <w:r w:rsidRPr="00546B8B">
        <w:t>.</w:t>
      </w:r>
      <w:r w:rsidR="00985349">
        <w:t xml:space="preserve"> </w:t>
      </w:r>
    </w:p>
    <w:p w14:paraId="69AA9829" w14:textId="029A9B9F" w:rsidR="00985349" w:rsidRDefault="00AA37EE" w:rsidP="00985349">
      <w:pPr>
        <w:autoSpaceDE w:val="0"/>
        <w:autoSpaceDN w:val="0"/>
        <w:adjustRightInd w:val="0"/>
        <w:spacing w:after="120"/>
      </w:pPr>
      <w:r w:rsidRPr="00546B8B">
        <w:t>The</w:t>
      </w:r>
      <w:r w:rsidR="00121A15">
        <w:t xml:space="preserve"> fifth and</w:t>
      </w:r>
      <w:r w:rsidRPr="00546B8B">
        <w:t xml:space="preserve"> final attribute for extension services was included to assess the demand for provision of </w:t>
      </w:r>
      <w:r w:rsidR="00E86684" w:rsidRPr="00546B8B">
        <w:t xml:space="preserve">technical </w:t>
      </w:r>
      <w:r w:rsidRPr="00546B8B">
        <w:t xml:space="preserve">assistance with </w:t>
      </w:r>
      <w:r w:rsidR="00985349">
        <w:t>tree-planting</w:t>
      </w:r>
      <w:r w:rsidR="00985349" w:rsidRPr="00546B8B">
        <w:t xml:space="preserve"> </w:t>
      </w:r>
      <w:r w:rsidR="00E86684" w:rsidRPr="00546B8B">
        <w:t>activities to farmers</w:t>
      </w:r>
      <w:r w:rsidRPr="00546B8B">
        <w:t>. Some of the sampled villages already received assistance by extension officers, who advise on agricultural techniques</w:t>
      </w:r>
      <w:r w:rsidR="00A97479" w:rsidRPr="00546B8B">
        <w:t>, which formed the basis of the attribute levels</w:t>
      </w:r>
      <w:r w:rsidRPr="00546B8B">
        <w:t>. Extension services were expected to provide</w:t>
      </w:r>
      <w:r w:rsidR="00E86684" w:rsidRPr="00546B8B">
        <w:t xml:space="preserve"> some</w:t>
      </w:r>
      <w:r w:rsidRPr="00546B8B">
        <w:t xml:space="preserve"> benefits to respondents</w:t>
      </w:r>
      <w:r w:rsidR="00E86684" w:rsidRPr="00546B8B">
        <w:t>;</w:t>
      </w:r>
      <w:r w:rsidRPr="00546B8B">
        <w:t xml:space="preserve"> this attribute was expected to have a small positive effect</w:t>
      </w:r>
      <w:r w:rsidR="00B875CE" w:rsidRPr="00546B8B">
        <w:t xml:space="preserve"> on choice probabilities</w:t>
      </w:r>
      <w:r w:rsidRPr="00546B8B">
        <w:t>.</w:t>
      </w:r>
    </w:p>
    <w:p w14:paraId="677EA1D0" w14:textId="0F19BE6A" w:rsidR="00AA37EE" w:rsidRPr="00546B8B" w:rsidRDefault="00AA37EE" w:rsidP="00985349">
      <w:pPr>
        <w:autoSpaceDE w:val="0"/>
        <w:autoSpaceDN w:val="0"/>
        <w:adjustRightInd w:val="0"/>
        <w:spacing w:after="120"/>
      </w:pPr>
      <w:r w:rsidRPr="00546B8B">
        <w:t xml:space="preserve">In the survey, pictograms and pictures were used to explain the meaning and the variation in the different levels of the attributes and to support interpretation of the choice cards (see e.g., </w:t>
      </w:r>
      <w:proofErr w:type="spellStart"/>
      <w:r w:rsidRPr="00546B8B">
        <w:t>Rasid</w:t>
      </w:r>
      <w:proofErr w:type="spellEnd"/>
      <w:r w:rsidRPr="00546B8B">
        <w:t xml:space="preserve"> and Haider 2003). In the final </w:t>
      </w:r>
      <w:r w:rsidR="00A12390" w:rsidRPr="00546B8B">
        <w:t>CE</w:t>
      </w:r>
      <w:r w:rsidRPr="00546B8B">
        <w:t xml:space="preserve">, respondents were asked to evaluate four choice cards. Each card consisted of two alternative scenarios based on the five attributes, and an opt-out choice reflecting the current situation. Respondents were asked to choose their preferred alternative from each card separately, without the opportunity to review choices. A fractional factorial experimental design </w:t>
      </w:r>
      <w:r w:rsidR="00A12390" w:rsidRPr="00546B8B">
        <w:t>with eight blocks</w:t>
      </w:r>
      <w:r w:rsidR="004812B9" w:rsidRPr="00546B8B">
        <w:t xml:space="preserve"> </w:t>
      </w:r>
      <w:r w:rsidRPr="00546B8B">
        <w:t xml:space="preserve">was used </w:t>
      </w:r>
      <w:r w:rsidR="00A12390" w:rsidRPr="00546B8B">
        <w:t>to generate</w:t>
      </w:r>
      <w:r w:rsidRPr="00546B8B">
        <w:t xml:space="preserve"> the choice cards</w:t>
      </w:r>
      <w:r w:rsidR="004812B9" w:rsidRPr="00546B8B">
        <w:t>; each block contained four choice cards which were presented in a fixed order</w:t>
      </w:r>
      <w:r w:rsidR="00613F2A" w:rsidRPr="00546B8B">
        <w:t xml:space="preserve">. </w:t>
      </w:r>
      <w:r w:rsidR="00613F2A" w:rsidRPr="00546B8B">
        <w:rPr>
          <w:iCs/>
        </w:rPr>
        <w:t xml:space="preserve">In total, 32 different choice cards were used in the CE. </w:t>
      </w:r>
      <w:r w:rsidR="00613F2A" w:rsidRPr="00546B8B">
        <w:t>T</w:t>
      </w:r>
      <w:r w:rsidR="004812B9" w:rsidRPr="00546B8B">
        <w:t>he choice cards were checked for dominant options</w:t>
      </w:r>
      <w:r w:rsidRPr="00546B8B">
        <w:t>.</w:t>
      </w:r>
      <w:r w:rsidR="004812B9" w:rsidRPr="00546B8B">
        <w:t xml:space="preserve"> The blocks were assigned randomly to respondents whilst balancing the number of times that each block was used.</w:t>
      </w:r>
    </w:p>
    <w:p w14:paraId="681CCA16" w14:textId="677B4166" w:rsidR="00AA37EE" w:rsidRPr="00546B8B" w:rsidRDefault="00AA37EE" w:rsidP="00985349">
      <w:pPr>
        <w:spacing w:after="120"/>
        <w:rPr>
          <w:szCs w:val="22"/>
        </w:rPr>
      </w:pPr>
      <w:r w:rsidRPr="00546B8B">
        <w:t xml:space="preserve">The CE was embedded in a household survey, which </w:t>
      </w:r>
      <w:r w:rsidRPr="00546B8B">
        <w:rPr>
          <w:szCs w:val="22"/>
        </w:rPr>
        <w:t xml:space="preserve">consisted of 54 questions, divided into five sections: current farming practices, involvement in current support and development programmes, the respondent’s experience and opinion on the fire ban and development plans, the </w:t>
      </w:r>
      <w:r w:rsidR="00317C93">
        <w:rPr>
          <w:szCs w:val="22"/>
        </w:rPr>
        <w:t>CE</w:t>
      </w:r>
      <w:r w:rsidRPr="00546B8B">
        <w:rPr>
          <w:szCs w:val="22"/>
        </w:rPr>
        <w:t xml:space="preserve">, and </w:t>
      </w:r>
      <w:r w:rsidRPr="00546B8B">
        <w:t>the respondents’ socio-demographic and economic characteristics</w:t>
      </w:r>
      <w:r w:rsidRPr="00546B8B">
        <w:rPr>
          <w:szCs w:val="22"/>
        </w:rPr>
        <w:t>.</w:t>
      </w:r>
      <w:r w:rsidR="005B1C44" w:rsidRPr="00546B8B">
        <w:rPr>
          <w:szCs w:val="22"/>
        </w:rPr>
        <w:t xml:space="preserve"> </w:t>
      </w:r>
      <w:r w:rsidR="005B1C44" w:rsidRPr="00546B8B">
        <w:t>Questions about causes, benefits, costs and attitudes towards deforestation and peatland rehabilitation were included.</w:t>
      </w:r>
      <w:r w:rsidRPr="00546B8B">
        <w:rPr>
          <w:szCs w:val="22"/>
        </w:rPr>
        <w:t xml:space="preserve"> </w:t>
      </w:r>
      <w:r w:rsidRPr="00546B8B">
        <w:t>Almost all questions were closed-ended or had a statement-format</w:t>
      </w:r>
      <w:r w:rsidR="003216E2">
        <w:t xml:space="preserve"> with a Likert-scale</w:t>
      </w:r>
      <w:r w:rsidRPr="00546B8B">
        <w:t xml:space="preserve">, in which respondents were asked to what extent they agreed with the statement. </w:t>
      </w:r>
    </w:p>
    <w:p w14:paraId="112FCD61" w14:textId="0693A2D9" w:rsidR="00B41F9A" w:rsidRPr="00546B8B" w:rsidRDefault="00B41F9A" w:rsidP="00B41F9A">
      <w:pPr>
        <w:spacing w:after="200"/>
        <w:rPr>
          <w:b/>
          <w:szCs w:val="22"/>
        </w:rPr>
      </w:pPr>
      <w:r w:rsidRPr="00546B8B">
        <w:rPr>
          <w:b/>
          <w:szCs w:val="22"/>
        </w:rPr>
        <w:t>3.</w:t>
      </w:r>
      <w:r w:rsidR="00541B8B">
        <w:rPr>
          <w:b/>
          <w:szCs w:val="22"/>
        </w:rPr>
        <w:t>2</w:t>
      </w:r>
      <w:r w:rsidRPr="00546B8B">
        <w:rPr>
          <w:b/>
          <w:szCs w:val="22"/>
        </w:rPr>
        <w:t xml:space="preserve"> </w:t>
      </w:r>
      <w:r w:rsidR="007502E5">
        <w:rPr>
          <w:b/>
          <w:szCs w:val="22"/>
        </w:rPr>
        <w:t xml:space="preserve">Design of </w:t>
      </w:r>
      <w:r w:rsidRPr="00546B8B">
        <w:rPr>
          <w:b/>
          <w:szCs w:val="22"/>
        </w:rPr>
        <w:t xml:space="preserve">Focus </w:t>
      </w:r>
      <w:r w:rsidR="007502E5">
        <w:rPr>
          <w:b/>
          <w:szCs w:val="22"/>
        </w:rPr>
        <w:t>G</w:t>
      </w:r>
      <w:r w:rsidRPr="00546B8B">
        <w:rPr>
          <w:b/>
          <w:szCs w:val="22"/>
        </w:rPr>
        <w:t xml:space="preserve">roup </w:t>
      </w:r>
      <w:r w:rsidR="007502E5">
        <w:rPr>
          <w:b/>
          <w:szCs w:val="22"/>
        </w:rPr>
        <w:t>D</w:t>
      </w:r>
      <w:r w:rsidRPr="00546B8B">
        <w:rPr>
          <w:b/>
          <w:szCs w:val="22"/>
        </w:rPr>
        <w:t>iscussion</w:t>
      </w:r>
      <w:r w:rsidR="00983993" w:rsidRPr="00546B8B">
        <w:rPr>
          <w:b/>
          <w:szCs w:val="22"/>
        </w:rPr>
        <w:t>s</w:t>
      </w:r>
    </w:p>
    <w:p w14:paraId="0692A298" w14:textId="5F692529" w:rsidR="00F603D7" w:rsidRPr="00546B8B" w:rsidRDefault="00A46132" w:rsidP="00B41F9A">
      <w:pPr>
        <w:spacing w:after="200"/>
        <w:rPr>
          <w:szCs w:val="22"/>
        </w:rPr>
      </w:pPr>
      <w:bookmarkStart w:id="4" w:name="_Hlk484098105"/>
      <w:r>
        <w:rPr>
          <w:szCs w:val="22"/>
        </w:rPr>
        <w:t>A series of FGDs was conducted at the same time as the CE</w:t>
      </w:r>
      <w:r w:rsidR="00DC12CE">
        <w:rPr>
          <w:szCs w:val="22"/>
        </w:rPr>
        <w:t xml:space="preserve">. </w:t>
      </w:r>
      <w:bookmarkEnd w:id="4"/>
      <w:r w:rsidR="00265F29" w:rsidRPr="00546B8B">
        <w:rPr>
          <w:szCs w:val="22"/>
        </w:rPr>
        <w:t>FGD</w:t>
      </w:r>
      <w:r w:rsidR="00B40953" w:rsidRPr="00546B8B">
        <w:rPr>
          <w:szCs w:val="22"/>
        </w:rPr>
        <w:t>s</w:t>
      </w:r>
      <w:r w:rsidR="00265F29" w:rsidRPr="00546B8B">
        <w:rPr>
          <w:szCs w:val="22"/>
        </w:rPr>
        <w:t xml:space="preserve"> fall under the umbrella of techniques that emphasize data collection among groups of individuals and are</w:t>
      </w:r>
      <w:r w:rsidR="00B40953" w:rsidRPr="00546B8B">
        <w:rPr>
          <w:szCs w:val="22"/>
        </w:rPr>
        <w:t xml:space="preserve"> </w:t>
      </w:r>
      <w:r w:rsidR="00265F29" w:rsidRPr="00546B8B">
        <w:rPr>
          <w:szCs w:val="22"/>
        </w:rPr>
        <w:t>often used</w:t>
      </w:r>
      <w:r w:rsidR="00B40953" w:rsidRPr="00546B8B">
        <w:rPr>
          <w:szCs w:val="22"/>
        </w:rPr>
        <w:t xml:space="preserve"> </w:t>
      </w:r>
      <w:r w:rsidR="00265F29" w:rsidRPr="00546B8B">
        <w:rPr>
          <w:szCs w:val="22"/>
        </w:rPr>
        <w:t>in participatory rural appraisal studies</w:t>
      </w:r>
      <w:r w:rsidR="004905C1" w:rsidRPr="00546B8B">
        <w:rPr>
          <w:szCs w:val="22"/>
        </w:rPr>
        <w:t xml:space="preserve"> (e.g. </w:t>
      </w:r>
      <w:r w:rsidR="00DF7507" w:rsidRPr="00546B8B">
        <w:rPr>
          <w:szCs w:val="22"/>
        </w:rPr>
        <w:t xml:space="preserve">Dao et al. 2015, </w:t>
      </w:r>
      <w:r w:rsidR="004905C1" w:rsidRPr="00546B8B">
        <w:rPr>
          <w:szCs w:val="22"/>
        </w:rPr>
        <w:t>Ramirez-Gomez et al. 2015)</w:t>
      </w:r>
      <w:r w:rsidR="00265F29" w:rsidRPr="00546B8B">
        <w:rPr>
          <w:szCs w:val="22"/>
        </w:rPr>
        <w:t>. A facilitator, who introduces the topics and enhances discussions, usually leads the discussions</w:t>
      </w:r>
      <w:r w:rsidR="00F603D7" w:rsidRPr="00546B8B">
        <w:rPr>
          <w:szCs w:val="22"/>
        </w:rPr>
        <w:t xml:space="preserve"> </w:t>
      </w:r>
      <w:r w:rsidR="00F603D7" w:rsidRPr="00546B8B">
        <w:rPr>
          <w:szCs w:val="22"/>
        </w:rPr>
        <w:lastRenderedPageBreak/>
        <w:t>and stimulates interaction between participants</w:t>
      </w:r>
      <w:r w:rsidR="00586E6E" w:rsidRPr="00546B8B">
        <w:rPr>
          <w:szCs w:val="22"/>
        </w:rPr>
        <w:t xml:space="preserve">, which may </w:t>
      </w:r>
      <w:r w:rsidR="001C191F" w:rsidRPr="00546B8B">
        <w:rPr>
          <w:szCs w:val="22"/>
        </w:rPr>
        <w:t>benefit</w:t>
      </w:r>
      <w:r w:rsidR="00586E6E" w:rsidRPr="00546B8B">
        <w:rPr>
          <w:szCs w:val="22"/>
        </w:rPr>
        <w:t xml:space="preserve"> socially marginalised groups</w:t>
      </w:r>
      <w:r w:rsidR="00F603D7" w:rsidRPr="00546B8B">
        <w:rPr>
          <w:szCs w:val="22"/>
        </w:rPr>
        <w:t xml:space="preserve"> (Gibbs 1997</w:t>
      </w:r>
      <w:r w:rsidR="00586E6E" w:rsidRPr="00546B8B">
        <w:rPr>
          <w:szCs w:val="22"/>
        </w:rPr>
        <w:t>, Kidd and Parshall 2000</w:t>
      </w:r>
      <w:r w:rsidR="00F603D7" w:rsidRPr="00546B8B">
        <w:rPr>
          <w:szCs w:val="22"/>
        </w:rPr>
        <w:t>).</w:t>
      </w:r>
      <w:r w:rsidR="0088498C" w:rsidRPr="00546B8B">
        <w:rPr>
          <w:szCs w:val="22"/>
        </w:rPr>
        <w:t xml:space="preserve"> The FGD approach used in this project can be classified as exploratory, seeking to identify and explain thoughts, feelings and behaviour (Fern 2001).</w:t>
      </w:r>
    </w:p>
    <w:p w14:paraId="71E6BA5B" w14:textId="0B99E43B" w:rsidR="001932EF" w:rsidRPr="00546B8B" w:rsidRDefault="00E47900" w:rsidP="00B41F9A">
      <w:pPr>
        <w:spacing w:after="200"/>
        <w:rPr>
          <w:szCs w:val="22"/>
        </w:rPr>
      </w:pPr>
      <w:r w:rsidRPr="00546B8B">
        <w:rPr>
          <w:szCs w:val="22"/>
        </w:rPr>
        <w:t>T</w:t>
      </w:r>
      <w:r w:rsidR="00586E6E" w:rsidRPr="00546B8B">
        <w:rPr>
          <w:szCs w:val="22"/>
        </w:rPr>
        <w:t xml:space="preserve">he interaction between participants in FGDs </w:t>
      </w:r>
      <w:r w:rsidR="00265F29" w:rsidRPr="00546B8B">
        <w:rPr>
          <w:szCs w:val="22"/>
        </w:rPr>
        <w:t>allow</w:t>
      </w:r>
      <w:r w:rsidR="00586E6E" w:rsidRPr="00546B8B">
        <w:rPr>
          <w:szCs w:val="22"/>
        </w:rPr>
        <w:t>s</w:t>
      </w:r>
      <w:r w:rsidR="00265F29" w:rsidRPr="00546B8B">
        <w:rPr>
          <w:szCs w:val="22"/>
        </w:rPr>
        <w:t xml:space="preserve"> for more flexibility in the </w:t>
      </w:r>
      <w:r w:rsidR="00586E6E" w:rsidRPr="00546B8B">
        <w:rPr>
          <w:szCs w:val="22"/>
        </w:rPr>
        <w:t>assessments</w:t>
      </w:r>
      <w:r w:rsidR="00265F29" w:rsidRPr="00546B8B">
        <w:rPr>
          <w:szCs w:val="22"/>
        </w:rPr>
        <w:t xml:space="preserve"> of</w:t>
      </w:r>
      <w:r w:rsidR="00586E6E" w:rsidRPr="00546B8B">
        <w:rPr>
          <w:szCs w:val="22"/>
        </w:rPr>
        <w:t xml:space="preserve"> values,</w:t>
      </w:r>
      <w:r w:rsidR="00265F29" w:rsidRPr="00546B8B">
        <w:rPr>
          <w:szCs w:val="22"/>
        </w:rPr>
        <w:t xml:space="preserve"> beliefs and perceptions</w:t>
      </w:r>
      <w:r w:rsidR="00586E6E" w:rsidRPr="00546B8B">
        <w:rPr>
          <w:szCs w:val="22"/>
        </w:rPr>
        <w:t xml:space="preserve"> of situations</w:t>
      </w:r>
      <w:r w:rsidR="00265F29" w:rsidRPr="00546B8B">
        <w:rPr>
          <w:szCs w:val="22"/>
        </w:rPr>
        <w:t xml:space="preserve"> than household </w:t>
      </w:r>
      <w:r w:rsidR="00586E6E" w:rsidRPr="00546B8B">
        <w:rPr>
          <w:szCs w:val="22"/>
        </w:rPr>
        <w:t>surveys</w:t>
      </w:r>
      <w:r w:rsidR="007C5359" w:rsidRPr="00546B8B">
        <w:rPr>
          <w:szCs w:val="22"/>
        </w:rPr>
        <w:t xml:space="preserve"> and the CE scenario</w:t>
      </w:r>
      <w:r w:rsidR="00265F29" w:rsidRPr="00546B8B">
        <w:rPr>
          <w:szCs w:val="22"/>
        </w:rPr>
        <w:t xml:space="preserve">. People may have more freedom to express doubts and conditions of accepting certain proposals. </w:t>
      </w:r>
      <w:r w:rsidR="00586E6E" w:rsidRPr="00546B8B">
        <w:rPr>
          <w:szCs w:val="22"/>
        </w:rPr>
        <w:t>However, commonly mentioned limitations</w:t>
      </w:r>
      <w:r w:rsidRPr="00546B8B">
        <w:rPr>
          <w:szCs w:val="22"/>
        </w:rPr>
        <w:t xml:space="preserve"> of group interaction</w:t>
      </w:r>
      <w:r w:rsidR="00586E6E" w:rsidRPr="00546B8B">
        <w:rPr>
          <w:szCs w:val="22"/>
        </w:rPr>
        <w:t xml:space="preserve"> include conformance, coercion,</w:t>
      </w:r>
      <w:r w:rsidRPr="00546B8B">
        <w:rPr>
          <w:szCs w:val="22"/>
        </w:rPr>
        <w:t xml:space="preserve"> and</w:t>
      </w:r>
      <w:r w:rsidR="00586E6E" w:rsidRPr="00546B8B">
        <w:rPr>
          <w:szCs w:val="22"/>
        </w:rPr>
        <w:t xml:space="preserve"> conflict avoidance</w:t>
      </w:r>
      <w:r w:rsidRPr="00546B8B">
        <w:rPr>
          <w:szCs w:val="22"/>
        </w:rPr>
        <w:t>, resulting in non-participation of less articulate, confident or powerful people</w:t>
      </w:r>
      <w:r w:rsidR="00586E6E" w:rsidRPr="00546B8B">
        <w:rPr>
          <w:szCs w:val="22"/>
        </w:rPr>
        <w:t xml:space="preserve"> (Kidd and Parshall 2000).</w:t>
      </w:r>
      <w:r w:rsidRPr="00546B8B">
        <w:rPr>
          <w:szCs w:val="22"/>
        </w:rPr>
        <w:t xml:space="preserve"> Practically, it can be difficult to ensure representativeness of the FGD sample, and indeed, this may not be the objective of FGDs. Finally, confidential or politically sensitive issues, including individual income, ability and willingness to pay may be better assessed in individual interviews (</w:t>
      </w:r>
      <w:proofErr w:type="spellStart"/>
      <w:r w:rsidRPr="00546B8B">
        <w:rPr>
          <w:szCs w:val="22"/>
        </w:rPr>
        <w:t>Powe</w:t>
      </w:r>
      <w:proofErr w:type="spellEnd"/>
      <w:r w:rsidRPr="00546B8B">
        <w:rPr>
          <w:szCs w:val="22"/>
        </w:rPr>
        <w:t xml:space="preserve"> 2007</w:t>
      </w:r>
      <w:r w:rsidR="00043692" w:rsidRPr="00546B8B">
        <w:rPr>
          <w:szCs w:val="22"/>
        </w:rPr>
        <w:t>, Ch.4</w:t>
      </w:r>
      <w:r w:rsidRPr="00546B8B">
        <w:rPr>
          <w:szCs w:val="22"/>
        </w:rPr>
        <w:t>).</w:t>
      </w:r>
    </w:p>
    <w:p w14:paraId="73B7F9C7" w14:textId="73CB9016" w:rsidR="003C12B9" w:rsidRPr="00546B8B" w:rsidRDefault="003C12B9" w:rsidP="00B41F9A">
      <w:pPr>
        <w:spacing w:after="200"/>
        <w:rPr>
          <w:szCs w:val="22"/>
        </w:rPr>
      </w:pPr>
      <w:r w:rsidRPr="001E3755">
        <w:rPr>
          <w:szCs w:val="22"/>
        </w:rPr>
        <w:t>The main purpose of our FGD</w:t>
      </w:r>
      <w:r w:rsidR="00E47900" w:rsidRPr="001E3755">
        <w:rPr>
          <w:szCs w:val="22"/>
        </w:rPr>
        <w:t>s</w:t>
      </w:r>
      <w:r w:rsidRPr="001E3755">
        <w:rPr>
          <w:szCs w:val="22"/>
        </w:rPr>
        <w:t xml:space="preserve"> was to explore the conceptualizations, attitudes, perceptions, values and priorities of peatland </w:t>
      </w:r>
      <w:r w:rsidR="00A12390" w:rsidRPr="001E3755">
        <w:rPr>
          <w:szCs w:val="22"/>
        </w:rPr>
        <w:t xml:space="preserve">restoration and </w:t>
      </w:r>
      <w:r w:rsidR="00985349">
        <w:rPr>
          <w:szCs w:val="22"/>
        </w:rPr>
        <w:t>tree-planting</w:t>
      </w:r>
      <w:r w:rsidR="00985349" w:rsidRPr="001E3755">
        <w:rPr>
          <w:szCs w:val="22"/>
        </w:rPr>
        <w:t xml:space="preserve"> </w:t>
      </w:r>
      <w:r w:rsidRPr="001E3755">
        <w:rPr>
          <w:szCs w:val="22"/>
        </w:rPr>
        <w:t>(</w:t>
      </w:r>
      <w:proofErr w:type="spellStart"/>
      <w:r w:rsidRPr="001E3755">
        <w:rPr>
          <w:szCs w:val="22"/>
        </w:rPr>
        <w:t>Powe</w:t>
      </w:r>
      <w:proofErr w:type="spellEnd"/>
      <w:r w:rsidRPr="001E3755">
        <w:rPr>
          <w:szCs w:val="22"/>
        </w:rPr>
        <w:t xml:space="preserve"> et al. 2005). </w:t>
      </w:r>
      <w:r w:rsidR="00A12390" w:rsidRPr="001E3755">
        <w:rPr>
          <w:szCs w:val="22"/>
        </w:rPr>
        <w:t xml:space="preserve">The FGDs focused on direct uses and interaction with peatland resources as well as intrinsic, non-monetary values. </w:t>
      </w:r>
      <w:r w:rsidRPr="001E3755">
        <w:rPr>
          <w:szCs w:val="22"/>
        </w:rPr>
        <w:t>The FGD</w:t>
      </w:r>
      <w:r w:rsidR="00E47900" w:rsidRPr="001E3755">
        <w:rPr>
          <w:szCs w:val="22"/>
        </w:rPr>
        <w:t>s</w:t>
      </w:r>
      <w:r w:rsidRPr="001E3755">
        <w:rPr>
          <w:szCs w:val="22"/>
        </w:rPr>
        <w:t xml:space="preserve"> were also used to give insight in the thought-processes </w:t>
      </w:r>
      <w:r w:rsidR="00E47900" w:rsidRPr="001E3755">
        <w:rPr>
          <w:szCs w:val="22"/>
        </w:rPr>
        <w:t>that preceded choices</w:t>
      </w:r>
      <w:r w:rsidRPr="001E3755">
        <w:rPr>
          <w:szCs w:val="22"/>
        </w:rPr>
        <w:t xml:space="preserve"> and the adequacy of the valuation exercise</w:t>
      </w:r>
      <w:r w:rsidR="00E47900" w:rsidRPr="001E3755">
        <w:rPr>
          <w:szCs w:val="22"/>
        </w:rPr>
        <w:t xml:space="preserve">, </w:t>
      </w:r>
      <w:r w:rsidR="001C191F" w:rsidRPr="001E3755">
        <w:rPr>
          <w:szCs w:val="22"/>
        </w:rPr>
        <w:t>to</w:t>
      </w:r>
      <w:r w:rsidR="00E47900" w:rsidRPr="001E3755">
        <w:rPr>
          <w:szCs w:val="22"/>
        </w:rPr>
        <w:t xml:space="preserve"> provide </w:t>
      </w:r>
      <w:r w:rsidRPr="001E3755">
        <w:rPr>
          <w:szCs w:val="22"/>
        </w:rPr>
        <w:t>validity</w:t>
      </w:r>
      <w:r w:rsidR="00E47900" w:rsidRPr="00676E98">
        <w:rPr>
          <w:szCs w:val="22"/>
        </w:rPr>
        <w:t xml:space="preserve"> checks</w:t>
      </w:r>
      <w:r w:rsidRPr="00546B8B">
        <w:rPr>
          <w:szCs w:val="22"/>
        </w:rPr>
        <w:t xml:space="preserve"> of CE exercise. </w:t>
      </w:r>
    </w:p>
    <w:p w14:paraId="3D0D06B7" w14:textId="0051717C" w:rsidR="00C767D5" w:rsidRPr="00546B8B" w:rsidRDefault="00DC25A3" w:rsidP="00B41F9A">
      <w:pPr>
        <w:spacing w:after="200"/>
      </w:pPr>
      <w:r w:rsidRPr="00546B8B">
        <w:t>The FGD</w:t>
      </w:r>
      <w:r w:rsidR="00E47900" w:rsidRPr="00546B8B">
        <w:t>s</w:t>
      </w:r>
      <w:r w:rsidRPr="00546B8B">
        <w:t xml:space="preserve"> were loosely structured around </w:t>
      </w:r>
      <w:r w:rsidR="00E11E3F" w:rsidRPr="00546B8B">
        <w:t>six</w:t>
      </w:r>
      <w:r w:rsidR="00A46132">
        <w:t xml:space="preserve"> topics:</w:t>
      </w:r>
      <w:r w:rsidRPr="00546B8B">
        <w:t xml:space="preserve"> </w:t>
      </w:r>
      <w:r w:rsidR="00237E25" w:rsidRPr="00546B8B">
        <w:t>three standard peatland restoration activities, namely blocki</w:t>
      </w:r>
      <w:r w:rsidR="00A12390" w:rsidRPr="00546B8B">
        <w:t xml:space="preserve">ng canals, </w:t>
      </w:r>
      <w:r w:rsidR="00451A71" w:rsidRPr="00546B8B">
        <w:t>land use change</w:t>
      </w:r>
      <w:r w:rsidR="00A12390" w:rsidRPr="00546B8B">
        <w:t>, and the use and</w:t>
      </w:r>
      <w:r w:rsidR="00237E25" w:rsidRPr="00546B8B">
        <w:t xml:space="preserve"> ban o</w:t>
      </w:r>
      <w:r w:rsidR="00294D00" w:rsidRPr="00546B8B">
        <w:t>n</w:t>
      </w:r>
      <w:r w:rsidR="00237E25" w:rsidRPr="00546B8B">
        <w:t xml:space="preserve"> fire</w:t>
      </w:r>
      <w:r w:rsidR="00A12390" w:rsidRPr="00546B8B">
        <w:t xml:space="preserve">, and three </w:t>
      </w:r>
      <w:r w:rsidR="006B142A" w:rsidRPr="00546B8B">
        <w:t xml:space="preserve">CKP </w:t>
      </w:r>
      <w:r w:rsidR="00A12390" w:rsidRPr="00546B8B">
        <w:t xml:space="preserve">development project aspects: </w:t>
      </w:r>
      <w:r w:rsidR="00237E25" w:rsidRPr="00546B8B">
        <w:t>training, compensation,</w:t>
      </w:r>
      <w:r w:rsidR="00A12390" w:rsidRPr="00546B8B">
        <w:t xml:space="preserve"> and</w:t>
      </w:r>
      <w:r w:rsidR="00237E25" w:rsidRPr="00546B8B">
        <w:t xml:space="preserve"> trust in the provision of compensation and tr</w:t>
      </w:r>
      <w:r w:rsidR="00A12390" w:rsidRPr="00546B8B">
        <w:t xml:space="preserve">aining. The </w:t>
      </w:r>
      <w:r w:rsidR="002E4B9B" w:rsidRPr="00546B8B">
        <w:t xml:space="preserve">discussions </w:t>
      </w:r>
      <w:r w:rsidR="00F6554C" w:rsidRPr="00546B8B">
        <w:t xml:space="preserve">sought </w:t>
      </w:r>
      <w:r w:rsidR="00A12390" w:rsidRPr="00546B8B">
        <w:t>to understand current practices</w:t>
      </w:r>
      <w:r w:rsidR="00451A71" w:rsidRPr="00546B8B">
        <w:t xml:space="preserve"> of land use</w:t>
      </w:r>
      <w:r w:rsidR="00A12390" w:rsidRPr="00546B8B">
        <w:t>,</w:t>
      </w:r>
      <w:r w:rsidR="00451A71" w:rsidRPr="00546B8B">
        <w:t xml:space="preserve"> and</w:t>
      </w:r>
      <w:r w:rsidR="00A12390" w:rsidRPr="00546B8B">
        <w:t xml:space="preserve"> attitudes towards farmer-led peatland restoration, including </w:t>
      </w:r>
      <w:r w:rsidR="00237E25" w:rsidRPr="00546B8B">
        <w:t xml:space="preserve">participation in </w:t>
      </w:r>
      <w:r w:rsidR="00A12390" w:rsidRPr="00546B8B">
        <w:t xml:space="preserve">existing </w:t>
      </w:r>
      <w:r w:rsidR="00985349">
        <w:t>tree-planting</w:t>
      </w:r>
      <w:r w:rsidR="00985349" w:rsidRPr="00546B8B">
        <w:t xml:space="preserve"> </w:t>
      </w:r>
      <w:r w:rsidR="00237E25" w:rsidRPr="00546B8B">
        <w:t xml:space="preserve">projects and community activities. </w:t>
      </w:r>
      <w:r w:rsidR="00B35B58" w:rsidRPr="00546B8B">
        <w:t xml:space="preserve">The moderators made sure to cover each topic in every </w:t>
      </w:r>
      <w:r w:rsidR="006E129F" w:rsidRPr="00546B8B">
        <w:rPr>
          <w:lang w:eastAsia="nl-NL"/>
        </w:rPr>
        <w:t>FGD</w:t>
      </w:r>
      <w:r w:rsidR="00B35B58" w:rsidRPr="00546B8B">
        <w:t>, but allowed for some freedom in the order of questions</w:t>
      </w:r>
      <w:r w:rsidR="00282714" w:rsidRPr="00546B8B">
        <w:t xml:space="preserve"> (R</w:t>
      </w:r>
      <w:r w:rsidR="002979F2">
        <w:t>edmond and Curtis</w:t>
      </w:r>
      <w:r w:rsidR="00282714" w:rsidRPr="00546B8B">
        <w:t xml:space="preserve"> 2009)</w:t>
      </w:r>
      <w:r w:rsidR="00B35B58" w:rsidRPr="00546B8B">
        <w:t xml:space="preserve">. </w:t>
      </w:r>
      <w:r w:rsidR="002E4B9B" w:rsidRPr="00546B8B">
        <w:t xml:space="preserve">A list of 76 questions divided over the six topics was developed to remind the moderators of the required information. </w:t>
      </w:r>
      <w:r w:rsidR="00A12390" w:rsidRPr="00546B8B">
        <w:t xml:space="preserve">Explicit attention, also in the formulation of the questions, was paid to the conditions of the proposed land-use schemes, such as various forms of </w:t>
      </w:r>
      <w:r w:rsidR="00451A71" w:rsidRPr="00546B8B">
        <w:t xml:space="preserve">in-kind </w:t>
      </w:r>
      <w:r w:rsidR="00A12390" w:rsidRPr="00546B8B">
        <w:t>compensation</w:t>
      </w:r>
      <w:r w:rsidR="00451A71" w:rsidRPr="00546B8B">
        <w:t xml:space="preserve"> and institutional arrangements</w:t>
      </w:r>
      <w:r w:rsidR="00A12390" w:rsidRPr="00546B8B">
        <w:t xml:space="preserve">. </w:t>
      </w:r>
      <w:r w:rsidR="00237E25" w:rsidRPr="00546B8B">
        <w:t>These types of questions</w:t>
      </w:r>
      <w:r w:rsidR="00B35B58" w:rsidRPr="00546B8B">
        <w:t>, especially when formulated as conditions (what would you do if CKPP undertook action A),</w:t>
      </w:r>
      <w:r w:rsidR="00237E25" w:rsidRPr="00546B8B">
        <w:t xml:space="preserve"> often stimulated the discussion and revealed priorities.</w:t>
      </w:r>
      <w:r w:rsidR="00451A71" w:rsidRPr="00546B8B">
        <w:t xml:space="preserve"> </w:t>
      </w:r>
    </w:p>
    <w:p w14:paraId="7C1AF5A9" w14:textId="0FABD0F6" w:rsidR="00C767D5" w:rsidRPr="00546B8B" w:rsidRDefault="00C767D5" w:rsidP="00B41F9A">
      <w:pPr>
        <w:spacing w:after="200"/>
      </w:pPr>
      <w:r w:rsidRPr="00546B8B">
        <w:t xml:space="preserve">The set of questions was checked for clarity and language with two translators originally from the study area. During the </w:t>
      </w:r>
      <w:r w:rsidR="006E129F" w:rsidRPr="00546B8B">
        <w:rPr>
          <w:lang w:eastAsia="nl-NL"/>
        </w:rPr>
        <w:t>FGD</w:t>
      </w:r>
      <w:r w:rsidRPr="00546B8B">
        <w:t>s,</w:t>
      </w:r>
      <w:r w:rsidR="00282714" w:rsidRPr="00546B8B">
        <w:t xml:space="preserve"> non-judgmental</w:t>
      </w:r>
      <w:r w:rsidRPr="00546B8B">
        <w:t xml:space="preserve"> reflective listening methods,</w:t>
      </w:r>
      <w:r w:rsidR="00282714" w:rsidRPr="00546B8B">
        <w:t xml:space="preserve"> i.e. clarifying,</w:t>
      </w:r>
      <w:r w:rsidRPr="00546B8B">
        <w:t xml:space="preserve"> paraphrasing and summarising, were essential to </w:t>
      </w:r>
      <w:r w:rsidR="00282714" w:rsidRPr="00546B8B">
        <w:t>understand</w:t>
      </w:r>
      <w:r w:rsidRPr="00546B8B">
        <w:t xml:space="preserve"> responses </w:t>
      </w:r>
      <w:r w:rsidR="0003718A" w:rsidRPr="00546B8B">
        <w:t>(Fern 2001). This was crucial to</w:t>
      </w:r>
      <w:r w:rsidRPr="00546B8B">
        <w:t xml:space="preserve"> avoid information loss </w:t>
      </w:r>
      <w:r w:rsidR="00C86D40" w:rsidRPr="00546B8B">
        <w:t>and misunderstanding related to</w:t>
      </w:r>
      <w:r w:rsidRPr="00546B8B">
        <w:t xml:space="preserve"> translation</w:t>
      </w:r>
      <w:r w:rsidR="00C86D40" w:rsidRPr="00546B8B">
        <w:t xml:space="preserve">, </w:t>
      </w:r>
      <w:r w:rsidR="00282714" w:rsidRPr="00546B8B">
        <w:t>encourage more timid, non-dominant participants to talk</w:t>
      </w:r>
      <w:r w:rsidR="00C86D40" w:rsidRPr="00546B8B">
        <w:t>, especially in larger groups, and understand whether information provided by one respondent was representative for the entire group or village</w:t>
      </w:r>
      <w:r w:rsidR="00282714" w:rsidRPr="00546B8B">
        <w:t>.</w:t>
      </w:r>
      <w:r w:rsidRPr="00546B8B">
        <w:t xml:space="preserve"> For more personal responses, non-reflective listening</w:t>
      </w:r>
      <w:r w:rsidR="00282714" w:rsidRPr="00546B8B">
        <w:t xml:space="preserve"> (</w:t>
      </w:r>
      <w:r w:rsidR="00613F2A" w:rsidRPr="00546B8B">
        <w:t xml:space="preserve">i.e. </w:t>
      </w:r>
      <w:r w:rsidR="00282714" w:rsidRPr="00546B8B">
        <w:t>non-judgmental, with minimal response)</w:t>
      </w:r>
      <w:r w:rsidRPr="00546B8B">
        <w:t xml:space="preserve"> was used</w:t>
      </w:r>
      <w:r w:rsidR="00282714" w:rsidRPr="00546B8B">
        <w:t>, respecting local culture</w:t>
      </w:r>
      <w:r w:rsidRPr="00546B8B">
        <w:t>.</w:t>
      </w:r>
    </w:p>
    <w:p w14:paraId="54692A52" w14:textId="21ABD029" w:rsidR="002D215B" w:rsidRPr="00546B8B" w:rsidRDefault="00541B8B" w:rsidP="00B41F9A">
      <w:pPr>
        <w:spacing w:after="200"/>
        <w:rPr>
          <w:b/>
        </w:rPr>
      </w:pPr>
      <w:r>
        <w:rPr>
          <w:b/>
        </w:rPr>
        <w:t>3.3</w:t>
      </w:r>
      <w:r w:rsidR="003E2DC9" w:rsidRPr="00546B8B">
        <w:rPr>
          <w:b/>
        </w:rPr>
        <w:t xml:space="preserve"> Sampling strategy and implementation</w:t>
      </w:r>
    </w:p>
    <w:p w14:paraId="3A0216C1" w14:textId="3028A6EC" w:rsidR="008708F7" w:rsidRPr="00546B8B" w:rsidRDefault="001C191F" w:rsidP="00613F2A">
      <w:pPr>
        <w:spacing w:after="120"/>
      </w:pPr>
      <w:r w:rsidRPr="00546B8B">
        <w:rPr>
          <w:szCs w:val="22"/>
        </w:rPr>
        <w:t>The final data were collected in October</w:t>
      </w:r>
      <w:r w:rsidR="007F179B" w:rsidRPr="00546B8B">
        <w:rPr>
          <w:szCs w:val="22"/>
        </w:rPr>
        <w:t>-November</w:t>
      </w:r>
      <w:r w:rsidRPr="00546B8B">
        <w:rPr>
          <w:szCs w:val="22"/>
        </w:rPr>
        <w:t>. The FGD</w:t>
      </w:r>
      <w:r w:rsidR="00B4280A">
        <w:rPr>
          <w:szCs w:val="22"/>
        </w:rPr>
        <w:t>s</w:t>
      </w:r>
      <w:r w:rsidRPr="00546B8B">
        <w:rPr>
          <w:szCs w:val="22"/>
        </w:rPr>
        <w:t xml:space="preserve"> and CE</w:t>
      </w:r>
      <w:r w:rsidR="00B4280A">
        <w:rPr>
          <w:szCs w:val="22"/>
        </w:rPr>
        <w:t>s</w:t>
      </w:r>
      <w:r w:rsidRPr="00546B8B">
        <w:rPr>
          <w:szCs w:val="22"/>
        </w:rPr>
        <w:t xml:space="preserve"> were implemented simultaneously</w:t>
      </w:r>
      <w:r w:rsidR="00942DFF" w:rsidRPr="00546B8B">
        <w:rPr>
          <w:szCs w:val="22"/>
        </w:rPr>
        <w:t xml:space="preserve">. To compare the results of the methods, the </w:t>
      </w:r>
      <w:r w:rsidR="004B3BAE" w:rsidRPr="00546B8B">
        <w:rPr>
          <w:szCs w:val="22"/>
        </w:rPr>
        <w:t>FGD and CE samples did</w:t>
      </w:r>
      <w:r w:rsidR="00942DFF" w:rsidRPr="00546B8B">
        <w:rPr>
          <w:szCs w:val="22"/>
        </w:rPr>
        <w:t xml:space="preserve"> not overlap but involved different individuals</w:t>
      </w:r>
      <w:r w:rsidR="00B4280A">
        <w:rPr>
          <w:szCs w:val="22"/>
        </w:rPr>
        <w:t>,</w:t>
      </w:r>
      <w:r w:rsidR="00942DFF" w:rsidRPr="00546B8B">
        <w:rPr>
          <w:szCs w:val="22"/>
        </w:rPr>
        <w:t xml:space="preserve"> and results of one method were not shared with participants of the other method</w:t>
      </w:r>
      <w:r w:rsidRPr="00546B8B">
        <w:rPr>
          <w:szCs w:val="22"/>
        </w:rPr>
        <w:t xml:space="preserve">. </w:t>
      </w:r>
      <w:r w:rsidR="008708F7" w:rsidRPr="00546B8B">
        <w:t xml:space="preserve">The collaborators from the University of </w:t>
      </w:r>
      <w:proofErr w:type="spellStart"/>
      <w:r w:rsidR="008708F7" w:rsidRPr="00546B8B">
        <w:t>Palangkaraya</w:t>
      </w:r>
      <w:proofErr w:type="spellEnd"/>
      <w:r w:rsidR="008708F7" w:rsidRPr="00546B8B">
        <w:t xml:space="preserve"> </w:t>
      </w:r>
      <w:r w:rsidR="008708F7" w:rsidRPr="00546B8B">
        <w:lastRenderedPageBreak/>
        <w:t>organised the logistics of the data collection, including transport, translators</w:t>
      </w:r>
      <w:r w:rsidR="00CA37BB" w:rsidRPr="00546B8B">
        <w:t>, interviewers</w:t>
      </w:r>
      <w:r w:rsidR="008708F7" w:rsidRPr="00546B8B">
        <w:t xml:space="preserve">, permissions and contacts with village representatives and experts. Prior to data collection and following Kalimantan customs, the village headmen were informed of the purpose and nature of the study, and then assisted in </w:t>
      </w:r>
      <w:r w:rsidR="00CA37BB" w:rsidRPr="00546B8B">
        <w:t>inviting</w:t>
      </w:r>
      <w:r w:rsidR="008708F7" w:rsidRPr="00546B8B">
        <w:t xml:space="preserve"> the FGD participants; CE respondents were selected by the interviewers.</w:t>
      </w:r>
    </w:p>
    <w:p w14:paraId="3F2A1CBD" w14:textId="3F202DDF" w:rsidR="003E2DC9" w:rsidRPr="00546B8B" w:rsidRDefault="001C191F" w:rsidP="00B41F9A">
      <w:pPr>
        <w:spacing w:after="200"/>
      </w:pPr>
      <w:r w:rsidRPr="00546B8B">
        <w:rPr>
          <w:szCs w:val="22"/>
        </w:rPr>
        <w:t xml:space="preserve">In total, </w:t>
      </w:r>
      <w:r w:rsidR="00A115C3">
        <w:rPr>
          <w:szCs w:val="22"/>
        </w:rPr>
        <w:t>398</w:t>
      </w:r>
      <w:r w:rsidRPr="00546B8B">
        <w:rPr>
          <w:szCs w:val="22"/>
        </w:rPr>
        <w:t xml:space="preserve"> respondents from 20 villages</w:t>
      </w:r>
      <w:r w:rsidR="008708F7" w:rsidRPr="00546B8B">
        <w:rPr>
          <w:szCs w:val="22"/>
        </w:rPr>
        <w:t xml:space="preserve"> (approximately 2</w:t>
      </w:r>
      <w:r w:rsidR="00942DFF" w:rsidRPr="00546B8B">
        <w:rPr>
          <w:szCs w:val="22"/>
        </w:rPr>
        <w:t>0 respondents per village)</w:t>
      </w:r>
      <w:r w:rsidRPr="00546B8B">
        <w:rPr>
          <w:szCs w:val="22"/>
        </w:rPr>
        <w:t xml:space="preserve"> in the Central Kalimantan peatland area participated in the household survey including the CE.</w:t>
      </w:r>
      <w:r w:rsidRPr="00546B8B">
        <w:t xml:space="preserve"> The interviewers</w:t>
      </w:r>
      <w:r w:rsidR="00CA37BB" w:rsidRPr="00546B8B">
        <w:t xml:space="preserve"> were from Kalimantan and spoke local languages. They were experienced in conducting surveys, </w:t>
      </w:r>
      <w:r w:rsidR="008708F7" w:rsidRPr="00546B8B">
        <w:t>contributed to the development and pre-testing of the questionnaire,</w:t>
      </w:r>
      <w:r w:rsidRPr="00546B8B">
        <w:t xml:space="preserve"> and received </w:t>
      </w:r>
      <w:r w:rsidR="007502E5">
        <w:t>specialised</w:t>
      </w:r>
      <w:r w:rsidR="007502E5" w:rsidRPr="00546B8B">
        <w:t xml:space="preserve"> </w:t>
      </w:r>
      <w:r w:rsidRPr="00546B8B">
        <w:t>training on</w:t>
      </w:r>
      <w:r w:rsidR="00613F2A" w:rsidRPr="00546B8B">
        <w:t xml:space="preserve"> implementation of the</w:t>
      </w:r>
      <w:r w:rsidRPr="00546B8B">
        <w:t xml:space="preserve"> CE. </w:t>
      </w:r>
      <w:r w:rsidRPr="00546B8B">
        <w:rPr>
          <w:szCs w:val="22"/>
        </w:rPr>
        <w:t xml:space="preserve">It took on average </w:t>
      </w:r>
      <w:r w:rsidRPr="00546B8B">
        <w:t>45 minutes to</w:t>
      </w:r>
      <w:r w:rsidRPr="00546B8B">
        <w:rPr>
          <w:szCs w:val="22"/>
        </w:rPr>
        <w:t xml:space="preserve"> complete the </w:t>
      </w:r>
      <w:r w:rsidR="007502E5">
        <w:rPr>
          <w:szCs w:val="22"/>
        </w:rPr>
        <w:t>interview</w:t>
      </w:r>
      <w:r w:rsidRPr="00546B8B">
        <w:rPr>
          <w:szCs w:val="22"/>
        </w:rPr>
        <w:t xml:space="preserve">. </w:t>
      </w:r>
      <w:r w:rsidR="009A101F" w:rsidRPr="00546B8B">
        <w:t>Because of</w:t>
      </w:r>
      <w:r w:rsidR="003E2DC9" w:rsidRPr="00546B8B">
        <w:t xml:space="preserve"> the heterogeneity of the communities living in the study area, differences in perceptions and attitudes were expected to exist at various levels</w:t>
      </w:r>
      <w:r w:rsidR="007F179B" w:rsidRPr="00546B8B">
        <w:t>, so that three criteria were used for village and respondent selection</w:t>
      </w:r>
      <w:r w:rsidR="003E2DC9" w:rsidRPr="00546B8B">
        <w:t xml:space="preserve">: (1) </w:t>
      </w:r>
      <w:r w:rsidR="007F179B" w:rsidRPr="00546B8B">
        <w:t>origin of population</w:t>
      </w:r>
      <w:r w:rsidR="007502E5">
        <w:t xml:space="preserve">, i.e. </w:t>
      </w:r>
      <w:r w:rsidR="003E2DC9" w:rsidRPr="00546B8B">
        <w:t xml:space="preserve">Dayak </w:t>
      </w:r>
      <w:r w:rsidR="007F179B" w:rsidRPr="00546B8B">
        <w:t>or</w:t>
      </w:r>
      <w:r w:rsidR="003E2DC9" w:rsidRPr="00546B8B">
        <w:t xml:space="preserve"> </w:t>
      </w:r>
      <w:proofErr w:type="spellStart"/>
      <w:r w:rsidR="003E2DC9" w:rsidRPr="00546B8B">
        <w:t>transmigrant</w:t>
      </w:r>
      <w:proofErr w:type="spellEnd"/>
      <w:r w:rsidR="007502E5">
        <w:t xml:space="preserve"> households</w:t>
      </w:r>
      <w:r w:rsidR="003E2DC9" w:rsidRPr="00546B8B">
        <w:t xml:space="preserve">, (2) </w:t>
      </w:r>
      <w:r w:rsidR="007F179B" w:rsidRPr="00546B8B">
        <w:t>CKPP</w:t>
      </w:r>
      <w:r w:rsidR="003E2DC9" w:rsidRPr="00546B8B">
        <w:t>-involvement,</w:t>
      </w:r>
      <w:r w:rsidR="00983993" w:rsidRPr="00546B8B">
        <w:t xml:space="preserve"> and</w:t>
      </w:r>
      <w:r w:rsidR="003E2DC9" w:rsidRPr="00546B8B">
        <w:t xml:space="preserve"> (3) depth of the peat</w:t>
      </w:r>
      <w:r w:rsidR="00983993" w:rsidRPr="00546B8B">
        <w:t xml:space="preserve"> layer</w:t>
      </w:r>
      <w:r w:rsidR="003E2DC9" w:rsidRPr="00546B8B">
        <w:t xml:space="preserve">. The </w:t>
      </w:r>
      <w:r w:rsidR="007F179B" w:rsidRPr="00546B8B">
        <w:t xml:space="preserve">CE </w:t>
      </w:r>
      <w:r w:rsidR="003E2DC9" w:rsidRPr="00546B8B">
        <w:t xml:space="preserve">sampling procedure was split equally between Dayaks and </w:t>
      </w:r>
      <w:proofErr w:type="spellStart"/>
      <w:r w:rsidR="003E2DC9" w:rsidRPr="00546B8B">
        <w:t>transmigrant</w:t>
      </w:r>
      <w:proofErr w:type="spellEnd"/>
      <w:r w:rsidR="007502E5">
        <w:t xml:space="preserve"> households</w:t>
      </w:r>
      <w:r w:rsidR="003E2DC9" w:rsidRPr="00546B8B">
        <w:t>, between deep peat and shallow peat locations, and between villages that were and were not participating in the CKP</w:t>
      </w:r>
      <w:r w:rsidR="009A101F" w:rsidRPr="00546B8B">
        <w:t>P</w:t>
      </w:r>
      <w:r w:rsidR="003E2DC9" w:rsidRPr="00546B8B">
        <w:t xml:space="preserve">. A further on-site selection was made to only include respondents who used peatland, either for agriculture or left fallow, or used peatland for agriculture before the ban on fire was introduced. </w:t>
      </w:r>
    </w:p>
    <w:p w14:paraId="38930363" w14:textId="6266BD64" w:rsidR="00942DFF" w:rsidRPr="00546B8B" w:rsidRDefault="007F179B" w:rsidP="00AF0C49">
      <w:pPr>
        <w:spacing w:after="120"/>
      </w:pPr>
      <w:r w:rsidRPr="00546B8B">
        <w:rPr>
          <w:szCs w:val="22"/>
        </w:rPr>
        <w:t xml:space="preserve">Thirteen </w:t>
      </w:r>
      <w:r w:rsidR="003E2DC9" w:rsidRPr="00546B8B">
        <w:rPr>
          <w:szCs w:val="22"/>
        </w:rPr>
        <w:t>of the 20 villages</w:t>
      </w:r>
      <w:r w:rsidRPr="00546B8B">
        <w:rPr>
          <w:szCs w:val="22"/>
        </w:rPr>
        <w:t xml:space="preserve"> and one additional village</w:t>
      </w:r>
      <w:r w:rsidR="003E2DC9" w:rsidRPr="00546B8B">
        <w:rPr>
          <w:szCs w:val="22"/>
        </w:rPr>
        <w:t xml:space="preserve"> were selected for the FGD</w:t>
      </w:r>
      <w:r w:rsidR="00FF1201">
        <w:rPr>
          <w:szCs w:val="22"/>
        </w:rPr>
        <w:t>s</w:t>
      </w:r>
      <w:r w:rsidRPr="00546B8B">
        <w:rPr>
          <w:szCs w:val="22"/>
        </w:rPr>
        <w:t>. The 14 FGD villages represented all eight combinations of the same three selection criteria</w:t>
      </w:r>
      <w:r w:rsidR="008D7CFE">
        <w:rPr>
          <w:szCs w:val="22"/>
        </w:rPr>
        <w:t xml:space="preserve"> (i.e. ethnicity, CKPP-</w:t>
      </w:r>
      <w:r w:rsidR="00613F2A" w:rsidRPr="00546B8B">
        <w:rPr>
          <w:szCs w:val="22"/>
        </w:rPr>
        <w:t>involvement, peat depth)</w:t>
      </w:r>
      <w:r w:rsidR="003E2DC9" w:rsidRPr="00546B8B">
        <w:rPr>
          <w:szCs w:val="22"/>
        </w:rPr>
        <w:t>.</w:t>
      </w:r>
      <w:r w:rsidRPr="00546B8B">
        <w:rPr>
          <w:szCs w:val="22"/>
        </w:rPr>
        <w:t xml:space="preserve"> </w:t>
      </w:r>
      <w:r w:rsidR="003E2DC9" w:rsidRPr="00546B8B">
        <w:t>The FGD</w:t>
      </w:r>
      <w:r w:rsidR="00FF1201">
        <w:t>s</w:t>
      </w:r>
      <w:r w:rsidR="003E2DC9" w:rsidRPr="00546B8B">
        <w:t xml:space="preserve"> lasted on average</w:t>
      </w:r>
      <w:r w:rsidR="004B3BAE" w:rsidRPr="00546B8B">
        <w:t xml:space="preserve"> </w:t>
      </w:r>
      <w:r w:rsidR="003E2DC9" w:rsidRPr="00546B8B">
        <w:t>on</w:t>
      </w:r>
      <w:r w:rsidR="008D7CFE">
        <w:t>e to two hours and involved five to fifteen</w:t>
      </w:r>
      <w:r w:rsidR="003E2DC9" w:rsidRPr="00546B8B">
        <w:t xml:space="preserve"> respondents.</w:t>
      </w:r>
      <w:r w:rsidRPr="00546B8B">
        <w:t xml:space="preserve"> </w:t>
      </w:r>
      <w:r w:rsidR="00CA37BB" w:rsidRPr="00546B8B">
        <w:t>Smaller groups are more likely to focus on individual issues, whilst participants in larger groups are more likely to focus on share</w:t>
      </w:r>
      <w:r w:rsidR="008D7CFE">
        <w:t>d issues and experience they have</w:t>
      </w:r>
      <w:r w:rsidR="00CA37BB" w:rsidRPr="00546B8B">
        <w:t xml:space="preserve"> in common (Fern 2001). Therefore, the variation in group size in our study increased the probability that both individual and general issues were discussed.</w:t>
      </w:r>
    </w:p>
    <w:p w14:paraId="64871C4F" w14:textId="32597021" w:rsidR="00AF0C49" w:rsidRPr="00546B8B" w:rsidRDefault="00282714" w:rsidP="00613F2A">
      <w:pPr>
        <w:spacing w:after="120"/>
      </w:pPr>
      <w:r w:rsidRPr="00546B8B">
        <w:t xml:space="preserve">Two moderators were responsible for managing the FGD process together with two local translators. </w:t>
      </w:r>
      <w:r w:rsidR="009A101F" w:rsidRPr="00546B8B">
        <w:t>Following local customs, the discussions</w:t>
      </w:r>
      <w:r w:rsidR="00A70108" w:rsidRPr="00546B8B">
        <w:t xml:space="preserve"> usually took place in the house of the village head, and people were seated in a circle on the floor or on chairs</w:t>
      </w:r>
      <w:r w:rsidR="009A101F" w:rsidRPr="00546B8B">
        <w:t>.</w:t>
      </w:r>
      <w:r w:rsidR="00A70108" w:rsidRPr="00546B8B">
        <w:t xml:space="preserve"> At the start of each discussion,</w:t>
      </w:r>
      <w:r w:rsidRPr="00546B8B">
        <w:t xml:space="preserve"> after an introduction of the research team and aims,</w:t>
      </w:r>
      <w:r w:rsidR="00A70108" w:rsidRPr="00546B8B">
        <w:t xml:space="preserve"> it proved to be important to stress the independency and confidentiality of the study to avoid worries and manage expectations of the research project.</w:t>
      </w:r>
    </w:p>
    <w:p w14:paraId="665A2ABF" w14:textId="77777777" w:rsidR="002979F2" w:rsidRDefault="002979F2" w:rsidP="00AF0C49">
      <w:pPr>
        <w:pStyle w:val="NormalJustified"/>
        <w:spacing w:after="120"/>
        <w:rPr>
          <w:b/>
          <w:szCs w:val="22"/>
        </w:rPr>
      </w:pPr>
    </w:p>
    <w:p w14:paraId="61298ADB" w14:textId="2E7F57DB" w:rsidR="00C3538D" w:rsidRPr="001E3755" w:rsidRDefault="00C3538D" w:rsidP="00AF0C49">
      <w:pPr>
        <w:pStyle w:val="NormalJustified"/>
        <w:spacing w:after="120"/>
        <w:rPr>
          <w:b/>
          <w:szCs w:val="22"/>
        </w:rPr>
      </w:pPr>
      <w:r w:rsidRPr="001E3755">
        <w:rPr>
          <w:b/>
          <w:szCs w:val="22"/>
        </w:rPr>
        <w:t>4</w:t>
      </w:r>
      <w:r w:rsidR="00497008" w:rsidRPr="001E3755">
        <w:rPr>
          <w:b/>
          <w:szCs w:val="22"/>
        </w:rPr>
        <w:t xml:space="preserve">. </w:t>
      </w:r>
      <w:r w:rsidRPr="001E3755">
        <w:rPr>
          <w:b/>
          <w:szCs w:val="22"/>
        </w:rPr>
        <w:t xml:space="preserve">RESULTS </w:t>
      </w:r>
    </w:p>
    <w:p w14:paraId="11C0D917" w14:textId="3C49D7F0" w:rsidR="00C3538D" w:rsidRPr="001E3755" w:rsidRDefault="00C3538D" w:rsidP="00AF0C49">
      <w:pPr>
        <w:pStyle w:val="NormalJustified"/>
        <w:spacing w:after="120"/>
        <w:rPr>
          <w:b/>
          <w:bCs/>
          <w:szCs w:val="22"/>
        </w:rPr>
      </w:pPr>
      <w:r w:rsidRPr="001E3755">
        <w:rPr>
          <w:b/>
          <w:bCs/>
          <w:szCs w:val="22"/>
        </w:rPr>
        <w:t xml:space="preserve">4.1 </w:t>
      </w:r>
      <w:r w:rsidR="00AF0C49" w:rsidRPr="001E3755">
        <w:rPr>
          <w:b/>
          <w:bCs/>
          <w:szCs w:val="22"/>
        </w:rPr>
        <w:t>Household survey results</w:t>
      </w:r>
    </w:p>
    <w:p w14:paraId="2E54FF8E" w14:textId="6EFEC9E9" w:rsidR="00C3538D" w:rsidRDefault="00C3538D" w:rsidP="002979F2">
      <w:pPr>
        <w:pStyle w:val="NormalJustified"/>
        <w:spacing w:after="120"/>
        <w:jc w:val="left"/>
      </w:pPr>
      <w:r w:rsidRPr="001E3755">
        <w:t xml:space="preserve">Agriculture and agroforestry were the main sources of food and income for </w:t>
      </w:r>
      <w:proofErr w:type="gramStart"/>
      <w:r w:rsidRPr="001E3755">
        <w:t>the majority of</w:t>
      </w:r>
      <w:proofErr w:type="gramEnd"/>
      <w:r w:rsidRPr="001E3755">
        <w:t xml:space="preserve"> communities in the area.</w:t>
      </w:r>
      <w:r w:rsidR="00936693" w:rsidRPr="001E3755">
        <w:t xml:space="preserve"> The main crops </w:t>
      </w:r>
      <w:r w:rsidR="008D7CFE">
        <w:t>we</w:t>
      </w:r>
      <w:r w:rsidR="00936693" w:rsidRPr="001E3755">
        <w:t>re rubber and rice.</w:t>
      </w:r>
      <w:r w:rsidRPr="001E3755">
        <w:t xml:space="preserve"> The household survey results showed that most farmers held small plots of around </w:t>
      </w:r>
      <w:r w:rsidR="00BB16F0" w:rsidRPr="001E3755">
        <w:t>4.24</w:t>
      </w:r>
      <w:r w:rsidRPr="001E3755">
        <w:t xml:space="preserve"> hectares</w:t>
      </w:r>
      <w:r w:rsidR="00BB16F0" w:rsidRPr="001E3755">
        <w:t>,</w:t>
      </w:r>
      <w:r w:rsidRPr="001E3755">
        <w:t xml:space="preserve"> ranging from 0.25 to 20</w:t>
      </w:r>
      <w:r w:rsidR="00E33903" w:rsidRPr="001E3755">
        <w:t>ha</w:t>
      </w:r>
      <w:r w:rsidR="00BB16F0" w:rsidRPr="001E3755">
        <w:t>,</w:t>
      </w:r>
      <w:r w:rsidRPr="001E3755">
        <w:t xml:space="preserve"> for permanent</w:t>
      </w:r>
      <w:r w:rsidR="00B4280A">
        <w:t xml:space="preserve"> </w:t>
      </w:r>
      <w:r w:rsidRPr="001E3755">
        <w:t>cultivation</w:t>
      </w:r>
      <w:r w:rsidR="00B4280A">
        <w:t xml:space="preserve">, </w:t>
      </w:r>
      <w:bookmarkStart w:id="5" w:name="_Hlk484104761"/>
      <w:r w:rsidR="00B4280A">
        <w:t xml:space="preserve">although many farmers </w:t>
      </w:r>
      <w:r w:rsidR="008D7CFE">
        <w:t>left</w:t>
      </w:r>
      <w:r w:rsidR="00B4280A">
        <w:t xml:space="preserve"> a proportion of their land</w:t>
      </w:r>
      <w:r w:rsidR="00F10FB5">
        <w:t xml:space="preserve"> </w:t>
      </w:r>
      <w:r w:rsidR="00836B2D">
        <w:t xml:space="preserve">unproductive </w:t>
      </w:r>
      <w:r w:rsidR="00F10FB5">
        <w:t>(</w:t>
      </w:r>
      <w:r w:rsidR="00836B2D">
        <w:t xml:space="preserve">i.e. </w:t>
      </w:r>
      <w:r w:rsidR="00F10FB5">
        <w:t>37% on average)</w:t>
      </w:r>
      <w:bookmarkEnd w:id="5"/>
      <w:r w:rsidRPr="001E3755">
        <w:t>. The mean annual income was 7.</w:t>
      </w:r>
      <w:r w:rsidR="00E33903" w:rsidRPr="001E3755">
        <w:t>8</w:t>
      </w:r>
      <w:r w:rsidR="000A3D8D" w:rsidRPr="001E3755">
        <w:t xml:space="preserve"> million</w:t>
      </w:r>
      <w:r w:rsidR="00EF73AC">
        <w:t xml:space="preserve"> R</w:t>
      </w:r>
      <w:r w:rsidR="00925C0B">
        <w:t>upiah</w:t>
      </w:r>
      <w:r w:rsidR="000A3D8D" w:rsidRPr="001E3755">
        <w:t xml:space="preserve"> (~600</w:t>
      </w:r>
      <w:r w:rsidR="008D7CFE">
        <w:t xml:space="preserve"> </w:t>
      </w:r>
      <w:r w:rsidR="008D7CFE" w:rsidRPr="001E3755">
        <w:t>E</w:t>
      </w:r>
      <w:r w:rsidR="008D7CFE">
        <w:t>uro</w:t>
      </w:r>
      <w:r w:rsidRPr="001E3755">
        <w:t>)</w:t>
      </w:r>
      <w:r w:rsidR="00BB16F0" w:rsidRPr="001E3755">
        <w:t xml:space="preserve">, </w:t>
      </w:r>
      <w:r w:rsidRPr="001E3755">
        <w:t xml:space="preserve">ranging from </w:t>
      </w:r>
      <w:r w:rsidR="00BB16F0" w:rsidRPr="001E3755">
        <w:t>0.2</w:t>
      </w:r>
      <w:r w:rsidRPr="001E3755">
        <w:t xml:space="preserve"> to 50.2 million </w:t>
      </w:r>
      <w:r w:rsidR="00925C0B">
        <w:t>Rupiah</w:t>
      </w:r>
      <w:r w:rsidR="00EF73AC" w:rsidRPr="001E3755">
        <w:t xml:space="preserve"> </w:t>
      </w:r>
      <w:r w:rsidR="00BB16F0" w:rsidRPr="001E3755">
        <w:t>(see Table 2)</w:t>
      </w:r>
      <w:r w:rsidRPr="001E3755">
        <w:t xml:space="preserve">. Only 41% of the sample considered their income sufficient to sustain their family. The remaining 59% of the sample did not have </w:t>
      </w:r>
      <w:proofErr w:type="gramStart"/>
      <w:r w:rsidRPr="001E3755">
        <w:t>a number of</w:t>
      </w:r>
      <w:proofErr w:type="gramEnd"/>
      <w:r w:rsidRPr="001E3755">
        <w:t xml:space="preserve"> fundamental goods and services, </w:t>
      </w:r>
      <w:r w:rsidR="00BC0439" w:rsidRPr="001E3755">
        <w:t>of which</w:t>
      </w:r>
      <w:r w:rsidRPr="001E3755">
        <w:t xml:space="preserve"> food </w:t>
      </w:r>
      <w:r w:rsidR="00BC0439" w:rsidRPr="001E3755">
        <w:t>was mentioned most often</w:t>
      </w:r>
      <w:r w:rsidR="004B0C24" w:rsidRPr="001E3755">
        <w:t>. A</w:t>
      </w:r>
      <w:r w:rsidRPr="001E3755">
        <w:t>round 5</w:t>
      </w:r>
      <w:r w:rsidR="004B0C24" w:rsidRPr="001E3755">
        <w:t>2</w:t>
      </w:r>
      <w:r w:rsidRPr="001E3755">
        <w:t xml:space="preserve">% </w:t>
      </w:r>
      <w:r w:rsidR="008D7CFE">
        <w:t>had</w:t>
      </w:r>
      <w:r w:rsidR="004B0C24" w:rsidRPr="001E3755">
        <w:t xml:space="preserve"> </w:t>
      </w:r>
      <w:r w:rsidRPr="001E3755">
        <w:t>received subsidies</w:t>
      </w:r>
      <w:r w:rsidR="004B0C24" w:rsidRPr="001E3755">
        <w:t xml:space="preserve"> from the government since 1995</w:t>
      </w:r>
      <w:r w:rsidRPr="001E3755">
        <w:t xml:space="preserve">. </w:t>
      </w:r>
      <w:r w:rsidR="00C42B29" w:rsidRPr="001E3755">
        <w:t xml:space="preserve">Only </w:t>
      </w:r>
      <w:r w:rsidRPr="001E3755">
        <w:t>4</w:t>
      </w:r>
      <w:r w:rsidR="00984621" w:rsidRPr="001E3755">
        <w:t>2</w:t>
      </w:r>
      <w:r w:rsidRPr="001E3755">
        <w:t>% of Dayak respondents receive</w:t>
      </w:r>
      <w:r w:rsidR="00C42B29" w:rsidRPr="001E3755">
        <w:t>d</w:t>
      </w:r>
      <w:r w:rsidRPr="001E3755">
        <w:t xml:space="preserve"> extension services, compared to </w:t>
      </w:r>
      <w:r w:rsidR="00EA16C4">
        <w:t xml:space="preserve">a significantly larger number </w:t>
      </w:r>
      <w:r w:rsidRPr="001E3755">
        <w:t xml:space="preserve">of the </w:t>
      </w:r>
      <w:proofErr w:type="spellStart"/>
      <w:r w:rsidRPr="001E3755">
        <w:t>transmigrants</w:t>
      </w:r>
      <w:proofErr w:type="spellEnd"/>
      <w:r w:rsidR="00EA16C4">
        <w:t xml:space="preserve"> (</w:t>
      </w:r>
      <w:r w:rsidR="00EA16C4" w:rsidRPr="001E3755">
        <w:t>81%</w:t>
      </w:r>
      <w:r w:rsidR="00EA16C4">
        <w:t>, Kruskal-Wallis test</w:t>
      </w:r>
      <w:r w:rsidR="00D01075">
        <w:t>, H=58.227,</w:t>
      </w:r>
      <w:r w:rsidR="00EA16C4">
        <w:t xml:space="preserve"> p&lt;0.001)</w:t>
      </w:r>
      <w:r w:rsidRPr="001E3755">
        <w:t xml:space="preserve">. Similarly, </w:t>
      </w:r>
      <w:proofErr w:type="spellStart"/>
      <w:r w:rsidRPr="001E3755">
        <w:t>transmigrants</w:t>
      </w:r>
      <w:proofErr w:type="spellEnd"/>
      <w:r w:rsidRPr="001E3755">
        <w:t xml:space="preserve"> </w:t>
      </w:r>
      <w:r w:rsidRPr="001E3755">
        <w:lastRenderedPageBreak/>
        <w:t xml:space="preserve">had </w:t>
      </w:r>
      <w:r w:rsidR="00D01075">
        <w:t xml:space="preserve">significantly </w:t>
      </w:r>
      <w:r w:rsidRPr="001E3755">
        <w:t xml:space="preserve">better </w:t>
      </w:r>
      <w:r w:rsidR="00F6554C" w:rsidRPr="001E3755">
        <w:t>ac</w:t>
      </w:r>
      <w:r w:rsidRPr="001E3755">
        <w:t>cess to financial subsidies</w:t>
      </w:r>
      <w:r w:rsidR="00984621" w:rsidRPr="001E3755">
        <w:t xml:space="preserve"> (6</w:t>
      </w:r>
      <w:r w:rsidR="00D01075">
        <w:t>6</w:t>
      </w:r>
      <w:r w:rsidR="00984621" w:rsidRPr="001E3755">
        <w:t>% versus 41%</w:t>
      </w:r>
      <w:r w:rsidR="00D01075">
        <w:t>, H=23.546, p&lt;0.001</w:t>
      </w:r>
      <w:r w:rsidR="00984621" w:rsidRPr="001E3755">
        <w:t>)</w:t>
      </w:r>
      <w:r w:rsidR="00DA4F2A">
        <w:t xml:space="preserve">, which may be explained by the availability of a targeted </w:t>
      </w:r>
      <w:proofErr w:type="spellStart"/>
      <w:r w:rsidR="00DA4F2A">
        <w:t>transmigrant</w:t>
      </w:r>
      <w:proofErr w:type="spellEnd"/>
      <w:r w:rsidR="00DA4F2A">
        <w:t xml:space="preserve"> subsidy</w:t>
      </w:r>
      <w:r w:rsidRPr="001E3755">
        <w:t>.</w:t>
      </w:r>
    </w:p>
    <w:p w14:paraId="0EC9875D" w14:textId="5D29ADCA" w:rsidR="00576147" w:rsidRPr="001E3755" w:rsidRDefault="00576147" w:rsidP="00576147">
      <w:pPr>
        <w:pStyle w:val="Caption"/>
        <w:keepNext/>
        <w:spacing w:line="200" w:lineRule="atLeast"/>
      </w:pPr>
      <w:r w:rsidRPr="001E3755">
        <w:t xml:space="preserve">Table </w:t>
      </w:r>
      <w:fldSimple w:instr=" SEQ Tabel \* ARABIC ">
        <w:r w:rsidRPr="001E3755">
          <w:rPr>
            <w:noProof/>
          </w:rPr>
          <w:t>2</w:t>
        </w:r>
      </w:fldSimple>
      <w:r w:rsidRPr="001E3755">
        <w:t xml:space="preserve"> Descriptive statistics of household survey sample population</w:t>
      </w:r>
      <w:r w:rsidR="007250A0">
        <w:t xml:space="preserve"> and subsamples by CKPP involvement</w:t>
      </w:r>
    </w:p>
    <w:tbl>
      <w:tblPr>
        <w:tblStyle w:val="TableGrid"/>
        <w:tblW w:w="0" w:type="auto"/>
        <w:tblLook w:val="04A0" w:firstRow="1" w:lastRow="0" w:firstColumn="1" w:lastColumn="0" w:noHBand="0" w:noVBand="1"/>
      </w:tblPr>
      <w:tblGrid>
        <w:gridCol w:w="3895"/>
        <w:gridCol w:w="1749"/>
        <w:gridCol w:w="1686"/>
        <w:gridCol w:w="1686"/>
      </w:tblGrid>
      <w:tr w:rsidR="00476C49" w:rsidRPr="00546B8B" w14:paraId="48CE3958" w14:textId="333FE09B" w:rsidTr="002979F2">
        <w:tc>
          <w:tcPr>
            <w:tcW w:w="3960" w:type="dxa"/>
          </w:tcPr>
          <w:p w14:paraId="645ABB5F" w14:textId="77777777" w:rsidR="00476C49" w:rsidRPr="001E3755" w:rsidRDefault="00476C49" w:rsidP="007250A0">
            <w:pPr>
              <w:autoSpaceDE w:val="0"/>
              <w:autoSpaceDN w:val="0"/>
              <w:adjustRightInd w:val="0"/>
              <w:jc w:val="both"/>
              <w:rPr>
                <w:b/>
                <w:bCs/>
              </w:rPr>
            </w:pPr>
            <w:r w:rsidRPr="001E3755">
              <w:rPr>
                <w:b/>
                <w:bCs/>
              </w:rPr>
              <w:t>Variable</w:t>
            </w:r>
          </w:p>
        </w:tc>
        <w:tc>
          <w:tcPr>
            <w:tcW w:w="1768" w:type="dxa"/>
          </w:tcPr>
          <w:p w14:paraId="07D31B62" w14:textId="5790C6A7" w:rsidR="00476C49" w:rsidRPr="001E3755" w:rsidRDefault="007250A0" w:rsidP="007250A0">
            <w:pPr>
              <w:autoSpaceDE w:val="0"/>
              <w:autoSpaceDN w:val="0"/>
              <w:adjustRightInd w:val="0"/>
              <w:jc w:val="both"/>
              <w:rPr>
                <w:b/>
                <w:bCs/>
              </w:rPr>
            </w:pPr>
            <w:r>
              <w:rPr>
                <w:b/>
                <w:bCs/>
              </w:rPr>
              <w:t>Full sample</w:t>
            </w:r>
          </w:p>
        </w:tc>
        <w:tc>
          <w:tcPr>
            <w:tcW w:w="1702" w:type="dxa"/>
          </w:tcPr>
          <w:p w14:paraId="6FD11192" w14:textId="28D76738" w:rsidR="00476C49" w:rsidRPr="001E3755" w:rsidRDefault="007250A0" w:rsidP="007250A0">
            <w:pPr>
              <w:autoSpaceDE w:val="0"/>
              <w:autoSpaceDN w:val="0"/>
              <w:adjustRightInd w:val="0"/>
              <w:jc w:val="both"/>
              <w:rPr>
                <w:b/>
                <w:bCs/>
              </w:rPr>
            </w:pPr>
            <w:r>
              <w:rPr>
                <w:b/>
                <w:bCs/>
              </w:rPr>
              <w:t>CKPP involved</w:t>
            </w:r>
          </w:p>
        </w:tc>
        <w:tc>
          <w:tcPr>
            <w:tcW w:w="1702" w:type="dxa"/>
          </w:tcPr>
          <w:p w14:paraId="34986E87" w14:textId="5F2C2201" w:rsidR="007250A0" w:rsidRPr="001E3755" w:rsidRDefault="008D7CFE" w:rsidP="002979F2">
            <w:pPr>
              <w:autoSpaceDE w:val="0"/>
              <w:autoSpaceDN w:val="0"/>
              <w:adjustRightInd w:val="0"/>
              <w:jc w:val="both"/>
              <w:rPr>
                <w:b/>
                <w:bCs/>
              </w:rPr>
            </w:pPr>
            <w:r>
              <w:rPr>
                <w:b/>
                <w:bCs/>
              </w:rPr>
              <w:t>Not CKPP</w:t>
            </w:r>
            <w:r w:rsidR="007250A0">
              <w:rPr>
                <w:b/>
                <w:bCs/>
              </w:rPr>
              <w:t>-involved</w:t>
            </w:r>
          </w:p>
        </w:tc>
      </w:tr>
      <w:tr w:rsidR="007250A0" w:rsidRPr="00546B8B" w14:paraId="68B004E1" w14:textId="77777777" w:rsidTr="002979F2">
        <w:tc>
          <w:tcPr>
            <w:tcW w:w="3955" w:type="dxa"/>
          </w:tcPr>
          <w:p w14:paraId="7385792F" w14:textId="77777777" w:rsidR="007250A0" w:rsidRPr="001E3755" w:rsidRDefault="007250A0" w:rsidP="002979F2">
            <w:pPr>
              <w:autoSpaceDE w:val="0"/>
              <w:autoSpaceDN w:val="0"/>
              <w:adjustRightInd w:val="0"/>
              <w:jc w:val="both"/>
              <w:rPr>
                <w:b/>
                <w:bCs/>
              </w:rPr>
            </w:pPr>
          </w:p>
        </w:tc>
        <w:tc>
          <w:tcPr>
            <w:tcW w:w="1768" w:type="dxa"/>
          </w:tcPr>
          <w:p w14:paraId="628704B2" w14:textId="207AD245" w:rsidR="007250A0" w:rsidRPr="001E3755" w:rsidRDefault="007250A0" w:rsidP="002979F2">
            <w:pPr>
              <w:autoSpaceDE w:val="0"/>
              <w:autoSpaceDN w:val="0"/>
              <w:adjustRightInd w:val="0"/>
              <w:jc w:val="both"/>
              <w:rPr>
                <w:b/>
                <w:bCs/>
              </w:rPr>
            </w:pPr>
            <w:r w:rsidRPr="001E3755">
              <w:rPr>
                <w:b/>
                <w:bCs/>
              </w:rPr>
              <w:t>Mean</w:t>
            </w:r>
            <w:r>
              <w:rPr>
                <w:b/>
                <w:bCs/>
              </w:rPr>
              <w:t xml:space="preserve"> (</w:t>
            </w:r>
            <w:proofErr w:type="spellStart"/>
            <w:r>
              <w:rPr>
                <w:b/>
                <w:bCs/>
              </w:rPr>
              <w:t>st.dev</w:t>
            </w:r>
            <w:proofErr w:type="spellEnd"/>
            <w:r>
              <w:rPr>
                <w:b/>
                <w:bCs/>
              </w:rPr>
              <w:t>)</w:t>
            </w:r>
          </w:p>
        </w:tc>
        <w:tc>
          <w:tcPr>
            <w:tcW w:w="1702" w:type="dxa"/>
          </w:tcPr>
          <w:p w14:paraId="70CC0DFB" w14:textId="4C3D4EDB" w:rsidR="007250A0" w:rsidRDefault="007250A0" w:rsidP="002979F2">
            <w:pPr>
              <w:autoSpaceDE w:val="0"/>
              <w:autoSpaceDN w:val="0"/>
              <w:adjustRightInd w:val="0"/>
              <w:jc w:val="both"/>
              <w:rPr>
                <w:b/>
                <w:bCs/>
              </w:rPr>
            </w:pPr>
            <w:r w:rsidRPr="001E3755">
              <w:rPr>
                <w:b/>
                <w:bCs/>
              </w:rPr>
              <w:t>Mean</w:t>
            </w:r>
            <w:r>
              <w:rPr>
                <w:b/>
                <w:bCs/>
              </w:rPr>
              <w:t xml:space="preserve"> (</w:t>
            </w:r>
            <w:proofErr w:type="spellStart"/>
            <w:r>
              <w:rPr>
                <w:b/>
                <w:bCs/>
              </w:rPr>
              <w:t>st.dev</w:t>
            </w:r>
            <w:proofErr w:type="spellEnd"/>
            <w:r>
              <w:rPr>
                <w:b/>
                <w:bCs/>
              </w:rPr>
              <w:t>)</w:t>
            </w:r>
          </w:p>
        </w:tc>
        <w:tc>
          <w:tcPr>
            <w:tcW w:w="1702" w:type="dxa"/>
          </w:tcPr>
          <w:p w14:paraId="5F4156E9" w14:textId="24B3FE04" w:rsidR="007250A0" w:rsidRDefault="007250A0" w:rsidP="007250A0">
            <w:pPr>
              <w:autoSpaceDE w:val="0"/>
              <w:autoSpaceDN w:val="0"/>
              <w:adjustRightInd w:val="0"/>
              <w:jc w:val="both"/>
              <w:rPr>
                <w:b/>
                <w:bCs/>
              </w:rPr>
            </w:pPr>
            <w:r w:rsidRPr="001E3755">
              <w:rPr>
                <w:b/>
                <w:bCs/>
              </w:rPr>
              <w:t>Mean</w:t>
            </w:r>
            <w:r>
              <w:rPr>
                <w:b/>
                <w:bCs/>
              </w:rPr>
              <w:t xml:space="preserve"> (</w:t>
            </w:r>
            <w:proofErr w:type="spellStart"/>
            <w:r>
              <w:rPr>
                <w:b/>
                <w:bCs/>
              </w:rPr>
              <w:t>st.dev</w:t>
            </w:r>
            <w:proofErr w:type="spellEnd"/>
            <w:r>
              <w:rPr>
                <w:b/>
                <w:bCs/>
              </w:rPr>
              <w:t>)</w:t>
            </w:r>
          </w:p>
        </w:tc>
      </w:tr>
      <w:tr w:rsidR="00476C49" w:rsidRPr="00546B8B" w14:paraId="4FBA39A9" w14:textId="56D5112D" w:rsidTr="002979F2">
        <w:tc>
          <w:tcPr>
            <w:tcW w:w="3960" w:type="dxa"/>
          </w:tcPr>
          <w:p w14:paraId="2A7ACE65" w14:textId="4DEAF45F" w:rsidR="00476C49" w:rsidRPr="00546B8B" w:rsidRDefault="00476C49" w:rsidP="002979F2">
            <w:pPr>
              <w:autoSpaceDE w:val="0"/>
              <w:autoSpaceDN w:val="0"/>
              <w:adjustRightInd w:val="0"/>
              <w:jc w:val="both"/>
            </w:pPr>
            <w:r w:rsidRPr="00546B8B">
              <w:t>Age</w:t>
            </w:r>
            <w:r w:rsidR="008D7CFE">
              <w:t xml:space="preserve"> (in years)</w:t>
            </w:r>
          </w:p>
        </w:tc>
        <w:tc>
          <w:tcPr>
            <w:tcW w:w="1768" w:type="dxa"/>
          </w:tcPr>
          <w:p w14:paraId="068E5B61" w14:textId="41DD335E" w:rsidR="00476C49" w:rsidRDefault="00476C49" w:rsidP="002979F2">
            <w:pPr>
              <w:autoSpaceDE w:val="0"/>
              <w:autoSpaceDN w:val="0"/>
              <w:adjustRightInd w:val="0"/>
              <w:jc w:val="both"/>
            </w:pPr>
            <w:r w:rsidRPr="00546B8B">
              <w:t>4</w:t>
            </w:r>
            <w:r>
              <w:t>4.8</w:t>
            </w:r>
            <w:r w:rsidRPr="00546B8B">
              <w:t xml:space="preserve"> </w:t>
            </w:r>
          </w:p>
          <w:p w14:paraId="444CC1F9" w14:textId="50A74196" w:rsidR="00476C49" w:rsidRPr="00546B8B" w:rsidRDefault="00476C49" w:rsidP="002979F2">
            <w:pPr>
              <w:autoSpaceDE w:val="0"/>
              <w:autoSpaceDN w:val="0"/>
              <w:adjustRightInd w:val="0"/>
              <w:jc w:val="both"/>
            </w:pPr>
            <w:r>
              <w:t>(9.4)</w:t>
            </w:r>
          </w:p>
        </w:tc>
        <w:tc>
          <w:tcPr>
            <w:tcW w:w="1702" w:type="dxa"/>
          </w:tcPr>
          <w:p w14:paraId="13DC0434" w14:textId="407FE623" w:rsidR="00476C49" w:rsidRDefault="007250A0" w:rsidP="002979F2">
            <w:pPr>
              <w:autoSpaceDE w:val="0"/>
              <w:autoSpaceDN w:val="0"/>
              <w:adjustRightInd w:val="0"/>
              <w:jc w:val="both"/>
            </w:pPr>
            <w:r>
              <w:t xml:space="preserve">43.8 </w:t>
            </w:r>
          </w:p>
          <w:p w14:paraId="7490F83C" w14:textId="698FBD79" w:rsidR="007250A0" w:rsidRPr="00546B8B" w:rsidRDefault="007250A0" w:rsidP="002979F2">
            <w:pPr>
              <w:autoSpaceDE w:val="0"/>
              <w:autoSpaceDN w:val="0"/>
              <w:adjustRightInd w:val="0"/>
              <w:jc w:val="both"/>
            </w:pPr>
            <w:r>
              <w:t>(10.1)</w:t>
            </w:r>
          </w:p>
        </w:tc>
        <w:tc>
          <w:tcPr>
            <w:tcW w:w="1702" w:type="dxa"/>
          </w:tcPr>
          <w:p w14:paraId="09B8EA5F" w14:textId="3AAE2A72" w:rsidR="00476C49" w:rsidRDefault="007250A0" w:rsidP="002979F2">
            <w:pPr>
              <w:autoSpaceDE w:val="0"/>
              <w:autoSpaceDN w:val="0"/>
              <w:adjustRightInd w:val="0"/>
              <w:jc w:val="both"/>
            </w:pPr>
            <w:r>
              <w:t xml:space="preserve">45.0 </w:t>
            </w:r>
          </w:p>
          <w:p w14:paraId="4700C6E9" w14:textId="2059FAAB" w:rsidR="007250A0" w:rsidRPr="00546B8B" w:rsidRDefault="007250A0" w:rsidP="002979F2">
            <w:pPr>
              <w:autoSpaceDE w:val="0"/>
              <w:autoSpaceDN w:val="0"/>
              <w:adjustRightInd w:val="0"/>
              <w:jc w:val="both"/>
            </w:pPr>
            <w:r>
              <w:t>(9.1)</w:t>
            </w:r>
          </w:p>
        </w:tc>
      </w:tr>
      <w:tr w:rsidR="00476C49" w:rsidRPr="00546B8B" w14:paraId="67E6FB2E" w14:textId="03DBB124" w:rsidTr="002979F2">
        <w:tc>
          <w:tcPr>
            <w:tcW w:w="3960" w:type="dxa"/>
          </w:tcPr>
          <w:p w14:paraId="3642D7D2" w14:textId="0C5BE724" w:rsidR="00476C49" w:rsidRPr="00546B8B" w:rsidRDefault="00476C49" w:rsidP="002979F2">
            <w:pPr>
              <w:autoSpaceDE w:val="0"/>
              <w:autoSpaceDN w:val="0"/>
              <w:adjustRightInd w:val="0"/>
              <w:jc w:val="both"/>
            </w:pPr>
            <w:r w:rsidRPr="00546B8B">
              <w:t>Household size</w:t>
            </w:r>
            <w:r w:rsidR="008D7CFE">
              <w:t xml:space="preserve"> (in members)</w:t>
            </w:r>
          </w:p>
        </w:tc>
        <w:tc>
          <w:tcPr>
            <w:tcW w:w="1768" w:type="dxa"/>
          </w:tcPr>
          <w:p w14:paraId="3BC98478" w14:textId="7101B564" w:rsidR="00476C49" w:rsidRDefault="00476C49" w:rsidP="002979F2">
            <w:pPr>
              <w:autoSpaceDE w:val="0"/>
              <w:autoSpaceDN w:val="0"/>
              <w:adjustRightInd w:val="0"/>
              <w:jc w:val="both"/>
            </w:pPr>
            <w:r w:rsidRPr="00546B8B">
              <w:t>5</w:t>
            </w:r>
            <w:r>
              <w:t>.0</w:t>
            </w:r>
            <w:r w:rsidRPr="00546B8B">
              <w:t xml:space="preserve"> </w:t>
            </w:r>
          </w:p>
          <w:p w14:paraId="3D5E5B72" w14:textId="2317E03B" w:rsidR="00476C49" w:rsidRPr="00546B8B" w:rsidRDefault="00476C49" w:rsidP="002979F2">
            <w:pPr>
              <w:autoSpaceDE w:val="0"/>
              <w:autoSpaceDN w:val="0"/>
              <w:adjustRightInd w:val="0"/>
              <w:jc w:val="both"/>
            </w:pPr>
            <w:r>
              <w:t>(1.6)</w:t>
            </w:r>
          </w:p>
        </w:tc>
        <w:tc>
          <w:tcPr>
            <w:tcW w:w="1702" w:type="dxa"/>
          </w:tcPr>
          <w:p w14:paraId="5FCE4CF9" w14:textId="54BD2A70" w:rsidR="00476C49" w:rsidRDefault="007250A0" w:rsidP="002979F2">
            <w:pPr>
              <w:autoSpaceDE w:val="0"/>
              <w:autoSpaceDN w:val="0"/>
              <w:adjustRightInd w:val="0"/>
              <w:jc w:val="both"/>
            </w:pPr>
            <w:r>
              <w:t xml:space="preserve">4.9 </w:t>
            </w:r>
          </w:p>
          <w:p w14:paraId="49A8FB55" w14:textId="4BEDEEC3" w:rsidR="007250A0" w:rsidRPr="00546B8B" w:rsidRDefault="007250A0" w:rsidP="002979F2">
            <w:pPr>
              <w:autoSpaceDE w:val="0"/>
              <w:autoSpaceDN w:val="0"/>
              <w:adjustRightInd w:val="0"/>
              <w:jc w:val="both"/>
            </w:pPr>
            <w:r>
              <w:t>(1.5)</w:t>
            </w:r>
          </w:p>
        </w:tc>
        <w:tc>
          <w:tcPr>
            <w:tcW w:w="1702" w:type="dxa"/>
          </w:tcPr>
          <w:p w14:paraId="0DC690B6" w14:textId="2EC915D7" w:rsidR="00476C49" w:rsidRDefault="007250A0" w:rsidP="002979F2">
            <w:pPr>
              <w:autoSpaceDE w:val="0"/>
              <w:autoSpaceDN w:val="0"/>
              <w:adjustRightInd w:val="0"/>
              <w:jc w:val="both"/>
            </w:pPr>
            <w:r>
              <w:t xml:space="preserve">5.0 </w:t>
            </w:r>
          </w:p>
          <w:p w14:paraId="1E27530D" w14:textId="7B9C42B0" w:rsidR="007250A0" w:rsidRPr="00546B8B" w:rsidRDefault="007250A0" w:rsidP="002979F2">
            <w:pPr>
              <w:autoSpaceDE w:val="0"/>
              <w:autoSpaceDN w:val="0"/>
              <w:adjustRightInd w:val="0"/>
              <w:jc w:val="both"/>
            </w:pPr>
            <w:r>
              <w:t>(1.7)</w:t>
            </w:r>
          </w:p>
        </w:tc>
      </w:tr>
      <w:tr w:rsidR="00476C49" w:rsidRPr="00546B8B" w14:paraId="68AD228E" w14:textId="65A9CA33" w:rsidTr="002979F2">
        <w:tc>
          <w:tcPr>
            <w:tcW w:w="3960" w:type="dxa"/>
          </w:tcPr>
          <w:p w14:paraId="233EFA97" w14:textId="1CD9730A" w:rsidR="00476C49" w:rsidRPr="00546B8B" w:rsidRDefault="00476C49" w:rsidP="002979F2">
            <w:pPr>
              <w:autoSpaceDE w:val="0"/>
              <w:autoSpaceDN w:val="0"/>
              <w:adjustRightInd w:val="0"/>
              <w:jc w:val="both"/>
            </w:pPr>
            <w:r w:rsidRPr="00546B8B">
              <w:t>Born in Central Kalimantan</w:t>
            </w:r>
            <w:r w:rsidR="008D7CFE">
              <w:t xml:space="preserve"> (%)</w:t>
            </w:r>
          </w:p>
        </w:tc>
        <w:tc>
          <w:tcPr>
            <w:tcW w:w="1768" w:type="dxa"/>
          </w:tcPr>
          <w:p w14:paraId="7574ACA8" w14:textId="13534F5C" w:rsidR="00476C49" w:rsidRDefault="00476C49" w:rsidP="002979F2">
            <w:pPr>
              <w:autoSpaceDE w:val="0"/>
              <w:autoSpaceDN w:val="0"/>
              <w:adjustRightInd w:val="0"/>
              <w:jc w:val="both"/>
            </w:pPr>
            <w:r>
              <w:t>59.8</w:t>
            </w:r>
            <w:r w:rsidRPr="00546B8B">
              <w:t>%</w:t>
            </w:r>
          </w:p>
          <w:p w14:paraId="42203564" w14:textId="16A69238" w:rsidR="00476C49" w:rsidRPr="00546B8B" w:rsidRDefault="00476C49" w:rsidP="002979F2">
            <w:pPr>
              <w:autoSpaceDE w:val="0"/>
              <w:autoSpaceDN w:val="0"/>
              <w:adjustRightInd w:val="0"/>
              <w:jc w:val="both"/>
            </w:pPr>
            <w:r>
              <w:t>(49.0%)</w:t>
            </w:r>
          </w:p>
        </w:tc>
        <w:tc>
          <w:tcPr>
            <w:tcW w:w="1702" w:type="dxa"/>
          </w:tcPr>
          <w:p w14:paraId="66766E79" w14:textId="219A0470" w:rsidR="00476C49" w:rsidRDefault="007250A0" w:rsidP="002979F2">
            <w:pPr>
              <w:autoSpaceDE w:val="0"/>
              <w:autoSpaceDN w:val="0"/>
              <w:adjustRightInd w:val="0"/>
              <w:jc w:val="both"/>
            </w:pPr>
            <w:r>
              <w:t>70.4%</w:t>
            </w:r>
            <w:r w:rsidR="00D60B5C">
              <w:t>*</w:t>
            </w:r>
          </w:p>
          <w:p w14:paraId="1B357B35" w14:textId="67E8CE45" w:rsidR="007250A0" w:rsidRDefault="007250A0" w:rsidP="002979F2">
            <w:pPr>
              <w:autoSpaceDE w:val="0"/>
              <w:autoSpaceDN w:val="0"/>
              <w:adjustRightInd w:val="0"/>
              <w:jc w:val="both"/>
            </w:pPr>
            <w:r>
              <w:t>(45.9%)</w:t>
            </w:r>
          </w:p>
        </w:tc>
        <w:tc>
          <w:tcPr>
            <w:tcW w:w="1702" w:type="dxa"/>
          </w:tcPr>
          <w:p w14:paraId="4411D126" w14:textId="5135AA3E" w:rsidR="00476C49" w:rsidRDefault="007250A0" w:rsidP="002979F2">
            <w:pPr>
              <w:autoSpaceDE w:val="0"/>
              <w:autoSpaceDN w:val="0"/>
              <w:adjustRightInd w:val="0"/>
              <w:jc w:val="both"/>
            </w:pPr>
            <w:r>
              <w:t>55.4%</w:t>
            </w:r>
            <w:r w:rsidR="00D60B5C">
              <w:t>*</w:t>
            </w:r>
          </w:p>
          <w:p w14:paraId="3DBEF45F" w14:textId="1F56B7E1" w:rsidR="007250A0" w:rsidRDefault="007250A0" w:rsidP="002979F2">
            <w:pPr>
              <w:autoSpaceDE w:val="0"/>
              <w:autoSpaceDN w:val="0"/>
              <w:adjustRightInd w:val="0"/>
              <w:jc w:val="both"/>
            </w:pPr>
            <w:r>
              <w:t>(49.8%)</w:t>
            </w:r>
          </w:p>
        </w:tc>
      </w:tr>
      <w:tr w:rsidR="00476C49" w:rsidRPr="00546B8B" w14:paraId="2D68E643" w14:textId="61B1C54A" w:rsidTr="002979F2">
        <w:tc>
          <w:tcPr>
            <w:tcW w:w="3960" w:type="dxa"/>
          </w:tcPr>
          <w:p w14:paraId="55138AA2" w14:textId="69358BD3" w:rsidR="00476C49" w:rsidRPr="00546B8B" w:rsidRDefault="00476C49" w:rsidP="002979F2">
            <w:pPr>
              <w:autoSpaceDE w:val="0"/>
              <w:autoSpaceDN w:val="0"/>
              <w:adjustRightInd w:val="0"/>
              <w:jc w:val="both"/>
            </w:pPr>
            <w:r w:rsidRPr="00546B8B">
              <w:t>Income</w:t>
            </w:r>
            <w:r w:rsidR="00F309CD">
              <w:t xml:space="preserve"> (in </w:t>
            </w:r>
            <w:r w:rsidR="008D7CFE">
              <w:t xml:space="preserve">million </w:t>
            </w:r>
            <w:r w:rsidR="00F309CD">
              <w:t>Rupiah)</w:t>
            </w:r>
          </w:p>
        </w:tc>
        <w:tc>
          <w:tcPr>
            <w:tcW w:w="1768" w:type="dxa"/>
          </w:tcPr>
          <w:p w14:paraId="21C6BAA2" w14:textId="07BC6D33" w:rsidR="00476C49" w:rsidRDefault="00476C49" w:rsidP="00F309CD">
            <w:pPr>
              <w:autoSpaceDE w:val="0"/>
              <w:autoSpaceDN w:val="0"/>
              <w:adjustRightInd w:val="0"/>
            </w:pPr>
            <w:r w:rsidRPr="00546B8B">
              <w:t xml:space="preserve">7.8 </w:t>
            </w:r>
          </w:p>
          <w:p w14:paraId="69BA5C04" w14:textId="6948B892" w:rsidR="00476C49" w:rsidRPr="00546B8B" w:rsidRDefault="00476C49" w:rsidP="00F309CD">
            <w:pPr>
              <w:autoSpaceDE w:val="0"/>
              <w:autoSpaceDN w:val="0"/>
              <w:adjustRightInd w:val="0"/>
            </w:pPr>
            <w:r>
              <w:t>(7.3)</w:t>
            </w:r>
          </w:p>
        </w:tc>
        <w:tc>
          <w:tcPr>
            <w:tcW w:w="1702" w:type="dxa"/>
          </w:tcPr>
          <w:p w14:paraId="48EECE7F" w14:textId="20568994" w:rsidR="00476C49" w:rsidRDefault="007250A0" w:rsidP="00F309CD">
            <w:pPr>
              <w:autoSpaceDE w:val="0"/>
              <w:autoSpaceDN w:val="0"/>
              <w:adjustRightInd w:val="0"/>
            </w:pPr>
            <w:r>
              <w:t xml:space="preserve">8.0 </w:t>
            </w:r>
          </w:p>
          <w:p w14:paraId="23EECF04" w14:textId="7C8491B2" w:rsidR="007250A0" w:rsidRPr="00546B8B" w:rsidRDefault="007250A0" w:rsidP="00F309CD">
            <w:pPr>
              <w:autoSpaceDE w:val="0"/>
              <w:autoSpaceDN w:val="0"/>
              <w:adjustRightInd w:val="0"/>
            </w:pPr>
            <w:r>
              <w:t>(6.5)</w:t>
            </w:r>
          </w:p>
        </w:tc>
        <w:tc>
          <w:tcPr>
            <w:tcW w:w="1702" w:type="dxa"/>
          </w:tcPr>
          <w:p w14:paraId="4862B1A5" w14:textId="5EDC9AB6" w:rsidR="00476C49" w:rsidRDefault="00F309CD" w:rsidP="00F309CD">
            <w:pPr>
              <w:autoSpaceDE w:val="0"/>
              <w:autoSpaceDN w:val="0"/>
              <w:adjustRightInd w:val="0"/>
            </w:pPr>
            <w:r>
              <w:t xml:space="preserve">7.6 </w:t>
            </w:r>
          </w:p>
          <w:p w14:paraId="7BEA8D7B" w14:textId="2C5121D1" w:rsidR="00D60B5C" w:rsidRPr="00546B8B" w:rsidRDefault="00D60B5C" w:rsidP="00F309CD">
            <w:pPr>
              <w:autoSpaceDE w:val="0"/>
              <w:autoSpaceDN w:val="0"/>
              <w:adjustRightInd w:val="0"/>
            </w:pPr>
            <w:r>
              <w:t>(7.1)</w:t>
            </w:r>
          </w:p>
        </w:tc>
      </w:tr>
      <w:tr w:rsidR="00476C49" w:rsidRPr="00546B8B" w14:paraId="693652EC" w14:textId="7042B392" w:rsidTr="002979F2">
        <w:tc>
          <w:tcPr>
            <w:tcW w:w="3960" w:type="dxa"/>
          </w:tcPr>
          <w:p w14:paraId="2C5665E4" w14:textId="14889578" w:rsidR="00476C49" w:rsidRPr="00546B8B" w:rsidRDefault="00476C49" w:rsidP="002979F2">
            <w:pPr>
              <w:autoSpaceDE w:val="0"/>
              <w:autoSpaceDN w:val="0"/>
              <w:adjustRightInd w:val="0"/>
              <w:jc w:val="both"/>
            </w:pPr>
            <w:r w:rsidRPr="00546B8B">
              <w:t xml:space="preserve">Land size </w:t>
            </w:r>
            <w:r w:rsidR="008D7CFE">
              <w:t>(in ha)</w:t>
            </w:r>
          </w:p>
        </w:tc>
        <w:tc>
          <w:tcPr>
            <w:tcW w:w="1768" w:type="dxa"/>
          </w:tcPr>
          <w:p w14:paraId="2499CD33" w14:textId="3CAE1870" w:rsidR="00476C49" w:rsidRDefault="00476C49" w:rsidP="002979F2">
            <w:pPr>
              <w:autoSpaceDE w:val="0"/>
              <w:autoSpaceDN w:val="0"/>
              <w:adjustRightInd w:val="0"/>
              <w:jc w:val="both"/>
            </w:pPr>
            <w:r w:rsidRPr="00546B8B">
              <w:t xml:space="preserve">4.2 </w:t>
            </w:r>
          </w:p>
          <w:p w14:paraId="098FB599" w14:textId="55DB7779" w:rsidR="00476C49" w:rsidRPr="00546B8B" w:rsidRDefault="00476C49" w:rsidP="002979F2">
            <w:pPr>
              <w:autoSpaceDE w:val="0"/>
              <w:autoSpaceDN w:val="0"/>
              <w:adjustRightInd w:val="0"/>
              <w:jc w:val="both"/>
            </w:pPr>
            <w:r>
              <w:t>(3.0)</w:t>
            </w:r>
          </w:p>
        </w:tc>
        <w:tc>
          <w:tcPr>
            <w:tcW w:w="1702" w:type="dxa"/>
          </w:tcPr>
          <w:p w14:paraId="7D09AA12" w14:textId="20B8501B" w:rsidR="00476C49" w:rsidRDefault="008D7CFE" w:rsidP="002979F2">
            <w:pPr>
              <w:autoSpaceDE w:val="0"/>
              <w:autoSpaceDN w:val="0"/>
              <w:adjustRightInd w:val="0"/>
              <w:jc w:val="both"/>
            </w:pPr>
            <w:r>
              <w:t>5.0</w:t>
            </w:r>
            <w:r w:rsidR="00D60B5C">
              <w:t>*</w:t>
            </w:r>
          </w:p>
          <w:p w14:paraId="6147009C" w14:textId="719802A8" w:rsidR="007250A0" w:rsidRPr="00546B8B" w:rsidRDefault="007250A0" w:rsidP="002979F2">
            <w:pPr>
              <w:autoSpaceDE w:val="0"/>
              <w:autoSpaceDN w:val="0"/>
              <w:adjustRightInd w:val="0"/>
              <w:jc w:val="both"/>
            </w:pPr>
            <w:r>
              <w:t>(3.8)</w:t>
            </w:r>
          </w:p>
        </w:tc>
        <w:tc>
          <w:tcPr>
            <w:tcW w:w="1702" w:type="dxa"/>
          </w:tcPr>
          <w:p w14:paraId="6C09CB48" w14:textId="4E796CFD" w:rsidR="00476C49" w:rsidRDefault="008D7CFE" w:rsidP="002979F2">
            <w:pPr>
              <w:autoSpaceDE w:val="0"/>
              <w:autoSpaceDN w:val="0"/>
              <w:adjustRightInd w:val="0"/>
              <w:jc w:val="both"/>
            </w:pPr>
            <w:r>
              <w:t>3.9</w:t>
            </w:r>
            <w:r w:rsidR="00D60B5C">
              <w:t>*</w:t>
            </w:r>
          </w:p>
          <w:p w14:paraId="49EFED09" w14:textId="58B5A693" w:rsidR="00D60B5C" w:rsidRPr="00546B8B" w:rsidRDefault="00D60B5C" w:rsidP="002979F2">
            <w:pPr>
              <w:autoSpaceDE w:val="0"/>
              <w:autoSpaceDN w:val="0"/>
              <w:adjustRightInd w:val="0"/>
              <w:jc w:val="both"/>
            </w:pPr>
            <w:r>
              <w:t>(2.6)</w:t>
            </w:r>
          </w:p>
        </w:tc>
      </w:tr>
      <w:tr w:rsidR="00476C49" w:rsidRPr="00546B8B" w14:paraId="4CFE94EF" w14:textId="14655BFF" w:rsidTr="002979F2">
        <w:tc>
          <w:tcPr>
            <w:tcW w:w="3960" w:type="dxa"/>
          </w:tcPr>
          <w:p w14:paraId="6418053E" w14:textId="77777777" w:rsidR="00476C49" w:rsidRPr="00546B8B" w:rsidRDefault="00476C49" w:rsidP="002979F2">
            <w:pPr>
              <w:autoSpaceDE w:val="0"/>
              <w:autoSpaceDN w:val="0"/>
              <w:adjustRightInd w:val="0"/>
              <w:jc w:val="both"/>
            </w:pPr>
            <w:r w:rsidRPr="00546B8B">
              <w:t>Used extension services</w:t>
            </w:r>
          </w:p>
        </w:tc>
        <w:tc>
          <w:tcPr>
            <w:tcW w:w="1768" w:type="dxa"/>
          </w:tcPr>
          <w:p w14:paraId="799148EA" w14:textId="7E1837C3" w:rsidR="00476C49" w:rsidRDefault="00476C49" w:rsidP="002979F2">
            <w:pPr>
              <w:autoSpaceDE w:val="0"/>
              <w:autoSpaceDN w:val="0"/>
              <w:adjustRightInd w:val="0"/>
              <w:jc w:val="both"/>
            </w:pPr>
            <w:r>
              <w:t>39.8</w:t>
            </w:r>
            <w:r w:rsidRPr="00546B8B">
              <w:t>%</w:t>
            </w:r>
          </w:p>
          <w:p w14:paraId="088E0FBE" w14:textId="3E0ECFDE" w:rsidR="00476C49" w:rsidRPr="00546B8B" w:rsidRDefault="00476C49" w:rsidP="002979F2">
            <w:pPr>
              <w:autoSpaceDE w:val="0"/>
              <w:autoSpaceDN w:val="0"/>
              <w:adjustRightInd w:val="0"/>
              <w:jc w:val="both"/>
            </w:pPr>
            <w:r>
              <w:t>(49.0%)</w:t>
            </w:r>
            <w:r w:rsidRPr="00546B8B">
              <w:t xml:space="preserve"> </w:t>
            </w:r>
          </w:p>
        </w:tc>
        <w:tc>
          <w:tcPr>
            <w:tcW w:w="1702" w:type="dxa"/>
          </w:tcPr>
          <w:p w14:paraId="1AEC915C" w14:textId="77777777" w:rsidR="00476C49" w:rsidRDefault="007250A0" w:rsidP="002979F2">
            <w:pPr>
              <w:autoSpaceDE w:val="0"/>
              <w:autoSpaceDN w:val="0"/>
              <w:adjustRightInd w:val="0"/>
              <w:jc w:val="both"/>
            </w:pPr>
            <w:r>
              <w:t>40.2%</w:t>
            </w:r>
          </w:p>
          <w:p w14:paraId="274D9B1A" w14:textId="4B73D2D0" w:rsidR="007250A0" w:rsidRDefault="007250A0" w:rsidP="002979F2">
            <w:pPr>
              <w:autoSpaceDE w:val="0"/>
              <w:autoSpaceDN w:val="0"/>
              <w:adjustRightInd w:val="0"/>
              <w:jc w:val="both"/>
            </w:pPr>
            <w:r>
              <w:t>(49.3%)</w:t>
            </w:r>
          </w:p>
        </w:tc>
        <w:tc>
          <w:tcPr>
            <w:tcW w:w="1702" w:type="dxa"/>
          </w:tcPr>
          <w:p w14:paraId="5D561C88" w14:textId="77777777" w:rsidR="00476C49" w:rsidRDefault="00D60B5C" w:rsidP="002979F2">
            <w:pPr>
              <w:autoSpaceDE w:val="0"/>
              <w:autoSpaceDN w:val="0"/>
              <w:adjustRightInd w:val="0"/>
              <w:jc w:val="both"/>
            </w:pPr>
            <w:r>
              <w:t>41.9%</w:t>
            </w:r>
          </w:p>
          <w:p w14:paraId="0F87046E" w14:textId="1605BCB2" w:rsidR="00D60B5C" w:rsidRDefault="00D60B5C" w:rsidP="002979F2">
            <w:pPr>
              <w:autoSpaceDE w:val="0"/>
              <w:autoSpaceDN w:val="0"/>
              <w:adjustRightInd w:val="0"/>
              <w:jc w:val="both"/>
            </w:pPr>
            <w:r>
              <w:t>(49.4%)</w:t>
            </w:r>
          </w:p>
        </w:tc>
      </w:tr>
      <w:tr w:rsidR="00476C49" w:rsidRPr="00546B8B" w14:paraId="693A2C82" w14:textId="49C1ABAE" w:rsidTr="002979F2">
        <w:tc>
          <w:tcPr>
            <w:tcW w:w="3960" w:type="dxa"/>
          </w:tcPr>
          <w:p w14:paraId="5DA47568" w14:textId="77777777" w:rsidR="00476C49" w:rsidRPr="00546B8B" w:rsidRDefault="00476C49" w:rsidP="002979F2">
            <w:pPr>
              <w:autoSpaceDE w:val="0"/>
              <w:autoSpaceDN w:val="0"/>
              <w:adjustRightInd w:val="0"/>
              <w:jc w:val="both"/>
            </w:pPr>
            <w:r w:rsidRPr="00546B8B">
              <w:t>CKPP involvement</w:t>
            </w:r>
          </w:p>
        </w:tc>
        <w:tc>
          <w:tcPr>
            <w:tcW w:w="1768" w:type="dxa"/>
          </w:tcPr>
          <w:p w14:paraId="70471EA3" w14:textId="50EABE83" w:rsidR="00476C49" w:rsidRDefault="00476C49" w:rsidP="002979F2">
            <w:pPr>
              <w:autoSpaceDE w:val="0"/>
              <w:autoSpaceDN w:val="0"/>
              <w:adjustRightInd w:val="0"/>
              <w:jc w:val="both"/>
            </w:pPr>
            <w:r w:rsidRPr="00546B8B">
              <w:t>26</w:t>
            </w:r>
            <w:r>
              <w:t>.1</w:t>
            </w:r>
            <w:r w:rsidRPr="00546B8B">
              <w:t>%</w:t>
            </w:r>
          </w:p>
          <w:p w14:paraId="0938F5CB" w14:textId="3217A724" w:rsidR="00476C49" w:rsidRPr="00546B8B" w:rsidRDefault="00476C49" w:rsidP="002979F2">
            <w:pPr>
              <w:autoSpaceDE w:val="0"/>
              <w:autoSpaceDN w:val="0"/>
              <w:adjustRightInd w:val="0"/>
              <w:jc w:val="both"/>
            </w:pPr>
            <w:r>
              <w:t>(44.0%)</w:t>
            </w:r>
          </w:p>
        </w:tc>
        <w:tc>
          <w:tcPr>
            <w:tcW w:w="1702" w:type="dxa"/>
          </w:tcPr>
          <w:p w14:paraId="7064FFA9" w14:textId="6367E16A" w:rsidR="00476C49" w:rsidRDefault="007250A0" w:rsidP="002979F2">
            <w:pPr>
              <w:autoSpaceDE w:val="0"/>
              <w:autoSpaceDN w:val="0"/>
              <w:adjustRightInd w:val="0"/>
              <w:jc w:val="both"/>
            </w:pPr>
            <w:r>
              <w:t>1</w:t>
            </w:r>
            <w:r w:rsidR="008D7CFE">
              <w:t>00%</w:t>
            </w:r>
          </w:p>
          <w:p w14:paraId="38B6DA43" w14:textId="4DCF2CFD" w:rsidR="007250A0" w:rsidRPr="00546B8B" w:rsidRDefault="007250A0" w:rsidP="002979F2">
            <w:pPr>
              <w:autoSpaceDE w:val="0"/>
              <w:autoSpaceDN w:val="0"/>
              <w:adjustRightInd w:val="0"/>
              <w:jc w:val="both"/>
            </w:pPr>
            <w:r>
              <w:t>(0</w:t>
            </w:r>
            <w:r w:rsidR="008D7CFE">
              <w:t>%</w:t>
            </w:r>
            <w:r>
              <w:t>)</w:t>
            </w:r>
          </w:p>
        </w:tc>
        <w:tc>
          <w:tcPr>
            <w:tcW w:w="1702" w:type="dxa"/>
          </w:tcPr>
          <w:p w14:paraId="4BDA337D" w14:textId="1C6956FC" w:rsidR="00476C49" w:rsidRDefault="00D60B5C" w:rsidP="002979F2">
            <w:pPr>
              <w:autoSpaceDE w:val="0"/>
              <w:autoSpaceDN w:val="0"/>
              <w:adjustRightInd w:val="0"/>
              <w:jc w:val="both"/>
            </w:pPr>
            <w:r>
              <w:t>0</w:t>
            </w:r>
            <w:r w:rsidR="008D7CFE">
              <w:t>%</w:t>
            </w:r>
          </w:p>
          <w:p w14:paraId="25E40323" w14:textId="2417C322" w:rsidR="00D60B5C" w:rsidRPr="00546B8B" w:rsidRDefault="00D60B5C" w:rsidP="002979F2">
            <w:pPr>
              <w:autoSpaceDE w:val="0"/>
              <w:autoSpaceDN w:val="0"/>
              <w:adjustRightInd w:val="0"/>
              <w:jc w:val="both"/>
            </w:pPr>
            <w:r>
              <w:t>(0</w:t>
            </w:r>
            <w:r w:rsidR="008D7CFE">
              <w:t>%</w:t>
            </w:r>
            <w:r>
              <w:t>)</w:t>
            </w:r>
          </w:p>
        </w:tc>
      </w:tr>
      <w:tr w:rsidR="00476C49" w:rsidRPr="00546B8B" w14:paraId="45D207D7" w14:textId="37590FC9" w:rsidTr="002979F2">
        <w:tc>
          <w:tcPr>
            <w:tcW w:w="3960" w:type="dxa"/>
          </w:tcPr>
          <w:p w14:paraId="77CA672B" w14:textId="67D4DCAF" w:rsidR="00476C49" w:rsidRPr="00546B8B" w:rsidRDefault="00476C49" w:rsidP="002979F2">
            <w:pPr>
              <w:autoSpaceDE w:val="0"/>
              <w:autoSpaceDN w:val="0"/>
              <w:adjustRightInd w:val="0"/>
              <w:jc w:val="both"/>
            </w:pPr>
            <w:r w:rsidRPr="00546B8B">
              <w:t>Use of fire to clear our farmland</w:t>
            </w:r>
          </w:p>
          <w:p w14:paraId="2AE4C4B3" w14:textId="77777777" w:rsidR="00476C49" w:rsidRPr="00546B8B" w:rsidRDefault="00476C49" w:rsidP="002979F2">
            <w:pPr>
              <w:pStyle w:val="ListParagraph"/>
              <w:numPr>
                <w:ilvl w:val="0"/>
                <w:numId w:val="6"/>
              </w:numPr>
              <w:autoSpaceDE w:val="0"/>
              <w:autoSpaceDN w:val="0"/>
              <w:adjustRightInd w:val="0"/>
              <w:ind w:left="360"/>
              <w:jc w:val="both"/>
            </w:pPr>
            <w:r w:rsidRPr="00546B8B">
              <w:t>Yes</w:t>
            </w:r>
          </w:p>
          <w:p w14:paraId="255AC60B" w14:textId="77777777" w:rsidR="00476C49" w:rsidRPr="00546B8B" w:rsidRDefault="00476C49" w:rsidP="002979F2">
            <w:pPr>
              <w:pStyle w:val="ListParagraph"/>
              <w:numPr>
                <w:ilvl w:val="0"/>
                <w:numId w:val="6"/>
              </w:numPr>
              <w:autoSpaceDE w:val="0"/>
              <w:autoSpaceDN w:val="0"/>
              <w:adjustRightInd w:val="0"/>
              <w:ind w:left="360"/>
              <w:jc w:val="both"/>
            </w:pPr>
            <w:r w:rsidRPr="00546B8B">
              <w:t>Yes, I used to until it was banned</w:t>
            </w:r>
          </w:p>
        </w:tc>
        <w:tc>
          <w:tcPr>
            <w:tcW w:w="1768" w:type="dxa"/>
          </w:tcPr>
          <w:p w14:paraId="266C649F" w14:textId="77777777" w:rsidR="00476C49" w:rsidRPr="00546B8B" w:rsidRDefault="00476C49" w:rsidP="002979F2">
            <w:pPr>
              <w:autoSpaceDE w:val="0"/>
              <w:autoSpaceDN w:val="0"/>
              <w:adjustRightInd w:val="0"/>
              <w:jc w:val="both"/>
            </w:pPr>
          </w:p>
          <w:p w14:paraId="275CEC53" w14:textId="77777777" w:rsidR="00476C49" w:rsidRPr="00546B8B" w:rsidRDefault="00476C49" w:rsidP="002979F2">
            <w:pPr>
              <w:pStyle w:val="ListParagraph"/>
              <w:numPr>
                <w:ilvl w:val="0"/>
                <w:numId w:val="6"/>
              </w:numPr>
              <w:autoSpaceDE w:val="0"/>
              <w:autoSpaceDN w:val="0"/>
              <w:adjustRightInd w:val="0"/>
              <w:ind w:left="360"/>
              <w:jc w:val="both"/>
            </w:pPr>
            <w:r w:rsidRPr="00546B8B">
              <w:t>28%</w:t>
            </w:r>
          </w:p>
          <w:p w14:paraId="32E2E759" w14:textId="77777777" w:rsidR="00476C49" w:rsidRPr="00546B8B" w:rsidRDefault="00476C49" w:rsidP="002979F2">
            <w:pPr>
              <w:pStyle w:val="ListParagraph"/>
              <w:numPr>
                <w:ilvl w:val="0"/>
                <w:numId w:val="6"/>
              </w:numPr>
              <w:autoSpaceDE w:val="0"/>
              <w:autoSpaceDN w:val="0"/>
              <w:adjustRightInd w:val="0"/>
              <w:ind w:left="360"/>
              <w:jc w:val="both"/>
            </w:pPr>
            <w:r w:rsidRPr="00546B8B">
              <w:t>55%</w:t>
            </w:r>
          </w:p>
        </w:tc>
        <w:tc>
          <w:tcPr>
            <w:tcW w:w="1702" w:type="dxa"/>
          </w:tcPr>
          <w:p w14:paraId="0286C76D" w14:textId="537C6ECE" w:rsidR="00476C49" w:rsidRDefault="00D60B5C" w:rsidP="002979F2">
            <w:pPr>
              <w:autoSpaceDE w:val="0"/>
              <w:autoSpaceDN w:val="0"/>
              <w:adjustRightInd w:val="0"/>
              <w:jc w:val="both"/>
            </w:pPr>
            <w:r>
              <w:t>*</w:t>
            </w:r>
          </w:p>
          <w:p w14:paraId="24BFFEA7" w14:textId="77777777" w:rsidR="007250A0" w:rsidRDefault="00AF4A3A" w:rsidP="002979F2">
            <w:pPr>
              <w:pStyle w:val="ListParagraph"/>
              <w:numPr>
                <w:ilvl w:val="0"/>
                <w:numId w:val="6"/>
              </w:numPr>
              <w:autoSpaceDE w:val="0"/>
              <w:autoSpaceDN w:val="0"/>
              <w:adjustRightInd w:val="0"/>
              <w:ind w:left="360"/>
              <w:jc w:val="both"/>
            </w:pPr>
            <w:r>
              <w:t>44%</w:t>
            </w:r>
          </w:p>
          <w:p w14:paraId="031087C9" w14:textId="3DE6B444" w:rsidR="00AF4A3A" w:rsidRPr="00546B8B" w:rsidRDefault="00AF4A3A" w:rsidP="002979F2">
            <w:pPr>
              <w:pStyle w:val="ListParagraph"/>
              <w:numPr>
                <w:ilvl w:val="0"/>
                <w:numId w:val="6"/>
              </w:numPr>
              <w:autoSpaceDE w:val="0"/>
              <w:autoSpaceDN w:val="0"/>
              <w:adjustRightInd w:val="0"/>
              <w:ind w:left="360"/>
              <w:jc w:val="both"/>
            </w:pPr>
            <w:r>
              <w:t>45%</w:t>
            </w:r>
          </w:p>
        </w:tc>
        <w:tc>
          <w:tcPr>
            <w:tcW w:w="1702" w:type="dxa"/>
          </w:tcPr>
          <w:p w14:paraId="713DC332" w14:textId="77777777" w:rsidR="00EA16C4" w:rsidRDefault="00D60B5C" w:rsidP="002979F2">
            <w:pPr>
              <w:autoSpaceDE w:val="0"/>
              <w:autoSpaceDN w:val="0"/>
              <w:adjustRightInd w:val="0"/>
              <w:jc w:val="both"/>
            </w:pPr>
            <w:r>
              <w:t>*</w:t>
            </w:r>
          </w:p>
          <w:p w14:paraId="3AD54945" w14:textId="059390FE" w:rsidR="00AF4A3A" w:rsidRDefault="00AF4A3A" w:rsidP="002979F2">
            <w:pPr>
              <w:pStyle w:val="ListParagraph"/>
              <w:numPr>
                <w:ilvl w:val="0"/>
                <w:numId w:val="12"/>
              </w:numPr>
              <w:autoSpaceDE w:val="0"/>
              <w:autoSpaceDN w:val="0"/>
              <w:adjustRightInd w:val="0"/>
              <w:ind w:left="360"/>
              <w:jc w:val="both"/>
            </w:pPr>
            <w:r>
              <w:t>23%</w:t>
            </w:r>
          </w:p>
          <w:p w14:paraId="6EBF6317" w14:textId="685AAAF4" w:rsidR="00AF4A3A" w:rsidRPr="00546B8B" w:rsidRDefault="00AF4A3A" w:rsidP="002979F2">
            <w:pPr>
              <w:pStyle w:val="ListParagraph"/>
              <w:numPr>
                <w:ilvl w:val="0"/>
                <w:numId w:val="12"/>
              </w:numPr>
              <w:autoSpaceDE w:val="0"/>
              <w:autoSpaceDN w:val="0"/>
              <w:adjustRightInd w:val="0"/>
              <w:ind w:left="360"/>
              <w:jc w:val="both"/>
            </w:pPr>
            <w:r>
              <w:t>57%</w:t>
            </w:r>
          </w:p>
        </w:tc>
      </w:tr>
      <w:tr w:rsidR="00476C49" w:rsidRPr="00546B8B" w14:paraId="7ADD4F24" w14:textId="3F4957BA" w:rsidTr="002979F2">
        <w:tc>
          <w:tcPr>
            <w:tcW w:w="3960" w:type="dxa"/>
          </w:tcPr>
          <w:p w14:paraId="461B2B62" w14:textId="77777777" w:rsidR="00476C49" w:rsidRDefault="00476C49" w:rsidP="002979F2">
            <w:pPr>
              <w:autoSpaceDE w:val="0"/>
              <w:autoSpaceDN w:val="0"/>
              <w:adjustRightInd w:val="0"/>
              <w:jc w:val="both"/>
            </w:pPr>
            <w:r w:rsidRPr="00546B8B">
              <w:t>Attitude towards fire ban</w:t>
            </w:r>
          </w:p>
          <w:p w14:paraId="2F9493E4" w14:textId="02202EA7" w:rsidR="00476C49" w:rsidRDefault="00476C49" w:rsidP="002979F2">
            <w:pPr>
              <w:pStyle w:val="ListParagraph"/>
              <w:numPr>
                <w:ilvl w:val="0"/>
                <w:numId w:val="6"/>
              </w:numPr>
              <w:autoSpaceDE w:val="0"/>
              <w:autoSpaceDN w:val="0"/>
              <w:adjustRightInd w:val="0"/>
              <w:ind w:left="360"/>
              <w:jc w:val="both"/>
            </w:pPr>
            <w:r w:rsidRPr="00546B8B">
              <w:t>% positive</w:t>
            </w:r>
          </w:p>
          <w:p w14:paraId="25839A06" w14:textId="27AA650E" w:rsidR="00476C49" w:rsidRPr="00546B8B" w:rsidRDefault="00476C49" w:rsidP="002979F2">
            <w:pPr>
              <w:pStyle w:val="ListParagraph"/>
              <w:numPr>
                <w:ilvl w:val="0"/>
                <w:numId w:val="6"/>
              </w:numPr>
              <w:autoSpaceDE w:val="0"/>
              <w:autoSpaceDN w:val="0"/>
              <w:adjustRightInd w:val="0"/>
              <w:ind w:left="360"/>
              <w:jc w:val="both"/>
            </w:pPr>
            <w:r>
              <w:t>% neutral</w:t>
            </w:r>
          </w:p>
        </w:tc>
        <w:tc>
          <w:tcPr>
            <w:tcW w:w="1768" w:type="dxa"/>
          </w:tcPr>
          <w:p w14:paraId="4E1F1968" w14:textId="77777777" w:rsidR="00476C49" w:rsidRDefault="00476C49" w:rsidP="002979F2">
            <w:pPr>
              <w:autoSpaceDE w:val="0"/>
              <w:autoSpaceDN w:val="0"/>
              <w:adjustRightInd w:val="0"/>
              <w:jc w:val="both"/>
            </w:pPr>
          </w:p>
          <w:p w14:paraId="50ADD9C3" w14:textId="4EF3A041" w:rsidR="00476C49" w:rsidRDefault="00476C49" w:rsidP="002979F2">
            <w:pPr>
              <w:pStyle w:val="ListParagraph"/>
              <w:numPr>
                <w:ilvl w:val="0"/>
                <w:numId w:val="6"/>
              </w:numPr>
              <w:autoSpaceDE w:val="0"/>
              <w:autoSpaceDN w:val="0"/>
              <w:adjustRightInd w:val="0"/>
              <w:ind w:left="360"/>
              <w:jc w:val="both"/>
            </w:pPr>
            <w:r w:rsidRPr="00546B8B">
              <w:t>6</w:t>
            </w:r>
            <w:r w:rsidR="00AF4A3A">
              <w:t>2</w:t>
            </w:r>
            <w:r w:rsidRPr="00546B8B">
              <w:t>%</w:t>
            </w:r>
          </w:p>
          <w:p w14:paraId="44B8A6A1" w14:textId="28F876D7" w:rsidR="00476C49" w:rsidRPr="00546B8B" w:rsidRDefault="00AF4A3A" w:rsidP="002979F2">
            <w:pPr>
              <w:pStyle w:val="ListParagraph"/>
              <w:numPr>
                <w:ilvl w:val="0"/>
                <w:numId w:val="6"/>
              </w:numPr>
              <w:autoSpaceDE w:val="0"/>
              <w:autoSpaceDN w:val="0"/>
              <w:adjustRightInd w:val="0"/>
              <w:ind w:left="360"/>
              <w:jc w:val="both"/>
            </w:pPr>
            <w:r>
              <w:t>15</w:t>
            </w:r>
            <w:r w:rsidR="00476C49">
              <w:t>%</w:t>
            </w:r>
          </w:p>
        </w:tc>
        <w:tc>
          <w:tcPr>
            <w:tcW w:w="1702" w:type="dxa"/>
          </w:tcPr>
          <w:p w14:paraId="3FAE42DB" w14:textId="77777777" w:rsidR="00476C49" w:rsidRDefault="00476C49" w:rsidP="002979F2">
            <w:pPr>
              <w:autoSpaceDE w:val="0"/>
              <w:autoSpaceDN w:val="0"/>
              <w:adjustRightInd w:val="0"/>
              <w:ind w:left="360" w:hanging="360"/>
              <w:jc w:val="both"/>
            </w:pPr>
          </w:p>
          <w:p w14:paraId="66545224" w14:textId="77777777" w:rsidR="00EA16C4" w:rsidRDefault="00EA16C4" w:rsidP="002979F2">
            <w:pPr>
              <w:pStyle w:val="ListParagraph"/>
              <w:numPr>
                <w:ilvl w:val="0"/>
                <w:numId w:val="6"/>
              </w:numPr>
              <w:autoSpaceDE w:val="0"/>
              <w:autoSpaceDN w:val="0"/>
              <w:adjustRightInd w:val="0"/>
              <w:ind w:left="360"/>
              <w:jc w:val="both"/>
            </w:pPr>
            <w:r>
              <w:t>62%</w:t>
            </w:r>
          </w:p>
          <w:p w14:paraId="2A149C16" w14:textId="65847E28" w:rsidR="00EA16C4" w:rsidRDefault="00EA16C4" w:rsidP="002979F2">
            <w:pPr>
              <w:pStyle w:val="ListParagraph"/>
              <w:numPr>
                <w:ilvl w:val="0"/>
                <w:numId w:val="6"/>
              </w:numPr>
              <w:autoSpaceDE w:val="0"/>
              <w:autoSpaceDN w:val="0"/>
              <w:adjustRightInd w:val="0"/>
              <w:ind w:left="360"/>
              <w:jc w:val="both"/>
            </w:pPr>
            <w:r>
              <w:t>12%</w:t>
            </w:r>
          </w:p>
        </w:tc>
        <w:tc>
          <w:tcPr>
            <w:tcW w:w="1702" w:type="dxa"/>
          </w:tcPr>
          <w:p w14:paraId="1028E9E5" w14:textId="77777777" w:rsidR="00476C49" w:rsidRDefault="00476C49" w:rsidP="002979F2">
            <w:pPr>
              <w:autoSpaceDE w:val="0"/>
              <w:autoSpaceDN w:val="0"/>
              <w:adjustRightInd w:val="0"/>
              <w:ind w:left="360" w:hanging="360"/>
              <w:jc w:val="both"/>
            </w:pPr>
          </w:p>
          <w:p w14:paraId="0BF796E6" w14:textId="77777777" w:rsidR="00EA16C4" w:rsidRDefault="00EA16C4" w:rsidP="002979F2">
            <w:pPr>
              <w:pStyle w:val="ListParagraph"/>
              <w:numPr>
                <w:ilvl w:val="0"/>
                <w:numId w:val="6"/>
              </w:numPr>
              <w:autoSpaceDE w:val="0"/>
              <w:autoSpaceDN w:val="0"/>
              <w:adjustRightInd w:val="0"/>
              <w:ind w:left="360"/>
              <w:jc w:val="both"/>
            </w:pPr>
            <w:r>
              <w:t>61%</w:t>
            </w:r>
          </w:p>
          <w:p w14:paraId="7BB74379" w14:textId="7D09C321" w:rsidR="00EA16C4" w:rsidRDefault="00EA16C4" w:rsidP="002979F2">
            <w:pPr>
              <w:pStyle w:val="ListParagraph"/>
              <w:numPr>
                <w:ilvl w:val="0"/>
                <w:numId w:val="6"/>
              </w:numPr>
              <w:autoSpaceDE w:val="0"/>
              <w:autoSpaceDN w:val="0"/>
              <w:adjustRightInd w:val="0"/>
              <w:ind w:left="360"/>
              <w:jc w:val="both"/>
            </w:pPr>
            <w:r>
              <w:t>16%</w:t>
            </w:r>
          </w:p>
        </w:tc>
      </w:tr>
      <w:tr w:rsidR="00476C49" w:rsidRPr="00546B8B" w14:paraId="4C61C334" w14:textId="40A46F0B" w:rsidTr="002979F2">
        <w:tc>
          <w:tcPr>
            <w:tcW w:w="3960" w:type="dxa"/>
          </w:tcPr>
          <w:p w14:paraId="1732246C" w14:textId="7357CA1B" w:rsidR="00476C49" w:rsidRPr="00546B8B" w:rsidRDefault="00476C49" w:rsidP="002979F2">
            <w:pPr>
              <w:autoSpaceDE w:val="0"/>
              <w:autoSpaceDN w:val="0"/>
              <w:adjustRightInd w:val="0"/>
              <w:jc w:val="both"/>
            </w:pPr>
            <w:r w:rsidRPr="00546B8B">
              <w:t>Willing to switch to planting trees:</w:t>
            </w:r>
          </w:p>
          <w:p w14:paraId="79ABFEF3" w14:textId="77777777" w:rsidR="00476C49" w:rsidRPr="00546B8B" w:rsidRDefault="00476C49" w:rsidP="002979F2">
            <w:pPr>
              <w:pStyle w:val="ListParagraph"/>
              <w:numPr>
                <w:ilvl w:val="0"/>
                <w:numId w:val="6"/>
              </w:numPr>
              <w:autoSpaceDE w:val="0"/>
              <w:autoSpaceDN w:val="0"/>
              <w:adjustRightInd w:val="0"/>
              <w:ind w:left="360"/>
              <w:jc w:val="both"/>
            </w:pPr>
            <w:r w:rsidRPr="00546B8B">
              <w:t>Partly</w:t>
            </w:r>
          </w:p>
          <w:p w14:paraId="5660A790" w14:textId="77777777" w:rsidR="00476C49" w:rsidRPr="00546B8B" w:rsidRDefault="00476C49" w:rsidP="002979F2">
            <w:pPr>
              <w:pStyle w:val="ListParagraph"/>
              <w:numPr>
                <w:ilvl w:val="0"/>
                <w:numId w:val="6"/>
              </w:numPr>
              <w:autoSpaceDE w:val="0"/>
              <w:autoSpaceDN w:val="0"/>
              <w:adjustRightInd w:val="0"/>
              <w:ind w:left="360"/>
              <w:jc w:val="both"/>
            </w:pPr>
            <w:r w:rsidRPr="00546B8B">
              <w:t xml:space="preserve">Fully </w:t>
            </w:r>
          </w:p>
        </w:tc>
        <w:tc>
          <w:tcPr>
            <w:tcW w:w="1768" w:type="dxa"/>
          </w:tcPr>
          <w:p w14:paraId="55091FBF" w14:textId="77777777" w:rsidR="00476C49" w:rsidRPr="00546B8B" w:rsidRDefault="00476C49" w:rsidP="002979F2">
            <w:pPr>
              <w:autoSpaceDE w:val="0"/>
              <w:autoSpaceDN w:val="0"/>
              <w:adjustRightInd w:val="0"/>
              <w:jc w:val="both"/>
            </w:pPr>
          </w:p>
          <w:p w14:paraId="5A13B375" w14:textId="77777777" w:rsidR="00476C49" w:rsidRPr="00546B8B" w:rsidRDefault="00476C49" w:rsidP="002979F2">
            <w:pPr>
              <w:pStyle w:val="ListParagraph"/>
              <w:numPr>
                <w:ilvl w:val="0"/>
                <w:numId w:val="6"/>
              </w:numPr>
              <w:autoSpaceDE w:val="0"/>
              <w:autoSpaceDN w:val="0"/>
              <w:adjustRightInd w:val="0"/>
              <w:ind w:left="360"/>
              <w:jc w:val="both"/>
            </w:pPr>
            <w:r w:rsidRPr="00546B8B">
              <w:t>64%</w:t>
            </w:r>
          </w:p>
          <w:p w14:paraId="40D87DE0" w14:textId="77777777" w:rsidR="00476C49" w:rsidRPr="00546B8B" w:rsidRDefault="00476C49" w:rsidP="002979F2">
            <w:pPr>
              <w:pStyle w:val="ListParagraph"/>
              <w:numPr>
                <w:ilvl w:val="0"/>
                <w:numId w:val="6"/>
              </w:numPr>
              <w:autoSpaceDE w:val="0"/>
              <w:autoSpaceDN w:val="0"/>
              <w:adjustRightInd w:val="0"/>
              <w:ind w:left="360"/>
              <w:jc w:val="both"/>
            </w:pPr>
            <w:r w:rsidRPr="00546B8B">
              <w:t>33%</w:t>
            </w:r>
          </w:p>
        </w:tc>
        <w:tc>
          <w:tcPr>
            <w:tcW w:w="1702" w:type="dxa"/>
          </w:tcPr>
          <w:p w14:paraId="41006FD1" w14:textId="77777777" w:rsidR="00476C49" w:rsidRDefault="00476C49" w:rsidP="002979F2">
            <w:pPr>
              <w:autoSpaceDE w:val="0"/>
              <w:autoSpaceDN w:val="0"/>
              <w:adjustRightInd w:val="0"/>
              <w:ind w:left="360" w:hanging="360"/>
              <w:jc w:val="both"/>
            </w:pPr>
          </w:p>
          <w:p w14:paraId="403BC090" w14:textId="764BEAD2" w:rsidR="00AF4A3A" w:rsidRDefault="00AF4A3A" w:rsidP="002979F2">
            <w:pPr>
              <w:pStyle w:val="ListParagraph"/>
              <w:numPr>
                <w:ilvl w:val="0"/>
                <w:numId w:val="6"/>
              </w:numPr>
              <w:autoSpaceDE w:val="0"/>
              <w:autoSpaceDN w:val="0"/>
              <w:adjustRightInd w:val="0"/>
              <w:ind w:left="360"/>
              <w:jc w:val="both"/>
            </w:pPr>
            <w:r>
              <w:t>56%</w:t>
            </w:r>
          </w:p>
          <w:p w14:paraId="7AE589EB" w14:textId="7804DEB8" w:rsidR="00AF4A3A" w:rsidRPr="00546B8B" w:rsidRDefault="00AF4A3A" w:rsidP="002979F2">
            <w:pPr>
              <w:pStyle w:val="ListParagraph"/>
              <w:numPr>
                <w:ilvl w:val="0"/>
                <w:numId w:val="6"/>
              </w:numPr>
              <w:autoSpaceDE w:val="0"/>
              <w:autoSpaceDN w:val="0"/>
              <w:adjustRightInd w:val="0"/>
              <w:ind w:left="360"/>
              <w:jc w:val="both"/>
            </w:pPr>
            <w:r>
              <w:t>41%</w:t>
            </w:r>
          </w:p>
        </w:tc>
        <w:tc>
          <w:tcPr>
            <w:tcW w:w="1702" w:type="dxa"/>
          </w:tcPr>
          <w:p w14:paraId="041712FF" w14:textId="77777777" w:rsidR="00476C49" w:rsidRDefault="00476C49" w:rsidP="002979F2">
            <w:pPr>
              <w:autoSpaceDE w:val="0"/>
              <w:autoSpaceDN w:val="0"/>
              <w:adjustRightInd w:val="0"/>
              <w:ind w:left="360" w:hanging="360"/>
              <w:jc w:val="both"/>
            </w:pPr>
          </w:p>
          <w:p w14:paraId="037E352A" w14:textId="77777777" w:rsidR="00AF4A3A" w:rsidRDefault="00AF4A3A" w:rsidP="002979F2">
            <w:pPr>
              <w:pStyle w:val="ListParagraph"/>
              <w:numPr>
                <w:ilvl w:val="0"/>
                <w:numId w:val="6"/>
              </w:numPr>
              <w:autoSpaceDE w:val="0"/>
              <w:autoSpaceDN w:val="0"/>
              <w:adjustRightInd w:val="0"/>
              <w:ind w:left="360"/>
              <w:jc w:val="both"/>
            </w:pPr>
            <w:r>
              <w:t>66%</w:t>
            </w:r>
          </w:p>
          <w:p w14:paraId="7F44DD06" w14:textId="3E99030B" w:rsidR="00AF4A3A" w:rsidRPr="00546B8B" w:rsidRDefault="00AF4A3A" w:rsidP="002979F2">
            <w:pPr>
              <w:pStyle w:val="ListParagraph"/>
              <w:numPr>
                <w:ilvl w:val="0"/>
                <w:numId w:val="6"/>
              </w:numPr>
              <w:autoSpaceDE w:val="0"/>
              <w:autoSpaceDN w:val="0"/>
              <w:adjustRightInd w:val="0"/>
              <w:ind w:left="360"/>
              <w:jc w:val="both"/>
            </w:pPr>
            <w:r>
              <w:t>31%</w:t>
            </w:r>
          </w:p>
        </w:tc>
      </w:tr>
      <w:tr w:rsidR="00476C49" w:rsidRPr="00546B8B" w14:paraId="79CBB5A0" w14:textId="0FE01BD4" w:rsidTr="002979F2">
        <w:tc>
          <w:tcPr>
            <w:tcW w:w="3960" w:type="dxa"/>
          </w:tcPr>
          <w:p w14:paraId="4BFE9CB7" w14:textId="4B7A128B" w:rsidR="00476C49" w:rsidRPr="00546B8B" w:rsidRDefault="00476C49" w:rsidP="002979F2">
            <w:pPr>
              <w:autoSpaceDE w:val="0"/>
              <w:autoSpaceDN w:val="0"/>
              <w:adjustRightInd w:val="0"/>
              <w:jc w:val="both"/>
            </w:pPr>
            <w:r w:rsidRPr="00546B8B">
              <w:t>Number of respondents</w:t>
            </w:r>
          </w:p>
        </w:tc>
        <w:tc>
          <w:tcPr>
            <w:tcW w:w="1768" w:type="dxa"/>
          </w:tcPr>
          <w:p w14:paraId="01CEE8F5" w14:textId="7152C747" w:rsidR="00476C49" w:rsidRPr="00546B8B" w:rsidRDefault="00476C49" w:rsidP="002979F2">
            <w:pPr>
              <w:autoSpaceDE w:val="0"/>
              <w:autoSpaceDN w:val="0"/>
              <w:adjustRightInd w:val="0"/>
              <w:jc w:val="both"/>
            </w:pPr>
            <w:r>
              <w:t>398</w:t>
            </w:r>
          </w:p>
        </w:tc>
        <w:tc>
          <w:tcPr>
            <w:tcW w:w="1702" w:type="dxa"/>
          </w:tcPr>
          <w:p w14:paraId="4E81ECE8" w14:textId="57F7D1A1" w:rsidR="00476C49" w:rsidRDefault="007250A0" w:rsidP="002979F2">
            <w:pPr>
              <w:autoSpaceDE w:val="0"/>
              <w:autoSpaceDN w:val="0"/>
              <w:adjustRightInd w:val="0"/>
              <w:jc w:val="both"/>
            </w:pPr>
            <w:r>
              <w:t>98</w:t>
            </w:r>
          </w:p>
        </w:tc>
        <w:tc>
          <w:tcPr>
            <w:tcW w:w="1702" w:type="dxa"/>
          </w:tcPr>
          <w:p w14:paraId="2398562E" w14:textId="599F5117" w:rsidR="00476C49" w:rsidRDefault="007250A0" w:rsidP="002979F2">
            <w:pPr>
              <w:autoSpaceDE w:val="0"/>
              <w:autoSpaceDN w:val="0"/>
              <w:adjustRightInd w:val="0"/>
              <w:jc w:val="both"/>
            </w:pPr>
            <w:r>
              <w:t>277</w:t>
            </w:r>
          </w:p>
        </w:tc>
      </w:tr>
    </w:tbl>
    <w:p w14:paraId="313A4861" w14:textId="40782BEE" w:rsidR="00C43723" w:rsidRPr="002979F2" w:rsidRDefault="00BD44F4" w:rsidP="002979F2">
      <w:pPr>
        <w:autoSpaceDE w:val="0"/>
        <w:autoSpaceDN w:val="0"/>
        <w:adjustRightInd w:val="0"/>
        <w:spacing w:after="120"/>
        <w:rPr>
          <w:i/>
          <w:sz w:val="18"/>
          <w:szCs w:val="18"/>
        </w:rPr>
      </w:pPr>
      <w:r w:rsidRPr="002979F2">
        <w:rPr>
          <w:i/>
          <w:sz w:val="18"/>
          <w:szCs w:val="18"/>
        </w:rPr>
        <w:t xml:space="preserve">Note: these results are based </w:t>
      </w:r>
      <w:r w:rsidR="007250A0" w:rsidRPr="002979F2">
        <w:rPr>
          <w:i/>
          <w:sz w:val="18"/>
          <w:szCs w:val="18"/>
        </w:rPr>
        <w:t xml:space="preserve">on </w:t>
      </w:r>
      <w:r w:rsidRPr="002979F2">
        <w:rPr>
          <w:i/>
          <w:sz w:val="18"/>
          <w:szCs w:val="18"/>
        </w:rPr>
        <w:t xml:space="preserve">household surveys collected in </w:t>
      </w:r>
      <w:r w:rsidR="007250A0" w:rsidRPr="002979F2">
        <w:rPr>
          <w:i/>
          <w:sz w:val="18"/>
          <w:szCs w:val="18"/>
        </w:rPr>
        <w:t xml:space="preserve">Central </w:t>
      </w:r>
      <w:r w:rsidRPr="002979F2">
        <w:rPr>
          <w:i/>
          <w:sz w:val="18"/>
          <w:szCs w:val="18"/>
        </w:rPr>
        <w:t xml:space="preserve">Kalimantan in </w:t>
      </w:r>
      <w:r w:rsidR="007250A0" w:rsidRPr="002979F2">
        <w:rPr>
          <w:i/>
          <w:sz w:val="18"/>
          <w:szCs w:val="18"/>
        </w:rPr>
        <w:t xml:space="preserve">Oct-Nov </w:t>
      </w:r>
      <w:r w:rsidR="008D7CFE">
        <w:rPr>
          <w:i/>
          <w:sz w:val="18"/>
          <w:szCs w:val="18"/>
        </w:rPr>
        <w:t>2007</w:t>
      </w:r>
      <w:r w:rsidRPr="002979F2">
        <w:rPr>
          <w:i/>
          <w:sz w:val="18"/>
          <w:szCs w:val="18"/>
        </w:rPr>
        <w:t>.</w:t>
      </w:r>
      <w:r w:rsidR="00D60B5C" w:rsidRPr="002979F2">
        <w:rPr>
          <w:i/>
          <w:sz w:val="18"/>
          <w:szCs w:val="18"/>
        </w:rPr>
        <w:t xml:space="preserve"> The asterisks (*) indicate variables for which the non-parametric Kruska</w:t>
      </w:r>
      <w:r w:rsidR="00D01075">
        <w:rPr>
          <w:i/>
          <w:sz w:val="18"/>
          <w:szCs w:val="18"/>
        </w:rPr>
        <w:t>l</w:t>
      </w:r>
      <w:r w:rsidR="00D60B5C" w:rsidRPr="002979F2">
        <w:rPr>
          <w:i/>
          <w:sz w:val="18"/>
          <w:szCs w:val="18"/>
        </w:rPr>
        <w:t>-Wallis test indicates that the sub-samples of respondents split by CKPP</w:t>
      </w:r>
      <w:r w:rsidR="008D7CFE">
        <w:rPr>
          <w:i/>
          <w:sz w:val="18"/>
          <w:szCs w:val="18"/>
        </w:rPr>
        <w:t>-</w:t>
      </w:r>
      <w:r w:rsidR="00D60B5C" w:rsidRPr="002979F2">
        <w:rPr>
          <w:i/>
          <w:sz w:val="18"/>
          <w:szCs w:val="18"/>
        </w:rPr>
        <w:t>involvement are significantly different at the 5% level.</w:t>
      </w:r>
    </w:p>
    <w:p w14:paraId="158DBB85" w14:textId="77777777" w:rsidR="00BD44F4" w:rsidRPr="00546B8B" w:rsidRDefault="00BD44F4" w:rsidP="00E41DCF">
      <w:pPr>
        <w:autoSpaceDE w:val="0"/>
        <w:autoSpaceDN w:val="0"/>
        <w:adjustRightInd w:val="0"/>
        <w:spacing w:after="120"/>
        <w:jc w:val="both"/>
      </w:pPr>
    </w:p>
    <w:p w14:paraId="0DDCA6E8" w14:textId="147131A2" w:rsidR="00C3538D" w:rsidRPr="00546B8B" w:rsidRDefault="00C3538D" w:rsidP="002979F2">
      <w:pPr>
        <w:autoSpaceDE w:val="0"/>
        <w:autoSpaceDN w:val="0"/>
        <w:adjustRightInd w:val="0"/>
        <w:spacing w:after="120"/>
      </w:pPr>
      <w:r w:rsidRPr="00546B8B">
        <w:t xml:space="preserve">Responses to the attitudinal questions revealed that </w:t>
      </w:r>
      <w:r w:rsidR="00E41DCF" w:rsidRPr="00546B8B">
        <w:t>58</w:t>
      </w:r>
      <w:r w:rsidRPr="00546B8B">
        <w:t xml:space="preserve">% of the Dayaks-respondents and </w:t>
      </w:r>
      <w:r w:rsidR="00E41DCF" w:rsidRPr="00546B8B">
        <w:t>66</w:t>
      </w:r>
      <w:r w:rsidRPr="00546B8B">
        <w:t xml:space="preserve">% of the </w:t>
      </w:r>
      <w:proofErr w:type="spellStart"/>
      <w:r w:rsidRPr="00546B8B">
        <w:t>transmigrant</w:t>
      </w:r>
      <w:proofErr w:type="spellEnd"/>
      <w:r w:rsidRPr="00546B8B">
        <w:t xml:space="preserve"> </w:t>
      </w:r>
      <w:r w:rsidR="00836B2D">
        <w:t xml:space="preserve">households </w:t>
      </w:r>
      <w:r w:rsidRPr="00546B8B">
        <w:t xml:space="preserve">were positive about the fire ban. Support for blocking canals to avoid further drainage differed between these groups: 40% of the Dayaks supported this policy whilst 24% were against, compared to 28% of the </w:t>
      </w:r>
      <w:proofErr w:type="spellStart"/>
      <w:r w:rsidRPr="00546B8B">
        <w:t>transmigrant</w:t>
      </w:r>
      <w:proofErr w:type="spellEnd"/>
      <w:r w:rsidRPr="00546B8B">
        <w:t xml:space="preserve"> respondents who were in favour and 42% against</w:t>
      </w:r>
      <w:r w:rsidR="00DA4F2A">
        <w:t xml:space="preserve"> (H=6.094, p=0.014)</w:t>
      </w:r>
      <w:r w:rsidRPr="00546B8B">
        <w:t>.</w:t>
      </w:r>
      <w:r w:rsidR="00175E6F" w:rsidRPr="00546B8B">
        <w:t xml:space="preserve"> Whilst we do not know what caused these differences</w:t>
      </w:r>
      <w:r w:rsidR="00F379F4" w:rsidRPr="00546B8B">
        <w:t xml:space="preserve"> with certainty</w:t>
      </w:r>
      <w:r w:rsidR="00175E6F" w:rsidRPr="00546B8B">
        <w:t>, we expect that a combination of differences in the cultural relationship with forests and legal land tenure rights resulted in different attitudes towards</w:t>
      </w:r>
      <w:r w:rsidR="00F379F4" w:rsidRPr="00546B8B">
        <w:t>, and inclusion in,</w:t>
      </w:r>
      <w:r w:rsidR="00175E6F" w:rsidRPr="00546B8B">
        <w:t xml:space="preserve"> forest management </w:t>
      </w:r>
      <w:r w:rsidR="00F379F4" w:rsidRPr="00546B8B">
        <w:t>and financial subsidy programs</w:t>
      </w:r>
      <w:r w:rsidR="00175E6F" w:rsidRPr="00546B8B">
        <w:t xml:space="preserve"> </w:t>
      </w:r>
      <w:r w:rsidR="00F379F4" w:rsidRPr="00546B8B">
        <w:t>of</w:t>
      </w:r>
      <w:r w:rsidR="00175E6F" w:rsidRPr="00546B8B">
        <w:t xml:space="preserve"> the central government.</w:t>
      </w:r>
    </w:p>
    <w:p w14:paraId="64FBCE39" w14:textId="21E36727" w:rsidR="00C3538D" w:rsidRPr="00546B8B" w:rsidRDefault="00386940" w:rsidP="00E41DCF">
      <w:pPr>
        <w:autoSpaceDE w:val="0"/>
        <w:autoSpaceDN w:val="0"/>
        <w:adjustRightInd w:val="0"/>
        <w:spacing w:after="120"/>
      </w:pPr>
      <w:r w:rsidRPr="00546B8B">
        <w:t xml:space="preserve">Almost all respondents held positive attitudes towards </w:t>
      </w:r>
      <w:r w:rsidR="00985349">
        <w:t>tree-planting</w:t>
      </w:r>
      <w:r w:rsidR="00985349" w:rsidRPr="00546B8B">
        <w:t xml:space="preserve"> </w:t>
      </w:r>
      <w:r w:rsidRPr="00546B8B">
        <w:t xml:space="preserve">and preventing fires and </w:t>
      </w:r>
      <w:r w:rsidR="00C3538D" w:rsidRPr="00546B8B">
        <w:t xml:space="preserve">were willing to switch to cultivating local tree species suitable for peat soils. However, while 33% </w:t>
      </w:r>
      <w:r w:rsidRPr="00546B8B">
        <w:t xml:space="preserve">of the </w:t>
      </w:r>
      <w:r w:rsidR="00F379F4" w:rsidRPr="00546B8B">
        <w:t xml:space="preserve">survey </w:t>
      </w:r>
      <w:r w:rsidRPr="00546B8B">
        <w:t>respondents would be willing to plant</w:t>
      </w:r>
      <w:r w:rsidR="00C3538D" w:rsidRPr="00546B8B">
        <w:t xml:space="preserve"> local species on their</w:t>
      </w:r>
      <w:r w:rsidRPr="00546B8B">
        <w:t xml:space="preserve"> entire</w:t>
      </w:r>
      <w:r w:rsidR="00C3538D" w:rsidRPr="00546B8B">
        <w:t xml:space="preserve"> </w:t>
      </w:r>
      <w:r w:rsidRPr="00546B8B">
        <w:t>farm</w:t>
      </w:r>
      <w:r w:rsidR="00C3538D" w:rsidRPr="00546B8B">
        <w:t>land</w:t>
      </w:r>
      <w:r w:rsidRPr="00546B8B">
        <w:t xml:space="preserve"> area</w:t>
      </w:r>
      <w:r w:rsidR="00C3538D" w:rsidRPr="00546B8B">
        <w:t xml:space="preserve">, 64% </w:t>
      </w:r>
      <w:r w:rsidRPr="00546B8B">
        <w:t>would</w:t>
      </w:r>
      <w:r w:rsidR="00C3538D" w:rsidRPr="00546B8B">
        <w:t xml:space="preserve"> only </w:t>
      </w:r>
      <w:r w:rsidR="00985349">
        <w:t>plant trees on</w:t>
      </w:r>
      <w:r w:rsidR="00985349" w:rsidRPr="00546B8B">
        <w:t xml:space="preserve"> </w:t>
      </w:r>
      <w:r w:rsidR="00C3538D" w:rsidRPr="00546B8B">
        <w:t xml:space="preserve">part of their </w:t>
      </w:r>
      <w:r w:rsidRPr="00546B8B">
        <w:t>plot</w:t>
      </w:r>
      <w:r w:rsidR="00C3538D" w:rsidRPr="00546B8B">
        <w:t xml:space="preserve">. </w:t>
      </w:r>
      <w:r w:rsidRPr="00546B8B">
        <w:t xml:space="preserve">Respondents </w:t>
      </w:r>
      <w:r w:rsidR="00E41DCF" w:rsidRPr="00546B8B">
        <w:t>generally</w:t>
      </w:r>
      <w:r w:rsidR="00C3538D" w:rsidRPr="00546B8B">
        <w:t xml:space="preserve"> </w:t>
      </w:r>
      <w:r w:rsidR="00C3538D" w:rsidRPr="00546B8B">
        <w:lastRenderedPageBreak/>
        <w:t>believe</w:t>
      </w:r>
      <w:r w:rsidRPr="00546B8B">
        <w:t>d</w:t>
      </w:r>
      <w:r w:rsidR="00C3538D" w:rsidRPr="00546B8B">
        <w:t xml:space="preserve"> that peat conservation </w:t>
      </w:r>
      <w:r w:rsidRPr="00546B8B">
        <w:t>would</w:t>
      </w:r>
      <w:r w:rsidR="00C3538D" w:rsidRPr="00546B8B">
        <w:t xml:space="preserve"> help future generations and</w:t>
      </w:r>
      <w:r w:rsidR="00E41DCF" w:rsidRPr="00546B8B">
        <w:t xml:space="preserve"> 87%</w:t>
      </w:r>
      <w:r w:rsidR="00C3538D" w:rsidRPr="00546B8B">
        <w:t xml:space="preserve"> agree</w:t>
      </w:r>
      <w:r w:rsidRPr="00546B8B">
        <w:t>d</w:t>
      </w:r>
      <w:r w:rsidR="00C3538D" w:rsidRPr="00546B8B">
        <w:t xml:space="preserve"> that the fire ban </w:t>
      </w:r>
      <w:r w:rsidRPr="00546B8B">
        <w:t>would</w:t>
      </w:r>
      <w:r w:rsidR="00C3538D" w:rsidRPr="00546B8B">
        <w:t xml:space="preserve"> improve the</w:t>
      </w:r>
      <w:r w:rsidR="00E41DCF" w:rsidRPr="00546B8B">
        <w:t>ir family’s</w:t>
      </w:r>
      <w:r w:rsidR="00C3538D" w:rsidRPr="00546B8B">
        <w:t xml:space="preserve"> health situation. Although only 2</w:t>
      </w:r>
      <w:r w:rsidR="00E41DCF" w:rsidRPr="00546B8B">
        <w:t>6</w:t>
      </w:r>
      <w:r w:rsidR="00C3538D" w:rsidRPr="00546B8B">
        <w:t>% of respondents participate</w:t>
      </w:r>
      <w:r w:rsidRPr="00546B8B">
        <w:t>d</w:t>
      </w:r>
      <w:r w:rsidR="00C3538D" w:rsidRPr="00546B8B">
        <w:t xml:space="preserve"> in community services and activities</w:t>
      </w:r>
      <w:r w:rsidR="00EA44E7" w:rsidRPr="00546B8B">
        <w:t xml:space="preserve"> </w:t>
      </w:r>
      <w:r w:rsidR="008D7CFE">
        <w:t>of</w:t>
      </w:r>
      <w:r w:rsidR="00EA44E7" w:rsidRPr="00546B8B">
        <w:t xml:space="preserve"> CKPP</w:t>
      </w:r>
      <w:r w:rsidR="00C3538D" w:rsidRPr="00546B8B">
        <w:t>, almost all respondents express</w:t>
      </w:r>
      <w:r w:rsidRPr="00546B8B">
        <w:t>ed</w:t>
      </w:r>
      <w:r w:rsidR="00C3538D" w:rsidRPr="00546B8B">
        <w:t xml:space="preserve"> willingness to participate in community services for the implementation of a </w:t>
      </w:r>
      <w:r w:rsidR="00985349">
        <w:t>tree-planting</w:t>
      </w:r>
      <w:r w:rsidR="00985349" w:rsidRPr="00546B8B">
        <w:t xml:space="preserve"> </w:t>
      </w:r>
      <w:r w:rsidR="00C3538D" w:rsidRPr="00546B8B">
        <w:t xml:space="preserve">project. </w:t>
      </w:r>
    </w:p>
    <w:p w14:paraId="477FBBFE" w14:textId="780F5339" w:rsidR="00540AB7" w:rsidRPr="00546B8B" w:rsidRDefault="00C3538D" w:rsidP="00AF0C49">
      <w:pPr>
        <w:autoSpaceDE w:val="0"/>
        <w:autoSpaceDN w:val="0"/>
        <w:adjustRightInd w:val="0"/>
        <w:spacing w:after="120"/>
      </w:pPr>
      <w:r w:rsidRPr="00546B8B">
        <w:t>All respondents claim</w:t>
      </w:r>
      <w:r w:rsidR="00386940" w:rsidRPr="00546B8B">
        <w:t>ed</w:t>
      </w:r>
      <w:r w:rsidRPr="00546B8B">
        <w:t xml:space="preserve"> to </w:t>
      </w:r>
      <w:proofErr w:type="gramStart"/>
      <w:r w:rsidRPr="00546B8B">
        <w:t>be in need of</w:t>
      </w:r>
      <w:proofErr w:type="gramEnd"/>
      <w:r w:rsidRPr="00546B8B">
        <w:t xml:space="preserve"> some kind of compensation</w:t>
      </w:r>
      <w:r w:rsidR="007D737A" w:rsidRPr="00546B8B">
        <w:t xml:space="preserve"> if the project as proposed in the CE scenario was introduced</w:t>
      </w:r>
      <w:r w:rsidRPr="00546B8B">
        <w:t xml:space="preserve">, and </w:t>
      </w:r>
      <w:r w:rsidR="007D737A" w:rsidRPr="00546B8B">
        <w:t>75% of</w:t>
      </w:r>
      <w:r w:rsidRPr="00546B8B">
        <w:t xml:space="preserve"> respondents </w:t>
      </w:r>
      <w:r w:rsidR="00386940" w:rsidRPr="00546B8B">
        <w:t>argued</w:t>
      </w:r>
      <w:r w:rsidRPr="00546B8B">
        <w:t xml:space="preserve"> that the new policies </w:t>
      </w:r>
      <w:r w:rsidR="00386940" w:rsidRPr="00546B8B">
        <w:t>would</w:t>
      </w:r>
      <w:r w:rsidRPr="00546B8B">
        <w:t xml:space="preserve"> reduce their welfare if no compensation </w:t>
      </w:r>
      <w:r w:rsidR="00386940" w:rsidRPr="00546B8B">
        <w:t>was</w:t>
      </w:r>
      <w:r w:rsidRPr="00546B8B">
        <w:t xml:space="preserve"> provided. </w:t>
      </w:r>
      <w:r w:rsidR="00481FCF" w:rsidRPr="00546B8B">
        <w:t xml:space="preserve">A </w:t>
      </w:r>
      <w:r w:rsidR="003B406C" w:rsidRPr="00546B8B">
        <w:t>multiple-choice</w:t>
      </w:r>
      <w:r w:rsidR="00481FCF" w:rsidRPr="00546B8B">
        <w:t xml:space="preserve"> question revealed that t</w:t>
      </w:r>
      <w:r w:rsidRPr="00546B8B">
        <w:t xml:space="preserve">he most preferred type of compensation </w:t>
      </w:r>
      <w:r w:rsidR="00386940" w:rsidRPr="00546B8B">
        <w:t>was monetary</w:t>
      </w:r>
      <w:r w:rsidRPr="00546B8B">
        <w:t xml:space="preserve"> </w:t>
      </w:r>
      <w:r w:rsidR="00386940" w:rsidRPr="00546B8B">
        <w:t>(</w:t>
      </w:r>
      <w:r w:rsidR="00481FCF" w:rsidRPr="00546B8B">
        <w:t>‘</w:t>
      </w:r>
      <w:r w:rsidRPr="00546B8B">
        <w:t>money, grants or subsidies</w:t>
      </w:r>
      <w:r w:rsidR="00481FCF" w:rsidRPr="00546B8B">
        <w:t>’</w:t>
      </w:r>
      <w:r w:rsidR="00386940" w:rsidRPr="00546B8B">
        <w:t>)</w:t>
      </w:r>
      <w:r w:rsidRPr="00546B8B">
        <w:t xml:space="preserve"> (6</w:t>
      </w:r>
      <w:r w:rsidR="007D737A" w:rsidRPr="00546B8B">
        <w:t>4</w:t>
      </w:r>
      <w:r w:rsidRPr="00546B8B">
        <w:t xml:space="preserve">%), immediately followed by compensation in terms of </w:t>
      </w:r>
      <w:r w:rsidR="00481FCF" w:rsidRPr="00546B8B">
        <w:t>‘</w:t>
      </w:r>
      <w:r w:rsidRPr="00546B8B">
        <w:t xml:space="preserve">seedlings, fertilizers and </w:t>
      </w:r>
      <w:r w:rsidR="00386940" w:rsidRPr="00546B8B">
        <w:t>pesticides</w:t>
      </w:r>
      <w:r w:rsidR="00481FCF" w:rsidRPr="00546B8B">
        <w:t>’, whilst ’e</w:t>
      </w:r>
      <w:r w:rsidR="00386940" w:rsidRPr="00546B8B">
        <w:t>xtension services</w:t>
      </w:r>
      <w:r w:rsidR="00481FCF" w:rsidRPr="00546B8B">
        <w:t>’</w:t>
      </w:r>
      <w:r w:rsidR="00386940" w:rsidRPr="00546B8B">
        <w:t xml:space="preserve"> we</w:t>
      </w:r>
      <w:r w:rsidRPr="00546B8B">
        <w:t>re least preferred</w:t>
      </w:r>
      <w:r w:rsidR="007D737A" w:rsidRPr="00546B8B">
        <w:t>. However</w:t>
      </w:r>
      <w:r w:rsidRPr="00546B8B">
        <w:t>,</w:t>
      </w:r>
      <w:r w:rsidR="007D737A" w:rsidRPr="00546B8B">
        <w:t xml:space="preserve"> 80%</w:t>
      </w:r>
      <w:r w:rsidRPr="00546B8B">
        <w:t xml:space="preserve"> of the respondents </w:t>
      </w:r>
      <w:r w:rsidR="007D737A" w:rsidRPr="00546B8B">
        <w:t>were afraid</w:t>
      </w:r>
      <w:r w:rsidRPr="00546B8B">
        <w:t xml:space="preserve"> that compensation </w:t>
      </w:r>
      <w:r w:rsidR="007D737A" w:rsidRPr="00546B8B">
        <w:t>would</w:t>
      </w:r>
      <w:r w:rsidRPr="00546B8B">
        <w:t xml:space="preserve"> not be provided</w:t>
      </w:r>
      <w:r w:rsidR="007D737A" w:rsidRPr="00546B8B">
        <w:t xml:space="preserve"> if the plans were implemented</w:t>
      </w:r>
      <w:r w:rsidR="00386940" w:rsidRPr="00546B8B">
        <w:t>.</w:t>
      </w:r>
    </w:p>
    <w:p w14:paraId="3FBF26DB" w14:textId="2CDF63B0" w:rsidR="00540AB7" w:rsidRPr="00546B8B" w:rsidRDefault="00032ADD" w:rsidP="00AF0C49">
      <w:pPr>
        <w:pStyle w:val="NormalJustified"/>
        <w:spacing w:after="120"/>
        <w:rPr>
          <w:b/>
          <w:bCs/>
          <w:szCs w:val="22"/>
        </w:rPr>
      </w:pPr>
      <w:r w:rsidRPr="00546B8B">
        <w:rPr>
          <w:b/>
          <w:bCs/>
          <w:szCs w:val="22"/>
        </w:rPr>
        <w:t>4</w:t>
      </w:r>
      <w:r w:rsidR="00540AB7" w:rsidRPr="00546B8B">
        <w:rPr>
          <w:b/>
          <w:bCs/>
          <w:szCs w:val="22"/>
        </w:rPr>
        <w:t xml:space="preserve">.2 CE </w:t>
      </w:r>
      <w:r w:rsidR="00AF0C49" w:rsidRPr="00546B8B">
        <w:rPr>
          <w:b/>
          <w:bCs/>
          <w:szCs w:val="22"/>
        </w:rPr>
        <w:t>results</w:t>
      </w:r>
    </w:p>
    <w:p w14:paraId="4A2BD724" w14:textId="1D3EE0FA" w:rsidR="00A67BD0" w:rsidRPr="001E3755" w:rsidRDefault="00540AB7" w:rsidP="00AF0C49">
      <w:pPr>
        <w:spacing w:after="120"/>
      </w:pPr>
      <w:r w:rsidRPr="00546B8B">
        <w:t xml:space="preserve">The CE results </w:t>
      </w:r>
      <w:r w:rsidR="00361793" w:rsidRPr="00546B8B">
        <w:t>we</w:t>
      </w:r>
      <w:r w:rsidR="00D039F9" w:rsidRPr="00546B8B">
        <w:t>re</w:t>
      </w:r>
      <w:r w:rsidRPr="00546B8B">
        <w:t xml:space="preserve"> based on a mixed logit model</w:t>
      </w:r>
      <w:r w:rsidR="00F96938" w:rsidRPr="00546B8B">
        <w:t xml:space="preserve"> that accounts for the panel structure of the data and</w:t>
      </w:r>
      <w:r w:rsidRPr="00546B8B">
        <w:t xml:space="preserve"> relates the probability that an alternative is chosen to the attribute levels and </w:t>
      </w:r>
      <w:r w:rsidRPr="002979F2">
        <w:t xml:space="preserve">respondent characteristics (see Table </w:t>
      </w:r>
      <w:r w:rsidR="000A3D8D" w:rsidRPr="002979F2">
        <w:t>3</w:t>
      </w:r>
      <w:r w:rsidRPr="002979F2">
        <w:t xml:space="preserve">). </w:t>
      </w:r>
      <w:r w:rsidR="002921E2" w:rsidRPr="002979F2">
        <w:t>Following Train (2003), our model specification in</w:t>
      </w:r>
      <w:r w:rsidR="002921E2" w:rsidRPr="00546B8B">
        <w:t xml:space="preserve"> equation (1) represents the utility function, where U is respondent n’s utility of choosing option </w:t>
      </w:r>
      <m:oMath>
        <m:r>
          <m:rPr>
            <m:sty m:val="p"/>
          </m:rPr>
          <w:rPr>
            <w:rFonts w:ascii="Cambria Math" w:hAnsi="Cambria Math" w:cstheme="minorHAnsi"/>
          </w:rPr>
          <m:t>i (i=1, 2, 3)</m:t>
        </m:r>
      </m:oMath>
      <w:r w:rsidR="002921E2" w:rsidRPr="001E3755">
        <w:rPr>
          <w:rFonts w:cstheme="minorHAnsi"/>
        </w:rPr>
        <w:t xml:space="preserve">  in choice situation </w:t>
      </w:r>
      <m:oMath>
        <m:r>
          <m:rPr>
            <m:sty m:val="p"/>
          </m:rPr>
          <w:rPr>
            <w:rFonts w:ascii="Cambria Math" w:hAnsi="Cambria Math" w:cstheme="minorHAnsi"/>
          </w:rPr>
          <m:t xml:space="preserve"> t </m:t>
        </m:r>
        <m:d>
          <m:dPr>
            <m:ctrlPr>
              <w:rPr>
                <w:rFonts w:ascii="Cambria Math" w:hAnsi="Cambria Math" w:cstheme="minorHAnsi"/>
              </w:rPr>
            </m:ctrlPr>
          </m:dPr>
          <m:e>
            <m:r>
              <m:rPr>
                <m:sty m:val="p"/>
              </m:rPr>
              <w:rPr>
                <w:rFonts w:ascii="Cambria Math" w:hAnsi="Cambria Math" w:cstheme="minorHAnsi"/>
              </w:rPr>
              <m:t>t=1, 2, 3, 4</m:t>
            </m:r>
          </m:e>
        </m:d>
      </m:oMath>
      <w:r w:rsidR="002921E2" w:rsidRPr="001E3755">
        <w:rPr>
          <w:rFonts w:cstheme="minorHAnsi"/>
        </w:rPr>
        <w:t xml:space="preserve">, </w:t>
      </w:r>
      <m:oMath>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int</m:t>
            </m:r>
          </m:sub>
        </m:sSub>
      </m:oMath>
      <w:r w:rsidR="002921E2" w:rsidRPr="001E3755">
        <w:rPr>
          <w:rFonts w:cstheme="minorHAnsi"/>
        </w:rPr>
        <w:t xml:space="preserve"> is a vector of </w:t>
      </w:r>
      <w:r w:rsidR="00FB1E1C">
        <w:rPr>
          <w:rFonts w:cstheme="minorHAnsi"/>
        </w:rPr>
        <w:t>presented</w:t>
      </w:r>
      <w:r w:rsidR="00FB1E1C" w:rsidRPr="001E3755">
        <w:rPr>
          <w:rFonts w:cstheme="minorHAnsi"/>
        </w:rPr>
        <w:t xml:space="preserve"> </w:t>
      </w:r>
      <w:r w:rsidR="002921E2" w:rsidRPr="001E3755">
        <w:rPr>
          <w:rFonts w:cstheme="minorHAnsi"/>
        </w:rPr>
        <w:t>attribute</w:t>
      </w:r>
      <w:r w:rsidR="00FB1E1C">
        <w:rPr>
          <w:rFonts w:cstheme="minorHAnsi"/>
        </w:rPr>
        <w:t xml:space="preserve"> level</w:t>
      </w:r>
      <w:r w:rsidR="002921E2" w:rsidRPr="001E3755">
        <w:rPr>
          <w:rFonts w:cstheme="minorHAnsi"/>
        </w:rPr>
        <w:t xml:space="preserve">s, </w:t>
      </w:r>
      <m:oMath>
        <m:r>
          <m:rPr>
            <m:sty m:val="p"/>
          </m:rPr>
          <w:rPr>
            <w:rFonts w:ascii="Cambria Math" w:hAnsi="Cambria Math" w:cstheme="minorHAnsi"/>
          </w:rPr>
          <m:t>β</m:t>
        </m:r>
      </m:oMath>
      <w:r w:rsidR="002921E2" w:rsidRPr="001E3755">
        <w:rPr>
          <w:rFonts w:cstheme="minorHAnsi"/>
        </w:rPr>
        <w:t xml:space="preserve">-terms are parameters to be estimated;  </w:t>
      </w:r>
      <m:oMath>
        <m:sSub>
          <m:sSubPr>
            <m:ctrlPr>
              <w:rPr>
                <w:rFonts w:ascii="Cambria Math" w:hAnsi="Cambria Math" w:cstheme="minorHAnsi"/>
              </w:rPr>
            </m:ctrlPr>
          </m:sSubPr>
          <m:e>
            <m:r>
              <m:rPr>
                <m:sty m:val="p"/>
              </m:rPr>
              <w:rPr>
                <w:rFonts w:ascii="Cambria Math" w:hAnsi="Cambria Math" w:cstheme="minorHAnsi"/>
              </w:rPr>
              <m:t>β</m:t>
            </m:r>
          </m:e>
          <m:sub>
            <m:r>
              <m:rPr>
                <m:sty m:val="p"/>
              </m:rPr>
              <w:rPr>
                <w:rFonts w:ascii="Cambria Math" w:hAnsi="Cambria Math" w:cstheme="minorHAnsi"/>
              </w:rPr>
              <m:t>kn</m:t>
            </m:r>
          </m:sub>
        </m:sSub>
      </m:oMath>
      <w:r w:rsidR="002921E2" w:rsidRPr="001E3755">
        <w:rPr>
          <w:rFonts w:cstheme="minorHAnsi"/>
        </w:rPr>
        <w:t xml:space="preserve"> reflects the preference parameters related to the attributes (</w:t>
      </w:r>
      <m:oMath>
        <m:r>
          <m:rPr>
            <m:sty m:val="p"/>
          </m:rPr>
          <w:rPr>
            <w:rFonts w:ascii="Cambria Math" w:hAnsi="Cambria Math" w:cstheme="minorHAnsi"/>
          </w:rPr>
          <m:t>k</m:t>
        </m:r>
      </m:oMath>
      <w:r w:rsidR="002921E2" w:rsidRPr="001E3755">
        <w:rPr>
          <w:rFonts w:cstheme="minorHAnsi"/>
        </w:rPr>
        <w:t>) in set</w:t>
      </w:r>
      <m:oMath>
        <m:r>
          <m:rPr>
            <m:sty m:val="p"/>
          </m:rPr>
          <w:rPr>
            <w:rFonts w:ascii="Cambria Math" w:hAnsi="Cambria Math" w:cstheme="minorHAnsi"/>
          </w:rPr>
          <m:t xml:space="preserve"> X</m:t>
        </m:r>
      </m:oMath>
      <w:r w:rsidR="002921E2" w:rsidRPr="001E3755">
        <w:rPr>
          <w:rFonts w:cstheme="minorHAnsi"/>
        </w:rPr>
        <w:t xml:space="preserve">, </w:t>
      </w:r>
      <m:oMath>
        <m:sSub>
          <m:sSubPr>
            <m:ctrlPr>
              <w:rPr>
                <w:rFonts w:ascii="Cambria Math" w:hAnsi="Cambria Math" w:cstheme="minorHAnsi"/>
              </w:rPr>
            </m:ctrlPr>
          </m:sSubPr>
          <m:e>
            <m:r>
              <m:rPr>
                <m:sty m:val="p"/>
              </m:rPr>
              <w:rPr>
                <w:rFonts w:ascii="Cambria Math" w:hAnsi="Cambria Math" w:cstheme="minorHAnsi"/>
              </w:rPr>
              <m:t>γ</m:t>
            </m:r>
          </m:e>
          <m:sub>
            <m:r>
              <m:rPr>
                <m:sty m:val="p"/>
              </m:rPr>
              <w:rPr>
                <w:rFonts w:ascii="Cambria Math" w:hAnsi="Cambria Math" w:cstheme="minorHAnsi"/>
              </w:rPr>
              <m:t>i</m:t>
            </m:r>
          </m:sub>
        </m:sSub>
        <m:sSub>
          <m:sSubPr>
            <m:ctrlPr>
              <w:rPr>
                <w:rFonts w:ascii="Cambria Math" w:hAnsi="Cambria Math" w:cstheme="minorHAnsi"/>
              </w:rPr>
            </m:ctrlPr>
          </m:sSubPr>
          <m:e>
            <m:sSub>
              <m:sSubPr>
                <m:ctrlPr>
                  <w:rPr>
                    <w:rFonts w:ascii="Cambria Math" w:hAnsi="Cambria Math" w:cstheme="minorHAnsi"/>
                  </w:rPr>
                </m:ctrlPr>
              </m:sSubPr>
              <m:e>
                <m:r>
                  <m:rPr>
                    <m:sty m:val="p"/>
                  </m:rPr>
                  <w:rPr>
                    <w:rFonts w:ascii="Cambria Math" w:hAnsi="Cambria Math" w:cstheme="minorHAnsi"/>
                  </w:rPr>
                  <m:t>X</m:t>
                </m:r>
              </m:e>
              <m:sub>
                <m:r>
                  <w:rPr>
                    <w:rFonts w:ascii="Cambria Math" w:hAnsi="Cambria Math" w:cstheme="minorHAnsi"/>
                  </w:rPr>
                  <m:t>int</m:t>
                </m:r>
              </m:sub>
            </m:sSub>
            <m:r>
              <m:rPr>
                <m:sty m:val="p"/>
              </m:rPr>
              <w:rPr>
                <w:rFonts w:ascii="Cambria Math" w:hAnsi="Cambria Math" w:cstheme="minorHAnsi"/>
              </w:rPr>
              <m:t>s</m:t>
            </m:r>
          </m:e>
          <m:sub>
            <m:r>
              <m:rPr>
                <m:sty m:val="p"/>
              </m:rPr>
              <w:rPr>
                <w:rFonts w:ascii="Cambria Math" w:hAnsi="Cambria Math" w:cstheme="minorHAnsi"/>
              </w:rPr>
              <m:t>n</m:t>
            </m:r>
          </m:sub>
        </m:sSub>
      </m:oMath>
      <w:r w:rsidR="002921E2" w:rsidRPr="001E3755">
        <w:rPr>
          <w:rFonts w:cstheme="minorHAnsi"/>
        </w:rPr>
        <w:t xml:space="preserve"> captures systematic preference heterogeneity</w:t>
      </w:r>
      <w:r w:rsidR="00FB1E1C">
        <w:rPr>
          <w:rFonts w:cstheme="minorHAnsi"/>
        </w:rPr>
        <w:t xml:space="preserve"> for attributes</w:t>
      </w:r>
      <w:r w:rsidR="002921E2" w:rsidRPr="001E3755">
        <w:rPr>
          <w:rFonts w:cstheme="minorHAnsi"/>
        </w:rPr>
        <w:t xml:space="preserve"> as a function of individual characteristics (</w:t>
      </w:r>
      <m:oMath>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n</m:t>
            </m:r>
          </m:sub>
        </m:sSub>
      </m:oMath>
      <w:r w:rsidR="002921E2" w:rsidRPr="001E3755">
        <w:rPr>
          <w:rFonts w:cstheme="minorHAnsi"/>
        </w:rPr>
        <w:t xml:space="preserve">), and </w:t>
      </w:r>
      <m:oMath>
        <m:sSub>
          <m:sSubPr>
            <m:ctrlPr>
              <w:rPr>
                <w:rFonts w:ascii="Cambria Math" w:hAnsi="Cambria Math" w:cstheme="minorHAnsi"/>
              </w:rPr>
            </m:ctrlPr>
          </m:sSubPr>
          <m:e>
            <m:r>
              <m:rPr>
                <m:sty m:val="p"/>
              </m:rPr>
              <w:rPr>
                <w:rFonts w:ascii="Cambria Math" w:hAnsi="Cambria Math" w:cstheme="minorHAnsi"/>
              </w:rPr>
              <m:t>ε</m:t>
            </m:r>
          </m:e>
          <m:sub>
            <m:r>
              <m:rPr>
                <m:sty m:val="p"/>
              </m:rPr>
              <w:rPr>
                <w:rFonts w:ascii="Cambria Math" w:hAnsi="Cambria Math" w:cstheme="minorHAnsi"/>
              </w:rPr>
              <m:t>int</m:t>
            </m:r>
          </m:sub>
        </m:sSub>
      </m:oMath>
      <w:r w:rsidR="002921E2" w:rsidRPr="001E3755">
        <w:rPr>
          <w:rFonts w:cstheme="minorHAnsi"/>
        </w:rPr>
        <w:t xml:space="preserve"> is a random term to account for random unobserved utility.</w:t>
      </w:r>
    </w:p>
    <w:tbl>
      <w:tblPr>
        <w:tblStyle w:val="TableGrid"/>
        <w:tblW w:w="0" w:type="auto"/>
        <w:tblInd w:w="108" w:type="dxa"/>
        <w:tblLook w:val="04A0" w:firstRow="1" w:lastRow="0" w:firstColumn="1" w:lastColumn="0" w:noHBand="0" w:noVBand="1"/>
      </w:tblPr>
      <w:tblGrid>
        <w:gridCol w:w="8156"/>
        <w:gridCol w:w="762"/>
      </w:tblGrid>
      <w:tr w:rsidR="001E3755" w:rsidRPr="001E3755" w14:paraId="19AB2D32" w14:textId="77777777" w:rsidTr="001E3755">
        <w:trPr>
          <w:trHeight w:val="235"/>
        </w:trPr>
        <w:tc>
          <w:tcPr>
            <w:tcW w:w="8156" w:type="dxa"/>
            <w:tcBorders>
              <w:top w:val="nil"/>
              <w:left w:val="nil"/>
              <w:bottom w:val="nil"/>
              <w:right w:val="nil"/>
            </w:tcBorders>
          </w:tcPr>
          <w:p w14:paraId="537529CF" w14:textId="68D2983A" w:rsidR="00F30733" w:rsidRPr="001E3755" w:rsidRDefault="008D7CFE" w:rsidP="002921E2">
            <w:pPr>
              <w:pStyle w:val="ListParagraph"/>
              <w:spacing w:line="480" w:lineRule="auto"/>
              <w:ind w:left="0"/>
              <w:jc w:val="both"/>
              <w:rPr>
                <w:rFonts w:cstheme="minorHAnsi"/>
              </w:rPr>
            </w:pPr>
            <m:oMathPara>
              <m:oMath>
                <m:sSub>
                  <m:sSubPr>
                    <m:ctrlPr>
                      <w:rPr>
                        <w:rFonts w:ascii="Cambria Math" w:hAnsi="Cambria Math" w:cstheme="minorHAnsi"/>
                      </w:rPr>
                    </m:ctrlPr>
                  </m:sSubPr>
                  <m:e>
                    <m:r>
                      <m:rPr>
                        <m:sty m:val="p"/>
                      </m:rPr>
                      <w:rPr>
                        <w:rFonts w:ascii="Cambria Math" w:hAnsi="Cambria Math" w:cstheme="minorHAnsi"/>
                      </w:rPr>
                      <m:t>U</m:t>
                    </m:r>
                  </m:e>
                  <m:sub>
                    <m:r>
                      <w:rPr>
                        <w:rFonts w:ascii="Cambria Math" w:hAnsi="Cambria Math" w:cstheme="minorHAnsi"/>
                      </w:rPr>
                      <m:t>int</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β</m:t>
                    </m:r>
                  </m:e>
                  <m:sub>
                    <m:r>
                      <w:rPr>
                        <w:rFonts w:ascii="Cambria Math" w:hAnsi="Cambria Math" w:cstheme="minorHAnsi"/>
                      </w:rPr>
                      <m:t>kn</m:t>
                    </m:r>
                  </m:sub>
                </m:sSub>
                <m:sSub>
                  <m:sSubPr>
                    <m:ctrlPr>
                      <w:rPr>
                        <w:rFonts w:ascii="Cambria Math" w:hAnsi="Cambria Math" w:cstheme="minorHAnsi"/>
                      </w:rPr>
                    </m:ctrlPr>
                  </m:sSubPr>
                  <m:e>
                    <m:r>
                      <m:rPr>
                        <m:sty m:val="p"/>
                      </m:rPr>
                      <w:rPr>
                        <w:rFonts w:ascii="Cambria Math" w:hAnsi="Cambria Math" w:cstheme="minorHAnsi"/>
                      </w:rPr>
                      <m:t>X</m:t>
                    </m:r>
                  </m:e>
                  <m:sub>
                    <m:r>
                      <w:rPr>
                        <w:rFonts w:ascii="Cambria Math" w:hAnsi="Cambria Math" w:cstheme="minorHAnsi"/>
                      </w:rPr>
                      <m:t>int</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γ</m:t>
                    </m:r>
                  </m:e>
                  <m:sub>
                    <m:r>
                      <w:rPr>
                        <w:rFonts w:ascii="Cambria Math" w:hAnsi="Cambria Math" w:cstheme="minorHAnsi"/>
                      </w:rPr>
                      <m:t>i</m:t>
                    </m:r>
                  </m:sub>
                </m:sSub>
                <m:sSub>
                  <m:sSubPr>
                    <m:ctrlPr>
                      <w:rPr>
                        <w:rFonts w:ascii="Cambria Math" w:hAnsi="Cambria Math" w:cstheme="minorHAnsi"/>
                      </w:rPr>
                    </m:ctrlPr>
                  </m:sSubPr>
                  <m:e>
                    <m:r>
                      <m:rPr>
                        <m:sty m:val="p"/>
                      </m:rPr>
                      <w:rPr>
                        <w:rFonts w:ascii="Cambria Math" w:hAnsi="Cambria Math" w:cstheme="minorHAnsi"/>
                      </w:rPr>
                      <m:t>X</m:t>
                    </m:r>
                  </m:e>
                  <m:sub>
                    <m:r>
                      <w:rPr>
                        <w:rFonts w:ascii="Cambria Math" w:hAnsi="Cambria Math" w:cstheme="minorHAnsi"/>
                      </w:rPr>
                      <m:t>int</m:t>
                    </m:r>
                  </m:sub>
                </m:sSub>
                <m:sSub>
                  <m:sSubPr>
                    <m:ctrlPr>
                      <w:rPr>
                        <w:rFonts w:ascii="Cambria Math" w:hAnsi="Cambria Math" w:cstheme="minorHAnsi"/>
                      </w:rPr>
                    </m:ctrlPr>
                  </m:sSubPr>
                  <m:e>
                    <m:r>
                      <m:rPr>
                        <m:sty m:val="p"/>
                      </m:rPr>
                      <w:rPr>
                        <w:rFonts w:ascii="Cambria Math" w:hAnsi="Cambria Math" w:cstheme="minorHAnsi"/>
                      </w:rPr>
                      <m:t>s</m:t>
                    </m:r>
                  </m:e>
                  <m:sub>
                    <m:r>
                      <w:rPr>
                        <w:rFonts w:ascii="Cambria Math" w:hAnsi="Cambria Math" w:cstheme="minorHAnsi"/>
                      </w:rPr>
                      <m:t>n</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ε</m:t>
                    </m:r>
                  </m:e>
                  <m:sub>
                    <m:r>
                      <w:rPr>
                        <w:rFonts w:ascii="Cambria Math" w:hAnsi="Cambria Math" w:cstheme="minorHAnsi"/>
                      </w:rPr>
                      <m:t>int</m:t>
                    </m:r>
                  </m:sub>
                </m:sSub>
              </m:oMath>
            </m:oMathPara>
          </w:p>
        </w:tc>
        <w:tc>
          <w:tcPr>
            <w:tcW w:w="762" w:type="dxa"/>
            <w:tcBorders>
              <w:top w:val="nil"/>
              <w:left w:val="nil"/>
              <w:bottom w:val="nil"/>
              <w:right w:val="nil"/>
            </w:tcBorders>
          </w:tcPr>
          <w:p w14:paraId="50D1BF78" w14:textId="5913358A" w:rsidR="00F30733" w:rsidRPr="001E3755" w:rsidRDefault="00F30733" w:rsidP="002921E2">
            <w:pPr>
              <w:spacing w:line="480" w:lineRule="auto"/>
              <w:jc w:val="both"/>
              <w:rPr>
                <w:rFonts w:cstheme="minorHAnsi"/>
              </w:rPr>
            </w:pPr>
            <w:r w:rsidRPr="001E3755">
              <w:rPr>
                <w:rFonts w:cstheme="minorHAnsi"/>
              </w:rPr>
              <w:t>(1)</w:t>
            </w:r>
          </w:p>
        </w:tc>
      </w:tr>
    </w:tbl>
    <w:p w14:paraId="63B70795" w14:textId="672EB4F5" w:rsidR="00481FCF" w:rsidRPr="00546B8B" w:rsidRDefault="00F96938" w:rsidP="00AF0C49">
      <w:pPr>
        <w:spacing w:after="120"/>
      </w:pPr>
      <w:r w:rsidRPr="001E3755">
        <w:t xml:space="preserve">The analysis of the CE data was performed in R-software. </w:t>
      </w:r>
      <w:r w:rsidR="00B6584E" w:rsidRPr="001E3755">
        <w:t>We present the results of the</w:t>
      </w:r>
      <w:r w:rsidR="00D039F9" w:rsidRPr="001E3755">
        <w:t xml:space="preserve"> best-fit model </w:t>
      </w:r>
      <w:r w:rsidR="00EB61EE">
        <w:t>(according to the BIC)</w:t>
      </w:r>
      <w:r w:rsidR="00E33903" w:rsidRPr="001E3755">
        <w:t xml:space="preserve">, which includes all attributes and </w:t>
      </w:r>
      <w:r w:rsidR="00D039F9" w:rsidRPr="001E3755">
        <w:t>only</w:t>
      </w:r>
      <w:r w:rsidR="00E33903" w:rsidRPr="001E3755">
        <w:t xml:space="preserve"> those additional explanatory variables for which the</w:t>
      </w:r>
      <w:r w:rsidR="00D039F9" w:rsidRPr="001E3755">
        <w:t xml:space="preserve"> parameter estimates </w:t>
      </w:r>
      <w:r w:rsidR="00E33903" w:rsidRPr="001E3755">
        <w:t xml:space="preserve">are </w:t>
      </w:r>
      <w:r w:rsidR="00D039F9" w:rsidRPr="001E3755">
        <w:t>significant at the 5% level.</w:t>
      </w:r>
      <w:r w:rsidR="00E30B68" w:rsidRPr="001E3755">
        <w:t xml:space="preserve"> </w:t>
      </w:r>
      <w:r w:rsidR="00D039F9" w:rsidRPr="001E3755">
        <w:t>All paramete</w:t>
      </w:r>
      <w:r w:rsidR="00361793" w:rsidRPr="001E3755">
        <w:t>r estimates for the attributes a</w:t>
      </w:r>
      <w:r w:rsidR="00D039F9" w:rsidRPr="001E3755">
        <w:t>re significant</w:t>
      </w:r>
      <w:r w:rsidRPr="001E3755">
        <w:t>, but extension services are only significant at the 10% level</w:t>
      </w:r>
      <w:r w:rsidR="00E33903" w:rsidRPr="001E3755">
        <w:t>.</w:t>
      </w:r>
      <w:r w:rsidRPr="001E3755">
        <w:t xml:space="preserve"> </w:t>
      </w:r>
      <w:r w:rsidR="00481FCF" w:rsidRPr="00676E98">
        <w:t>The model contains one random parameter</w:t>
      </w:r>
      <w:r w:rsidR="003F69ED" w:rsidRPr="00676E98">
        <w:t xml:space="preserve"> (for the </w:t>
      </w:r>
      <w:r w:rsidR="00985349">
        <w:t>tree-planting</w:t>
      </w:r>
      <w:r w:rsidR="00985349" w:rsidRPr="00546B8B">
        <w:t xml:space="preserve"> </w:t>
      </w:r>
      <w:r w:rsidR="00481FCF" w:rsidRPr="00546B8B">
        <w:t xml:space="preserve">attribute); </w:t>
      </w:r>
      <w:r w:rsidR="005E078E" w:rsidRPr="00546B8B">
        <w:t>additional</w:t>
      </w:r>
      <w:r w:rsidR="00481FCF" w:rsidRPr="00546B8B">
        <w:t xml:space="preserve"> random parameters did not improve the model fit</w:t>
      </w:r>
      <w:r w:rsidR="00EB61EE">
        <w:t xml:space="preserve"> (</w:t>
      </w:r>
      <w:r w:rsidR="00E237A7">
        <w:t xml:space="preserve">according to the </w:t>
      </w:r>
      <w:r w:rsidR="00EB61EE">
        <w:t>BIC)</w:t>
      </w:r>
      <w:r w:rsidR="00481FCF" w:rsidRPr="00546B8B">
        <w:t>.</w:t>
      </w:r>
      <w:r w:rsidR="007B2E0E" w:rsidRPr="00546B8B">
        <w:t xml:space="preserve"> </w:t>
      </w:r>
      <w:r w:rsidR="00EB61EE" w:rsidRPr="001E3755">
        <w:t>Two interaction effects between the attributes and respondent characteristics are also significant and explain part of the observed heterogeneity in choices across respondents.</w:t>
      </w:r>
      <w:r w:rsidR="00EB61EE">
        <w:t xml:space="preserve"> N</w:t>
      </w:r>
      <w:r w:rsidR="007B2E0E" w:rsidRPr="00546B8B">
        <w:t>o statistically significant effects were found for other socio-demographic and attitudinal vari</w:t>
      </w:r>
      <w:r w:rsidR="005E078E" w:rsidRPr="00546B8B">
        <w:t xml:space="preserve">ables, including peat-depth and the respondent’s </w:t>
      </w:r>
      <w:r w:rsidR="007B2E0E" w:rsidRPr="00546B8B">
        <w:t>origin</w:t>
      </w:r>
      <w:r w:rsidR="00EF718A">
        <w:t>, which may be due to the sample size</w:t>
      </w:r>
      <w:r w:rsidR="007B2E0E" w:rsidRPr="00546B8B">
        <w:t>.</w:t>
      </w:r>
      <w:r w:rsidR="00EB61EE">
        <w:rPr>
          <w:rStyle w:val="FootnoteReference"/>
        </w:rPr>
        <w:footnoteReference w:id="2"/>
      </w:r>
      <w:r w:rsidR="007B2E0E" w:rsidRPr="00546B8B">
        <w:t xml:space="preserve"> </w:t>
      </w:r>
      <w:r w:rsidR="00EB61EE" w:rsidRPr="002979F2">
        <w:rPr>
          <w:rFonts w:cstheme="minorHAnsi"/>
          <w:color w:val="000000"/>
        </w:rPr>
        <w:t>The presented model with two socio-demographic variables performed better than its attributes-only mixed logit counterpart (LL=</w:t>
      </w:r>
      <w:r w:rsidR="00EB61EE" w:rsidRPr="00EB61EE">
        <w:rPr>
          <w:rFonts w:cstheme="minorHAnsi"/>
          <w:color w:val="000000"/>
        </w:rPr>
        <w:t>-995.</w:t>
      </w:r>
      <w:r w:rsidR="00EB61EE">
        <w:rPr>
          <w:rFonts w:cstheme="minorHAnsi"/>
          <w:color w:val="000000"/>
        </w:rPr>
        <w:t>5</w:t>
      </w:r>
      <w:r w:rsidR="00EB61EE" w:rsidRPr="002979F2">
        <w:rPr>
          <w:rFonts w:cstheme="minorHAnsi"/>
          <w:color w:val="000000"/>
        </w:rPr>
        <w:t>, AIC=2006.9, BIC=2049.9).</w:t>
      </w:r>
    </w:p>
    <w:p w14:paraId="1BF19CC2" w14:textId="328453FC" w:rsidR="00F96938" w:rsidRPr="00546B8B" w:rsidRDefault="00EC5889" w:rsidP="00AF0C49">
      <w:pPr>
        <w:spacing w:after="120"/>
      </w:pPr>
      <w:r w:rsidRPr="00546B8B">
        <w:t xml:space="preserve">The final column of Table 3 presents the </w:t>
      </w:r>
      <w:r w:rsidR="00132CDF" w:rsidRPr="00546B8B">
        <w:t>WTA, based on the ratio between the non-monetary and micro-credit attribute parameter</w:t>
      </w:r>
      <w:r w:rsidRPr="00546B8B">
        <w:t xml:space="preserve"> estimates and their significance, </w:t>
      </w:r>
      <w:r w:rsidR="00132CDF" w:rsidRPr="00546B8B">
        <w:t>using</w:t>
      </w:r>
      <w:r w:rsidRPr="00546B8B">
        <w:t xml:space="preserve"> the Delta Method</w:t>
      </w:r>
      <w:r w:rsidR="00C42B29" w:rsidRPr="00546B8B">
        <w:t xml:space="preserve"> to estimate the confidence intervals</w:t>
      </w:r>
      <w:r w:rsidR="003E2FB1" w:rsidRPr="00546B8B">
        <w:t xml:space="preserve"> (</w:t>
      </w:r>
      <w:r w:rsidR="00C42B29" w:rsidRPr="00546B8B">
        <w:t>Hole 2007</w:t>
      </w:r>
      <w:r w:rsidR="003E2FB1" w:rsidRPr="00546B8B">
        <w:t>)</w:t>
      </w:r>
      <w:r w:rsidRPr="00546B8B">
        <w:t>.</w:t>
      </w:r>
    </w:p>
    <w:p w14:paraId="05E4C539" w14:textId="77777777" w:rsidR="00576147" w:rsidRPr="00546B8B" w:rsidRDefault="00576147" w:rsidP="00576147">
      <w:pPr>
        <w:pStyle w:val="Caption"/>
        <w:keepNext/>
        <w:spacing w:line="360" w:lineRule="auto"/>
        <w:ind w:left="1138" w:hanging="1138"/>
      </w:pPr>
      <w:r w:rsidRPr="00546B8B">
        <w:lastRenderedPageBreak/>
        <w:t>Table 3</w:t>
      </w:r>
      <w:r w:rsidRPr="00546B8B">
        <w:rPr>
          <w:sz w:val="24"/>
          <w:szCs w:val="22"/>
        </w:rPr>
        <w:t xml:space="preserve"> Discrete choice model results, random parameter logit model</w:t>
      </w:r>
    </w:p>
    <w:tbl>
      <w:tblPr>
        <w:tblStyle w:val="TableGridLight1"/>
        <w:tblW w:w="8995" w:type="dxa"/>
        <w:tblLayout w:type="fixed"/>
        <w:tblLook w:val="0020" w:firstRow="1" w:lastRow="0" w:firstColumn="0" w:lastColumn="0" w:noHBand="0" w:noVBand="0"/>
      </w:tblPr>
      <w:tblGrid>
        <w:gridCol w:w="4770"/>
        <w:gridCol w:w="1440"/>
        <w:gridCol w:w="900"/>
        <w:gridCol w:w="1885"/>
      </w:tblGrid>
      <w:tr w:rsidR="00576147" w:rsidRPr="00546B8B" w14:paraId="0C528DD1" w14:textId="77777777" w:rsidTr="007F179B">
        <w:tc>
          <w:tcPr>
            <w:tcW w:w="4770" w:type="dxa"/>
          </w:tcPr>
          <w:p w14:paraId="346EC3CB" w14:textId="77777777" w:rsidR="00576147" w:rsidRPr="00546B8B" w:rsidRDefault="00576147" w:rsidP="007F179B">
            <w:pPr>
              <w:pStyle w:val="Table"/>
              <w:spacing w:line="360" w:lineRule="auto"/>
              <w:rPr>
                <w:b/>
              </w:rPr>
            </w:pPr>
            <w:r w:rsidRPr="00546B8B">
              <w:rPr>
                <w:b/>
              </w:rPr>
              <w:t>Variable</w:t>
            </w:r>
          </w:p>
        </w:tc>
        <w:tc>
          <w:tcPr>
            <w:tcW w:w="1440" w:type="dxa"/>
          </w:tcPr>
          <w:p w14:paraId="185A2368" w14:textId="77777777" w:rsidR="00576147" w:rsidRPr="00546B8B" w:rsidRDefault="00576147" w:rsidP="007F179B">
            <w:pPr>
              <w:pStyle w:val="Table"/>
              <w:spacing w:line="360" w:lineRule="auto"/>
              <w:rPr>
                <w:b/>
              </w:rPr>
            </w:pPr>
            <w:r w:rsidRPr="00546B8B">
              <w:rPr>
                <w:b/>
              </w:rPr>
              <w:t>Coefficient</w:t>
            </w:r>
          </w:p>
        </w:tc>
        <w:tc>
          <w:tcPr>
            <w:tcW w:w="900" w:type="dxa"/>
          </w:tcPr>
          <w:p w14:paraId="550D0C65" w14:textId="77777777" w:rsidR="00576147" w:rsidRPr="00546B8B" w:rsidRDefault="00576147" w:rsidP="007F179B">
            <w:pPr>
              <w:pStyle w:val="Table"/>
              <w:spacing w:line="360" w:lineRule="auto"/>
              <w:jc w:val="right"/>
              <w:rPr>
                <w:b/>
              </w:rPr>
            </w:pPr>
            <w:r w:rsidRPr="00546B8B">
              <w:rPr>
                <w:b/>
              </w:rPr>
              <w:t>Robust t-value</w:t>
            </w:r>
          </w:p>
        </w:tc>
        <w:tc>
          <w:tcPr>
            <w:tcW w:w="1885" w:type="dxa"/>
          </w:tcPr>
          <w:p w14:paraId="70A160B2" w14:textId="33D59A65" w:rsidR="00576147" w:rsidRPr="00546B8B" w:rsidRDefault="00132CDF" w:rsidP="007F179B">
            <w:pPr>
              <w:pStyle w:val="Table"/>
              <w:spacing w:line="360" w:lineRule="auto"/>
              <w:jc w:val="center"/>
              <w:rPr>
                <w:b/>
              </w:rPr>
            </w:pPr>
            <w:proofErr w:type="spellStart"/>
            <w:r w:rsidRPr="00546B8B">
              <w:rPr>
                <w:b/>
              </w:rPr>
              <w:t>WTA</w:t>
            </w:r>
            <w:r w:rsidR="001948FC" w:rsidRPr="00546B8B">
              <w:rPr>
                <w:b/>
                <w:vertAlign w:val="superscript"/>
              </w:rPr>
              <w:t>a</w:t>
            </w:r>
            <w:proofErr w:type="spellEnd"/>
            <w:r w:rsidRPr="00546B8B">
              <w:rPr>
                <w:b/>
              </w:rPr>
              <w:t xml:space="preserve"> </w:t>
            </w:r>
            <w:r w:rsidR="00576147" w:rsidRPr="00546B8B">
              <w:rPr>
                <w:b/>
              </w:rPr>
              <w:t>mean</w:t>
            </w:r>
          </w:p>
          <w:p w14:paraId="7A077CFA" w14:textId="77777777" w:rsidR="00576147" w:rsidRPr="00546B8B" w:rsidRDefault="00576147" w:rsidP="007F179B">
            <w:pPr>
              <w:pStyle w:val="Table"/>
              <w:spacing w:line="360" w:lineRule="auto"/>
              <w:jc w:val="center"/>
              <w:rPr>
                <w:b/>
              </w:rPr>
            </w:pPr>
            <w:r w:rsidRPr="00546B8B">
              <w:rPr>
                <w:b/>
              </w:rPr>
              <w:t>(</w:t>
            </w:r>
            <w:proofErr w:type="spellStart"/>
            <w:r w:rsidRPr="00546B8B">
              <w:rPr>
                <w:b/>
              </w:rPr>
              <w:t>s.e.</w:t>
            </w:r>
            <w:proofErr w:type="spellEnd"/>
            <w:r w:rsidRPr="00546B8B">
              <w:rPr>
                <w:b/>
              </w:rPr>
              <w:t>)</w:t>
            </w:r>
          </w:p>
        </w:tc>
      </w:tr>
      <w:tr w:rsidR="00576147" w:rsidRPr="00546B8B" w14:paraId="48870CFB" w14:textId="77777777" w:rsidTr="007F179B">
        <w:tc>
          <w:tcPr>
            <w:tcW w:w="4770" w:type="dxa"/>
          </w:tcPr>
          <w:p w14:paraId="56173C4D" w14:textId="22888A53" w:rsidR="00576147" w:rsidRPr="00546B8B" w:rsidRDefault="00541B8B" w:rsidP="007F179B">
            <w:pPr>
              <w:pStyle w:val="Table"/>
              <w:spacing w:line="360" w:lineRule="auto"/>
            </w:pPr>
            <w:r>
              <w:t>Tree-</w:t>
            </w:r>
            <w:r w:rsidR="00985349">
              <w:t>planting</w:t>
            </w:r>
            <w:r w:rsidR="00985349" w:rsidRPr="00546B8B">
              <w:t xml:space="preserve"> </w:t>
            </w:r>
            <w:r w:rsidR="00576147" w:rsidRPr="00546B8B">
              <w:t>(linear effect, in % of land</w:t>
            </w:r>
            <w:r w:rsidR="008D7CFE">
              <w:t xml:space="preserve"> x </w:t>
            </w:r>
            <w:r w:rsidR="00132CDF" w:rsidRPr="00546B8B">
              <w:t>100</w:t>
            </w:r>
            <w:r w:rsidR="00576147" w:rsidRPr="00546B8B">
              <w:t>, random parameter, normal distribution, mean)</w:t>
            </w:r>
          </w:p>
        </w:tc>
        <w:tc>
          <w:tcPr>
            <w:tcW w:w="1440" w:type="dxa"/>
            <w:shd w:val="clear" w:color="auto" w:fill="auto"/>
          </w:tcPr>
          <w:p w14:paraId="54714AB6" w14:textId="77777777" w:rsidR="00576147" w:rsidRPr="00546B8B" w:rsidRDefault="00576147" w:rsidP="007F179B">
            <w:pPr>
              <w:pStyle w:val="Table"/>
              <w:spacing w:line="360" w:lineRule="auto"/>
            </w:pPr>
            <w:r w:rsidRPr="00546B8B">
              <w:t xml:space="preserve"> 0.088***</w:t>
            </w:r>
          </w:p>
        </w:tc>
        <w:tc>
          <w:tcPr>
            <w:tcW w:w="900" w:type="dxa"/>
            <w:shd w:val="clear" w:color="auto" w:fill="auto"/>
          </w:tcPr>
          <w:p w14:paraId="194C01CF" w14:textId="77777777" w:rsidR="00576147" w:rsidRPr="00546B8B" w:rsidRDefault="00576147" w:rsidP="007F179B">
            <w:pPr>
              <w:pStyle w:val="Table"/>
              <w:spacing w:line="360" w:lineRule="auto"/>
              <w:jc w:val="right"/>
            </w:pPr>
            <w:r w:rsidRPr="00546B8B">
              <w:t xml:space="preserve"> 9.54</w:t>
            </w:r>
          </w:p>
        </w:tc>
        <w:tc>
          <w:tcPr>
            <w:tcW w:w="1885" w:type="dxa"/>
          </w:tcPr>
          <w:p w14:paraId="13EE25F0" w14:textId="506A2937" w:rsidR="00576147" w:rsidRPr="00546B8B" w:rsidRDefault="00DA63A8" w:rsidP="007F179B">
            <w:pPr>
              <w:pStyle w:val="Table"/>
              <w:spacing w:line="360" w:lineRule="auto"/>
              <w:jc w:val="center"/>
            </w:pPr>
            <w:r>
              <w:t>-</w:t>
            </w:r>
            <w:r w:rsidR="00576147" w:rsidRPr="00546B8B">
              <w:t>1.56***</w:t>
            </w:r>
          </w:p>
          <w:p w14:paraId="32322375" w14:textId="77777777" w:rsidR="00576147" w:rsidRPr="00546B8B" w:rsidRDefault="00576147" w:rsidP="007F179B">
            <w:pPr>
              <w:pStyle w:val="Table"/>
              <w:spacing w:line="360" w:lineRule="auto"/>
              <w:jc w:val="center"/>
            </w:pPr>
            <w:r w:rsidRPr="00546B8B">
              <w:t>(0.27)</w:t>
            </w:r>
          </w:p>
        </w:tc>
      </w:tr>
      <w:tr w:rsidR="00576147" w:rsidRPr="00546B8B" w14:paraId="22FDCC53" w14:textId="77777777" w:rsidTr="007F179B">
        <w:tc>
          <w:tcPr>
            <w:tcW w:w="4770" w:type="dxa"/>
          </w:tcPr>
          <w:p w14:paraId="0009CBFC" w14:textId="77777777" w:rsidR="00576147" w:rsidRPr="00546B8B" w:rsidRDefault="00576147" w:rsidP="007F179B">
            <w:pPr>
              <w:pStyle w:val="Table"/>
              <w:spacing w:line="360" w:lineRule="auto"/>
            </w:pPr>
            <w:r w:rsidRPr="00546B8B">
              <w:t xml:space="preserve">     Standard deviation of random parameter</w:t>
            </w:r>
          </w:p>
        </w:tc>
        <w:tc>
          <w:tcPr>
            <w:tcW w:w="1440" w:type="dxa"/>
          </w:tcPr>
          <w:p w14:paraId="12E32B03" w14:textId="77777777" w:rsidR="00576147" w:rsidRPr="00546B8B" w:rsidRDefault="00576147" w:rsidP="007F179B">
            <w:pPr>
              <w:pStyle w:val="Table"/>
              <w:spacing w:line="360" w:lineRule="auto"/>
              <w:rPr>
                <w:lang w:eastAsia="nl-NL"/>
              </w:rPr>
            </w:pPr>
            <w:r w:rsidRPr="00546B8B">
              <w:rPr>
                <w:lang w:eastAsia="nl-NL"/>
              </w:rPr>
              <w:t xml:space="preserve"> 0.037***</w:t>
            </w:r>
          </w:p>
        </w:tc>
        <w:tc>
          <w:tcPr>
            <w:tcW w:w="900" w:type="dxa"/>
          </w:tcPr>
          <w:p w14:paraId="2FF5C8DD" w14:textId="77777777" w:rsidR="00576147" w:rsidRPr="00546B8B" w:rsidRDefault="00576147" w:rsidP="007F179B">
            <w:pPr>
              <w:pStyle w:val="Table"/>
              <w:spacing w:line="360" w:lineRule="auto"/>
              <w:jc w:val="right"/>
              <w:rPr>
                <w:lang w:eastAsia="nl-NL"/>
              </w:rPr>
            </w:pPr>
            <w:r w:rsidRPr="00546B8B">
              <w:rPr>
                <w:lang w:eastAsia="nl-NL"/>
              </w:rPr>
              <w:t xml:space="preserve"> 10.83</w:t>
            </w:r>
          </w:p>
        </w:tc>
        <w:tc>
          <w:tcPr>
            <w:tcW w:w="1885" w:type="dxa"/>
          </w:tcPr>
          <w:p w14:paraId="0327A551" w14:textId="77777777" w:rsidR="00576147" w:rsidRPr="00546B8B" w:rsidRDefault="00576147" w:rsidP="007F179B">
            <w:pPr>
              <w:pStyle w:val="Table"/>
              <w:spacing w:line="360" w:lineRule="auto"/>
              <w:jc w:val="center"/>
              <w:rPr>
                <w:lang w:eastAsia="nl-NL"/>
              </w:rPr>
            </w:pPr>
          </w:p>
        </w:tc>
      </w:tr>
      <w:tr w:rsidR="00576147" w:rsidRPr="00546B8B" w14:paraId="0C011D68" w14:textId="77777777" w:rsidTr="007F179B">
        <w:tc>
          <w:tcPr>
            <w:tcW w:w="4770" w:type="dxa"/>
          </w:tcPr>
          <w:p w14:paraId="7D9452F5" w14:textId="59AF6698" w:rsidR="00576147" w:rsidRPr="00546B8B" w:rsidRDefault="00541B8B" w:rsidP="007F179B">
            <w:pPr>
              <w:pStyle w:val="Table"/>
              <w:spacing w:line="360" w:lineRule="auto"/>
            </w:pPr>
            <w:r>
              <w:t>Tree-</w:t>
            </w:r>
            <w:r w:rsidR="00985349">
              <w:t>planting</w:t>
            </w:r>
            <w:r w:rsidR="00985349" w:rsidRPr="00546B8B">
              <w:t xml:space="preserve"> </w:t>
            </w:r>
            <w:r w:rsidR="00576147" w:rsidRPr="00546B8B">
              <w:t>(quadratic effect</w:t>
            </w:r>
            <w:r w:rsidR="005075DE">
              <w:t xml:space="preserve"> </w:t>
            </w:r>
            <w:r w:rsidR="00484743">
              <w:t>/100</w:t>
            </w:r>
            <w:r w:rsidR="00576147" w:rsidRPr="00546B8B">
              <w:t>)</w:t>
            </w:r>
          </w:p>
        </w:tc>
        <w:tc>
          <w:tcPr>
            <w:tcW w:w="1440" w:type="dxa"/>
          </w:tcPr>
          <w:p w14:paraId="3E3F8ACC" w14:textId="77777777" w:rsidR="00576147" w:rsidRPr="00546B8B" w:rsidRDefault="00576147" w:rsidP="007F179B">
            <w:pPr>
              <w:pStyle w:val="Table"/>
              <w:spacing w:line="360" w:lineRule="auto"/>
              <w:rPr>
                <w:lang w:eastAsia="nl-NL"/>
              </w:rPr>
            </w:pPr>
            <w:r w:rsidRPr="00546B8B">
              <w:rPr>
                <w:lang w:eastAsia="nl-NL"/>
              </w:rPr>
              <w:t>-0.082***</w:t>
            </w:r>
          </w:p>
        </w:tc>
        <w:tc>
          <w:tcPr>
            <w:tcW w:w="900" w:type="dxa"/>
          </w:tcPr>
          <w:p w14:paraId="26BC8F73" w14:textId="77777777" w:rsidR="00576147" w:rsidRPr="00546B8B" w:rsidRDefault="00576147" w:rsidP="007F179B">
            <w:pPr>
              <w:pStyle w:val="Table"/>
              <w:spacing w:line="360" w:lineRule="auto"/>
              <w:jc w:val="right"/>
              <w:rPr>
                <w:lang w:eastAsia="nl-NL"/>
              </w:rPr>
            </w:pPr>
            <w:r w:rsidRPr="00546B8B">
              <w:rPr>
                <w:lang w:eastAsia="nl-NL"/>
              </w:rPr>
              <w:t>11.13</w:t>
            </w:r>
          </w:p>
        </w:tc>
        <w:tc>
          <w:tcPr>
            <w:tcW w:w="1885" w:type="dxa"/>
          </w:tcPr>
          <w:p w14:paraId="2AD7F25D" w14:textId="51564993" w:rsidR="00576147" w:rsidRPr="00546B8B" w:rsidRDefault="00576147" w:rsidP="007F179B">
            <w:pPr>
              <w:pStyle w:val="Table"/>
              <w:spacing w:line="360" w:lineRule="auto"/>
              <w:jc w:val="center"/>
              <w:rPr>
                <w:lang w:eastAsia="nl-NL"/>
              </w:rPr>
            </w:pPr>
            <w:r w:rsidRPr="00546B8B">
              <w:rPr>
                <w:lang w:eastAsia="nl-NL"/>
              </w:rPr>
              <w:t>1.46***</w:t>
            </w:r>
          </w:p>
          <w:p w14:paraId="3979AD7B" w14:textId="77777777" w:rsidR="00576147" w:rsidRPr="00546B8B" w:rsidRDefault="00576147" w:rsidP="007F179B">
            <w:pPr>
              <w:pStyle w:val="Table"/>
              <w:spacing w:line="360" w:lineRule="auto"/>
              <w:jc w:val="center"/>
              <w:rPr>
                <w:lang w:eastAsia="nl-NL"/>
              </w:rPr>
            </w:pPr>
            <w:r w:rsidRPr="00546B8B">
              <w:rPr>
                <w:lang w:eastAsia="nl-NL"/>
              </w:rPr>
              <w:t>(0.24)</w:t>
            </w:r>
          </w:p>
        </w:tc>
      </w:tr>
      <w:tr w:rsidR="00576147" w:rsidRPr="00546B8B" w14:paraId="0454E5EA" w14:textId="77777777" w:rsidTr="007F179B">
        <w:tc>
          <w:tcPr>
            <w:tcW w:w="4770" w:type="dxa"/>
          </w:tcPr>
          <w:p w14:paraId="21D1CA77" w14:textId="7A0F0D34" w:rsidR="00576147" w:rsidRPr="00546B8B" w:rsidRDefault="00576147" w:rsidP="007F179B">
            <w:pPr>
              <w:pStyle w:val="Table"/>
              <w:spacing w:line="360" w:lineRule="auto"/>
            </w:pPr>
            <w:r w:rsidRPr="00546B8B">
              <w:t>Ban on fire (controlled fire = 1</w:t>
            </w:r>
            <w:r w:rsidR="003F69ED" w:rsidRPr="00546B8B">
              <w:t xml:space="preserve">; no fire allowed = </w:t>
            </w:r>
            <w:r w:rsidR="005E078E" w:rsidRPr="00546B8B">
              <w:t>-1</w:t>
            </w:r>
            <w:r w:rsidRPr="00546B8B">
              <w:t>)</w:t>
            </w:r>
          </w:p>
        </w:tc>
        <w:tc>
          <w:tcPr>
            <w:tcW w:w="1440" w:type="dxa"/>
          </w:tcPr>
          <w:p w14:paraId="08510D1A" w14:textId="77777777" w:rsidR="00576147" w:rsidRPr="00546B8B" w:rsidRDefault="00576147" w:rsidP="007F179B">
            <w:pPr>
              <w:pStyle w:val="Table"/>
              <w:spacing w:line="360" w:lineRule="auto"/>
            </w:pPr>
            <w:r w:rsidRPr="00546B8B">
              <w:t xml:space="preserve"> 0.140***</w:t>
            </w:r>
          </w:p>
        </w:tc>
        <w:tc>
          <w:tcPr>
            <w:tcW w:w="900" w:type="dxa"/>
          </w:tcPr>
          <w:p w14:paraId="28705811" w14:textId="77777777" w:rsidR="00576147" w:rsidRPr="00546B8B" w:rsidRDefault="00576147" w:rsidP="007F179B">
            <w:pPr>
              <w:pStyle w:val="Table"/>
              <w:spacing w:line="360" w:lineRule="auto"/>
              <w:jc w:val="right"/>
            </w:pPr>
            <w:r w:rsidRPr="00546B8B">
              <w:t>2.88</w:t>
            </w:r>
          </w:p>
        </w:tc>
        <w:tc>
          <w:tcPr>
            <w:tcW w:w="1885" w:type="dxa"/>
          </w:tcPr>
          <w:p w14:paraId="78EF51CC" w14:textId="39B2CF23" w:rsidR="00576147" w:rsidRPr="00546B8B" w:rsidRDefault="00DA63A8" w:rsidP="007F179B">
            <w:pPr>
              <w:pStyle w:val="Table"/>
              <w:spacing w:line="360" w:lineRule="auto"/>
              <w:jc w:val="center"/>
            </w:pPr>
            <w:r>
              <w:t>-</w:t>
            </w:r>
            <w:r w:rsidR="00576147" w:rsidRPr="00546B8B">
              <w:t>2.49**</w:t>
            </w:r>
          </w:p>
          <w:p w14:paraId="10220635" w14:textId="77777777" w:rsidR="00576147" w:rsidRPr="00546B8B" w:rsidRDefault="00576147" w:rsidP="007F179B">
            <w:pPr>
              <w:pStyle w:val="Table"/>
              <w:spacing w:line="360" w:lineRule="auto"/>
              <w:jc w:val="center"/>
            </w:pPr>
            <w:r w:rsidRPr="00546B8B">
              <w:t>(1.02)</w:t>
            </w:r>
          </w:p>
        </w:tc>
      </w:tr>
      <w:tr w:rsidR="00576147" w:rsidRPr="00546B8B" w14:paraId="008B147F" w14:textId="77777777" w:rsidTr="007F179B">
        <w:tc>
          <w:tcPr>
            <w:tcW w:w="4770" w:type="dxa"/>
          </w:tcPr>
          <w:p w14:paraId="4805007F" w14:textId="6601F5C0" w:rsidR="00576147" w:rsidRPr="00546B8B" w:rsidRDefault="00576147" w:rsidP="007F179B">
            <w:pPr>
              <w:pStyle w:val="Table"/>
              <w:spacing w:line="360" w:lineRule="auto"/>
            </w:pPr>
            <w:r w:rsidRPr="00546B8B">
              <w:t xml:space="preserve">Community </w:t>
            </w:r>
            <w:r w:rsidR="003F69ED" w:rsidRPr="00546B8B">
              <w:t xml:space="preserve">activities </w:t>
            </w:r>
            <w:r w:rsidRPr="00546B8B">
              <w:t>(in number of days)</w:t>
            </w:r>
          </w:p>
        </w:tc>
        <w:tc>
          <w:tcPr>
            <w:tcW w:w="1440" w:type="dxa"/>
          </w:tcPr>
          <w:p w14:paraId="02F0F4B6" w14:textId="77777777" w:rsidR="00576147" w:rsidRPr="00546B8B" w:rsidRDefault="00576147" w:rsidP="007F179B">
            <w:pPr>
              <w:pStyle w:val="Table"/>
              <w:spacing w:line="360" w:lineRule="auto"/>
            </w:pPr>
            <w:r w:rsidRPr="00546B8B">
              <w:t>-0.073**</w:t>
            </w:r>
          </w:p>
        </w:tc>
        <w:tc>
          <w:tcPr>
            <w:tcW w:w="900" w:type="dxa"/>
          </w:tcPr>
          <w:p w14:paraId="70E8A528" w14:textId="77777777" w:rsidR="00576147" w:rsidRPr="00546B8B" w:rsidRDefault="00576147" w:rsidP="007F179B">
            <w:pPr>
              <w:pStyle w:val="Table"/>
              <w:spacing w:line="360" w:lineRule="auto"/>
              <w:jc w:val="right"/>
            </w:pPr>
            <w:r w:rsidRPr="00546B8B">
              <w:t>2.30</w:t>
            </w:r>
          </w:p>
          <w:p w14:paraId="2814F4D5" w14:textId="77777777" w:rsidR="00576147" w:rsidRPr="00546B8B" w:rsidRDefault="00576147" w:rsidP="007F179B">
            <w:pPr>
              <w:pStyle w:val="Table"/>
              <w:spacing w:line="360" w:lineRule="auto"/>
              <w:jc w:val="right"/>
            </w:pPr>
          </w:p>
        </w:tc>
        <w:tc>
          <w:tcPr>
            <w:tcW w:w="1885" w:type="dxa"/>
          </w:tcPr>
          <w:p w14:paraId="47015F2D" w14:textId="6881005A" w:rsidR="00576147" w:rsidRPr="00546B8B" w:rsidRDefault="00576147" w:rsidP="007F179B">
            <w:pPr>
              <w:pStyle w:val="Table"/>
              <w:spacing w:line="360" w:lineRule="auto"/>
              <w:jc w:val="center"/>
            </w:pPr>
            <w:r w:rsidRPr="00546B8B">
              <w:t>1.30**</w:t>
            </w:r>
          </w:p>
          <w:p w14:paraId="1AAD2C59" w14:textId="77777777" w:rsidR="00576147" w:rsidRPr="00546B8B" w:rsidRDefault="00576147" w:rsidP="007F179B">
            <w:pPr>
              <w:pStyle w:val="Table"/>
              <w:spacing w:line="360" w:lineRule="auto"/>
              <w:jc w:val="center"/>
            </w:pPr>
            <w:r w:rsidRPr="00546B8B">
              <w:t>(0.59)</w:t>
            </w:r>
          </w:p>
        </w:tc>
      </w:tr>
      <w:tr w:rsidR="00576147" w:rsidRPr="001E3755" w14:paraId="61C736E7" w14:textId="77777777" w:rsidTr="007F179B">
        <w:tc>
          <w:tcPr>
            <w:tcW w:w="4770" w:type="dxa"/>
          </w:tcPr>
          <w:p w14:paraId="729E0E85" w14:textId="7D19259B" w:rsidR="00576147" w:rsidRPr="001E3755" w:rsidRDefault="00576147" w:rsidP="007F179B">
            <w:pPr>
              <w:pStyle w:val="Table"/>
              <w:spacing w:line="360" w:lineRule="auto"/>
              <w:rPr>
                <w:lang w:val="it-IT"/>
              </w:rPr>
            </w:pPr>
            <w:r w:rsidRPr="001E3755">
              <w:rPr>
                <w:lang w:val="it-IT"/>
              </w:rPr>
              <w:t xml:space="preserve">Micro-credit (in </w:t>
            </w:r>
            <w:r w:rsidR="008D7CFE">
              <w:rPr>
                <w:lang w:val="it-IT"/>
              </w:rPr>
              <w:t xml:space="preserve">million </w:t>
            </w:r>
            <w:r w:rsidR="00EF73AC">
              <w:rPr>
                <w:lang w:val="it-IT"/>
              </w:rPr>
              <w:t>R</w:t>
            </w:r>
            <w:r w:rsidR="00F309CD">
              <w:rPr>
                <w:lang w:val="it-IT"/>
              </w:rPr>
              <w:t>upiah</w:t>
            </w:r>
            <w:r w:rsidRPr="001E3755">
              <w:rPr>
                <w:lang w:val="it-IT"/>
              </w:rPr>
              <w:t>)</w:t>
            </w:r>
          </w:p>
        </w:tc>
        <w:tc>
          <w:tcPr>
            <w:tcW w:w="1440" w:type="dxa"/>
          </w:tcPr>
          <w:p w14:paraId="34A001F9" w14:textId="77777777" w:rsidR="00576147" w:rsidRPr="001E3755" w:rsidRDefault="00576147" w:rsidP="007F179B">
            <w:pPr>
              <w:pStyle w:val="Table"/>
              <w:spacing w:line="360" w:lineRule="auto"/>
            </w:pPr>
            <w:r w:rsidRPr="001E3755">
              <w:rPr>
                <w:lang w:val="it-IT"/>
              </w:rPr>
              <w:t xml:space="preserve"> </w:t>
            </w:r>
            <w:r w:rsidRPr="001E3755">
              <w:t>0.056***</w:t>
            </w:r>
          </w:p>
        </w:tc>
        <w:tc>
          <w:tcPr>
            <w:tcW w:w="900" w:type="dxa"/>
          </w:tcPr>
          <w:p w14:paraId="797883FF" w14:textId="77777777" w:rsidR="00576147" w:rsidRPr="001E3755" w:rsidRDefault="00576147" w:rsidP="007F179B">
            <w:pPr>
              <w:pStyle w:val="Table"/>
              <w:spacing w:line="360" w:lineRule="auto"/>
              <w:jc w:val="right"/>
            </w:pPr>
            <w:r w:rsidRPr="001E3755">
              <w:t>6.15</w:t>
            </w:r>
          </w:p>
          <w:p w14:paraId="1F6CC5F9" w14:textId="77777777" w:rsidR="00576147" w:rsidRPr="001E3755" w:rsidRDefault="00576147" w:rsidP="007F179B">
            <w:pPr>
              <w:pStyle w:val="Table"/>
              <w:spacing w:line="360" w:lineRule="auto"/>
              <w:jc w:val="right"/>
            </w:pPr>
          </w:p>
        </w:tc>
        <w:tc>
          <w:tcPr>
            <w:tcW w:w="1885" w:type="dxa"/>
          </w:tcPr>
          <w:p w14:paraId="2AF3B082" w14:textId="77777777" w:rsidR="00576147" w:rsidRPr="001E3755" w:rsidRDefault="00576147" w:rsidP="007F179B">
            <w:pPr>
              <w:pStyle w:val="Table"/>
              <w:spacing w:line="360" w:lineRule="auto"/>
              <w:jc w:val="center"/>
            </w:pPr>
          </w:p>
        </w:tc>
      </w:tr>
      <w:tr w:rsidR="00576147" w:rsidRPr="00546B8B" w14:paraId="2FE9B9CA" w14:textId="77777777" w:rsidTr="007F179B">
        <w:tc>
          <w:tcPr>
            <w:tcW w:w="4770" w:type="dxa"/>
          </w:tcPr>
          <w:p w14:paraId="3292274B" w14:textId="0BC289C9" w:rsidR="00576147" w:rsidRPr="001E3755" w:rsidRDefault="00576147" w:rsidP="007F179B">
            <w:pPr>
              <w:pStyle w:val="Table"/>
              <w:spacing w:line="360" w:lineRule="auto"/>
            </w:pPr>
            <w:r w:rsidRPr="001E3755">
              <w:t>Ex</w:t>
            </w:r>
            <w:r w:rsidR="003F69ED" w:rsidRPr="001E3755">
              <w:t>tra ex</w:t>
            </w:r>
            <w:r w:rsidRPr="001E3755">
              <w:t>tension services (in number of days)</w:t>
            </w:r>
          </w:p>
        </w:tc>
        <w:tc>
          <w:tcPr>
            <w:tcW w:w="1440" w:type="dxa"/>
          </w:tcPr>
          <w:p w14:paraId="2BFA26E3" w14:textId="77777777" w:rsidR="00576147" w:rsidRPr="00676E98" w:rsidRDefault="00576147" w:rsidP="007F179B">
            <w:pPr>
              <w:pStyle w:val="Table"/>
              <w:spacing w:line="360" w:lineRule="auto"/>
            </w:pPr>
            <w:r w:rsidRPr="00676E98">
              <w:t>-0.053*</w:t>
            </w:r>
          </w:p>
        </w:tc>
        <w:tc>
          <w:tcPr>
            <w:tcW w:w="900" w:type="dxa"/>
          </w:tcPr>
          <w:p w14:paraId="36B2A69C" w14:textId="77777777" w:rsidR="00576147" w:rsidRPr="00546B8B" w:rsidRDefault="00576147" w:rsidP="007F179B">
            <w:pPr>
              <w:pStyle w:val="Table"/>
              <w:spacing w:line="360" w:lineRule="auto"/>
              <w:jc w:val="right"/>
            </w:pPr>
            <w:r w:rsidRPr="00546B8B">
              <w:t>1.76</w:t>
            </w:r>
          </w:p>
        </w:tc>
        <w:tc>
          <w:tcPr>
            <w:tcW w:w="1885" w:type="dxa"/>
          </w:tcPr>
          <w:p w14:paraId="7EAE87D5" w14:textId="77777777" w:rsidR="00576147" w:rsidRPr="00546B8B" w:rsidRDefault="00576147" w:rsidP="007F179B">
            <w:pPr>
              <w:pStyle w:val="Table"/>
              <w:spacing w:line="360" w:lineRule="auto"/>
              <w:jc w:val="center"/>
            </w:pPr>
            <w:r w:rsidRPr="00546B8B">
              <w:t>0.95</w:t>
            </w:r>
          </w:p>
          <w:p w14:paraId="089DFC6E" w14:textId="77777777" w:rsidR="00576147" w:rsidRPr="00546B8B" w:rsidRDefault="00576147" w:rsidP="007F179B">
            <w:pPr>
              <w:pStyle w:val="Table"/>
              <w:spacing w:line="360" w:lineRule="auto"/>
              <w:jc w:val="center"/>
            </w:pPr>
            <w:r w:rsidRPr="00546B8B">
              <w:t>(0.62)</w:t>
            </w:r>
          </w:p>
        </w:tc>
      </w:tr>
      <w:tr w:rsidR="00576147" w:rsidRPr="00546B8B" w14:paraId="7BBAFBBF" w14:textId="77777777" w:rsidTr="007F179B">
        <w:tc>
          <w:tcPr>
            <w:tcW w:w="4770" w:type="dxa"/>
          </w:tcPr>
          <w:p w14:paraId="34894C35" w14:textId="77777777" w:rsidR="00576147" w:rsidRPr="00546B8B" w:rsidRDefault="00576147" w:rsidP="007F179B">
            <w:pPr>
              <w:pStyle w:val="Table"/>
              <w:spacing w:line="360" w:lineRule="auto"/>
              <w:rPr>
                <w:i/>
                <w:iCs/>
                <w:lang w:eastAsia="nl-NL"/>
              </w:rPr>
            </w:pPr>
            <w:r w:rsidRPr="00546B8B">
              <w:rPr>
                <w:i/>
                <w:iCs/>
                <w:lang w:eastAsia="nl-NL"/>
              </w:rPr>
              <w:t>Interaction effects</w:t>
            </w:r>
          </w:p>
        </w:tc>
        <w:tc>
          <w:tcPr>
            <w:tcW w:w="1440" w:type="dxa"/>
          </w:tcPr>
          <w:p w14:paraId="123D4E38" w14:textId="77777777" w:rsidR="00576147" w:rsidRPr="00546B8B" w:rsidRDefault="00576147" w:rsidP="007F179B">
            <w:pPr>
              <w:pStyle w:val="Table"/>
              <w:spacing w:line="360" w:lineRule="auto"/>
              <w:rPr>
                <w:i/>
                <w:iCs/>
                <w:lang w:eastAsia="nl-NL"/>
              </w:rPr>
            </w:pPr>
          </w:p>
        </w:tc>
        <w:tc>
          <w:tcPr>
            <w:tcW w:w="900" w:type="dxa"/>
          </w:tcPr>
          <w:p w14:paraId="54EE8053" w14:textId="77777777" w:rsidR="00576147" w:rsidRPr="00546B8B" w:rsidRDefault="00576147" w:rsidP="007F179B">
            <w:pPr>
              <w:pStyle w:val="Table"/>
              <w:spacing w:line="360" w:lineRule="auto"/>
              <w:jc w:val="right"/>
              <w:rPr>
                <w:i/>
                <w:iCs/>
                <w:lang w:eastAsia="nl-NL"/>
              </w:rPr>
            </w:pPr>
          </w:p>
        </w:tc>
        <w:tc>
          <w:tcPr>
            <w:tcW w:w="1885" w:type="dxa"/>
          </w:tcPr>
          <w:p w14:paraId="5CBDE304" w14:textId="77777777" w:rsidR="00576147" w:rsidRPr="00546B8B" w:rsidRDefault="00576147" w:rsidP="007F179B">
            <w:pPr>
              <w:pStyle w:val="Table"/>
              <w:spacing w:line="360" w:lineRule="auto"/>
              <w:jc w:val="center"/>
              <w:rPr>
                <w:i/>
                <w:iCs/>
                <w:lang w:eastAsia="nl-NL"/>
              </w:rPr>
            </w:pPr>
          </w:p>
        </w:tc>
      </w:tr>
      <w:tr w:rsidR="00576147" w:rsidRPr="00546B8B" w14:paraId="28EB94EE" w14:textId="77777777" w:rsidTr="007F179B">
        <w:tc>
          <w:tcPr>
            <w:tcW w:w="4770" w:type="dxa"/>
          </w:tcPr>
          <w:p w14:paraId="4F58D2C9" w14:textId="4E4D9F31" w:rsidR="00576147" w:rsidRPr="00546B8B" w:rsidRDefault="00576147" w:rsidP="007F179B">
            <w:pPr>
              <w:pStyle w:val="Table"/>
              <w:spacing w:line="360" w:lineRule="auto"/>
              <w:rPr>
                <w:lang w:eastAsia="nl-NL"/>
              </w:rPr>
            </w:pPr>
            <w:r w:rsidRPr="00546B8B">
              <w:rPr>
                <w:lang w:eastAsia="nl-NL"/>
              </w:rPr>
              <w:t>Ex</w:t>
            </w:r>
            <w:r w:rsidR="003F69ED" w:rsidRPr="00546B8B">
              <w:rPr>
                <w:lang w:eastAsia="nl-NL"/>
              </w:rPr>
              <w:t>tra ex</w:t>
            </w:r>
            <w:r w:rsidR="008D7CFE">
              <w:rPr>
                <w:lang w:eastAsia="nl-NL"/>
              </w:rPr>
              <w:t>tension services x</w:t>
            </w:r>
            <w:r w:rsidRPr="00546B8B">
              <w:rPr>
                <w:lang w:eastAsia="nl-NL"/>
              </w:rPr>
              <w:t xml:space="preserve"> annual household income (in</w:t>
            </w:r>
            <w:r w:rsidR="008D7CFE">
              <w:rPr>
                <w:lang w:eastAsia="nl-NL"/>
              </w:rPr>
              <w:t xml:space="preserve"> million</w:t>
            </w:r>
            <w:r w:rsidRPr="00546B8B">
              <w:rPr>
                <w:lang w:eastAsia="nl-NL"/>
              </w:rPr>
              <w:t xml:space="preserve"> </w:t>
            </w:r>
            <w:r w:rsidR="00F309CD">
              <w:rPr>
                <w:lang w:eastAsia="nl-NL"/>
              </w:rPr>
              <w:t>Rupiah</w:t>
            </w:r>
            <w:r w:rsidRPr="00546B8B">
              <w:rPr>
                <w:lang w:eastAsia="nl-NL"/>
              </w:rPr>
              <w:t>)</w:t>
            </w:r>
          </w:p>
        </w:tc>
        <w:tc>
          <w:tcPr>
            <w:tcW w:w="1440" w:type="dxa"/>
          </w:tcPr>
          <w:p w14:paraId="1D9B415D" w14:textId="77777777" w:rsidR="00576147" w:rsidRPr="00546B8B" w:rsidRDefault="00576147" w:rsidP="007F179B">
            <w:pPr>
              <w:pStyle w:val="Table"/>
              <w:spacing w:line="360" w:lineRule="auto"/>
            </w:pPr>
            <w:r w:rsidRPr="00546B8B">
              <w:t xml:space="preserve"> 0.009***</w:t>
            </w:r>
          </w:p>
        </w:tc>
        <w:tc>
          <w:tcPr>
            <w:tcW w:w="900" w:type="dxa"/>
          </w:tcPr>
          <w:p w14:paraId="6827462E" w14:textId="77777777" w:rsidR="00576147" w:rsidRPr="00546B8B" w:rsidRDefault="00576147" w:rsidP="007F179B">
            <w:pPr>
              <w:pStyle w:val="Table"/>
              <w:spacing w:line="360" w:lineRule="auto"/>
              <w:jc w:val="right"/>
            </w:pPr>
            <w:r w:rsidRPr="00546B8B">
              <w:t>3.34</w:t>
            </w:r>
          </w:p>
        </w:tc>
        <w:tc>
          <w:tcPr>
            <w:tcW w:w="1885" w:type="dxa"/>
          </w:tcPr>
          <w:p w14:paraId="45BC31CB" w14:textId="54295665" w:rsidR="00576147" w:rsidRPr="00546B8B" w:rsidRDefault="00DA63A8" w:rsidP="007F179B">
            <w:pPr>
              <w:pStyle w:val="Table"/>
              <w:spacing w:line="360" w:lineRule="auto"/>
              <w:jc w:val="center"/>
            </w:pPr>
            <w:r>
              <w:t>-</w:t>
            </w:r>
            <w:r w:rsidR="00576147" w:rsidRPr="00546B8B">
              <w:t>0.15***</w:t>
            </w:r>
          </w:p>
          <w:p w14:paraId="5FCF25D7" w14:textId="77777777" w:rsidR="00576147" w:rsidRPr="00546B8B" w:rsidRDefault="00576147" w:rsidP="007F179B">
            <w:pPr>
              <w:pStyle w:val="Table"/>
              <w:spacing w:line="360" w:lineRule="auto"/>
              <w:jc w:val="center"/>
            </w:pPr>
            <w:r w:rsidRPr="00546B8B">
              <w:t>(0.05)</w:t>
            </w:r>
          </w:p>
        </w:tc>
      </w:tr>
      <w:tr w:rsidR="00576147" w:rsidRPr="00546B8B" w14:paraId="4BB1E727" w14:textId="77777777" w:rsidTr="007F179B">
        <w:tc>
          <w:tcPr>
            <w:tcW w:w="4770" w:type="dxa"/>
          </w:tcPr>
          <w:p w14:paraId="70BD308C" w14:textId="59685B47" w:rsidR="00576147" w:rsidRPr="00546B8B" w:rsidRDefault="00985349" w:rsidP="007F179B">
            <w:pPr>
              <w:pStyle w:val="Table"/>
              <w:spacing w:line="360" w:lineRule="auto"/>
              <w:rPr>
                <w:vertAlign w:val="superscript"/>
                <w:lang w:eastAsia="nl-NL"/>
              </w:rPr>
            </w:pPr>
            <w:r>
              <w:t>Tree</w:t>
            </w:r>
            <w:r w:rsidR="00541B8B">
              <w:t>-</w:t>
            </w:r>
            <w:r>
              <w:t>planting</w:t>
            </w:r>
            <w:r w:rsidRPr="00546B8B">
              <w:t xml:space="preserve"> </w:t>
            </w:r>
            <w:r w:rsidR="008D7CFE">
              <w:t>x</w:t>
            </w:r>
            <w:r w:rsidR="00576147" w:rsidRPr="00546B8B">
              <w:rPr>
                <w:lang w:eastAsia="nl-NL"/>
              </w:rPr>
              <w:t xml:space="preserve"> CKPP village</w:t>
            </w:r>
            <w:r w:rsidR="001948FC" w:rsidRPr="00546B8B">
              <w:rPr>
                <w:lang w:eastAsia="nl-NL"/>
              </w:rPr>
              <w:t xml:space="preserve"> </w:t>
            </w:r>
            <w:r w:rsidR="001948FC" w:rsidRPr="00546B8B">
              <w:rPr>
                <w:vertAlign w:val="superscript"/>
                <w:lang w:eastAsia="nl-NL"/>
              </w:rPr>
              <w:t>b</w:t>
            </w:r>
          </w:p>
        </w:tc>
        <w:tc>
          <w:tcPr>
            <w:tcW w:w="1440" w:type="dxa"/>
          </w:tcPr>
          <w:p w14:paraId="24FC4CA5" w14:textId="77777777" w:rsidR="00576147" w:rsidRPr="00546B8B" w:rsidRDefault="00576147" w:rsidP="007F179B">
            <w:pPr>
              <w:pStyle w:val="Table"/>
              <w:spacing w:line="360" w:lineRule="auto"/>
              <w:rPr>
                <w:lang w:eastAsia="nl-NL"/>
              </w:rPr>
            </w:pPr>
            <w:r w:rsidRPr="00546B8B">
              <w:rPr>
                <w:lang w:eastAsia="nl-NL"/>
              </w:rPr>
              <w:t xml:space="preserve"> 0.010**</w:t>
            </w:r>
          </w:p>
        </w:tc>
        <w:tc>
          <w:tcPr>
            <w:tcW w:w="900" w:type="dxa"/>
          </w:tcPr>
          <w:p w14:paraId="7E150B10" w14:textId="77777777" w:rsidR="00576147" w:rsidRPr="00546B8B" w:rsidRDefault="00576147" w:rsidP="007F179B">
            <w:pPr>
              <w:pStyle w:val="Table"/>
              <w:spacing w:line="360" w:lineRule="auto"/>
              <w:jc w:val="right"/>
              <w:rPr>
                <w:lang w:eastAsia="nl-NL"/>
              </w:rPr>
            </w:pPr>
            <w:r w:rsidRPr="00546B8B">
              <w:rPr>
                <w:lang w:eastAsia="nl-NL"/>
              </w:rPr>
              <w:t>2.07</w:t>
            </w:r>
          </w:p>
        </w:tc>
        <w:tc>
          <w:tcPr>
            <w:tcW w:w="1885" w:type="dxa"/>
          </w:tcPr>
          <w:p w14:paraId="08565CB4" w14:textId="12DE1C06" w:rsidR="00576147" w:rsidRPr="00546B8B" w:rsidRDefault="00DA63A8" w:rsidP="007F179B">
            <w:pPr>
              <w:pStyle w:val="Table"/>
              <w:spacing w:line="360" w:lineRule="auto"/>
              <w:jc w:val="center"/>
              <w:rPr>
                <w:lang w:eastAsia="nl-NL"/>
              </w:rPr>
            </w:pPr>
            <w:r>
              <w:rPr>
                <w:lang w:eastAsia="nl-NL"/>
              </w:rPr>
              <w:t>-</w:t>
            </w:r>
            <w:r w:rsidR="00576147" w:rsidRPr="00546B8B">
              <w:rPr>
                <w:lang w:eastAsia="nl-NL"/>
              </w:rPr>
              <w:t>0.18*</w:t>
            </w:r>
          </w:p>
          <w:p w14:paraId="742F0A7A" w14:textId="77777777" w:rsidR="00576147" w:rsidRPr="00546B8B" w:rsidRDefault="00576147" w:rsidP="007F179B">
            <w:pPr>
              <w:pStyle w:val="Table"/>
              <w:spacing w:line="360" w:lineRule="auto"/>
              <w:jc w:val="center"/>
              <w:rPr>
                <w:lang w:eastAsia="nl-NL"/>
              </w:rPr>
            </w:pPr>
            <w:r w:rsidRPr="00546B8B">
              <w:rPr>
                <w:lang w:eastAsia="nl-NL"/>
              </w:rPr>
              <w:t>(0.10)</w:t>
            </w:r>
          </w:p>
        </w:tc>
      </w:tr>
      <w:tr w:rsidR="00576147" w:rsidRPr="00546B8B" w14:paraId="6AF58AA1" w14:textId="77777777" w:rsidTr="007F179B">
        <w:tc>
          <w:tcPr>
            <w:tcW w:w="4770" w:type="dxa"/>
          </w:tcPr>
          <w:p w14:paraId="02FD8E53" w14:textId="4CC59809" w:rsidR="00576147" w:rsidRPr="00546B8B" w:rsidRDefault="008D7CFE" w:rsidP="007F179B">
            <w:pPr>
              <w:pStyle w:val="Table"/>
              <w:spacing w:line="360" w:lineRule="auto"/>
            </w:pPr>
            <w:r>
              <w:t>Alternative specific c</w:t>
            </w:r>
            <w:r w:rsidR="00576147" w:rsidRPr="00546B8B">
              <w:t>onstant (opt-out = 1</w:t>
            </w:r>
            <w:r w:rsidR="003F69ED" w:rsidRPr="00546B8B">
              <w:t>, options A and B = 0</w:t>
            </w:r>
            <w:r w:rsidR="00576147" w:rsidRPr="00546B8B">
              <w:t>)</w:t>
            </w:r>
          </w:p>
        </w:tc>
        <w:tc>
          <w:tcPr>
            <w:tcW w:w="1440" w:type="dxa"/>
          </w:tcPr>
          <w:p w14:paraId="5449C0BF" w14:textId="77777777" w:rsidR="00576147" w:rsidRPr="00546B8B" w:rsidRDefault="00576147" w:rsidP="007F179B">
            <w:pPr>
              <w:pStyle w:val="Table"/>
              <w:spacing w:line="360" w:lineRule="auto"/>
            </w:pPr>
            <w:r w:rsidRPr="00546B8B">
              <w:t xml:space="preserve"> -3.760***</w:t>
            </w:r>
          </w:p>
        </w:tc>
        <w:tc>
          <w:tcPr>
            <w:tcW w:w="900" w:type="dxa"/>
          </w:tcPr>
          <w:p w14:paraId="2C743AE1" w14:textId="77777777" w:rsidR="00576147" w:rsidRPr="00546B8B" w:rsidRDefault="00576147" w:rsidP="007F179B">
            <w:pPr>
              <w:pStyle w:val="Table"/>
              <w:spacing w:line="360" w:lineRule="auto"/>
              <w:jc w:val="right"/>
            </w:pPr>
            <w:r w:rsidRPr="00546B8B">
              <w:t>5.12</w:t>
            </w:r>
          </w:p>
        </w:tc>
        <w:tc>
          <w:tcPr>
            <w:tcW w:w="1885" w:type="dxa"/>
          </w:tcPr>
          <w:p w14:paraId="02038BE7" w14:textId="5180943C" w:rsidR="00576147" w:rsidRPr="00546B8B" w:rsidRDefault="00576147" w:rsidP="007F179B">
            <w:pPr>
              <w:pStyle w:val="Table"/>
              <w:spacing w:line="360" w:lineRule="auto"/>
              <w:jc w:val="center"/>
            </w:pPr>
            <w:r w:rsidRPr="00546B8B">
              <w:t>66.91***</w:t>
            </w:r>
          </w:p>
          <w:p w14:paraId="5D1ADF4E" w14:textId="77777777" w:rsidR="00576147" w:rsidRPr="00546B8B" w:rsidRDefault="00576147" w:rsidP="007F179B">
            <w:pPr>
              <w:pStyle w:val="Table"/>
              <w:spacing w:line="360" w:lineRule="auto"/>
              <w:jc w:val="center"/>
            </w:pPr>
            <w:r w:rsidRPr="00546B8B">
              <w:t>(17.88)</w:t>
            </w:r>
          </w:p>
        </w:tc>
      </w:tr>
      <w:tr w:rsidR="00576147" w:rsidRPr="00546B8B" w14:paraId="708C6754" w14:textId="77777777" w:rsidTr="007F179B">
        <w:tc>
          <w:tcPr>
            <w:tcW w:w="4770" w:type="dxa"/>
          </w:tcPr>
          <w:p w14:paraId="68D4246B" w14:textId="77777777" w:rsidR="00576147" w:rsidRPr="00546B8B" w:rsidRDefault="00576147" w:rsidP="007F179B">
            <w:pPr>
              <w:pStyle w:val="Table"/>
              <w:spacing w:line="360" w:lineRule="auto"/>
              <w:rPr>
                <w:i/>
                <w:lang w:eastAsia="nl-NL"/>
              </w:rPr>
            </w:pPr>
            <w:r w:rsidRPr="00546B8B">
              <w:rPr>
                <w:i/>
                <w:lang w:eastAsia="nl-NL"/>
              </w:rPr>
              <w:t>Model statistics</w:t>
            </w:r>
          </w:p>
        </w:tc>
        <w:tc>
          <w:tcPr>
            <w:tcW w:w="1440" w:type="dxa"/>
          </w:tcPr>
          <w:p w14:paraId="2D86064C" w14:textId="77777777" w:rsidR="00576147" w:rsidRPr="00546B8B" w:rsidRDefault="00576147" w:rsidP="007F179B">
            <w:pPr>
              <w:pStyle w:val="Table"/>
              <w:spacing w:line="360" w:lineRule="auto"/>
              <w:rPr>
                <w:lang w:eastAsia="nl-NL"/>
              </w:rPr>
            </w:pPr>
          </w:p>
        </w:tc>
        <w:tc>
          <w:tcPr>
            <w:tcW w:w="900" w:type="dxa"/>
          </w:tcPr>
          <w:p w14:paraId="09AC5AE5" w14:textId="77777777" w:rsidR="00576147" w:rsidRPr="00546B8B" w:rsidRDefault="00576147" w:rsidP="007F179B">
            <w:pPr>
              <w:pStyle w:val="Table"/>
              <w:spacing w:line="360" w:lineRule="auto"/>
              <w:jc w:val="both"/>
              <w:rPr>
                <w:lang w:eastAsia="nl-NL"/>
              </w:rPr>
            </w:pPr>
          </w:p>
        </w:tc>
        <w:tc>
          <w:tcPr>
            <w:tcW w:w="1885" w:type="dxa"/>
          </w:tcPr>
          <w:p w14:paraId="3427A908" w14:textId="77777777" w:rsidR="00576147" w:rsidRPr="00546B8B" w:rsidRDefault="00576147" w:rsidP="007F179B">
            <w:pPr>
              <w:pStyle w:val="Table"/>
              <w:spacing w:line="360" w:lineRule="auto"/>
              <w:jc w:val="center"/>
              <w:rPr>
                <w:lang w:eastAsia="nl-NL"/>
              </w:rPr>
            </w:pPr>
          </w:p>
        </w:tc>
      </w:tr>
      <w:tr w:rsidR="00EB61EE" w:rsidRPr="00546B8B" w14:paraId="3581830A" w14:textId="77777777" w:rsidTr="002979F2">
        <w:tc>
          <w:tcPr>
            <w:tcW w:w="4770" w:type="dxa"/>
          </w:tcPr>
          <w:p w14:paraId="5564F009" w14:textId="743DB45E" w:rsidR="00EB61EE" w:rsidRPr="00546B8B" w:rsidRDefault="00EB61EE" w:rsidP="00EB61EE">
            <w:pPr>
              <w:pStyle w:val="Table"/>
              <w:spacing w:line="360" w:lineRule="auto"/>
              <w:rPr>
                <w:lang w:eastAsia="nl-NL"/>
              </w:rPr>
            </w:pPr>
            <w:r w:rsidRPr="00546B8B">
              <w:rPr>
                <w:lang w:eastAsia="nl-NL"/>
              </w:rPr>
              <w:t>Pseudo R2</w:t>
            </w:r>
            <w:r w:rsidRPr="00546B8B">
              <w:rPr>
                <w:vertAlign w:val="superscript"/>
                <w:lang w:eastAsia="nl-NL"/>
              </w:rPr>
              <w:t xml:space="preserve"> </w:t>
            </w:r>
          </w:p>
        </w:tc>
        <w:tc>
          <w:tcPr>
            <w:tcW w:w="1440" w:type="dxa"/>
          </w:tcPr>
          <w:p w14:paraId="1C59601D" w14:textId="77777777" w:rsidR="00EB61EE" w:rsidRPr="00546B8B" w:rsidRDefault="00EB61EE" w:rsidP="00EB61EE">
            <w:pPr>
              <w:pStyle w:val="Table"/>
              <w:spacing w:line="360" w:lineRule="auto"/>
              <w:rPr>
                <w:lang w:eastAsia="nl-NL"/>
              </w:rPr>
            </w:pPr>
            <w:r w:rsidRPr="00546B8B">
              <w:rPr>
                <w:lang w:eastAsia="nl-NL"/>
              </w:rPr>
              <w:t>43%</w:t>
            </w:r>
          </w:p>
        </w:tc>
        <w:tc>
          <w:tcPr>
            <w:tcW w:w="900" w:type="dxa"/>
          </w:tcPr>
          <w:p w14:paraId="2BC90005" w14:textId="1FE8D22A" w:rsidR="00EB61EE" w:rsidRPr="00546B8B" w:rsidRDefault="00EB61EE" w:rsidP="00EB61EE">
            <w:pPr>
              <w:pStyle w:val="Table"/>
              <w:spacing w:line="360" w:lineRule="auto"/>
              <w:jc w:val="both"/>
              <w:rPr>
                <w:lang w:eastAsia="nl-NL"/>
              </w:rPr>
            </w:pPr>
            <w:r>
              <w:rPr>
                <w:lang w:eastAsia="nl-NL"/>
              </w:rPr>
              <w:t>AIC</w:t>
            </w:r>
          </w:p>
        </w:tc>
        <w:tc>
          <w:tcPr>
            <w:tcW w:w="1885" w:type="dxa"/>
            <w:vAlign w:val="bottom"/>
          </w:tcPr>
          <w:p w14:paraId="59127E3B" w14:textId="185C8E70" w:rsidR="00EB61EE" w:rsidRPr="00EB61EE" w:rsidRDefault="00EB61EE" w:rsidP="00EB61EE">
            <w:pPr>
              <w:pStyle w:val="Table"/>
              <w:spacing w:line="360" w:lineRule="auto"/>
              <w:jc w:val="center"/>
              <w:rPr>
                <w:szCs w:val="21"/>
                <w:lang w:eastAsia="nl-NL"/>
              </w:rPr>
            </w:pPr>
            <w:r w:rsidRPr="002979F2">
              <w:rPr>
                <w:color w:val="000000"/>
                <w:szCs w:val="21"/>
              </w:rPr>
              <w:t>1995.3</w:t>
            </w:r>
          </w:p>
        </w:tc>
      </w:tr>
      <w:tr w:rsidR="00EB61EE" w:rsidRPr="00546B8B" w14:paraId="3819D11F" w14:textId="77777777" w:rsidTr="002979F2">
        <w:tc>
          <w:tcPr>
            <w:tcW w:w="4770" w:type="dxa"/>
          </w:tcPr>
          <w:p w14:paraId="448CD5CC" w14:textId="77777777" w:rsidR="00EB61EE" w:rsidRPr="00546B8B" w:rsidRDefault="00EB61EE" w:rsidP="00EB61EE">
            <w:pPr>
              <w:pStyle w:val="Table"/>
              <w:spacing w:line="360" w:lineRule="auto"/>
              <w:rPr>
                <w:lang w:eastAsia="nl-NL"/>
              </w:rPr>
            </w:pPr>
            <w:r w:rsidRPr="00546B8B">
              <w:rPr>
                <w:lang w:eastAsia="nl-NL"/>
              </w:rPr>
              <w:t xml:space="preserve">Log likelihood </w:t>
            </w:r>
          </w:p>
        </w:tc>
        <w:tc>
          <w:tcPr>
            <w:tcW w:w="1440" w:type="dxa"/>
          </w:tcPr>
          <w:p w14:paraId="69F2D1AB" w14:textId="0411704E" w:rsidR="00EB61EE" w:rsidRPr="00546B8B" w:rsidRDefault="00EB61EE" w:rsidP="00EB61EE">
            <w:pPr>
              <w:pStyle w:val="Table"/>
              <w:spacing w:line="360" w:lineRule="auto"/>
            </w:pPr>
            <w:r w:rsidRPr="00546B8B">
              <w:t>-987</w:t>
            </w:r>
            <w:r>
              <w:t>.7</w:t>
            </w:r>
          </w:p>
        </w:tc>
        <w:tc>
          <w:tcPr>
            <w:tcW w:w="900" w:type="dxa"/>
          </w:tcPr>
          <w:p w14:paraId="23626FCE" w14:textId="5071880B" w:rsidR="00EB61EE" w:rsidRPr="00546B8B" w:rsidRDefault="00EB61EE" w:rsidP="00EB61EE">
            <w:pPr>
              <w:pStyle w:val="Table"/>
              <w:spacing w:line="360" w:lineRule="auto"/>
              <w:jc w:val="both"/>
            </w:pPr>
            <w:r>
              <w:t>BIC</w:t>
            </w:r>
          </w:p>
        </w:tc>
        <w:tc>
          <w:tcPr>
            <w:tcW w:w="1885" w:type="dxa"/>
            <w:vAlign w:val="bottom"/>
          </w:tcPr>
          <w:p w14:paraId="1267EDC8" w14:textId="57F7619F" w:rsidR="00EB61EE" w:rsidRPr="00EB61EE" w:rsidRDefault="00EB61EE" w:rsidP="00EB61EE">
            <w:pPr>
              <w:pStyle w:val="Table"/>
              <w:spacing w:line="360" w:lineRule="auto"/>
              <w:jc w:val="center"/>
              <w:rPr>
                <w:szCs w:val="21"/>
              </w:rPr>
            </w:pPr>
            <w:r w:rsidRPr="002979F2">
              <w:rPr>
                <w:color w:val="000000"/>
                <w:szCs w:val="21"/>
              </w:rPr>
              <w:t>2049.</w:t>
            </w:r>
            <w:r w:rsidRPr="00EB61EE">
              <w:rPr>
                <w:color w:val="000000"/>
                <w:szCs w:val="21"/>
              </w:rPr>
              <w:t>1</w:t>
            </w:r>
          </w:p>
        </w:tc>
      </w:tr>
      <w:tr w:rsidR="00576147" w:rsidRPr="00546B8B" w14:paraId="19023E84" w14:textId="77777777" w:rsidTr="007F179B">
        <w:tc>
          <w:tcPr>
            <w:tcW w:w="4770" w:type="dxa"/>
          </w:tcPr>
          <w:p w14:paraId="51786655" w14:textId="77777777" w:rsidR="00576147" w:rsidRPr="00546B8B" w:rsidRDefault="00576147" w:rsidP="007F179B">
            <w:pPr>
              <w:pStyle w:val="Table"/>
              <w:spacing w:line="360" w:lineRule="auto"/>
            </w:pPr>
            <w:r w:rsidRPr="00546B8B">
              <w:rPr>
                <w:lang w:eastAsia="nl-NL"/>
              </w:rPr>
              <w:t>Number of choices</w:t>
            </w:r>
          </w:p>
        </w:tc>
        <w:tc>
          <w:tcPr>
            <w:tcW w:w="1440" w:type="dxa"/>
          </w:tcPr>
          <w:p w14:paraId="12FA9D14" w14:textId="77777777" w:rsidR="00576147" w:rsidRPr="00546B8B" w:rsidRDefault="00576147" w:rsidP="007F179B">
            <w:pPr>
              <w:pStyle w:val="Table"/>
              <w:spacing w:line="360" w:lineRule="auto"/>
            </w:pPr>
            <w:r w:rsidRPr="00546B8B">
              <w:t>1592</w:t>
            </w:r>
          </w:p>
        </w:tc>
        <w:tc>
          <w:tcPr>
            <w:tcW w:w="900" w:type="dxa"/>
          </w:tcPr>
          <w:p w14:paraId="3368C5B5" w14:textId="77777777" w:rsidR="00576147" w:rsidRPr="00546B8B" w:rsidRDefault="00576147" w:rsidP="007F179B">
            <w:pPr>
              <w:pStyle w:val="Table"/>
              <w:spacing w:line="360" w:lineRule="auto"/>
              <w:jc w:val="both"/>
            </w:pPr>
          </w:p>
        </w:tc>
        <w:tc>
          <w:tcPr>
            <w:tcW w:w="1885" w:type="dxa"/>
          </w:tcPr>
          <w:p w14:paraId="5575887E" w14:textId="77777777" w:rsidR="00576147" w:rsidRPr="00546B8B" w:rsidRDefault="00576147" w:rsidP="007F179B">
            <w:pPr>
              <w:pStyle w:val="Table"/>
              <w:spacing w:line="360" w:lineRule="auto"/>
              <w:jc w:val="center"/>
            </w:pPr>
          </w:p>
        </w:tc>
      </w:tr>
    </w:tbl>
    <w:p w14:paraId="06250148" w14:textId="35A2E37B" w:rsidR="00576147" w:rsidRPr="00546B8B" w:rsidRDefault="00576147" w:rsidP="00576147">
      <w:pPr>
        <w:pStyle w:val="NormalJustified"/>
        <w:spacing w:after="120" w:line="360" w:lineRule="auto"/>
        <w:rPr>
          <w:i/>
          <w:iCs/>
          <w:sz w:val="18"/>
        </w:rPr>
      </w:pPr>
      <w:r w:rsidRPr="00546B8B">
        <w:rPr>
          <w:i/>
          <w:iCs/>
          <w:sz w:val="18"/>
        </w:rPr>
        <w:t xml:space="preserve"> Note</w:t>
      </w:r>
      <w:r w:rsidR="00D01075">
        <w:rPr>
          <w:i/>
          <w:iCs/>
          <w:sz w:val="18"/>
        </w:rPr>
        <w:t>s</w:t>
      </w:r>
      <w:r w:rsidRPr="00546B8B">
        <w:rPr>
          <w:i/>
          <w:iCs/>
          <w:sz w:val="18"/>
        </w:rPr>
        <w:t>:</w:t>
      </w:r>
      <w:r w:rsidR="00D01075">
        <w:rPr>
          <w:i/>
          <w:iCs/>
          <w:sz w:val="18"/>
        </w:rPr>
        <w:t xml:space="preserve"> Results are based on 500 Halton draws.</w:t>
      </w:r>
      <w:r w:rsidRPr="00546B8B">
        <w:rPr>
          <w:i/>
          <w:iCs/>
          <w:sz w:val="18"/>
        </w:rPr>
        <w:t xml:space="preserve"> * significant at 0.10, **significant at 0.05, ***significant at 0.01. </w:t>
      </w:r>
      <w:r w:rsidR="001948FC" w:rsidRPr="001E3755">
        <w:rPr>
          <w:i/>
          <w:iCs/>
          <w:sz w:val="18"/>
          <w:vertAlign w:val="superscript"/>
        </w:rPr>
        <w:t xml:space="preserve">a </w:t>
      </w:r>
      <w:r w:rsidR="00132CDF" w:rsidRPr="001E3755">
        <w:rPr>
          <w:i/>
          <w:iCs/>
          <w:sz w:val="18"/>
        </w:rPr>
        <w:t>WTA: Willingness to Accept</w:t>
      </w:r>
      <w:r w:rsidR="008D7CFE">
        <w:rPr>
          <w:i/>
          <w:iCs/>
          <w:sz w:val="18"/>
        </w:rPr>
        <w:t>, expressed in million Rupiah per hectare</w:t>
      </w:r>
      <w:r w:rsidRPr="001E3755">
        <w:rPr>
          <w:i/>
          <w:iCs/>
          <w:sz w:val="18"/>
        </w:rPr>
        <w:t>.</w:t>
      </w:r>
      <w:r w:rsidR="001948FC" w:rsidRPr="001E3755">
        <w:rPr>
          <w:i/>
          <w:iCs/>
          <w:sz w:val="18"/>
        </w:rPr>
        <w:t xml:space="preserve"> </w:t>
      </w:r>
      <w:r w:rsidR="001948FC" w:rsidRPr="001E3755">
        <w:rPr>
          <w:i/>
          <w:iCs/>
          <w:sz w:val="18"/>
          <w:vertAlign w:val="superscript"/>
        </w:rPr>
        <w:t>b</w:t>
      </w:r>
      <w:r w:rsidR="001948FC" w:rsidRPr="001E3755">
        <w:rPr>
          <w:i/>
          <w:iCs/>
          <w:sz w:val="18"/>
        </w:rPr>
        <w:t xml:space="preserve"> the CKPP variable is a dummy variable with the value 1 for respondents from villages </w:t>
      </w:r>
      <w:r w:rsidR="001948FC" w:rsidRPr="00676E98">
        <w:rPr>
          <w:i/>
          <w:iCs/>
          <w:sz w:val="18"/>
        </w:rPr>
        <w:t>that fall under the CKPP, and the value 0 otherwise.</w:t>
      </w:r>
      <w:r w:rsidR="00D01075">
        <w:rPr>
          <w:i/>
          <w:iCs/>
          <w:sz w:val="18"/>
        </w:rPr>
        <w:t xml:space="preserve"> </w:t>
      </w:r>
    </w:p>
    <w:p w14:paraId="1C5C2D5A" w14:textId="7CECB595" w:rsidR="009A3773" w:rsidRPr="00546B8B" w:rsidRDefault="00F96938" w:rsidP="00AF0C49">
      <w:pPr>
        <w:spacing w:after="120"/>
      </w:pPr>
      <w:r w:rsidRPr="00546B8B">
        <w:t xml:space="preserve">The </w:t>
      </w:r>
      <w:r w:rsidR="00541B8B">
        <w:t>tree-</w:t>
      </w:r>
      <w:r w:rsidR="00985349">
        <w:t>planting</w:t>
      </w:r>
      <w:r w:rsidR="00985349" w:rsidRPr="00546B8B">
        <w:t xml:space="preserve"> </w:t>
      </w:r>
      <w:r w:rsidRPr="00546B8B">
        <w:t>attribute was included as a random parameter with a normal distribution; the significant standard deviation demonstrates heterogeneity</w:t>
      </w:r>
      <w:r w:rsidR="006810E6" w:rsidRPr="00546B8B">
        <w:t xml:space="preserve"> in preferences for </w:t>
      </w:r>
      <w:r w:rsidR="008D7CFE">
        <w:t>tree-planting</w:t>
      </w:r>
      <w:r w:rsidRPr="00546B8B">
        <w:t xml:space="preserve"> among farmers. Preferences for the </w:t>
      </w:r>
      <w:r w:rsidR="00985349">
        <w:t>tree</w:t>
      </w:r>
      <w:r w:rsidR="00541B8B">
        <w:t>-</w:t>
      </w:r>
      <w:r w:rsidR="00985349">
        <w:t>planting</w:t>
      </w:r>
      <w:r w:rsidR="00985349" w:rsidRPr="00546B8B">
        <w:t xml:space="preserve"> </w:t>
      </w:r>
      <w:r w:rsidRPr="00546B8B">
        <w:t xml:space="preserve">attribute </w:t>
      </w:r>
      <w:r w:rsidR="000E06D3" w:rsidRPr="00546B8B">
        <w:t>show</w:t>
      </w:r>
      <w:r w:rsidRPr="00546B8B">
        <w:t xml:space="preserve"> significant non-linearity as demonstrated by the significant quadratic effect.</w:t>
      </w:r>
      <w:r w:rsidR="009A3773" w:rsidRPr="00546B8B">
        <w:t xml:space="preserve"> </w:t>
      </w:r>
      <w:r w:rsidR="006711B7" w:rsidRPr="00546B8B">
        <w:t xml:space="preserve">Respondents from villages where CKPP </w:t>
      </w:r>
      <w:r w:rsidR="008D7CFE">
        <w:t>wa</w:t>
      </w:r>
      <w:r w:rsidR="006711B7" w:rsidRPr="00546B8B">
        <w:t xml:space="preserve">s organising activities </w:t>
      </w:r>
      <w:r w:rsidR="008D7CFE">
        <w:t>we</w:t>
      </w:r>
      <w:r w:rsidR="006711B7" w:rsidRPr="00546B8B">
        <w:t xml:space="preserve">re more positive towards </w:t>
      </w:r>
      <w:r w:rsidR="00985349">
        <w:t>planting trees</w:t>
      </w:r>
      <w:r w:rsidR="00985349" w:rsidRPr="00546B8B">
        <w:t xml:space="preserve"> </w:t>
      </w:r>
      <w:r w:rsidR="006711B7" w:rsidRPr="00546B8B">
        <w:t>o</w:t>
      </w:r>
      <w:r w:rsidR="00985349">
        <w:t>n</w:t>
      </w:r>
      <w:r w:rsidR="006711B7" w:rsidRPr="00546B8B">
        <w:t xml:space="preserve"> their lands than respondents from other villages.</w:t>
      </w:r>
      <w:r w:rsidR="009A4D19">
        <w:t xml:space="preserve"> </w:t>
      </w:r>
      <w:r w:rsidR="00E33903" w:rsidRPr="00546B8B">
        <w:t>Based on the parameter estimates</w:t>
      </w:r>
      <w:r w:rsidR="00B6584E" w:rsidRPr="00546B8B">
        <w:t xml:space="preserve">, </w:t>
      </w:r>
      <w:r w:rsidR="00E33903" w:rsidRPr="00546B8B">
        <w:t>this non-linear effect implies that th</w:t>
      </w:r>
      <w:r w:rsidR="00B6584E" w:rsidRPr="00546B8B">
        <w:t xml:space="preserve">e </w:t>
      </w:r>
      <w:r w:rsidR="00FB1E1C">
        <w:t>part-worth utility (of the average respondent) of choosing</w:t>
      </w:r>
      <w:r w:rsidR="00B6584E" w:rsidRPr="00546B8B">
        <w:t xml:space="preserve"> </w:t>
      </w:r>
      <w:proofErr w:type="gramStart"/>
      <w:r w:rsidR="00B6584E" w:rsidRPr="00546B8B">
        <w:t>a</w:t>
      </w:r>
      <w:r w:rsidR="00E33903" w:rsidRPr="00546B8B">
        <w:t xml:space="preserve">n </w:t>
      </w:r>
      <w:r w:rsidR="00B6584E" w:rsidRPr="00546B8B">
        <w:t>alternative increases</w:t>
      </w:r>
      <w:proofErr w:type="gramEnd"/>
      <w:r w:rsidR="00B6584E" w:rsidRPr="00546B8B">
        <w:t xml:space="preserve"> up to 5</w:t>
      </w:r>
      <w:r w:rsidR="00E30B68" w:rsidRPr="00546B8B">
        <w:t>5</w:t>
      </w:r>
      <w:r w:rsidR="00B6584E" w:rsidRPr="00546B8B">
        <w:t>% of farmland</w:t>
      </w:r>
      <w:r w:rsidR="006711B7" w:rsidRPr="00546B8B">
        <w:t xml:space="preserve"> to be </w:t>
      </w:r>
      <w:r w:rsidR="00985349">
        <w:t>planted with trees</w:t>
      </w:r>
      <w:r w:rsidR="00DB5804">
        <w:t xml:space="preserve"> where WTA≈</w:t>
      </w:r>
      <w:r w:rsidR="00EF73AC">
        <w:t xml:space="preserve"> 42 million</w:t>
      </w:r>
      <w:r w:rsidR="00985349" w:rsidRPr="00546B8B">
        <w:t xml:space="preserve"> </w:t>
      </w:r>
      <w:r w:rsidR="00F309CD">
        <w:t>Rupiah</w:t>
      </w:r>
      <w:r w:rsidR="008D7CFE">
        <w:t xml:space="preserve"> per hectare</w:t>
      </w:r>
      <w:r w:rsidR="00F309CD">
        <w:t xml:space="preserve"> </w:t>
      </w:r>
      <w:r w:rsidR="006711B7" w:rsidRPr="00546B8B">
        <w:t>(and 60% for CKPP villages)</w:t>
      </w:r>
      <w:r w:rsidR="00B6584E" w:rsidRPr="00546B8B">
        <w:t>, but decreases beyond that</w:t>
      </w:r>
      <w:r w:rsidR="00093101" w:rsidRPr="00546B8B">
        <w:t xml:space="preserve"> level</w:t>
      </w:r>
      <w:r w:rsidR="00663CF3" w:rsidRPr="00546B8B">
        <w:t xml:space="preserve"> yet remain</w:t>
      </w:r>
      <w:r w:rsidR="00DB5804">
        <w:t>s</w:t>
      </w:r>
      <w:r w:rsidR="00663CF3" w:rsidRPr="00546B8B">
        <w:t xml:space="preserve"> positive at 100%</w:t>
      </w:r>
      <w:r w:rsidR="00B6584E" w:rsidRPr="00546B8B">
        <w:t xml:space="preserve">. </w:t>
      </w:r>
      <w:bookmarkStart w:id="6" w:name="_Hlk484079870"/>
      <w:r w:rsidR="005D2BB9">
        <w:t xml:space="preserve">This </w:t>
      </w:r>
      <w:r w:rsidR="00E75D0B">
        <w:t>suggest that respondents require</w:t>
      </w:r>
      <w:r w:rsidR="008D7CFE">
        <w:t>d</w:t>
      </w:r>
      <w:r w:rsidR="00E75D0B">
        <w:t xml:space="preserve"> no compensation for co</w:t>
      </w:r>
      <w:r w:rsidR="00F10FB5">
        <w:t xml:space="preserve">nverting part of their </w:t>
      </w:r>
      <w:r w:rsidR="00F10FB5">
        <w:lastRenderedPageBreak/>
        <w:t>land</w:t>
      </w:r>
      <w:r w:rsidR="00E75D0B">
        <w:t>.</w:t>
      </w:r>
      <w:bookmarkEnd w:id="6"/>
      <w:r w:rsidR="00E75D0B">
        <w:t xml:space="preserve"> T</w:t>
      </w:r>
      <w:r w:rsidR="00127ECF" w:rsidRPr="00546B8B">
        <w:t>he available variables could not explain the underlying drivers of the non-linearity</w:t>
      </w:r>
      <w:r w:rsidR="007B2E0E" w:rsidRPr="00546B8B">
        <w:t>, that is, they were not statistically significant</w:t>
      </w:r>
      <w:r w:rsidR="00127ECF" w:rsidRPr="00546B8B">
        <w:t>.</w:t>
      </w:r>
      <w:r w:rsidR="006711B7" w:rsidRPr="00546B8B">
        <w:t xml:space="preserve"> </w:t>
      </w:r>
    </w:p>
    <w:p w14:paraId="47964EDA" w14:textId="3C65EAA5" w:rsidR="00B75A06" w:rsidRPr="00546B8B" w:rsidRDefault="006711B7" w:rsidP="00AF0C49">
      <w:pPr>
        <w:spacing w:after="120"/>
      </w:pPr>
      <w:r w:rsidRPr="00546B8B">
        <w:t>As expected, r</w:t>
      </w:r>
      <w:r w:rsidR="00D039F9" w:rsidRPr="00546B8B">
        <w:t>espondents prefe</w:t>
      </w:r>
      <w:r w:rsidR="008D7CFE">
        <w:t>r</w:t>
      </w:r>
      <w:r w:rsidR="00D039F9" w:rsidRPr="00546B8B">
        <w:t>r</w:t>
      </w:r>
      <w:r w:rsidR="008D7CFE">
        <w:t>ed</w:t>
      </w:r>
      <w:r w:rsidR="00D039F9" w:rsidRPr="00546B8B">
        <w:t xml:space="preserve"> </w:t>
      </w:r>
      <w:r w:rsidR="002437AD" w:rsidRPr="00546B8B">
        <w:t>options</w:t>
      </w:r>
      <w:r w:rsidR="00D039F9" w:rsidRPr="00546B8B">
        <w:t xml:space="preserve"> that allow</w:t>
      </w:r>
      <w:r w:rsidR="008D7CFE">
        <w:t>ed</w:t>
      </w:r>
      <w:r w:rsidR="00D039F9" w:rsidRPr="00546B8B">
        <w:t xml:space="preserve"> controlled use of fire over a complete ban on fire</w:t>
      </w:r>
      <w:r w:rsidRPr="00546B8B">
        <w:t xml:space="preserve">, </w:t>
      </w:r>
      <w:r w:rsidR="00A67201" w:rsidRPr="00546B8B">
        <w:t xml:space="preserve">and </w:t>
      </w:r>
      <w:r w:rsidRPr="00546B8B">
        <w:t>f</w:t>
      </w:r>
      <w:r w:rsidR="002437AD" w:rsidRPr="00546B8B">
        <w:t>ewer</w:t>
      </w:r>
      <w:r w:rsidR="00D039F9" w:rsidRPr="00546B8B">
        <w:t xml:space="preserve"> days to be dedicated to community services</w:t>
      </w:r>
      <w:r w:rsidR="002437AD" w:rsidRPr="00546B8B">
        <w:t>. T</w:t>
      </w:r>
      <w:r w:rsidR="00D039F9" w:rsidRPr="00546B8B">
        <w:t xml:space="preserve">he higher the amount of the micro-credit provided, the more likely respondents </w:t>
      </w:r>
      <w:r w:rsidR="00A36F96">
        <w:t>would</w:t>
      </w:r>
      <w:r w:rsidR="00D039F9" w:rsidRPr="00546B8B">
        <w:t xml:space="preserve"> choose that option</w:t>
      </w:r>
      <w:r w:rsidR="002437AD" w:rsidRPr="00546B8B">
        <w:t>. For the attribute extension services, respondent</w:t>
      </w:r>
      <w:r w:rsidR="00FB1E1C">
        <w:t>s</w:t>
      </w:r>
      <w:r w:rsidR="002437AD" w:rsidRPr="00546B8B">
        <w:t xml:space="preserve"> </w:t>
      </w:r>
      <w:r w:rsidR="00A36F96">
        <w:t>did</w:t>
      </w:r>
      <w:r w:rsidR="00EA3945" w:rsidRPr="00546B8B">
        <w:t xml:space="preserve"> not expect</w:t>
      </w:r>
      <w:r w:rsidR="002437AD" w:rsidRPr="00546B8B">
        <w:t xml:space="preserve"> to benefit from extra extension services. </w:t>
      </w:r>
      <w:r w:rsidR="00EA3945" w:rsidRPr="00546B8B">
        <w:t>T</w:t>
      </w:r>
      <w:r w:rsidR="002437AD" w:rsidRPr="00546B8B">
        <w:t xml:space="preserve">he </w:t>
      </w:r>
      <w:r w:rsidRPr="00546B8B">
        <w:t xml:space="preserve">weakly significant </w:t>
      </w:r>
      <w:r w:rsidR="00EA3945" w:rsidRPr="00546B8B">
        <w:t>direct effect is negative</w:t>
      </w:r>
      <w:r w:rsidR="00E54017" w:rsidRPr="00546B8B">
        <w:t>.</w:t>
      </w:r>
      <w:r w:rsidRPr="00546B8B">
        <w:t xml:space="preserve"> However, </w:t>
      </w:r>
      <w:r w:rsidR="00E54017" w:rsidRPr="00546B8B">
        <w:t>respondents with higher incomes</w:t>
      </w:r>
      <w:r w:rsidRPr="00546B8B">
        <w:t xml:space="preserve"> prefer</w:t>
      </w:r>
      <w:r w:rsidR="00A36F96">
        <w:t>red</w:t>
      </w:r>
      <w:r w:rsidRPr="00546B8B">
        <w:t xml:space="preserve"> more extension services</w:t>
      </w:r>
      <w:r w:rsidR="002437AD" w:rsidRPr="00546B8B">
        <w:t>. Interactions with indicators for experience with extension services</w:t>
      </w:r>
      <w:r w:rsidR="00E54017" w:rsidRPr="00546B8B">
        <w:t xml:space="preserve"> or socio-demographic variables</w:t>
      </w:r>
      <w:r w:rsidR="002437AD" w:rsidRPr="00546B8B">
        <w:t xml:space="preserve"> were not significant in the model.</w:t>
      </w:r>
      <w:r w:rsidR="00361793" w:rsidRPr="00546B8B">
        <w:t xml:space="preserve"> </w:t>
      </w:r>
    </w:p>
    <w:p w14:paraId="1CAEC88E" w14:textId="4DF1793C" w:rsidR="008739D1" w:rsidRPr="00546B8B" w:rsidRDefault="00F96938" w:rsidP="00AF0C49">
      <w:pPr>
        <w:spacing w:after="120"/>
      </w:pPr>
      <w:r w:rsidRPr="00546B8B">
        <w:t xml:space="preserve">The </w:t>
      </w:r>
      <w:r w:rsidR="00E31F09">
        <w:t>alternative specific constant</w:t>
      </w:r>
      <w:r w:rsidR="006711B7" w:rsidRPr="00546B8B">
        <w:t>, which enters the model as a dummy variable with the value 1 for the opt-out and zero otherwise,</w:t>
      </w:r>
      <w:r w:rsidRPr="00546B8B">
        <w:t xml:space="preserve"> is </w:t>
      </w:r>
      <w:r w:rsidR="006711B7" w:rsidRPr="00546B8B">
        <w:t>negative</w:t>
      </w:r>
      <w:r w:rsidRPr="00546B8B">
        <w:t xml:space="preserve"> and significant, which suggests that respondents prefer</w:t>
      </w:r>
      <w:r w:rsidR="00E31F09">
        <w:t>red</w:t>
      </w:r>
      <w:r w:rsidRPr="00546B8B">
        <w:t xml:space="preserve"> participating in the </w:t>
      </w:r>
      <w:r w:rsidR="00541B8B">
        <w:t>tree-</w:t>
      </w:r>
      <w:r w:rsidR="00985349">
        <w:t>planting</w:t>
      </w:r>
      <w:r w:rsidR="00985349" w:rsidRPr="00546B8B">
        <w:t xml:space="preserve"> </w:t>
      </w:r>
      <w:r w:rsidRPr="00546B8B">
        <w:t>project over their current land use.</w:t>
      </w:r>
      <w:r w:rsidR="00EC5889" w:rsidRPr="00546B8B">
        <w:t xml:space="preserve"> However, as discussed below, the value of this parameter should be interpreted with caution.</w:t>
      </w:r>
    </w:p>
    <w:p w14:paraId="5FA32DD9" w14:textId="5FE2B6F4" w:rsidR="00127ECF" w:rsidRPr="00546B8B" w:rsidRDefault="00032ADD" w:rsidP="00AF0C49">
      <w:pPr>
        <w:pStyle w:val="NormalJustified"/>
        <w:spacing w:after="120"/>
        <w:rPr>
          <w:b/>
          <w:szCs w:val="22"/>
        </w:rPr>
      </w:pPr>
      <w:r w:rsidRPr="00546B8B">
        <w:rPr>
          <w:b/>
          <w:szCs w:val="22"/>
        </w:rPr>
        <w:t>4</w:t>
      </w:r>
      <w:r w:rsidR="00127ECF" w:rsidRPr="00546B8B">
        <w:rPr>
          <w:b/>
          <w:szCs w:val="22"/>
        </w:rPr>
        <w:t xml:space="preserve">.3 FGD </w:t>
      </w:r>
      <w:r w:rsidR="00AF0C49" w:rsidRPr="00546B8B">
        <w:rPr>
          <w:b/>
          <w:szCs w:val="22"/>
        </w:rPr>
        <w:t>Results</w:t>
      </w:r>
    </w:p>
    <w:p w14:paraId="1222C3AA" w14:textId="0D8C1B2B" w:rsidR="00127ECF" w:rsidRPr="00546B8B" w:rsidRDefault="00127ECF" w:rsidP="00AF0C49">
      <w:pPr>
        <w:autoSpaceDE w:val="0"/>
        <w:autoSpaceDN w:val="0"/>
        <w:adjustRightInd w:val="0"/>
        <w:spacing w:after="120"/>
      </w:pPr>
      <w:r w:rsidRPr="00546B8B">
        <w:t xml:space="preserve">The </w:t>
      </w:r>
      <w:r w:rsidR="00EC5889" w:rsidRPr="00546B8B">
        <w:t>key finding</w:t>
      </w:r>
      <w:r w:rsidRPr="00546B8B">
        <w:t xml:space="preserve"> of the FGD</w:t>
      </w:r>
      <w:r w:rsidR="00FF1201">
        <w:t>s</w:t>
      </w:r>
      <w:r w:rsidR="00D519D7">
        <w:t xml:space="preserve"> is that local farmers we</w:t>
      </w:r>
      <w:r w:rsidRPr="00546B8B">
        <w:t xml:space="preserve">re willing to cooperate in land use changes, </w:t>
      </w:r>
      <w:r w:rsidR="00601C7E" w:rsidRPr="00546B8B">
        <w:t xml:space="preserve">but only </w:t>
      </w:r>
      <w:r w:rsidRPr="00546B8B">
        <w:t xml:space="preserve">if </w:t>
      </w:r>
      <w:r w:rsidR="00601C7E" w:rsidRPr="00546B8B">
        <w:t>key</w:t>
      </w:r>
      <w:r w:rsidR="00D519D7">
        <w:t xml:space="preserve"> conditions we</w:t>
      </w:r>
      <w:r w:rsidRPr="00546B8B">
        <w:t>re met. Respondents (a) want</w:t>
      </w:r>
      <w:r w:rsidR="00601C7E" w:rsidRPr="00546B8B">
        <w:t>ed</w:t>
      </w:r>
      <w:r w:rsidRPr="00546B8B">
        <w:t xml:space="preserve"> to keep a </w:t>
      </w:r>
      <w:r w:rsidR="00764F6A" w:rsidRPr="00546B8B">
        <w:t>proportion</w:t>
      </w:r>
      <w:r w:rsidRPr="00546B8B">
        <w:t xml:space="preserve"> of their land to cultivate for own consumption and be self-sufficient in rice, (b) need</w:t>
      </w:r>
      <w:r w:rsidR="00601C7E" w:rsidRPr="00546B8B">
        <w:t>ed</w:t>
      </w:r>
      <w:r w:rsidRPr="00546B8B">
        <w:t xml:space="preserve"> continuous income during the transition period</w:t>
      </w:r>
      <w:r w:rsidR="00764F6A" w:rsidRPr="00546B8B">
        <w:t xml:space="preserve"> until trees reach maturity</w:t>
      </w:r>
      <w:r w:rsidRPr="00546B8B">
        <w:t>.</w:t>
      </w:r>
    </w:p>
    <w:p w14:paraId="3E02290A" w14:textId="6E483AE8" w:rsidR="00936693" w:rsidRPr="00546B8B" w:rsidRDefault="00D519D7" w:rsidP="003C1AFC">
      <w:pPr>
        <w:autoSpaceDE w:val="0"/>
        <w:autoSpaceDN w:val="0"/>
        <w:adjustRightInd w:val="0"/>
        <w:spacing w:after="120"/>
      </w:pPr>
      <w:r>
        <w:t>Farmers we</w:t>
      </w:r>
      <w:r w:rsidR="00127ECF" w:rsidRPr="00546B8B">
        <w:t>re generally willing to cooperate in land-use change developments that could be beneficial financially or otherwi</w:t>
      </w:r>
      <w:r>
        <w:t>se. Willingness to participate wa</w:t>
      </w:r>
      <w:r w:rsidR="00127ECF" w:rsidRPr="00546B8B">
        <w:t>s dependent on type and size of land owned</w:t>
      </w:r>
      <w:r w:rsidR="00095E97">
        <w:t>. F</w:t>
      </w:r>
      <w:r w:rsidR="00127ECF" w:rsidRPr="00546B8B">
        <w:t xml:space="preserve">armers with deeper peat </w:t>
      </w:r>
      <w:r w:rsidR="00A44B6C" w:rsidRPr="00546B8B">
        <w:t>expressed</w:t>
      </w:r>
      <w:r w:rsidR="00127ECF" w:rsidRPr="00546B8B">
        <w:t xml:space="preserve"> more positive</w:t>
      </w:r>
      <w:r w:rsidR="00A44B6C" w:rsidRPr="00546B8B">
        <w:t xml:space="preserve"> attitudes</w:t>
      </w:r>
      <w:r w:rsidR="00127ECF" w:rsidRPr="00546B8B">
        <w:t xml:space="preserve"> towards change</w:t>
      </w:r>
      <w:r w:rsidR="00313D60">
        <w:t xml:space="preserve"> because of the low productivity of their land</w:t>
      </w:r>
      <w:r w:rsidR="00095E97">
        <w:t>. F</w:t>
      </w:r>
      <w:r w:rsidR="00936693" w:rsidRPr="00546B8B">
        <w:t>armers with small plots preferred to maximise crop production</w:t>
      </w:r>
      <w:r w:rsidR="00313D60">
        <w:t xml:space="preserve"> rather than tree-planting,</w:t>
      </w:r>
      <w:r w:rsidR="00936693" w:rsidRPr="00546B8B">
        <w:t xml:space="preserve"> to satisfy their household needs</w:t>
      </w:r>
      <w:r w:rsidR="00095E97">
        <w:t>, whilst farmers with larger plots often planted multiple crops and trees</w:t>
      </w:r>
      <w:r w:rsidR="00127ECF" w:rsidRPr="00546B8B">
        <w:t xml:space="preserve">. </w:t>
      </w:r>
      <w:r w:rsidR="00095E97">
        <w:t>At least a quarter of</w:t>
      </w:r>
      <w:r w:rsidR="00095E97" w:rsidRPr="00546B8B">
        <w:t xml:space="preserve"> </w:t>
      </w:r>
      <w:r w:rsidR="00095E97">
        <w:t xml:space="preserve">the villages had access to nearby </w:t>
      </w:r>
      <w:r w:rsidR="00095E97" w:rsidRPr="00546B8B">
        <w:t>peatland forest</w:t>
      </w:r>
      <w:r w:rsidR="00095E97">
        <w:t>, where the participants would collect</w:t>
      </w:r>
      <w:r w:rsidR="00936693" w:rsidRPr="00546B8B">
        <w:t xml:space="preserve"> local</w:t>
      </w:r>
      <w:r w:rsidR="00127ECF" w:rsidRPr="00546B8B">
        <w:t xml:space="preserve"> timber and NTFP </w:t>
      </w:r>
      <w:r w:rsidR="00936693" w:rsidRPr="00546B8B">
        <w:t>species</w:t>
      </w:r>
      <w:r w:rsidR="00127ECF" w:rsidRPr="00546B8B">
        <w:t>, usually without any restriction. Therefore, investing in planting local species on farmland did not generate much support</w:t>
      </w:r>
      <w:r w:rsidR="00A44B6C" w:rsidRPr="00546B8B">
        <w:t xml:space="preserve"> among the FGD respondents</w:t>
      </w:r>
      <w:r w:rsidR="003C1AFC" w:rsidRPr="00546B8B">
        <w:t xml:space="preserve"> in first instance</w:t>
      </w:r>
      <w:r w:rsidR="00127ECF" w:rsidRPr="00546B8B">
        <w:t xml:space="preserve">. </w:t>
      </w:r>
    </w:p>
    <w:p w14:paraId="283716F4" w14:textId="347BFBB5" w:rsidR="00936693" w:rsidRPr="00546B8B" w:rsidRDefault="00127ECF" w:rsidP="00A44B6C">
      <w:pPr>
        <w:autoSpaceDE w:val="0"/>
        <w:autoSpaceDN w:val="0"/>
        <w:adjustRightInd w:val="0"/>
        <w:spacing w:after="120"/>
      </w:pPr>
      <w:r w:rsidRPr="00546B8B">
        <w:t xml:space="preserve">Willingness to change </w:t>
      </w:r>
      <w:r w:rsidR="00936693" w:rsidRPr="00546B8B">
        <w:t>land use</w:t>
      </w:r>
      <w:r w:rsidRPr="00546B8B">
        <w:t xml:space="preserve"> was dependent on </w:t>
      </w:r>
      <w:r w:rsidR="00936693" w:rsidRPr="00546B8B">
        <w:t xml:space="preserve">two requirements: the changes had to be beneficial to the farmers, mostly conceptualised as profitable, and secondly, stable and continuous food and income supply had to be guaranteed. </w:t>
      </w:r>
      <w:r w:rsidR="00764F6A" w:rsidRPr="00546B8B">
        <w:t xml:space="preserve">Participants carefully evaluated the short and long-term impacts on income. In five villages, self-sufficiency in rice, the staple crop, was considered very important and irreplaceable. When only half the land would have to be </w:t>
      </w:r>
      <w:r w:rsidR="00985349">
        <w:t>planted with trees</w:t>
      </w:r>
      <w:r w:rsidR="00313D60">
        <w:t>, or when other crops could be grown in between young trees until those reached maturity</w:t>
      </w:r>
      <w:r w:rsidR="00764F6A" w:rsidRPr="00546B8B">
        <w:t>, farmers were willing to enter an agreement</w:t>
      </w:r>
      <w:r w:rsidR="00313D60">
        <w:t xml:space="preserve">. Most </w:t>
      </w:r>
      <w:r w:rsidR="008E4521">
        <w:t>participants</w:t>
      </w:r>
      <w:r w:rsidR="00313D60">
        <w:t xml:space="preserve"> would agree to plant trees on unused land, but a minority of participants claimed that fallow land would be taken into production in the future</w:t>
      </w:r>
      <w:r w:rsidR="00764F6A" w:rsidRPr="00546B8B">
        <w:t>. Farmers expressed concerns about their cro</w:t>
      </w:r>
      <w:r w:rsidR="00D519D7">
        <w:t>p yields on wet and acidic peat</w:t>
      </w:r>
      <w:r w:rsidR="00764F6A" w:rsidRPr="00546B8B">
        <w:t>land when canals would be blocked, the limited availability of markets and profitability of native tree products, the high initial costs</w:t>
      </w:r>
      <w:r w:rsidR="00A46132">
        <w:t xml:space="preserve"> of tree-planting</w:t>
      </w:r>
      <w:r w:rsidR="00764F6A" w:rsidRPr="00546B8B">
        <w:t xml:space="preserve"> until tree mat</w:t>
      </w:r>
      <w:r w:rsidR="005043B9" w:rsidRPr="00546B8B">
        <w:t>urity.</w:t>
      </w:r>
    </w:p>
    <w:p w14:paraId="5733C6F6" w14:textId="3A0DDD3C" w:rsidR="00A525C7" w:rsidRPr="00546B8B" w:rsidRDefault="00A44B6C" w:rsidP="00A44B6C">
      <w:pPr>
        <w:autoSpaceDE w:val="0"/>
        <w:autoSpaceDN w:val="0"/>
        <w:adjustRightInd w:val="0"/>
        <w:spacing w:after="120"/>
      </w:pPr>
      <w:r w:rsidRPr="00546B8B">
        <w:t>Drainage c</w:t>
      </w:r>
      <w:r w:rsidR="00127ECF" w:rsidRPr="00546B8B">
        <w:t xml:space="preserve">anals and fire </w:t>
      </w:r>
      <w:r w:rsidRPr="00546B8B">
        <w:t>were</w:t>
      </w:r>
      <w:r w:rsidR="00127ECF" w:rsidRPr="00546B8B">
        <w:t xml:space="preserve"> perceiv</w:t>
      </w:r>
      <w:r w:rsidRPr="00546B8B">
        <w:t xml:space="preserve">ed as essential for </w:t>
      </w:r>
      <w:r w:rsidR="00127ECF" w:rsidRPr="00546B8B">
        <w:t>cultivation</w:t>
      </w:r>
      <w:r w:rsidR="00887374">
        <w:t>; farming without them</w:t>
      </w:r>
      <w:r w:rsidR="00127ECF" w:rsidRPr="00546B8B">
        <w:t xml:space="preserve"> </w:t>
      </w:r>
      <w:r w:rsidRPr="00546B8B">
        <w:t>was</w:t>
      </w:r>
      <w:r w:rsidR="00127ECF" w:rsidRPr="00546B8B">
        <w:t xml:space="preserve"> </w:t>
      </w:r>
      <w:r w:rsidRPr="00546B8B">
        <w:t>perceived to be</w:t>
      </w:r>
      <w:r w:rsidR="00127ECF" w:rsidRPr="00546B8B">
        <w:t xml:space="preserve"> </w:t>
      </w:r>
      <w:r w:rsidR="00A70108" w:rsidRPr="00546B8B">
        <w:t xml:space="preserve">hardly </w:t>
      </w:r>
      <w:r w:rsidR="00127ECF" w:rsidRPr="00546B8B">
        <w:t xml:space="preserve">possible. </w:t>
      </w:r>
      <w:bookmarkStart w:id="7" w:name="_Hlk484100725"/>
      <w:r w:rsidR="009E13BE">
        <w:t>The FGD</w:t>
      </w:r>
      <w:r w:rsidR="004C5489">
        <w:t>s</w:t>
      </w:r>
      <w:r w:rsidR="009E13BE">
        <w:t xml:space="preserve"> revealed t</w:t>
      </w:r>
      <w:r w:rsidR="00D519D7">
        <w:t xml:space="preserve">hat </w:t>
      </w:r>
      <w:proofErr w:type="spellStart"/>
      <w:r w:rsidR="00D519D7">
        <w:t>transmigrant</w:t>
      </w:r>
      <w:proofErr w:type="spellEnd"/>
      <w:r w:rsidR="00D519D7">
        <w:t xml:space="preserve"> communities mad</w:t>
      </w:r>
      <w:r w:rsidR="009E13BE">
        <w:t xml:space="preserve">e more use of canals than Dayak communities. Dayak traditional farming methods are not based on canals, yet their response to building dams was as negative as </w:t>
      </w:r>
      <w:proofErr w:type="spellStart"/>
      <w:r w:rsidR="009E13BE">
        <w:t>transmigrants’</w:t>
      </w:r>
      <w:proofErr w:type="spellEnd"/>
      <w:r w:rsidR="009E13BE">
        <w:t xml:space="preserve"> reactions: the initial understanding was that dams would increase flood risk.</w:t>
      </w:r>
      <w:bookmarkEnd w:id="7"/>
      <w:r w:rsidR="009E13BE">
        <w:t xml:space="preserve"> </w:t>
      </w:r>
      <w:r w:rsidR="00127ECF" w:rsidRPr="00546B8B">
        <w:t xml:space="preserve">However, farmers were indifferent between existing and alternative </w:t>
      </w:r>
      <w:r w:rsidRPr="00546B8B">
        <w:t>methods of drainage</w:t>
      </w:r>
      <w:r w:rsidR="00127ECF" w:rsidRPr="00546B8B">
        <w:t xml:space="preserve"> and fertilization. </w:t>
      </w:r>
      <w:r w:rsidRPr="00546B8B">
        <w:t>Respondents were willing to</w:t>
      </w:r>
      <w:r w:rsidR="00127ECF" w:rsidRPr="00546B8B">
        <w:t xml:space="preserve"> </w:t>
      </w:r>
      <w:r w:rsidR="00A525C7" w:rsidRPr="00546B8B">
        <w:t>accept</w:t>
      </w:r>
      <w:r w:rsidR="00127ECF" w:rsidRPr="00546B8B">
        <w:t xml:space="preserve"> building </w:t>
      </w:r>
      <w:r w:rsidR="00A525C7" w:rsidRPr="00546B8B">
        <w:t xml:space="preserve">of dams in canals, but only if those </w:t>
      </w:r>
      <w:r w:rsidR="00A525C7" w:rsidRPr="00546B8B">
        <w:lastRenderedPageBreak/>
        <w:t xml:space="preserve">could be opened to avoid flooding and </w:t>
      </w:r>
      <w:r w:rsidR="00D519D7">
        <w:t xml:space="preserve">would </w:t>
      </w:r>
      <w:r w:rsidR="00A525C7" w:rsidRPr="00546B8B">
        <w:t xml:space="preserve">allow farmers to regulate their water table. </w:t>
      </w:r>
      <w:r w:rsidR="00A46132">
        <w:t>Dams c</w:t>
      </w:r>
      <w:r w:rsidR="00A525C7" w:rsidRPr="00546B8B">
        <w:t>ould raise the water table and reduce the risk of peat fires in the dry season.</w:t>
      </w:r>
      <w:r w:rsidR="00887374">
        <w:t xml:space="preserve"> </w:t>
      </w:r>
    </w:p>
    <w:p w14:paraId="0606ED6E" w14:textId="6FCBD24A" w:rsidR="00127ECF" w:rsidRPr="00546B8B" w:rsidRDefault="00A525C7" w:rsidP="00A44B6C">
      <w:pPr>
        <w:autoSpaceDE w:val="0"/>
        <w:autoSpaceDN w:val="0"/>
        <w:adjustRightInd w:val="0"/>
        <w:spacing w:after="120"/>
      </w:pPr>
      <w:r w:rsidRPr="00546B8B">
        <w:t>The perception of peatland fire frequency varied across villages, but in all villages respondents were aware of the negative impacts of fire, with health issues regarded as the biggest threat</w:t>
      </w:r>
      <w:r w:rsidR="00887374">
        <w:t>. Awareness of the relationship between dry peat and fires was limited</w:t>
      </w:r>
      <w:r w:rsidRPr="00546B8B">
        <w:t>. Despite the ban on fire, two thirds of the villages still used fire on their land, mainly for clearing and generating ashes to improve soil fertility.</w:t>
      </w:r>
      <w:r w:rsidR="00887374">
        <w:t xml:space="preserve"> </w:t>
      </w:r>
      <w:bookmarkStart w:id="8" w:name="_Hlk484100746"/>
      <w:r w:rsidR="00887374">
        <w:t xml:space="preserve">Except for one village, all </w:t>
      </w:r>
      <w:proofErr w:type="spellStart"/>
      <w:r w:rsidR="002F28B6">
        <w:t>transmigrant</w:t>
      </w:r>
      <w:proofErr w:type="spellEnd"/>
      <w:r w:rsidR="00887374">
        <w:t xml:space="preserve"> communities </w:t>
      </w:r>
      <w:r w:rsidR="002F28B6">
        <w:t xml:space="preserve">continued the use of fire, compared to three out </w:t>
      </w:r>
      <w:r w:rsidR="00A46132">
        <w:t xml:space="preserve">of </w:t>
      </w:r>
      <w:r w:rsidR="002F28B6">
        <w:t>seven Dayak villages. Three of the four non-burning Dayak communities stopped using fire after the ban on fire out of fear of penalties</w:t>
      </w:r>
      <w:r w:rsidR="00095E97">
        <w:t>,</w:t>
      </w:r>
      <w:r w:rsidR="00A46132">
        <w:t xml:space="preserve"> and</w:t>
      </w:r>
      <w:r w:rsidR="00095E97">
        <w:t xml:space="preserve"> the fourth had stopped using fire long before the ban</w:t>
      </w:r>
      <w:r w:rsidR="002F28B6">
        <w:t>.</w:t>
      </w:r>
      <w:r w:rsidRPr="00546B8B">
        <w:t xml:space="preserve"> </w:t>
      </w:r>
      <w:bookmarkEnd w:id="8"/>
      <w:r w:rsidRPr="00546B8B">
        <w:t xml:space="preserve">Farmers explained that they </w:t>
      </w:r>
      <w:r w:rsidR="002F28B6">
        <w:t xml:space="preserve">continued using fire, </w:t>
      </w:r>
      <w:r w:rsidR="00095E97">
        <w:t>with</w:t>
      </w:r>
      <w:r w:rsidR="002F28B6">
        <w:t xml:space="preserve"> controlled techniques, because they </w:t>
      </w:r>
      <w:r w:rsidRPr="00546B8B">
        <w:t xml:space="preserve">had no other means to feed their families and cultivate their land. Villages that had stopped fire use </w:t>
      </w:r>
      <w:r w:rsidR="002F28B6">
        <w:t>claimed to have</w:t>
      </w:r>
      <w:r w:rsidRPr="00546B8B">
        <w:t xml:space="preserve"> experienced considerable</w:t>
      </w:r>
      <w:r w:rsidR="002F28B6">
        <w:t xml:space="preserve"> income</w:t>
      </w:r>
      <w:r w:rsidRPr="00546B8B">
        <w:t xml:space="preserve"> loss</w:t>
      </w:r>
      <w:r w:rsidR="002F28B6">
        <w:t>es</w:t>
      </w:r>
      <w:r w:rsidRPr="00546B8B">
        <w:t>, up to 75%</w:t>
      </w:r>
      <w:r w:rsidR="002F28B6">
        <w:t>. In two villages, former farmers tried to provide in their livelihood through fishing</w:t>
      </w:r>
      <w:r w:rsidRPr="00546B8B">
        <w:t xml:space="preserve">. However, villages still using fire were willing to </w:t>
      </w:r>
      <w:r w:rsidR="00A44B6C" w:rsidRPr="00546B8B">
        <w:t xml:space="preserve">accept a </w:t>
      </w:r>
      <w:r w:rsidR="00127ECF" w:rsidRPr="00546B8B">
        <w:t>ban</w:t>
      </w:r>
      <w:r w:rsidR="00A44B6C" w:rsidRPr="00546B8B">
        <w:t xml:space="preserve"> on</w:t>
      </w:r>
      <w:r w:rsidR="00127ECF" w:rsidRPr="00546B8B">
        <w:t xml:space="preserve"> fire, </w:t>
      </w:r>
      <w:proofErr w:type="gramStart"/>
      <w:r w:rsidR="00127ECF" w:rsidRPr="00546B8B">
        <w:t>as long as</w:t>
      </w:r>
      <w:proofErr w:type="gramEnd"/>
      <w:r w:rsidR="00127ECF" w:rsidRPr="00546B8B">
        <w:t xml:space="preserve"> </w:t>
      </w:r>
      <w:r w:rsidRPr="00546B8B">
        <w:t>training in alternative fire-free</w:t>
      </w:r>
      <w:r w:rsidR="00127ECF" w:rsidRPr="00546B8B">
        <w:t xml:space="preserve"> methods</w:t>
      </w:r>
      <w:r w:rsidR="00D519D7">
        <w:t>,</w:t>
      </w:r>
      <w:r w:rsidR="00936693" w:rsidRPr="00546B8B">
        <w:t xml:space="preserve"> tools and fertiliser would be offered</w:t>
      </w:r>
      <w:r w:rsidR="00127ECF" w:rsidRPr="00546B8B">
        <w:t xml:space="preserve">. </w:t>
      </w:r>
    </w:p>
    <w:p w14:paraId="570D0C34" w14:textId="074B4700" w:rsidR="00764F6A" w:rsidRPr="00546B8B" w:rsidRDefault="00A44B6C" w:rsidP="001F4242">
      <w:pPr>
        <w:spacing w:after="120"/>
      </w:pPr>
      <w:proofErr w:type="gramStart"/>
      <w:r w:rsidRPr="00546B8B">
        <w:t>The majority of</w:t>
      </w:r>
      <w:proofErr w:type="gramEnd"/>
      <w:r w:rsidRPr="00546B8B">
        <w:t xml:space="preserve"> the participants</w:t>
      </w:r>
      <w:r w:rsidR="00127ECF" w:rsidRPr="00546B8B">
        <w:t xml:space="preserve"> would accept loan-grant schemes</w:t>
      </w:r>
      <w:r w:rsidR="00764F6A" w:rsidRPr="00546B8B">
        <w:t>, but their willingness was dependent on knowledge,</w:t>
      </w:r>
      <w:r w:rsidR="00127ECF" w:rsidRPr="00546B8B">
        <w:t xml:space="preserve"> </w:t>
      </w:r>
      <w:r w:rsidRPr="00546B8B">
        <w:t>compensation for</w:t>
      </w:r>
      <w:r w:rsidR="00127ECF" w:rsidRPr="00546B8B">
        <w:t xml:space="preserve"> </w:t>
      </w:r>
      <w:r w:rsidRPr="00546B8B">
        <w:t xml:space="preserve">the </w:t>
      </w:r>
      <w:r w:rsidR="00127ECF" w:rsidRPr="00546B8B">
        <w:t>perceiv</w:t>
      </w:r>
      <w:r w:rsidR="00D519D7">
        <w:t xml:space="preserve">ed costs of a change in land </w:t>
      </w:r>
      <w:r w:rsidR="00764F6A" w:rsidRPr="00546B8B">
        <w:t>use, and trust</w:t>
      </w:r>
      <w:r w:rsidR="00D519D7">
        <w:t>. Compensation wa</w:t>
      </w:r>
      <w:r w:rsidR="00127ECF" w:rsidRPr="00546B8B">
        <w:t>s especially needed to o</w:t>
      </w:r>
      <w:r w:rsidR="00D519D7">
        <w:t>vercome the period until trees we</w:t>
      </w:r>
      <w:r w:rsidR="00127ECF" w:rsidRPr="00546B8B">
        <w:t xml:space="preserve">re fully </w:t>
      </w:r>
      <w:r w:rsidRPr="00546B8B">
        <w:t xml:space="preserve">grown. </w:t>
      </w:r>
      <w:r w:rsidR="00764F6A" w:rsidRPr="00546B8B">
        <w:t xml:space="preserve">Money was not the only form of compensation needed, but most respondents wanted at least a part in cash. Fertilisers, </w:t>
      </w:r>
      <w:r w:rsidR="001F4242">
        <w:t>lime</w:t>
      </w:r>
      <w:r w:rsidR="001F4242" w:rsidRPr="00546B8B">
        <w:t xml:space="preserve"> </w:t>
      </w:r>
      <w:r w:rsidR="00764F6A" w:rsidRPr="00546B8B">
        <w:t xml:space="preserve">(to increase </w:t>
      </w:r>
      <w:r w:rsidR="009019EF">
        <w:t>pH</w:t>
      </w:r>
      <w:r w:rsidR="00764F6A" w:rsidRPr="00546B8B">
        <w:t xml:space="preserve"> levels), pesticides and tools were preferred as substitutes for the use of fire. </w:t>
      </w:r>
      <w:r w:rsidR="00157462" w:rsidRPr="00546B8B">
        <w:t>When discussing the loan-credit scheme as offered in the CE, participants considered the financial compensation period of 5 years too short and suggested to prolong the period to 10-15 years to match the period it takes for trees to mature and the limited income they would generate in the meantime. Participants were interested in training opportunities, such as firefighting workshops that would help them to protect crops and homes.</w:t>
      </w:r>
      <w:r w:rsidR="00A70108" w:rsidRPr="00546B8B">
        <w:t xml:space="preserve"> However, </w:t>
      </w:r>
      <w:r w:rsidR="009019EF" w:rsidRPr="00546B8B">
        <w:t>in contrast to what NGOs seem to promote as best practice</w:t>
      </w:r>
      <w:r w:rsidR="009019EF">
        <w:t>,</w:t>
      </w:r>
      <w:r w:rsidR="009019EF" w:rsidRPr="00546B8B">
        <w:t xml:space="preserve"> </w:t>
      </w:r>
      <w:r w:rsidR="00A70108" w:rsidRPr="00546B8B">
        <w:t xml:space="preserve">training on environmental issues or responding to environmental changes were not mentioned </w:t>
      </w:r>
      <w:r w:rsidR="008E4521">
        <w:t>as being essential or desirable</w:t>
      </w:r>
      <w:r w:rsidR="00A70108" w:rsidRPr="00546B8B">
        <w:t>.</w:t>
      </w:r>
    </w:p>
    <w:p w14:paraId="1968D246" w14:textId="186D25F3" w:rsidR="00A70108" w:rsidRPr="00546B8B" w:rsidRDefault="00157462" w:rsidP="00A70108">
      <w:pPr>
        <w:spacing w:after="120"/>
      </w:pPr>
      <w:r w:rsidRPr="00546B8B">
        <w:t xml:space="preserve">The main source of scepticism about the loan-credit scheme or other financial compensation mechanisms among </w:t>
      </w:r>
      <w:r w:rsidR="00A44B6C" w:rsidRPr="00546B8B">
        <w:t>FG</w:t>
      </w:r>
      <w:r w:rsidR="006E129F" w:rsidRPr="00546B8B">
        <w:t>D</w:t>
      </w:r>
      <w:r w:rsidR="00A44B6C" w:rsidRPr="00546B8B">
        <w:t xml:space="preserve"> </w:t>
      </w:r>
      <w:r w:rsidRPr="00546B8B">
        <w:t>participants was</w:t>
      </w:r>
      <w:r w:rsidR="00127ECF" w:rsidRPr="00546B8B">
        <w:t xml:space="preserve"> fear of corruption. Paying co</w:t>
      </w:r>
      <w:r w:rsidR="00A44B6C" w:rsidRPr="00546B8B">
        <w:t>mpensation directly to farmers wa</w:t>
      </w:r>
      <w:r w:rsidR="00127ECF" w:rsidRPr="00546B8B">
        <w:t>s</w:t>
      </w:r>
      <w:r w:rsidR="00A44B6C" w:rsidRPr="00546B8B">
        <w:t xml:space="preserve"> considered</w:t>
      </w:r>
      <w:r w:rsidR="00127ECF" w:rsidRPr="00546B8B">
        <w:t xml:space="preserve"> essential. </w:t>
      </w:r>
      <w:r w:rsidRPr="00546B8B">
        <w:t>Participants explained that in their experience, middlemen (including village heads) tend to take up to half of the money from allowances and agricultural subsidies or other activities.</w:t>
      </w:r>
      <w:r w:rsidR="008A0BBC" w:rsidRPr="00546B8B">
        <w:t xml:space="preserve"> T</w:t>
      </w:r>
      <w:r w:rsidR="006D10A5" w:rsidRPr="00546B8B">
        <w:t>he participants did not express that a lack of t</w:t>
      </w:r>
      <w:r w:rsidR="008A0BBC" w:rsidRPr="00546B8B">
        <w:t>rust among different community members</w:t>
      </w:r>
      <w:r w:rsidR="00A70108" w:rsidRPr="00546B8B">
        <w:t xml:space="preserve"> </w:t>
      </w:r>
      <w:r w:rsidR="00D519D7">
        <w:t>or</w:t>
      </w:r>
      <w:r w:rsidR="00A70108" w:rsidRPr="00546B8B">
        <w:t xml:space="preserve"> towards the loan provider </w:t>
      </w:r>
      <w:r w:rsidR="006D10A5" w:rsidRPr="00546B8B">
        <w:t>was a pro</w:t>
      </w:r>
      <w:r w:rsidR="008A0BBC" w:rsidRPr="00546B8B">
        <w:t xml:space="preserve">blem. </w:t>
      </w:r>
      <w:r w:rsidR="00A70108" w:rsidRPr="00546B8B">
        <w:t>The FGD results did not demonstrate differences in attitudes, motives and perceptions between communities of different ethnic background</w:t>
      </w:r>
      <w:r w:rsidR="00F12FD0" w:rsidRPr="00546B8B">
        <w:t xml:space="preserve"> in this respect</w:t>
      </w:r>
      <w:r w:rsidR="00A70108" w:rsidRPr="00546B8B">
        <w:t>.</w:t>
      </w:r>
      <w:r w:rsidR="006D10A5" w:rsidRPr="00546B8B">
        <w:t xml:space="preserve"> The FGD introduction mentioned that the study was to</w:t>
      </w:r>
      <w:r w:rsidR="00BC691C">
        <w:t xml:space="preserve"> be</w:t>
      </w:r>
      <w:r w:rsidR="006D10A5" w:rsidRPr="00546B8B">
        <w:t xml:space="preserve"> implemented on behalf of CKP</w:t>
      </w:r>
      <w:r w:rsidR="001E02E9">
        <w:t>P</w:t>
      </w:r>
      <w:r w:rsidR="006D10A5" w:rsidRPr="00546B8B">
        <w:t>, who would also act as the loan provider, which may have biased these results despite our efforts to create a safe discussion environment.</w:t>
      </w:r>
    </w:p>
    <w:p w14:paraId="2B7A21FB" w14:textId="54A71E89" w:rsidR="00032ADD" w:rsidRPr="001E3755" w:rsidRDefault="002E400C" w:rsidP="00AF0C49">
      <w:pPr>
        <w:spacing w:after="120"/>
      </w:pPr>
      <w:r w:rsidRPr="00546B8B">
        <w:t xml:space="preserve">When asked questions about </w:t>
      </w:r>
      <w:r w:rsidR="00A44B6C" w:rsidRPr="00546B8B">
        <w:t>the</w:t>
      </w:r>
      <w:r w:rsidR="00127ECF" w:rsidRPr="00546B8B">
        <w:t xml:space="preserve"> threats </w:t>
      </w:r>
      <w:r w:rsidR="00A44B6C" w:rsidRPr="00546B8B">
        <w:t xml:space="preserve">to the peatland forests, </w:t>
      </w:r>
      <w:r w:rsidRPr="00546B8B">
        <w:t xml:space="preserve">the </w:t>
      </w:r>
      <w:r w:rsidR="00127ECF" w:rsidRPr="00546B8B">
        <w:t>causes</w:t>
      </w:r>
      <w:r w:rsidR="00A44B6C" w:rsidRPr="00546B8B">
        <w:t xml:space="preserve"> of environmental problems</w:t>
      </w:r>
      <w:r w:rsidR="00127ECF" w:rsidRPr="00546B8B">
        <w:t xml:space="preserve">, the </w:t>
      </w:r>
      <w:r w:rsidR="00A44B6C" w:rsidRPr="00546B8B">
        <w:t>ecosystem</w:t>
      </w:r>
      <w:r w:rsidR="00127ECF" w:rsidRPr="00546B8B">
        <w:t xml:space="preserve"> services peatlands provide, and the connection between human activities and the state of natural resources</w:t>
      </w:r>
      <w:r w:rsidRPr="00546B8B">
        <w:t xml:space="preserve">, the FGD participants’ answers suggested </w:t>
      </w:r>
      <w:r w:rsidR="002E4B9B" w:rsidRPr="00546B8B">
        <w:t>some</w:t>
      </w:r>
      <w:r w:rsidRPr="00546B8B">
        <w:t xml:space="preserve"> familiarity with these topics</w:t>
      </w:r>
      <w:r w:rsidR="009E13BE">
        <w:t>. N</w:t>
      </w:r>
      <w:r w:rsidR="00F30733" w:rsidRPr="00546B8B">
        <w:t>o in-depth understanding</w:t>
      </w:r>
      <w:r w:rsidR="009E13BE">
        <w:t xml:space="preserve"> was present</w:t>
      </w:r>
      <w:r w:rsidR="00F30733" w:rsidRPr="00546B8B">
        <w:t xml:space="preserve"> of the importance of rewetting peatlands for flood risk reduction</w:t>
      </w:r>
      <w:r w:rsidR="009E13BE">
        <w:t>,</w:t>
      </w:r>
      <w:r w:rsidR="00F30733" w:rsidRPr="00546B8B">
        <w:t xml:space="preserve"> the potential benefits of solutions such as dams</w:t>
      </w:r>
      <w:r w:rsidR="009E13BE">
        <w:t>, the link between peatland fire and drainage, and wider ecosystem services such as health benefits</w:t>
      </w:r>
      <w:r w:rsidR="00127ECF" w:rsidRPr="00546B8B">
        <w:t xml:space="preserve">. </w:t>
      </w:r>
      <w:r w:rsidR="00032ADD" w:rsidRPr="00546B8B">
        <w:t xml:space="preserve">This knowledge gap </w:t>
      </w:r>
      <w:r w:rsidRPr="00546B8B">
        <w:t>amongst participants</w:t>
      </w:r>
      <w:r w:rsidR="00032ADD" w:rsidRPr="00546B8B">
        <w:t xml:space="preserve"> initially limited </w:t>
      </w:r>
      <w:r w:rsidRPr="00546B8B">
        <w:t xml:space="preserve">their </w:t>
      </w:r>
      <w:r w:rsidR="00032ADD" w:rsidRPr="00546B8B">
        <w:t xml:space="preserve">support for various peatland restoration activities. However, whenever information about these environmental </w:t>
      </w:r>
      <w:r w:rsidR="00032ADD" w:rsidRPr="00546B8B">
        <w:lastRenderedPageBreak/>
        <w:t xml:space="preserve">issues was provided during the </w:t>
      </w:r>
      <w:r w:rsidRPr="00546B8B">
        <w:t>FGDs</w:t>
      </w:r>
      <w:r w:rsidR="00032ADD" w:rsidRPr="00546B8B">
        <w:t xml:space="preserve">, major changes in attitudes followed, and support increased. </w:t>
      </w:r>
      <w:r w:rsidR="00127ECF" w:rsidRPr="00546B8B">
        <w:t>This mirrors the results of Alvarez-</w:t>
      </w:r>
      <w:proofErr w:type="spellStart"/>
      <w:r w:rsidR="00127ECF" w:rsidRPr="00546B8B">
        <w:t>Farizo</w:t>
      </w:r>
      <w:proofErr w:type="spellEnd"/>
      <w:r w:rsidR="00127ECF" w:rsidRPr="00546B8B">
        <w:t xml:space="preserve"> and Hanley (2006), which also </w:t>
      </w:r>
      <w:r w:rsidR="00032ADD" w:rsidRPr="00546B8B">
        <w:t>show</w:t>
      </w:r>
      <w:r w:rsidR="001E02E9">
        <w:t>ed</w:t>
      </w:r>
      <w:r w:rsidR="00127ECF" w:rsidRPr="00546B8B">
        <w:t xml:space="preserve"> changes in preferences when respondents </w:t>
      </w:r>
      <w:r w:rsidRPr="00546B8B">
        <w:t>can</w:t>
      </w:r>
      <w:r w:rsidR="00127ECF" w:rsidRPr="00546B8B">
        <w:t xml:space="preserve"> interact. </w:t>
      </w:r>
      <w:r w:rsidR="006C4B7B" w:rsidRPr="001E3755">
        <w:t xml:space="preserve">Although the impact of such changes in attitudes and the permanence of such changes is beyond the scope of this paper, this finding suggests that discussions and other forms of deliberation </w:t>
      </w:r>
      <w:r w:rsidR="00F30733" w:rsidRPr="001E3755">
        <w:t>influence the</w:t>
      </w:r>
      <w:r w:rsidR="006C4B7B" w:rsidRPr="001E3755">
        <w:t xml:space="preserve"> understanding of ecosystem services </w:t>
      </w:r>
      <w:r w:rsidR="00F30733" w:rsidRPr="001E3755">
        <w:t>and their</w:t>
      </w:r>
      <w:r w:rsidR="006C4B7B" w:rsidRPr="001E3755">
        <w:t xml:space="preserve"> sustainable management</w:t>
      </w:r>
      <w:r w:rsidR="00F30733" w:rsidRPr="001E3755">
        <w:t xml:space="preserve">, and </w:t>
      </w:r>
      <w:r w:rsidR="001E02E9">
        <w:t>can</w:t>
      </w:r>
      <w:r w:rsidR="00F30733" w:rsidRPr="001E3755">
        <w:t xml:space="preserve"> thereby increase public support for such interventions</w:t>
      </w:r>
      <w:r w:rsidR="006C4B7B" w:rsidRPr="001E3755">
        <w:t>.</w:t>
      </w:r>
    </w:p>
    <w:p w14:paraId="77EDD911" w14:textId="77777777" w:rsidR="00AF0C49" w:rsidRPr="001E3755" w:rsidRDefault="00AF0C49" w:rsidP="00AF0C49">
      <w:pPr>
        <w:spacing w:after="120"/>
      </w:pPr>
    </w:p>
    <w:p w14:paraId="16F4F5A4" w14:textId="43D88A64" w:rsidR="00847F9B" w:rsidRPr="001E3755" w:rsidRDefault="00032ADD" w:rsidP="00AF0C49">
      <w:pPr>
        <w:pStyle w:val="NormalJustified"/>
        <w:spacing w:after="120"/>
        <w:rPr>
          <w:b/>
          <w:szCs w:val="22"/>
        </w:rPr>
      </w:pPr>
      <w:r w:rsidRPr="001E3755">
        <w:rPr>
          <w:b/>
          <w:szCs w:val="22"/>
        </w:rPr>
        <w:t>5</w:t>
      </w:r>
      <w:r w:rsidR="00497008" w:rsidRPr="001E3755">
        <w:rPr>
          <w:b/>
          <w:szCs w:val="22"/>
        </w:rPr>
        <w:t>.</w:t>
      </w:r>
      <w:r w:rsidRPr="001E3755">
        <w:rPr>
          <w:b/>
          <w:szCs w:val="22"/>
        </w:rPr>
        <w:t xml:space="preserve"> DISCUSSION</w:t>
      </w:r>
    </w:p>
    <w:p w14:paraId="2A848B15" w14:textId="20A945ED" w:rsidR="00032ADD" w:rsidRPr="001E3755" w:rsidRDefault="00847F9B" w:rsidP="00AF0C49">
      <w:pPr>
        <w:pStyle w:val="NormalJustified"/>
        <w:spacing w:after="120"/>
        <w:rPr>
          <w:b/>
          <w:szCs w:val="22"/>
        </w:rPr>
      </w:pPr>
      <w:r w:rsidRPr="001E3755">
        <w:rPr>
          <w:b/>
          <w:szCs w:val="22"/>
        </w:rPr>
        <w:t>5.1 Do the CE and FGDs lead to similar policy recommendations?</w:t>
      </w:r>
      <w:r w:rsidR="00032ADD" w:rsidRPr="001E3755">
        <w:rPr>
          <w:b/>
          <w:szCs w:val="22"/>
        </w:rPr>
        <w:t xml:space="preserve"> </w:t>
      </w:r>
    </w:p>
    <w:p w14:paraId="62CD24F2" w14:textId="7702910E" w:rsidR="00CA7850" w:rsidRPr="00546B8B" w:rsidRDefault="00F51EA7" w:rsidP="00AF0C49">
      <w:pPr>
        <w:autoSpaceDE w:val="0"/>
        <w:autoSpaceDN w:val="0"/>
        <w:adjustRightInd w:val="0"/>
        <w:spacing w:after="120"/>
      </w:pPr>
      <w:r w:rsidRPr="001E3755">
        <w:t xml:space="preserve">The </w:t>
      </w:r>
      <w:r w:rsidR="008739D1" w:rsidRPr="001E3755">
        <w:t>main</w:t>
      </w:r>
      <w:r w:rsidRPr="001E3755">
        <w:t xml:space="preserve"> aim of this study was to assess whether CE and FG</w:t>
      </w:r>
      <w:r w:rsidR="006E129F" w:rsidRPr="001E3755">
        <w:t>D</w:t>
      </w:r>
      <w:r w:rsidR="00FF1201">
        <w:t>s</w:t>
      </w:r>
      <w:r w:rsidRPr="001E3755">
        <w:t xml:space="preserve"> would result in similar policy recommendations</w:t>
      </w:r>
      <w:r w:rsidR="00CA7850" w:rsidRPr="00676E98">
        <w:t xml:space="preserve">, in this case for the design of a farmer-led </w:t>
      </w:r>
      <w:r w:rsidR="00D4698D">
        <w:t>tree</w:t>
      </w:r>
      <w:r w:rsidR="008E4521">
        <w:t>-</w:t>
      </w:r>
      <w:r w:rsidR="00D4698D">
        <w:t>planting</w:t>
      </w:r>
      <w:r w:rsidR="00D4698D" w:rsidRPr="00546B8B">
        <w:t xml:space="preserve"> </w:t>
      </w:r>
      <w:r w:rsidR="00CA7850" w:rsidRPr="00676E98">
        <w:t>project with a</w:t>
      </w:r>
      <w:r w:rsidR="008739D1" w:rsidRPr="00676E98">
        <w:t>n externally funded</w:t>
      </w:r>
      <w:r w:rsidR="00CA7850" w:rsidRPr="00546B8B">
        <w:t xml:space="preserve"> compensation </w:t>
      </w:r>
      <w:r w:rsidR="008739D1" w:rsidRPr="00546B8B">
        <w:t>mechanism</w:t>
      </w:r>
      <w:r w:rsidRPr="00546B8B">
        <w:t xml:space="preserve">. We found some considerable differences between the two methods. </w:t>
      </w:r>
    </w:p>
    <w:p w14:paraId="6B45A021" w14:textId="1B680B67" w:rsidR="00DC11A2" w:rsidRPr="00546B8B" w:rsidRDefault="00032ADD" w:rsidP="00924A66">
      <w:pPr>
        <w:autoSpaceDE w:val="0"/>
        <w:autoSpaceDN w:val="0"/>
        <w:adjustRightInd w:val="0"/>
        <w:spacing w:after="120"/>
        <w:rPr>
          <w:lang w:eastAsia="nl-NL"/>
        </w:rPr>
      </w:pPr>
      <w:r w:rsidRPr="00546B8B">
        <w:rPr>
          <w:lang w:eastAsia="nl-NL"/>
        </w:rPr>
        <w:t xml:space="preserve">First, hardly any respondent in the CE chose the opt-out, </w:t>
      </w:r>
      <w:r w:rsidR="00DC11A2" w:rsidRPr="00546B8B">
        <w:rPr>
          <w:lang w:eastAsia="nl-NL"/>
        </w:rPr>
        <w:t>and the negative estimate for the alternative specific constant suggests that respondents would take up the options even if no compensation was offered.</w:t>
      </w:r>
      <w:r w:rsidR="003B406C" w:rsidRPr="00546B8B">
        <w:rPr>
          <w:lang w:eastAsia="nl-NL"/>
        </w:rPr>
        <w:t xml:space="preserve"> In addition, a third of respondents stated to be willing to </w:t>
      </w:r>
      <w:r w:rsidR="00D4698D">
        <w:rPr>
          <w:lang w:eastAsia="nl-NL"/>
        </w:rPr>
        <w:t>plant</w:t>
      </w:r>
      <w:r w:rsidR="00D4698D" w:rsidRPr="00546B8B">
        <w:rPr>
          <w:lang w:eastAsia="nl-NL"/>
        </w:rPr>
        <w:t xml:space="preserve"> </w:t>
      </w:r>
      <w:r w:rsidR="003B406C" w:rsidRPr="00546B8B">
        <w:rPr>
          <w:lang w:eastAsia="nl-NL"/>
        </w:rPr>
        <w:t xml:space="preserve">all their fallow and agricultural land </w:t>
      </w:r>
      <w:r w:rsidR="00D4698D">
        <w:rPr>
          <w:lang w:eastAsia="nl-NL"/>
        </w:rPr>
        <w:t>with trees</w:t>
      </w:r>
      <w:r w:rsidR="003B406C" w:rsidRPr="00546B8B">
        <w:rPr>
          <w:lang w:eastAsia="nl-NL"/>
        </w:rPr>
        <w:t>.</w:t>
      </w:r>
      <w:r w:rsidR="00DC11A2" w:rsidRPr="00546B8B">
        <w:rPr>
          <w:lang w:eastAsia="nl-NL"/>
        </w:rPr>
        <w:t xml:space="preserve"> However, </w:t>
      </w:r>
      <w:r w:rsidR="00F51EA7" w:rsidRPr="00546B8B">
        <w:rPr>
          <w:lang w:eastAsia="nl-NL"/>
        </w:rPr>
        <w:t>in</w:t>
      </w:r>
      <w:r w:rsidRPr="00546B8B">
        <w:rPr>
          <w:lang w:eastAsia="nl-NL"/>
        </w:rPr>
        <w:t xml:space="preserve"> the FGD</w:t>
      </w:r>
      <w:r w:rsidR="001E02E9">
        <w:rPr>
          <w:lang w:eastAsia="nl-NL"/>
        </w:rPr>
        <w:t>s</w:t>
      </w:r>
      <w:r w:rsidRPr="00546B8B">
        <w:rPr>
          <w:lang w:eastAsia="nl-NL"/>
        </w:rPr>
        <w:t xml:space="preserve"> </w:t>
      </w:r>
      <w:r w:rsidR="00F51EA7" w:rsidRPr="00546B8B">
        <w:rPr>
          <w:lang w:eastAsia="nl-NL"/>
        </w:rPr>
        <w:t xml:space="preserve">respondents’ willingness to participate in farmer-led </w:t>
      </w:r>
      <w:r w:rsidR="00D4698D">
        <w:t>tree</w:t>
      </w:r>
      <w:r w:rsidR="008E4521">
        <w:t>-</w:t>
      </w:r>
      <w:r w:rsidR="00D4698D">
        <w:t>planting</w:t>
      </w:r>
      <w:r w:rsidR="00D4698D" w:rsidRPr="00546B8B">
        <w:t xml:space="preserve"> </w:t>
      </w:r>
      <w:r w:rsidR="00F51EA7" w:rsidRPr="00546B8B">
        <w:rPr>
          <w:lang w:eastAsia="nl-NL"/>
        </w:rPr>
        <w:t xml:space="preserve">projects </w:t>
      </w:r>
      <w:r w:rsidR="00B23BA4" w:rsidRPr="00546B8B">
        <w:rPr>
          <w:lang w:eastAsia="nl-NL"/>
        </w:rPr>
        <w:t>change</w:t>
      </w:r>
      <w:r w:rsidR="001E02E9">
        <w:rPr>
          <w:lang w:eastAsia="nl-NL"/>
        </w:rPr>
        <w:t>d</w:t>
      </w:r>
      <w:r w:rsidR="00F51EA7" w:rsidRPr="00546B8B">
        <w:rPr>
          <w:lang w:eastAsia="nl-NL"/>
        </w:rPr>
        <w:t xml:space="preserve"> from negative to positive only after </w:t>
      </w:r>
      <w:r w:rsidR="003B406C" w:rsidRPr="00546B8B">
        <w:rPr>
          <w:lang w:eastAsia="nl-NL"/>
        </w:rPr>
        <w:t xml:space="preserve">more </w:t>
      </w:r>
      <w:r w:rsidR="00F51EA7" w:rsidRPr="00546B8B">
        <w:rPr>
          <w:lang w:eastAsia="nl-NL"/>
        </w:rPr>
        <w:t xml:space="preserve">information on the benefits of healthy peatland forests </w:t>
      </w:r>
      <w:r w:rsidR="008739D1" w:rsidRPr="00546B8B">
        <w:rPr>
          <w:lang w:eastAsia="nl-NL"/>
        </w:rPr>
        <w:t>and the option to only</w:t>
      </w:r>
      <w:r w:rsidR="00D4698D">
        <w:rPr>
          <w:lang w:eastAsia="nl-NL"/>
        </w:rPr>
        <w:t xml:space="preserve"> plant trees on</w:t>
      </w:r>
      <w:r w:rsidR="008739D1" w:rsidRPr="00546B8B">
        <w:rPr>
          <w:lang w:eastAsia="nl-NL"/>
        </w:rPr>
        <w:t xml:space="preserve"> part</w:t>
      </w:r>
      <w:r w:rsidR="00D4698D">
        <w:rPr>
          <w:lang w:eastAsia="nl-NL"/>
        </w:rPr>
        <w:t xml:space="preserve"> of their plots</w:t>
      </w:r>
      <w:r w:rsidR="008739D1" w:rsidRPr="00546B8B">
        <w:rPr>
          <w:lang w:eastAsia="nl-NL"/>
        </w:rPr>
        <w:t xml:space="preserve"> were</w:t>
      </w:r>
      <w:r w:rsidR="00F51EA7" w:rsidRPr="00546B8B">
        <w:rPr>
          <w:lang w:eastAsia="nl-NL"/>
        </w:rPr>
        <w:t xml:space="preserve"> provided</w:t>
      </w:r>
      <w:r w:rsidR="00924A66" w:rsidRPr="00546B8B">
        <w:rPr>
          <w:lang w:eastAsia="nl-NL"/>
        </w:rPr>
        <w:t>. The FGD participants also expressed fear that they would be unable to fulfil the requirements of the scheme, because it is difficult to grow anything on peatlands</w:t>
      </w:r>
      <w:r w:rsidR="00F51EA7" w:rsidRPr="00546B8B">
        <w:rPr>
          <w:lang w:eastAsia="nl-NL"/>
        </w:rPr>
        <w:t xml:space="preserve">. </w:t>
      </w:r>
      <w:r w:rsidR="001125FD" w:rsidRPr="00546B8B">
        <w:rPr>
          <w:lang w:eastAsia="nl-NL"/>
        </w:rPr>
        <w:t>It may be that the tendency to choose an option rat</w:t>
      </w:r>
      <w:r w:rsidR="00924A66" w:rsidRPr="00546B8B">
        <w:rPr>
          <w:lang w:eastAsia="nl-NL"/>
        </w:rPr>
        <w:t>her than the opt-out in the CE wa</w:t>
      </w:r>
      <w:r w:rsidR="001125FD" w:rsidRPr="00546B8B">
        <w:rPr>
          <w:lang w:eastAsia="nl-NL"/>
        </w:rPr>
        <w:t>s due to the same cultural politeness of saying “yes” as found by Whittington (1998)</w:t>
      </w:r>
      <w:r w:rsidR="007F1C5C">
        <w:rPr>
          <w:lang w:eastAsia="nl-NL"/>
        </w:rPr>
        <w:t>, or general yeah-saying regardless of true willingness to accept (</w:t>
      </w:r>
      <w:proofErr w:type="spellStart"/>
      <w:r w:rsidR="007F1C5C">
        <w:rPr>
          <w:lang w:eastAsia="nl-NL"/>
        </w:rPr>
        <w:t>Alberini</w:t>
      </w:r>
      <w:proofErr w:type="spellEnd"/>
      <w:r w:rsidR="007F1C5C">
        <w:rPr>
          <w:lang w:eastAsia="nl-NL"/>
        </w:rPr>
        <w:t xml:space="preserve"> et al. 1997)</w:t>
      </w:r>
      <w:r w:rsidR="001125FD" w:rsidRPr="00546B8B">
        <w:rPr>
          <w:lang w:eastAsia="nl-NL"/>
        </w:rPr>
        <w:t xml:space="preserve">. </w:t>
      </w:r>
    </w:p>
    <w:p w14:paraId="2E9983C6" w14:textId="388B827D" w:rsidR="00032ADD" w:rsidRPr="00546B8B" w:rsidRDefault="00DC11A2" w:rsidP="00924A66">
      <w:pPr>
        <w:autoSpaceDE w:val="0"/>
        <w:autoSpaceDN w:val="0"/>
        <w:adjustRightInd w:val="0"/>
        <w:spacing w:after="120"/>
        <w:rPr>
          <w:lang w:eastAsia="nl-NL"/>
        </w:rPr>
      </w:pPr>
      <w:r w:rsidRPr="00546B8B">
        <w:rPr>
          <w:lang w:eastAsia="nl-NL"/>
        </w:rPr>
        <w:t xml:space="preserve">Second, and related to the first point, </w:t>
      </w:r>
      <w:r w:rsidR="001125FD" w:rsidRPr="00546B8B">
        <w:rPr>
          <w:lang w:eastAsia="nl-NL"/>
        </w:rPr>
        <w:t xml:space="preserve">the outcomes of the CE </w:t>
      </w:r>
      <w:r w:rsidR="001E02E9">
        <w:rPr>
          <w:lang w:eastAsia="nl-NL"/>
        </w:rPr>
        <w:t>may</w:t>
      </w:r>
      <w:r w:rsidRPr="00546B8B">
        <w:rPr>
          <w:lang w:eastAsia="nl-NL"/>
        </w:rPr>
        <w:t xml:space="preserve"> </w:t>
      </w:r>
      <w:r w:rsidR="001125FD" w:rsidRPr="00546B8B">
        <w:rPr>
          <w:lang w:eastAsia="nl-NL"/>
        </w:rPr>
        <w:t xml:space="preserve">present an underestimate of the requested level of </w:t>
      </w:r>
      <w:r w:rsidRPr="00546B8B">
        <w:rPr>
          <w:lang w:eastAsia="nl-NL"/>
        </w:rPr>
        <w:t>compensation. The assumption underlying the CE is that respondents make a trade-off between the one-off payment and the costs du</w:t>
      </w:r>
      <w:r w:rsidR="00032ADD" w:rsidRPr="00546B8B">
        <w:rPr>
          <w:lang w:eastAsia="nl-NL"/>
        </w:rPr>
        <w:t>ring the transition period</w:t>
      </w:r>
      <w:r w:rsidR="00C17E72" w:rsidRPr="00546B8B">
        <w:rPr>
          <w:lang w:eastAsia="nl-NL"/>
        </w:rPr>
        <w:t xml:space="preserve"> when farmers switch</w:t>
      </w:r>
      <w:r w:rsidR="00032ADD" w:rsidRPr="00546B8B">
        <w:rPr>
          <w:lang w:eastAsia="nl-NL"/>
        </w:rPr>
        <w:t xml:space="preserve"> from agriculture to </w:t>
      </w:r>
      <w:r w:rsidR="00D4698D">
        <w:rPr>
          <w:lang w:eastAsia="nl-NL"/>
        </w:rPr>
        <w:t>tree-based farming</w:t>
      </w:r>
      <w:r w:rsidR="003D3E9F">
        <w:rPr>
          <w:lang w:eastAsia="nl-NL"/>
        </w:rPr>
        <w:t xml:space="preserve">. </w:t>
      </w:r>
      <w:bookmarkStart w:id="9" w:name="_Hlk484088846"/>
      <w:bookmarkStart w:id="10" w:name="_Hlk484088073"/>
      <w:r w:rsidR="003D3E9F">
        <w:rPr>
          <w:lang w:eastAsia="nl-NL"/>
        </w:rPr>
        <w:t>The estimated part-worth utility for tree</w:t>
      </w:r>
      <w:r w:rsidR="008E4521">
        <w:rPr>
          <w:lang w:eastAsia="nl-NL"/>
        </w:rPr>
        <w:t>-</w:t>
      </w:r>
      <w:r w:rsidR="003D3E9F">
        <w:rPr>
          <w:lang w:eastAsia="nl-NL"/>
        </w:rPr>
        <w:t>planting also suggests that, up to a threshold</w:t>
      </w:r>
      <w:r w:rsidR="001B5668">
        <w:rPr>
          <w:lang w:eastAsia="nl-NL"/>
        </w:rPr>
        <w:t>,</w:t>
      </w:r>
      <w:r w:rsidR="003D3E9F">
        <w:rPr>
          <w:lang w:eastAsia="nl-NL"/>
        </w:rPr>
        <w:t xml:space="preserve"> respondents would renounce compensation</w:t>
      </w:r>
      <w:r w:rsidR="00276BCD">
        <w:rPr>
          <w:lang w:eastAsia="nl-NL"/>
        </w:rPr>
        <w:t xml:space="preserve">. </w:t>
      </w:r>
      <w:bookmarkStart w:id="11" w:name="_Hlk484104718"/>
      <w:r w:rsidR="00276BCD">
        <w:rPr>
          <w:lang w:eastAsia="nl-NL"/>
        </w:rPr>
        <w:t xml:space="preserve">This </w:t>
      </w:r>
      <w:r w:rsidR="008D6EF0">
        <w:rPr>
          <w:lang w:eastAsia="nl-NL"/>
        </w:rPr>
        <w:t>resul</w:t>
      </w:r>
      <w:r w:rsidR="00276BCD">
        <w:rPr>
          <w:lang w:eastAsia="nl-NL"/>
        </w:rPr>
        <w:t>t</w:t>
      </w:r>
      <w:r w:rsidR="008D6EF0">
        <w:rPr>
          <w:lang w:eastAsia="nl-NL"/>
        </w:rPr>
        <w:t xml:space="preserve"> was not supported by</w:t>
      </w:r>
      <w:r w:rsidR="00CE703B">
        <w:rPr>
          <w:lang w:eastAsia="nl-NL"/>
        </w:rPr>
        <w:t xml:space="preserve"> results of the</w:t>
      </w:r>
      <w:r w:rsidR="00D6791C">
        <w:rPr>
          <w:lang w:eastAsia="nl-NL"/>
        </w:rPr>
        <w:t xml:space="preserve"> auxiliary survey questions</w:t>
      </w:r>
      <w:r w:rsidR="00CE703B">
        <w:rPr>
          <w:lang w:eastAsia="nl-NL"/>
        </w:rPr>
        <w:t xml:space="preserve"> or </w:t>
      </w:r>
      <w:r w:rsidR="008D6EF0">
        <w:rPr>
          <w:lang w:eastAsia="nl-NL"/>
        </w:rPr>
        <w:t>the FGD</w:t>
      </w:r>
      <w:r w:rsidR="00D543A7">
        <w:rPr>
          <w:lang w:eastAsia="nl-NL"/>
        </w:rPr>
        <w:t>s</w:t>
      </w:r>
      <w:r w:rsidR="00F10FB5">
        <w:rPr>
          <w:lang w:eastAsia="nl-NL"/>
        </w:rPr>
        <w:t>. Although many</w:t>
      </w:r>
      <w:r w:rsidR="00276BCD">
        <w:rPr>
          <w:lang w:eastAsia="nl-NL"/>
        </w:rPr>
        <w:t xml:space="preserve"> farmers </w:t>
      </w:r>
      <w:r w:rsidR="001E02E9">
        <w:rPr>
          <w:lang w:eastAsia="nl-NL"/>
        </w:rPr>
        <w:t>left</w:t>
      </w:r>
      <w:r w:rsidR="00276BCD">
        <w:rPr>
          <w:lang w:eastAsia="nl-NL"/>
        </w:rPr>
        <w:t xml:space="preserve"> part of their land unproductive</w:t>
      </w:r>
      <w:r w:rsidR="00F10FB5">
        <w:rPr>
          <w:lang w:eastAsia="nl-NL"/>
        </w:rPr>
        <w:t xml:space="preserve">, this may be a buffer or part of the </w:t>
      </w:r>
      <w:proofErr w:type="spellStart"/>
      <w:r w:rsidR="00F10FB5">
        <w:rPr>
          <w:lang w:eastAsia="nl-NL"/>
        </w:rPr>
        <w:t>swidden</w:t>
      </w:r>
      <w:proofErr w:type="spellEnd"/>
      <w:r w:rsidR="00F10FB5">
        <w:rPr>
          <w:lang w:eastAsia="nl-NL"/>
        </w:rPr>
        <w:t xml:space="preserve"> agriculture cycle (</w:t>
      </w:r>
      <w:proofErr w:type="spellStart"/>
      <w:r w:rsidR="00F10FB5">
        <w:rPr>
          <w:lang w:eastAsia="nl-NL"/>
        </w:rPr>
        <w:t>Cramb</w:t>
      </w:r>
      <w:proofErr w:type="spellEnd"/>
      <w:r w:rsidR="00F10FB5">
        <w:rPr>
          <w:lang w:eastAsia="nl-NL"/>
        </w:rPr>
        <w:t xml:space="preserve"> 2017) or indicate that</w:t>
      </w:r>
      <w:r w:rsidR="00276BCD">
        <w:rPr>
          <w:lang w:eastAsia="nl-NL"/>
        </w:rPr>
        <w:t xml:space="preserve"> some form of incentive to plant trees may be necessary</w:t>
      </w:r>
      <w:bookmarkEnd w:id="9"/>
      <w:r w:rsidR="00032ADD" w:rsidRPr="00546B8B">
        <w:rPr>
          <w:lang w:eastAsia="nl-NL"/>
        </w:rPr>
        <w:t xml:space="preserve">. </w:t>
      </w:r>
      <w:bookmarkEnd w:id="10"/>
      <w:bookmarkEnd w:id="11"/>
      <w:r w:rsidR="009C533D" w:rsidRPr="00546B8B">
        <w:rPr>
          <w:lang w:eastAsia="nl-NL"/>
        </w:rPr>
        <w:t xml:space="preserve">The </w:t>
      </w:r>
      <w:r w:rsidR="008739D1" w:rsidRPr="00546B8B">
        <w:rPr>
          <w:lang w:eastAsia="nl-NL"/>
        </w:rPr>
        <w:t>FGD participants clearly</w:t>
      </w:r>
      <w:r w:rsidR="00C17E72" w:rsidRPr="00546B8B">
        <w:rPr>
          <w:lang w:eastAsia="nl-NL"/>
        </w:rPr>
        <w:t xml:space="preserve"> consider</w:t>
      </w:r>
      <w:r w:rsidR="008739D1" w:rsidRPr="00546B8B">
        <w:rPr>
          <w:lang w:eastAsia="nl-NL"/>
        </w:rPr>
        <w:t xml:space="preserve">ed </w:t>
      </w:r>
      <w:r w:rsidR="00032ADD" w:rsidRPr="00546B8B">
        <w:rPr>
          <w:lang w:eastAsia="nl-NL"/>
        </w:rPr>
        <w:t>transition</w:t>
      </w:r>
      <w:r w:rsidR="00C17E72" w:rsidRPr="00546B8B">
        <w:rPr>
          <w:lang w:eastAsia="nl-NL"/>
        </w:rPr>
        <w:t xml:space="preserve"> </w:t>
      </w:r>
      <w:r w:rsidR="00032ADD" w:rsidRPr="00546B8B">
        <w:rPr>
          <w:lang w:eastAsia="nl-NL"/>
        </w:rPr>
        <w:t>costs</w:t>
      </w:r>
      <w:r w:rsidR="008739D1" w:rsidRPr="00546B8B">
        <w:rPr>
          <w:lang w:eastAsia="nl-NL"/>
        </w:rPr>
        <w:t xml:space="preserve"> and the impacts </w:t>
      </w:r>
      <w:r w:rsidRPr="00546B8B">
        <w:rPr>
          <w:lang w:eastAsia="nl-NL"/>
        </w:rPr>
        <w:t xml:space="preserve">on income </w:t>
      </w:r>
      <w:r w:rsidR="008739D1" w:rsidRPr="00546B8B">
        <w:rPr>
          <w:lang w:eastAsia="nl-NL"/>
        </w:rPr>
        <w:t xml:space="preserve">over time, </w:t>
      </w:r>
      <w:r w:rsidRPr="00546B8B">
        <w:rPr>
          <w:lang w:eastAsia="nl-NL"/>
        </w:rPr>
        <w:t>and expressed</w:t>
      </w:r>
      <w:r w:rsidR="001E02E9">
        <w:rPr>
          <w:lang w:eastAsia="nl-NL"/>
        </w:rPr>
        <w:t xml:space="preserve"> the need to extend</w:t>
      </w:r>
      <w:r w:rsidR="008739D1" w:rsidRPr="00546B8B">
        <w:rPr>
          <w:lang w:eastAsia="nl-NL"/>
        </w:rPr>
        <w:t xml:space="preserve"> the compensation period</w:t>
      </w:r>
      <w:r w:rsidRPr="00546B8B">
        <w:rPr>
          <w:lang w:eastAsia="nl-NL"/>
        </w:rPr>
        <w:t xml:space="preserve"> as trees may need longer to grow</w:t>
      </w:r>
      <w:r w:rsidR="00032ADD" w:rsidRPr="00546B8B">
        <w:rPr>
          <w:lang w:eastAsia="nl-NL"/>
        </w:rPr>
        <w:t xml:space="preserve">. </w:t>
      </w:r>
      <w:r w:rsidR="00C17E72" w:rsidRPr="00546B8B">
        <w:rPr>
          <w:lang w:eastAsia="nl-NL"/>
        </w:rPr>
        <w:t>The FGD</w:t>
      </w:r>
      <w:r w:rsidR="00FF1201">
        <w:rPr>
          <w:lang w:eastAsia="nl-NL"/>
        </w:rPr>
        <w:t>s</w:t>
      </w:r>
      <w:r w:rsidR="00C17E72" w:rsidRPr="00546B8B">
        <w:rPr>
          <w:lang w:eastAsia="nl-NL"/>
        </w:rPr>
        <w:t xml:space="preserve"> thereby provide</w:t>
      </w:r>
      <w:r w:rsidR="001E02E9">
        <w:rPr>
          <w:lang w:eastAsia="nl-NL"/>
        </w:rPr>
        <w:t>d</w:t>
      </w:r>
      <w:r w:rsidR="00C17E72" w:rsidRPr="00546B8B">
        <w:rPr>
          <w:lang w:eastAsia="nl-NL"/>
        </w:rPr>
        <w:t xml:space="preserve"> more information about the preferred design and timing of the compensation scheme than the CE. </w:t>
      </w:r>
      <w:r w:rsidRPr="00546B8B">
        <w:rPr>
          <w:lang w:eastAsia="nl-NL"/>
        </w:rPr>
        <w:t>At the same time, the FGD</w:t>
      </w:r>
      <w:r w:rsidR="00FF1201">
        <w:rPr>
          <w:lang w:eastAsia="nl-NL"/>
        </w:rPr>
        <w:t>s</w:t>
      </w:r>
      <w:r w:rsidRPr="00546B8B">
        <w:rPr>
          <w:lang w:eastAsia="nl-NL"/>
        </w:rPr>
        <w:t xml:space="preserve">, where the financial compensation featured less prominently, </w:t>
      </w:r>
      <w:r w:rsidR="001E02E9">
        <w:rPr>
          <w:lang w:eastAsia="nl-NL"/>
        </w:rPr>
        <w:t>may have</w:t>
      </w:r>
      <w:r w:rsidRPr="00546B8B">
        <w:rPr>
          <w:lang w:eastAsia="nl-NL"/>
        </w:rPr>
        <w:t xml:space="preserve"> invoke</w:t>
      </w:r>
      <w:r w:rsidR="001E02E9">
        <w:rPr>
          <w:lang w:eastAsia="nl-NL"/>
        </w:rPr>
        <w:t>d</w:t>
      </w:r>
      <w:r w:rsidRPr="00546B8B">
        <w:rPr>
          <w:lang w:eastAsia="nl-NL"/>
        </w:rPr>
        <w:t xml:space="preserve"> more strategic group behavio</w:t>
      </w:r>
      <w:r w:rsidR="00B23BA4" w:rsidRPr="00546B8B">
        <w:rPr>
          <w:lang w:eastAsia="nl-NL"/>
        </w:rPr>
        <w:t>u</w:t>
      </w:r>
      <w:r w:rsidRPr="00546B8B">
        <w:rPr>
          <w:lang w:eastAsia="nl-NL"/>
        </w:rPr>
        <w:t>r and therefore raise</w:t>
      </w:r>
      <w:r w:rsidR="001E02E9">
        <w:rPr>
          <w:lang w:eastAsia="nl-NL"/>
        </w:rPr>
        <w:t>d</w:t>
      </w:r>
      <w:r w:rsidRPr="00546B8B">
        <w:rPr>
          <w:lang w:eastAsia="nl-NL"/>
        </w:rPr>
        <w:t xml:space="preserve"> the demand for compensation compared to the CE.</w:t>
      </w:r>
    </w:p>
    <w:p w14:paraId="44242615" w14:textId="34C6693B" w:rsidR="001125FD" w:rsidRPr="00546B8B" w:rsidRDefault="001125FD" w:rsidP="006810E6">
      <w:pPr>
        <w:autoSpaceDE w:val="0"/>
        <w:autoSpaceDN w:val="0"/>
        <w:adjustRightInd w:val="0"/>
        <w:spacing w:after="120"/>
        <w:rPr>
          <w:lang w:eastAsia="nl-NL"/>
        </w:rPr>
      </w:pPr>
      <w:r w:rsidRPr="00546B8B">
        <w:rPr>
          <w:lang w:eastAsia="nl-NL"/>
        </w:rPr>
        <w:t xml:space="preserve">Third, </w:t>
      </w:r>
      <w:r w:rsidR="00472BEE" w:rsidRPr="00546B8B">
        <w:rPr>
          <w:lang w:eastAsia="nl-NL"/>
        </w:rPr>
        <w:t xml:space="preserve">where </w:t>
      </w:r>
      <w:r w:rsidRPr="00546B8B">
        <w:rPr>
          <w:lang w:eastAsia="nl-NL"/>
        </w:rPr>
        <w:t>the FG</w:t>
      </w:r>
      <w:r w:rsidR="006E129F" w:rsidRPr="00546B8B">
        <w:rPr>
          <w:lang w:eastAsia="nl-NL"/>
        </w:rPr>
        <w:t>D</w:t>
      </w:r>
      <w:r w:rsidRPr="00546B8B">
        <w:rPr>
          <w:lang w:eastAsia="nl-NL"/>
        </w:rPr>
        <w:t xml:space="preserve"> results </w:t>
      </w:r>
      <w:r w:rsidR="00472BEE" w:rsidRPr="00546B8B">
        <w:rPr>
          <w:lang w:eastAsia="nl-NL"/>
        </w:rPr>
        <w:t>suggest</w:t>
      </w:r>
      <w:r w:rsidRPr="00546B8B">
        <w:rPr>
          <w:lang w:eastAsia="nl-NL"/>
        </w:rPr>
        <w:t xml:space="preserve"> that the willingness to cooperate was conditional on </w:t>
      </w:r>
      <w:r w:rsidR="00472BEE" w:rsidRPr="00546B8B">
        <w:rPr>
          <w:lang w:eastAsia="nl-NL"/>
        </w:rPr>
        <w:t xml:space="preserve">being self-sufficient in food and having a diverse set of income generating activities, the results of the CE </w:t>
      </w:r>
      <w:r w:rsidR="008739D1" w:rsidRPr="00546B8B">
        <w:rPr>
          <w:lang w:eastAsia="nl-NL"/>
        </w:rPr>
        <w:t xml:space="preserve">seem to </w:t>
      </w:r>
      <w:r w:rsidR="00472BEE" w:rsidRPr="00546B8B">
        <w:rPr>
          <w:lang w:eastAsia="nl-NL"/>
        </w:rPr>
        <w:t xml:space="preserve">suggest that the perceived risk of dependency on </w:t>
      </w:r>
      <w:r w:rsidR="006810E6" w:rsidRPr="00546B8B">
        <w:rPr>
          <w:lang w:eastAsia="nl-NL"/>
        </w:rPr>
        <w:t>tree</w:t>
      </w:r>
      <w:r w:rsidR="00472BEE" w:rsidRPr="00546B8B">
        <w:rPr>
          <w:lang w:eastAsia="nl-NL"/>
        </w:rPr>
        <w:t xml:space="preserve"> income </w:t>
      </w:r>
      <w:r w:rsidR="00136963" w:rsidRPr="00546B8B">
        <w:rPr>
          <w:lang w:eastAsia="nl-NL"/>
        </w:rPr>
        <w:t>alone</w:t>
      </w:r>
      <w:r w:rsidR="00472BEE" w:rsidRPr="00546B8B">
        <w:rPr>
          <w:lang w:eastAsia="nl-NL"/>
        </w:rPr>
        <w:t xml:space="preserve"> can be overcome by increasing financial compensation</w:t>
      </w:r>
      <w:r w:rsidRPr="00546B8B">
        <w:rPr>
          <w:lang w:eastAsia="nl-NL"/>
        </w:rPr>
        <w:t xml:space="preserve">. </w:t>
      </w:r>
      <w:r w:rsidR="008739D1" w:rsidRPr="00546B8B">
        <w:rPr>
          <w:lang w:eastAsia="nl-NL"/>
        </w:rPr>
        <w:t>However, the non-linear effect found for the proportion of land</w:t>
      </w:r>
      <w:r w:rsidR="00D4698D">
        <w:rPr>
          <w:lang w:eastAsia="nl-NL"/>
        </w:rPr>
        <w:t xml:space="preserve"> dedicated to tree-planting</w:t>
      </w:r>
      <w:r w:rsidR="008739D1" w:rsidRPr="00546B8B">
        <w:rPr>
          <w:lang w:eastAsia="nl-NL"/>
        </w:rPr>
        <w:t xml:space="preserve"> may be interpreted as an expression of the need for </w:t>
      </w:r>
      <w:r w:rsidR="00847F9B" w:rsidRPr="00546B8B">
        <w:rPr>
          <w:lang w:eastAsia="nl-NL"/>
        </w:rPr>
        <w:t>food</w:t>
      </w:r>
      <w:r w:rsidR="008739D1" w:rsidRPr="00546B8B">
        <w:rPr>
          <w:lang w:eastAsia="nl-NL"/>
        </w:rPr>
        <w:t xml:space="preserve"> self-sufficiency.</w:t>
      </w:r>
    </w:p>
    <w:p w14:paraId="54CD558F" w14:textId="2353A32D" w:rsidR="00C17E72" w:rsidRPr="00546B8B" w:rsidRDefault="007E4401" w:rsidP="00DC11A2">
      <w:pPr>
        <w:autoSpaceDE w:val="0"/>
        <w:autoSpaceDN w:val="0"/>
        <w:adjustRightInd w:val="0"/>
        <w:spacing w:after="120"/>
        <w:rPr>
          <w:lang w:eastAsia="nl-NL"/>
        </w:rPr>
      </w:pPr>
      <w:r w:rsidRPr="00546B8B">
        <w:rPr>
          <w:lang w:eastAsia="nl-NL"/>
        </w:rPr>
        <w:lastRenderedPageBreak/>
        <w:t>Fourth</w:t>
      </w:r>
      <w:r w:rsidR="00032ADD" w:rsidRPr="00546B8B">
        <w:rPr>
          <w:lang w:eastAsia="nl-NL"/>
        </w:rPr>
        <w:t>, the estimat</w:t>
      </w:r>
      <w:r w:rsidR="001B5668">
        <w:rPr>
          <w:lang w:eastAsia="nl-NL"/>
        </w:rPr>
        <w:t xml:space="preserve">ed part-worth utilities and </w:t>
      </w:r>
      <w:r w:rsidR="00032ADD" w:rsidRPr="00546B8B">
        <w:rPr>
          <w:lang w:eastAsia="nl-NL"/>
        </w:rPr>
        <w:t>parameter of the credit</w:t>
      </w:r>
      <w:r w:rsidR="001B5668">
        <w:rPr>
          <w:lang w:eastAsia="nl-NL"/>
        </w:rPr>
        <w:t xml:space="preserve"> attribute</w:t>
      </w:r>
      <w:r w:rsidR="00032ADD" w:rsidRPr="00546B8B">
        <w:rPr>
          <w:lang w:eastAsia="nl-NL"/>
        </w:rPr>
        <w:t xml:space="preserve"> mi</w:t>
      </w:r>
      <w:r w:rsidR="00C17E72" w:rsidRPr="00546B8B">
        <w:rPr>
          <w:lang w:eastAsia="nl-NL"/>
        </w:rPr>
        <w:t>ght be influenced by a</w:t>
      </w:r>
      <w:r w:rsidR="00032ADD" w:rsidRPr="00546B8B">
        <w:rPr>
          <w:lang w:eastAsia="nl-NL"/>
        </w:rPr>
        <w:t xml:space="preserve"> fear</w:t>
      </w:r>
      <w:r w:rsidR="00C17E72" w:rsidRPr="00546B8B">
        <w:rPr>
          <w:lang w:eastAsia="nl-NL"/>
        </w:rPr>
        <w:t xml:space="preserve"> of</w:t>
      </w:r>
      <w:r w:rsidR="00032ADD" w:rsidRPr="00546B8B">
        <w:rPr>
          <w:lang w:eastAsia="nl-NL"/>
        </w:rPr>
        <w:t xml:space="preserve"> corruption. </w:t>
      </w:r>
      <w:proofErr w:type="gramStart"/>
      <w:r w:rsidR="00C17E72" w:rsidRPr="00546B8B">
        <w:rPr>
          <w:lang w:eastAsia="nl-NL"/>
        </w:rPr>
        <w:t xml:space="preserve">Assuming </w:t>
      </w:r>
      <w:r w:rsidR="00032ADD" w:rsidRPr="00546B8B">
        <w:rPr>
          <w:lang w:eastAsia="nl-NL"/>
        </w:rPr>
        <w:t>that</w:t>
      </w:r>
      <w:proofErr w:type="gramEnd"/>
      <w:r w:rsidR="00032ADD" w:rsidRPr="00546B8B">
        <w:rPr>
          <w:lang w:eastAsia="nl-NL"/>
        </w:rPr>
        <w:t xml:space="preserve"> respondents </w:t>
      </w:r>
      <w:r w:rsidR="00C17E72" w:rsidRPr="00546B8B">
        <w:rPr>
          <w:lang w:eastAsia="nl-NL"/>
        </w:rPr>
        <w:t>chose options with</w:t>
      </w:r>
      <w:r w:rsidR="00032ADD" w:rsidRPr="00546B8B">
        <w:rPr>
          <w:lang w:eastAsia="nl-NL"/>
        </w:rPr>
        <w:t xml:space="preserve"> </w:t>
      </w:r>
      <w:r w:rsidR="00C17E72" w:rsidRPr="00546B8B">
        <w:rPr>
          <w:lang w:eastAsia="nl-NL"/>
        </w:rPr>
        <w:t>a higher</w:t>
      </w:r>
      <w:r w:rsidR="00032ADD" w:rsidRPr="00546B8B">
        <w:rPr>
          <w:lang w:eastAsia="nl-NL"/>
        </w:rPr>
        <w:t xml:space="preserve"> compensation </w:t>
      </w:r>
      <w:r w:rsidR="00C17E72" w:rsidRPr="00546B8B">
        <w:rPr>
          <w:lang w:eastAsia="nl-NL"/>
        </w:rPr>
        <w:t>level so that not only their costs but also the risk of not receiving</w:t>
      </w:r>
      <w:r w:rsidR="00032ADD" w:rsidRPr="00546B8B">
        <w:rPr>
          <w:lang w:eastAsia="nl-NL"/>
        </w:rPr>
        <w:t xml:space="preserve"> </w:t>
      </w:r>
      <w:r w:rsidR="00C17E72" w:rsidRPr="00546B8B">
        <w:rPr>
          <w:lang w:eastAsia="nl-NL"/>
        </w:rPr>
        <w:t>(</w:t>
      </w:r>
      <w:r w:rsidR="00032ADD" w:rsidRPr="00546B8B">
        <w:rPr>
          <w:lang w:eastAsia="nl-NL"/>
        </w:rPr>
        <w:t>all</w:t>
      </w:r>
      <w:r w:rsidR="00C17E72" w:rsidRPr="00546B8B">
        <w:rPr>
          <w:lang w:eastAsia="nl-NL"/>
        </w:rPr>
        <w:t>)</w:t>
      </w:r>
      <w:r w:rsidR="00032ADD" w:rsidRPr="00546B8B">
        <w:rPr>
          <w:lang w:eastAsia="nl-NL"/>
        </w:rPr>
        <w:t xml:space="preserve"> compensation</w:t>
      </w:r>
      <w:r w:rsidR="00C17E72" w:rsidRPr="00546B8B">
        <w:rPr>
          <w:lang w:eastAsia="nl-NL"/>
        </w:rPr>
        <w:t xml:space="preserve"> would be covered, the resulting CS estimates may be an overestimate of the required compensation in absence of corruption. </w:t>
      </w:r>
      <w:r w:rsidR="00556971" w:rsidRPr="00546B8B">
        <w:rPr>
          <w:lang w:eastAsia="nl-NL"/>
        </w:rPr>
        <w:t>Fear of corruption</w:t>
      </w:r>
      <w:r w:rsidR="00C17E72" w:rsidRPr="00546B8B">
        <w:rPr>
          <w:lang w:eastAsia="nl-NL"/>
        </w:rPr>
        <w:t xml:space="preserve"> </w:t>
      </w:r>
      <w:r w:rsidR="00847F9B" w:rsidRPr="00546B8B">
        <w:rPr>
          <w:lang w:eastAsia="nl-NL"/>
        </w:rPr>
        <w:t>came</w:t>
      </w:r>
      <w:r w:rsidR="00DC11A2" w:rsidRPr="00546B8B">
        <w:rPr>
          <w:lang w:eastAsia="nl-NL"/>
        </w:rPr>
        <w:t xml:space="preserve"> strongly</w:t>
      </w:r>
      <w:r w:rsidR="00847F9B" w:rsidRPr="00546B8B">
        <w:rPr>
          <w:lang w:eastAsia="nl-NL"/>
        </w:rPr>
        <w:t xml:space="preserve"> to the fore in the FG</w:t>
      </w:r>
      <w:r w:rsidR="006E129F" w:rsidRPr="00546B8B">
        <w:rPr>
          <w:lang w:eastAsia="nl-NL"/>
        </w:rPr>
        <w:t>D</w:t>
      </w:r>
      <w:r w:rsidR="00FF1201">
        <w:rPr>
          <w:lang w:eastAsia="nl-NL"/>
        </w:rPr>
        <w:t>s</w:t>
      </w:r>
      <w:r w:rsidR="00847F9B" w:rsidRPr="00546B8B">
        <w:rPr>
          <w:lang w:eastAsia="nl-NL"/>
        </w:rPr>
        <w:t>,</w:t>
      </w:r>
      <w:r w:rsidR="00C17E72" w:rsidRPr="00546B8B">
        <w:rPr>
          <w:lang w:eastAsia="nl-NL"/>
        </w:rPr>
        <w:t xml:space="preserve"> </w:t>
      </w:r>
      <w:r w:rsidR="00DC11A2" w:rsidRPr="00546B8B">
        <w:rPr>
          <w:lang w:eastAsia="nl-NL"/>
        </w:rPr>
        <w:t>but</w:t>
      </w:r>
      <w:r w:rsidR="00C17E72" w:rsidRPr="00546B8B">
        <w:rPr>
          <w:lang w:eastAsia="nl-NL"/>
        </w:rPr>
        <w:t xml:space="preserve"> </w:t>
      </w:r>
      <w:r w:rsidR="009B1A37" w:rsidRPr="00546B8B">
        <w:rPr>
          <w:lang w:eastAsia="nl-NL"/>
        </w:rPr>
        <w:t>we d</w:t>
      </w:r>
      <w:r w:rsidR="001E02E9">
        <w:rPr>
          <w:lang w:eastAsia="nl-NL"/>
        </w:rPr>
        <w:t>id</w:t>
      </w:r>
      <w:r w:rsidR="009B1A37" w:rsidRPr="00546B8B">
        <w:rPr>
          <w:lang w:eastAsia="nl-NL"/>
        </w:rPr>
        <w:t xml:space="preserve"> not have information to estimate the</w:t>
      </w:r>
      <w:r w:rsidR="00C17E72" w:rsidRPr="00546B8B">
        <w:rPr>
          <w:lang w:eastAsia="nl-NL"/>
        </w:rPr>
        <w:t xml:space="preserve"> potential </w:t>
      </w:r>
      <w:r w:rsidR="00DC11A2" w:rsidRPr="00546B8B">
        <w:rPr>
          <w:lang w:eastAsia="nl-NL"/>
        </w:rPr>
        <w:t>risk premium reflected in the values of the CE</w:t>
      </w:r>
      <w:r w:rsidR="00C17E72" w:rsidRPr="00546B8B">
        <w:rPr>
          <w:lang w:eastAsia="nl-NL"/>
        </w:rPr>
        <w:t>. In terms of poli</w:t>
      </w:r>
      <w:r w:rsidR="00556971" w:rsidRPr="00546B8B">
        <w:rPr>
          <w:lang w:eastAsia="nl-NL"/>
        </w:rPr>
        <w:t>cy recommendations, the FG</w:t>
      </w:r>
      <w:r w:rsidR="006E129F" w:rsidRPr="00546B8B">
        <w:rPr>
          <w:lang w:eastAsia="nl-NL"/>
        </w:rPr>
        <w:t>D</w:t>
      </w:r>
      <w:r w:rsidR="00FF1201">
        <w:rPr>
          <w:lang w:eastAsia="nl-NL"/>
        </w:rPr>
        <w:t>s</w:t>
      </w:r>
      <w:r w:rsidR="00C17E72" w:rsidRPr="00546B8B">
        <w:rPr>
          <w:lang w:eastAsia="nl-NL"/>
        </w:rPr>
        <w:t xml:space="preserve"> </w:t>
      </w:r>
      <w:r w:rsidR="00FF1201">
        <w:rPr>
          <w:lang w:eastAsia="nl-NL"/>
        </w:rPr>
        <w:t>provide</w:t>
      </w:r>
      <w:r w:rsidR="001E02E9">
        <w:rPr>
          <w:lang w:eastAsia="nl-NL"/>
        </w:rPr>
        <w:t>d</w:t>
      </w:r>
      <w:r w:rsidR="00556971" w:rsidRPr="00546B8B">
        <w:rPr>
          <w:lang w:eastAsia="nl-NL"/>
        </w:rPr>
        <w:t xml:space="preserve"> clearer information about the governance issues that would affect the uptake of a farmer-led </w:t>
      </w:r>
      <w:r w:rsidR="00D4698D">
        <w:t>tree</w:t>
      </w:r>
      <w:r w:rsidR="008E4521">
        <w:t>-</w:t>
      </w:r>
      <w:r w:rsidR="00D4698D">
        <w:t xml:space="preserve"> planting</w:t>
      </w:r>
      <w:r w:rsidR="00D4698D" w:rsidRPr="00546B8B">
        <w:t xml:space="preserve"> </w:t>
      </w:r>
      <w:r w:rsidR="00556971" w:rsidRPr="00546B8B">
        <w:rPr>
          <w:lang w:eastAsia="nl-NL"/>
        </w:rPr>
        <w:t>project</w:t>
      </w:r>
      <w:r w:rsidR="00CE3353" w:rsidRPr="00546B8B">
        <w:rPr>
          <w:lang w:eastAsia="nl-NL"/>
        </w:rPr>
        <w:t xml:space="preserve"> in practice</w:t>
      </w:r>
      <w:r w:rsidR="00556971" w:rsidRPr="00546B8B">
        <w:rPr>
          <w:lang w:eastAsia="nl-NL"/>
        </w:rPr>
        <w:t>.</w:t>
      </w:r>
      <w:r w:rsidR="00C17E72" w:rsidRPr="00546B8B">
        <w:rPr>
          <w:lang w:eastAsia="nl-NL"/>
        </w:rPr>
        <w:t xml:space="preserve"> </w:t>
      </w:r>
    </w:p>
    <w:p w14:paraId="1354EF2B" w14:textId="19C446DB" w:rsidR="00CE3353" w:rsidRPr="00546B8B" w:rsidRDefault="000A615D" w:rsidP="00924A66">
      <w:pPr>
        <w:autoSpaceDE w:val="0"/>
        <w:autoSpaceDN w:val="0"/>
        <w:adjustRightInd w:val="0"/>
        <w:spacing w:after="120"/>
      </w:pPr>
      <w:r w:rsidRPr="00546B8B">
        <w:rPr>
          <w:lang w:eastAsia="nl-NL"/>
        </w:rPr>
        <w:t>Despite these differences, t</w:t>
      </w:r>
      <w:r w:rsidRPr="00546B8B">
        <w:t>he FGD</w:t>
      </w:r>
      <w:r w:rsidR="00FF1201">
        <w:t>s</w:t>
      </w:r>
      <w:r w:rsidRPr="00546B8B">
        <w:t xml:space="preserve"> </w:t>
      </w:r>
      <w:r w:rsidR="008739D1" w:rsidRPr="00546B8B">
        <w:t>provide some validation of the</w:t>
      </w:r>
      <w:r w:rsidRPr="00546B8B">
        <w:t xml:space="preserve"> results on the attributes in the CE</w:t>
      </w:r>
      <w:r w:rsidR="008739D1" w:rsidRPr="00546B8B">
        <w:t xml:space="preserve">, such as the limited relevance of </w:t>
      </w:r>
      <w:r w:rsidR="001E02E9">
        <w:t>extension</w:t>
      </w:r>
      <w:r w:rsidR="008739D1" w:rsidRPr="00546B8B">
        <w:t xml:space="preserve"> service</w:t>
      </w:r>
      <w:r w:rsidR="001E02E9">
        <w:t>s</w:t>
      </w:r>
      <w:r w:rsidR="008739D1" w:rsidRPr="00546B8B">
        <w:t xml:space="preserve"> days</w:t>
      </w:r>
      <w:r w:rsidRPr="00546B8B">
        <w:t>,</w:t>
      </w:r>
      <w:r w:rsidR="00924A66" w:rsidRPr="00546B8B">
        <w:t xml:space="preserve"> </w:t>
      </w:r>
      <w:r w:rsidR="008739D1" w:rsidRPr="00546B8B">
        <w:t>the</w:t>
      </w:r>
      <w:r w:rsidRPr="00546B8B">
        <w:t xml:space="preserve"> heterogeneity </w:t>
      </w:r>
      <w:r w:rsidR="008739D1" w:rsidRPr="00546B8B">
        <w:t>explained by peatland management</w:t>
      </w:r>
      <w:r w:rsidRPr="00546B8B">
        <w:t xml:space="preserve"> awareness</w:t>
      </w:r>
      <w:r w:rsidR="00924A66" w:rsidRPr="00546B8B">
        <w:t xml:space="preserve"> through CKPP</w:t>
      </w:r>
      <w:r w:rsidRPr="00546B8B">
        <w:t xml:space="preserve">, </w:t>
      </w:r>
      <w:r w:rsidR="00DB4E72" w:rsidRPr="00546B8B">
        <w:t xml:space="preserve">and the preference to </w:t>
      </w:r>
      <w:r w:rsidR="00D4698D">
        <w:t>convert to tree-based farming on</w:t>
      </w:r>
      <w:r w:rsidR="00D4698D" w:rsidRPr="00546B8B">
        <w:t xml:space="preserve"> </w:t>
      </w:r>
      <w:r w:rsidR="00DB4E72" w:rsidRPr="00546B8B">
        <w:t>only half of one’s plot. The findings of this case study suggest that the</w:t>
      </w:r>
      <w:r w:rsidRPr="00546B8B">
        <w:t xml:space="preserve"> CE results provide </w:t>
      </w:r>
      <w:r w:rsidR="00DB4E72" w:rsidRPr="00546B8B">
        <w:t>relevant</w:t>
      </w:r>
      <w:r w:rsidRPr="00546B8B">
        <w:t xml:space="preserve"> information for ecosystem valuation</w:t>
      </w:r>
      <w:r w:rsidR="00DB4E72" w:rsidRPr="00546B8B">
        <w:t xml:space="preserve"> and public preferences</w:t>
      </w:r>
      <w:r w:rsidRPr="00546B8B">
        <w:t xml:space="preserve">. </w:t>
      </w:r>
      <w:r w:rsidR="00924A66" w:rsidRPr="00546B8B">
        <w:t>The FG</w:t>
      </w:r>
      <w:r w:rsidR="006E129F" w:rsidRPr="00546B8B">
        <w:t>D</w:t>
      </w:r>
      <w:r w:rsidR="00924A66" w:rsidRPr="00546B8B">
        <w:t xml:space="preserve"> participants were interested in farmer-led </w:t>
      </w:r>
      <w:r w:rsidR="00D4698D">
        <w:t>tree</w:t>
      </w:r>
      <w:r w:rsidR="008E4521">
        <w:t>-</w:t>
      </w:r>
      <w:r w:rsidR="00D4698D">
        <w:t>planting</w:t>
      </w:r>
      <w:r w:rsidR="00D4698D" w:rsidRPr="00546B8B">
        <w:t xml:space="preserve"> </w:t>
      </w:r>
      <w:r w:rsidR="00924A66" w:rsidRPr="00546B8B">
        <w:t xml:space="preserve">schemes, </w:t>
      </w:r>
      <w:proofErr w:type="gramStart"/>
      <w:r w:rsidR="00924A66" w:rsidRPr="00546B8B">
        <w:t>as long as</w:t>
      </w:r>
      <w:proofErr w:type="gramEnd"/>
      <w:r w:rsidR="00924A66" w:rsidRPr="00546B8B">
        <w:t xml:space="preserve"> those would be designed according to local preferences and the conditions expressed by farmers.</w:t>
      </w:r>
    </w:p>
    <w:p w14:paraId="1A50F613" w14:textId="7BA100EF" w:rsidR="000A615D" w:rsidRPr="00546B8B" w:rsidRDefault="001E02E9" w:rsidP="00C17E72">
      <w:pPr>
        <w:autoSpaceDE w:val="0"/>
        <w:autoSpaceDN w:val="0"/>
        <w:adjustRightInd w:val="0"/>
        <w:spacing w:after="120"/>
      </w:pPr>
      <w:r>
        <w:t>There were also study aspects that we</w:t>
      </w:r>
      <w:r w:rsidR="00CE3353" w:rsidRPr="00546B8B">
        <w:t xml:space="preserve">re more reliably picked up by the quantitative CE, for example preference </w:t>
      </w:r>
      <w:r w:rsidR="000A615D" w:rsidRPr="00546B8B">
        <w:t xml:space="preserve">heterogeneity, </w:t>
      </w:r>
      <w:r w:rsidR="009B1A37" w:rsidRPr="00546B8B">
        <w:t>such as</w:t>
      </w:r>
      <w:r w:rsidR="00CE3353" w:rsidRPr="00546B8B">
        <w:t xml:space="preserve"> the effect of household income</w:t>
      </w:r>
      <w:r w:rsidR="000A615D" w:rsidRPr="00546B8B">
        <w:t>. The private setting of the CE interview also enable</w:t>
      </w:r>
      <w:r>
        <w:t>d</w:t>
      </w:r>
      <w:r w:rsidR="000A615D" w:rsidRPr="00546B8B">
        <w:t xml:space="preserve"> individuals to </w:t>
      </w:r>
      <w:r w:rsidR="009B1A37" w:rsidRPr="00546B8B">
        <w:t>state preferences</w:t>
      </w:r>
      <w:r w:rsidR="000A615D" w:rsidRPr="00546B8B">
        <w:t xml:space="preserve"> free from group influence </w:t>
      </w:r>
      <w:r w:rsidR="009B1A37" w:rsidRPr="00546B8B">
        <w:t>and peer pressure</w:t>
      </w:r>
      <w:r w:rsidR="000A615D" w:rsidRPr="00546B8B">
        <w:t xml:space="preserve">. </w:t>
      </w:r>
      <w:r w:rsidR="00CE3353" w:rsidRPr="00546B8B">
        <w:t>Finally, only the CE results provide</w:t>
      </w:r>
      <w:r>
        <w:t>d</w:t>
      </w:r>
      <w:r w:rsidR="00CE3353" w:rsidRPr="00546B8B">
        <w:t xml:space="preserve"> quantitative information and a cautionary interpretation of the results </w:t>
      </w:r>
      <w:r>
        <w:t>give</w:t>
      </w:r>
      <w:r w:rsidR="00CE3353" w:rsidRPr="00546B8B">
        <w:t xml:space="preserve"> a</w:t>
      </w:r>
      <w:r w:rsidR="003D113C" w:rsidRPr="00546B8B">
        <w:t>n</w:t>
      </w:r>
      <w:r>
        <w:t xml:space="preserve"> order-of-</w:t>
      </w:r>
      <w:r w:rsidR="00CE3353" w:rsidRPr="00546B8B">
        <w:t>magnitude estimate of the necessary compensation levels.</w:t>
      </w:r>
    </w:p>
    <w:p w14:paraId="400CEE82" w14:textId="49E9F5A3" w:rsidR="00847F9B" w:rsidRPr="00546B8B" w:rsidRDefault="00847F9B" w:rsidP="00FF5DB4">
      <w:pPr>
        <w:autoSpaceDE w:val="0"/>
        <w:autoSpaceDN w:val="0"/>
        <w:adjustRightInd w:val="0"/>
        <w:spacing w:after="120"/>
        <w:rPr>
          <w:b/>
          <w:lang w:eastAsia="nl-NL"/>
        </w:rPr>
      </w:pPr>
      <w:r w:rsidRPr="00546B8B">
        <w:rPr>
          <w:b/>
        </w:rPr>
        <w:t xml:space="preserve">5.2. What are </w:t>
      </w:r>
      <w:r w:rsidR="00AF1345" w:rsidRPr="00546B8B">
        <w:rPr>
          <w:b/>
        </w:rPr>
        <w:t xml:space="preserve">the </w:t>
      </w:r>
      <w:r w:rsidRPr="00546B8B">
        <w:rPr>
          <w:b/>
        </w:rPr>
        <w:t>advantages of combining CEs and FG</w:t>
      </w:r>
      <w:r w:rsidR="00FF5DB4" w:rsidRPr="00546B8B">
        <w:rPr>
          <w:b/>
        </w:rPr>
        <w:t>D</w:t>
      </w:r>
      <w:r w:rsidRPr="00546B8B">
        <w:rPr>
          <w:b/>
        </w:rPr>
        <w:t>s?</w:t>
      </w:r>
    </w:p>
    <w:p w14:paraId="06C00746" w14:textId="3BEFD0A3" w:rsidR="00FF5DB4" w:rsidRPr="00546B8B" w:rsidRDefault="00FF5DB4" w:rsidP="00667442">
      <w:pPr>
        <w:pStyle w:val="NormalJustified"/>
        <w:spacing w:after="120"/>
        <w:jc w:val="left"/>
        <w:rPr>
          <w:lang w:eastAsia="nl-NL"/>
        </w:rPr>
      </w:pPr>
      <w:proofErr w:type="spellStart"/>
      <w:r w:rsidRPr="00546B8B">
        <w:rPr>
          <w:lang w:eastAsia="nl-NL"/>
        </w:rPr>
        <w:t>Powe</w:t>
      </w:r>
      <w:proofErr w:type="spellEnd"/>
      <w:r w:rsidRPr="00546B8B">
        <w:rPr>
          <w:lang w:eastAsia="nl-NL"/>
        </w:rPr>
        <w:t xml:space="preserve"> (2007, Ch</w:t>
      </w:r>
      <w:r w:rsidR="00043692" w:rsidRPr="00546B8B">
        <w:rPr>
          <w:lang w:eastAsia="nl-NL"/>
        </w:rPr>
        <w:t xml:space="preserve">. </w:t>
      </w:r>
      <w:r w:rsidRPr="00546B8B">
        <w:rPr>
          <w:lang w:eastAsia="nl-NL"/>
        </w:rPr>
        <w:t>5) expressed four key advantages of FGDs combined with SP valuation studies:</w:t>
      </w:r>
    </w:p>
    <w:p w14:paraId="7ECD4C49" w14:textId="594B6C26" w:rsidR="00FF5DB4" w:rsidRPr="00546B8B" w:rsidRDefault="00FF5DB4" w:rsidP="00FF5DB4">
      <w:pPr>
        <w:pStyle w:val="NormalJustified"/>
        <w:numPr>
          <w:ilvl w:val="0"/>
          <w:numId w:val="9"/>
        </w:numPr>
        <w:spacing w:after="120"/>
        <w:jc w:val="left"/>
        <w:rPr>
          <w:lang w:eastAsia="nl-NL"/>
        </w:rPr>
      </w:pPr>
      <w:r w:rsidRPr="00546B8B">
        <w:rPr>
          <w:lang w:eastAsia="nl-NL"/>
        </w:rPr>
        <w:t>Presentation of the hypothetical market and scenario;</w:t>
      </w:r>
    </w:p>
    <w:p w14:paraId="00CBD4F5" w14:textId="0CF219D7" w:rsidR="00FF5DB4" w:rsidRPr="00546B8B" w:rsidRDefault="00FF5DB4" w:rsidP="00FF5DB4">
      <w:pPr>
        <w:pStyle w:val="NormalJustified"/>
        <w:numPr>
          <w:ilvl w:val="0"/>
          <w:numId w:val="9"/>
        </w:numPr>
        <w:spacing w:after="120"/>
        <w:jc w:val="left"/>
        <w:rPr>
          <w:lang w:eastAsia="nl-NL"/>
        </w:rPr>
      </w:pPr>
      <w:r w:rsidRPr="00546B8B">
        <w:rPr>
          <w:lang w:eastAsia="nl-NL"/>
        </w:rPr>
        <w:t>Description of the payment vehicle and transaction mechanism;</w:t>
      </w:r>
    </w:p>
    <w:p w14:paraId="19B165D6" w14:textId="49D8FCBC" w:rsidR="00FF5DB4" w:rsidRPr="00546B8B" w:rsidRDefault="00FF5DB4" w:rsidP="00FF5DB4">
      <w:pPr>
        <w:pStyle w:val="NormalJustified"/>
        <w:numPr>
          <w:ilvl w:val="0"/>
          <w:numId w:val="9"/>
        </w:numPr>
        <w:spacing w:after="120"/>
        <w:jc w:val="left"/>
        <w:rPr>
          <w:lang w:eastAsia="nl-NL"/>
        </w:rPr>
      </w:pPr>
      <w:r w:rsidRPr="00546B8B">
        <w:rPr>
          <w:lang w:eastAsia="nl-NL"/>
        </w:rPr>
        <w:t>Understanding strategies and motivations for WTP;</w:t>
      </w:r>
    </w:p>
    <w:p w14:paraId="71E81B80" w14:textId="71DCC022" w:rsidR="00FF5DB4" w:rsidRPr="00546B8B" w:rsidRDefault="00644174" w:rsidP="00644174">
      <w:pPr>
        <w:pStyle w:val="NormalJustified"/>
        <w:numPr>
          <w:ilvl w:val="0"/>
          <w:numId w:val="9"/>
        </w:numPr>
        <w:spacing w:after="120"/>
        <w:jc w:val="left"/>
        <w:rPr>
          <w:lang w:eastAsia="nl-NL"/>
        </w:rPr>
      </w:pPr>
      <w:r w:rsidRPr="00546B8B">
        <w:rPr>
          <w:lang w:eastAsia="nl-NL"/>
        </w:rPr>
        <w:t>Assessing the a</w:t>
      </w:r>
      <w:r w:rsidR="00FF5DB4" w:rsidRPr="00546B8B">
        <w:rPr>
          <w:lang w:eastAsia="nl-NL"/>
        </w:rPr>
        <w:t>cceptability of the approach.</w:t>
      </w:r>
    </w:p>
    <w:p w14:paraId="7563C97B" w14:textId="6A722598" w:rsidR="00644174" w:rsidRPr="00546B8B" w:rsidRDefault="00644174" w:rsidP="00DD3901">
      <w:pPr>
        <w:pStyle w:val="NormalJustified"/>
        <w:spacing w:after="120"/>
        <w:jc w:val="left"/>
        <w:rPr>
          <w:szCs w:val="22"/>
        </w:rPr>
      </w:pPr>
      <w:r w:rsidRPr="00546B8B">
        <w:rPr>
          <w:lang w:eastAsia="nl-NL"/>
        </w:rPr>
        <w:t xml:space="preserve">Here, (1) and (2) mainly refer to FGDs that inform the design of subsequently held SP surveys, making sure that respondents and researchers share a common conceptualization of the good under valuation. </w:t>
      </w:r>
      <w:r w:rsidR="002E3F01" w:rsidRPr="00546B8B">
        <w:rPr>
          <w:lang w:eastAsia="nl-NL"/>
        </w:rPr>
        <w:t xml:space="preserve">In our study, </w:t>
      </w:r>
      <w:r w:rsidR="00B4198D">
        <w:rPr>
          <w:lang w:eastAsia="nl-NL"/>
        </w:rPr>
        <w:t xml:space="preserve">FGD </w:t>
      </w:r>
      <w:r w:rsidR="002E3F01" w:rsidRPr="00546B8B">
        <w:rPr>
          <w:lang w:eastAsia="nl-NL"/>
        </w:rPr>
        <w:t xml:space="preserve">respondents initially perceived </w:t>
      </w:r>
      <w:r w:rsidR="002E3F01" w:rsidRPr="00546B8B">
        <w:rPr>
          <w:szCs w:val="22"/>
        </w:rPr>
        <w:t>investing in planting local species on farmland as unnecessary, since those species can be freely collected.</w:t>
      </w:r>
      <w:r w:rsidR="00DD3901" w:rsidRPr="00546B8B">
        <w:rPr>
          <w:szCs w:val="22"/>
        </w:rPr>
        <w:t xml:space="preserve"> Providing information on ecological services greatly enhanced support for farmer-led </w:t>
      </w:r>
      <w:r w:rsidR="00D4698D">
        <w:t>tree</w:t>
      </w:r>
      <w:r w:rsidR="008E4521">
        <w:t>-</w:t>
      </w:r>
      <w:r w:rsidR="00D4698D">
        <w:t xml:space="preserve"> planting</w:t>
      </w:r>
      <w:r w:rsidR="00D4698D" w:rsidRPr="00546B8B">
        <w:t xml:space="preserve"> </w:t>
      </w:r>
      <w:r w:rsidR="00DD3901" w:rsidRPr="00546B8B">
        <w:rPr>
          <w:szCs w:val="22"/>
        </w:rPr>
        <w:t>in the FG</w:t>
      </w:r>
      <w:r w:rsidR="006E129F" w:rsidRPr="00546B8B">
        <w:rPr>
          <w:szCs w:val="22"/>
        </w:rPr>
        <w:t>D</w:t>
      </w:r>
      <w:r w:rsidR="00FF1201">
        <w:rPr>
          <w:szCs w:val="22"/>
        </w:rPr>
        <w:t>s</w:t>
      </w:r>
      <w:r w:rsidR="00DD3901" w:rsidRPr="00546B8B">
        <w:rPr>
          <w:szCs w:val="22"/>
        </w:rPr>
        <w:t>. It could be argued that</w:t>
      </w:r>
      <w:r w:rsidR="00DD3901" w:rsidRPr="00546B8B">
        <w:rPr>
          <w:i/>
          <w:szCs w:val="22"/>
        </w:rPr>
        <w:t xml:space="preserve"> </w:t>
      </w:r>
      <w:r w:rsidR="00DD3901" w:rsidRPr="00546B8B">
        <w:rPr>
          <w:szCs w:val="22"/>
        </w:rPr>
        <w:t xml:space="preserve">in the CE the significant effect of </w:t>
      </w:r>
      <w:r w:rsidR="00883C3C">
        <w:rPr>
          <w:szCs w:val="22"/>
        </w:rPr>
        <w:t>involved</w:t>
      </w:r>
      <w:r w:rsidR="00DD3901" w:rsidRPr="00546B8B">
        <w:rPr>
          <w:szCs w:val="22"/>
        </w:rPr>
        <w:t xml:space="preserve"> in CKPP reflects </w:t>
      </w:r>
      <w:r w:rsidR="00E85E43" w:rsidRPr="00546B8B">
        <w:rPr>
          <w:szCs w:val="22"/>
        </w:rPr>
        <w:t>a similar information effect</w:t>
      </w:r>
      <w:r w:rsidR="009A4D19">
        <w:rPr>
          <w:szCs w:val="22"/>
        </w:rPr>
        <w:t xml:space="preserve">, but it may also be </w:t>
      </w:r>
      <w:r w:rsidR="009A4D19" w:rsidRPr="002979F2">
        <w:rPr>
          <w:szCs w:val="22"/>
        </w:rPr>
        <w:t>that these respondents opted to convert more land because they had larger plots (see Table 2)</w:t>
      </w:r>
      <w:r w:rsidR="00E85E43" w:rsidRPr="002979F2">
        <w:rPr>
          <w:szCs w:val="22"/>
        </w:rPr>
        <w:t>.</w:t>
      </w:r>
      <w:r w:rsidR="00E85E43" w:rsidRPr="00546B8B">
        <w:rPr>
          <w:szCs w:val="22"/>
        </w:rPr>
        <w:t xml:space="preserve"> </w:t>
      </w:r>
    </w:p>
    <w:p w14:paraId="77342599" w14:textId="64408197" w:rsidR="00135EDC" w:rsidRPr="00546B8B" w:rsidRDefault="00C109D5" w:rsidP="00BC691C">
      <w:pPr>
        <w:pStyle w:val="NormalJustified"/>
        <w:spacing w:after="120"/>
        <w:jc w:val="left"/>
        <w:rPr>
          <w:lang w:eastAsia="nl-NL"/>
        </w:rPr>
      </w:pPr>
      <w:r w:rsidRPr="00546B8B">
        <w:rPr>
          <w:szCs w:val="22"/>
        </w:rPr>
        <w:t xml:space="preserve">We argue that a </w:t>
      </w:r>
      <w:proofErr w:type="gramStart"/>
      <w:r w:rsidRPr="00546B8B">
        <w:rPr>
          <w:szCs w:val="22"/>
        </w:rPr>
        <w:t>particular advantage</w:t>
      </w:r>
      <w:proofErr w:type="gramEnd"/>
      <w:r w:rsidRPr="00546B8B">
        <w:rPr>
          <w:szCs w:val="22"/>
        </w:rPr>
        <w:t xml:space="preserve"> of FGD</w:t>
      </w:r>
      <w:r w:rsidR="00135EDC" w:rsidRPr="00546B8B">
        <w:rPr>
          <w:szCs w:val="22"/>
        </w:rPr>
        <w:t>s</w:t>
      </w:r>
      <w:r w:rsidRPr="00546B8B">
        <w:rPr>
          <w:szCs w:val="22"/>
        </w:rPr>
        <w:t xml:space="preserve"> is that </w:t>
      </w:r>
      <w:r w:rsidR="00135EDC" w:rsidRPr="00546B8B">
        <w:rPr>
          <w:szCs w:val="22"/>
        </w:rPr>
        <w:t>they</w:t>
      </w:r>
      <w:r w:rsidRPr="00546B8B">
        <w:rPr>
          <w:szCs w:val="22"/>
        </w:rPr>
        <w:t xml:space="preserve"> allow</w:t>
      </w:r>
      <w:r w:rsidR="00135EDC" w:rsidRPr="00546B8B">
        <w:rPr>
          <w:szCs w:val="22"/>
        </w:rPr>
        <w:t xml:space="preserve"> </w:t>
      </w:r>
      <w:r w:rsidRPr="00546B8B">
        <w:rPr>
          <w:szCs w:val="22"/>
        </w:rPr>
        <w:t>for exploration of time preferences with more flexibility than CEs. In studies</w:t>
      </w:r>
      <w:r w:rsidR="00E334A3" w:rsidRPr="00546B8B">
        <w:rPr>
          <w:szCs w:val="22"/>
        </w:rPr>
        <w:t xml:space="preserve"> on environmental restoration funded by private payments</w:t>
      </w:r>
      <w:r w:rsidRPr="00546B8B">
        <w:rPr>
          <w:szCs w:val="22"/>
        </w:rPr>
        <w:t xml:space="preserve">, the </w:t>
      </w:r>
      <w:r w:rsidR="00622E33" w:rsidRPr="00546B8B">
        <w:rPr>
          <w:szCs w:val="22"/>
        </w:rPr>
        <w:t>provision</w:t>
      </w:r>
      <w:r w:rsidRPr="00546B8B">
        <w:rPr>
          <w:szCs w:val="22"/>
        </w:rPr>
        <w:t xml:space="preserve"> of </w:t>
      </w:r>
      <w:r w:rsidR="00622E33" w:rsidRPr="00546B8B">
        <w:rPr>
          <w:szCs w:val="22"/>
        </w:rPr>
        <w:t xml:space="preserve">marginal </w:t>
      </w:r>
      <w:r w:rsidRPr="00546B8B">
        <w:rPr>
          <w:szCs w:val="22"/>
        </w:rPr>
        <w:t>benefits will</w:t>
      </w:r>
      <w:r w:rsidR="00622E33" w:rsidRPr="00546B8B">
        <w:rPr>
          <w:szCs w:val="22"/>
        </w:rPr>
        <w:t xml:space="preserve"> often</w:t>
      </w:r>
      <w:r w:rsidRPr="00546B8B">
        <w:rPr>
          <w:szCs w:val="22"/>
        </w:rPr>
        <w:t xml:space="preserve"> take time, whilst payments start immediately. </w:t>
      </w:r>
      <w:r w:rsidR="00622E33" w:rsidRPr="00546B8B">
        <w:rPr>
          <w:szCs w:val="22"/>
        </w:rPr>
        <w:t>Researchers may assume that respondents are able to make trade-offs in time adequately and infer private discount rates</w:t>
      </w:r>
      <w:r w:rsidR="00E334A3" w:rsidRPr="00546B8B">
        <w:rPr>
          <w:szCs w:val="22"/>
        </w:rPr>
        <w:t xml:space="preserve"> from stated WTP</w:t>
      </w:r>
      <w:r w:rsidR="00622E33" w:rsidRPr="00546B8B">
        <w:rPr>
          <w:szCs w:val="22"/>
        </w:rPr>
        <w:t>.</w:t>
      </w:r>
      <w:r w:rsidR="00135EDC" w:rsidRPr="00546B8B">
        <w:rPr>
          <w:lang w:eastAsia="nl-NL"/>
        </w:rPr>
        <w:t xml:space="preserve"> </w:t>
      </w:r>
      <w:r w:rsidR="00F00AF3" w:rsidRPr="00546B8B">
        <w:rPr>
          <w:lang w:eastAsia="nl-NL"/>
        </w:rPr>
        <w:t xml:space="preserve">However, studies on the rate of time preference highlight that individual time preferences depend on a mix of factors, not only wealth but also risk attitudes, ethical and socio-cultural stance (Holden et al. 1998, Ehmke and </w:t>
      </w:r>
      <w:proofErr w:type="spellStart"/>
      <w:r w:rsidR="00F00AF3" w:rsidRPr="00546B8B">
        <w:rPr>
          <w:lang w:eastAsia="nl-NL"/>
        </w:rPr>
        <w:t>Shogren</w:t>
      </w:r>
      <w:proofErr w:type="spellEnd"/>
      <w:r w:rsidR="00F00AF3" w:rsidRPr="00546B8B">
        <w:rPr>
          <w:lang w:eastAsia="nl-NL"/>
        </w:rPr>
        <w:t xml:space="preserve"> 2009, Oleson et al. 2015). I</w:t>
      </w:r>
      <w:r w:rsidR="00135EDC" w:rsidRPr="00546B8B">
        <w:rPr>
          <w:lang w:eastAsia="nl-NL"/>
        </w:rPr>
        <w:t xml:space="preserve">t may be easier for respondents to express their considerations of the distribution of benefits or costs over time in a FGD in a verbal, </w:t>
      </w:r>
      <w:r w:rsidR="00135EDC" w:rsidRPr="00546B8B">
        <w:rPr>
          <w:lang w:eastAsia="nl-NL"/>
        </w:rPr>
        <w:lastRenderedPageBreak/>
        <w:t>qua</w:t>
      </w:r>
      <w:r w:rsidR="00BC691C">
        <w:rPr>
          <w:lang w:eastAsia="nl-NL"/>
        </w:rPr>
        <w:t>l</w:t>
      </w:r>
      <w:r w:rsidR="00135EDC" w:rsidRPr="00546B8B">
        <w:rPr>
          <w:lang w:eastAsia="nl-NL"/>
        </w:rPr>
        <w:t xml:space="preserve">itative manner, rather than through making a rational choice in a CE by discounting the costs and benefits. This is equally important </w:t>
      </w:r>
      <w:r w:rsidR="00622E33" w:rsidRPr="00546B8B">
        <w:rPr>
          <w:szCs w:val="22"/>
        </w:rPr>
        <w:t xml:space="preserve">in </w:t>
      </w:r>
      <w:r w:rsidR="00135EDC" w:rsidRPr="00546B8B">
        <w:rPr>
          <w:szCs w:val="22"/>
        </w:rPr>
        <w:t>WTA studies, especially</w:t>
      </w:r>
      <w:r w:rsidR="00622E33" w:rsidRPr="00546B8B">
        <w:rPr>
          <w:szCs w:val="22"/>
        </w:rPr>
        <w:t xml:space="preserve"> where the proposed scenarios affect a </w:t>
      </w:r>
      <w:r w:rsidR="00E91FC1" w:rsidRPr="00546B8B">
        <w:rPr>
          <w:szCs w:val="22"/>
        </w:rPr>
        <w:t>non-trivial</w:t>
      </w:r>
      <w:r w:rsidR="00622E33" w:rsidRPr="00546B8B">
        <w:rPr>
          <w:szCs w:val="22"/>
        </w:rPr>
        <w:t xml:space="preserve"> proportion of the main source of food and income of respondents</w:t>
      </w:r>
      <w:r w:rsidR="00135EDC" w:rsidRPr="00546B8B">
        <w:rPr>
          <w:szCs w:val="22"/>
        </w:rPr>
        <w:t>.</w:t>
      </w:r>
      <w:r w:rsidR="00135EDC" w:rsidRPr="00546B8B">
        <w:rPr>
          <w:lang w:eastAsia="nl-NL"/>
        </w:rPr>
        <w:t xml:space="preserve"> In our study, the long-term outcome may be more beneficial and </w:t>
      </w:r>
      <w:r w:rsidR="00135EDC" w:rsidRPr="00546B8B">
        <w:rPr>
          <w:szCs w:val="22"/>
        </w:rPr>
        <w:t xml:space="preserve">farmers may be </w:t>
      </w:r>
      <w:r w:rsidR="00134FC4">
        <w:rPr>
          <w:szCs w:val="22"/>
        </w:rPr>
        <w:t xml:space="preserve">genuinely </w:t>
      </w:r>
      <w:r w:rsidR="00135EDC" w:rsidRPr="00546B8B">
        <w:rPr>
          <w:szCs w:val="22"/>
        </w:rPr>
        <w:t>interested</w:t>
      </w:r>
      <w:r w:rsidR="00134FC4">
        <w:rPr>
          <w:szCs w:val="22"/>
        </w:rPr>
        <w:t>,</w:t>
      </w:r>
      <w:r w:rsidR="00135EDC" w:rsidRPr="00546B8B">
        <w:rPr>
          <w:szCs w:val="22"/>
        </w:rPr>
        <w:t xml:space="preserve"> </w:t>
      </w:r>
      <w:r w:rsidR="00134FC4">
        <w:rPr>
          <w:szCs w:val="22"/>
        </w:rPr>
        <w:t>yet</w:t>
      </w:r>
      <w:r w:rsidR="00134FC4" w:rsidRPr="00546B8B">
        <w:rPr>
          <w:szCs w:val="22"/>
        </w:rPr>
        <w:t xml:space="preserve"> </w:t>
      </w:r>
      <w:r w:rsidR="00135EDC" w:rsidRPr="00546B8B">
        <w:rPr>
          <w:szCs w:val="22"/>
        </w:rPr>
        <w:t>they need to overcome the period until trees are ready to be harvested. Therefore</w:t>
      </w:r>
      <w:r w:rsidR="00135EDC" w:rsidRPr="00546B8B">
        <w:rPr>
          <w:lang w:eastAsia="nl-NL"/>
        </w:rPr>
        <w:t xml:space="preserve">, the switching costs which fall in the immediate future may require </w:t>
      </w:r>
      <w:r w:rsidR="00135EDC" w:rsidRPr="00546B8B">
        <w:rPr>
          <w:szCs w:val="22"/>
        </w:rPr>
        <w:t>front-loading compensation payments</w:t>
      </w:r>
      <w:r w:rsidR="00135EDC" w:rsidRPr="00546B8B">
        <w:rPr>
          <w:lang w:eastAsia="nl-NL"/>
        </w:rPr>
        <w:t xml:space="preserve">, especially in low-income countries where people have limited financial buffers to overcome net short-term costs. </w:t>
      </w:r>
    </w:p>
    <w:p w14:paraId="4CF7673C" w14:textId="1EB070A2" w:rsidR="00E85E43" w:rsidRPr="00546B8B" w:rsidRDefault="00E85E43" w:rsidP="00E85E43">
      <w:pPr>
        <w:pStyle w:val="NormalJustified"/>
        <w:spacing w:after="120"/>
        <w:jc w:val="left"/>
        <w:rPr>
          <w:szCs w:val="22"/>
        </w:rPr>
      </w:pPr>
      <w:r w:rsidRPr="00546B8B">
        <w:rPr>
          <w:szCs w:val="22"/>
        </w:rPr>
        <w:t>The FGD</w:t>
      </w:r>
      <w:r w:rsidR="00FF1201">
        <w:rPr>
          <w:szCs w:val="22"/>
        </w:rPr>
        <w:t>s</w:t>
      </w:r>
      <w:r w:rsidRPr="00546B8B">
        <w:rPr>
          <w:szCs w:val="22"/>
        </w:rPr>
        <w:t xml:space="preserve"> also revealed more about farmer preferences towards the transaction mechanism, especially their lack of </w:t>
      </w:r>
      <w:r w:rsidRPr="00546B8B">
        <w:rPr>
          <w:iCs/>
          <w:szCs w:val="22"/>
        </w:rPr>
        <w:t>trust</w:t>
      </w:r>
      <w:r w:rsidRPr="00546B8B">
        <w:rPr>
          <w:szCs w:val="22"/>
        </w:rPr>
        <w:t xml:space="preserve"> that money</w:t>
      </w:r>
      <w:r w:rsidR="006903E5" w:rsidRPr="00546B8B">
        <w:rPr>
          <w:szCs w:val="22"/>
        </w:rPr>
        <w:t xml:space="preserve"> and extension services</w:t>
      </w:r>
      <w:r w:rsidRPr="00546B8B">
        <w:rPr>
          <w:szCs w:val="22"/>
        </w:rPr>
        <w:t xml:space="preserve"> would be provided due to corruption. This puts the CE result that respondents would accept monetary compensation into perspective, although it did not lead to a</w:t>
      </w:r>
      <w:r w:rsidR="00134FC4">
        <w:rPr>
          <w:szCs w:val="22"/>
        </w:rPr>
        <w:t xml:space="preserve"> complete</w:t>
      </w:r>
      <w:r w:rsidRPr="00546B8B">
        <w:rPr>
          <w:szCs w:val="22"/>
        </w:rPr>
        <w:t xml:space="preserve"> rejection of the </w:t>
      </w:r>
      <w:r w:rsidR="00CD42DA">
        <w:rPr>
          <w:szCs w:val="22"/>
        </w:rPr>
        <w:t xml:space="preserve">monetary compensation </w:t>
      </w:r>
      <w:r w:rsidRPr="00546B8B">
        <w:rPr>
          <w:szCs w:val="22"/>
        </w:rPr>
        <w:t>options.</w:t>
      </w:r>
    </w:p>
    <w:p w14:paraId="4DFDAED1" w14:textId="5D8CE6E8" w:rsidR="00644174" w:rsidRPr="00546B8B" w:rsidRDefault="002E3F01" w:rsidP="00C109D5">
      <w:pPr>
        <w:pStyle w:val="NormalJustified"/>
        <w:spacing w:after="120"/>
        <w:jc w:val="left"/>
        <w:rPr>
          <w:lang w:eastAsia="nl-NL"/>
        </w:rPr>
      </w:pPr>
      <w:proofErr w:type="spellStart"/>
      <w:r w:rsidRPr="00546B8B">
        <w:rPr>
          <w:lang w:eastAsia="nl-NL"/>
        </w:rPr>
        <w:t>Powe</w:t>
      </w:r>
      <w:proofErr w:type="spellEnd"/>
      <w:r w:rsidR="003C1AFC" w:rsidRPr="00546B8B">
        <w:rPr>
          <w:lang w:eastAsia="nl-NL"/>
        </w:rPr>
        <w:t xml:space="preserve"> (2007)</w:t>
      </w:r>
      <w:r w:rsidRPr="00546B8B">
        <w:rPr>
          <w:lang w:eastAsia="nl-NL"/>
        </w:rPr>
        <w:t xml:space="preserve"> relates the</w:t>
      </w:r>
      <w:r w:rsidR="00644174" w:rsidRPr="00546B8B">
        <w:rPr>
          <w:lang w:eastAsia="nl-NL"/>
        </w:rPr>
        <w:t xml:space="preserve"> 3</w:t>
      </w:r>
      <w:r w:rsidR="00644174" w:rsidRPr="00546B8B">
        <w:rPr>
          <w:vertAlign w:val="superscript"/>
          <w:lang w:eastAsia="nl-NL"/>
        </w:rPr>
        <w:t>rd</w:t>
      </w:r>
      <w:r w:rsidR="00644174" w:rsidRPr="00546B8B">
        <w:rPr>
          <w:lang w:eastAsia="nl-NL"/>
        </w:rPr>
        <w:t xml:space="preserve"> point</w:t>
      </w:r>
      <w:r w:rsidRPr="00546B8B">
        <w:rPr>
          <w:lang w:eastAsia="nl-NL"/>
        </w:rPr>
        <w:t xml:space="preserve"> mainly </w:t>
      </w:r>
      <w:r w:rsidR="00644174" w:rsidRPr="00546B8B">
        <w:rPr>
          <w:lang w:eastAsia="nl-NL"/>
        </w:rPr>
        <w:t>to the interpretation of WTP statements</w:t>
      </w:r>
      <w:r w:rsidRPr="00546B8B">
        <w:rPr>
          <w:lang w:eastAsia="nl-NL"/>
        </w:rPr>
        <w:t xml:space="preserve"> for (public) environmental goods</w:t>
      </w:r>
      <w:r w:rsidR="00644174" w:rsidRPr="00546B8B">
        <w:rPr>
          <w:lang w:eastAsia="nl-NL"/>
        </w:rPr>
        <w:t xml:space="preserve">: CV surveys </w:t>
      </w:r>
      <w:r w:rsidR="00F6554C" w:rsidRPr="00546B8B">
        <w:rPr>
          <w:lang w:eastAsia="nl-NL"/>
        </w:rPr>
        <w:t xml:space="preserve">intend </w:t>
      </w:r>
      <w:r w:rsidR="00644174" w:rsidRPr="00546B8B">
        <w:rPr>
          <w:lang w:eastAsia="nl-NL"/>
        </w:rPr>
        <w:t>to assess maximum WTP, but respondents may instead express a ‘fair</w:t>
      </w:r>
      <w:r w:rsidR="003E63F6" w:rsidRPr="00546B8B">
        <w:rPr>
          <w:lang w:eastAsia="nl-NL"/>
        </w:rPr>
        <w:t>-share</w:t>
      </w:r>
      <w:r w:rsidR="00644174" w:rsidRPr="00546B8B">
        <w:rPr>
          <w:lang w:eastAsia="nl-NL"/>
        </w:rPr>
        <w:t>’ WTP</w:t>
      </w:r>
      <w:r w:rsidR="00C109D5" w:rsidRPr="00546B8B">
        <w:rPr>
          <w:lang w:eastAsia="nl-NL"/>
        </w:rPr>
        <w:t>,</w:t>
      </w:r>
      <w:r w:rsidR="00644174" w:rsidRPr="00546B8B">
        <w:rPr>
          <w:lang w:eastAsia="nl-NL"/>
        </w:rPr>
        <w:t xml:space="preserve"> or provide </w:t>
      </w:r>
      <w:r w:rsidR="00F92026" w:rsidRPr="00546B8B">
        <w:rPr>
          <w:lang w:eastAsia="nl-NL"/>
        </w:rPr>
        <w:t xml:space="preserve">protest bids or </w:t>
      </w:r>
      <w:r w:rsidR="00C109D5" w:rsidRPr="00546B8B">
        <w:rPr>
          <w:lang w:eastAsia="nl-NL"/>
        </w:rPr>
        <w:t xml:space="preserve">strategic answers </w:t>
      </w:r>
      <w:r w:rsidR="00E11E3F" w:rsidRPr="00546B8B">
        <w:rPr>
          <w:lang w:eastAsia="nl-NL"/>
        </w:rPr>
        <w:t xml:space="preserve">(see also </w:t>
      </w:r>
      <w:proofErr w:type="spellStart"/>
      <w:r w:rsidR="00E11E3F" w:rsidRPr="00546B8B">
        <w:rPr>
          <w:lang w:eastAsia="nl-NL"/>
        </w:rPr>
        <w:t>Powe</w:t>
      </w:r>
      <w:proofErr w:type="spellEnd"/>
      <w:r w:rsidR="00E11E3F" w:rsidRPr="00546B8B">
        <w:rPr>
          <w:lang w:eastAsia="nl-NL"/>
        </w:rPr>
        <w:t xml:space="preserve"> et al. 200</w:t>
      </w:r>
      <w:r w:rsidRPr="00546B8B">
        <w:rPr>
          <w:lang w:eastAsia="nl-NL"/>
        </w:rPr>
        <w:t>5)</w:t>
      </w:r>
      <w:r w:rsidR="00644174" w:rsidRPr="00546B8B">
        <w:rPr>
          <w:lang w:eastAsia="nl-NL"/>
        </w:rPr>
        <w:t>.</w:t>
      </w:r>
      <w:r w:rsidRPr="00546B8B">
        <w:rPr>
          <w:lang w:eastAsia="nl-NL"/>
        </w:rPr>
        <w:t xml:space="preserve"> </w:t>
      </w:r>
      <w:r w:rsidR="00B62CDA" w:rsidRPr="00546B8B">
        <w:rPr>
          <w:lang w:eastAsia="nl-NL"/>
        </w:rPr>
        <w:t>This point could be expanded: there may be potential to explore with FGD</w:t>
      </w:r>
      <w:r w:rsidR="00FF1201">
        <w:rPr>
          <w:lang w:eastAsia="nl-NL"/>
        </w:rPr>
        <w:t>s</w:t>
      </w:r>
      <w:r w:rsidR="00B62CDA" w:rsidRPr="00546B8B">
        <w:rPr>
          <w:lang w:eastAsia="nl-NL"/>
        </w:rPr>
        <w:t xml:space="preserve"> to what extent alternatives to utility maximisation behaviour, such as satisficing, or risk averse behaviour apply, especially when dealing with unfamiliar and risky options. In our study, </w:t>
      </w:r>
      <w:r w:rsidR="004A6D37" w:rsidRPr="00546B8B">
        <w:rPr>
          <w:lang w:eastAsia="nl-NL"/>
        </w:rPr>
        <w:t xml:space="preserve">participants in the CE, who were highly dependent on ecosystem services from agricultural land and forests, </w:t>
      </w:r>
      <w:r w:rsidR="00B62CDA" w:rsidRPr="00546B8B">
        <w:rPr>
          <w:lang w:eastAsia="nl-NL"/>
        </w:rPr>
        <w:t>may have shown</w:t>
      </w:r>
      <w:r w:rsidR="004A6D37" w:rsidRPr="00546B8B">
        <w:rPr>
          <w:lang w:eastAsia="nl-NL"/>
        </w:rPr>
        <w:t xml:space="preserve"> choice behaviour that aimed to satisfy needs through low risk options rather than maximise their utility. </w:t>
      </w:r>
      <w:r w:rsidR="00C109D5" w:rsidRPr="00546B8B">
        <w:rPr>
          <w:lang w:eastAsia="nl-NL"/>
        </w:rPr>
        <w:t>The FGDs shed no further light on a possible cultural bias towards yes-saying in the CE</w:t>
      </w:r>
      <w:r w:rsidR="00AF0C49" w:rsidRPr="00546B8B">
        <w:rPr>
          <w:lang w:eastAsia="nl-NL"/>
        </w:rPr>
        <w:t xml:space="preserve"> (or the absence of protest-responses)</w:t>
      </w:r>
      <w:r w:rsidR="00C109D5" w:rsidRPr="00546B8B">
        <w:rPr>
          <w:lang w:eastAsia="nl-NL"/>
        </w:rPr>
        <w:t>, but certainly highlight reservations towards adoption.</w:t>
      </w:r>
      <w:r w:rsidR="00D96E7A" w:rsidRPr="00546B8B">
        <w:rPr>
          <w:lang w:eastAsia="nl-NL"/>
        </w:rPr>
        <w:t xml:space="preserve"> </w:t>
      </w:r>
    </w:p>
    <w:p w14:paraId="626AD9DB" w14:textId="3B3B7EC8" w:rsidR="00A52A25" w:rsidRPr="00546B8B" w:rsidRDefault="006903E5" w:rsidP="00A52A25">
      <w:pPr>
        <w:pStyle w:val="NormalJustified"/>
        <w:spacing w:after="120"/>
        <w:jc w:val="left"/>
        <w:rPr>
          <w:szCs w:val="22"/>
        </w:rPr>
      </w:pPr>
      <w:r w:rsidRPr="001E3755">
        <w:rPr>
          <w:lang w:eastAsia="nl-NL"/>
        </w:rPr>
        <w:t>We argue that the usefulness of FGDs to inform CEs also lies in the specification of the regression model</w:t>
      </w:r>
      <w:r w:rsidR="00135EDC" w:rsidRPr="001E3755">
        <w:rPr>
          <w:lang w:eastAsia="nl-NL"/>
        </w:rPr>
        <w:t xml:space="preserve"> and the interpretation of attribute effects</w:t>
      </w:r>
      <w:r w:rsidRPr="001E3755">
        <w:rPr>
          <w:lang w:eastAsia="nl-NL"/>
        </w:rPr>
        <w:t>.</w:t>
      </w:r>
      <w:r w:rsidR="00135EDC" w:rsidRPr="001E3755">
        <w:rPr>
          <w:lang w:eastAsia="nl-NL"/>
        </w:rPr>
        <w:t xml:space="preserve"> As described in the previous section, the FGD results helped to explain the statistical results of the CE analysis</w:t>
      </w:r>
      <w:r w:rsidR="006E129F" w:rsidRPr="001E3755">
        <w:rPr>
          <w:lang w:eastAsia="nl-NL"/>
        </w:rPr>
        <w:t>,</w:t>
      </w:r>
      <w:r w:rsidR="001B5668">
        <w:rPr>
          <w:lang w:eastAsia="nl-NL"/>
        </w:rPr>
        <w:t xml:space="preserve"> and</w:t>
      </w:r>
      <w:r w:rsidR="006E129F" w:rsidRPr="001E3755">
        <w:rPr>
          <w:lang w:eastAsia="nl-NL"/>
        </w:rPr>
        <w:t xml:space="preserve"> i</w:t>
      </w:r>
      <w:r w:rsidR="00135EDC" w:rsidRPr="00676E98">
        <w:rPr>
          <w:lang w:eastAsia="nl-NL"/>
        </w:rPr>
        <w:t xml:space="preserve">n </w:t>
      </w:r>
      <w:proofErr w:type="gramStart"/>
      <w:r w:rsidR="00135EDC" w:rsidRPr="00676E98">
        <w:rPr>
          <w:lang w:eastAsia="nl-NL"/>
        </w:rPr>
        <w:t>particular</w:t>
      </w:r>
      <w:r w:rsidRPr="00546B8B">
        <w:rPr>
          <w:lang w:eastAsia="nl-NL"/>
        </w:rPr>
        <w:t xml:space="preserve">, </w:t>
      </w:r>
      <w:r w:rsidR="00E91FC1" w:rsidRPr="00546B8B">
        <w:rPr>
          <w:szCs w:val="22"/>
        </w:rPr>
        <w:t>the</w:t>
      </w:r>
      <w:proofErr w:type="gramEnd"/>
      <w:r w:rsidR="00E91FC1" w:rsidRPr="00546B8B">
        <w:rPr>
          <w:szCs w:val="22"/>
        </w:rPr>
        <w:t xml:space="preserve"> quadratic effect for the </w:t>
      </w:r>
      <w:r w:rsidR="00D4698D">
        <w:t>tree</w:t>
      </w:r>
      <w:r w:rsidR="008E4521">
        <w:t>-</w:t>
      </w:r>
      <w:r w:rsidR="00D4698D">
        <w:t>planting</w:t>
      </w:r>
      <w:r w:rsidR="00D4698D" w:rsidRPr="00546B8B">
        <w:t xml:space="preserve"> </w:t>
      </w:r>
      <w:r w:rsidR="00E91FC1" w:rsidRPr="00546B8B">
        <w:rPr>
          <w:szCs w:val="22"/>
        </w:rPr>
        <w:t>attribute. Whilst such non-linearity in preferences violates standard monotonicity assumptions, the FGDs explain this behaviour that is akin to risk aversion.</w:t>
      </w:r>
    </w:p>
    <w:p w14:paraId="702AC6F1" w14:textId="113B2663" w:rsidR="006903E5" w:rsidRPr="00546B8B" w:rsidRDefault="00F92026" w:rsidP="00A52A25">
      <w:pPr>
        <w:pStyle w:val="NormalJustified"/>
        <w:spacing w:after="120"/>
        <w:jc w:val="left"/>
        <w:rPr>
          <w:szCs w:val="22"/>
        </w:rPr>
      </w:pPr>
      <w:r w:rsidRPr="00546B8B">
        <w:rPr>
          <w:szCs w:val="22"/>
        </w:rPr>
        <w:t xml:space="preserve">In addition, preference heterogeneity is often modelled through random parameters without explaining the determinant of heterogeneity. Statistical identification of such determinants may be difficult when heterogeneity is driven by a complex set of factors. Factor analysis or hybrid choice models </w:t>
      </w:r>
      <w:r w:rsidR="003D536A" w:rsidRPr="00546B8B">
        <w:rPr>
          <w:szCs w:val="22"/>
        </w:rPr>
        <w:t>(Bolduc et al. 2005)</w:t>
      </w:r>
      <w:r w:rsidR="00D96E7A" w:rsidRPr="00546B8B">
        <w:rPr>
          <w:szCs w:val="22"/>
        </w:rPr>
        <w:t xml:space="preserve"> and latent class models</w:t>
      </w:r>
      <w:r w:rsidR="003D536A" w:rsidRPr="00546B8B">
        <w:rPr>
          <w:szCs w:val="22"/>
        </w:rPr>
        <w:t xml:space="preserve"> </w:t>
      </w:r>
      <w:r w:rsidRPr="00546B8B">
        <w:rPr>
          <w:szCs w:val="22"/>
        </w:rPr>
        <w:t xml:space="preserve">may </w:t>
      </w:r>
      <w:r w:rsidR="00A52A25" w:rsidRPr="00546B8B">
        <w:rPr>
          <w:szCs w:val="22"/>
        </w:rPr>
        <w:t xml:space="preserve">help, </w:t>
      </w:r>
      <w:r w:rsidR="00D96E7A" w:rsidRPr="00546B8B">
        <w:rPr>
          <w:szCs w:val="22"/>
        </w:rPr>
        <w:t>and so can the inclusion of other variables through interaction effects</w:t>
      </w:r>
      <w:r w:rsidR="00CE642B">
        <w:rPr>
          <w:szCs w:val="22"/>
        </w:rPr>
        <w:t>, although the inclusion of additional questions creates additional theoretical and statistical concerns (Johnston et al. 2017)</w:t>
      </w:r>
      <w:r w:rsidR="00D96E7A" w:rsidRPr="00546B8B">
        <w:rPr>
          <w:szCs w:val="22"/>
        </w:rPr>
        <w:t xml:space="preserve">. </w:t>
      </w:r>
      <w:r w:rsidR="00A52A25" w:rsidRPr="00546B8B">
        <w:rPr>
          <w:szCs w:val="22"/>
        </w:rPr>
        <w:t>FGDs offer a flexible, separate source of explanations</w:t>
      </w:r>
      <w:r w:rsidR="00D96E7A" w:rsidRPr="00546B8B">
        <w:rPr>
          <w:szCs w:val="22"/>
        </w:rPr>
        <w:t>, in which causality rather than correlation can be explored</w:t>
      </w:r>
      <w:r w:rsidR="00A52A25" w:rsidRPr="00546B8B">
        <w:rPr>
          <w:szCs w:val="22"/>
        </w:rPr>
        <w:t>.</w:t>
      </w:r>
      <w:r w:rsidRPr="00546B8B">
        <w:rPr>
          <w:szCs w:val="22"/>
        </w:rPr>
        <w:t xml:space="preserve"> </w:t>
      </w:r>
      <w:r w:rsidR="00883C3C">
        <w:rPr>
          <w:szCs w:val="22"/>
        </w:rPr>
        <w:t>In our study, for</w:t>
      </w:r>
      <w:r w:rsidR="00A52A25" w:rsidRPr="00546B8B">
        <w:rPr>
          <w:szCs w:val="22"/>
        </w:rPr>
        <w:t xml:space="preserve"> example, </w:t>
      </w:r>
      <w:r w:rsidR="008D6EF0">
        <w:rPr>
          <w:szCs w:val="22"/>
        </w:rPr>
        <w:t xml:space="preserve">the unexplained </w:t>
      </w:r>
      <w:r w:rsidR="00A52A25" w:rsidRPr="00546B8B">
        <w:rPr>
          <w:szCs w:val="22"/>
        </w:rPr>
        <w:t xml:space="preserve">heterogeneity in the proportion of </w:t>
      </w:r>
      <w:r w:rsidR="00D4698D">
        <w:rPr>
          <w:szCs w:val="22"/>
        </w:rPr>
        <w:t xml:space="preserve">crop and fallow </w:t>
      </w:r>
      <w:r w:rsidR="00A52A25" w:rsidRPr="00546B8B">
        <w:rPr>
          <w:szCs w:val="22"/>
        </w:rPr>
        <w:t xml:space="preserve">land converted to </w:t>
      </w:r>
      <w:r w:rsidR="00D4698D">
        <w:rPr>
          <w:szCs w:val="22"/>
        </w:rPr>
        <w:t>tree-based farming</w:t>
      </w:r>
      <w:r w:rsidR="008D6EF0">
        <w:rPr>
          <w:szCs w:val="22"/>
        </w:rPr>
        <w:t xml:space="preserve"> </w:t>
      </w:r>
      <w:r w:rsidR="00A52A25" w:rsidRPr="00546B8B">
        <w:rPr>
          <w:szCs w:val="22"/>
        </w:rPr>
        <w:t>found in the CE was related in the FG</w:t>
      </w:r>
      <w:r w:rsidR="006E129F" w:rsidRPr="00546B8B">
        <w:rPr>
          <w:szCs w:val="22"/>
        </w:rPr>
        <w:t>D</w:t>
      </w:r>
      <w:r w:rsidR="00A52A25" w:rsidRPr="00546B8B">
        <w:rPr>
          <w:szCs w:val="22"/>
        </w:rPr>
        <w:t xml:space="preserve">s to peat layer depth, size of the plots, and plot revenue. </w:t>
      </w:r>
    </w:p>
    <w:p w14:paraId="4B68B706" w14:textId="67FFA906" w:rsidR="00135EDC" w:rsidRDefault="00135EDC" w:rsidP="00F92026">
      <w:pPr>
        <w:pStyle w:val="NormalJustified"/>
        <w:spacing w:after="120"/>
        <w:jc w:val="left"/>
        <w:rPr>
          <w:lang w:eastAsia="nl-NL"/>
        </w:rPr>
      </w:pPr>
      <w:r w:rsidRPr="00546B8B">
        <w:rPr>
          <w:szCs w:val="22"/>
        </w:rPr>
        <w:t xml:space="preserve">Furthermore, </w:t>
      </w:r>
      <w:r w:rsidR="00097424">
        <w:rPr>
          <w:szCs w:val="22"/>
        </w:rPr>
        <w:t xml:space="preserve">we argue that </w:t>
      </w:r>
      <w:r w:rsidR="0050236D">
        <w:rPr>
          <w:szCs w:val="22"/>
        </w:rPr>
        <w:t>the FGDs prove</w:t>
      </w:r>
      <w:r w:rsidR="00883C3C">
        <w:rPr>
          <w:szCs w:val="22"/>
        </w:rPr>
        <w:t>d</w:t>
      </w:r>
      <w:r w:rsidR="0050236D">
        <w:rPr>
          <w:szCs w:val="22"/>
        </w:rPr>
        <w:t xml:space="preserve"> to </w:t>
      </w:r>
      <w:r w:rsidR="00CD42DA">
        <w:rPr>
          <w:szCs w:val="22"/>
        </w:rPr>
        <w:t xml:space="preserve">be </w:t>
      </w:r>
      <w:r w:rsidR="0050236D">
        <w:rPr>
          <w:szCs w:val="22"/>
        </w:rPr>
        <w:t xml:space="preserve">beneficial beyond supporting the interpretation of the CE results. </w:t>
      </w:r>
      <w:r w:rsidR="00F92026" w:rsidRPr="00546B8B">
        <w:rPr>
          <w:lang w:eastAsia="nl-NL"/>
        </w:rPr>
        <w:t>FGDs offer</w:t>
      </w:r>
      <w:r w:rsidR="00883C3C">
        <w:rPr>
          <w:lang w:eastAsia="nl-NL"/>
        </w:rPr>
        <w:t>ed</w:t>
      </w:r>
      <w:r w:rsidR="00F92026" w:rsidRPr="00546B8B">
        <w:rPr>
          <w:lang w:eastAsia="nl-NL"/>
        </w:rPr>
        <w:t xml:space="preserve"> the possibility to express conditions regarding </w:t>
      </w:r>
      <w:r w:rsidR="00883C3C">
        <w:rPr>
          <w:lang w:eastAsia="nl-NL"/>
        </w:rPr>
        <w:t xml:space="preserve">acceptance of the proposed land </w:t>
      </w:r>
      <w:r w:rsidR="00F92026" w:rsidRPr="00546B8B">
        <w:rPr>
          <w:lang w:eastAsia="nl-NL"/>
        </w:rPr>
        <w:t>use scenarios. There is a limit to the number of policy components that can be included as attributes in the CE or in the hypothetical market description, and researchers may have to choose between valuing multiple ecosystem services separately, or evaluating different options for the institutional setting. In general, accounting for the many potentially relevant contextual effects in which trade-offs are embedded through attributes in the CE is impossible</w:t>
      </w:r>
      <w:r w:rsidR="00883C3C">
        <w:rPr>
          <w:lang w:eastAsia="nl-NL"/>
        </w:rPr>
        <w:t>,</w:t>
      </w:r>
      <w:r w:rsidR="00F92026" w:rsidRPr="00546B8B">
        <w:rPr>
          <w:lang w:eastAsia="nl-NL"/>
        </w:rPr>
        <w:t xml:space="preserve"> because it would make the design too complicated. Using </w:t>
      </w:r>
      <w:r w:rsidR="00F92026" w:rsidRPr="00546B8B">
        <w:rPr>
          <w:lang w:eastAsia="nl-NL"/>
        </w:rPr>
        <w:lastRenderedPageBreak/>
        <w:t>FGD</w:t>
      </w:r>
      <w:r w:rsidR="00FF1201">
        <w:rPr>
          <w:lang w:eastAsia="nl-NL"/>
        </w:rPr>
        <w:t>s</w:t>
      </w:r>
      <w:r w:rsidR="00F92026" w:rsidRPr="00546B8B">
        <w:rPr>
          <w:lang w:eastAsia="nl-NL"/>
        </w:rPr>
        <w:t xml:space="preserve"> in combination with CE may reveal relevant, sometimes unexpected conditions for cooperation. In our study, compared to the CE, the FGD</w:t>
      </w:r>
      <w:r w:rsidR="00FF1201">
        <w:rPr>
          <w:lang w:eastAsia="nl-NL"/>
        </w:rPr>
        <w:t>s</w:t>
      </w:r>
      <w:r w:rsidR="00F92026" w:rsidRPr="00546B8B">
        <w:rPr>
          <w:lang w:eastAsia="nl-NL"/>
        </w:rPr>
        <w:t xml:space="preserve"> allowed further discussion of more complex aspects of the proposed policies, interdependent issues of peatland management and services, and financial compensation. </w:t>
      </w:r>
      <w:r w:rsidR="00F92026" w:rsidRPr="00546B8B">
        <w:rPr>
          <w:szCs w:val="22"/>
        </w:rPr>
        <w:t xml:space="preserve">For example, farmers were willing to accept a ban on fire, </w:t>
      </w:r>
      <w:proofErr w:type="gramStart"/>
      <w:r w:rsidR="00F92026" w:rsidRPr="00546B8B">
        <w:rPr>
          <w:szCs w:val="22"/>
        </w:rPr>
        <w:t>as long as</w:t>
      </w:r>
      <w:proofErr w:type="gramEnd"/>
      <w:r w:rsidR="00F92026" w:rsidRPr="00546B8B">
        <w:rPr>
          <w:szCs w:val="22"/>
        </w:rPr>
        <w:t xml:space="preserve"> substitute methods of land-clearing and fertilization were offered; and </w:t>
      </w:r>
      <w:r w:rsidR="00063D5E">
        <w:rPr>
          <w:szCs w:val="22"/>
        </w:rPr>
        <w:t>farmers required</w:t>
      </w:r>
      <w:r w:rsidR="00F92026" w:rsidRPr="00546B8B">
        <w:rPr>
          <w:szCs w:val="22"/>
        </w:rPr>
        <w:t xml:space="preserve"> a minimum level of income and food security as well as support for cultivating and marketing local species </w:t>
      </w:r>
      <w:r w:rsidR="00063D5E">
        <w:rPr>
          <w:szCs w:val="22"/>
        </w:rPr>
        <w:t>to accept the scheme</w:t>
      </w:r>
      <w:r w:rsidR="00F92026" w:rsidRPr="00546B8B">
        <w:rPr>
          <w:szCs w:val="22"/>
        </w:rPr>
        <w:t xml:space="preserve">. </w:t>
      </w:r>
      <w:r w:rsidR="00F92026" w:rsidRPr="00546B8B">
        <w:rPr>
          <w:lang w:eastAsia="nl-NL"/>
        </w:rPr>
        <w:t>The FGD results showed that the specific conditions under which the farmer-led restoration options were provided affected the uptake.</w:t>
      </w:r>
      <w:r w:rsidR="00B4198D">
        <w:rPr>
          <w:lang w:eastAsia="nl-NL"/>
        </w:rPr>
        <w:t xml:space="preserve"> </w:t>
      </w:r>
    </w:p>
    <w:p w14:paraId="51441DF2" w14:textId="77777777" w:rsidR="00FA0B72" w:rsidRPr="00546B8B" w:rsidRDefault="00FA0B72" w:rsidP="00AF0C49">
      <w:pPr>
        <w:autoSpaceDE w:val="0"/>
        <w:autoSpaceDN w:val="0"/>
        <w:adjustRightInd w:val="0"/>
        <w:spacing w:after="120"/>
        <w:rPr>
          <w:lang w:eastAsia="nl-NL"/>
        </w:rPr>
      </w:pPr>
    </w:p>
    <w:p w14:paraId="71CC19A2" w14:textId="57DA7218" w:rsidR="00FA0B72" w:rsidRPr="00546B8B" w:rsidRDefault="00FA0B72" w:rsidP="00AF0C49">
      <w:pPr>
        <w:pStyle w:val="NormalJustified"/>
        <w:spacing w:after="120"/>
        <w:rPr>
          <w:b/>
          <w:szCs w:val="22"/>
        </w:rPr>
      </w:pPr>
      <w:r w:rsidRPr="00546B8B">
        <w:rPr>
          <w:b/>
          <w:szCs w:val="22"/>
        </w:rPr>
        <w:t>6</w:t>
      </w:r>
      <w:r w:rsidR="00497008" w:rsidRPr="00546B8B">
        <w:rPr>
          <w:b/>
          <w:szCs w:val="22"/>
        </w:rPr>
        <w:t>.</w:t>
      </w:r>
      <w:r w:rsidRPr="00546B8B">
        <w:rPr>
          <w:b/>
          <w:szCs w:val="22"/>
        </w:rPr>
        <w:t xml:space="preserve"> CONCLUSIONS </w:t>
      </w:r>
    </w:p>
    <w:p w14:paraId="3E004E0B" w14:textId="0A97DB72" w:rsidR="00FA0B72" w:rsidRPr="00546B8B" w:rsidRDefault="00FA0B72">
      <w:pPr>
        <w:autoSpaceDE w:val="0"/>
        <w:autoSpaceDN w:val="0"/>
        <w:adjustRightInd w:val="0"/>
        <w:spacing w:after="120"/>
      </w:pPr>
      <w:r w:rsidRPr="00546B8B">
        <w:t>This paper presents the results of focus group discussions and a household survey including a choice experiment</w:t>
      </w:r>
      <w:r w:rsidR="002C044A" w:rsidRPr="00546B8B">
        <w:t>,</w:t>
      </w:r>
      <w:r w:rsidRPr="00546B8B">
        <w:t xml:space="preserve"> </w:t>
      </w:r>
      <w:r w:rsidR="002C044A" w:rsidRPr="00546B8B">
        <w:t xml:space="preserve">simultaneously </w:t>
      </w:r>
      <w:r w:rsidR="00883C3C">
        <w:t>implemented</w:t>
      </w:r>
      <w:r w:rsidR="002C044A" w:rsidRPr="00546B8B">
        <w:t xml:space="preserve"> but using different samples, </w:t>
      </w:r>
      <w:r w:rsidRPr="00546B8B">
        <w:t>with the methodological aim to assess if these methods would result in similar policy recommendations. Both methods focused on farmers’ willingness to cooperate in</w:t>
      </w:r>
      <w:r w:rsidR="00B4198D">
        <w:t xml:space="preserve"> </w:t>
      </w:r>
      <w:r w:rsidR="00DB4E72" w:rsidRPr="00546B8B">
        <w:t>a farm</w:t>
      </w:r>
      <w:r w:rsidR="00AF0C49" w:rsidRPr="00546B8B">
        <w:t>er</w:t>
      </w:r>
      <w:r w:rsidR="00DB4E72" w:rsidRPr="00546B8B">
        <w:t>-</w:t>
      </w:r>
      <w:r w:rsidR="00AF0C49" w:rsidRPr="00546B8B">
        <w:t>l</w:t>
      </w:r>
      <w:r w:rsidR="00DB4E72" w:rsidRPr="00546B8B">
        <w:t>ed</w:t>
      </w:r>
      <w:r w:rsidRPr="00546B8B">
        <w:t xml:space="preserve"> </w:t>
      </w:r>
      <w:r w:rsidR="00B4198D">
        <w:t>tree-</w:t>
      </w:r>
      <w:r w:rsidR="00D4698D">
        <w:t>planting</w:t>
      </w:r>
      <w:r w:rsidR="00D4698D" w:rsidRPr="00546B8B">
        <w:t xml:space="preserve"> </w:t>
      </w:r>
      <w:r w:rsidRPr="00546B8B">
        <w:t xml:space="preserve">project </w:t>
      </w:r>
      <w:r w:rsidR="002979F2" w:rsidRPr="00546B8B">
        <w:t>to</w:t>
      </w:r>
      <w:r w:rsidRPr="00546B8B">
        <w:t xml:space="preserve"> restore peatland</w:t>
      </w:r>
      <w:r w:rsidR="00D4698D">
        <w:t>s</w:t>
      </w:r>
      <w:r w:rsidRPr="00546B8B">
        <w:t xml:space="preserve"> in Central Kalimantan</w:t>
      </w:r>
      <w:r w:rsidR="00B4198D" w:rsidRPr="00546B8B">
        <w:t xml:space="preserve">, and </w:t>
      </w:r>
      <w:r w:rsidR="00B4198D">
        <w:t xml:space="preserve">their preferences on the design of a </w:t>
      </w:r>
      <w:r w:rsidR="00B4198D" w:rsidRPr="00546B8B">
        <w:t>compensat</w:t>
      </w:r>
      <w:r w:rsidR="00B4198D">
        <w:t>ion</w:t>
      </w:r>
      <w:r w:rsidR="00063D5E">
        <w:t xml:space="preserve"> scheme</w:t>
      </w:r>
      <w:r w:rsidR="00B4198D" w:rsidRPr="00546B8B">
        <w:t xml:space="preserve"> for the net costs</w:t>
      </w:r>
      <w:r w:rsidR="00B4198D">
        <w:t xml:space="preserve"> </w:t>
      </w:r>
      <w:r w:rsidR="00B4198D" w:rsidRPr="00546B8B">
        <w:t>associated with</w:t>
      </w:r>
      <w:r w:rsidR="00B4198D">
        <w:t xml:space="preserve"> tree-planting</w:t>
      </w:r>
      <w:r w:rsidRPr="00546B8B">
        <w:t xml:space="preserve">. The study provides information on the socio-economic value of peatland resources in Central Kalimantan from the perspective of local </w:t>
      </w:r>
      <w:r w:rsidR="00B4198D">
        <w:t>smallholders</w:t>
      </w:r>
      <w:r w:rsidRPr="00546B8B">
        <w:t xml:space="preserve">. The results lead to </w:t>
      </w:r>
      <w:r w:rsidR="002979F2" w:rsidRPr="00546B8B">
        <w:t>several</w:t>
      </w:r>
      <w:r w:rsidRPr="00546B8B">
        <w:t xml:space="preserve"> policy and methodological recommendations</w:t>
      </w:r>
      <w:r w:rsidR="00B4198D">
        <w:t xml:space="preserve"> and demonstrate the usefulness of combining quantitative and qualitative approaches</w:t>
      </w:r>
      <w:r w:rsidRPr="00546B8B">
        <w:t xml:space="preserve">. </w:t>
      </w:r>
    </w:p>
    <w:p w14:paraId="79C35828" w14:textId="4719D538" w:rsidR="004640E6" w:rsidRPr="00546B8B" w:rsidRDefault="00FA0B72" w:rsidP="0013721B">
      <w:pPr>
        <w:autoSpaceDE w:val="0"/>
        <w:autoSpaceDN w:val="0"/>
        <w:adjustRightInd w:val="0"/>
        <w:spacing w:after="120"/>
        <w:rPr>
          <w:szCs w:val="22"/>
        </w:rPr>
      </w:pPr>
      <w:r w:rsidRPr="00546B8B">
        <w:t>Regarding the methodology, the main conclusion of this study</w:t>
      </w:r>
      <w:r w:rsidR="00FE2B4A" w:rsidRPr="00546B8B">
        <w:t xml:space="preserve"> is that</w:t>
      </w:r>
      <w:r w:rsidR="00CD42DA">
        <w:t xml:space="preserve"> although</w:t>
      </w:r>
      <w:r w:rsidRPr="00546B8B">
        <w:t xml:space="preserve"> </w:t>
      </w:r>
      <w:r w:rsidR="00CE3353" w:rsidRPr="00546B8B">
        <w:rPr>
          <w:lang w:eastAsia="nl-NL"/>
        </w:rPr>
        <w:t>the</w:t>
      </w:r>
      <w:r w:rsidR="00172814">
        <w:rPr>
          <w:lang w:eastAsia="nl-NL"/>
        </w:rPr>
        <w:t xml:space="preserve"> results of the</w:t>
      </w:r>
      <w:r w:rsidR="00CE3353" w:rsidRPr="00546B8B">
        <w:rPr>
          <w:lang w:eastAsia="nl-NL"/>
        </w:rPr>
        <w:t xml:space="preserve"> </w:t>
      </w:r>
      <w:r w:rsidR="006E129F" w:rsidRPr="00546B8B">
        <w:rPr>
          <w:lang w:eastAsia="nl-NL"/>
        </w:rPr>
        <w:t>FGD</w:t>
      </w:r>
      <w:r w:rsidR="00FF1201">
        <w:rPr>
          <w:lang w:eastAsia="nl-NL"/>
        </w:rPr>
        <w:t>s</w:t>
      </w:r>
      <w:r w:rsidR="006E129F" w:rsidRPr="00546B8B">
        <w:rPr>
          <w:lang w:eastAsia="nl-NL"/>
        </w:rPr>
        <w:t xml:space="preserve"> </w:t>
      </w:r>
      <w:r w:rsidR="00CE3353" w:rsidRPr="00546B8B">
        <w:rPr>
          <w:lang w:eastAsia="nl-NL"/>
        </w:rPr>
        <w:t>and CE overlap</w:t>
      </w:r>
      <w:r w:rsidR="00BB358B">
        <w:rPr>
          <w:lang w:eastAsia="nl-NL"/>
        </w:rPr>
        <w:t>,</w:t>
      </w:r>
      <w:r w:rsidR="00CE3353" w:rsidRPr="00546B8B">
        <w:rPr>
          <w:lang w:eastAsia="nl-NL"/>
        </w:rPr>
        <w:t xml:space="preserve"> </w:t>
      </w:r>
      <w:r w:rsidR="00172814">
        <w:rPr>
          <w:lang w:eastAsia="nl-NL"/>
        </w:rPr>
        <w:t>providing a triangulation of</w:t>
      </w:r>
      <w:r w:rsidR="00CE3353" w:rsidRPr="00546B8B">
        <w:rPr>
          <w:lang w:eastAsia="nl-NL"/>
        </w:rPr>
        <w:t xml:space="preserve"> some of the findings, there are also considerable differences</w:t>
      </w:r>
      <w:r w:rsidR="00BB358B">
        <w:rPr>
          <w:lang w:eastAsia="nl-NL"/>
        </w:rPr>
        <w:t xml:space="preserve"> in the policy recommendations that would result from these </w:t>
      </w:r>
      <w:r w:rsidR="00CD42DA">
        <w:rPr>
          <w:lang w:eastAsia="nl-NL"/>
        </w:rPr>
        <w:t xml:space="preserve">two </w:t>
      </w:r>
      <w:r w:rsidR="00BB358B">
        <w:rPr>
          <w:lang w:eastAsia="nl-NL"/>
        </w:rPr>
        <w:t>methods</w:t>
      </w:r>
      <w:r w:rsidR="00CE3353" w:rsidRPr="00546B8B">
        <w:rPr>
          <w:lang w:eastAsia="nl-NL"/>
        </w:rPr>
        <w:t xml:space="preserve">. </w:t>
      </w:r>
      <w:r w:rsidR="004640E6" w:rsidRPr="00546B8B">
        <w:rPr>
          <w:szCs w:val="22"/>
        </w:rPr>
        <w:t xml:space="preserve">We </w:t>
      </w:r>
      <w:r w:rsidR="00CD42DA">
        <w:rPr>
          <w:szCs w:val="22"/>
        </w:rPr>
        <w:t>confirm</w:t>
      </w:r>
      <w:r w:rsidR="00BB358B">
        <w:rPr>
          <w:szCs w:val="22"/>
        </w:rPr>
        <w:t xml:space="preserve"> that</w:t>
      </w:r>
      <w:r w:rsidR="00BB358B" w:rsidRPr="00546B8B">
        <w:rPr>
          <w:szCs w:val="22"/>
        </w:rPr>
        <w:t xml:space="preserve"> </w:t>
      </w:r>
      <w:r w:rsidR="004640E6" w:rsidRPr="00546B8B">
        <w:rPr>
          <w:szCs w:val="22"/>
        </w:rPr>
        <w:t xml:space="preserve">FGDs </w:t>
      </w:r>
      <w:r w:rsidR="00BB358B">
        <w:rPr>
          <w:szCs w:val="22"/>
        </w:rPr>
        <w:t>are very beneficial to</w:t>
      </w:r>
      <w:r w:rsidR="004640E6" w:rsidRPr="00546B8B">
        <w:rPr>
          <w:szCs w:val="22"/>
        </w:rPr>
        <w:t xml:space="preserve"> support CE</w:t>
      </w:r>
      <w:r w:rsidR="00BB358B">
        <w:rPr>
          <w:szCs w:val="22"/>
        </w:rPr>
        <w:t xml:space="preserve"> studies</w:t>
      </w:r>
      <w:r w:rsidR="004640E6" w:rsidRPr="00546B8B">
        <w:rPr>
          <w:szCs w:val="22"/>
        </w:rPr>
        <w:t>, i.e. in the design phase of a survey</w:t>
      </w:r>
      <w:r w:rsidR="00BB358B">
        <w:rPr>
          <w:szCs w:val="22"/>
        </w:rPr>
        <w:t>,</w:t>
      </w:r>
      <w:r w:rsidR="004640E6" w:rsidRPr="00546B8B">
        <w:rPr>
          <w:szCs w:val="22"/>
        </w:rPr>
        <w:t xml:space="preserve"> or as a debriefing tool </w:t>
      </w:r>
      <w:r w:rsidR="00431FFF" w:rsidRPr="00546B8B">
        <w:rPr>
          <w:szCs w:val="22"/>
        </w:rPr>
        <w:t xml:space="preserve">with the same subjects </w:t>
      </w:r>
      <w:r w:rsidR="004640E6" w:rsidRPr="00546B8B">
        <w:rPr>
          <w:szCs w:val="22"/>
        </w:rPr>
        <w:t>after the completion of the CE</w:t>
      </w:r>
      <w:r w:rsidR="006B39C2">
        <w:rPr>
          <w:szCs w:val="22"/>
        </w:rPr>
        <w:t xml:space="preserve"> (</w:t>
      </w:r>
      <w:proofErr w:type="spellStart"/>
      <w:r w:rsidR="006B39C2">
        <w:rPr>
          <w:szCs w:val="22"/>
        </w:rPr>
        <w:t>Keske</w:t>
      </w:r>
      <w:proofErr w:type="spellEnd"/>
      <w:r w:rsidR="006B39C2">
        <w:rPr>
          <w:szCs w:val="22"/>
        </w:rPr>
        <w:t xml:space="preserve"> et al. 2011)</w:t>
      </w:r>
      <w:r w:rsidR="0090322C" w:rsidRPr="00546B8B">
        <w:rPr>
          <w:szCs w:val="22"/>
        </w:rPr>
        <w:t xml:space="preserve">. </w:t>
      </w:r>
      <w:bookmarkStart w:id="12" w:name="_Hlk484082790"/>
      <w:r w:rsidR="0090322C" w:rsidRPr="00546B8B">
        <w:rPr>
          <w:szCs w:val="22"/>
        </w:rPr>
        <w:t>I</w:t>
      </w:r>
      <w:r w:rsidR="00431FFF" w:rsidRPr="00546B8B">
        <w:rPr>
          <w:szCs w:val="22"/>
        </w:rPr>
        <w:t>ndeed</w:t>
      </w:r>
      <w:r w:rsidR="0090322C" w:rsidRPr="00546B8B">
        <w:rPr>
          <w:szCs w:val="22"/>
        </w:rPr>
        <w:t>,</w:t>
      </w:r>
      <w:r w:rsidR="00431FFF" w:rsidRPr="00546B8B">
        <w:rPr>
          <w:szCs w:val="22"/>
        </w:rPr>
        <w:t xml:space="preserve"> </w:t>
      </w:r>
      <w:r w:rsidR="00172814">
        <w:rPr>
          <w:szCs w:val="22"/>
        </w:rPr>
        <w:t>recent guidelines (Johnston et al. 2017) specifically recommend qualitative pretesting approaches (</w:t>
      </w:r>
      <w:r w:rsidR="00CD42DA">
        <w:rPr>
          <w:szCs w:val="22"/>
        </w:rPr>
        <w:t xml:space="preserve">i.e. </w:t>
      </w:r>
      <w:r w:rsidR="00172814">
        <w:rPr>
          <w:szCs w:val="22"/>
        </w:rPr>
        <w:t>focus groups, cognitive interviews)</w:t>
      </w:r>
      <w:r w:rsidR="00E32A1F">
        <w:rPr>
          <w:szCs w:val="22"/>
        </w:rPr>
        <w:t xml:space="preserve"> in combination with quantitative pretesting</w:t>
      </w:r>
      <w:r w:rsidR="0010317D">
        <w:rPr>
          <w:szCs w:val="22"/>
        </w:rPr>
        <w:t>.</w:t>
      </w:r>
      <w:r w:rsidR="00E32A1F">
        <w:rPr>
          <w:szCs w:val="22"/>
        </w:rPr>
        <w:t xml:space="preserve"> </w:t>
      </w:r>
      <w:bookmarkStart w:id="13" w:name="_Hlk484089125"/>
      <w:r w:rsidR="00E32A1F">
        <w:rPr>
          <w:szCs w:val="22"/>
        </w:rPr>
        <w:t>As in many applied studies, t</w:t>
      </w:r>
      <w:r w:rsidR="00172814">
        <w:rPr>
          <w:szCs w:val="22"/>
        </w:rPr>
        <w:t>his</w:t>
      </w:r>
      <w:r w:rsidR="0090322C" w:rsidRPr="00546B8B">
        <w:rPr>
          <w:szCs w:val="22"/>
        </w:rPr>
        <w:t xml:space="preserve"> was unfortunately not </w:t>
      </w:r>
      <w:r w:rsidR="00172814">
        <w:rPr>
          <w:szCs w:val="22"/>
        </w:rPr>
        <w:t>feasible</w:t>
      </w:r>
      <w:r w:rsidR="0090322C" w:rsidRPr="00546B8B">
        <w:rPr>
          <w:szCs w:val="22"/>
        </w:rPr>
        <w:t xml:space="preserve"> in our study</w:t>
      </w:r>
      <w:r w:rsidR="00172814">
        <w:rPr>
          <w:szCs w:val="22"/>
        </w:rPr>
        <w:t xml:space="preserve"> where</w:t>
      </w:r>
      <w:r w:rsidR="00470254">
        <w:rPr>
          <w:szCs w:val="22"/>
        </w:rPr>
        <w:t xml:space="preserve"> CE</w:t>
      </w:r>
      <w:r w:rsidR="00172814">
        <w:rPr>
          <w:szCs w:val="22"/>
        </w:rPr>
        <w:t xml:space="preserve"> pre-tests with the target population were</w:t>
      </w:r>
      <w:r w:rsidR="002974C5">
        <w:rPr>
          <w:szCs w:val="22"/>
        </w:rPr>
        <w:t xml:space="preserve"> </w:t>
      </w:r>
      <w:bookmarkStart w:id="14" w:name="_Hlk484109746"/>
      <w:r w:rsidR="002974C5">
        <w:rPr>
          <w:szCs w:val="22"/>
        </w:rPr>
        <w:t>largely</w:t>
      </w:r>
      <w:r w:rsidR="00172814">
        <w:rPr>
          <w:szCs w:val="22"/>
        </w:rPr>
        <w:t xml:space="preserve"> </w:t>
      </w:r>
      <w:bookmarkEnd w:id="14"/>
      <w:r w:rsidR="00830F11">
        <w:rPr>
          <w:szCs w:val="22"/>
        </w:rPr>
        <w:t>quantitative</w:t>
      </w:r>
      <w:r w:rsidR="00C50EFF">
        <w:rPr>
          <w:szCs w:val="22"/>
        </w:rPr>
        <w:t>; arguably</w:t>
      </w:r>
      <w:r w:rsidR="00E32A1F">
        <w:rPr>
          <w:szCs w:val="22"/>
        </w:rPr>
        <w:t>,</w:t>
      </w:r>
      <w:r w:rsidR="00C50EFF">
        <w:rPr>
          <w:szCs w:val="22"/>
        </w:rPr>
        <w:t xml:space="preserve"> </w:t>
      </w:r>
      <w:r w:rsidR="002974C5">
        <w:rPr>
          <w:szCs w:val="22"/>
        </w:rPr>
        <w:t>the use of qualitative pre-tests</w:t>
      </w:r>
      <w:r w:rsidR="00C50EFF">
        <w:rPr>
          <w:szCs w:val="22"/>
        </w:rPr>
        <w:t xml:space="preserve"> would have improved the CE</w:t>
      </w:r>
      <w:r w:rsidR="00470254">
        <w:rPr>
          <w:szCs w:val="22"/>
        </w:rPr>
        <w:t xml:space="preserve"> (or FGD</w:t>
      </w:r>
      <w:r w:rsidR="00FF1201">
        <w:rPr>
          <w:szCs w:val="22"/>
        </w:rPr>
        <w:t>s</w:t>
      </w:r>
      <w:r w:rsidR="00470254">
        <w:rPr>
          <w:szCs w:val="22"/>
        </w:rPr>
        <w:t>)</w:t>
      </w:r>
      <w:r w:rsidR="00C50EFF">
        <w:rPr>
          <w:szCs w:val="22"/>
        </w:rPr>
        <w:t xml:space="preserve"> design</w:t>
      </w:r>
      <w:r w:rsidR="00E32A1F">
        <w:rPr>
          <w:szCs w:val="22"/>
        </w:rPr>
        <w:t xml:space="preserve"> and reduced the differences between the FGD and CE results described in Section 5.1</w:t>
      </w:r>
      <w:r w:rsidR="00172814">
        <w:rPr>
          <w:szCs w:val="22"/>
        </w:rPr>
        <w:t>.</w:t>
      </w:r>
      <w:bookmarkEnd w:id="12"/>
      <w:bookmarkEnd w:id="13"/>
    </w:p>
    <w:p w14:paraId="2E7C8DB2" w14:textId="769C81D7" w:rsidR="004640E6" w:rsidRPr="00546B8B" w:rsidRDefault="00BB358B" w:rsidP="003E3885">
      <w:pPr>
        <w:autoSpaceDE w:val="0"/>
        <w:autoSpaceDN w:val="0"/>
        <w:adjustRightInd w:val="0"/>
        <w:spacing w:after="120"/>
      </w:pPr>
      <w:r>
        <w:rPr>
          <w:szCs w:val="22"/>
        </w:rPr>
        <w:t xml:space="preserve">That said, we argue that </w:t>
      </w:r>
      <w:r w:rsidR="004640E6" w:rsidRPr="00546B8B">
        <w:rPr>
          <w:szCs w:val="22"/>
        </w:rPr>
        <w:t xml:space="preserve">FGDs, when applied as another primary research method for </w:t>
      </w:r>
      <w:r w:rsidR="00470254">
        <w:rPr>
          <w:szCs w:val="22"/>
        </w:rPr>
        <w:t>(</w:t>
      </w:r>
      <w:r w:rsidR="0010317D">
        <w:rPr>
          <w:szCs w:val="22"/>
        </w:rPr>
        <w:t>non-monetary</w:t>
      </w:r>
      <w:r w:rsidR="00470254">
        <w:rPr>
          <w:szCs w:val="22"/>
        </w:rPr>
        <w:t>)</w:t>
      </w:r>
      <w:r w:rsidR="0010317D">
        <w:rPr>
          <w:szCs w:val="22"/>
        </w:rPr>
        <w:t xml:space="preserve"> </w:t>
      </w:r>
      <w:r w:rsidR="004640E6" w:rsidRPr="00546B8B">
        <w:rPr>
          <w:szCs w:val="22"/>
        </w:rPr>
        <w:t>valuation</w:t>
      </w:r>
      <w:r>
        <w:rPr>
          <w:szCs w:val="22"/>
        </w:rPr>
        <w:t xml:space="preserve"> in a mixed methods approach</w:t>
      </w:r>
      <w:r w:rsidR="004640E6" w:rsidRPr="00546B8B">
        <w:rPr>
          <w:szCs w:val="22"/>
        </w:rPr>
        <w:t>, provide extremely useful results</w:t>
      </w:r>
      <w:r w:rsidR="009B272A" w:rsidRPr="00546B8B">
        <w:t xml:space="preserve"> and policy relevant information</w:t>
      </w:r>
      <w:r w:rsidR="004640E6" w:rsidRPr="00546B8B">
        <w:rPr>
          <w:szCs w:val="22"/>
        </w:rPr>
        <w:t xml:space="preserve">. </w:t>
      </w:r>
      <w:r w:rsidR="009B272A" w:rsidRPr="00546B8B">
        <w:rPr>
          <w:szCs w:val="22"/>
        </w:rPr>
        <w:t>M</w:t>
      </w:r>
      <w:r w:rsidR="004640E6" w:rsidRPr="00546B8B">
        <w:t>ethodological triangulation efforts</w:t>
      </w:r>
      <w:r w:rsidR="009B272A" w:rsidRPr="00546B8B">
        <w:t xml:space="preserve"> through combining</w:t>
      </w:r>
      <w:r w:rsidR="004640E6" w:rsidRPr="00546B8B">
        <w:t xml:space="preserve"> </w:t>
      </w:r>
      <w:r w:rsidR="009B272A" w:rsidRPr="00546B8B">
        <w:t xml:space="preserve">qualitative and quantitative methods </w:t>
      </w:r>
      <w:r w:rsidR="004640E6" w:rsidRPr="00546B8B">
        <w:t>can provide a more complete understanding</w:t>
      </w:r>
      <w:r w:rsidR="009B272A" w:rsidRPr="00546B8B">
        <w:t xml:space="preserve"> of</w:t>
      </w:r>
      <w:r w:rsidR="004640E6" w:rsidRPr="00546B8B">
        <w:t xml:space="preserve"> </w:t>
      </w:r>
      <w:r w:rsidR="009B272A" w:rsidRPr="00546B8B">
        <w:t xml:space="preserve">attitudes and motives </w:t>
      </w:r>
      <w:r w:rsidR="004640E6" w:rsidRPr="00546B8B">
        <w:t>and recognise the multiple realities that under</w:t>
      </w:r>
      <w:r w:rsidR="009B272A" w:rsidRPr="00546B8B">
        <w:t>pin</w:t>
      </w:r>
      <w:r w:rsidR="004640E6" w:rsidRPr="00546B8B">
        <w:t xml:space="preserve"> environmental preferences</w:t>
      </w:r>
      <w:r w:rsidR="009B272A" w:rsidRPr="00546B8B">
        <w:t xml:space="preserve"> and monetary values of ecosystem services</w:t>
      </w:r>
      <w:r w:rsidR="004640E6" w:rsidRPr="00546B8B">
        <w:t xml:space="preserve">. </w:t>
      </w:r>
      <w:r w:rsidR="00FA0B72" w:rsidRPr="00546B8B">
        <w:rPr>
          <w:lang w:eastAsia="nl-NL"/>
        </w:rPr>
        <w:t>Additional to the features listed in the literature</w:t>
      </w:r>
      <w:r w:rsidR="00AF0C49" w:rsidRPr="00546B8B">
        <w:rPr>
          <w:lang w:eastAsia="nl-NL"/>
        </w:rPr>
        <w:t xml:space="preserve"> on the combination of </w:t>
      </w:r>
      <w:r w:rsidR="00506E1E">
        <w:rPr>
          <w:lang w:eastAsia="nl-NL"/>
        </w:rPr>
        <w:t>SP</w:t>
      </w:r>
      <w:r w:rsidR="00AF0C49" w:rsidRPr="00546B8B">
        <w:rPr>
          <w:lang w:eastAsia="nl-NL"/>
        </w:rPr>
        <w:t xml:space="preserve"> studies and FGDs</w:t>
      </w:r>
      <w:r w:rsidR="003D113C" w:rsidRPr="00546B8B">
        <w:rPr>
          <w:lang w:eastAsia="nl-NL"/>
        </w:rPr>
        <w:t xml:space="preserve"> (</w:t>
      </w:r>
      <w:proofErr w:type="spellStart"/>
      <w:r w:rsidR="00AF0C49" w:rsidRPr="00546B8B">
        <w:rPr>
          <w:lang w:eastAsia="nl-NL"/>
        </w:rPr>
        <w:t>Powe</w:t>
      </w:r>
      <w:proofErr w:type="spellEnd"/>
      <w:r w:rsidR="00AF0C49" w:rsidRPr="00546B8B">
        <w:rPr>
          <w:lang w:eastAsia="nl-NL"/>
        </w:rPr>
        <w:t xml:space="preserve"> 2007</w:t>
      </w:r>
      <w:r w:rsidR="00E11E3F" w:rsidRPr="00546B8B">
        <w:rPr>
          <w:lang w:eastAsia="nl-NL"/>
        </w:rPr>
        <w:t xml:space="preserve">, </w:t>
      </w:r>
      <w:proofErr w:type="spellStart"/>
      <w:r w:rsidR="00E11E3F" w:rsidRPr="00546B8B">
        <w:rPr>
          <w:lang w:eastAsia="nl-NL"/>
        </w:rPr>
        <w:t>Powe</w:t>
      </w:r>
      <w:proofErr w:type="spellEnd"/>
      <w:r w:rsidR="00E11E3F" w:rsidRPr="00546B8B">
        <w:rPr>
          <w:lang w:eastAsia="nl-NL"/>
        </w:rPr>
        <w:t xml:space="preserve"> et al. 2005</w:t>
      </w:r>
      <w:r w:rsidR="003D113C" w:rsidRPr="00546B8B">
        <w:rPr>
          <w:lang w:eastAsia="nl-NL"/>
        </w:rPr>
        <w:t>)</w:t>
      </w:r>
      <w:r w:rsidR="00FA0B72" w:rsidRPr="00546B8B">
        <w:rPr>
          <w:lang w:eastAsia="nl-NL"/>
        </w:rPr>
        <w:t>, this study finds that FGD</w:t>
      </w:r>
      <w:r w:rsidR="00470254">
        <w:rPr>
          <w:lang w:eastAsia="nl-NL"/>
        </w:rPr>
        <w:t>s</w:t>
      </w:r>
      <w:r w:rsidR="00FA0B72" w:rsidRPr="00546B8B">
        <w:rPr>
          <w:lang w:eastAsia="nl-NL"/>
        </w:rPr>
        <w:t xml:space="preserve"> have the advantages of dealing with specific </w:t>
      </w:r>
      <w:r w:rsidR="00DB4E72" w:rsidRPr="00546B8B">
        <w:rPr>
          <w:lang w:eastAsia="nl-NL"/>
        </w:rPr>
        <w:t>contextual problems, institutions</w:t>
      </w:r>
      <w:r w:rsidR="00FA0B72" w:rsidRPr="00546B8B">
        <w:rPr>
          <w:lang w:eastAsia="nl-NL"/>
        </w:rPr>
        <w:t xml:space="preserve"> and conditions for accepting </w:t>
      </w:r>
      <w:r>
        <w:rPr>
          <w:lang w:eastAsia="nl-NL"/>
        </w:rPr>
        <w:t>a policy scheme</w:t>
      </w:r>
      <w:r w:rsidR="00FA0B72" w:rsidRPr="00546B8B">
        <w:rPr>
          <w:lang w:eastAsia="nl-NL"/>
        </w:rPr>
        <w:t>, of addressing effects of the distribution of costs and benefits over time</w:t>
      </w:r>
      <w:r w:rsidR="00AF0C49" w:rsidRPr="00546B8B">
        <w:rPr>
          <w:lang w:eastAsia="nl-NL"/>
        </w:rPr>
        <w:t xml:space="preserve">, </w:t>
      </w:r>
      <w:r w:rsidR="00097424">
        <w:rPr>
          <w:lang w:eastAsia="nl-NL"/>
        </w:rPr>
        <w:t>besides aiding</w:t>
      </w:r>
      <w:r w:rsidR="00AF0C49" w:rsidRPr="00546B8B">
        <w:rPr>
          <w:lang w:eastAsia="nl-NL"/>
        </w:rPr>
        <w:t xml:space="preserve"> the specification of the CE regression model</w:t>
      </w:r>
      <w:r w:rsidR="003D113C" w:rsidRPr="00546B8B">
        <w:rPr>
          <w:lang w:eastAsia="nl-NL"/>
        </w:rPr>
        <w:t xml:space="preserve">. </w:t>
      </w:r>
      <w:r w:rsidR="009B272A" w:rsidRPr="00546B8B">
        <w:rPr>
          <w:lang w:eastAsia="nl-NL"/>
        </w:rPr>
        <w:t xml:space="preserve">Some of these advantages have been recognised in other combined or integrated qualitative-quantitative valuation studies (e.g. </w:t>
      </w:r>
      <w:proofErr w:type="spellStart"/>
      <w:r w:rsidR="009B272A" w:rsidRPr="00546B8B">
        <w:rPr>
          <w:lang w:eastAsia="nl-NL"/>
        </w:rPr>
        <w:t>Kenter</w:t>
      </w:r>
      <w:proofErr w:type="spellEnd"/>
      <w:r w:rsidR="009B272A" w:rsidRPr="00546B8B">
        <w:rPr>
          <w:lang w:eastAsia="nl-NL"/>
        </w:rPr>
        <w:t xml:space="preserve"> et al. 2016b). </w:t>
      </w:r>
      <w:r w:rsidR="00097424">
        <w:rPr>
          <w:lang w:eastAsia="nl-NL"/>
        </w:rPr>
        <w:t>But e</w:t>
      </w:r>
      <w:r w:rsidR="00AF0C49" w:rsidRPr="00546B8B">
        <w:rPr>
          <w:lang w:eastAsia="nl-NL"/>
        </w:rPr>
        <w:t>specially in studies that want to apply CEs to assess preferences for change in private land use with non-trivial impacts on people’s livelihoods, the complexity of factors that affect adoption choices may be more easily assessed in qualitative FGDs</w:t>
      </w:r>
      <w:r w:rsidR="003E3885" w:rsidRPr="00546B8B">
        <w:rPr>
          <w:lang w:eastAsia="nl-NL"/>
        </w:rPr>
        <w:t xml:space="preserve"> than in fixed CE and survey designs</w:t>
      </w:r>
      <w:r w:rsidR="00AF0C49" w:rsidRPr="00546B8B">
        <w:rPr>
          <w:lang w:eastAsia="nl-NL"/>
        </w:rPr>
        <w:t xml:space="preserve">. In addition, </w:t>
      </w:r>
      <w:r w:rsidR="003E3885" w:rsidRPr="00546B8B">
        <w:rPr>
          <w:lang w:eastAsia="nl-NL"/>
        </w:rPr>
        <w:t xml:space="preserve">respondents’ articulation of the </w:t>
      </w:r>
      <w:r w:rsidR="00AF0C49" w:rsidRPr="00546B8B">
        <w:t xml:space="preserve">conditional acceptance of </w:t>
      </w:r>
      <w:r>
        <w:t>policy</w:t>
      </w:r>
      <w:r w:rsidRPr="00546B8B">
        <w:t xml:space="preserve"> </w:t>
      </w:r>
      <w:r w:rsidR="00AF0C49" w:rsidRPr="00546B8B">
        <w:t>options</w:t>
      </w:r>
      <w:r w:rsidR="003E3885" w:rsidRPr="00546B8B">
        <w:rPr>
          <w:lang w:eastAsia="nl-NL"/>
        </w:rPr>
        <w:t xml:space="preserve"> may provide policy relevant clues for project design</w:t>
      </w:r>
      <w:r>
        <w:rPr>
          <w:lang w:eastAsia="nl-NL"/>
        </w:rPr>
        <w:t>,</w:t>
      </w:r>
      <w:r w:rsidR="003E3885" w:rsidRPr="00546B8B">
        <w:rPr>
          <w:lang w:eastAsia="nl-NL"/>
        </w:rPr>
        <w:t xml:space="preserve"> and </w:t>
      </w:r>
      <w:r w:rsidR="00470254">
        <w:rPr>
          <w:lang w:eastAsia="nl-NL"/>
        </w:rPr>
        <w:t xml:space="preserve">warrant careful </w:t>
      </w:r>
      <w:r w:rsidR="003E3885" w:rsidRPr="00546B8B">
        <w:rPr>
          <w:lang w:eastAsia="nl-NL"/>
        </w:rPr>
        <w:t>interpretation of CE results</w:t>
      </w:r>
      <w:r w:rsidR="00AF0C49" w:rsidRPr="00546B8B">
        <w:t xml:space="preserve">. </w:t>
      </w:r>
    </w:p>
    <w:p w14:paraId="73B045A1" w14:textId="48FE7307" w:rsidR="001E6FA6" w:rsidRDefault="00AF0C49" w:rsidP="0013721B">
      <w:pPr>
        <w:autoSpaceDE w:val="0"/>
        <w:autoSpaceDN w:val="0"/>
        <w:adjustRightInd w:val="0"/>
        <w:spacing w:after="120"/>
        <w:rPr>
          <w:szCs w:val="22"/>
        </w:rPr>
      </w:pPr>
      <w:r w:rsidRPr="001E3755">
        <w:rPr>
          <w:szCs w:val="22"/>
        </w:rPr>
        <w:lastRenderedPageBreak/>
        <w:t>We argue that the use of different samples for these methods allows for more robust triangulation</w:t>
      </w:r>
      <w:r w:rsidR="00FD5604" w:rsidRPr="001E3755">
        <w:rPr>
          <w:szCs w:val="22"/>
        </w:rPr>
        <w:t xml:space="preserve"> than ex-ante or ex-post discussions or deliberation</w:t>
      </w:r>
      <w:r w:rsidR="004B3BAE" w:rsidRPr="001E3755">
        <w:rPr>
          <w:szCs w:val="22"/>
        </w:rPr>
        <w:t xml:space="preserve"> with the same subjects</w:t>
      </w:r>
      <w:r w:rsidRPr="001E3755">
        <w:rPr>
          <w:szCs w:val="22"/>
        </w:rPr>
        <w:t xml:space="preserve">. </w:t>
      </w:r>
      <w:r w:rsidR="003E3885" w:rsidRPr="001E3755">
        <w:rPr>
          <w:szCs w:val="22"/>
        </w:rPr>
        <w:t>Indeed, different samples may obscure differences caused by methodologies (Davis and Whittington 1998).</w:t>
      </w:r>
      <w:r w:rsidR="00FD5604" w:rsidRPr="00676E98">
        <w:rPr>
          <w:szCs w:val="22"/>
        </w:rPr>
        <w:t xml:space="preserve"> Separate samples, however, avoid risks of gro</w:t>
      </w:r>
      <w:r w:rsidR="005A0AD9" w:rsidRPr="00676E98">
        <w:rPr>
          <w:szCs w:val="22"/>
        </w:rPr>
        <w:t>upthink and other group interaction effects on subsequent statements of preferences, attitudes or opinions</w:t>
      </w:r>
      <w:r w:rsidR="004B3BAE" w:rsidRPr="00546B8B">
        <w:rPr>
          <w:szCs w:val="22"/>
        </w:rPr>
        <w:t xml:space="preserve"> in the CE</w:t>
      </w:r>
      <w:r w:rsidR="005A0AD9" w:rsidRPr="00546B8B">
        <w:rPr>
          <w:szCs w:val="22"/>
        </w:rPr>
        <w:t>.</w:t>
      </w:r>
      <w:r w:rsidR="009B272A" w:rsidRPr="00546B8B">
        <w:rPr>
          <w:szCs w:val="22"/>
        </w:rPr>
        <w:t xml:space="preserve"> It avoids narrowing down the discussions in </w:t>
      </w:r>
      <w:r w:rsidR="0013721B" w:rsidRPr="00546B8B">
        <w:rPr>
          <w:szCs w:val="22"/>
        </w:rPr>
        <w:t>pre-</w:t>
      </w:r>
      <w:r w:rsidR="000204B0" w:rsidRPr="00546B8B">
        <w:rPr>
          <w:szCs w:val="22"/>
        </w:rPr>
        <w:t>CE</w:t>
      </w:r>
      <w:r w:rsidR="001E6FA6">
        <w:rPr>
          <w:szCs w:val="22"/>
        </w:rPr>
        <w:t xml:space="preserve"> or post-CE</w:t>
      </w:r>
      <w:r w:rsidR="000204B0" w:rsidRPr="00546B8B">
        <w:rPr>
          <w:szCs w:val="22"/>
        </w:rPr>
        <w:t xml:space="preserve"> </w:t>
      </w:r>
      <w:r w:rsidR="009B272A" w:rsidRPr="00546B8B">
        <w:rPr>
          <w:szCs w:val="22"/>
        </w:rPr>
        <w:t xml:space="preserve">FGDs on </w:t>
      </w:r>
      <w:r w:rsidR="001E6FA6">
        <w:rPr>
          <w:szCs w:val="22"/>
        </w:rPr>
        <w:t xml:space="preserve">monetary </w:t>
      </w:r>
      <w:r w:rsidR="004B3BAE" w:rsidRPr="00546B8B">
        <w:rPr>
          <w:szCs w:val="22"/>
        </w:rPr>
        <w:t xml:space="preserve">CE </w:t>
      </w:r>
      <w:r w:rsidR="001E6FA6">
        <w:rPr>
          <w:szCs w:val="22"/>
        </w:rPr>
        <w:t>outcomes</w:t>
      </w:r>
      <w:r w:rsidR="0013721B" w:rsidRPr="001E3755">
        <w:rPr>
          <w:szCs w:val="22"/>
        </w:rPr>
        <w:t>. Moreover, using independent samples</w:t>
      </w:r>
      <w:r w:rsidR="009B272A" w:rsidRPr="001E3755">
        <w:rPr>
          <w:szCs w:val="22"/>
        </w:rPr>
        <w:t xml:space="preserve"> avoids framing effects in post-CE FGDs</w:t>
      </w:r>
      <w:r w:rsidR="0013721B" w:rsidRPr="001E3755">
        <w:rPr>
          <w:szCs w:val="22"/>
        </w:rPr>
        <w:t xml:space="preserve"> that may occur when involving the same</w:t>
      </w:r>
      <w:r w:rsidR="009B272A" w:rsidRPr="001E3755">
        <w:rPr>
          <w:szCs w:val="22"/>
        </w:rPr>
        <w:t xml:space="preserve"> respondents</w:t>
      </w:r>
      <w:r w:rsidR="0013721B" w:rsidRPr="001E3755">
        <w:rPr>
          <w:szCs w:val="22"/>
        </w:rPr>
        <w:t>, whose</w:t>
      </w:r>
      <w:r w:rsidR="009B272A" w:rsidRPr="001E3755">
        <w:rPr>
          <w:szCs w:val="22"/>
        </w:rPr>
        <w:t xml:space="preserve"> perceptions may be </w:t>
      </w:r>
      <w:r w:rsidR="0013721B" w:rsidRPr="001E3755">
        <w:rPr>
          <w:szCs w:val="22"/>
        </w:rPr>
        <w:t>led</w:t>
      </w:r>
      <w:r w:rsidR="009B272A" w:rsidRPr="001E3755">
        <w:rPr>
          <w:szCs w:val="22"/>
        </w:rPr>
        <w:t xml:space="preserve"> by the </w:t>
      </w:r>
      <w:r w:rsidR="0013721B" w:rsidRPr="001E3755">
        <w:rPr>
          <w:szCs w:val="22"/>
        </w:rPr>
        <w:t xml:space="preserve">narrative of the CE </w:t>
      </w:r>
      <w:r w:rsidR="009B272A" w:rsidRPr="001E3755">
        <w:rPr>
          <w:szCs w:val="22"/>
        </w:rPr>
        <w:t>survey instrument.</w:t>
      </w:r>
      <w:r w:rsidR="001E6FA6">
        <w:rPr>
          <w:szCs w:val="22"/>
        </w:rPr>
        <w:t xml:space="preserve"> </w:t>
      </w:r>
      <w:bookmarkStart w:id="15" w:name="_Hlk484096646"/>
      <w:r w:rsidR="00406F3D">
        <w:rPr>
          <w:szCs w:val="22"/>
        </w:rPr>
        <w:t>Still, p</w:t>
      </w:r>
      <w:r w:rsidR="001E6FA6">
        <w:rPr>
          <w:szCs w:val="22"/>
        </w:rPr>
        <w:t>ost-</w:t>
      </w:r>
      <w:r w:rsidR="00830F11">
        <w:rPr>
          <w:szCs w:val="22"/>
        </w:rPr>
        <w:t xml:space="preserve">CE </w:t>
      </w:r>
      <w:r w:rsidR="001E6FA6">
        <w:rPr>
          <w:szCs w:val="22"/>
        </w:rPr>
        <w:t xml:space="preserve">FGDs </w:t>
      </w:r>
      <w:r w:rsidR="00792FAB">
        <w:rPr>
          <w:szCs w:val="22"/>
        </w:rPr>
        <w:t xml:space="preserve">are </w:t>
      </w:r>
      <w:r w:rsidR="00406F3D">
        <w:rPr>
          <w:szCs w:val="22"/>
        </w:rPr>
        <w:t xml:space="preserve">certainly </w:t>
      </w:r>
      <w:r w:rsidR="00792FAB">
        <w:rPr>
          <w:szCs w:val="22"/>
        </w:rPr>
        <w:t>useful</w:t>
      </w:r>
      <w:r w:rsidR="00406F3D">
        <w:rPr>
          <w:szCs w:val="22"/>
        </w:rPr>
        <w:t xml:space="preserve"> </w:t>
      </w:r>
      <w:r w:rsidR="001E6FA6">
        <w:rPr>
          <w:szCs w:val="22"/>
        </w:rPr>
        <w:t>to provide more context and explanation of monetary valuation studies</w:t>
      </w:r>
      <w:r w:rsidR="00406F3D">
        <w:rPr>
          <w:szCs w:val="22"/>
        </w:rPr>
        <w:t>. Therefore,</w:t>
      </w:r>
      <w:r w:rsidR="00792FAB">
        <w:rPr>
          <w:szCs w:val="22"/>
        </w:rPr>
        <w:t xml:space="preserve"> increasing the</w:t>
      </w:r>
      <w:r w:rsidR="00830F11">
        <w:rPr>
          <w:szCs w:val="22"/>
        </w:rPr>
        <w:t>ir</w:t>
      </w:r>
      <w:r w:rsidR="00792FAB">
        <w:rPr>
          <w:szCs w:val="22"/>
        </w:rPr>
        <w:t xml:space="preserve"> uptake</w:t>
      </w:r>
      <w:r w:rsidR="00406F3D">
        <w:rPr>
          <w:szCs w:val="22"/>
        </w:rPr>
        <w:t xml:space="preserve"> </w:t>
      </w:r>
      <w:r w:rsidR="00792FAB">
        <w:rPr>
          <w:szCs w:val="22"/>
        </w:rPr>
        <w:t>would strengthen the policy relevance of SP research</w:t>
      </w:r>
      <w:r w:rsidR="001E6FA6">
        <w:rPr>
          <w:szCs w:val="22"/>
        </w:rPr>
        <w:t>.</w:t>
      </w:r>
      <w:bookmarkEnd w:id="15"/>
    </w:p>
    <w:p w14:paraId="2446C00A" w14:textId="14C8D9CF" w:rsidR="004640E6" w:rsidRPr="00546B8B" w:rsidRDefault="001E6FA6" w:rsidP="0013721B">
      <w:pPr>
        <w:autoSpaceDE w:val="0"/>
        <w:autoSpaceDN w:val="0"/>
        <w:adjustRightInd w:val="0"/>
        <w:spacing w:after="120"/>
        <w:rPr>
          <w:lang w:eastAsia="nl-NL"/>
        </w:rPr>
      </w:pPr>
      <w:r>
        <w:rPr>
          <w:lang w:eastAsia="nl-NL"/>
        </w:rPr>
        <w:t>I</w:t>
      </w:r>
      <w:r w:rsidR="005A0AD9" w:rsidRPr="001E3755">
        <w:rPr>
          <w:lang w:eastAsia="nl-NL"/>
        </w:rPr>
        <w:t xml:space="preserve">n studies of complex or uncertain scenarios or policies, </w:t>
      </w:r>
      <w:r w:rsidR="00406F3D">
        <w:rPr>
          <w:lang w:eastAsia="nl-NL"/>
        </w:rPr>
        <w:t>participatory and deliberative valuation approaches</w:t>
      </w:r>
      <w:r w:rsidR="008A2160">
        <w:rPr>
          <w:lang w:eastAsia="nl-NL"/>
        </w:rPr>
        <w:t>,</w:t>
      </w:r>
      <w:r w:rsidR="00CB7636" w:rsidRPr="00546B8B">
        <w:rPr>
          <w:lang w:eastAsia="nl-NL"/>
        </w:rPr>
        <w:t xml:space="preserve"> </w:t>
      </w:r>
      <w:r w:rsidR="00CE3353" w:rsidRPr="00546B8B">
        <w:rPr>
          <w:lang w:eastAsia="nl-NL"/>
        </w:rPr>
        <w:t xml:space="preserve">where respondents </w:t>
      </w:r>
      <w:r w:rsidR="00506576" w:rsidRPr="00546B8B">
        <w:rPr>
          <w:lang w:eastAsia="nl-NL"/>
        </w:rPr>
        <w:t>can</w:t>
      </w:r>
      <w:r w:rsidR="00CE3353" w:rsidRPr="00546B8B">
        <w:rPr>
          <w:lang w:eastAsia="nl-NL"/>
        </w:rPr>
        <w:t xml:space="preserve"> share information</w:t>
      </w:r>
      <w:r w:rsidR="00CB7636" w:rsidRPr="00546B8B">
        <w:rPr>
          <w:lang w:eastAsia="nl-NL"/>
        </w:rPr>
        <w:t xml:space="preserve"> </w:t>
      </w:r>
      <w:r w:rsidR="005A0AD9" w:rsidRPr="00546B8B">
        <w:rPr>
          <w:lang w:eastAsia="nl-NL"/>
        </w:rPr>
        <w:t>or</w:t>
      </w:r>
      <w:r w:rsidR="00CE3353" w:rsidRPr="00546B8B">
        <w:rPr>
          <w:lang w:eastAsia="nl-NL"/>
        </w:rPr>
        <w:t xml:space="preserve"> call upon experts and other information sources before expressing their values</w:t>
      </w:r>
      <w:r w:rsidR="008A2160">
        <w:rPr>
          <w:lang w:eastAsia="nl-NL"/>
        </w:rPr>
        <w:t>,</w:t>
      </w:r>
      <w:r w:rsidR="00CE3353" w:rsidRPr="00546B8B">
        <w:rPr>
          <w:lang w:eastAsia="nl-NL"/>
        </w:rPr>
        <w:t xml:space="preserve"> may </w:t>
      </w:r>
      <w:r w:rsidR="005A0AD9" w:rsidRPr="00546B8B">
        <w:rPr>
          <w:lang w:eastAsia="nl-NL"/>
        </w:rPr>
        <w:t>be beneficial</w:t>
      </w:r>
      <w:r w:rsidR="00CE3353" w:rsidRPr="00546B8B">
        <w:rPr>
          <w:lang w:eastAsia="nl-NL"/>
        </w:rPr>
        <w:t>.</w:t>
      </w:r>
      <w:r w:rsidR="00CB7636" w:rsidRPr="00546B8B">
        <w:rPr>
          <w:lang w:eastAsia="nl-NL"/>
        </w:rPr>
        <w:t xml:space="preserve"> </w:t>
      </w:r>
      <w:r w:rsidR="009B272A" w:rsidRPr="00546B8B">
        <w:t xml:space="preserve">Participatory multi-criteria approaches (e.g. </w:t>
      </w:r>
      <w:proofErr w:type="spellStart"/>
      <w:r w:rsidR="009B272A" w:rsidRPr="00546B8B">
        <w:t>Garmendia</w:t>
      </w:r>
      <w:proofErr w:type="spellEnd"/>
      <w:r w:rsidR="009B272A" w:rsidRPr="00546B8B">
        <w:t xml:space="preserve"> and </w:t>
      </w:r>
      <w:proofErr w:type="spellStart"/>
      <w:r w:rsidR="009B272A" w:rsidRPr="00546B8B">
        <w:t>Gamboa</w:t>
      </w:r>
      <w:proofErr w:type="spellEnd"/>
      <w:r w:rsidR="009B272A" w:rsidRPr="00546B8B">
        <w:t xml:space="preserve"> 2012) and deliberative valuation methods</w:t>
      </w:r>
      <w:r w:rsidR="008A2160">
        <w:t xml:space="preserve"> </w:t>
      </w:r>
      <w:r w:rsidR="009B272A" w:rsidRPr="00546B8B">
        <w:t xml:space="preserve">provide opportunities </w:t>
      </w:r>
      <w:r w:rsidR="008A2160">
        <w:t xml:space="preserve">to </w:t>
      </w:r>
      <w:r w:rsidR="009B272A" w:rsidRPr="00546B8B">
        <w:t>bring divergent viewpoints together and explore these</w:t>
      </w:r>
      <w:r w:rsidR="00792FAB">
        <w:t>.</w:t>
      </w:r>
      <w:r w:rsidR="00470254">
        <w:t xml:space="preserve"> </w:t>
      </w:r>
      <w:bookmarkStart w:id="16" w:name="_Hlk484097493"/>
      <w:r w:rsidR="008A2160">
        <w:t>Proponents of deliberative valuation methods argue that the process of deliberation moves decision making beyond ad hoc choices based on heuristic</w:t>
      </w:r>
      <w:r w:rsidR="00506E1E">
        <w:t>s</w:t>
      </w:r>
      <w:bookmarkStart w:id="17" w:name="_GoBack"/>
      <w:bookmarkEnd w:id="17"/>
      <w:r w:rsidR="008A2160">
        <w:t xml:space="preserve"> and incomplete consideration of multiple perspectives</w:t>
      </w:r>
      <w:r w:rsidR="007B53D3">
        <w:t xml:space="preserve"> as captured with SP or FGD methods</w:t>
      </w:r>
      <w:r w:rsidR="008A2160">
        <w:t>, towards value formation that brings results closer to social benefits assessment (</w:t>
      </w:r>
      <w:proofErr w:type="spellStart"/>
      <w:r w:rsidR="008A2160">
        <w:t>Kenter</w:t>
      </w:r>
      <w:proofErr w:type="spellEnd"/>
      <w:r w:rsidR="008A2160">
        <w:t xml:space="preserve"> 2016</w:t>
      </w:r>
      <w:r w:rsidR="004A0337">
        <w:t>, Fish et al. 2016</w:t>
      </w:r>
      <w:r w:rsidR="008A2160">
        <w:t xml:space="preserve">). </w:t>
      </w:r>
      <w:r w:rsidR="00470254">
        <w:t>However</w:t>
      </w:r>
      <w:r w:rsidR="008A2160">
        <w:t xml:space="preserve">, practical, ethical and </w:t>
      </w:r>
      <w:r w:rsidR="007B53D3">
        <w:t xml:space="preserve">theoretical problems of such methods include </w:t>
      </w:r>
      <w:r w:rsidR="009B272A" w:rsidRPr="00546B8B">
        <w:t>the aggregation of preferences</w:t>
      </w:r>
      <w:r w:rsidR="008A2160">
        <w:t xml:space="preserve"> over the larger population,</w:t>
      </w:r>
      <w:r w:rsidR="007B53D3">
        <w:t xml:space="preserve"> the legitimacy of introducing a deliberated policy to a population without the same deliberation experience</w:t>
      </w:r>
      <w:r w:rsidR="008A2160">
        <w:t>, the choice of a social welfare function</w:t>
      </w:r>
      <w:r w:rsidR="007B53D3">
        <w:t>, and the</w:t>
      </w:r>
      <w:r w:rsidR="009B272A" w:rsidRPr="00546B8B">
        <w:t xml:space="preserve"> </w:t>
      </w:r>
      <w:r w:rsidR="007B53D3" w:rsidRPr="00546B8B">
        <w:t>assembl</w:t>
      </w:r>
      <w:r w:rsidR="007B53D3">
        <w:t xml:space="preserve">y of </w:t>
      </w:r>
      <w:r w:rsidR="007B53D3" w:rsidRPr="00546B8B">
        <w:t>sufficiently large samples for robust statistical analysis of group choices</w:t>
      </w:r>
      <w:r w:rsidR="007B53D3" w:rsidRPr="00546B8B" w:rsidDel="007B53D3">
        <w:t xml:space="preserve"> </w:t>
      </w:r>
      <w:r w:rsidR="009B272A" w:rsidRPr="00546B8B">
        <w:t>(</w:t>
      </w:r>
      <w:proofErr w:type="spellStart"/>
      <w:r w:rsidR="009B272A" w:rsidRPr="00546B8B">
        <w:t>Bunse</w:t>
      </w:r>
      <w:proofErr w:type="spellEnd"/>
      <w:r w:rsidR="009B272A" w:rsidRPr="00546B8B">
        <w:t xml:space="preserve"> et al. 2015</w:t>
      </w:r>
      <w:r w:rsidR="007B53D3">
        <w:t xml:space="preserve">, </w:t>
      </w:r>
      <w:proofErr w:type="spellStart"/>
      <w:r w:rsidR="00954424" w:rsidRPr="00546B8B">
        <w:t>Lienhoop</w:t>
      </w:r>
      <w:proofErr w:type="spellEnd"/>
      <w:r w:rsidR="00954424" w:rsidRPr="00546B8B">
        <w:t xml:space="preserve"> et al. 2015).</w:t>
      </w:r>
      <w:r w:rsidR="00954424">
        <w:t xml:space="preserve"> </w:t>
      </w:r>
      <w:bookmarkEnd w:id="16"/>
      <w:r w:rsidR="00CB7636" w:rsidRPr="00546B8B">
        <w:rPr>
          <w:lang w:eastAsia="nl-NL"/>
        </w:rPr>
        <w:t xml:space="preserve">Further research </w:t>
      </w:r>
      <w:r w:rsidR="00721E0F">
        <w:rPr>
          <w:lang w:eastAsia="nl-NL"/>
        </w:rPr>
        <w:t xml:space="preserve">may </w:t>
      </w:r>
      <w:r w:rsidR="00CB7636" w:rsidRPr="00546B8B">
        <w:rPr>
          <w:lang w:eastAsia="nl-NL"/>
        </w:rPr>
        <w:t>test the validity of different group-based valuation approaches, where different groups receive different treatments</w:t>
      </w:r>
      <w:r w:rsidR="005A0AD9" w:rsidRPr="00546B8B">
        <w:rPr>
          <w:lang w:eastAsia="nl-NL"/>
        </w:rPr>
        <w:t xml:space="preserve"> or discuss different topics</w:t>
      </w:r>
      <w:r w:rsidR="00CB7636" w:rsidRPr="00546B8B">
        <w:rPr>
          <w:lang w:eastAsia="nl-NL"/>
        </w:rPr>
        <w:t xml:space="preserve">. </w:t>
      </w:r>
    </w:p>
    <w:p w14:paraId="551A48D1" w14:textId="2156C4DD" w:rsidR="00841D38" w:rsidRPr="00546B8B" w:rsidRDefault="00CB7636" w:rsidP="005A0AD9">
      <w:pPr>
        <w:autoSpaceDE w:val="0"/>
        <w:autoSpaceDN w:val="0"/>
        <w:adjustRightInd w:val="0"/>
        <w:spacing w:after="120"/>
      </w:pPr>
      <w:r w:rsidRPr="00546B8B">
        <w:t xml:space="preserve">The results also provide recommendations for </w:t>
      </w:r>
      <w:r w:rsidR="00841D38" w:rsidRPr="00546B8B">
        <w:t>future</w:t>
      </w:r>
      <w:r w:rsidRPr="00546B8B">
        <w:t xml:space="preserve"> policy design. This study shows that farmers are willing to change f</w:t>
      </w:r>
      <w:r w:rsidR="00CE2F51" w:rsidRPr="00546B8B">
        <w:t>rom current agricultural practic</w:t>
      </w:r>
      <w:r w:rsidRPr="00546B8B">
        <w:t xml:space="preserve">es to </w:t>
      </w:r>
      <w:r w:rsidR="00470254">
        <w:t>tree-based farming</w:t>
      </w:r>
      <w:r w:rsidRPr="00546B8B">
        <w:t>. One of the reasons is that many local farmers</w:t>
      </w:r>
      <w:r w:rsidR="008017B5">
        <w:t xml:space="preserve"> in Central Kalimantan</w:t>
      </w:r>
      <w:r w:rsidRPr="00546B8B">
        <w:t xml:space="preserve"> find it difficult to make a living from the infertile peatlands, which are not very suitable for agriculture. </w:t>
      </w:r>
      <w:r w:rsidR="00AF1345" w:rsidRPr="00546B8B">
        <w:t>Although farmers support alternative income generating activities through tree cultivation</w:t>
      </w:r>
      <w:r w:rsidR="00CE2F51" w:rsidRPr="00546B8B">
        <w:t>,</w:t>
      </w:r>
      <w:r w:rsidR="00AF1345" w:rsidRPr="00546B8B">
        <w:t xml:space="preserve"> the</w:t>
      </w:r>
      <w:r w:rsidR="00CE2F51" w:rsidRPr="00546B8B">
        <w:t xml:space="preserve"> market</w:t>
      </w:r>
      <w:r w:rsidR="005A0AD9" w:rsidRPr="00546B8B">
        <w:t xml:space="preserve"> potential</w:t>
      </w:r>
      <w:r w:rsidR="00CE2F51" w:rsidRPr="00546B8B">
        <w:t xml:space="preserve"> for local </w:t>
      </w:r>
      <w:r w:rsidR="002974C5">
        <w:t>tree</w:t>
      </w:r>
      <w:r w:rsidR="002974C5" w:rsidRPr="00546B8B">
        <w:t xml:space="preserve"> </w:t>
      </w:r>
      <w:r w:rsidR="00CE2F51" w:rsidRPr="00546B8B">
        <w:t xml:space="preserve">products </w:t>
      </w:r>
      <w:r w:rsidR="005A0AD9" w:rsidRPr="00546B8B">
        <w:t>is</w:t>
      </w:r>
      <w:r w:rsidR="00CE2F51" w:rsidRPr="00546B8B">
        <w:t xml:space="preserve"> limited</w:t>
      </w:r>
      <w:r w:rsidR="005A0AD9" w:rsidRPr="00546B8B">
        <w:t xml:space="preserve"> especially</w:t>
      </w:r>
      <w:r w:rsidR="00CE2F51" w:rsidRPr="00546B8B">
        <w:t xml:space="preserve"> in areas where natural peatland forest is still present.</w:t>
      </w:r>
      <w:r w:rsidR="00470254">
        <w:t xml:space="preserve"> The presence of off-site benefits may provide an argument for longer financial support of tree-planting farmers than the five years offered in our CE study.</w:t>
      </w:r>
      <w:r w:rsidR="00CE2F51" w:rsidRPr="00546B8B">
        <w:t xml:space="preserve"> </w:t>
      </w:r>
      <w:r w:rsidR="004E50F4" w:rsidRPr="00A46132">
        <w:t>Ethnicity seemed to have little influence on the attitudes and perceptions of peatland conservation measures or ecosystem knowledge.</w:t>
      </w:r>
      <w:r w:rsidR="004E50F4">
        <w:rPr>
          <w:rFonts w:asciiTheme="minorHAnsi" w:hAnsiTheme="minorHAnsi"/>
          <w:sz w:val="22"/>
          <w:szCs w:val="22"/>
        </w:rPr>
        <w:t xml:space="preserve"> </w:t>
      </w:r>
      <w:bookmarkStart w:id="18" w:name="_Hlk486344228"/>
      <w:bookmarkStart w:id="19" w:name="_Hlk484109360"/>
      <w:r w:rsidR="00841D38" w:rsidRPr="00546B8B">
        <w:t>Local support will require environmental awareness about the</w:t>
      </w:r>
      <w:r w:rsidR="00CE2F51" w:rsidRPr="00546B8B">
        <w:t xml:space="preserve"> potential</w:t>
      </w:r>
      <w:r w:rsidR="009E13BE">
        <w:t xml:space="preserve"> ecosystem services</w:t>
      </w:r>
      <w:r w:rsidR="00841D38" w:rsidRPr="00546B8B">
        <w:t xml:space="preserve"> benefits </w:t>
      </w:r>
      <w:bookmarkEnd w:id="18"/>
      <w:r w:rsidR="00841D38" w:rsidRPr="00546B8B">
        <w:t>of conservation</w:t>
      </w:r>
      <w:r w:rsidR="00CE2F51" w:rsidRPr="00546B8B">
        <w:t xml:space="preserve"> measures</w:t>
      </w:r>
      <w:r w:rsidR="0020246A">
        <w:t>, including flood risk reduction, health benefits and provisioning services of local peatland tree species</w:t>
      </w:r>
      <w:r w:rsidR="008017B5">
        <w:t xml:space="preserve">. </w:t>
      </w:r>
      <w:bookmarkEnd w:id="19"/>
      <w:r w:rsidR="00A46132">
        <w:t>E</w:t>
      </w:r>
      <w:r w:rsidR="00841D38" w:rsidRPr="00546B8B">
        <w:t>ngagement of local communities in peatland management</w:t>
      </w:r>
      <w:r w:rsidR="00CE2F51" w:rsidRPr="00546B8B">
        <w:t xml:space="preserve">, as well as adaptation of </w:t>
      </w:r>
      <w:r w:rsidR="005A0AD9" w:rsidRPr="00546B8B">
        <w:t xml:space="preserve">(compensation) </w:t>
      </w:r>
      <w:r w:rsidR="00CE2F51" w:rsidRPr="00546B8B">
        <w:t>measures to local agricultural practices</w:t>
      </w:r>
      <w:r w:rsidR="00A46132">
        <w:t xml:space="preserve"> may further enhance support</w:t>
      </w:r>
      <w:r w:rsidR="00841D38" w:rsidRPr="00546B8B">
        <w:t xml:space="preserve">. </w:t>
      </w:r>
      <w:r w:rsidR="00506576" w:rsidRPr="00546B8B">
        <w:t xml:space="preserve">Deliberation, through intensive </w:t>
      </w:r>
      <w:r w:rsidR="00A46132">
        <w:t>discussions</w:t>
      </w:r>
      <w:r w:rsidR="008017B5">
        <w:t xml:space="preserve"> </w:t>
      </w:r>
      <w:r w:rsidR="00506576" w:rsidRPr="00546B8B">
        <w:t xml:space="preserve">over longer periods, </w:t>
      </w:r>
      <w:r w:rsidR="002974C5">
        <w:t>could</w:t>
      </w:r>
      <w:r w:rsidR="00506576" w:rsidRPr="00546B8B">
        <w:t xml:space="preserve"> improve ecosystem service awareness and change attitudes in favour of sustainable peatland forest management.</w:t>
      </w:r>
      <w:r w:rsidR="00C52F56">
        <w:t xml:space="preserve"> </w:t>
      </w:r>
      <w:bookmarkStart w:id="20" w:name="_Hlk484109376"/>
      <w:r w:rsidR="00C52F56">
        <w:t xml:space="preserve">Input of different knowledges, those </w:t>
      </w:r>
      <w:r w:rsidR="009E13BE">
        <w:t>of local and traditional experts alongside</w:t>
      </w:r>
      <w:r w:rsidR="00C52F56">
        <w:t xml:space="preserve"> external experts such as peatland ecologists and agronomists, into this deliberation process may help to develop solutions that do not exacerbate the vulnerability of smallholders.</w:t>
      </w:r>
      <w:bookmarkEnd w:id="20"/>
    </w:p>
    <w:p w14:paraId="69008765" w14:textId="6332EB3F" w:rsidR="00067D3D" w:rsidRPr="00546B8B" w:rsidRDefault="00D4698D" w:rsidP="00C65F0E">
      <w:pPr>
        <w:autoSpaceDE w:val="0"/>
        <w:autoSpaceDN w:val="0"/>
        <w:adjustRightInd w:val="0"/>
        <w:spacing w:after="120"/>
      </w:pPr>
      <w:r>
        <w:t>On-farm tree-planting</w:t>
      </w:r>
      <w:r w:rsidR="00CB7636" w:rsidRPr="00546B8B">
        <w:t xml:space="preserve"> may offer a cost-efficient way of avoiding further carbon emissions to international investors and development agencies, but it requires local support</w:t>
      </w:r>
      <w:r w:rsidR="005A0AD9" w:rsidRPr="00546B8B">
        <w:t>. In Central Kalimantan, support</w:t>
      </w:r>
      <w:r w:rsidR="00CB7636" w:rsidRPr="00546B8B">
        <w:t xml:space="preserve"> </w:t>
      </w:r>
      <w:r w:rsidR="00D11AAB" w:rsidRPr="00546B8B">
        <w:t>is conditional on secure and stable income and food supply</w:t>
      </w:r>
      <w:r w:rsidR="00841D38" w:rsidRPr="00546B8B">
        <w:t xml:space="preserve">, the </w:t>
      </w:r>
      <w:r w:rsidR="00841D38" w:rsidRPr="00546B8B">
        <w:lastRenderedPageBreak/>
        <w:t>availability of substitute techniques for land clearing and fertilisation, and the availability of markets for local tree products</w:t>
      </w:r>
      <w:r w:rsidR="00D11AAB" w:rsidRPr="00546B8B">
        <w:t xml:space="preserve">. </w:t>
      </w:r>
      <w:r w:rsidR="00841D38" w:rsidRPr="00546B8B">
        <w:t>O</w:t>
      </w:r>
      <w:r w:rsidR="00D11AAB" w:rsidRPr="00546B8B">
        <w:t>ut of fear of corruption</w:t>
      </w:r>
      <w:r w:rsidR="005A0AD9" w:rsidRPr="00546B8B">
        <w:t>,</w:t>
      </w:r>
      <w:r w:rsidR="00841D38" w:rsidRPr="00546B8B">
        <w:t xml:space="preserve"> lack of trust in </w:t>
      </w:r>
      <w:r w:rsidR="00DB4394" w:rsidRPr="00546B8B">
        <w:t>middlemen</w:t>
      </w:r>
      <w:r w:rsidR="00841D38" w:rsidRPr="00546B8B">
        <w:t>, including community leaders, and limited trust in financial compensation schemes, in combination with a desire to be self-sufficient in food</w:t>
      </w:r>
      <w:r w:rsidR="00D11AAB" w:rsidRPr="00546B8B">
        <w:t xml:space="preserve">, farmers prefer to continue using part of their land for household consumptive production. </w:t>
      </w:r>
      <w:r w:rsidR="00841D38" w:rsidRPr="00546B8B">
        <w:t>Compensation in the form of extension services is not valued highly</w:t>
      </w:r>
      <w:r w:rsidR="005A0AD9" w:rsidRPr="00546B8B">
        <w:t>. R</w:t>
      </w:r>
      <w:r w:rsidR="00841D38" w:rsidRPr="00546B8B">
        <w:t>esearch on other forms of non-monetary compensation, such as seeds</w:t>
      </w:r>
      <w:r w:rsidR="00DB4394" w:rsidRPr="00546B8B">
        <w:t>, farm tools</w:t>
      </w:r>
      <w:r w:rsidR="00841D38" w:rsidRPr="00546B8B">
        <w:t xml:space="preserve"> and fertilizer, and</w:t>
      </w:r>
      <w:r w:rsidR="005A0AD9" w:rsidRPr="00546B8B">
        <w:t xml:space="preserve"> on</w:t>
      </w:r>
      <w:r w:rsidR="00841D38" w:rsidRPr="00546B8B">
        <w:t xml:space="preserve"> the </w:t>
      </w:r>
      <w:proofErr w:type="gramStart"/>
      <w:r w:rsidR="00841D38" w:rsidRPr="00546B8B">
        <w:t>institutions</w:t>
      </w:r>
      <w:proofErr w:type="gramEnd"/>
      <w:r w:rsidR="00841D38" w:rsidRPr="00546B8B">
        <w:t xml:space="preserve"> that would be trusted to provide thes</w:t>
      </w:r>
      <w:r w:rsidR="00470254">
        <w:t>e</w:t>
      </w:r>
      <w:r w:rsidR="00841D38" w:rsidRPr="00546B8B">
        <w:t xml:space="preserve"> may provide information on preferred compensation mechanisms with potential cost-savings. </w:t>
      </w:r>
      <w:r w:rsidR="00067D3D" w:rsidRPr="00546B8B">
        <w:rPr>
          <w:b/>
          <w:bCs/>
          <w:lang w:eastAsia="nl-NL"/>
        </w:rPr>
        <w:br w:type="page"/>
      </w:r>
    </w:p>
    <w:p w14:paraId="436B1379" w14:textId="77777777" w:rsidR="00653548" w:rsidRPr="00546B8B" w:rsidRDefault="00653548" w:rsidP="00653548">
      <w:pPr>
        <w:autoSpaceDE w:val="0"/>
        <w:autoSpaceDN w:val="0"/>
        <w:adjustRightInd w:val="0"/>
        <w:spacing w:afterLines="120" w:after="288" w:line="260" w:lineRule="atLeast"/>
        <w:jc w:val="both"/>
        <w:rPr>
          <w:b/>
          <w:lang w:eastAsia="nl-NL"/>
        </w:rPr>
      </w:pPr>
      <w:r w:rsidRPr="00546B8B">
        <w:rPr>
          <w:b/>
          <w:lang w:eastAsia="nl-NL"/>
        </w:rPr>
        <w:lastRenderedPageBreak/>
        <w:t>ACKNOWLEDGEMENTS</w:t>
      </w:r>
    </w:p>
    <w:p w14:paraId="7DD6CF76" w14:textId="66CC1C21" w:rsidR="00653548" w:rsidRPr="00546B8B" w:rsidRDefault="00653548" w:rsidP="00653548">
      <w:pPr>
        <w:autoSpaceDE w:val="0"/>
        <w:autoSpaceDN w:val="0"/>
        <w:adjustRightInd w:val="0"/>
        <w:rPr>
          <w:lang w:eastAsia="nl-NL"/>
        </w:rPr>
      </w:pPr>
      <w:r w:rsidRPr="00546B8B">
        <w:rPr>
          <w:lang w:eastAsia="nl-NL"/>
        </w:rPr>
        <w:t xml:space="preserve">The authors would like to thank all CKPP partners for their cooperation: CARE International Indonesia, WWF-Indonesia, BOS - </w:t>
      </w:r>
      <w:proofErr w:type="spellStart"/>
      <w:r w:rsidRPr="00546B8B">
        <w:rPr>
          <w:lang w:eastAsia="nl-NL"/>
        </w:rPr>
        <w:t>Mawas</w:t>
      </w:r>
      <w:proofErr w:type="spellEnd"/>
      <w:r w:rsidRPr="00546B8B">
        <w:rPr>
          <w:lang w:eastAsia="nl-NL"/>
        </w:rPr>
        <w:t xml:space="preserve">, the University </w:t>
      </w:r>
      <w:proofErr w:type="spellStart"/>
      <w:r w:rsidRPr="00546B8B">
        <w:rPr>
          <w:lang w:eastAsia="nl-NL"/>
        </w:rPr>
        <w:t>Palangka</w:t>
      </w:r>
      <w:proofErr w:type="spellEnd"/>
      <w:r w:rsidRPr="00546B8B">
        <w:rPr>
          <w:lang w:eastAsia="nl-NL"/>
        </w:rPr>
        <w:t xml:space="preserve"> Raya and Wetlands International. We appreciate the support from the Wetlands International Headquarters in the Netherlands and from </w:t>
      </w:r>
      <w:r w:rsidRPr="00546B8B">
        <w:rPr>
          <w:rFonts w:eastAsia="Bembo" w:cs="Bembo"/>
        </w:rPr>
        <w:t xml:space="preserve">an ESPA Early Career Fellowship Grant (FELL-2014–104) with support from the Ecosystem Services for Poverty Alleviation (ESPA) programme. The ESPA programme is funded by the Department for International Development (DFID), the Economic and Social Research Council (ESRC) and the Natural Environment Research Council (NERC). </w:t>
      </w:r>
      <w:r w:rsidRPr="00546B8B">
        <w:rPr>
          <w:lang w:eastAsia="nl-NL"/>
        </w:rPr>
        <w:t>Finally, we are grateful for the</w:t>
      </w:r>
      <w:r w:rsidR="007C5359" w:rsidRPr="00546B8B">
        <w:rPr>
          <w:lang w:eastAsia="nl-NL"/>
        </w:rPr>
        <w:t xml:space="preserve"> constructive comments of three </w:t>
      </w:r>
      <w:r w:rsidR="00D26918">
        <w:rPr>
          <w:lang w:eastAsia="nl-NL"/>
        </w:rPr>
        <w:t xml:space="preserve">anonymous </w:t>
      </w:r>
      <w:r w:rsidR="007C5359" w:rsidRPr="00546B8B">
        <w:rPr>
          <w:lang w:eastAsia="nl-NL"/>
        </w:rPr>
        <w:t>reviewers and the</w:t>
      </w:r>
      <w:r w:rsidRPr="00546B8B">
        <w:rPr>
          <w:lang w:eastAsia="nl-NL"/>
        </w:rPr>
        <w:t xml:space="preserve"> feedback of Luke Brander. </w:t>
      </w:r>
    </w:p>
    <w:p w14:paraId="1A3A8C66" w14:textId="70904619" w:rsidR="00653548" w:rsidRPr="00546B8B" w:rsidRDefault="00653548">
      <w:pPr>
        <w:spacing w:after="200" w:line="276" w:lineRule="auto"/>
        <w:rPr>
          <w:b/>
          <w:bCs/>
          <w:lang w:eastAsia="nl-NL"/>
        </w:rPr>
      </w:pPr>
    </w:p>
    <w:p w14:paraId="2C9F2B89" w14:textId="537DBFF9" w:rsidR="00B54A12" w:rsidRPr="00546B8B" w:rsidRDefault="00B54A12">
      <w:pPr>
        <w:spacing w:after="200" w:line="276" w:lineRule="auto"/>
        <w:rPr>
          <w:b/>
          <w:bCs/>
          <w:lang w:eastAsia="nl-NL"/>
        </w:rPr>
      </w:pPr>
      <w:r w:rsidRPr="00546B8B">
        <w:rPr>
          <w:b/>
          <w:bCs/>
          <w:lang w:eastAsia="nl-NL"/>
        </w:rPr>
        <w:t>REFERENCES</w:t>
      </w:r>
    </w:p>
    <w:p w14:paraId="114CBE03" w14:textId="4C5DD397" w:rsidR="00010E03" w:rsidRDefault="00010E03" w:rsidP="00010E03">
      <w:pPr>
        <w:autoSpaceDE w:val="0"/>
        <w:autoSpaceDN w:val="0"/>
        <w:adjustRightInd w:val="0"/>
        <w:ind w:left="284" w:hanging="284"/>
        <w:rPr>
          <w:rFonts w:asciiTheme="majorBidi" w:hAnsiTheme="majorBidi" w:cstheme="majorBidi"/>
          <w:sz w:val="22"/>
          <w:szCs w:val="22"/>
          <w:shd w:val="clear" w:color="auto" w:fill="FFFFFF"/>
        </w:rPr>
      </w:pPr>
      <w:r w:rsidRPr="00546B8B">
        <w:rPr>
          <w:rFonts w:asciiTheme="majorBidi" w:hAnsiTheme="majorBidi" w:cstheme="majorBidi"/>
          <w:sz w:val="22"/>
          <w:szCs w:val="22"/>
          <w:shd w:val="clear" w:color="auto" w:fill="FFFFFF"/>
        </w:rPr>
        <w:t xml:space="preserve">Abram, N.K., </w:t>
      </w:r>
      <w:proofErr w:type="spellStart"/>
      <w:r w:rsidRPr="00546B8B">
        <w:rPr>
          <w:rFonts w:asciiTheme="majorBidi" w:hAnsiTheme="majorBidi" w:cstheme="majorBidi"/>
          <w:sz w:val="22"/>
          <w:szCs w:val="22"/>
          <w:shd w:val="clear" w:color="auto" w:fill="FFFFFF"/>
        </w:rPr>
        <w:t>Meijaard</w:t>
      </w:r>
      <w:proofErr w:type="spellEnd"/>
      <w:r w:rsidRPr="00546B8B">
        <w:rPr>
          <w:rFonts w:asciiTheme="majorBidi" w:hAnsiTheme="majorBidi" w:cstheme="majorBidi"/>
          <w:sz w:val="22"/>
          <w:szCs w:val="22"/>
          <w:shd w:val="clear" w:color="auto" w:fill="FFFFFF"/>
        </w:rPr>
        <w:t xml:space="preserve">, E., </w:t>
      </w:r>
      <w:proofErr w:type="spellStart"/>
      <w:r w:rsidRPr="00546B8B">
        <w:rPr>
          <w:rFonts w:asciiTheme="majorBidi" w:hAnsiTheme="majorBidi" w:cstheme="majorBidi"/>
          <w:sz w:val="22"/>
          <w:szCs w:val="22"/>
          <w:shd w:val="clear" w:color="auto" w:fill="FFFFFF"/>
        </w:rPr>
        <w:t>Ancrenaz</w:t>
      </w:r>
      <w:proofErr w:type="spellEnd"/>
      <w:r w:rsidRPr="00546B8B">
        <w:rPr>
          <w:rFonts w:asciiTheme="majorBidi" w:hAnsiTheme="majorBidi" w:cstheme="majorBidi"/>
          <w:sz w:val="22"/>
          <w:szCs w:val="22"/>
          <w:shd w:val="clear" w:color="auto" w:fill="FFFFFF"/>
        </w:rPr>
        <w:t xml:space="preserve">, M., </w:t>
      </w:r>
      <w:proofErr w:type="spellStart"/>
      <w:r w:rsidRPr="00546B8B">
        <w:rPr>
          <w:rFonts w:asciiTheme="majorBidi" w:hAnsiTheme="majorBidi" w:cstheme="majorBidi"/>
          <w:sz w:val="22"/>
          <w:szCs w:val="22"/>
          <w:shd w:val="clear" w:color="auto" w:fill="FFFFFF"/>
        </w:rPr>
        <w:t>Runting</w:t>
      </w:r>
      <w:proofErr w:type="spellEnd"/>
      <w:r w:rsidRPr="00546B8B">
        <w:rPr>
          <w:rFonts w:asciiTheme="majorBidi" w:hAnsiTheme="majorBidi" w:cstheme="majorBidi"/>
          <w:sz w:val="22"/>
          <w:szCs w:val="22"/>
          <w:shd w:val="clear" w:color="auto" w:fill="FFFFFF"/>
        </w:rPr>
        <w:t xml:space="preserve">, R.K., Wells, J.A., </w:t>
      </w:r>
      <w:proofErr w:type="spellStart"/>
      <w:r w:rsidRPr="00546B8B">
        <w:rPr>
          <w:rFonts w:asciiTheme="majorBidi" w:hAnsiTheme="majorBidi" w:cstheme="majorBidi"/>
          <w:sz w:val="22"/>
          <w:szCs w:val="22"/>
          <w:shd w:val="clear" w:color="auto" w:fill="FFFFFF"/>
        </w:rPr>
        <w:t>Gaveau</w:t>
      </w:r>
      <w:proofErr w:type="spellEnd"/>
      <w:r w:rsidRPr="00546B8B">
        <w:rPr>
          <w:rFonts w:asciiTheme="majorBidi" w:hAnsiTheme="majorBidi" w:cstheme="majorBidi"/>
          <w:sz w:val="22"/>
          <w:szCs w:val="22"/>
          <w:shd w:val="clear" w:color="auto" w:fill="FFFFFF"/>
        </w:rPr>
        <w:t xml:space="preserve">, D., </w:t>
      </w:r>
      <w:proofErr w:type="spellStart"/>
      <w:r w:rsidRPr="00546B8B">
        <w:rPr>
          <w:rFonts w:asciiTheme="majorBidi" w:hAnsiTheme="majorBidi" w:cstheme="majorBidi"/>
          <w:sz w:val="22"/>
          <w:szCs w:val="22"/>
          <w:shd w:val="clear" w:color="auto" w:fill="FFFFFF"/>
        </w:rPr>
        <w:t>Pellier</w:t>
      </w:r>
      <w:proofErr w:type="spellEnd"/>
      <w:r w:rsidRPr="00546B8B">
        <w:rPr>
          <w:rFonts w:asciiTheme="majorBidi" w:hAnsiTheme="majorBidi" w:cstheme="majorBidi"/>
          <w:sz w:val="22"/>
          <w:szCs w:val="22"/>
          <w:shd w:val="clear" w:color="auto" w:fill="FFFFFF"/>
        </w:rPr>
        <w:t xml:space="preserve">, A.S., and </w:t>
      </w:r>
      <w:proofErr w:type="spellStart"/>
      <w:r w:rsidRPr="00546B8B">
        <w:rPr>
          <w:rFonts w:asciiTheme="majorBidi" w:hAnsiTheme="majorBidi" w:cstheme="majorBidi"/>
          <w:sz w:val="22"/>
          <w:szCs w:val="22"/>
          <w:shd w:val="clear" w:color="auto" w:fill="FFFFFF"/>
        </w:rPr>
        <w:t>Mengersen</w:t>
      </w:r>
      <w:proofErr w:type="spellEnd"/>
      <w:r w:rsidRPr="00546B8B">
        <w:rPr>
          <w:rFonts w:asciiTheme="majorBidi" w:hAnsiTheme="majorBidi" w:cstheme="majorBidi"/>
          <w:sz w:val="22"/>
          <w:szCs w:val="22"/>
          <w:shd w:val="clear" w:color="auto" w:fill="FFFFFF"/>
        </w:rPr>
        <w:t>, K. (2014). Spatially explicit perceptions of ecosystem services and land cover change in forested regions of Borneo.</w:t>
      </w:r>
      <w:r w:rsidRPr="00546B8B">
        <w:rPr>
          <w:rStyle w:val="apple-converted-space"/>
          <w:rFonts w:asciiTheme="majorBidi" w:hAnsiTheme="majorBidi" w:cstheme="majorBidi"/>
          <w:sz w:val="22"/>
          <w:szCs w:val="22"/>
          <w:shd w:val="clear" w:color="auto" w:fill="FFFFFF"/>
        </w:rPr>
        <w:t> </w:t>
      </w:r>
      <w:r w:rsidRPr="00546B8B">
        <w:rPr>
          <w:rFonts w:asciiTheme="majorBidi" w:hAnsiTheme="majorBidi" w:cstheme="majorBidi"/>
          <w:i/>
          <w:iCs/>
          <w:sz w:val="22"/>
          <w:szCs w:val="22"/>
          <w:shd w:val="clear" w:color="auto" w:fill="FFFFFF"/>
        </w:rPr>
        <w:t>Ecosystem Services</w:t>
      </w:r>
      <w:r w:rsidRPr="00546B8B">
        <w:rPr>
          <w:rStyle w:val="apple-converted-space"/>
          <w:rFonts w:asciiTheme="majorBidi" w:hAnsiTheme="majorBidi" w:cstheme="majorBidi"/>
          <w:sz w:val="22"/>
          <w:szCs w:val="22"/>
          <w:shd w:val="clear" w:color="auto" w:fill="FFFFFF"/>
        </w:rPr>
        <w:t> </w:t>
      </w:r>
      <w:r w:rsidRPr="00546B8B">
        <w:rPr>
          <w:rFonts w:asciiTheme="majorBidi" w:hAnsiTheme="majorBidi" w:cstheme="majorBidi"/>
          <w:sz w:val="22"/>
          <w:szCs w:val="22"/>
          <w:shd w:val="clear" w:color="auto" w:fill="FFFFFF"/>
        </w:rPr>
        <w:t>7: 116-127.</w:t>
      </w:r>
    </w:p>
    <w:p w14:paraId="468B1E66" w14:textId="59BC853E" w:rsidR="007F1C5C" w:rsidRPr="00A46132" w:rsidRDefault="007F1C5C" w:rsidP="00010E03">
      <w:pPr>
        <w:autoSpaceDE w:val="0"/>
        <w:autoSpaceDN w:val="0"/>
        <w:adjustRightInd w:val="0"/>
        <w:ind w:left="284" w:hanging="284"/>
        <w:rPr>
          <w:sz w:val="22"/>
          <w:szCs w:val="22"/>
          <w:shd w:val="clear" w:color="auto" w:fill="FFFFFF"/>
        </w:rPr>
      </w:pPr>
      <w:proofErr w:type="spellStart"/>
      <w:r w:rsidRPr="00A46132">
        <w:rPr>
          <w:sz w:val="22"/>
          <w:szCs w:val="22"/>
          <w:shd w:val="clear" w:color="auto" w:fill="FFFFFF"/>
        </w:rPr>
        <w:t>Alberini</w:t>
      </w:r>
      <w:proofErr w:type="spellEnd"/>
      <w:r w:rsidRPr="00A46132">
        <w:rPr>
          <w:sz w:val="22"/>
          <w:szCs w:val="22"/>
          <w:shd w:val="clear" w:color="auto" w:fill="FFFFFF"/>
        </w:rPr>
        <w:t xml:space="preserve">, A., </w:t>
      </w:r>
      <w:proofErr w:type="spellStart"/>
      <w:r w:rsidRPr="00A46132">
        <w:rPr>
          <w:sz w:val="22"/>
          <w:szCs w:val="22"/>
          <w:shd w:val="clear" w:color="auto" w:fill="FFFFFF"/>
        </w:rPr>
        <w:t>Kanninen</w:t>
      </w:r>
      <w:proofErr w:type="spellEnd"/>
      <w:r w:rsidRPr="00A46132">
        <w:rPr>
          <w:sz w:val="22"/>
          <w:szCs w:val="22"/>
          <w:shd w:val="clear" w:color="auto" w:fill="FFFFFF"/>
        </w:rPr>
        <w:t xml:space="preserve">, B. and Carson, R.T., 1997. </w:t>
      </w:r>
      <w:proofErr w:type="spellStart"/>
      <w:r w:rsidRPr="00A46132">
        <w:rPr>
          <w:sz w:val="22"/>
          <w:szCs w:val="22"/>
          <w:shd w:val="clear" w:color="auto" w:fill="FFFFFF"/>
        </w:rPr>
        <w:t>Modeling</w:t>
      </w:r>
      <w:proofErr w:type="spellEnd"/>
      <w:r w:rsidRPr="00A46132">
        <w:rPr>
          <w:sz w:val="22"/>
          <w:szCs w:val="22"/>
          <w:shd w:val="clear" w:color="auto" w:fill="FFFFFF"/>
        </w:rPr>
        <w:t xml:space="preserve"> response incentive effects in dichotomous choice contingent valuation data.</w:t>
      </w:r>
      <w:r w:rsidRPr="00A46132">
        <w:rPr>
          <w:rStyle w:val="apple-converted-space"/>
          <w:sz w:val="22"/>
          <w:szCs w:val="22"/>
          <w:shd w:val="clear" w:color="auto" w:fill="FFFFFF"/>
        </w:rPr>
        <w:t> </w:t>
      </w:r>
      <w:r w:rsidRPr="00A46132">
        <w:rPr>
          <w:i/>
          <w:iCs/>
          <w:sz w:val="22"/>
          <w:szCs w:val="22"/>
          <w:shd w:val="clear" w:color="auto" w:fill="FFFFFF"/>
        </w:rPr>
        <w:t>Land Economics</w:t>
      </w:r>
      <w:r w:rsidRPr="00A46132">
        <w:rPr>
          <w:sz w:val="22"/>
          <w:szCs w:val="22"/>
          <w:shd w:val="clear" w:color="auto" w:fill="FFFFFF"/>
        </w:rPr>
        <w:t>, pp.309-324.</w:t>
      </w:r>
    </w:p>
    <w:p w14:paraId="4D7852B0" w14:textId="25893260" w:rsidR="00DF7507" w:rsidRPr="00546B8B" w:rsidRDefault="00DF7507" w:rsidP="005043B9">
      <w:pPr>
        <w:autoSpaceDE w:val="0"/>
        <w:autoSpaceDN w:val="0"/>
        <w:adjustRightInd w:val="0"/>
        <w:ind w:left="284" w:hanging="284"/>
        <w:rPr>
          <w:sz w:val="22"/>
          <w:szCs w:val="22"/>
          <w:shd w:val="clear" w:color="auto" w:fill="FFFFFF"/>
          <w:lang w:val="nl-NL"/>
        </w:rPr>
      </w:pPr>
      <w:proofErr w:type="spellStart"/>
      <w:r w:rsidRPr="00546B8B">
        <w:rPr>
          <w:sz w:val="22"/>
          <w:szCs w:val="22"/>
          <w:shd w:val="clear" w:color="auto" w:fill="FFFFFF"/>
        </w:rPr>
        <w:t>Álvarez-Farizo</w:t>
      </w:r>
      <w:proofErr w:type="spellEnd"/>
      <w:r w:rsidRPr="00546B8B">
        <w:rPr>
          <w:sz w:val="22"/>
          <w:szCs w:val="22"/>
          <w:shd w:val="clear" w:color="auto" w:fill="FFFFFF"/>
        </w:rPr>
        <w:t>, B., and Hanley, N. (2006). Improving the process of valuing non-market benefits: combining citizens’ juries with choice modelling.</w:t>
      </w:r>
      <w:r w:rsidRPr="00546B8B">
        <w:rPr>
          <w:rStyle w:val="apple-converted-space"/>
          <w:sz w:val="22"/>
          <w:szCs w:val="22"/>
          <w:shd w:val="clear" w:color="auto" w:fill="FFFFFF"/>
        </w:rPr>
        <w:t> </w:t>
      </w:r>
      <w:r w:rsidRPr="00546B8B">
        <w:rPr>
          <w:i/>
          <w:iCs/>
          <w:sz w:val="22"/>
          <w:szCs w:val="22"/>
          <w:shd w:val="clear" w:color="auto" w:fill="FFFFFF"/>
          <w:lang w:val="nl-NL"/>
        </w:rPr>
        <w:t>Land economics</w:t>
      </w:r>
      <w:r w:rsidRPr="00546B8B">
        <w:rPr>
          <w:rStyle w:val="apple-converted-space"/>
          <w:sz w:val="22"/>
          <w:szCs w:val="22"/>
          <w:shd w:val="clear" w:color="auto" w:fill="FFFFFF"/>
          <w:lang w:val="nl-NL"/>
        </w:rPr>
        <w:t> </w:t>
      </w:r>
      <w:r w:rsidRPr="00546B8B">
        <w:rPr>
          <w:iCs/>
          <w:sz w:val="22"/>
          <w:szCs w:val="22"/>
          <w:shd w:val="clear" w:color="auto" w:fill="FFFFFF"/>
          <w:lang w:val="nl-NL"/>
        </w:rPr>
        <w:t>82</w:t>
      </w:r>
      <w:r w:rsidRPr="00546B8B">
        <w:rPr>
          <w:sz w:val="22"/>
          <w:szCs w:val="22"/>
          <w:shd w:val="clear" w:color="auto" w:fill="FFFFFF"/>
          <w:lang w:val="nl-NL"/>
        </w:rPr>
        <w:t>(3): 465-478.</w:t>
      </w:r>
    </w:p>
    <w:p w14:paraId="7A04F49D" w14:textId="331F2918" w:rsidR="00A40B66" w:rsidRPr="00546B8B" w:rsidRDefault="00A40B66" w:rsidP="005043B9">
      <w:pPr>
        <w:autoSpaceDE w:val="0"/>
        <w:autoSpaceDN w:val="0"/>
        <w:adjustRightInd w:val="0"/>
        <w:ind w:left="284" w:hanging="284"/>
        <w:rPr>
          <w:rFonts w:asciiTheme="majorBidi" w:hAnsiTheme="majorBidi" w:cstheme="majorBidi"/>
          <w:sz w:val="22"/>
          <w:szCs w:val="22"/>
          <w:lang w:eastAsia="nl-NL"/>
        </w:rPr>
      </w:pPr>
      <w:r w:rsidRPr="00546B8B">
        <w:rPr>
          <w:rFonts w:asciiTheme="majorBidi" w:hAnsiTheme="majorBidi" w:cstheme="majorBidi"/>
          <w:sz w:val="22"/>
          <w:szCs w:val="22"/>
          <w:lang w:val="nl-NL" w:eastAsia="nl-NL"/>
        </w:rPr>
        <w:t xml:space="preserve">Barkmann, J., Glenk, K., Keil, A., Leemhuis, C., Dietrich, N., Gerold, G., </w:t>
      </w:r>
      <w:r w:rsidR="005043B9" w:rsidRPr="00546B8B">
        <w:rPr>
          <w:rFonts w:asciiTheme="majorBidi" w:hAnsiTheme="majorBidi" w:cstheme="majorBidi"/>
          <w:sz w:val="22"/>
          <w:szCs w:val="22"/>
          <w:lang w:val="nl-NL" w:eastAsia="nl-NL"/>
        </w:rPr>
        <w:t xml:space="preserve">and </w:t>
      </w:r>
      <w:r w:rsidRPr="00546B8B">
        <w:rPr>
          <w:rFonts w:asciiTheme="majorBidi" w:hAnsiTheme="majorBidi" w:cstheme="majorBidi"/>
          <w:sz w:val="22"/>
          <w:szCs w:val="22"/>
          <w:lang w:val="nl-NL" w:eastAsia="nl-NL"/>
        </w:rPr>
        <w:t xml:space="preserve">Marggraf, R. (2008). </w:t>
      </w:r>
      <w:r w:rsidRPr="00546B8B">
        <w:rPr>
          <w:rFonts w:asciiTheme="majorBidi" w:hAnsiTheme="majorBidi" w:cstheme="majorBidi"/>
          <w:sz w:val="22"/>
          <w:szCs w:val="22"/>
          <w:lang w:eastAsia="nl-NL"/>
        </w:rPr>
        <w:t>Confronting unfamiliarity with ecosystem functions: The case for an ecosystem service approach to environmental valuation with stated preference methods</w:t>
      </w:r>
      <w:r w:rsidR="005043B9" w:rsidRPr="00546B8B">
        <w:rPr>
          <w:rFonts w:asciiTheme="majorBidi" w:hAnsiTheme="majorBidi" w:cstheme="majorBidi"/>
          <w:sz w:val="22"/>
          <w:szCs w:val="22"/>
          <w:lang w:eastAsia="nl-NL"/>
        </w:rPr>
        <w:t>.</w:t>
      </w:r>
      <w:r w:rsidRPr="00546B8B">
        <w:rPr>
          <w:rFonts w:asciiTheme="majorBidi" w:hAnsiTheme="majorBidi" w:cstheme="majorBidi"/>
          <w:sz w:val="22"/>
          <w:szCs w:val="22"/>
          <w:lang w:eastAsia="nl-NL"/>
        </w:rPr>
        <w:t xml:space="preserve"> </w:t>
      </w:r>
      <w:r w:rsidRPr="00546B8B">
        <w:rPr>
          <w:rFonts w:asciiTheme="majorBidi" w:hAnsiTheme="majorBidi" w:cstheme="majorBidi"/>
          <w:i/>
          <w:iCs/>
          <w:sz w:val="22"/>
          <w:szCs w:val="22"/>
          <w:lang w:eastAsia="nl-NL"/>
        </w:rPr>
        <w:t xml:space="preserve">Ecological Economics </w:t>
      </w:r>
      <w:r w:rsidRPr="00546B8B">
        <w:rPr>
          <w:rFonts w:asciiTheme="majorBidi" w:hAnsiTheme="majorBidi" w:cstheme="majorBidi"/>
          <w:sz w:val="22"/>
          <w:szCs w:val="22"/>
          <w:lang w:eastAsia="nl-NL"/>
        </w:rPr>
        <w:t>65: 48-63.</w:t>
      </w:r>
    </w:p>
    <w:p w14:paraId="71879A6C" w14:textId="67351B59" w:rsidR="003D536A" w:rsidRPr="00546B8B" w:rsidRDefault="003D536A" w:rsidP="005043B9">
      <w:pPr>
        <w:autoSpaceDE w:val="0"/>
        <w:autoSpaceDN w:val="0"/>
        <w:adjustRightInd w:val="0"/>
        <w:ind w:left="284" w:hanging="284"/>
        <w:rPr>
          <w:rFonts w:asciiTheme="majorBidi" w:hAnsiTheme="majorBidi" w:cstheme="majorBidi"/>
          <w:sz w:val="22"/>
          <w:szCs w:val="22"/>
          <w:lang w:eastAsia="nl-NL"/>
        </w:rPr>
      </w:pPr>
      <w:r w:rsidRPr="00546B8B">
        <w:rPr>
          <w:rFonts w:asciiTheme="majorBidi" w:hAnsiTheme="majorBidi" w:cstheme="majorBidi"/>
          <w:sz w:val="22"/>
          <w:szCs w:val="22"/>
          <w:shd w:val="clear" w:color="auto" w:fill="FFFFFF"/>
        </w:rPr>
        <w:t>Bolduc, D., Ben-</w:t>
      </w:r>
      <w:proofErr w:type="spellStart"/>
      <w:r w:rsidRPr="00546B8B">
        <w:rPr>
          <w:rFonts w:asciiTheme="majorBidi" w:hAnsiTheme="majorBidi" w:cstheme="majorBidi"/>
          <w:sz w:val="22"/>
          <w:szCs w:val="22"/>
          <w:shd w:val="clear" w:color="auto" w:fill="FFFFFF"/>
        </w:rPr>
        <w:t>Akiva</w:t>
      </w:r>
      <w:proofErr w:type="spellEnd"/>
      <w:r w:rsidRPr="00546B8B">
        <w:rPr>
          <w:rFonts w:asciiTheme="majorBidi" w:hAnsiTheme="majorBidi" w:cstheme="majorBidi"/>
          <w:sz w:val="22"/>
          <w:szCs w:val="22"/>
          <w:shd w:val="clear" w:color="auto" w:fill="FFFFFF"/>
        </w:rPr>
        <w:t>, M., Walker, J., and Michaud, A. (2005). Hybrid choice models with logit kernel: applicability to large scale models.</w:t>
      </w:r>
      <w:r w:rsidRPr="00546B8B">
        <w:rPr>
          <w:rStyle w:val="apple-converted-space"/>
          <w:rFonts w:asciiTheme="majorBidi" w:hAnsiTheme="majorBidi" w:cstheme="majorBidi"/>
          <w:sz w:val="22"/>
          <w:szCs w:val="22"/>
          <w:shd w:val="clear" w:color="auto" w:fill="FFFFFF"/>
        </w:rPr>
        <w:t> </w:t>
      </w:r>
      <w:r w:rsidRPr="00546B8B">
        <w:rPr>
          <w:rFonts w:asciiTheme="majorBidi" w:hAnsiTheme="majorBidi" w:cstheme="majorBidi"/>
          <w:i/>
          <w:iCs/>
          <w:sz w:val="22"/>
          <w:szCs w:val="22"/>
          <w:shd w:val="clear" w:color="auto" w:fill="FFFFFF"/>
        </w:rPr>
        <w:t>Integrated Land-Use and Transportation Models: Behavioural Foundations, Elsevier, Oxford</w:t>
      </w:r>
      <w:r w:rsidRPr="00546B8B">
        <w:rPr>
          <w:rFonts w:asciiTheme="majorBidi" w:hAnsiTheme="majorBidi" w:cstheme="majorBidi"/>
          <w:sz w:val="22"/>
          <w:szCs w:val="22"/>
          <w:shd w:val="clear" w:color="auto" w:fill="FFFFFF"/>
        </w:rPr>
        <w:t>, 275-302.</w:t>
      </w:r>
    </w:p>
    <w:p w14:paraId="0FF1EA71" w14:textId="77777777" w:rsidR="0062450E" w:rsidRDefault="0062450E" w:rsidP="005043B9">
      <w:pPr>
        <w:autoSpaceDE w:val="0"/>
        <w:autoSpaceDN w:val="0"/>
        <w:adjustRightInd w:val="0"/>
        <w:ind w:left="284" w:hanging="284"/>
        <w:rPr>
          <w:rFonts w:asciiTheme="majorBidi" w:hAnsiTheme="majorBidi" w:cstheme="majorBidi"/>
          <w:sz w:val="22"/>
          <w:szCs w:val="22"/>
          <w:lang w:eastAsia="nl-NL"/>
        </w:rPr>
      </w:pPr>
      <w:r w:rsidRPr="00A46132">
        <w:rPr>
          <w:rFonts w:asciiTheme="majorBidi" w:hAnsiTheme="majorBidi" w:cstheme="majorBidi"/>
          <w:sz w:val="22"/>
          <w:szCs w:val="22"/>
          <w:lang w:val="nl-NL" w:eastAsia="nl-NL"/>
        </w:rPr>
        <w:t xml:space="preserve">Bouma, J.A. and P.J.H. van Beukering (Eds.) </w:t>
      </w:r>
      <w:r w:rsidRPr="0062450E">
        <w:rPr>
          <w:rFonts w:asciiTheme="majorBidi" w:hAnsiTheme="majorBidi" w:cstheme="majorBidi"/>
          <w:sz w:val="22"/>
          <w:szCs w:val="22"/>
          <w:lang w:eastAsia="nl-NL"/>
        </w:rPr>
        <w:t xml:space="preserve">(2015). </w:t>
      </w:r>
      <w:r w:rsidRPr="00A46132">
        <w:rPr>
          <w:rFonts w:asciiTheme="majorBidi" w:hAnsiTheme="majorBidi" w:cstheme="majorBidi"/>
          <w:i/>
          <w:sz w:val="22"/>
          <w:szCs w:val="22"/>
          <w:lang w:eastAsia="nl-NL"/>
        </w:rPr>
        <w:t>Ecosystem Services: From Concept to Practice</w:t>
      </w:r>
      <w:r w:rsidRPr="0062450E">
        <w:rPr>
          <w:rFonts w:asciiTheme="majorBidi" w:hAnsiTheme="majorBidi" w:cstheme="majorBidi"/>
          <w:sz w:val="22"/>
          <w:szCs w:val="22"/>
          <w:lang w:eastAsia="nl-NL"/>
        </w:rPr>
        <w:t>. Cambridge University Press. Cambridge, 420 pages.</w:t>
      </w:r>
    </w:p>
    <w:p w14:paraId="2C0779D2" w14:textId="4EBB9BC2" w:rsidR="00A40B66" w:rsidRPr="00546B8B" w:rsidRDefault="00A40B66" w:rsidP="005043B9">
      <w:pPr>
        <w:autoSpaceDE w:val="0"/>
        <w:autoSpaceDN w:val="0"/>
        <w:adjustRightInd w:val="0"/>
        <w:ind w:left="284" w:hanging="284"/>
        <w:rPr>
          <w:rFonts w:asciiTheme="majorBidi" w:hAnsiTheme="majorBidi" w:cstheme="majorBidi"/>
          <w:sz w:val="22"/>
          <w:szCs w:val="22"/>
          <w:lang w:eastAsia="nl-NL"/>
        </w:rPr>
      </w:pPr>
      <w:r w:rsidRPr="00546B8B">
        <w:rPr>
          <w:rFonts w:asciiTheme="majorBidi" w:hAnsiTheme="majorBidi" w:cstheme="majorBidi"/>
          <w:sz w:val="22"/>
          <w:szCs w:val="22"/>
          <w:lang w:eastAsia="nl-NL"/>
        </w:rPr>
        <w:t xml:space="preserve">Brouwer, R., </w:t>
      </w:r>
      <w:proofErr w:type="spellStart"/>
      <w:r w:rsidRPr="00546B8B">
        <w:rPr>
          <w:rFonts w:asciiTheme="majorBidi" w:hAnsiTheme="majorBidi" w:cstheme="majorBidi"/>
          <w:sz w:val="22"/>
          <w:szCs w:val="22"/>
          <w:lang w:eastAsia="nl-NL"/>
        </w:rPr>
        <w:t>Powe</w:t>
      </w:r>
      <w:proofErr w:type="spellEnd"/>
      <w:r w:rsidRPr="00546B8B">
        <w:rPr>
          <w:rFonts w:asciiTheme="majorBidi" w:hAnsiTheme="majorBidi" w:cstheme="majorBidi"/>
          <w:sz w:val="22"/>
          <w:szCs w:val="22"/>
          <w:lang w:eastAsia="nl-NL"/>
        </w:rPr>
        <w:t xml:space="preserve">, N.A., Turner, R.K., Langford, I.H., </w:t>
      </w:r>
      <w:r w:rsidR="005043B9" w:rsidRPr="00546B8B">
        <w:rPr>
          <w:rFonts w:asciiTheme="majorBidi" w:hAnsiTheme="majorBidi" w:cstheme="majorBidi"/>
          <w:sz w:val="22"/>
          <w:szCs w:val="22"/>
          <w:lang w:eastAsia="nl-NL"/>
        </w:rPr>
        <w:t xml:space="preserve">and </w:t>
      </w:r>
      <w:r w:rsidRPr="00546B8B">
        <w:rPr>
          <w:rFonts w:asciiTheme="majorBidi" w:hAnsiTheme="majorBidi" w:cstheme="majorBidi"/>
          <w:sz w:val="22"/>
          <w:szCs w:val="22"/>
          <w:lang w:eastAsia="nl-NL"/>
        </w:rPr>
        <w:t xml:space="preserve">Bateman, I.J. (1999). Public attitudes to contingent valuation and public consultation. </w:t>
      </w:r>
      <w:r w:rsidRPr="00546B8B">
        <w:rPr>
          <w:rFonts w:asciiTheme="majorBidi" w:hAnsiTheme="majorBidi" w:cstheme="majorBidi"/>
          <w:i/>
          <w:iCs/>
          <w:sz w:val="22"/>
          <w:szCs w:val="22"/>
          <w:lang w:eastAsia="nl-NL"/>
        </w:rPr>
        <w:t xml:space="preserve">Environmental Values </w:t>
      </w:r>
      <w:r w:rsidRPr="00546B8B">
        <w:rPr>
          <w:rFonts w:asciiTheme="majorBidi" w:hAnsiTheme="majorBidi" w:cstheme="majorBidi"/>
          <w:sz w:val="22"/>
          <w:szCs w:val="22"/>
          <w:lang w:eastAsia="nl-NL"/>
        </w:rPr>
        <w:t xml:space="preserve">8: 325–347. </w:t>
      </w:r>
    </w:p>
    <w:p w14:paraId="032A2982" w14:textId="41B9167E" w:rsidR="00A40B66" w:rsidRPr="00546B8B" w:rsidRDefault="00A40B66" w:rsidP="005043B9">
      <w:pPr>
        <w:autoSpaceDE w:val="0"/>
        <w:autoSpaceDN w:val="0"/>
        <w:adjustRightInd w:val="0"/>
        <w:ind w:left="284" w:hanging="284"/>
        <w:rPr>
          <w:rFonts w:asciiTheme="majorBidi" w:hAnsiTheme="majorBidi" w:cstheme="majorBidi"/>
          <w:sz w:val="22"/>
          <w:szCs w:val="22"/>
          <w:lang w:eastAsia="nl-NL"/>
        </w:rPr>
      </w:pPr>
      <w:r w:rsidRPr="00546B8B">
        <w:rPr>
          <w:rFonts w:asciiTheme="majorBidi" w:hAnsiTheme="majorBidi" w:cstheme="majorBidi"/>
          <w:sz w:val="22"/>
          <w:szCs w:val="22"/>
          <w:lang w:eastAsia="nl-NL"/>
        </w:rPr>
        <w:t>Brown, T.C.</w:t>
      </w:r>
      <w:r w:rsidR="005043B9" w:rsidRPr="00546B8B">
        <w:rPr>
          <w:rFonts w:asciiTheme="majorBidi" w:hAnsiTheme="majorBidi" w:cstheme="majorBidi"/>
          <w:sz w:val="22"/>
          <w:szCs w:val="22"/>
          <w:lang w:eastAsia="nl-NL"/>
        </w:rPr>
        <w:t>,</w:t>
      </w:r>
      <w:r w:rsidRPr="00546B8B">
        <w:rPr>
          <w:rFonts w:asciiTheme="majorBidi" w:hAnsiTheme="majorBidi" w:cstheme="majorBidi"/>
          <w:sz w:val="22"/>
          <w:szCs w:val="22"/>
          <w:lang w:eastAsia="nl-NL"/>
        </w:rPr>
        <w:t xml:space="preserve"> and Gregory, R. (1999). Why the WTA-WTP disparity matters</w:t>
      </w:r>
      <w:r w:rsidR="00E11E3F" w:rsidRPr="00546B8B">
        <w:rPr>
          <w:rFonts w:asciiTheme="majorBidi" w:hAnsiTheme="majorBidi" w:cstheme="majorBidi"/>
          <w:sz w:val="22"/>
          <w:szCs w:val="22"/>
          <w:lang w:eastAsia="nl-NL"/>
        </w:rPr>
        <w:t>.</w:t>
      </w:r>
      <w:r w:rsidRPr="00546B8B">
        <w:rPr>
          <w:rFonts w:asciiTheme="majorBidi" w:hAnsiTheme="majorBidi" w:cstheme="majorBidi"/>
          <w:sz w:val="22"/>
          <w:szCs w:val="22"/>
          <w:lang w:eastAsia="nl-NL"/>
        </w:rPr>
        <w:t xml:space="preserve"> </w:t>
      </w:r>
      <w:r w:rsidRPr="00546B8B">
        <w:rPr>
          <w:rFonts w:asciiTheme="majorBidi" w:hAnsiTheme="majorBidi" w:cstheme="majorBidi"/>
          <w:i/>
          <w:sz w:val="22"/>
          <w:szCs w:val="22"/>
          <w:lang w:eastAsia="nl-NL"/>
        </w:rPr>
        <w:t>Ecological Economics</w:t>
      </w:r>
      <w:r w:rsidRPr="00546B8B">
        <w:rPr>
          <w:rFonts w:asciiTheme="majorBidi" w:hAnsiTheme="majorBidi" w:cstheme="majorBidi"/>
          <w:sz w:val="22"/>
          <w:szCs w:val="22"/>
          <w:lang w:eastAsia="nl-NL"/>
        </w:rPr>
        <w:t xml:space="preserve"> 28(3): 323-335.</w:t>
      </w:r>
    </w:p>
    <w:p w14:paraId="18C6FCB7" w14:textId="08A769B1" w:rsidR="00DF7507" w:rsidRPr="00546B8B" w:rsidRDefault="00DF7507" w:rsidP="00614DF1">
      <w:pPr>
        <w:autoSpaceDE w:val="0"/>
        <w:autoSpaceDN w:val="0"/>
        <w:adjustRightInd w:val="0"/>
        <w:ind w:left="284" w:hanging="284"/>
        <w:rPr>
          <w:sz w:val="22"/>
          <w:szCs w:val="22"/>
          <w:shd w:val="clear" w:color="auto" w:fill="FFFFFF"/>
        </w:rPr>
      </w:pPr>
      <w:proofErr w:type="spellStart"/>
      <w:r w:rsidRPr="00546B8B">
        <w:rPr>
          <w:sz w:val="22"/>
          <w:szCs w:val="22"/>
          <w:shd w:val="clear" w:color="auto" w:fill="FFFFFF"/>
        </w:rPr>
        <w:t>Bunse</w:t>
      </w:r>
      <w:proofErr w:type="spellEnd"/>
      <w:r w:rsidRPr="00546B8B">
        <w:rPr>
          <w:sz w:val="22"/>
          <w:szCs w:val="22"/>
          <w:shd w:val="clear" w:color="auto" w:fill="FFFFFF"/>
        </w:rPr>
        <w:t xml:space="preserve">, L., Rendon, O. and </w:t>
      </w:r>
      <w:proofErr w:type="spellStart"/>
      <w:r w:rsidRPr="00546B8B">
        <w:rPr>
          <w:sz w:val="22"/>
          <w:szCs w:val="22"/>
          <w:shd w:val="clear" w:color="auto" w:fill="FFFFFF"/>
        </w:rPr>
        <w:t>Luque</w:t>
      </w:r>
      <w:proofErr w:type="spellEnd"/>
      <w:r w:rsidRPr="00546B8B">
        <w:rPr>
          <w:sz w:val="22"/>
          <w:szCs w:val="22"/>
          <w:shd w:val="clear" w:color="auto" w:fill="FFFFFF"/>
        </w:rPr>
        <w:t xml:space="preserve">, S., 2015. What can deliberative approaches bring to the monetary valuation of ecosystem services? A literature </w:t>
      </w:r>
      <w:proofErr w:type="gramStart"/>
      <w:r w:rsidRPr="00546B8B">
        <w:rPr>
          <w:sz w:val="22"/>
          <w:szCs w:val="22"/>
          <w:shd w:val="clear" w:color="auto" w:fill="FFFFFF"/>
        </w:rPr>
        <w:t>review</w:t>
      </w:r>
      <w:proofErr w:type="gramEnd"/>
      <w:r w:rsidRPr="00546B8B">
        <w:rPr>
          <w:sz w:val="22"/>
          <w:szCs w:val="22"/>
          <w:shd w:val="clear" w:color="auto" w:fill="FFFFFF"/>
        </w:rPr>
        <w:t>.</w:t>
      </w:r>
      <w:r w:rsidRPr="00546B8B">
        <w:rPr>
          <w:rStyle w:val="apple-converted-space"/>
          <w:sz w:val="22"/>
          <w:szCs w:val="22"/>
          <w:shd w:val="clear" w:color="auto" w:fill="FFFFFF"/>
        </w:rPr>
        <w:t> </w:t>
      </w:r>
      <w:r w:rsidRPr="00546B8B">
        <w:rPr>
          <w:i/>
          <w:iCs/>
          <w:sz w:val="22"/>
          <w:szCs w:val="22"/>
          <w:shd w:val="clear" w:color="auto" w:fill="FFFFFF"/>
        </w:rPr>
        <w:t>Ecosystem Services</w:t>
      </w:r>
      <w:r w:rsidRPr="00546B8B">
        <w:rPr>
          <w:rStyle w:val="apple-converted-space"/>
          <w:sz w:val="22"/>
          <w:szCs w:val="22"/>
          <w:shd w:val="clear" w:color="auto" w:fill="FFFFFF"/>
        </w:rPr>
        <w:t> </w:t>
      </w:r>
      <w:r w:rsidRPr="00546B8B">
        <w:rPr>
          <w:iCs/>
          <w:sz w:val="22"/>
          <w:szCs w:val="22"/>
          <w:shd w:val="clear" w:color="auto" w:fill="FFFFFF"/>
        </w:rPr>
        <w:t>14</w:t>
      </w:r>
      <w:r w:rsidRPr="00546B8B">
        <w:rPr>
          <w:sz w:val="22"/>
          <w:szCs w:val="22"/>
          <w:shd w:val="clear" w:color="auto" w:fill="FFFFFF"/>
        </w:rPr>
        <w:t>: 88-97.</w:t>
      </w:r>
    </w:p>
    <w:p w14:paraId="342EEC19" w14:textId="719FC149" w:rsidR="00614DF1" w:rsidRPr="00546B8B" w:rsidRDefault="00614DF1" w:rsidP="00614DF1">
      <w:pPr>
        <w:autoSpaceDE w:val="0"/>
        <w:autoSpaceDN w:val="0"/>
        <w:adjustRightInd w:val="0"/>
        <w:ind w:left="284" w:hanging="284"/>
        <w:rPr>
          <w:rFonts w:asciiTheme="majorBidi" w:hAnsiTheme="majorBidi" w:cstheme="majorBidi"/>
          <w:sz w:val="22"/>
          <w:szCs w:val="22"/>
          <w:shd w:val="clear" w:color="auto" w:fill="FFFFFF"/>
        </w:rPr>
      </w:pPr>
      <w:r w:rsidRPr="00546B8B">
        <w:rPr>
          <w:rFonts w:asciiTheme="majorBidi" w:hAnsiTheme="majorBidi" w:cstheme="majorBidi"/>
          <w:sz w:val="22"/>
          <w:szCs w:val="22"/>
          <w:shd w:val="clear" w:color="auto" w:fill="FFFFFF"/>
        </w:rPr>
        <w:t>Carson, R.T. (2012). Contingent valuation: A practical alternative when prices aren't available.</w:t>
      </w:r>
      <w:r w:rsidRPr="00546B8B">
        <w:rPr>
          <w:rStyle w:val="apple-converted-space"/>
          <w:rFonts w:asciiTheme="majorBidi" w:hAnsiTheme="majorBidi" w:cstheme="majorBidi"/>
          <w:sz w:val="22"/>
          <w:szCs w:val="22"/>
          <w:shd w:val="clear" w:color="auto" w:fill="FFFFFF"/>
        </w:rPr>
        <w:t> </w:t>
      </w:r>
      <w:r w:rsidRPr="00546B8B">
        <w:rPr>
          <w:rFonts w:asciiTheme="majorBidi" w:hAnsiTheme="majorBidi" w:cstheme="majorBidi"/>
          <w:i/>
          <w:iCs/>
          <w:sz w:val="22"/>
          <w:szCs w:val="22"/>
          <w:shd w:val="clear" w:color="auto" w:fill="FFFFFF"/>
        </w:rPr>
        <w:t>The Journal of Economic Perspectives</w:t>
      </w:r>
      <w:r w:rsidRPr="00546B8B">
        <w:rPr>
          <w:rStyle w:val="apple-converted-space"/>
          <w:rFonts w:asciiTheme="majorBidi" w:hAnsiTheme="majorBidi" w:cstheme="majorBidi"/>
          <w:sz w:val="22"/>
          <w:szCs w:val="22"/>
          <w:shd w:val="clear" w:color="auto" w:fill="FFFFFF"/>
        </w:rPr>
        <w:t> </w:t>
      </w:r>
      <w:r w:rsidRPr="00546B8B">
        <w:rPr>
          <w:rFonts w:asciiTheme="majorBidi" w:hAnsiTheme="majorBidi" w:cstheme="majorBidi"/>
          <w:sz w:val="22"/>
          <w:szCs w:val="22"/>
          <w:shd w:val="clear" w:color="auto" w:fill="FFFFFF"/>
        </w:rPr>
        <w:t>26(4): 27-42.</w:t>
      </w:r>
    </w:p>
    <w:p w14:paraId="363B477B" w14:textId="77777777" w:rsidR="00614DF1" w:rsidRPr="00546B8B" w:rsidRDefault="00614DF1" w:rsidP="00614DF1">
      <w:pPr>
        <w:autoSpaceDE w:val="0"/>
        <w:autoSpaceDN w:val="0"/>
        <w:adjustRightInd w:val="0"/>
        <w:ind w:left="284" w:hanging="284"/>
        <w:rPr>
          <w:rFonts w:asciiTheme="majorBidi" w:hAnsiTheme="majorBidi" w:cstheme="majorBidi"/>
          <w:sz w:val="22"/>
          <w:szCs w:val="22"/>
          <w:lang w:eastAsia="nl-NL"/>
        </w:rPr>
      </w:pPr>
      <w:r w:rsidRPr="00546B8B">
        <w:rPr>
          <w:rFonts w:asciiTheme="majorBidi" w:eastAsiaTheme="minorHAnsi" w:hAnsiTheme="majorBidi" w:cstheme="majorBidi"/>
          <w:sz w:val="22"/>
          <w:szCs w:val="22"/>
          <w:lang w:eastAsia="en-US"/>
        </w:rPr>
        <w:t xml:space="preserve">Christie, M., </w:t>
      </w:r>
      <w:proofErr w:type="spellStart"/>
      <w:r w:rsidRPr="00546B8B">
        <w:rPr>
          <w:rFonts w:asciiTheme="majorBidi" w:eastAsiaTheme="minorHAnsi" w:hAnsiTheme="majorBidi" w:cstheme="majorBidi"/>
          <w:sz w:val="22"/>
          <w:szCs w:val="22"/>
          <w:lang w:eastAsia="en-US"/>
        </w:rPr>
        <w:t>Fazey</w:t>
      </w:r>
      <w:proofErr w:type="spellEnd"/>
      <w:r w:rsidRPr="00546B8B">
        <w:rPr>
          <w:rFonts w:asciiTheme="majorBidi" w:eastAsiaTheme="minorHAnsi" w:hAnsiTheme="majorBidi" w:cstheme="majorBidi"/>
          <w:sz w:val="22"/>
          <w:szCs w:val="22"/>
          <w:lang w:eastAsia="en-US"/>
        </w:rPr>
        <w:t xml:space="preserve">, I., Cooper, R., Hyde, T., and </w:t>
      </w:r>
      <w:proofErr w:type="spellStart"/>
      <w:r w:rsidRPr="00546B8B">
        <w:rPr>
          <w:rFonts w:asciiTheme="majorBidi" w:eastAsiaTheme="minorHAnsi" w:hAnsiTheme="majorBidi" w:cstheme="majorBidi"/>
          <w:sz w:val="22"/>
          <w:szCs w:val="22"/>
          <w:lang w:eastAsia="en-US"/>
        </w:rPr>
        <w:t>Kenter</w:t>
      </w:r>
      <w:proofErr w:type="spellEnd"/>
      <w:r w:rsidRPr="00546B8B">
        <w:rPr>
          <w:rFonts w:asciiTheme="majorBidi" w:eastAsiaTheme="minorHAnsi" w:hAnsiTheme="majorBidi" w:cstheme="majorBidi"/>
          <w:sz w:val="22"/>
          <w:szCs w:val="22"/>
          <w:lang w:eastAsia="en-US"/>
        </w:rPr>
        <w:t xml:space="preserve">, J.O. (2012). An evaluation of monetary and non-monetary techniques for assessing the importance of biodiversity and ecosystem services to people in countries with developing economies. </w:t>
      </w:r>
      <w:r w:rsidRPr="00546B8B">
        <w:rPr>
          <w:rFonts w:asciiTheme="majorBidi" w:eastAsiaTheme="minorHAnsi" w:hAnsiTheme="majorBidi" w:cstheme="majorBidi"/>
          <w:i/>
          <w:iCs/>
          <w:sz w:val="22"/>
          <w:szCs w:val="22"/>
          <w:lang w:eastAsia="en-US"/>
        </w:rPr>
        <w:t>Ecological Economics</w:t>
      </w:r>
      <w:r w:rsidRPr="00546B8B">
        <w:rPr>
          <w:rFonts w:asciiTheme="majorBidi" w:eastAsiaTheme="minorHAnsi" w:hAnsiTheme="majorBidi" w:cstheme="majorBidi"/>
          <w:sz w:val="22"/>
          <w:szCs w:val="22"/>
          <w:lang w:eastAsia="en-US"/>
        </w:rPr>
        <w:t xml:space="preserve"> 83: 69–80.</w:t>
      </w:r>
    </w:p>
    <w:p w14:paraId="0E473C82" w14:textId="142F99A3" w:rsidR="002B4C13" w:rsidRDefault="00A40B66" w:rsidP="002B4C13">
      <w:pPr>
        <w:autoSpaceDE w:val="0"/>
        <w:autoSpaceDN w:val="0"/>
        <w:adjustRightInd w:val="0"/>
        <w:ind w:left="284" w:hanging="284"/>
        <w:rPr>
          <w:rFonts w:asciiTheme="majorBidi" w:hAnsiTheme="majorBidi" w:cstheme="majorBidi"/>
          <w:sz w:val="22"/>
          <w:szCs w:val="22"/>
          <w:lang w:eastAsia="nl-NL"/>
        </w:rPr>
      </w:pPr>
      <w:r w:rsidRPr="00546B8B">
        <w:rPr>
          <w:rFonts w:asciiTheme="majorBidi" w:hAnsiTheme="majorBidi" w:cstheme="majorBidi"/>
          <w:sz w:val="22"/>
          <w:szCs w:val="22"/>
          <w:lang w:eastAsia="nl-NL"/>
        </w:rPr>
        <w:t xml:space="preserve">Clark, J., Burgess, J., </w:t>
      </w:r>
      <w:r w:rsidR="005043B9" w:rsidRPr="00546B8B">
        <w:rPr>
          <w:rFonts w:asciiTheme="majorBidi" w:hAnsiTheme="majorBidi" w:cstheme="majorBidi"/>
          <w:sz w:val="22"/>
          <w:szCs w:val="22"/>
          <w:lang w:eastAsia="nl-NL"/>
        </w:rPr>
        <w:t xml:space="preserve">and </w:t>
      </w:r>
      <w:r w:rsidRPr="00546B8B">
        <w:rPr>
          <w:rFonts w:asciiTheme="majorBidi" w:hAnsiTheme="majorBidi" w:cstheme="majorBidi"/>
          <w:sz w:val="22"/>
          <w:szCs w:val="22"/>
          <w:lang w:eastAsia="nl-NL"/>
        </w:rPr>
        <w:t>Harrison, C.M. (2000). “I struggled with this money business”: respondents’ perspectives on contingent valuation</w:t>
      </w:r>
      <w:r w:rsidRPr="00546B8B">
        <w:rPr>
          <w:rFonts w:asciiTheme="majorBidi" w:hAnsiTheme="majorBidi" w:cstheme="majorBidi"/>
          <w:i/>
          <w:iCs/>
          <w:sz w:val="22"/>
          <w:szCs w:val="22"/>
          <w:lang w:eastAsia="nl-NL"/>
        </w:rPr>
        <w:t xml:space="preserve">. Ecological Economics </w:t>
      </w:r>
      <w:r w:rsidRPr="00546B8B">
        <w:rPr>
          <w:rFonts w:asciiTheme="majorBidi" w:hAnsiTheme="majorBidi" w:cstheme="majorBidi"/>
          <w:sz w:val="22"/>
          <w:szCs w:val="22"/>
          <w:lang w:eastAsia="nl-NL"/>
        </w:rPr>
        <w:t>33: 45–62.</w:t>
      </w:r>
    </w:p>
    <w:p w14:paraId="0125AF7A" w14:textId="53A18E00" w:rsidR="00F10FB5" w:rsidRPr="00A46132" w:rsidRDefault="00F10FB5" w:rsidP="002B4C13">
      <w:pPr>
        <w:autoSpaceDE w:val="0"/>
        <w:autoSpaceDN w:val="0"/>
        <w:adjustRightInd w:val="0"/>
        <w:ind w:left="284" w:hanging="284"/>
        <w:rPr>
          <w:sz w:val="22"/>
          <w:szCs w:val="22"/>
          <w:lang w:eastAsia="nl-NL"/>
        </w:rPr>
      </w:pPr>
      <w:proofErr w:type="spellStart"/>
      <w:r w:rsidRPr="00A46132">
        <w:rPr>
          <w:sz w:val="22"/>
          <w:szCs w:val="22"/>
          <w:shd w:val="clear" w:color="auto" w:fill="FFFFFF"/>
        </w:rPr>
        <w:t>Cramb</w:t>
      </w:r>
      <w:proofErr w:type="spellEnd"/>
      <w:r w:rsidRPr="00A46132">
        <w:rPr>
          <w:sz w:val="22"/>
          <w:szCs w:val="22"/>
          <w:shd w:val="clear" w:color="auto" w:fill="FFFFFF"/>
        </w:rPr>
        <w:t xml:space="preserve">, R. (2017). Shifting cultivation and human interaction with forests. In Hirsch, P. (ed.): </w:t>
      </w:r>
      <w:r w:rsidRPr="00A46132">
        <w:rPr>
          <w:sz w:val="22"/>
          <w:szCs w:val="22"/>
        </w:rPr>
        <w:t>Routledge Handbook of the Environment in Southeast Asia,</w:t>
      </w:r>
      <w:r w:rsidRPr="00A46132">
        <w:rPr>
          <w:sz w:val="22"/>
          <w:szCs w:val="22"/>
          <w:shd w:val="clear" w:color="auto" w:fill="FFFFFF"/>
        </w:rPr>
        <w:t xml:space="preserve"> Routledge. Pp. 180-203.</w:t>
      </w:r>
    </w:p>
    <w:p w14:paraId="0A9F450E" w14:textId="77777777" w:rsidR="00614DF1" w:rsidRPr="00546B8B" w:rsidRDefault="00614DF1" w:rsidP="00614DF1">
      <w:pPr>
        <w:autoSpaceDE w:val="0"/>
        <w:autoSpaceDN w:val="0"/>
        <w:adjustRightInd w:val="0"/>
        <w:ind w:left="284" w:hanging="284"/>
        <w:rPr>
          <w:rFonts w:asciiTheme="majorBidi" w:hAnsiTheme="majorBidi" w:cstheme="majorBidi"/>
          <w:sz w:val="22"/>
          <w:szCs w:val="22"/>
          <w:shd w:val="clear" w:color="auto" w:fill="FFFFFF"/>
        </w:rPr>
      </w:pPr>
      <w:r w:rsidRPr="00546B8B">
        <w:rPr>
          <w:rFonts w:asciiTheme="majorBidi" w:hAnsiTheme="majorBidi" w:cstheme="majorBidi"/>
          <w:sz w:val="22"/>
          <w:szCs w:val="22"/>
          <w:shd w:val="clear" w:color="auto" w:fill="FFFFFF"/>
        </w:rPr>
        <w:t xml:space="preserve">Dao, A., </w:t>
      </w:r>
      <w:proofErr w:type="spellStart"/>
      <w:r w:rsidRPr="00546B8B">
        <w:rPr>
          <w:rFonts w:asciiTheme="majorBidi" w:hAnsiTheme="majorBidi" w:cstheme="majorBidi"/>
          <w:sz w:val="22"/>
          <w:szCs w:val="22"/>
          <w:shd w:val="clear" w:color="auto" w:fill="FFFFFF"/>
        </w:rPr>
        <w:t>Sanou</w:t>
      </w:r>
      <w:proofErr w:type="spellEnd"/>
      <w:r w:rsidRPr="00546B8B">
        <w:rPr>
          <w:rFonts w:asciiTheme="majorBidi" w:hAnsiTheme="majorBidi" w:cstheme="majorBidi"/>
          <w:sz w:val="22"/>
          <w:szCs w:val="22"/>
          <w:shd w:val="clear" w:color="auto" w:fill="FFFFFF"/>
        </w:rPr>
        <w:t xml:space="preserve">, J., </w:t>
      </w:r>
      <w:proofErr w:type="spellStart"/>
      <w:r w:rsidRPr="00546B8B">
        <w:rPr>
          <w:rFonts w:asciiTheme="majorBidi" w:hAnsiTheme="majorBidi" w:cstheme="majorBidi"/>
          <w:sz w:val="22"/>
          <w:szCs w:val="22"/>
          <w:shd w:val="clear" w:color="auto" w:fill="FFFFFF"/>
        </w:rPr>
        <w:t>Gracen</w:t>
      </w:r>
      <w:proofErr w:type="spellEnd"/>
      <w:r w:rsidRPr="00546B8B">
        <w:rPr>
          <w:rFonts w:asciiTheme="majorBidi" w:hAnsiTheme="majorBidi" w:cstheme="majorBidi"/>
          <w:sz w:val="22"/>
          <w:szCs w:val="22"/>
          <w:shd w:val="clear" w:color="auto" w:fill="FFFFFF"/>
        </w:rPr>
        <w:t xml:space="preserve">, V., and </w:t>
      </w:r>
      <w:proofErr w:type="spellStart"/>
      <w:r w:rsidRPr="00546B8B">
        <w:rPr>
          <w:rFonts w:asciiTheme="majorBidi" w:hAnsiTheme="majorBidi" w:cstheme="majorBidi"/>
          <w:sz w:val="22"/>
          <w:szCs w:val="22"/>
          <w:shd w:val="clear" w:color="auto" w:fill="FFFFFF"/>
        </w:rPr>
        <w:t>Danquah</w:t>
      </w:r>
      <w:proofErr w:type="spellEnd"/>
      <w:r w:rsidRPr="00546B8B">
        <w:rPr>
          <w:rFonts w:asciiTheme="majorBidi" w:hAnsiTheme="majorBidi" w:cstheme="majorBidi"/>
          <w:sz w:val="22"/>
          <w:szCs w:val="22"/>
          <w:shd w:val="clear" w:color="auto" w:fill="FFFFFF"/>
        </w:rPr>
        <w:t xml:space="preserve">, E.Y. (2015). Identifying farmers’ preferences and constraints to maize production in two </w:t>
      </w:r>
      <w:proofErr w:type="spellStart"/>
      <w:r w:rsidRPr="00546B8B">
        <w:rPr>
          <w:rFonts w:asciiTheme="majorBidi" w:hAnsiTheme="majorBidi" w:cstheme="majorBidi"/>
          <w:sz w:val="22"/>
          <w:szCs w:val="22"/>
          <w:shd w:val="clear" w:color="auto" w:fill="FFFFFF"/>
        </w:rPr>
        <w:t>agro</w:t>
      </w:r>
      <w:proofErr w:type="spellEnd"/>
      <w:r w:rsidRPr="00546B8B">
        <w:rPr>
          <w:rFonts w:asciiTheme="majorBidi" w:hAnsiTheme="majorBidi" w:cstheme="majorBidi"/>
          <w:sz w:val="22"/>
          <w:szCs w:val="22"/>
          <w:shd w:val="clear" w:color="auto" w:fill="FFFFFF"/>
        </w:rPr>
        <w:t>-ecological zones in Burkina Faso.</w:t>
      </w:r>
      <w:r w:rsidRPr="00546B8B">
        <w:rPr>
          <w:rStyle w:val="apple-converted-space"/>
          <w:rFonts w:asciiTheme="majorBidi" w:hAnsiTheme="majorBidi" w:cstheme="majorBidi"/>
          <w:sz w:val="22"/>
          <w:szCs w:val="22"/>
          <w:shd w:val="clear" w:color="auto" w:fill="FFFFFF"/>
        </w:rPr>
        <w:t xml:space="preserve"> </w:t>
      </w:r>
      <w:r w:rsidRPr="00546B8B">
        <w:rPr>
          <w:rFonts w:asciiTheme="majorBidi" w:hAnsiTheme="majorBidi" w:cstheme="majorBidi"/>
          <w:i/>
          <w:iCs/>
          <w:sz w:val="22"/>
          <w:szCs w:val="22"/>
          <w:shd w:val="clear" w:color="auto" w:fill="FFFFFF"/>
        </w:rPr>
        <w:t>Agriculture &amp; Food Security</w:t>
      </w:r>
      <w:r w:rsidRPr="00546B8B">
        <w:rPr>
          <w:rStyle w:val="apple-converted-space"/>
          <w:rFonts w:asciiTheme="majorBidi" w:hAnsiTheme="majorBidi" w:cstheme="majorBidi"/>
          <w:sz w:val="22"/>
          <w:szCs w:val="22"/>
          <w:shd w:val="clear" w:color="auto" w:fill="FFFFFF"/>
        </w:rPr>
        <w:t> </w:t>
      </w:r>
      <w:r w:rsidRPr="00546B8B">
        <w:rPr>
          <w:rFonts w:asciiTheme="majorBidi" w:hAnsiTheme="majorBidi" w:cstheme="majorBidi"/>
          <w:sz w:val="22"/>
          <w:szCs w:val="22"/>
          <w:shd w:val="clear" w:color="auto" w:fill="FFFFFF"/>
        </w:rPr>
        <w:t>4(1): 1.</w:t>
      </w:r>
    </w:p>
    <w:p w14:paraId="21208A1B" w14:textId="664F23B9" w:rsidR="00A40B66" w:rsidRPr="00546B8B" w:rsidRDefault="00A40B66" w:rsidP="005043B9">
      <w:pPr>
        <w:autoSpaceDE w:val="0"/>
        <w:autoSpaceDN w:val="0"/>
        <w:adjustRightInd w:val="0"/>
        <w:ind w:left="284" w:hanging="284"/>
        <w:rPr>
          <w:rFonts w:asciiTheme="majorBidi" w:hAnsiTheme="majorBidi" w:cstheme="majorBidi"/>
          <w:sz w:val="22"/>
          <w:szCs w:val="22"/>
          <w:lang w:eastAsia="nl-NL"/>
        </w:rPr>
      </w:pPr>
      <w:r w:rsidRPr="00546B8B">
        <w:rPr>
          <w:rFonts w:asciiTheme="majorBidi" w:hAnsiTheme="majorBidi" w:cstheme="majorBidi"/>
          <w:sz w:val="22"/>
          <w:szCs w:val="22"/>
          <w:lang w:eastAsia="nl-NL"/>
        </w:rPr>
        <w:t>Davis,</w:t>
      </w:r>
      <w:r w:rsidR="005043B9" w:rsidRPr="00546B8B">
        <w:rPr>
          <w:rFonts w:asciiTheme="majorBidi" w:hAnsiTheme="majorBidi" w:cstheme="majorBidi"/>
          <w:sz w:val="22"/>
          <w:szCs w:val="22"/>
          <w:lang w:eastAsia="nl-NL"/>
        </w:rPr>
        <w:t xml:space="preserve"> </w:t>
      </w:r>
      <w:r w:rsidRPr="00546B8B">
        <w:rPr>
          <w:rFonts w:asciiTheme="majorBidi" w:hAnsiTheme="majorBidi" w:cstheme="majorBidi"/>
          <w:sz w:val="22"/>
          <w:szCs w:val="22"/>
          <w:lang w:eastAsia="nl-NL"/>
        </w:rPr>
        <w:t>J.</w:t>
      </w:r>
      <w:r w:rsidR="005043B9" w:rsidRPr="00546B8B">
        <w:rPr>
          <w:rFonts w:asciiTheme="majorBidi" w:hAnsiTheme="majorBidi" w:cstheme="majorBidi"/>
          <w:sz w:val="22"/>
          <w:szCs w:val="22"/>
          <w:lang w:eastAsia="nl-NL"/>
        </w:rPr>
        <w:t>,</w:t>
      </w:r>
      <w:r w:rsidRPr="00546B8B">
        <w:rPr>
          <w:rFonts w:asciiTheme="majorBidi" w:hAnsiTheme="majorBidi" w:cstheme="majorBidi"/>
          <w:sz w:val="22"/>
          <w:szCs w:val="22"/>
          <w:lang w:eastAsia="nl-NL"/>
        </w:rPr>
        <w:t xml:space="preserve"> and Whittington, D. (1998). “Participatory” Research for Development Projects: A Comparison of the Community Meeting and Household Survey Techniques. </w:t>
      </w:r>
      <w:r w:rsidRPr="00546B8B">
        <w:rPr>
          <w:rFonts w:asciiTheme="majorBidi" w:hAnsiTheme="majorBidi" w:cstheme="majorBidi"/>
          <w:i/>
          <w:iCs/>
          <w:sz w:val="22"/>
          <w:szCs w:val="22"/>
          <w:lang w:eastAsia="nl-NL"/>
        </w:rPr>
        <w:t>Economic Development and Cultural Change</w:t>
      </w:r>
      <w:r w:rsidRPr="00546B8B">
        <w:rPr>
          <w:rFonts w:asciiTheme="majorBidi" w:hAnsiTheme="majorBidi" w:cstheme="majorBidi"/>
          <w:sz w:val="22"/>
          <w:szCs w:val="22"/>
          <w:lang w:eastAsia="nl-NL"/>
        </w:rPr>
        <w:t xml:space="preserve"> 47:73–94.</w:t>
      </w:r>
    </w:p>
    <w:p w14:paraId="051A573D" w14:textId="6F507BBF" w:rsidR="00F00AF3" w:rsidRPr="001E3755" w:rsidRDefault="00F00AF3" w:rsidP="005043B9">
      <w:pPr>
        <w:autoSpaceDE w:val="0"/>
        <w:autoSpaceDN w:val="0"/>
        <w:adjustRightInd w:val="0"/>
        <w:ind w:left="284" w:hanging="284"/>
        <w:rPr>
          <w:sz w:val="22"/>
          <w:szCs w:val="22"/>
          <w:lang w:eastAsia="nl-NL"/>
        </w:rPr>
      </w:pPr>
      <w:r w:rsidRPr="001E3755">
        <w:rPr>
          <w:sz w:val="22"/>
          <w:szCs w:val="22"/>
          <w:shd w:val="clear" w:color="auto" w:fill="FFFFFF"/>
        </w:rPr>
        <w:t xml:space="preserve">Ehmke, M.D., and </w:t>
      </w:r>
      <w:proofErr w:type="spellStart"/>
      <w:r w:rsidRPr="001E3755">
        <w:rPr>
          <w:sz w:val="22"/>
          <w:szCs w:val="22"/>
          <w:shd w:val="clear" w:color="auto" w:fill="FFFFFF"/>
        </w:rPr>
        <w:t>Shogren</w:t>
      </w:r>
      <w:proofErr w:type="spellEnd"/>
      <w:r w:rsidRPr="001E3755">
        <w:rPr>
          <w:sz w:val="22"/>
          <w:szCs w:val="22"/>
          <w:shd w:val="clear" w:color="auto" w:fill="FFFFFF"/>
        </w:rPr>
        <w:t>, J.F. (2009). Experimental methods for environment and development economics.</w:t>
      </w:r>
      <w:r w:rsidRPr="001E3755">
        <w:rPr>
          <w:rStyle w:val="apple-converted-space"/>
          <w:sz w:val="22"/>
          <w:szCs w:val="22"/>
          <w:shd w:val="clear" w:color="auto" w:fill="FFFFFF"/>
        </w:rPr>
        <w:t xml:space="preserve"> </w:t>
      </w:r>
      <w:r w:rsidRPr="001E3755">
        <w:rPr>
          <w:i/>
          <w:iCs/>
          <w:sz w:val="22"/>
          <w:szCs w:val="22"/>
          <w:shd w:val="clear" w:color="auto" w:fill="FFFFFF"/>
        </w:rPr>
        <w:t>Environment and Development Economics</w:t>
      </w:r>
      <w:r w:rsidRPr="001E3755">
        <w:rPr>
          <w:rStyle w:val="apple-converted-space"/>
          <w:sz w:val="22"/>
          <w:szCs w:val="22"/>
          <w:shd w:val="clear" w:color="auto" w:fill="FFFFFF"/>
        </w:rPr>
        <w:t xml:space="preserve"> </w:t>
      </w:r>
      <w:r w:rsidRPr="001E3755">
        <w:rPr>
          <w:iCs/>
          <w:sz w:val="22"/>
          <w:szCs w:val="22"/>
          <w:shd w:val="clear" w:color="auto" w:fill="FFFFFF"/>
        </w:rPr>
        <w:t>14</w:t>
      </w:r>
      <w:r w:rsidRPr="001E3755">
        <w:rPr>
          <w:sz w:val="22"/>
          <w:szCs w:val="22"/>
          <w:shd w:val="clear" w:color="auto" w:fill="FFFFFF"/>
        </w:rPr>
        <w:t>(4): 419-456.</w:t>
      </w:r>
    </w:p>
    <w:p w14:paraId="5A73CE37" w14:textId="1906B012" w:rsidR="00A40B66" w:rsidRPr="001E3755" w:rsidRDefault="00A40B66" w:rsidP="005043B9">
      <w:pPr>
        <w:autoSpaceDE w:val="0"/>
        <w:autoSpaceDN w:val="0"/>
        <w:adjustRightInd w:val="0"/>
        <w:ind w:left="284" w:hanging="284"/>
        <w:rPr>
          <w:rFonts w:asciiTheme="majorBidi" w:hAnsiTheme="majorBidi" w:cstheme="majorBidi"/>
          <w:sz w:val="22"/>
          <w:szCs w:val="22"/>
          <w:lang w:eastAsia="nl-NL"/>
        </w:rPr>
      </w:pPr>
      <w:r w:rsidRPr="001E3755">
        <w:rPr>
          <w:rFonts w:asciiTheme="majorBidi" w:hAnsiTheme="majorBidi" w:cstheme="majorBidi"/>
          <w:sz w:val="22"/>
          <w:szCs w:val="22"/>
          <w:lang w:eastAsia="nl-NL"/>
        </w:rPr>
        <w:lastRenderedPageBreak/>
        <w:t>Engel, S.</w:t>
      </w:r>
      <w:r w:rsidR="005043B9" w:rsidRPr="001E3755">
        <w:rPr>
          <w:rFonts w:asciiTheme="majorBidi" w:hAnsiTheme="majorBidi" w:cstheme="majorBidi"/>
          <w:sz w:val="22"/>
          <w:szCs w:val="22"/>
          <w:lang w:eastAsia="nl-NL"/>
        </w:rPr>
        <w:t>,</w:t>
      </w:r>
      <w:r w:rsidRPr="001E3755">
        <w:rPr>
          <w:rFonts w:asciiTheme="majorBidi" w:hAnsiTheme="majorBidi" w:cstheme="majorBidi"/>
          <w:sz w:val="22"/>
          <w:szCs w:val="22"/>
          <w:lang w:eastAsia="nl-NL"/>
        </w:rPr>
        <w:t xml:space="preserve"> and Palmer, C. (2008). Payments for environmental services as an alternative to logging under weak property rights: The case of Indonesia. </w:t>
      </w:r>
      <w:r w:rsidRPr="001E3755">
        <w:rPr>
          <w:rFonts w:asciiTheme="majorBidi" w:hAnsiTheme="majorBidi" w:cstheme="majorBidi"/>
          <w:i/>
          <w:sz w:val="22"/>
          <w:szCs w:val="22"/>
          <w:lang w:eastAsia="nl-NL"/>
        </w:rPr>
        <w:t>Ecological Economics</w:t>
      </w:r>
      <w:r w:rsidRPr="001E3755">
        <w:rPr>
          <w:rFonts w:asciiTheme="majorBidi" w:hAnsiTheme="majorBidi" w:cstheme="majorBidi"/>
          <w:sz w:val="22"/>
          <w:szCs w:val="22"/>
          <w:lang w:eastAsia="nl-NL"/>
        </w:rPr>
        <w:t xml:space="preserve"> 65:799-809.</w:t>
      </w:r>
    </w:p>
    <w:p w14:paraId="48E36CEA" w14:textId="3654A644" w:rsidR="00431FFF" w:rsidRDefault="00431FFF" w:rsidP="00431FFF">
      <w:pPr>
        <w:autoSpaceDE w:val="0"/>
        <w:autoSpaceDN w:val="0"/>
        <w:adjustRightInd w:val="0"/>
        <w:ind w:left="284" w:hanging="284"/>
        <w:rPr>
          <w:sz w:val="22"/>
          <w:szCs w:val="22"/>
          <w:shd w:val="clear" w:color="auto" w:fill="FFFFFF"/>
        </w:rPr>
      </w:pPr>
      <w:r w:rsidRPr="001E3755">
        <w:rPr>
          <w:sz w:val="22"/>
          <w:szCs w:val="22"/>
          <w:shd w:val="clear" w:color="auto" w:fill="FFFFFF"/>
        </w:rPr>
        <w:t>Fern, E.F. (2001).</w:t>
      </w:r>
      <w:r w:rsidRPr="001E3755">
        <w:rPr>
          <w:rStyle w:val="apple-converted-space"/>
          <w:sz w:val="22"/>
          <w:szCs w:val="22"/>
          <w:shd w:val="clear" w:color="auto" w:fill="FFFFFF"/>
        </w:rPr>
        <w:t> </w:t>
      </w:r>
      <w:r w:rsidRPr="001E3755">
        <w:rPr>
          <w:i/>
          <w:iCs/>
          <w:sz w:val="22"/>
          <w:szCs w:val="22"/>
          <w:shd w:val="clear" w:color="auto" w:fill="FFFFFF"/>
        </w:rPr>
        <w:t>Advanced focus group research</w:t>
      </w:r>
      <w:r w:rsidRPr="001E3755">
        <w:rPr>
          <w:sz w:val="22"/>
          <w:szCs w:val="22"/>
          <w:shd w:val="clear" w:color="auto" w:fill="FFFFFF"/>
        </w:rPr>
        <w:t>. Sage</w:t>
      </w:r>
      <w:r w:rsidR="004B3BAE" w:rsidRPr="001E3755">
        <w:rPr>
          <w:sz w:val="22"/>
          <w:szCs w:val="22"/>
          <w:shd w:val="clear" w:color="auto" w:fill="FFFFFF"/>
        </w:rPr>
        <w:t xml:space="preserve"> Publications</w:t>
      </w:r>
      <w:r w:rsidRPr="001E3755">
        <w:rPr>
          <w:sz w:val="22"/>
          <w:szCs w:val="22"/>
          <w:shd w:val="clear" w:color="auto" w:fill="FFFFFF"/>
        </w:rPr>
        <w:t>. London.</w:t>
      </w:r>
    </w:p>
    <w:p w14:paraId="687B3E77" w14:textId="74BE602D" w:rsidR="004A0337" w:rsidRPr="004A0337" w:rsidRDefault="004A0337" w:rsidP="00431FFF">
      <w:pPr>
        <w:autoSpaceDE w:val="0"/>
        <w:autoSpaceDN w:val="0"/>
        <w:adjustRightInd w:val="0"/>
        <w:ind w:left="284" w:hanging="284"/>
        <w:rPr>
          <w:sz w:val="22"/>
          <w:szCs w:val="22"/>
          <w:lang w:eastAsia="nl-NL"/>
        </w:rPr>
      </w:pPr>
      <w:r w:rsidRPr="004A0337">
        <w:rPr>
          <w:color w:val="222222"/>
          <w:sz w:val="22"/>
          <w:szCs w:val="22"/>
          <w:shd w:val="clear" w:color="auto" w:fill="FFFFFF"/>
        </w:rPr>
        <w:t>Fish, R., Church, A. and Winter, M., 2016. Conceptualising cultural ecosystem services: a novel framework for research and critical engagement.</w:t>
      </w:r>
      <w:r w:rsidRPr="004A0337">
        <w:rPr>
          <w:rStyle w:val="apple-converted-space"/>
          <w:color w:val="222222"/>
          <w:sz w:val="22"/>
          <w:szCs w:val="22"/>
          <w:shd w:val="clear" w:color="auto" w:fill="FFFFFF"/>
        </w:rPr>
        <w:t> </w:t>
      </w:r>
      <w:r w:rsidRPr="004A0337">
        <w:rPr>
          <w:i/>
          <w:iCs/>
          <w:color w:val="222222"/>
          <w:sz w:val="22"/>
          <w:szCs w:val="22"/>
          <w:shd w:val="clear" w:color="auto" w:fill="FFFFFF"/>
        </w:rPr>
        <w:t>Ecosystem Services</w:t>
      </w:r>
      <w:r w:rsidRPr="004A0337">
        <w:rPr>
          <w:rStyle w:val="apple-converted-space"/>
          <w:color w:val="222222"/>
          <w:sz w:val="22"/>
          <w:szCs w:val="22"/>
          <w:shd w:val="clear" w:color="auto" w:fill="FFFFFF"/>
        </w:rPr>
        <w:t> </w:t>
      </w:r>
      <w:r w:rsidRPr="004A0337">
        <w:rPr>
          <w:i/>
          <w:iCs/>
          <w:color w:val="222222"/>
          <w:sz w:val="22"/>
          <w:szCs w:val="22"/>
          <w:shd w:val="clear" w:color="auto" w:fill="FFFFFF"/>
        </w:rPr>
        <w:t>21</w:t>
      </w:r>
      <w:r w:rsidR="00E87A1F">
        <w:rPr>
          <w:iCs/>
          <w:color w:val="222222"/>
          <w:sz w:val="22"/>
          <w:szCs w:val="22"/>
          <w:shd w:val="clear" w:color="auto" w:fill="FFFFFF"/>
        </w:rPr>
        <w:t xml:space="preserve">: </w:t>
      </w:r>
      <w:r w:rsidRPr="004A0337">
        <w:rPr>
          <w:color w:val="222222"/>
          <w:sz w:val="22"/>
          <w:szCs w:val="22"/>
          <w:shd w:val="clear" w:color="auto" w:fill="FFFFFF"/>
        </w:rPr>
        <w:t>208-217.</w:t>
      </w:r>
    </w:p>
    <w:p w14:paraId="6C2FA918" w14:textId="0A4B8202" w:rsidR="008F5A12" w:rsidRPr="001E3755" w:rsidRDefault="008F5A12" w:rsidP="008F5A12">
      <w:pPr>
        <w:autoSpaceDE w:val="0"/>
        <w:autoSpaceDN w:val="0"/>
        <w:adjustRightInd w:val="0"/>
        <w:ind w:left="284" w:hanging="284"/>
        <w:rPr>
          <w:rFonts w:asciiTheme="majorBidi" w:hAnsiTheme="majorBidi" w:cstheme="majorBidi"/>
          <w:sz w:val="22"/>
          <w:szCs w:val="22"/>
          <w:lang w:eastAsia="nl-NL"/>
        </w:rPr>
      </w:pPr>
      <w:r w:rsidRPr="001E3755">
        <w:rPr>
          <w:rFonts w:asciiTheme="majorBidi" w:hAnsiTheme="majorBidi" w:cstheme="majorBidi"/>
          <w:sz w:val="22"/>
          <w:szCs w:val="22"/>
          <w:shd w:val="clear" w:color="auto" w:fill="FFFFFF"/>
        </w:rPr>
        <w:t xml:space="preserve">Fisher, B., Edwards, D.P., </w:t>
      </w:r>
      <w:proofErr w:type="spellStart"/>
      <w:r w:rsidRPr="001E3755">
        <w:rPr>
          <w:rFonts w:asciiTheme="majorBidi" w:hAnsiTheme="majorBidi" w:cstheme="majorBidi"/>
          <w:sz w:val="22"/>
          <w:szCs w:val="22"/>
          <w:shd w:val="clear" w:color="auto" w:fill="FFFFFF"/>
        </w:rPr>
        <w:t>Giam</w:t>
      </w:r>
      <w:proofErr w:type="spellEnd"/>
      <w:r w:rsidRPr="001E3755">
        <w:rPr>
          <w:rFonts w:asciiTheme="majorBidi" w:hAnsiTheme="majorBidi" w:cstheme="majorBidi"/>
          <w:sz w:val="22"/>
          <w:szCs w:val="22"/>
          <w:shd w:val="clear" w:color="auto" w:fill="FFFFFF"/>
        </w:rPr>
        <w:t xml:space="preserve">, X., and </w:t>
      </w:r>
      <w:proofErr w:type="spellStart"/>
      <w:r w:rsidRPr="001E3755">
        <w:rPr>
          <w:rFonts w:asciiTheme="majorBidi" w:hAnsiTheme="majorBidi" w:cstheme="majorBidi"/>
          <w:sz w:val="22"/>
          <w:szCs w:val="22"/>
          <w:shd w:val="clear" w:color="auto" w:fill="FFFFFF"/>
        </w:rPr>
        <w:t>Wilcove</w:t>
      </w:r>
      <w:proofErr w:type="spellEnd"/>
      <w:r w:rsidRPr="001E3755">
        <w:rPr>
          <w:rFonts w:asciiTheme="majorBidi" w:hAnsiTheme="majorBidi" w:cstheme="majorBidi"/>
          <w:sz w:val="22"/>
          <w:szCs w:val="22"/>
          <w:shd w:val="clear" w:color="auto" w:fill="FFFFFF"/>
        </w:rPr>
        <w:t>, D.S. (2011). The high costs of conserving Southeast Asia's lowland rainforests.</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i/>
          <w:iCs/>
          <w:sz w:val="22"/>
          <w:szCs w:val="22"/>
          <w:shd w:val="clear" w:color="auto" w:fill="FFFFFF"/>
        </w:rPr>
        <w:t>Frontiers in Ecology and the Environment</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sz w:val="22"/>
          <w:szCs w:val="22"/>
          <w:shd w:val="clear" w:color="auto" w:fill="FFFFFF"/>
        </w:rPr>
        <w:t>9(6): 329-334.</w:t>
      </w:r>
    </w:p>
    <w:p w14:paraId="5853D355" w14:textId="26FD60D8" w:rsidR="00B54A12" w:rsidRPr="001E3755" w:rsidRDefault="00B54A12" w:rsidP="005043B9">
      <w:pPr>
        <w:autoSpaceDE w:val="0"/>
        <w:autoSpaceDN w:val="0"/>
        <w:adjustRightInd w:val="0"/>
        <w:ind w:left="284" w:hanging="284"/>
        <w:rPr>
          <w:rFonts w:asciiTheme="majorBidi" w:hAnsiTheme="majorBidi" w:cstheme="majorBidi"/>
          <w:sz w:val="22"/>
          <w:szCs w:val="22"/>
          <w:shd w:val="clear" w:color="auto" w:fill="FFFFFF"/>
        </w:rPr>
      </w:pPr>
      <w:proofErr w:type="spellStart"/>
      <w:r w:rsidRPr="001E3755">
        <w:rPr>
          <w:rFonts w:asciiTheme="majorBidi" w:hAnsiTheme="majorBidi" w:cstheme="majorBidi"/>
          <w:sz w:val="22"/>
          <w:szCs w:val="22"/>
          <w:shd w:val="clear" w:color="auto" w:fill="FFFFFF"/>
        </w:rPr>
        <w:t>Galudra</w:t>
      </w:r>
      <w:proofErr w:type="spellEnd"/>
      <w:r w:rsidRPr="001E3755">
        <w:rPr>
          <w:rFonts w:asciiTheme="majorBidi" w:hAnsiTheme="majorBidi" w:cstheme="majorBidi"/>
          <w:sz w:val="22"/>
          <w:szCs w:val="22"/>
          <w:shd w:val="clear" w:color="auto" w:fill="FFFFFF"/>
        </w:rPr>
        <w:t xml:space="preserve">, G., Van </w:t>
      </w:r>
      <w:proofErr w:type="spellStart"/>
      <w:r w:rsidRPr="001E3755">
        <w:rPr>
          <w:rFonts w:asciiTheme="majorBidi" w:hAnsiTheme="majorBidi" w:cstheme="majorBidi"/>
          <w:sz w:val="22"/>
          <w:szCs w:val="22"/>
          <w:shd w:val="clear" w:color="auto" w:fill="FFFFFF"/>
        </w:rPr>
        <w:t>Noordwijk</w:t>
      </w:r>
      <w:proofErr w:type="spellEnd"/>
      <w:r w:rsidRPr="001E3755">
        <w:rPr>
          <w:rFonts w:asciiTheme="majorBidi" w:hAnsiTheme="majorBidi" w:cstheme="majorBidi"/>
          <w:sz w:val="22"/>
          <w:szCs w:val="22"/>
          <w:shd w:val="clear" w:color="auto" w:fill="FFFFFF"/>
        </w:rPr>
        <w:t xml:space="preserve">, M., </w:t>
      </w:r>
      <w:proofErr w:type="spellStart"/>
      <w:r w:rsidRPr="001E3755">
        <w:rPr>
          <w:rFonts w:asciiTheme="majorBidi" w:hAnsiTheme="majorBidi" w:cstheme="majorBidi"/>
          <w:sz w:val="22"/>
          <w:szCs w:val="22"/>
          <w:shd w:val="clear" w:color="auto" w:fill="FFFFFF"/>
        </w:rPr>
        <w:t>Suyanto</w:t>
      </w:r>
      <w:proofErr w:type="spellEnd"/>
      <w:r w:rsidRPr="001E3755">
        <w:rPr>
          <w:rFonts w:asciiTheme="majorBidi" w:hAnsiTheme="majorBidi" w:cstheme="majorBidi"/>
          <w:sz w:val="22"/>
          <w:szCs w:val="22"/>
          <w:shd w:val="clear" w:color="auto" w:fill="FFFFFF"/>
        </w:rPr>
        <w:t xml:space="preserve">, S., </w:t>
      </w:r>
      <w:proofErr w:type="spellStart"/>
      <w:r w:rsidRPr="001E3755">
        <w:rPr>
          <w:rFonts w:asciiTheme="majorBidi" w:hAnsiTheme="majorBidi" w:cstheme="majorBidi"/>
          <w:sz w:val="22"/>
          <w:szCs w:val="22"/>
          <w:shd w:val="clear" w:color="auto" w:fill="FFFFFF"/>
        </w:rPr>
        <w:t>Sardi</w:t>
      </w:r>
      <w:proofErr w:type="spellEnd"/>
      <w:r w:rsidRPr="001E3755">
        <w:rPr>
          <w:rFonts w:asciiTheme="majorBidi" w:hAnsiTheme="majorBidi" w:cstheme="majorBidi"/>
          <w:sz w:val="22"/>
          <w:szCs w:val="22"/>
          <w:shd w:val="clear" w:color="auto" w:fill="FFFFFF"/>
        </w:rPr>
        <w:t>, I.</w:t>
      </w:r>
      <w:r w:rsidR="00A40B66" w:rsidRPr="001E3755">
        <w:rPr>
          <w:rFonts w:asciiTheme="majorBidi" w:hAnsiTheme="majorBidi" w:cstheme="majorBidi"/>
          <w:sz w:val="22"/>
          <w:szCs w:val="22"/>
          <w:shd w:val="clear" w:color="auto" w:fill="FFFFFF"/>
        </w:rPr>
        <w:t>, Pradhan, U.</w:t>
      </w:r>
      <w:r w:rsidR="005043B9" w:rsidRPr="001E3755">
        <w:rPr>
          <w:rFonts w:asciiTheme="majorBidi" w:hAnsiTheme="majorBidi" w:cstheme="majorBidi"/>
          <w:sz w:val="22"/>
          <w:szCs w:val="22"/>
          <w:shd w:val="clear" w:color="auto" w:fill="FFFFFF"/>
        </w:rPr>
        <w:t>,</w:t>
      </w:r>
      <w:r w:rsidR="00A40B66" w:rsidRPr="001E3755">
        <w:rPr>
          <w:rFonts w:asciiTheme="majorBidi" w:hAnsiTheme="majorBidi" w:cstheme="majorBidi"/>
          <w:sz w:val="22"/>
          <w:szCs w:val="22"/>
          <w:shd w:val="clear" w:color="auto" w:fill="FFFFFF"/>
        </w:rPr>
        <w:t xml:space="preserve"> and </w:t>
      </w:r>
      <w:proofErr w:type="spellStart"/>
      <w:r w:rsidR="00A40B66" w:rsidRPr="001E3755">
        <w:rPr>
          <w:rFonts w:asciiTheme="majorBidi" w:hAnsiTheme="majorBidi" w:cstheme="majorBidi"/>
          <w:sz w:val="22"/>
          <w:szCs w:val="22"/>
          <w:shd w:val="clear" w:color="auto" w:fill="FFFFFF"/>
        </w:rPr>
        <w:t>Catacutan</w:t>
      </w:r>
      <w:proofErr w:type="spellEnd"/>
      <w:r w:rsidR="00A40B66" w:rsidRPr="001E3755">
        <w:rPr>
          <w:rFonts w:asciiTheme="majorBidi" w:hAnsiTheme="majorBidi" w:cstheme="majorBidi"/>
          <w:sz w:val="22"/>
          <w:szCs w:val="22"/>
          <w:shd w:val="clear" w:color="auto" w:fill="FFFFFF"/>
        </w:rPr>
        <w:t>, D.</w:t>
      </w:r>
      <w:r w:rsidRPr="001E3755">
        <w:rPr>
          <w:rFonts w:asciiTheme="majorBidi" w:hAnsiTheme="majorBidi" w:cstheme="majorBidi"/>
          <w:sz w:val="22"/>
          <w:szCs w:val="22"/>
          <w:shd w:val="clear" w:color="auto" w:fill="FFFFFF"/>
        </w:rPr>
        <w:t xml:space="preserve"> </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2011</w:t>
      </w:r>
      <w:r w:rsidR="00A40B66" w:rsidRPr="001E3755">
        <w:rPr>
          <w:rFonts w:asciiTheme="majorBidi" w:hAnsiTheme="majorBidi" w:cstheme="majorBidi"/>
          <w:sz w:val="22"/>
          <w:szCs w:val="22"/>
          <w:shd w:val="clear" w:color="auto" w:fill="FFFFFF"/>
        </w:rPr>
        <w:t>)</w:t>
      </w:r>
      <w:r w:rsidR="005043B9"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Hot spots of confusion: contested policies and competing carbon claims in the peatlands of Central Kalimantan, Indonesia.</w:t>
      </w:r>
      <w:r w:rsidR="00A40B66" w:rsidRPr="001E3755">
        <w:rPr>
          <w:rFonts w:asciiTheme="majorBidi" w:hAnsiTheme="majorBidi" w:cstheme="majorBidi"/>
          <w:sz w:val="22"/>
          <w:szCs w:val="22"/>
          <w:shd w:val="clear" w:color="auto" w:fill="FFFFFF"/>
        </w:rPr>
        <w:t xml:space="preserve"> </w:t>
      </w:r>
      <w:r w:rsidRPr="001E3755">
        <w:rPr>
          <w:rFonts w:asciiTheme="majorBidi" w:hAnsiTheme="majorBidi" w:cstheme="majorBidi"/>
          <w:i/>
          <w:iCs/>
          <w:sz w:val="22"/>
          <w:szCs w:val="22"/>
          <w:shd w:val="clear" w:color="auto" w:fill="FFFFFF"/>
        </w:rPr>
        <w:t>International Forestry Review</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sz w:val="22"/>
          <w:szCs w:val="22"/>
          <w:shd w:val="clear" w:color="auto" w:fill="FFFFFF"/>
        </w:rPr>
        <w:t>13(4)</w:t>
      </w:r>
      <w:r w:rsidR="005043B9"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431-441.</w:t>
      </w:r>
    </w:p>
    <w:p w14:paraId="6178F7CA" w14:textId="0C54F049" w:rsidR="00CB1BC8" w:rsidRPr="001E3755" w:rsidRDefault="00CB1BC8" w:rsidP="005043B9">
      <w:pPr>
        <w:autoSpaceDE w:val="0"/>
        <w:autoSpaceDN w:val="0"/>
        <w:adjustRightInd w:val="0"/>
        <w:ind w:left="284" w:hanging="284"/>
        <w:rPr>
          <w:sz w:val="22"/>
          <w:szCs w:val="22"/>
          <w:shd w:val="clear" w:color="auto" w:fill="FFFFFF"/>
        </w:rPr>
      </w:pPr>
      <w:proofErr w:type="spellStart"/>
      <w:r w:rsidRPr="001E3755">
        <w:rPr>
          <w:sz w:val="22"/>
          <w:szCs w:val="22"/>
          <w:shd w:val="clear" w:color="auto" w:fill="FFFFFF"/>
        </w:rPr>
        <w:t>Garmendia</w:t>
      </w:r>
      <w:proofErr w:type="spellEnd"/>
      <w:r w:rsidRPr="001E3755">
        <w:rPr>
          <w:sz w:val="22"/>
          <w:szCs w:val="22"/>
          <w:shd w:val="clear" w:color="auto" w:fill="FFFFFF"/>
        </w:rPr>
        <w:t xml:space="preserve">, E., and </w:t>
      </w:r>
      <w:proofErr w:type="spellStart"/>
      <w:r w:rsidRPr="001E3755">
        <w:rPr>
          <w:sz w:val="22"/>
          <w:szCs w:val="22"/>
          <w:shd w:val="clear" w:color="auto" w:fill="FFFFFF"/>
        </w:rPr>
        <w:t>Gamboa</w:t>
      </w:r>
      <w:proofErr w:type="spellEnd"/>
      <w:r w:rsidRPr="001E3755">
        <w:rPr>
          <w:sz w:val="22"/>
          <w:szCs w:val="22"/>
          <w:shd w:val="clear" w:color="auto" w:fill="FFFFFF"/>
        </w:rPr>
        <w:t>, G. (2012). Weighting social preferences in participatory multi-criteria evaluations: a case study on sustainable natural resource management.</w:t>
      </w:r>
      <w:r w:rsidRPr="001E3755">
        <w:rPr>
          <w:rStyle w:val="apple-converted-space"/>
          <w:sz w:val="22"/>
          <w:szCs w:val="22"/>
          <w:shd w:val="clear" w:color="auto" w:fill="FFFFFF"/>
        </w:rPr>
        <w:t> </w:t>
      </w:r>
      <w:r w:rsidRPr="001E3755">
        <w:rPr>
          <w:i/>
          <w:iCs/>
          <w:sz w:val="22"/>
          <w:szCs w:val="22"/>
          <w:shd w:val="clear" w:color="auto" w:fill="FFFFFF"/>
        </w:rPr>
        <w:t>Ecological Economics</w:t>
      </w:r>
      <w:r w:rsidRPr="001E3755">
        <w:rPr>
          <w:rStyle w:val="apple-converted-space"/>
          <w:sz w:val="22"/>
          <w:szCs w:val="22"/>
          <w:shd w:val="clear" w:color="auto" w:fill="FFFFFF"/>
        </w:rPr>
        <w:t> </w:t>
      </w:r>
      <w:r w:rsidRPr="001E3755">
        <w:rPr>
          <w:iCs/>
          <w:sz w:val="22"/>
          <w:szCs w:val="22"/>
          <w:shd w:val="clear" w:color="auto" w:fill="FFFFFF"/>
        </w:rPr>
        <w:t xml:space="preserve">84: </w:t>
      </w:r>
      <w:r w:rsidRPr="001E3755">
        <w:rPr>
          <w:sz w:val="22"/>
          <w:szCs w:val="22"/>
          <w:shd w:val="clear" w:color="auto" w:fill="FFFFFF"/>
        </w:rPr>
        <w:t>110-120.</w:t>
      </w:r>
    </w:p>
    <w:p w14:paraId="07031F89" w14:textId="35314EEB" w:rsidR="00B54A12" w:rsidRPr="001E3755" w:rsidRDefault="005043B9" w:rsidP="005043B9">
      <w:pPr>
        <w:autoSpaceDE w:val="0"/>
        <w:autoSpaceDN w:val="0"/>
        <w:adjustRightInd w:val="0"/>
        <w:ind w:left="284" w:hanging="284"/>
        <w:rPr>
          <w:rFonts w:asciiTheme="majorBidi" w:hAnsiTheme="majorBidi" w:cstheme="majorBidi"/>
          <w:sz w:val="22"/>
          <w:szCs w:val="22"/>
          <w:shd w:val="clear" w:color="auto" w:fill="FFFFFF"/>
        </w:rPr>
      </w:pPr>
      <w:r w:rsidRPr="001E3755">
        <w:rPr>
          <w:rFonts w:asciiTheme="majorBidi" w:hAnsiTheme="majorBidi" w:cstheme="majorBidi"/>
          <w:sz w:val="22"/>
          <w:szCs w:val="22"/>
          <w:shd w:val="clear" w:color="auto" w:fill="FFFFFF"/>
        </w:rPr>
        <w:t>Gibbs, A.</w:t>
      </w:r>
      <w:r w:rsidR="00B54A12"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w:t>
      </w:r>
      <w:r w:rsidR="00B54A12" w:rsidRPr="001E3755">
        <w:rPr>
          <w:rFonts w:asciiTheme="majorBidi" w:hAnsiTheme="majorBidi" w:cstheme="majorBidi"/>
          <w:sz w:val="22"/>
          <w:szCs w:val="22"/>
          <w:shd w:val="clear" w:color="auto" w:fill="FFFFFF"/>
        </w:rPr>
        <w:t>1997</w:t>
      </w:r>
      <w:r w:rsidRPr="001E3755">
        <w:rPr>
          <w:rFonts w:asciiTheme="majorBidi" w:hAnsiTheme="majorBidi" w:cstheme="majorBidi"/>
          <w:sz w:val="22"/>
          <w:szCs w:val="22"/>
          <w:shd w:val="clear" w:color="auto" w:fill="FFFFFF"/>
        </w:rPr>
        <w:t>)</w:t>
      </w:r>
      <w:r w:rsidR="00B54A12" w:rsidRPr="001E3755">
        <w:rPr>
          <w:rFonts w:asciiTheme="majorBidi" w:hAnsiTheme="majorBidi" w:cstheme="majorBidi"/>
          <w:sz w:val="22"/>
          <w:szCs w:val="22"/>
          <w:shd w:val="clear" w:color="auto" w:fill="FFFFFF"/>
        </w:rPr>
        <w:t>. Focus groups.</w:t>
      </w:r>
      <w:r w:rsidR="00B54A12" w:rsidRPr="001E3755">
        <w:rPr>
          <w:rStyle w:val="apple-converted-space"/>
          <w:rFonts w:asciiTheme="majorBidi" w:hAnsiTheme="majorBidi" w:cstheme="majorBidi"/>
          <w:sz w:val="22"/>
          <w:szCs w:val="22"/>
          <w:shd w:val="clear" w:color="auto" w:fill="FFFFFF"/>
        </w:rPr>
        <w:t> </w:t>
      </w:r>
      <w:r w:rsidR="00B54A12" w:rsidRPr="001E3755">
        <w:rPr>
          <w:rFonts w:asciiTheme="majorBidi" w:hAnsiTheme="majorBidi" w:cstheme="majorBidi"/>
          <w:i/>
          <w:iCs/>
          <w:sz w:val="22"/>
          <w:szCs w:val="22"/>
          <w:shd w:val="clear" w:color="auto" w:fill="FFFFFF"/>
        </w:rPr>
        <w:t>Social research update</w:t>
      </w:r>
      <w:r w:rsidR="00B54A12" w:rsidRPr="001E3755">
        <w:rPr>
          <w:rStyle w:val="apple-converted-space"/>
          <w:rFonts w:asciiTheme="majorBidi" w:hAnsiTheme="majorBidi" w:cstheme="majorBidi"/>
          <w:sz w:val="22"/>
          <w:szCs w:val="22"/>
          <w:shd w:val="clear" w:color="auto" w:fill="FFFFFF"/>
        </w:rPr>
        <w:t> </w:t>
      </w:r>
      <w:r w:rsidR="00B54A12" w:rsidRPr="001E3755">
        <w:rPr>
          <w:rFonts w:asciiTheme="majorBidi" w:hAnsiTheme="majorBidi" w:cstheme="majorBidi"/>
          <w:sz w:val="22"/>
          <w:szCs w:val="22"/>
          <w:shd w:val="clear" w:color="auto" w:fill="FFFFFF"/>
        </w:rPr>
        <w:t>19(8)</w:t>
      </w:r>
      <w:r w:rsidRPr="001E3755">
        <w:rPr>
          <w:rFonts w:asciiTheme="majorBidi" w:hAnsiTheme="majorBidi" w:cstheme="majorBidi"/>
          <w:sz w:val="22"/>
          <w:szCs w:val="22"/>
          <w:shd w:val="clear" w:color="auto" w:fill="FFFFFF"/>
        </w:rPr>
        <w:t xml:space="preserve">: </w:t>
      </w:r>
      <w:r w:rsidR="00B54A12" w:rsidRPr="001E3755">
        <w:rPr>
          <w:rFonts w:asciiTheme="majorBidi" w:hAnsiTheme="majorBidi" w:cstheme="majorBidi"/>
          <w:sz w:val="22"/>
          <w:szCs w:val="22"/>
          <w:shd w:val="clear" w:color="auto" w:fill="FFFFFF"/>
        </w:rPr>
        <w:t>1-8.</w:t>
      </w:r>
    </w:p>
    <w:p w14:paraId="3AB14A45" w14:textId="56C41815" w:rsidR="00043692" w:rsidRPr="001E3755" w:rsidRDefault="00043692" w:rsidP="00043692">
      <w:pPr>
        <w:autoSpaceDE w:val="0"/>
        <w:autoSpaceDN w:val="0"/>
        <w:adjustRightInd w:val="0"/>
        <w:ind w:left="284" w:hanging="284"/>
        <w:rPr>
          <w:rFonts w:asciiTheme="majorBidi" w:hAnsiTheme="majorBidi" w:cstheme="majorBidi"/>
          <w:sz w:val="22"/>
          <w:szCs w:val="22"/>
          <w:shd w:val="clear" w:color="auto" w:fill="FFFFFF"/>
        </w:rPr>
      </w:pPr>
      <w:proofErr w:type="spellStart"/>
      <w:r w:rsidRPr="001E3755">
        <w:rPr>
          <w:rFonts w:asciiTheme="majorBidi" w:hAnsiTheme="majorBidi" w:cstheme="majorBidi"/>
          <w:sz w:val="22"/>
          <w:szCs w:val="22"/>
          <w:shd w:val="clear" w:color="auto" w:fill="FFFFFF"/>
        </w:rPr>
        <w:t>Glenk</w:t>
      </w:r>
      <w:proofErr w:type="spellEnd"/>
      <w:r w:rsidRPr="001E3755">
        <w:rPr>
          <w:rFonts w:asciiTheme="majorBidi" w:hAnsiTheme="majorBidi" w:cstheme="majorBidi"/>
          <w:sz w:val="22"/>
          <w:szCs w:val="22"/>
          <w:shd w:val="clear" w:color="auto" w:fill="FFFFFF"/>
        </w:rPr>
        <w:t xml:space="preserve">, K., </w:t>
      </w:r>
      <w:proofErr w:type="spellStart"/>
      <w:r w:rsidRPr="001E3755">
        <w:rPr>
          <w:rFonts w:asciiTheme="majorBidi" w:hAnsiTheme="majorBidi" w:cstheme="majorBidi"/>
          <w:sz w:val="22"/>
          <w:szCs w:val="22"/>
          <w:shd w:val="clear" w:color="auto" w:fill="FFFFFF"/>
        </w:rPr>
        <w:t>Barkmann</w:t>
      </w:r>
      <w:proofErr w:type="spellEnd"/>
      <w:r w:rsidRPr="001E3755">
        <w:rPr>
          <w:rFonts w:asciiTheme="majorBidi" w:hAnsiTheme="majorBidi" w:cstheme="majorBidi"/>
          <w:sz w:val="22"/>
          <w:szCs w:val="22"/>
          <w:shd w:val="clear" w:color="auto" w:fill="FFFFFF"/>
        </w:rPr>
        <w:t xml:space="preserve">, J., and </w:t>
      </w:r>
      <w:proofErr w:type="spellStart"/>
      <w:r w:rsidRPr="001E3755">
        <w:rPr>
          <w:rFonts w:asciiTheme="majorBidi" w:hAnsiTheme="majorBidi" w:cstheme="majorBidi"/>
          <w:sz w:val="22"/>
          <w:szCs w:val="22"/>
          <w:shd w:val="clear" w:color="auto" w:fill="FFFFFF"/>
        </w:rPr>
        <w:t>Marggraf</w:t>
      </w:r>
      <w:proofErr w:type="spellEnd"/>
      <w:r w:rsidRPr="001E3755">
        <w:rPr>
          <w:rFonts w:asciiTheme="majorBidi" w:hAnsiTheme="majorBidi" w:cstheme="majorBidi"/>
          <w:sz w:val="22"/>
          <w:szCs w:val="22"/>
          <w:shd w:val="clear" w:color="auto" w:fill="FFFFFF"/>
        </w:rPr>
        <w:t>, R. (2006). Locally Perceived Values of Biological Diversity in Indonesia–a Choice Experiment Approach. In</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i/>
          <w:iCs/>
          <w:sz w:val="22"/>
          <w:szCs w:val="22"/>
          <w:shd w:val="clear" w:color="auto" w:fill="FFFFFF"/>
        </w:rPr>
        <w:t>8th Annual BIOECON Conference on Economic Analysis of Ecology and Biodiversity</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sz w:val="22"/>
          <w:szCs w:val="22"/>
          <w:shd w:val="clear" w:color="auto" w:fill="FFFFFF"/>
        </w:rPr>
        <w:t>28: 15-29.</w:t>
      </w:r>
    </w:p>
    <w:p w14:paraId="3012DCEC" w14:textId="70CE94F5" w:rsidR="00B54A12" w:rsidRPr="001E3755" w:rsidRDefault="00B54A12" w:rsidP="005043B9">
      <w:pPr>
        <w:autoSpaceDE w:val="0"/>
        <w:autoSpaceDN w:val="0"/>
        <w:adjustRightInd w:val="0"/>
        <w:ind w:left="284" w:hanging="284"/>
        <w:rPr>
          <w:rFonts w:asciiTheme="majorBidi" w:hAnsiTheme="majorBidi" w:cstheme="majorBidi"/>
          <w:sz w:val="22"/>
          <w:szCs w:val="22"/>
          <w:shd w:val="clear" w:color="auto" w:fill="FFFFFF"/>
        </w:rPr>
      </w:pPr>
      <w:r w:rsidRPr="001E3755">
        <w:rPr>
          <w:rFonts w:asciiTheme="majorBidi" w:hAnsiTheme="majorBidi" w:cstheme="majorBidi"/>
          <w:sz w:val="22"/>
          <w:szCs w:val="22"/>
          <w:shd w:val="clear" w:color="auto" w:fill="FFFFFF"/>
          <w:lang w:val="nl-NL"/>
        </w:rPr>
        <w:t>Gsottbauer, E., Logar, I.</w:t>
      </w:r>
      <w:r w:rsidR="005043B9" w:rsidRPr="001E3755">
        <w:rPr>
          <w:rFonts w:asciiTheme="majorBidi" w:hAnsiTheme="majorBidi" w:cstheme="majorBidi"/>
          <w:sz w:val="22"/>
          <w:szCs w:val="22"/>
          <w:shd w:val="clear" w:color="auto" w:fill="FFFFFF"/>
          <w:lang w:val="nl-NL"/>
        </w:rPr>
        <w:t>,</w:t>
      </w:r>
      <w:r w:rsidRPr="001E3755">
        <w:rPr>
          <w:rFonts w:asciiTheme="majorBidi" w:hAnsiTheme="majorBidi" w:cstheme="majorBidi"/>
          <w:sz w:val="22"/>
          <w:szCs w:val="22"/>
          <w:shd w:val="clear" w:color="auto" w:fill="FFFFFF"/>
          <w:lang w:val="nl-NL"/>
        </w:rPr>
        <w:t xml:space="preserve"> and Van </w:t>
      </w:r>
      <w:r w:rsidRPr="001E3755">
        <w:rPr>
          <w:rFonts w:asciiTheme="majorBidi" w:hAnsiTheme="majorBidi" w:cstheme="majorBidi"/>
          <w:sz w:val="22"/>
          <w:szCs w:val="22"/>
          <w:shd w:val="clear" w:color="auto" w:fill="FFFFFF"/>
          <w:lang w:val="de-DE"/>
        </w:rPr>
        <w:t xml:space="preserve">den Bergh, J. </w:t>
      </w:r>
      <w:r w:rsidR="00A40B66" w:rsidRPr="001E3755">
        <w:rPr>
          <w:rFonts w:asciiTheme="majorBidi" w:hAnsiTheme="majorBidi" w:cstheme="majorBidi"/>
          <w:sz w:val="22"/>
          <w:szCs w:val="22"/>
          <w:shd w:val="clear" w:color="auto" w:fill="FFFFFF"/>
          <w:lang w:val="de-DE"/>
        </w:rPr>
        <w:t>(</w:t>
      </w:r>
      <w:r w:rsidRPr="001E3755">
        <w:rPr>
          <w:rFonts w:asciiTheme="majorBidi" w:hAnsiTheme="majorBidi" w:cstheme="majorBidi"/>
          <w:sz w:val="22"/>
          <w:szCs w:val="22"/>
          <w:shd w:val="clear" w:color="auto" w:fill="FFFFFF"/>
          <w:lang w:val="de-DE"/>
        </w:rPr>
        <w:t>2015</w:t>
      </w:r>
      <w:r w:rsidR="00A40B66" w:rsidRPr="001E3755">
        <w:rPr>
          <w:rFonts w:asciiTheme="majorBidi" w:hAnsiTheme="majorBidi" w:cstheme="majorBidi"/>
          <w:sz w:val="22"/>
          <w:szCs w:val="22"/>
          <w:shd w:val="clear" w:color="auto" w:fill="FFFFFF"/>
          <w:lang w:val="de-DE"/>
        </w:rPr>
        <w:t>)</w:t>
      </w:r>
      <w:r w:rsidRPr="001E3755">
        <w:rPr>
          <w:rFonts w:asciiTheme="majorBidi" w:hAnsiTheme="majorBidi" w:cstheme="majorBidi"/>
          <w:sz w:val="22"/>
          <w:szCs w:val="22"/>
          <w:shd w:val="clear" w:color="auto" w:fill="FFFFFF"/>
          <w:lang w:val="de-DE"/>
        </w:rPr>
        <w:t xml:space="preserve">. </w:t>
      </w:r>
      <w:r w:rsidRPr="001E3755">
        <w:rPr>
          <w:rFonts w:asciiTheme="majorBidi" w:hAnsiTheme="majorBidi" w:cstheme="majorBidi"/>
          <w:sz w:val="22"/>
          <w:szCs w:val="22"/>
          <w:shd w:val="clear" w:color="auto" w:fill="FFFFFF"/>
        </w:rPr>
        <w:t xml:space="preserve">Towards a fair, constructive and consistent criticism of all valuation languages: Comment on </w:t>
      </w:r>
      <w:proofErr w:type="spellStart"/>
      <w:r w:rsidRPr="001E3755">
        <w:rPr>
          <w:rFonts w:asciiTheme="majorBidi" w:hAnsiTheme="majorBidi" w:cstheme="majorBidi"/>
          <w:sz w:val="22"/>
          <w:szCs w:val="22"/>
          <w:shd w:val="clear" w:color="auto" w:fill="FFFFFF"/>
        </w:rPr>
        <w:t>Kallis</w:t>
      </w:r>
      <w:proofErr w:type="spellEnd"/>
      <w:r w:rsidRPr="001E3755">
        <w:rPr>
          <w:rFonts w:asciiTheme="majorBidi" w:hAnsiTheme="majorBidi" w:cstheme="majorBidi"/>
          <w:sz w:val="22"/>
          <w:szCs w:val="22"/>
          <w:shd w:val="clear" w:color="auto" w:fill="FFFFFF"/>
        </w:rPr>
        <w:t xml:space="preserve"> et al.</w:t>
      </w:r>
      <w:r w:rsidR="005043B9"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(2013).</w:t>
      </w:r>
      <w:r w:rsidR="005043B9" w:rsidRPr="001E3755">
        <w:rPr>
          <w:rStyle w:val="apple-converted-space"/>
          <w:rFonts w:asciiTheme="majorBidi" w:hAnsiTheme="majorBidi" w:cstheme="majorBidi"/>
          <w:sz w:val="22"/>
          <w:szCs w:val="22"/>
          <w:shd w:val="clear" w:color="auto" w:fill="FFFFFF"/>
        </w:rPr>
        <w:t xml:space="preserve"> </w:t>
      </w:r>
      <w:r w:rsidR="005043B9" w:rsidRPr="001E3755">
        <w:rPr>
          <w:rFonts w:asciiTheme="majorBidi" w:hAnsiTheme="majorBidi" w:cstheme="majorBidi"/>
          <w:i/>
          <w:iCs/>
          <w:sz w:val="22"/>
          <w:szCs w:val="22"/>
          <w:shd w:val="clear" w:color="auto" w:fill="FFFFFF"/>
        </w:rPr>
        <w:t xml:space="preserve">Ecological </w:t>
      </w:r>
      <w:r w:rsidRPr="001E3755">
        <w:rPr>
          <w:rFonts w:asciiTheme="majorBidi" w:hAnsiTheme="majorBidi" w:cstheme="majorBidi"/>
          <w:i/>
          <w:iCs/>
          <w:sz w:val="22"/>
          <w:szCs w:val="22"/>
          <w:shd w:val="clear" w:color="auto" w:fill="FFFFFF"/>
        </w:rPr>
        <w:t>Economics</w:t>
      </w:r>
      <w:r w:rsidR="005043B9"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112</w:t>
      </w:r>
      <w:r w:rsidR="005043B9"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 xml:space="preserve">164-169. </w:t>
      </w:r>
    </w:p>
    <w:p w14:paraId="4C695088" w14:textId="3FF801CF" w:rsidR="00A40B66" w:rsidRPr="001E3755" w:rsidRDefault="00A40B66" w:rsidP="005043B9">
      <w:pPr>
        <w:autoSpaceDE w:val="0"/>
        <w:autoSpaceDN w:val="0"/>
        <w:adjustRightInd w:val="0"/>
        <w:ind w:left="284" w:hanging="284"/>
        <w:rPr>
          <w:rFonts w:asciiTheme="majorBidi" w:hAnsiTheme="majorBidi" w:cstheme="majorBidi"/>
          <w:sz w:val="22"/>
          <w:szCs w:val="22"/>
          <w:lang w:eastAsia="nl-NL"/>
        </w:rPr>
      </w:pPr>
      <w:r w:rsidRPr="001E3755">
        <w:rPr>
          <w:rFonts w:asciiTheme="majorBidi" w:hAnsiTheme="majorBidi" w:cstheme="majorBidi"/>
          <w:sz w:val="22"/>
          <w:szCs w:val="22"/>
          <w:lang w:eastAsia="nl-NL"/>
        </w:rPr>
        <w:t xml:space="preserve">Hanley, N., Wright, R.E., and </w:t>
      </w:r>
      <w:proofErr w:type="spellStart"/>
      <w:r w:rsidRPr="001E3755">
        <w:rPr>
          <w:rFonts w:asciiTheme="majorBidi" w:hAnsiTheme="majorBidi" w:cstheme="majorBidi"/>
          <w:sz w:val="22"/>
          <w:szCs w:val="22"/>
          <w:lang w:eastAsia="nl-NL"/>
        </w:rPr>
        <w:t>Adamowicz</w:t>
      </w:r>
      <w:proofErr w:type="spellEnd"/>
      <w:r w:rsidRPr="001E3755">
        <w:rPr>
          <w:rFonts w:asciiTheme="majorBidi" w:hAnsiTheme="majorBidi" w:cstheme="majorBidi"/>
          <w:sz w:val="22"/>
          <w:szCs w:val="22"/>
          <w:lang w:eastAsia="nl-NL"/>
        </w:rPr>
        <w:t xml:space="preserve">, V. (1998). Using Choice Experiments to Value the Environment, Design Issues, Current Experience and </w:t>
      </w:r>
      <w:proofErr w:type="gramStart"/>
      <w:r w:rsidRPr="001E3755">
        <w:rPr>
          <w:rFonts w:asciiTheme="majorBidi" w:hAnsiTheme="majorBidi" w:cstheme="majorBidi"/>
          <w:sz w:val="22"/>
          <w:szCs w:val="22"/>
          <w:lang w:eastAsia="nl-NL"/>
        </w:rPr>
        <w:t>Future Prospects</w:t>
      </w:r>
      <w:proofErr w:type="gramEnd"/>
      <w:r w:rsidRPr="001E3755">
        <w:rPr>
          <w:rFonts w:asciiTheme="majorBidi" w:hAnsiTheme="majorBidi" w:cstheme="majorBidi"/>
          <w:sz w:val="22"/>
          <w:szCs w:val="22"/>
          <w:lang w:eastAsia="nl-NL"/>
        </w:rPr>
        <w:t xml:space="preserve">, </w:t>
      </w:r>
      <w:r w:rsidRPr="001E3755">
        <w:rPr>
          <w:rFonts w:asciiTheme="majorBidi" w:hAnsiTheme="majorBidi" w:cstheme="majorBidi"/>
          <w:i/>
          <w:sz w:val="22"/>
          <w:szCs w:val="22"/>
          <w:lang w:eastAsia="nl-NL"/>
        </w:rPr>
        <w:t>Environment and Resource Economics</w:t>
      </w:r>
      <w:r w:rsidRPr="001E3755">
        <w:rPr>
          <w:rFonts w:asciiTheme="majorBidi" w:hAnsiTheme="majorBidi" w:cstheme="majorBidi"/>
          <w:sz w:val="22"/>
          <w:szCs w:val="22"/>
          <w:lang w:eastAsia="nl-NL"/>
        </w:rPr>
        <w:t xml:space="preserve"> 11(3-4): 413-428. </w:t>
      </w:r>
    </w:p>
    <w:p w14:paraId="286A46D4" w14:textId="0D2B384F" w:rsidR="00F00AF3" w:rsidRPr="001E3755" w:rsidRDefault="00F00AF3" w:rsidP="005043B9">
      <w:pPr>
        <w:autoSpaceDE w:val="0"/>
        <w:autoSpaceDN w:val="0"/>
        <w:adjustRightInd w:val="0"/>
        <w:ind w:left="284" w:hanging="284"/>
        <w:rPr>
          <w:sz w:val="22"/>
          <w:szCs w:val="22"/>
          <w:lang w:eastAsia="nl-NL"/>
        </w:rPr>
      </w:pPr>
      <w:r w:rsidRPr="001E3755">
        <w:rPr>
          <w:sz w:val="22"/>
          <w:szCs w:val="22"/>
          <w:shd w:val="clear" w:color="auto" w:fill="FFFFFF"/>
        </w:rPr>
        <w:t xml:space="preserve">Holden, S.T., </w:t>
      </w:r>
      <w:proofErr w:type="spellStart"/>
      <w:r w:rsidRPr="001E3755">
        <w:rPr>
          <w:sz w:val="22"/>
          <w:szCs w:val="22"/>
          <w:shd w:val="clear" w:color="auto" w:fill="FFFFFF"/>
        </w:rPr>
        <w:t>Shiferaw</w:t>
      </w:r>
      <w:proofErr w:type="spellEnd"/>
      <w:r w:rsidRPr="001E3755">
        <w:rPr>
          <w:sz w:val="22"/>
          <w:szCs w:val="22"/>
          <w:shd w:val="clear" w:color="auto" w:fill="FFFFFF"/>
        </w:rPr>
        <w:t xml:space="preserve">, B., and </w:t>
      </w:r>
      <w:proofErr w:type="spellStart"/>
      <w:r w:rsidRPr="001E3755">
        <w:rPr>
          <w:sz w:val="22"/>
          <w:szCs w:val="22"/>
          <w:shd w:val="clear" w:color="auto" w:fill="FFFFFF"/>
        </w:rPr>
        <w:t>Wik</w:t>
      </w:r>
      <w:proofErr w:type="spellEnd"/>
      <w:r w:rsidRPr="001E3755">
        <w:rPr>
          <w:sz w:val="22"/>
          <w:szCs w:val="22"/>
          <w:shd w:val="clear" w:color="auto" w:fill="FFFFFF"/>
        </w:rPr>
        <w:t xml:space="preserve">, M. (1998). Poverty, market imperfections and time preferences: of relevance for environmental </w:t>
      </w:r>
      <w:proofErr w:type="gramStart"/>
      <w:r w:rsidRPr="001E3755">
        <w:rPr>
          <w:sz w:val="22"/>
          <w:szCs w:val="22"/>
          <w:shd w:val="clear" w:color="auto" w:fill="FFFFFF"/>
        </w:rPr>
        <w:t>policy?.</w:t>
      </w:r>
      <w:proofErr w:type="gramEnd"/>
      <w:r w:rsidRPr="001E3755">
        <w:rPr>
          <w:rStyle w:val="apple-converted-space"/>
          <w:sz w:val="22"/>
          <w:szCs w:val="22"/>
          <w:shd w:val="clear" w:color="auto" w:fill="FFFFFF"/>
        </w:rPr>
        <w:t xml:space="preserve"> </w:t>
      </w:r>
      <w:r w:rsidRPr="001E3755">
        <w:rPr>
          <w:i/>
          <w:iCs/>
          <w:sz w:val="22"/>
          <w:szCs w:val="22"/>
          <w:shd w:val="clear" w:color="auto" w:fill="FFFFFF"/>
        </w:rPr>
        <w:t>Environment and Development Economics</w:t>
      </w:r>
      <w:r w:rsidRPr="001E3755">
        <w:rPr>
          <w:rStyle w:val="apple-converted-space"/>
          <w:sz w:val="22"/>
          <w:szCs w:val="22"/>
          <w:shd w:val="clear" w:color="auto" w:fill="FFFFFF"/>
        </w:rPr>
        <w:t xml:space="preserve"> </w:t>
      </w:r>
      <w:r w:rsidRPr="001E3755">
        <w:rPr>
          <w:iCs/>
          <w:sz w:val="22"/>
          <w:szCs w:val="22"/>
          <w:shd w:val="clear" w:color="auto" w:fill="FFFFFF"/>
        </w:rPr>
        <w:t>3</w:t>
      </w:r>
      <w:r w:rsidRPr="001E3755">
        <w:rPr>
          <w:sz w:val="22"/>
          <w:szCs w:val="22"/>
          <w:shd w:val="clear" w:color="auto" w:fill="FFFFFF"/>
        </w:rPr>
        <w:t>(1): 105-130.</w:t>
      </w:r>
    </w:p>
    <w:p w14:paraId="6A2AF334" w14:textId="084BCF81" w:rsidR="00C42B29" w:rsidRPr="001E3755" w:rsidRDefault="00C42B29" w:rsidP="005043B9">
      <w:pPr>
        <w:autoSpaceDE w:val="0"/>
        <w:autoSpaceDN w:val="0"/>
        <w:adjustRightInd w:val="0"/>
        <w:ind w:left="284" w:hanging="284"/>
        <w:rPr>
          <w:sz w:val="22"/>
          <w:szCs w:val="22"/>
          <w:lang w:eastAsia="nl-NL"/>
        </w:rPr>
      </w:pPr>
      <w:r w:rsidRPr="001E3755">
        <w:rPr>
          <w:sz w:val="22"/>
          <w:szCs w:val="22"/>
          <w:shd w:val="clear" w:color="auto" w:fill="FFFFFF"/>
        </w:rPr>
        <w:t>Hole, A.R. (2007). A comparison of approaches to estimating confidence intervals for willingness to pay measures.</w:t>
      </w:r>
      <w:r w:rsidR="00F00AF3" w:rsidRPr="001E3755">
        <w:rPr>
          <w:rStyle w:val="apple-converted-space"/>
          <w:sz w:val="22"/>
          <w:szCs w:val="22"/>
          <w:shd w:val="clear" w:color="auto" w:fill="FFFFFF"/>
        </w:rPr>
        <w:t xml:space="preserve"> </w:t>
      </w:r>
      <w:r w:rsidRPr="001E3755">
        <w:rPr>
          <w:i/>
          <w:iCs/>
          <w:sz w:val="22"/>
          <w:szCs w:val="22"/>
          <w:shd w:val="clear" w:color="auto" w:fill="FFFFFF"/>
        </w:rPr>
        <w:t>Health economics</w:t>
      </w:r>
      <w:r w:rsidR="00F00AF3" w:rsidRPr="001E3755">
        <w:rPr>
          <w:rStyle w:val="apple-converted-space"/>
          <w:sz w:val="22"/>
          <w:szCs w:val="22"/>
          <w:shd w:val="clear" w:color="auto" w:fill="FFFFFF"/>
        </w:rPr>
        <w:t xml:space="preserve"> </w:t>
      </w:r>
      <w:r w:rsidRPr="001E3755">
        <w:rPr>
          <w:iCs/>
          <w:sz w:val="22"/>
          <w:szCs w:val="22"/>
          <w:shd w:val="clear" w:color="auto" w:fill="FFFFFF"/>
        </w:rPr>
        <w:t>16</w:t>
      </w:r>
      <w:r w:rsidRPr="001E3755">
        <w:rPr>
          <w:sz w:val="22"/>
          <w:szCs w:val="22"/>
          <w:shd w:val="clear" w:color="auto" w:fill="FFFFFF"/>
        </w:rPr>
        <w:t>(8): 827-840.</w:t>
      </w:r>
    </w:p>
    <w:p w14:paraId="5EAAE759" w14:textId="444F125F" w:rsidR="00B54A12" w:rsidRDefault="00B54A12" w:rsidP="005043B9">
      <w:pPr>
        <w:autoSpaceDE w:val="0"/>
        <w:autoSpaceDN w:val="0"/>
        <w:adjustRightInd w:val="0"/>
        <w:ind w:left="284" w:hanging="284"/>
        <w:rPr>
          <w:rFonts w:asciiTheme="majorBidi" w:hAnsiTheme="majorBidi" w:cstheme="majorBidi"/>
          <w:sz w:val="22"/>
          <w:szCs w:val="22"/>
          <w:shd w:val="clear" w:color="auto" w:fill="FFFFFF"/>
        </w:rPr>
      </w:pPr>
      <w:proofErr w:type="spellStart"/>
      <w:r w:rsidRPr="001E3755">
        <w:rPr>
          <w:rFonts w:asciiTheme="majorBidi" w:hAnsiTheme="majorBidi" w:cstheme="majorBidi"/>
          <w:sz w:val="22"/>
          <w:szCs w:val="22"/>
          <w:shd w:val="clear" w:color="auto" w:fill="FFFFFF"/>
        </w:rPr>
        <w:t>Jaenicke</w:t>
      </w:r>
      <w:proofErr w:type="spellEnd"/>
      <w:r w:rsidRPr="001E3755">
        <w:rPr>
          <w:rFonts w:asciiTheme="majorBidi" w:hAnsiTheme="majorBidi" w:cstheme="majorBidi"/>
          <w:sz w:val="22"/>
          <w:szCs w:val="22"/>
          <w:shd w:val="clear" w:color="auto" w:fill="FFFFFF"/>
        </w:rPr>
        <w:t xml:space="preserve">, J., </w:t>
      </w:r>
      <w:proofErr w:type="spellStart"/>
      <w:r w:rsidRPr="001E3755">
        <w:rPr>
          <w:rFonts w:asciiTheme="majorBidi" w:hAnsiTheme="majorBidi" w:cstheme="majorBidi"/>
          <w:sz w:val="22"/>
          <w:szCs w:val="22"/>
          <w:shd w:val="clear" w:color="auto" w:fill="FFFFFF"/>
        </w:rPr>
        <w:t>Englhart</w:t>
      </w:r>
      <w:proofErr w:type="spellEnd"/>
      <w:r w:rsidRPr="001E3755">
        <w:rPr>
          <w:rFonts w:asciiTheme="majorBidi" w:hAnsiTheme="majorBidi" w:cstheme="majorBidi"/>
          <w:sz w:val="22"/>
          <w:szCs w:val="22"/>
          <w:shd w:val="clear" w:color="auto" w:fill="FFFFFF"/>
        </w:rPr>
        <w:t>, S.</w:t>
      </w:r>
      <w:r w:rsidR="005043B9"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 xml:space="preserve"> and </w:t>
      </w:r>
      <w:proofErr w:type="spellStart"/>
      <w:r w:rsidRPr="001E3755">
        <w:rPr>
          <w:rFonts w:asciiTheme="majorBidi" w:hAnsiTheme="majorBidi" w:cstheme="majorBidi"/>
          <w:sz w:val="22"/>
          <w:szCs w:val="22"/>
          <w:shd w:val="clear" w:color="auto" w:fill="FFFFFF"/>
        </w:rPr>
        <w:t>Siegert</w:t>
      </w:r>
      <w:proofErr w:type="spellEnd"/>
      <w:r w:rsidRPr="001E3755">
        <w:rPr>
          <w:rFonts w:asciiTheme="majorBidi" w:hAnsiTheme="majorBidi" w:cstheme="majorBidi"/>
          <w:sz w:val="22"/>
          <w:szCs w:val="22"/>
          <w:shd w:val="clear" w:color="auto" w:fill="FFFFFF"/>
        </w:rPr>
        <w:t xml:space="preserve">, F. </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2011</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 Monitoring the effect of restoration measures in Indonesian peatlands by radar satellite imagery.</w:t>
      </w:r>
      <w:r w:rsidR="005043B9" w:rsidRPr="001E3755">
        <w:rPr>
          <w:rFonts w:asciiTheme="majorBidi" w:hAnsiTheme="majorBidi" w:cstheme="majorBidi"/>
          <w:sz w:val="22"/>
          <w:szCs w:val="22"/>
          <w:shd w:val="clear" w:color="auto" w:fill="FFFFFF"/>
        </w:rPr>
        <w:t xml:space="preserve"> </w:t>
      </w:r>
      <w:r w:rsidR="005043B9" w:rsidRPr="001E3755">
        <w:rPr>
          <w:rFonts w:asciiTheme="majorBidi" w:hAnsiTheme="majorBidi" w:cstheme="majorBidi"/>
          <w:i/>
          <w:iCs/>
          <w:sz w:val="22"/>
          <w:szCs w:val="22"/>
          <w:shd w:val="clear" w:color="auto" w:fill="FFFFFF"/>
        </w:rPr>
        <w:t xml:space="preserve">Journal of Environmental </w:t>
      </w:r>
      <w:r w:rsidRPr="001E3755">
        <w:rPr>
          <w:rFonts w:asciiTheme="majorBidi" w:hAnsiTheme="majorBidi" w:cstheme="majorBidi"/>
          <w:i/>
          <w:iCs/>
          <w:sz w:val="22"/>
          <w:szCs w:val="22"/>
          <w:shd w:val="clear" w:color="auto" w:fill="FFFFFF"/>
        </w:rPr>
        <w:t>Management</w:t>
      </w:r>
      <w:r w:rsidRPr="001E3755">
        <w:rPr>
          <w:rFonts w:asciiTheme="majorBidi" w:hAnsiTheme="majorBidi" w:cstheme="majorBidi"/>
          <w:sz w:val="22"/>
          <w:szCs w:val="22"/>
          <w:shd w:val="clear" w:color="auto" w:fill="FFFFFF"/>
        </w:rPr>
        <w:t>,</w:t>
      </w:r>
      <w:r w:rsidR="005043B9" w:rsidRPr="001E3755">
        <w:rPr>
          <w:rStyle w:val="apple-converted-space"/>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92(3)</w:t>
      </w:r>
      <w:r w:rsidR="005043B9"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630-638.</w:t>
      </w:r>
    </w:p>
    <w:p w14:paraId="2880A646" w14:textId="7A4F2045" w:rsidR="00172814" w:rsidRPr="00A46132" w:rsidRDefault="00172814" w:rsidP="005043B9">
      <w:pPr>
        <w:autoSpaceDE w:val="0"/>
        <w:autoSpaceDN w:val="0"/>
        <w:adjustRightInd w:val="0"/>
        <w:ind w:left="284" w:hanging="284"/>
        <w:rPr>
          <w:sz w:val="22"/>
          <w:szCs w:val="22"/>
          <w:shd w:val="clear" w:color="auto" w:fill="FFFFFF"/>
        </w:rPr>
      </w:pPr>
      <w:r w:rsidRPr="00A46132">
        <w:rPr>
          <w:color w:val="222222"/>
          <w:sz w:val="22"/>
          <w:szCs w:val="22"/>
          <w:shd w:val="clear" w:color="auto" w:fill="FFFFFF"/>
        </w:rPr>
        <w:t xml:space="preserve">Johnston, R.J., Boyle, K.J., </w:t>
      </w:r>
      <w:proofErr w:type="spellStart"/>
      <w:r w:rsidRPr="00A46132">
        <w:rPr>
          <w:color w:val="222222"/>
          <w:sz w:val="22"/>
          <w:szCs w:val="22"/>
          <w:shd w:val="clear" w:color="auto" w:fill="FFFFFF"/>
        </w:rPr>
        <w:t>Adamowicz</w:t>
      </w:r>
      <w:proofErr w:type="spellEnd"/>
      <w:r w:rsidRPr="00A46132">
        <w:rPr>
          <w:color w:val="222222"/>
          <w:sz w:val="22"/>
          <w:szCs w:val="22"/>
          <w:shd w:val="clear" w:color="auto" w:fill="FFFFFF"/>
        </w:rPr>
        <w:t xml:space="preserve">, W., Bennett, J., Brouwer, R., Cameron, T.A., </w:t>
      </w:r>
      <w:proofErr w:type="spellStart"/>
      <w:r w:rsidRPr="00A46132">
        <w:rPr>
          <w:color w:val="222222"/>
          <w:sz w:val="22"/>
          <w:szCs w:val="22"/>
          <w:shd w:val="clear" w:color="auto" w:fill="FFFFFF"/>
        </w:rPr>
        <w:t>Hanemann</w:t>
      </w:r>
      <w:proofErr w:type="spellEnd"/>
      <w:r w:rsidRPr="00A46132">
        <w:rPr>
          <w:color w:val="222222"/>
          <w:sz w:val="22"/>
          <w:szCs w:val="22"/>
          <w:shd w:val="clear" w:color="auto" w:fill="FFFFFF"/>
        </w:rPr>
        <w:t>, W.M., Hanley, N., Ryan, M.</w:t>
      </w:r>
      <w:r>
        <w:rPr>
          <w:color w:val="222222"/>
          <w:sz w:val="22"/>
          <w:szCs w:val="22"/>
          <w:shd w:val="clear" w:color="auto" w:fill="FFFFFF"/>
        </w:rPr>
        <w:t xml:space="preserve">, Scarpa, R. and </w:t>
      </w:r>
      <w:proofErr w:type="spellStart"/>
      <w:r>
        <w:rPr>
          <w:color w:val="222222"/>
          <w:sz w:val="22"/>
          <w:szCs w:val="22"/>
          <w:shd w:val="clear" w:color="auto" w:fill="FFFFFF"/>
        </w:rPr>
        <w:t>Tourangeau</w:t>
      </w:r>
      <w:proofErr w:type="spellEnd"/>
      <w:r>
        <w:rPr>
          <w:color w:val="222222"/>
          <w:sz w:val="22"/>
          <w:szCs w:val="22"/>
          <w:shd w:val="clear" w:color="auto" w:fill="FFFFFF"/>
        </w:rPr>
        <w:t>, R.</w:t>
      </w:r>
      <w:r w:rsidRPr="00A46132">
        <w:rPr>
          <w:color w:val="222222"/>
          <w:sz w:val="22"/>
          <w:szCs w:val="22"/>
          <w:shd w:val="clear" w:color="auto" w:fill="FFFFFF"/>
        </w:rPr>
        <w:t xml:space="preserve"> </w:t>
      </w:r>
      <w:r>
        <w:rPr>
          <w:color w:val="222222"/>
          <w:sz w:val="22"/>
          <w:szCs w:val="22"/>
          <w:shd w:val="clear" w:color="auto" w:fill="FFFFFF"/>
        </w:rPr>
        <w:t>(</w:t>
      </w:r>
      <w:r w:rsidRPr="00A46132">
        <w:rPr>
          <w:color w:val="222222"/>
          <w:sz w:val="22"/>
          <w:szCs w:val="22"/>
          <w:shd w:val="clear" w:color="auto" w:fill="FFFFFF"/>
        </w:rPr>
        <w:t>2017</w:t>
      </w:r>
      <w:r>
        <w:rPr>
          <w:color w:val="222222"/>
          <w:sz w:val="22"/>
          <w:szCs w:val="22"/>
          <w:shd w:val="clear" w:color="auto" w:fill="FFFFFF"/>
        </w:rPr>
        <w:t>)</w:t>
      </w:r>
      <w:r w:rsidRPr="00A46132">
        <w:rPr>
          <w:color w:val="222222"/>
          <w:sz w:val="22"/>
          <w:szCs w:val="22"/>
          <w:shd w:val="clear" w:color="auto" w:fill="FFFFFF"/>
        </w:rPr>
        <w:t>. Contemporary guidance for stated preference studies.</w:t>
      </w:r>
      <w:r>
        <w:rPr>
          <w:rStyle w:val="apple-converted-space"/>
          <w:color w:val="222222"/>
          <w:sz w:val="22"/>
          <w:szCs w:val="22"/>
          <w:shd w:val="clear" w:color="auto" w:fill="FFFFFF"/>
        </w:rPr>
        <w:t xml:space="preserve"> </w:t>
      </w:r>
      <w:r w:rsidRPr="00A46132">
        <w:rPr>
          <w:i/>
          <w:iCs/>
          <w:color w:val="222222"/>
          <w:sz w:val="22"/>
          <w:szCs w:val="22"/>
          <w:shd w:val="clear" w:color="auto" w:fill="FFFFFF"/>
        </w:rPr>
        <w:t>Journal of the Association of Environmental and Resource Economists</w:t>
      </w:r>
      <w:r w:rsidRPr="00A46132">
        <w:rPr>
          <w:color w:val="222222"/>
          <w:sz w:val="22"/>
          <w:szCs w:val="22"/>
          <w:shd w:val="clear" w:color="auto" w:fill="FFFFFF"/>
        </w:rPr>
        <w:t>,</w:t>
      </w:r>
      <w:r>
        <w:rPr>
          <w:rStyle w:val="apple-converted-space"/>
          <w:color w:val="222222"/>
          <w:sz w:val="22"/>
          <w:szCs w:val="22"/>
          <w:shd w:val="clear" w:color="auto" w:fill="FFFFFF"/>
        </w:rPr>
        <w:t xml:space="preserve"> </w:t>
      </w:r>
      <w:r w:rsidRPr="00A46132">
        <w:rPr>
          <w:iCs/>
          <w:color w:val="222222"/>
          <w:sz w:val="22"/>
          <w:szCs w:val="22"/>
          <w:shd w:val="clear" w:color="auto" w:fill="FFFFFF"/>
        </w:rPr>
        <w:t>4</w:t>
      </w:r>
      <w:r>
        <w:rPr>
          <w:color w:val="222222"/>
          <w:sz w:val="22"/>
          <w:szCs w:val="22"/>
          <w:shd w:val="clear" w:color="auto" w:fill="FFFFFF"/>
        </w:rPr>
        <w:t xml:space="preserve">(2): </w:t>
      </w:r>
      <w:r w:rsidRPr="00A46132">
        <w:rPr>
          <w:color w:val="222222"/>
          <w:sz w:val="22"/>
          <w:szCs w:val="22"/>
          <w:shd w:val="clear" w:color="auto" w:fill="FFFFFF"/>
        </w:rPr>
        <w:t>319-405.</w:t>
      </w:r>
    </w:p>
    <w:p w14:paraId="7AA5596E" w14:textId="04649043" w:rsidR="002B4C13" w:rsidRDefault="00B54A12" w:rsidP="002B4C13">
      <w:pPr>
        <w:autoSpaceDE w:val="0"/>
        <w:autoSpaceDN w:val="0"/>
        <w:adjustRightInd w:val="0"/>
        <w:ind w:left="284" w:hanging="284"/>
        <w:rPr>
          <w:rFonts w:asciiTheme="majorBidi" w:hAnsiTheme="majorBidi" w:cstheme="majorBidi"/>
          <w:sz w:val="22"/>
          <w:szCs w:val="22"/>
          <w:shd w:val="clear" w:color="auto" w:fill="FFFFFF"/>
        </w:rPr>
      </w:pPr>
      <w:proofErr w:type="spellStart"/>
      <w:r w:rsidRPr="001E3755">
        <w:rPr>
          <w:rFonts w:asciiTheme="majorBidi" w:hAnsiTheme="majorBidi" w:cstheme="majorBidi"/>
          <w:sz w:val="22"/>
          <w:szCs w:val="22"/>
          <w:shd w:val="clear" w:color="auto" w:fill="FFFFFF"/>
        </w:rPr>
        <w:t>Kallis</w:t>
      </w:r>
      <w:proofErr w:type="spellEnd"/>
      <w:r w:rsidRPr="001E3755">
        <w:rPr>
          <w:rFonts w:asciiTheme="majorBidi" w:hAnsiTheme="majorBidi" w:cstheme="majorBidi"/>
          <w:sz w:val="22"/>
          <w:szCs w:val="22"/>
          <w:shd w:val="clear" w:color="auto" w:fill="FFFFFF"/>
        </w:rPr>
        <w:t>, G., Gómez</w:t>
      </w:r>
      <w:r w:rsidR="00A40B66" w:rsidRPr="001E3755">
        <w:rPr>
          <w:rFonts w:asciiTheme="majorBidi" w:hAnsiTheme="majorBidi" w:cstheme="majorBidi"/>
          <w:sz w:val="22"/>
          <w:szCs w:val="22"/>
          <w:shd w:val="clear" w:color="auto" w:fill="FFFFFF"/>
        </w:rPr>
        <w:t>-</w:t>
      </w:r>
      <w:proofErr w:type="spellStart"/>
      <w:r w:rsidR="00A40B66" w:rsidRPr="001E3755">
        <w:rPr>
          <w:rFonts w:asciiTheme="majorBidi" w:hAnsiTheme="majorBidi" w:cstheme="majorBidi"/>
          <w:sz w:val="22"/>
          <w:szCs w:val="22"/>
          <w:shd w:val="clear" w:color="auto" w:fill="FFFFFF"/>
        </w:rPr>
        <w:t>Baggethun</w:t>
      </w:r>
      <w:proofErr w:type="spellEnd"/>
      <w:r w:rsidR="00A40B66" w:rsidRPr="001E3755">
        <w:rPr>
          <w:rFonts w:asciiTheme="majorBidi" w:hAnsiTheme="majorBidi" w:cstheme="majorBidi"/>
          <w:sz w:val="22"/>
          <w:szCs w:val="22"/>
          <w:shd w:val="clear" w:color="auto" w:fill="FFFFFF"/>
        </w:rPr>
        <w:t>, E.</w:t>
      </w:r>
      <w:r w:rsidR="005043B9" w:rsidRPr="001E3755">
        <w:rPr>
          <w:rFonts w:asciiTheme="majorBidi" w:hAnsiTheme="majorBidi" w:cstheme="majorBidi"/>
          <w:sz w:val="22"/>
          <w:szCs w:val="22"/>
          <w:shd w:val="clear" w:color="auto" w:fill="FFFFFF"/>
        </w:rPr>
        <w:t>,</w:t>
      </w:r>
      <w:r w:rsidR="00A40B66" w:rsidRPr="001E3755">
        <w:rPr>
          <w:rFonts w:asciiTheme="majorBidi" w:hAnsiTheme="majorBidi" w:cstheme="majorBidi"/>
          <w:sz w:val="22"/>
          <w:szCs w:val="22"/>
          <w:shd w:val="clear" w:color="auto" w:fill="FFFFFF"/>
        </w:rPr>
        <w:t xml:space="preserve"> and </w:t>
      </w:r>
      <w:proofErr w:type="spellStart"/>
      <w:r w:rsidR="00A40B66" w:rsidRPr="001E3755">
        <w:rPr>
          <w:rFonts w:asciiTheme="majorBidi" w:hAnsiTheme="majorBidi" w:cstheme="majorBidi"/>
          <w:sz w:val="22"/>
          <w:szCs w:val="22"/>
          <w:shd w:val="clear" w:color="auto" w:fill="FFFFFF"/>
        </w:rPr>
        <w:t>Zografos</w:t>
      </w:r>
      <w:proofErr w:type="spellEnd"/>
      <w:r w:rsidR="00A40B66" w:rsidRPr="001E3755">
        <w:rPr>
          <w:rFonts w:asciiTheme="majorBidi" w:hAnsiTheme="majorBidi" w:cstheme="majorBidi"/>
          <w:sz w:val="22"/>
          <w:szCs w:val="22"/>
          <w:shd w:val="clear" w:color="auto" w:fill="FFFFFF"/>
        </w:rPr>
        <w:t>, C.</w:t>
      </w:r>
      <w:r w:rsidRPr="001E3755">
        <w:rPr>
          <w:rFonts w:asciiTheme="majorBidi" w:hAnsiTheme="majorBidi" w:cstheme="majorBidi"/>
          <w:sz w:val="22"/>
          <w:szCs w:val="22"/>
          <w:shd w:val="clear" w:color="auto" w:fill="FFFFFF"/>
        </w:rPr>
        <w:t xml:space="preserve"> </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2013</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 To value or not to value? That is not the question.</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i/>
          <w:iCs/>
          <w:sz w:val="22"/>
          <w:szCs w:val="22"/>
          <w:shd w:val="clear" w:color="auto" w:fill="FFFFFF"/>
        </w:rPr>
        <w:t>Ecological Economics</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sz w:val="22"/>
          <w:szCs w:val="22"/>
          <w:shd w:val="clear" w:color="auto" w:fill="FFFFFF"/>
        </w:rPr>
        <w:t>94</w:t>
      </w:r>
      <w:r w:rsidR="00A40B66"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97-105.</w:t>
      </w:r>
    </w:p>
    <w:p w14:paraId="20FF001B" w14:textId="7D774980" w:rsidR="000F191E" w:rsidRPr="001E3755" w:rsidRDefault="000F191E" w:rsidP="002B4C13">
      <w:pPr>
        <w:autoSpaceDE w:val="0"/>
        <w:autoSpaceDN w:val="0"/>
        <w:adjustRightInd w:val="0"/>
        <w:ind w:left="284" w:hanging="284"/>
        <w:rPr>
          <w:rFonts w:asciiTheme="majorBidi" w:hAnsiTheme="majorBidi" w:cstheme="majorBidi"/>
          <w:sz w:val="22"/>
          <w:szCs w:val="22"/>
          <w:shd w:val="clear" w:color="auto" w:fill="FFFFFF"/>
        </w:rPr>
      </w:pPr>
      <w:proofErr w:type="spellStart"/>
      <w:r w:rsidRPr="000F191E">
        <w:rPr>
          <w:rFonts w:asciiTheme="majorBidi" w:hAnsiTheme="majorBidi" w:cstheme="majorBidi"/>
          <w:sz w:val="22"/>
          <w:szCs w:val="22"/>
          <w:shd w:val="clear" w:color="auto" w:fill="FFFFFF"/>
        </w:rPr>
        <w:t>Kenter</w:t>
      </w:r>
      <w:proofErr w:type="spellEnd"/>
      <w:r w:rsidRPr="000F191E">
        <w:rPr>
          <w:rFonts w:asciiTheme="majorBidi" w:hAnsiTheme="majorBidi" w:cstheme="majorBidi"/>
          <w:sz w:val="22"/>
          <w:szCs w:val="22"/>
          <w:shd w:val="clear" w:color="auto" w:fill="FFFFFF"/>
        </w:rPr>
        <w:t xml:space="preserve">, J.O. </w:t>
      </w:r>
      <w:r>
        <w:rPr>
          <w:rFonts w:asciiTheme="majorBidi" w:hAnsiTheme="majorBidi" w:cstheme="majorBidi"/>
          <w:sz w:val="22"/>
          <w:szCs w:val="22"/>
          <w:shd w:val="clear" w:color="auto" w:fill="FFFFFF"/>
        </w:rPr>
        <w:t>(</w:t>
      </w:r>
      <w:r w:rsidRPr="000F191E">
        <w:rPr>
          <w:rFonts w:asciiTheme="majorBidi" w:hAnsiTheme="majorBidi" w:cstheme="majorBidi"/>
          <w:sz w:val="22"/>
          <w:szCs w:val="22"/>
          <w:shd w:val="clear" w:color="auto" w:fill="FFFFFF"/>
        </w:rPr>
        <w:t>2016</w:t>
      </w:r>
      <w:r>
        <w:rPr>
          <w:rFonts w:asciiTheme="majorBidi" w:hAnsiTheme="majorBidi" w:cstheme="majorBidi"/>
          <w:sz w:val="22"/>
          <w:szCs w:val="22"/>
          <w:shd w:val="clear" w:color="auto" w:fill="FFFFFF"/>
        </w:rPr>
        <w:t>)</w:t>
      </w:r>
      <w:r w:rsidRPr="000F191E">
        <w:rPr>
          <w:rFonts w:asciiTheme="majorBidi" w:hAnsiTheme="majorBidi" w:cstheme="majorBidi"/>
          <w:sz w:val="22"/>
          <w:szCs w:val="22"/>
          <w:shd w:val="clear" w:color="auto" w:fill="FFFFFF"/>
        </w:rPr>
        <w:t xml:space="preserve">. Integrating deliberative monetary valuation, systems modelling and participatory mapping to assess shared values of ecosystem services. </w:t>
      </w:r>
      <w:r w:rsidRPr="00A46132">
        <w:rPr>
          <w:rFonts w:asciiTheme="majorBidi" w:hAnsiTheme="majorBidi" w:cstheme="majorBidi"/>
          <w:i/>
          <w:sz w:val="22"/>
          <w:szCs w:val="22"/>
          <w:shd w:val="clear" w:color="auto" w:fill="FFFFFF"/>
        </w:rPr>
        <w:t>Ecosystem Services</w:t>
      </w:r>
      <w:r w:rsidRPr="000F191E">
        <w:rPr>
          <w:rFonts w:asciiTheme="majorBidi" w:hAnsiTheme="majorBidi" w:cstheme="majorBidi"/>
          <w:sz w:val="22"/>
          <w:szCs w:val="22"/>
          <w:shd w:val="clear" w:color="auto" w:fill="FFFFFF"/>
        </w:rPr>
        <w:t xml:space="preserve"> 21</w:t>
      </w:r>
      <w:r>
        <w:rPr>
          <w:rFonts w:asciiTheme="majorBidi" w:hAnsiTheme="majorBidi" w:cstheme="majorBidi"/>
          <w:sz w:val="22"/>
          <w:szCs w:val="22"/>
          <w:shd w:val="clear" w:color="auto" w:fill="FFFFFF"/>
        </w:rPr>
        <w:t xml:space="preserve">: </w:t>
      </w:r>
      <w:r w:rsidRPr="000F191E">
        <w:rPr>
          <w:rFonts w:asciiTheme="majorBidi" w:hAnsiTheme="majorBidi" w:cstheme="majorBidi"/>
          <w:sz w:val="22"/>
          <w:szCs w:val="22"/>
          <w:shd w:val="clear" w:color="auto" w:fill="FFFFFF"/>
        </w:rPr>
        <w:t>291-307.</w:t>
      </w:r>
    </w:p>
    <w:p w14:paraId="447CCF9B" w14:textId="53519B9E" w:rsidR="002B4C13" w:rsidRPr="00676E98" w:rsidRDefault="002B4C13" w:rsidP="002B4C13">
      <w:pPr>
        <w:autoSpaceDE w:val="0"/>
        <w:autoSpaceDN w:val="0"/>
        <w:adjustRightInd w:val="0"/>
        <w:ind w:left="284" w:hanging="284"/>
        <w:rPr>
          <w:rFonts w:asciiTheme="majorBidi" w:eastAsiaTheme="minorHAnsi" w:hAnsiTheme="majorBidi" w:cstheme="majorBidi"/>
          <w:iCs/>
          <w:sz w:val="22"/>
          <w:szCs w:val="22"/>
          <w:lang w:eastAsia="en-US"/>
        </w:rPr>
      </w:pPr>
      <w:proofErr w:type="spellStart"/>
      <w:r w:rsidRPr="001E3755">
        <w:rPr>
          <w:rFonts w:asciiTheme="majorBidi" w:hAnsiTheme="majorBidi" w:cstheme="majorBidi"/>
          <w:sz w:val="22"/>
          <w:szCs w:val="22"/>
          <w:shd w:val="clear" w:color="auto" w:fill="FFFFFF"/>
        </w:rPr>
        <w:t>Kenter</w:t>
      </w:r>
      <w:proofErr w:type="spellEnd"/>
      <w:r w:rsidRPr="001E3755">
        <w:rPr>
          <w:rFonts w:asciiTheme="majorBidi" w:hAnsiTheme="majorBidi" w:cstheme="majorBidi"/>
          <w:sz w:val="22"/>
          <w:szCs w:val="22"/>
          <w:shd w:val="clear" w:color="auto" w:fill="FFFFFF"/>
        </w:rPr>
        <w:t xml:space="preserve">, </w:t>
      </w:r>
      <w:r w:rsidRPr="001E3755">
        <w:rPr>
          <w:rFonts w:asciiTheme="majorBidi" w:eastAsiaTheme="minorHAnsi" w:hAnsiTheme="majorBidi" w:cstheme="majorBidi"/>
          <w:sz w:val="22"/>
          <w:szCs w:val="22"/>
          <w:lang w:eastAsia="en-US"/>
        </w:rPr>
        <w:t xml:space="preserve">J.O., Bryce, R., Christie, M., Cooper, N., Hockley, N., Irvine, K.N., </w:t>
      </w:r>
      <w:proofErr w:type="spellStart"/>
      <w:r w:rsidRPr="001E3755">
        <w:rPr>
          <w:rFonts w:asciiTheme="majorBidi" w:eastAsiaTheme="minorHAnsi" w:hAnsiTheme="majorBidi" w:cstheme="majorBidi"/>
          <w:sz w:val="22"/>
          <w:szCs w:val="22"/>
          <w:lang w:eastAsia="en-US"/>
        </w:rPr>
        <w:t>Fazey</w:t>
      </w:r>
      <w:proofErr w:type="spellEnd"/>
      <w:r w:rsidRPr="001E3755">
        <w:rPr>
          <w:rFonts w:asciiTheme="majorBidi" w:eastAsiaTheme="minorHAnsi" w:hAnsiTheme="majorBidi" w:cstheme="majorBidi"/>
          <w:sz w:val="22"/>
          <w:szCs w:val="22"/>
          <w:lang w:eastAsia="en-US"/>
        </w:rPr>
        <w:t xml:space="preserve">, I., O'Brien, L., Orchard-Webb, J., Ravenscroft, N., Raymond, C.M., Reed, M.S., </w:t>
      </w:r>
      <w:proofErr w:type="spellStart"/>
      <w:r w:rsidRPr="001E3755">
        <w:rPr>
          <w:rFonts w:asciiTheme="majorBidi" w:eastAsiaTheme="minorHAnsi" w:hAnsiTheme="majorBidi" w:cstheme="majorBidi"/>
          <w:sz w:val="22"/>
          <w:szCs w:val="22"/>
          <w:lang w:eastAsia="en-US"/>
        </w:rPr>
        <w:t>Tett</w:t>
      </w:r>
      <w:proofErr w:type="spellEnd"/>
      <w:r w:rsidRPr="001E3755">
        <w:rPr>
          <w:rFonts w:asciiTheme="majorBidi" w:eastAsiaTheme="minorHAnsi" w:hAnsiTheme="majorBidi" w:cstheme="majorBidi"/>
          <w:sz w:val="22"/>
          <w:szCs w:val="22"/>
          <w:lang w:eastAsia="en-US"/>
        </w:rPr>
        <w:t>, P., and Watson, V. (</w:t>
      </w:r>
      <w:r w:rsidR="00765FCB" w:rsidRPr="001E3755">
        <w:rPr>
          <w:rFonts w:asciiTheme="majorBidi" w:eastAsiaTheme="minorHAnsi" w:hAnsiTheme="majorBidi" w:cstheme="majorBidi"/>
          <w:sz w:val="22"/>
          <w:szCs w:val="22"/>
          <w:lang w:eastAsia="en-US"/>
        </w:rPr>
        <w:t>2016a</w:t>
      </w:r>
      <w:r w:rsidRPr="001E3755">
        <w:rPr>
          <w:rFonts w:asciiTheme="majorBidi" w:eastAsiaTheme="minorHAnsi" w:hAnsiTheme="majorBidi" w:cstheme="majorBidi"/>
          <w:sz w:val="22"/>
          <w:szCs w:val="22"/>
          <w:lang w:eastAsia="en-US"/>
        </w:rPr>
        <w:t xml:space="preserve">). Shared values and deliberative valuation: Future directions. </w:t>
      </w:r>
      <w:r w:rsidRPr="001E3755">
        <w:rPr>
          <w:rFonts w:asciiTheme="majorBidi" w:eastAsiaTheme="minorHAnsi" w:hAnsiTheme="majorBidi" w:cstheme="majorBidi"/>
          <w:i/>
          <w:iCs/>
          <w:sz w:val="22"/>
          <w:szCs w:val="22"/>
          <w:lang w:eastAsia="en-US"/>
        </w:rPr>
        <w:t xml:space="preserve">Ecosystem Services </w:t>
      </w:r>
      <w:r w:rsidR="00765FCB" w:rsidRPr="001E3755">
        <w:rPr>
          <w:rFonts w:asciiTheme="majorBidi" w:eastAsiaTheme="minorHAnsi" w:hAnsiTheme="majorBidi" w:cstheme="majorBidi"/>
          <w:iCs/>
          <w:sz w:val="22"/>
          <w:szCs w:val="22"/>
          <w:lang w:eastAsia="en-US"/>
        </w:rPr>
        <w:t>21: 358-371.</w:t>
      </w:r>
    </w:p>
    <w:p w14:paraId="69CF7395" w14:textId="5664B1FB" w:rsidR="00765FCB" w:rsidRDefault="00765FCB" w:rsidP="002B4C13">
      <w:pPr>
        <w:autoSpaceDE w:val="0"/>
        <w:autoSpaceDN w:val="0"/>
        <w:adjustRightInd w:val="0"/>
        <w:ind w:left="284" w:hanging="284"/>
        <w:rPr>
          <w:sz w:val="22"/>
          <w:szCs w:val="22"/>
          <w:shd w:val="clear" w:color="auto" w:fill="FFFFFF"/>
        </w:rPr>
      </w:pPr>
      <w:proofErr w:type="spellStart"/>
      <w:r w:rsidRPr="001E3755">
        <w:rPr>
          <w:sz w:val="22"/>
          <w:szCs w:val="22"/>
          <w:shd w:val="clear" w:color="auto" w:fill="FFFFFF"/>
        </w:rPr>
        <w:t>Kenter</w:t>
      </w:r>
      <w:proofErr w:type="spellEnd"/>
      <w:r w:rsidRPr="001E3755">
        <w:rPr>
          <w:sz w:val="22"/>
          <w:szCs w:val="22"/>
          <w:shd w:val="clear" w:color="auto" w:fill="FFFFFF"/>
        </w:rPr>
        <w:t xml:space="preserve">, J.O., </w:t>
      </w:r>
      <w:proofErr w:type="spellStart"/>
      <w:r w:rsidRPr="001E3755">
        <w:rPr>
          <w:sz w:val="22"/>
          <w:szCs w:val="22"/>
          <w:shd w:val="clear" w:color="auto" w:fill="FFFFFF"/>
        </w:rPr>
        <w:t>Jobstvogt</w:t>
      </w:r>
      <w:proofErr w:type="spellEnd"/>
      <w:r w:rsidRPr="001E3755">
        <w:rPr>
          <w:sz w:val="22"/>
          <w:szCs w:val="22"/>
          <w:shd w:val="clear" w:color="auto" w:fill="FFFFFF"/>
        </w:rPr>
        <w:t>, N., Watson, V., Irvine, K.N., Christie, M., and Bryce, R. (2016b). The impact of information, value-deliberation and group-based decision-making on values for ecosystem services: integrating deliberative monetary valuation and storytelling.</w:t>
      </w:r>
      <w:r w:rsidRPr="001E3755">
        <w:rPr>
          <w:rStyle w:val="apple-converted-space"/>
          <w:sz w:val="22"/>
          <w:szCs w:val="22"/>
          <w:shd w:val="clear" w:color="auto" w:fill="FFFFFF"/>
        </w:rPr>
        <w:t> </w:t>
      </w:r>
      <w:r w:rsidRPr="001E3755">
        <w:rPr>
          <w:i/>
          <w:iCs/>
          <w:sz w:val="22"/>
          <w:szCs w:val="22"/>
          <w:shd w:val="clear" w:color="auto" w:fill="FFFFFF"/>
        </w:rPr>
        <w:t>Ecosystem Services</w:t>
      </w:r>
      <w:r w:rsidRPr="001E3755">
        <w:rPr>
          <w:sz w:val="22"/>
          <w:szCs w:val="22"/>
          <w:shd w:val="clear" w:color="auto" w:fill="FFFFFF"/>
        </w:rPr>
        <w:t xml:space="preserve"> 21(b): 270-290.</w:t>
      </w:r>
    </w:p>
    <w:p w14:paraId="700CC5F8" w14:textId="0950D2B1" w:rsidR="006B39C2" w:rsidRPr="006B39C2" w:rsidRDefault="006B39C2" w:rsidP="002B4C13">
      <w:pPr>
        <w:autoSpaceDE w:val="0"/>
        <w:autoSpaceDN w:val="0"/>
        <w:adjustRightInd w:val="0"/>
        <w:ind w:left="284" w:hanging="284"/>
        <w:rPr>
          <w:iCs/>
          <w:sz w:val="22"/>
          <w:szCs w:val="22"/>
          <w:shd w:val="clear" w:color="auto" w:fill="FFFFFF"/>
        </w:rPr>
      </w:pPr>
      <w:proofErr w:type="spellStart"/>
      <w:r w:rsidRPr="00A46132">
        <w:rPr>
          <w:sz w:val="22"/>
          <w:szCs w:val="22"/>
          <w:shd w:val="clear" w:color="auto" w:fill="FFFFFF"/>
        </w:rPr>
        <w:t>Keske</w:t>
      </w:r>
      <w:proofErr w:type="spellEnd"/>
      <w:r w:rsidRPr="00A46132">
        <w:rPr>
          <w:sz w:val="22"/>
          <w:szCs w:val="22"/>
          <w:shd w:val="clear" w:color="auto" w:fill="FFFFFF"/>
        </w:rPr>
        <w:t>, C.M., Hoag, D., McLeod, D.M</w:t>
      </w:r>
      <w:r w:rsidR="00CA013D">
        <w:rPr>
          <w:sz w:val="22"/>
          <w:szCs w:val="22"/>
          <w:shd w:val="clear" w:color="auto" w:fill="FFFFFF"/>
        </w:rPr>
        <w:t>., Bastian, C.T. and Lacy, M.G.</w:t>
      </w:r>
      <w:r w:rsidRPr="00A46132">
        <w:rPr>
          <w:sz w:val="22"/>
          <w:szCs w:val="22"/>
          <w:shd w:val="clear" w:color="auto" w:fill="FFFFFF"/>
        </w:rPr>
        <w:t xml:space="preserve"> </w:t>
      </w:r>
      <w:r w:rsidR="00CA013D">
        <w:rPr>
          <w:sz w:val="22"/>
          <w:szCs w:val="22"/>
          <w:shd w:val="clear" w:color="auto" w:fill="FFFFFF"/>
        </w:rPr>
        <w:t>(</w:t>
      </w:r>
      <w:r w:rsidRPr="00A46132">
        <w:rPr>
          <w:sz w:val="22"/>
          <w:szCs w:val="22"/>
          <w:shd w:val="clear" w:color="auto" w:fill="FFFFFF"/>
        </w:rPr>
        <w:t>2011</w:t>
      </w:r>
      <w:r w:rsidR="00CA013D">
        <w:rPr>
          <w:sz w:val="22"/>
          <w:szCs w:val="22"/>
          <w:shd w:val="clear" w:color="auto" w:fill="FFFFFF"/>
        </w:rPr>
        <w:t>)</w:t>
      </w:r>
      <w:r w:rsidRPr="00A46132">
        <w:rPr>
          <w:sz w:val="22"/>
          <w:szCs w:val="22"/>
          <w:shd w:val="clear" w:color="auto" w:fill="FFFFFF"/>
        </w:rPr>
        <w:t>. Using mixed methods research in environmental economics: the case of conservation easements.</w:t>
      </w:r>
      <w:r w:rsidRPr="00A46132">
        <w:rPr>
          <w:rStyle w:val="apple-converted-space"/>
          <w:sz w:val="22"/>
          <w:szCs w:val="22"/>
          <w:shd w:val="clear" w:color="auto" w:fill="FFFFFF"/>
        </w:rPr>
        <w:t> </w:t>
      </w:r>
      <w:r w:rsidRPr="00A46132">
        <w:rPr>
          <w:i/>
          <w:iCs/>
          <w:sz w:val="22"/>
          <w:szCs w:val="22"/>
          <w:shd w:val="clear" w:color="auto" w:fill="FFFFFF"/>
        </w:rPr>
        <w:t>International Journal of Mixed Methods in Applied Business and Policy Research</w:t>
      </w:r>
      <w:r w:rsidRPr="00A46132">
        <w:rPr>
          <w:sz w:val="22"/>
          <w:szCs w:val="22"/>
          <w:shd w:val="clear" w:color="auto" w:fill="FFFFFF"/>
        </w:rPr>
        <w:t>,</w:t>
      </w:r>
      <w:r w:rsidRPr="00A46132">
        <w:rPr>
          <w:rStyle w:val="apple-converted-space"/>
          <w:sz w:val="22"/>
          <w:szCs w:val="22"/>
          <w:shd w:val="clear" w:color="auto" w:fill="FFFFFF"/>
        </w:rPr>
        <w:t> </w:t>
      </w:r>
      <w:r w:rsidRPr="00A46132">
        <w:rPr>
          <w:iCs/>
          <w:sz w:val="22"/>
          <w:szCs w:val="22"/>
          <w:shd w:val="clear" w:color="auto" w:fill="FFFFFF"/>
        </w:rPr>
        <w:t>1</w:t>
      </w:r>
      <w:r w:rsidRPr="00A46132">
        <w:rPr>
          <w:sz w:val="22"/>
          <w:szCs w:val="22"/>
          <w:shd w:val="clear" w:color="auto" w:fill="FFFFFF"/>
        </w:rPr>
        <w:t>(1)</w:t>
      </w:r>
      <w:r w:rsidR="00CA013D">
        <w:rPr>
          <w:sz w:val="22"/>
          <w:szCs w:val="22"/>
          <w:shd w:val="clear" w:color="auto" w:fill="FFFFFF"/>
        </w:rPr>
        <w:t xml:space="preserve">: </w:t>
      </w:r>
      <w:r w:rsidRPr="00A46132">
        <w:rPr>
          <w:sz w:val="22"/>
          <w:szCs w:val="22"/>
          <w:shd w:val="clear" w:color="auto" w:fill="FFFFFF"/>
        </w:rPr>
        <w:t>16-28.</w:t>
      </w:r>
    </w:p>
    <w:p w14:paraId="4F1BEE99" w14:textId="2421FD4C" w:rsidR="00B54A12" w:rsidRPr="001E3755" w:rsidRDefault="00B54A12" w:rsidP="005043B9">
      <w:pPr>
        <w:autoSpaceDE w:val="0"/>
        <w:autoSpaceDN w:val="0"/>
        <w:adjustRightInd w:val="0"/>
        <w:ind w:left="284" w:hanging="284"/>
        <w:rPr>
          <w:rFonts w:asciiTheme="majorBidi" w:hAnsiTheme="majorBidi" w:cstheme="majorBidi"/>
          <w:sz w:val="22"/>
          <w:szCs w:val="22"/>
          <w:shd w:val="clear" w:color="auto" w:fill="FFFFFF"/>
        </w:rPr>
      </w:pPr>
      <w:r w:rsidRPr="001E3755">
        <w:rPr>
          <w:rFonts w:asciiTheme="majorBidi" w:hAnsiTheme="majorBidi" w:cstheme="majorBidi"/>
          <w:sz w:val="22"/>
          <w:szCs w:val="22"/>
          <w:shd w:val="clear" w:color="auto" w:fill="FFFFFF"/>
        </w:rPr>
        <w:t>Kidd, P.S.</w:t>
      </w:r>
      <w:r w:rsidR="005043B9"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 xml:space="preserve"> and Parshall, M.B. </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2000</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 Getting the focus and the group: enhancing analytical rigor in focus group research.</w:t>
      </w:r>
      <w:r w:rsidR="005043B9" w:rsidRPr="001E3755">
        <w:rPr>
          <w:rStyle w:val="apple-converted-space"/>
          <w:rFonts w:asciiTheme="majorBidi" w:hAnsiTheme="majorBidi" w:cstheme="majorBidi"/>
          <w:sz w:val="22"/>
          <w:szCs w:val="22"/>
          <w:shd w:val="clear" w:color="auto" w:fill="FFFFFF"/>
        </w:rPr>
        <w:t xml:space="preserve"> </w:t>
      </w:r>
      <w:r w:rsidRPr="001E3755">
        <w:rPr>
          <w:rFonts w:asciiTheme="majorBidi" w:hAnsiTheme="majorBidi" w:cstheme="majorBidi"/>
          <w:i/>
          <w:iCs/>
          <w:sz w:val="22"/>
          <w:szCs w:val="22"/>
          <w:shd w:val="clear" w:color="auto" w:fill="FFFFFF"/>
        </w:rPr>
        <w:t>Qualitative health research</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sz w:val="22"/>
          <w:szCs w:val="22"/>
          <w:shd w:val="clear" w:color="auto" w:fill="FFFFFF"/>
        </w:rPr>
        <w:t>10(3)</w:t>
      </w:r>
      <w:r w:rsidR="00A40B66"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293-308.</w:t>
      </w:r>
    </w:p>
    <w:p w14:paraId="6FCD75EE" w14:textId="77777777" w:rsidR="00A40B66" w:rsidRPr="001E3755" w:rsidRDefault="00A40B66" w:rsidP="005043B9">
      <w:pPr>
        <w:autoSpaceDE w:val="0"/>
        <w:autoSpaceDN w:val="0"/>
        <w:adjustRightInd w:val="0"/>
        <w:ind w:left="284" w:hanging="284"/>
        <w:rPr>
          <w:rFonts w:asciiTheme="majorBidi" w:hAnsiTheme="majorBidi" w:cstheme="majorBidi"/>
          <w:sz w:val="22"/>
          <w:szCs w:val="22"/>
          <w:lang w:eastAsia="nl-NL"/>
        </w:rPr>
      </w:pPr>
      <w:proofErr w:type="spellStart"/>
      <w:r w:rsidRPr="001E3755">
        <w:rPr>
          <w:rFonts w:asciiTheme="majorBidi" w:hAnsiTheme="majorBidi" w:cstheme="majorBidi"/>
          <w:sz w:val="22"/>
          <w:szCs w:val="22"/>
          <w:lang w:eastAsia="nl-NL"/>
        </w:rPr>
        <w:t>Köhlin</w:t>
      </w:r>
      <w:proofErr w:type="spellEnd"/>
      <w:r w:rsidRPr="001E3755">
        <w:rPr>
          <w:rFonts w:asciiTheme="majorBidi" w:hAnsiTheme="majorBidi" w:cstheme="majorBidi"/>
          <w:sz w:val="22"/>
          <w:szCs w:val="22"/>
          <w:lang w:eastAsia="nl-NL"/>
        </w:rPr>
        <w:t xml:space="preserve">, G. (2001). Contingent valuation in project planning and evaluation: the case of social forestry in Orissa, India, </w:t>
      </w:r>
      <w:r w:rsidRPr="001E3755">
        <w:rPr>
          <w:rFonts w:asciiTheme="majorBidi" w:hAnsiTheme="majorBidi" w:cstheme="majorBidi"/>
          <w:i/>
          <w:sz w:val="22"/>
          <w:szCs w:val="22"/>
          <w:lang w:eastAsia="nl-NL"/>
        </w:rPr>
        <w:t>Environment and Development Economics</w:t>
      </w:r>
      <w:r w:rsidRPr="001E3755">
        <w:rPr>
          <w:rFonts w:asciiTheme="majorBidi" w:hAnsiTheme="majorBidi" w:cstheme="majorBidi"/>
          <w:sz w:val="22"/>
          <w:szCs w:val="22"/>
          <w:lang w:eastAsia="nl-NL"/>
        </w:rPr>
        <w:t xml:space="preserve"> 6: 237-258.</w:t>
      </w:r>
    </w:p>
    <w:p w14:paraId="2D02DB66" w14:textId="77777777" w:rsidR="00A40B66" w:rsidRPr="001E3755" w:rsidRDefault="00A40B66" w:rsidP="005043B9">
      <w:pPr>
        <w:autoSpaceDE w:val="0"/>
        <w:autoSpaceDN w:val="0"/>
        <w:adjustRightInd w:val="0"/>
        <w:ind w:left="284" w:hanging="284"/>
        <w:rPr>
          <w:rFonts w:asciiTheme="majorBidi" w:hAnsiTheme="majorBidi" w:cstheme="majorBidi"/>
          <w:sz w:val="22"/>
          <w:szCs w:val="22"/>
          <w:lang w:eastAsia="nl-NL"/>
        </w:rPr>
      </w:pPr>
      <w:r w:rsidRPr="001E3755">
        <w:rPr>
          <w:rFonts w:asciiTheme="majorBidi" w:hAnsiTheme="majorBidi" w:cstheme="majorBidi"/>
          <w:sz w:val="22"/>
          <w:szCs w:val="22"/>
          <w:lang w:eastAsia="nl-NL"/>
        </w:rPr>
        <w:t xml:space="preserve">Lancaster, K.J. (1966). New approach to consumer theory, </w:t>
      </w:r>
      <w:r w:rsidRPr="001E3755">
        <w:rPr>
          <w:rFonts w:asciiTheme="majorBidi" w:hAnsiTheme="majorBidi" w:cstheme="majorBidi"/>
          <w:i/>
          <w:sz w:val="22"/>
          <w:szCs w:val="22"/>
          <w:lang w:eastAsia="nl-NL"/>
        </w:rPr>
        <w:t>Journal of Political Economy</w:t>
      </w:r>
      <w:r w:rsidRPr="001E3755">
        <w:rPr>
          <w:rFonts w:asciiTheme="majorBidi" w:hAnsiTheme="majorBidi" w:cstheme="majorBidi"/>
          <w:sz w:val="22"/>
          <w:szCs w:val="22"/>
          <w:lang w:eastAsia="nl-NL"/>
        </w:rPr>
        <w:t xml:space="preserve"> 74: 132-157.</w:t>
      </w:r>
    </w:p>
    <w:p w14:paraId="3B55015F" w14:textId="66C44E42" w:rsidR="000F22FD" w:rsidRPr="001E3755" w:rsidRDefault="00615904" w:rsidP="000F22FD">
      <w:pPr>
        <w:autoSpaceDE w:val="0"/>
        <w:autoSpaceDN w:val="0"/>
        <w:adjustRightInd w:val="0"/>
        <w:ind w:left="284" w:hanging="284"/>
        <w:rPr>
          <w:rFonts w:asciiTheme="majorBidi" w:hAnsiTheme="majorBidi" w:cstheme="majorBidi"/>
          <w:sz w:val="22"/>
          <w:szCs w:val="22"/>
          <w:lang w:eastAsia="nl-NL"/>
        </w:rPr>
      </w:pPr>
      <w:r w:rsidRPr="001E3755">
        <w:rPr>
          <w:rFonts w:asciiTheme="majorBidi" w:hAnsiTheme="majorBidi" w:cstheme="majorBidi"/>
          <w:sz w:val="22"/>
          <w:szCs w:val="22"/>
          <w:shd w:val="clear" w:color="auto" w:fill="FFFFFF"/>
        </w:rPr>
        <w:lastRenderedPageBreak/>
        <w:t>Law, E.A., Bryan, B.</w:t>
      </w:r>
      <w:r w:rsidR="000F22FD" w:rsidRPr="001E3755">
        <w:rPr>
          <w:rFonts w:asciiTheme="majorBidi" w:hAnsiTheme="majorBidi" w:cstheme="majorBidi"/>
          <w:sz w:val="22"/>
          <w:szCs w:val="22"/>
          <w:shd w:val="clear" w:color="auto" w:fill="FFFFFF"/>
        </w:rPr>
        <w:t xml:space="preserve">A., </w:t>
      </w:r>
      <w:proofErr w:type="spellStart"/>
      <w:r w:rsidR="000F22FD" w:rsidRPr="001E3755">
        <w:rPr>
          <w:rFonts w:asciiTheme="majorBidi" w:hAnsiTheme="majorBidi" w:cstheme="majorBidi"/>
          <w:sz w:val="22"/>
          <w:szCs w:val="22"/>
          <w:shd w:val="clear" w:color="auto" w:fill="FFFFFF"/>
        </w:rPr>
        <w:t>Meijaard</w:t>
      </w:r>
      <w:proofErr w:type="spellEnd"/>
      <w:r w:rsidR="000F22FD" w:rsidRPr="001E3755">
        <w:rPr>
          <w:rFonts w:asciiTheme="majorBidi" w:hAnsiTheme="majorBidi" w:cstheme="majorBidi"/>
          <w:sz w:val="22"/>
          <w:szCs w:val="22"/>
          <w:shd w:val="clear" w:color="auto" w:fill="FFFFFF"/>
        </w:rPr>
        <w:t xml:space="preserve">, E., </w:t>
      </w:r>
      <w:proofErr w:type="spellStart"/>
      <w:r w:rsidR="000F22FD" w:rsidRPr="001E3755">
        <w:rPr>
          <w:rFonts w:asciiTheme="majorBidi" w:hAnsiTheme="majorBidi" w:cstheme="majorBidi"/>
          <w:sz w:val="22"/>
          <w:szCs w:val="22"/>
          <w:shd w:val="clear" w:color="auto" w:fill="FFFFFF"/>
        </w:rPr>
        <w:t>Mallawaarachchi</w:t>
      </w:r>
      <w:proofErr w:type="spellEnd"/>
      <w:r w:rsidR="000F22FD" w:rsidRPr="001E3755">
        <w:rPr>
          <w:rFonts w:asciiTheme="majorBidi" w:hAnsiTheme="majorBidi" w:cstheme="majorBidi"/>
          <w:sz w:val="22"/>
          <w:szCs w:val="22"/>
          <w:shd w:val="clear" w:color="auto" w:fill="FFFFFF"/>
        </w:rPr>
        <w:t xml:space="preserve">, T., </w:t>
      </w:r>
      <w:proofErr w:type="spellStart"/>
      <w:r w:rsidR="000F22FD" w:rsidRPr="001E3755">
        <w:rPr>
          <w:rFonts w:asciiTheme="majorBidi" w:hAnsiTheme="majorBidi" w:cstheme="majorBidi"/>
          <w:sz w:val="22"/>
          <w:szCs w:val="22"/>
          <w:shd w:val="clear" w:color="auto" w:fill="FFFFFF"/>
        </w:rPr>
        <w:t>Struebig</w:t>
      </w:r>
      <w:proofErr w:type="spellEnd"/>
      <w:r w:rsidR="000F22FD" w:rsidRPr="001E3755">
        <w:rPr>
          <w:rFonts w:asciiTheme="majorBidi" w:hAnsiTheme="majorBidi" w:cstheme="majorBidi"/>
          <w:sz w:val="22"/>
          <w:szCs w:val="22"/>
          <w:shd w:val="clear" w:color="auto" w:fill="FFFFFF"/>
        </w:rPr>
        <w:t>, M., and</w:t>
      </w:r>
      <w:r w:rsidRPr="001E3755">
        <w:rPr>
          <w:rFonts w:asciiTheme="majorBidi" w:hAnsiTheme="majorBidi" w:cstheme="majorBidi"/>
          <w:sz w:val="22"/>
          <w:szCs w:val="22"/>
          <w:shd w:val="clear" w:color="auto" w:fill="FFFFFF"/>
        </w:rPr>
        <w:t xml:space="preserve"> Wilson, K.</w:t>
      </w:r>
      <w:r w:rsidR="000F22FD" w:rsidRPr="001E3755">
        <w:rPr>
          <w:rFonts w:asciiTheme="majorBidi" w:hAnsiTheme="majorBidi" w:cstheme="majorBidi"/>
          <w:sz w:val="22"/>
          <w:szCs w:val="22"/>
          <w:shd w:val="clear" w:color="auto" w:fill="FFFFFF"/>
        </w:rPr>
        <w:t xml:space="preserve">A. (2015). Ecosystem services from a degraded peatland of Central Kalimantan: implications for policy, planning, and management. </w:t>
      </w:r>
      <w:r w:rsidR="000F22FD" w:rsidRPr="001E3755">
        <w:rPr>
          <w:rFonts w:asciiTheme="majorBidi" w:hAnsiTheme="majorBidi" w:cstheme="majorBidi"/>
          <w:i/>
          <w:iCs/>
          <w:sz w:val="22"/>
          <w:szCs w:val="22"/>
          <w:shd w:val="clear" w:color="auto" w:fill="FFFFFF"/>
        </w:rPr>
        <w:t>Ecological Applications</w:t>
      </w:r>
      <w:r w:rsidR="000F22FD" w:rsidRPr="001E3755">
        <w:rPr>
          <w:rStyle w:val="apple-converted-space"/>
          <w:rFonts w:asciiTheme="majorBidi" w:hAnsiTheme="majorBidi" w:cstheme="majorBidi"/>
          <w:sz w:val="22"/>
          <w:szCs w:val="22"/>
          <w:shd w:val="clear" w:color="auto" w:fill="FFFFFF"/>
        </w:rPr>
        <w:t> </w:t>
      </w:r>
      <w:r w:rsidR="000F22FD" w:rsidRPr="001E3755">
        <w:rPr>
          <w:rFonts w:asciiTheme="majorBidi" w:hAnsiTheme="majorBidi" w:cstheme="majorBidi"/>
          <w:sz w:val="22"/>
          <w:szCs w:val="22"/>
          <w:shd w:val="clear" w:color="auto" w:fill="FFFFFF"/>
        </w:rPr>
        <w:t>25(1): 70-87.</w:t>
      </w:r>
    </w:p>
    <w:p w14:paraId="58EA5D2B" w14:textId="6C588CE9" w:rsidR="00EE4E86" w:rsidRPr="001E3755" w:rsidRDefault="00EE4E86" w:rsidP="005043B9">
      <w:pPr>
        <w:autoSpaceDE w:val="0"/>
        <w:autoSpaceDN w:val="0"/>
        <w:adjustRightInd w:val="0"/>
        <w:ind w:left="284" w:hanging="284"/>
        <w:rPr>
          <w:rFonts w:asciiTheme="majorBidi" w:hAnsiTheme="majorBidi" w:cstheme="majorBidi"/>
          <w:sz w:val="22"/>
          <w:szCs w:val="22"/>
          <w:shd w:val="clear" w:color="auto" w:fill="FFFFFF"/>
        </w:rPr>
      </w:pPr>
      <w:proofErr w:type="spellStart"/>
      <w:r w:rsidRPr="001E3755">
        <w:rPr>
          <w:rFonts w:asciiTheme="majorBidi" w:hAnsiTheme="majorBidi" w:cstheme="majorBidi"/>
          <w:sz w:val="22"/>
          <w:szCs w:val="22"/>
          <w:shd w:val="clear" w:color="auto" w:fill="FFFFFF"/>
        </w:rPr>
        <w:t>Lienhoop</w:t>
      </w:r>
      <w:proofErr w:type="spellEnd"/>
      <w:r w:rsidRPr="001E3755">
        <w:rPr>
          <w:rFonts w:asciiTheme="majorBidi" w:hAnsiTheme="majorBidi" w:cstheme="majorBidi"/>
          <w:sz w:val="22"/>
          <w:szCs w:val="22"/>
          <w:shd w:val="clear" w:color="auto" w:fill="FFFFFF"/>
        </w:rPr>
        <w:t xml:space="preserve">, N., </w:t>
      </w:r>
      <w:proofErr w:type="spellStart"/>
      <w:r w:rsidRPr="001E3755">
        <w:rPr>
          <w:rFonts w:asciiTheme="majorBidi" w:hAnsiTheme="majorBidi" w:cstheme="majorBidi"/>
          <w:sz w:val="22"/>
          <w:szCs w:val="22"/>
          <w:shd w:val="clear" w:color="auto" w:fill="FFFFFF"/>
        </w:rPr>
        <w:t>Bar</w:t>
      </w:r>
      <w:r w:rsidR="00A40B66" w:rsidRPr="001E3755">
        <w:rPr>
          <w:rFonts w:asciiTheme="majorBidi" w:hAnsiTheme="majorBidi" w:cstheme="majorBidi"/>
          <w:sz w:val="22"/>
          <w:szCs w:val="22"/>
          <w:shd w:val="clear" w:color="auto" w:fill="FFFFFF"/>
        </w:rPr>
        <w:t>tkowski</w:t>
      </w:r>
      <w:proofErr w:type="spellEnd"/>
      <w:r w:rsidR="00A40B66" w:rsidRPr="001E3755">
        <w:rPr>
          <w:rFonts w:asciiTheme="majorBidi" w:hAnsiTheme="majorBidi" w:cstheme="majorBidi"/>
          <w:sz w:val="22"/>
          <w:szCs w:val="22"/>
          <w:shd w:val="clear" w:color="auto" w:fill="FFFFFF"/>
        </w:rPr>
        <w:t>, B.</w:t>
      </w:r>
      <w:r w:rsidR="005043B9" w:rsidRPr="001E3755">
        <w:rPr>
          <w:rFonts w:asciiTheme="majorBidi" w:hAnsiTheme="majorBidi" w:cstheme="majorBidi"/>
          <w:sz w:val="22"/>
          <w:szCs w:val="22"/>
          <w:shd w:val="clear" w:color="auto" w:fill="FFFFFF"/>
        </w:rPr>
        <w:t>,</w:t>
      </w:r>
      <w:r w:rsidR="00A40B66" w:rsidRPr="001E3755">
        <w:rPr>
          <w:rFonts w:asciiTheme="majorBidi" w:hAnsiTheme="majorBidi" w:cstheme="majorBidi"/>
          <w:sz w:val="22"/>
          <w:szCs w:val="22"/>
          <w:shd w:val="clear" w:color="auto" w:fill="FFFFFF"/>
        </w:rPr>
        <w:t xml:space="preserve"> and </w:t>
      </w:r>
      <w:proofErr w:type="spellStart"/>
      <w:r w:rsidR="00A40B66" w:rsidRPr="001E3755">
        <w:rPr>
          <w:rFonts w:asciiTheme="majorBidi" w:hAnsiTheme="majorBidi" w:cstheme="majorBidi"/>
          <w:sz w:val="22"/>
          <w:szCs w:val="22"/>
          <w:shd w:val="clear" w:color="auto" w:fill="FFFFFF"/>
        </w:rPr>
        <w:t>Hansjürgens</w:t>
      </w:r>
      <w:proofErr w:type="spellEnd"/>
      <w:r w:rsidR="00A40B66" w:rsidRPr="001E3755">
        <w:rPr>
          <w:rFonts w:asciiTheme="majorBidi" w:hAnsiTheme="majorBidi" w:cstheme="majorBidi"/>
          <w:sz w:val="22"/>
          <w:szCs w:val="22"/>
          <w:shd w:val="clear" w:color="auto" w:fill="FFFFFF"/>
        </w:rPr>
        <w:t>, B.</w:t>
      </w:r>
      <w:r w:rsidRPr="001E3755">
        <w:rPr>
          <w:rFonts w:asciiTheme="majorBidi" w:hAnsiTheme="majorBidi" w:cstheme="majorBidi"/>
          <w:sz w:val="22"/>
          <w:szCs w:val="22"/>
          <w:shd w:val="clear" w:color="auto" w:fill="FFFFFF"/>
        </w:rPr>
        <w:t xml:space="preserve"> </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2015</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 Informing biodiversity policy: the role of economic valuation, deliberative institutions and deliberative monetary valuation.</w:t>
      </w:r>
      <w:r w:rsidR="005043B9" w:rsidRPr="001E3755">
        <w:rPr>
          <w:rStyle w:val="apple-converted-space"/>
          <w:rFonts w:asciiTheme="majorBidi" w:hAnsiTheme="majorBidi" w:cstheme="majorBidi"/>
          <w:sz w:val="22"/>
          <w:szCs w:val="22"/>
          <w:shd w:val="clear" w:color="auto" w:fill="FFFFFF"/>
        </w:rPr>
        <w:t xml:space="preserve"> </w:t>
      </w:r>
      <w:r w:rsidRPr="001E3755">
        <w:rPr>
          <w:rFonts w:asciiTheme="majorBidi" w:hAnsiTheme="majorBidi" w:cstheme="majorBidi"/>
          <w:i/>
          <w:iCs/>
          <w:sz w:val="22"/>
          <w:szCs w:val="22"/>
          <w:shd w:val="clear" w:color="auto" w:fill="FFFFFF"/>
        </w:rPr>
        <w:t>Environmental Science &amp; Policy</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sz w:val="22"/>
          <w:szCs w:val="22"/>
          <w:shd w:val="clear" w:color="auto" w:fill="FFFFFF"/>
        </w:rPr>
        <w:t>54</w:t>
      </w:r>
      <w:r w:rsidR="00A40B66"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522-532.</w:t>
      </w:r>
    </w:p>
    <w:p w14:paraId="4C7A3F55" w14:textId="7CB7AA10" w:rsidR="00B54A12" w:rsidRPr="001E3755" w:rsidRDefault="00A40B66" w:rsidP="005043B9">
      <w:pPr>
        <w:autoSpaceDE w:val="0"/>
        <w:autoSpaceDN w:val="0"/>
        <w:adjustRightInd w:val="0"/>
        <w:ind w:left="284" w:hanging="284"/>
        <w:rPr>
          <w:rFonts w:asciiTheme="majorBidi" w:hAnsiTheme="majorBidi" w:cstheme="majorBidi"/>
          <w:sz w:val="22"/>
          <w:szCs w:val="22"/>
          <w:shd w:val="clear" w:color="auto" w:fill="FFFFFF"/>
        </w:rPr>
      </w:pPr>
      <w:r w:rsidRPr="001E3755">
        <w:rPr>
          <w:rFonts w:asciiTheme="majorBidi" w:hAnsiTheme="majorBidi" w:cstheme="majorBidi"/>
          <w:sz w:val="22"/>
          <w:szCs w:val="22"/>
          <w:shd w:val="clear" w:color="auto" w:fill="FFFFFF"/>
        </w:rPr>
        <w:t>Loomis, J.</w:t>
      </w:r>
      <w:r w:rsidR="00B54A12"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w:t>
      </w:r>
      <w:r w:rsidR="00B54A12" w:rsidRPr="001E3755">
        <w:rPr>
          <w:rFonts w:asciiTheme="majorBidi" w:hAnsiTheme="majorBidi" w:cstheme="majorBidi"/>
          <w:sz w:val="22"/>
          <w:szCs w:val="22"/>
          <w:shd w:val="clear" w:color="auto" w:fill="FFFFFF"/>
        </w:rPr>
        <w:t>2011</w:t>
      </w:r>
      <w:r w:rsidRPr="001E3755">
        <w:rPr>
          <w:rFonts w:asciiTheme="majorBidi" w:hAnsiTheme="majorBidi" w:cstheme="majorBidi"/>
          <w:sz w:val="22"/>
          <w:szCs w:val="22"/>
          <w:shd w:val="clear" w:color="auto" w:fill="FFFFFF"/>
        </w:rPr>
        <w:t>)</w:t>
      </w:r>
      <w:r w:rsidR="00B54A12" w:rsidRPr="001E3755">
        <w:rPr>
          <w:rFonts w:asciiTheme="majorBidi" w:hAnsiTheme="majorBidi" w:cstheme="majorBidi"/>
          <w:sz w:val="22"/>
          <w:szCs w:val="22"/>
          <w:shd w:val="clear" w:color="auto" w:fill="FFFFFF"/>
        </w:rPr>
        <w:t xml:space="preserve">. What's to know about hypothetical bias in stated preference valuation </w:t>
      </w:r>
      <w:proofErr w:type="gramStart"/>
      <w:r w:rsidR="00B54A12" w:rsidRPr="001E3755">
        <w:rPr>
          <w:rFonts w:asciiTheme="majorBidi" w:hAnsiTheme="majorBidi" w:cstheme="majorBidi"/>
          <w:sz w:val="22"/>
          <w:szCs w:val="22"/>
          <w:shd w:val="clear" w:color="auto" w:fill="FFFFFF"/>
        </w:rPr>
        <w:t>studies?.</w:t>
      </w:r>
      <w:proofErr w:type="gramEnd"/>
      <w:r w:rsidR="005043B9" w:rsidRPr="001E3755">
        <w:rPr>
          <w:rFonts w:asciiTheme="majorBidi" w:hAnsiTheme="majorBidi" w:cstheme="majorBidi"/>
          <w:sz w:val="22"/>
          <w:szCs w:val="22"/>
          <w:shd w:val="clear" w:color="auto" w:fill="FFFFFF"/>
        </w:rPr>
        <w:t xml:space="preserve"> </w:t>
      </w:r>
      <w:r w:rsidR="00B54A12" w:rsidRPr="001E3755">
        <w:rPr>
          <w:rFonts w:asciiTheme="majorBidi" w:hAnsiTheme="majorBidi" w:cstheme="majorBidi"/>
          <w:i/>
          <w:iCs/>
          <w:sz w:val="22"/>
          <w:szCs w:val="22"/>
          <w:shd w:val="clear" w:color="auto" w:fill="FFFFFF"/>
        </w:rPr>
        <w:t>Journal of Economic Surveys</w:t>
      </w:r>
      <w:r w:rsidR="00B54A12" w:rsidRPr="001E3755">
        <w:rPr>
          <w:rStyle w:val="apple-converted-space"/>
          <w:rFonts w:asciiTheme="majorBidi" w:hAnsiTheme="majorBidi" w:cstheme="majorBidi"/>
          <w:sz w:val="22"/>
          <w:szCs w:val="22"/>
          <w:shd w:val="clear" w:color="auto" w:fill="FFFFFF"/>
        </w:rPr>
        <w:t> </w:t>
      </w:r>
      <w:r w:rsidR="00B54A12" w:rsidRPr="001E3755">
        <w:rPr>
          <w:rFonts w:asciiTheme="majorBidi" w:hAnsiTheme="majorBidi" w:cstheme="majorBidi"/>
          <w:sz w:val="22"/>
          <w:szCs w:val="22"/>
          <w:shd w:val="clear" w:color="auto" w:fill="FFFFFF"/>
        </w:rPr>
        <w:t>25(2)</w:t>
      </w:r>
      <w:r w:rsidRPr="001E3755">
        <w:rPr>
          <w:rFonts w:asciiTheme="majorBidi" w:hAnsiTheme="majorBidi" w:cstheme="majorBidi"/>
          <w:sz w:val="22"/>
          <w:szCs w:val="22"/>
          <w:shd w:val="clear" w:color="auto" w:fill="FFFFFF"/>
        </w:rPr>
        <w:t xml:space="preserve">: </w:t>
      </w:r>
      <w:r w:rsidR="00B54A12" w:rsidRPr="001E3755">
        <w:rPr>
          <w:rFonts w:asciiTheme="majorBidi" w:hAnsiTheme="majorBidi" w:cstheme="majorBidi"/>
          <w:sz w:val="22"/>
          <w:szCs w:val="22"/>
          <w:shd w:val="clear" w:color="auto" w:fill="FFFFFF"/>
        </w:rPr>
        <w:t>363-370.</w:t>
      </w:r>
    </w:p>
    <w:p w14:paraId="5E8B2D03" w14:textId="4FB4F5DA" w:rsidR="00B54A12" w:rsidRPr="001E3755" w:rsidRDefault="00B54A12" w:rsidP="005043B9">
      <w:pPr>
        <w:autoSpaceDE w:val="0"/>
        <w:autoSpaceDN w:val="0"/>
        <w:adjustRightInd w:val="0"/>
        <w:ind w:left="284" w:hanging="284"/>
        <w:rPr>
          <w:rFonts w:asciiTheme="majorBidi" w:hAnsiTheme="majorBidi" w:cstheme="majorBidi"/>
          <w:sz w:val="22"/>
          <w:szCs w:val="22"/>
          <w:shd w:val="clear" w:color="auto" w:fill="FFFFFF"/>
        </w:rPr>
      </w:pPr>
      <w:r w:rsidRPr="001E3755">
        <w:rPr>
          <w:rFonts w:asciiTheme="majorBidi" w:hAnsiTheme="majorBidi" w:cstheme="majorBidi"/>
          <w:sz w:val="22"/>
          <w:szCs w:val="22"/>
          <w:shd w:val="clear" w:color="auto" w:fill="FFFFFF"/>
        </w:rPr>
        <w:t>Mangham, L.J., Hanson, K.</w:t>
      </w:r>
      <w:r w:rsidR="005043B9"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 xml:space="preserve"> and </w:t>
      </w:r>
      <w:proofErr w:type="spellStart"/>
      <w:r w:rsidRPr="001E3755">
        <w:rPr>
          <w:rFonts w:asciiTheme="majorBidi" w:hAnsiTheme="majorBidi" w:cstheme="majorBidi"/>
          <w:sz w:val="22"/>
          <w:szCs w:val="22"/>
          <w:shd w:val="clear" w:color="auto" w:fill="FFFFFF"/>
        </w:rPr>
        <w:t>McPake</w:t>
      </w:r>
      <w:proofErr w:type="spellEnd"/>
      <w:r w:rsidRPr="001E3755">
        <w:rPr>
          <w:rFonts w:asciiTheme="majorBidi" w:hAnsiTheme="majorBidi" w:cstheme="majorBidi"/>
          <w:sz w:val="22"/>
          <w:szCs w:val="22"/>
          <w:shd w:val="clear" w:color="auto" w:fill="FFFFFF"/>
        </w:rPr>
        <w:t xml:space="preserve">, B. </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2009</w:t>
      </w:r>
      <w:r w:rsidR="00A40B66" w:rsidRPr="001E3755">
        <w:rPr>
          <w:rFonts w:asciiTheme="majorBidi" w:hAnsiTheme="majorBidi" w:cstheme="majorBidi"/>
          <w:sz w:val="22"/>
          <w:szCs w:val="22"/>
          <w:shd w:val="clear" w:color="auto" w:fill="FFFFFF"/>
        </w:rPr>
        <w:t>)</w:t>
      </w:r>
      <w:r w:rsidR="00067D3D" w:rsidRPr="001E3755">
        <w:rPr>
          <w:rFonts w:asciiTheme="majorBidi" w:hAnsiTheme="majorBidi" w:cstheme="majorBidi"/>
          <w:sz w:val="22"/>
          <w:szCs w:val="22"/>
          <w:shd w:val="clear" w:color="auto" w:fill="FFFFFF"/>
        </w:rPr>
        <w:t>. How to do (or not to do).</w:t>
      </w:r>
      <w:r w:rsidRPr="001E3755">
        <w:rPr>
          <w:rFonts w:asciiTheme="majorBidi" w:hAnsiTheme="majorBidi" w:cstheme="majorBidi"/>
          <w:sz w:val="22"/>
          <w:szCs w:val="22"/>
          <w:shd w:val="clear" w:color="auto" w:fill="FFFFFF"/>
        </w:rPr>
        <w:t xml:space="preserve"> Designing a discrete choice experiment for application in a low-income country.</w:t>
      </w:r>
      <w:r w:rsidR="005043B9" w:rsidRPr="001E3755">
        <w:rPr>
          <w:rStyle w:val="apple-converted-space"/>
          <w:rFonts w:asciiTheme="majorBidi" w:hAnsiTheme="majorBidi" w:cstheme="majorBidi"/>
          <w:sz w:val="22"/>
          <w:szCs w:val="22"/>
          <w:shd w:val="clear" w:color="auto" w:fill="FFFFFF"/>
        </w:rPr>
        <w:t xml:space="preserve"> </w:t>
      </w:r>
      <w:r w:rsidRPr="001E3755">
        <w:rPr>
          <w:rFonts w:asciiTheme="majorBidi" w:hAnsiTheme="majorBidi" w:cstheme="majorBidi"/>
          <w:i/>
          <w:iCs/>
          <w:sz w:val="22"/>
          <w:szCs w:val="22"/>
          <w:shd w:val="clear" w:color="auto" w:fill="FFFFFF"/>
        </w:rPr>
        <w:t>Health Policy and Planning</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sz w:val="22"/>
          <w:szCs w:val="22"/>
          <w:shd w:val="clear" w:color="auto" w:fill="FFFFFF"/>
        </w:rPr>
        <w:t>24(2)</w:t>
      </w:r>
      <w:r w:rsidR="00A40B66"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151-158.</w:t>
      </w:r>
    </w:p>
    <w:p w14:paraId="326A70CD" w14:textId="1CEFBC5A" w:rsidR="00043692" w:rsidRPr="001E3755" w:rsidRDefault="00043692" w:rsidP="00043692">
      <w:pPr>
        <w:autoSpaceDE w:val="0"/>
        <w:autoSpaceDN w:val="0"/>
        <w:adjustRightInd w:val="0"/>
        <w:ind w:left="284" w:hanging="284"/>
        <w:rPr>
          <w:rFonts w:asciiTheme="majorBidi" w:hAnsiTheme="majorBidi" w:cstheme="majorBidi"/>
          <w:sz w:val="22"/>
          <w:szCs w:val="22"/>
          <w:shd w:val="clear" w:color="auto" w:fill="FFFFFF"/>
        </w:rPr>
      </w:pPr>
      <w:proofErr w:type="spellStart"/>
      <w:r w:rsidRPr="001E3755">
        <w:rPr>
          <w:rFonts w:asciiTheme="majorBidi" w:hAnsiTheme="majorBidi" w:cstheme="majorBidi"/>
          <w:sz w:val="22"/>
          <w:szCs w:val="22"/>
          <w:shd w:val="clear" w:color="auto" w:fill="FFFFFF"/>
        </w:rPr>
        <w:t>Manski</w:t>
      </w:r>
      <w:proofErr w:type="spellEnd"/>
      <w:r w:rsidRPr="001E3755">
        <w:rPr>
          <w:rFonts w:asciiTheme="majorBidi" w:hAnsiTheme="majorBidi" w:cstheme="majorBidi"/>
          <w:sz w:val="22"/>
          <w:szCs w:val="22"/>
          <w:shd w:val="clear" w:color="auto" w:fill="FFFFFF"/>
        </w:rPr>
        <w:t>, C.F. (1977). The structure of random utility models.</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i/>
          <w:iCs/>
          <w:sz w:val="22"/>
          <w:szCs w:val="22"/>
          <w:shd w:val="clear" w:color="auto" w:fill="FFFFFF"/>
        </w:rPr>
        <w:t>Theory and decision</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sz w:val="22"/>
          <w:szCs w:val="22"/>
          <w:shd w:val="clear" w:color="auto" w:fill="FFFFFF"/>
        </w:rPr>
        <w:t>8(3): 229-254.</w:t>
      </w:r>
    </w:p>
    <w:p w14:paraId="03236236" w14:textId="1B842C22" w:rsidR="009C2C23" w:rsidRPr="001E3755" w:rsidRDefault="00E11E3F" w:rsidP="009C2C23">
      <w:pPr>
        <w:autoSpaceDE w:val="0"/>
        <w:autoSpaceDN w:val="0"/>
        <w:adjustRightInd w:val="0"/>
        <w:ind w:left="284" w:hanging="284"/>
        <w:rPr>
          <w:rFonts w:asciiTheme="majorBidi" w:hAnsiTheme="majorBidi" w:cstheme="majorBidi"/>
          <w:sz w:val="22"/>
          <w:szCs w:val="22"/>
          <w:shd w:val="clear" w:color="auto" w:fill="FFFFFF"/>
        </w:rPr>
      </w:pPr>
      <w:r w:rsidRPr="001E3755">
        <w:rPr>
          <w:rFonts w:asciiTheme="majorBidi" w:hAnsiTheme="majorBidi" w:cstheme="majorBidi"/>
          <w:sz w:val="22"/>
          <w:szCs w:val="22"/>
          <w:shd w:val="clear" w:color="auto" w:fill="FFFFFF"/>
        </w:rPr>
        <w:t>Naidoo, R., Malcolm, T., and</w:t>
      </w:r>
      <w:r w:rsidR="009C2C23" w:rsidRPr="001E3755">
        <w:rPr>
          <w:rFonts w:asciiTheme="majorBidi" w:hAnsiTheme="majorBidi" w:cstheme="majorBidi"/>
          <w:sz w:val="22"/>
          <w:szCs w:val="22"/>
          <w:shd w:val="clear" w:color="auto" w:fill="FFFFFF"/>
        </w:rPr>
        <w:t xml:space="preserve"> </w:t>
      </w:r>
      <w:proofErr w:type="spellStart"/>
      <w:r w:rsidR="009C2C23" w:rsidRPr="001E3755">
        <w:rPr>
          <w:rFonts w:asciiTheme="majorBidi" w:hAnsiTheme="majorBidi" w:cstheme="majorBidi"/>
          <w:sz w:val="22"/>
          <w:szCs w:val="22"/>
          <w:shd w:val="clear" w:color="auto" w:fill="FFFFFF"/>
        </w:rPr>
        <w:t>Tomasek</w:t>
      </w:r>
      <w:proofErr w:type="spellEnd"/>
      <w:r w:rsidR="009C2C23" w:rsidRPr="001E3755">
        <w:rPr>
          <w:rFonts w:asciiTheme="majorBidi" w:hAnsiTheme="majorBidi" w:cstheme="majorBidi"/>
          <w:sz w:val="22"/>
          <w:szCs w:val="22"/>
          <w:shd w:val="clear" w:color="auto" w:fill="FFFFFF"/>
        </w:rPr>
        <w:t>, A. (2009). Economic benefits of standing forests in highland areas of Borneo: Quantification and policy impacts.</w:t>
      </w:r>
      <w:r w:rsidR="009C2C23" w:rsidRPr="001E3755">
        <w:rPr>
          <w:rStyle w:val="apple-converted-space"/>
          <w:rFonts w:asciiTheme="majorBidi" w:hAnsiTheme="majorBidi" w:cstheme="majorBidi"/>
          <w:sz w:val="22"/>
          <w:szCs w:val="22"/>
          <w:shd w:val="clear" w:color="auto" w:fill="FFFFFF"/>
        </w:rPr>
        <w:t> </w:t>
      </w:r>
      <w:r w:rsidR="009C2C23" w:rsidRPr="001E3755">
        <w:rPr>
          <w:rFonts w:asciiTheme="majorBidi" w:hAnsiTheme="majorBidi" w:cstheme="majorBidi"/>
          <w:i/>
          <w:iCs/>
          <w:sz w:val="22"/>
          <w:szCs w:val="22"/>
          <w:shd w:val="clear" w:color="auto" w:fill="FFFFFF"/>
        </w:rPr>
        <w:t>Conservation Letters</w:t>
      </w:r>
      <w:r w:rsidR="009C2C23" w:rsidRPr="001E3755">
        <w:rPr>
          <w:rStyle w:val="apple-converted-space"/>
          <w:rFonts w:asciiTheme="majorBidi" w:hAnsiTheme="majorBidi" w:cstheme="majorBidi"/>
          <w:sz w:val="22"/>
          <w:szCs w:val="22"/>
          <w:shd w:val="clear" w:color="auto" w:fill="FFFFFF"/>
        </w:rPr>
        <w:t> </w:t>
      </w:r>
      <w:r w:rsidR="009C2C23" w:rsidRPr="001E3755">
        <w:rPr>
          <w:rFonts w:asciiTheme="majorBidi" w:hAnsiTheme="majorBidi" w:cstheme="majorBidi"/>
          <w:sz w:val="22"/>
          <w:szCs w:val="22"/>
          <w:shd w:val="clear" w:color="auto" w:fill="FFFFFF"/>
        </w:rPr>
        <w:t>2(1): 36-45.</w:t>
      </w:r>
    </w:p>
    <w:p w14:paraId="277F354B" w14:textId="56CFE548" w:rsidR="00A40B66" w:rsidRPr="001E3755" w:rsidRDefault="00A40B66" w:rsidP="005043B9">
      <w:pPr>
        <w:autoSpaceDE w:val="0"/>
        <w:autoSpaceDN w:val="0"/>
        <w:adjustRightInd w:val="0"/>
        <w:ind w:left="284" w:hanging="284"/>
        <w:rPr>
          <w:rFonts w:asciiTheme="majorBidi" w:hAnsiTheme="majorBidi" w:cstheme="majorBidi"/>
          <w:sz w:val="22"/>
          <w:szCs w:val="22"/>
          <w:lang w:eastAsia="nl-NL"/>
        </w:rPr>
      </w:pPr>
      <w:r w:rsidRPr="001E3755">
        <w:rPr>
          <w:rFonts w:asciiTheme="majorBidi" w:hAnsiTheme="majorBidi" w:cstheme="majorBidi"/>
          <w:sz w:val="22"/>
          <w:szCs w:val="22"/>
          <w:lang w:eastAsia="nl-NL"/>
        </w:rPr>
        <w:t>Nunes, P.A.L.D.</w:t>
      </w:r>
      <w:r w:rsidR="005043B9" w:rsidRPr="001E3755">
        <w:rPr>
          <w:rFonts w:asciiTheme="majorBidi" w:hAnsiTheme="majorBidi" w:cstheme="majorBidi"/>
          <w:sz w:val="22"/>
          <w:szCs w:val="22"/>
          <w:lang w:eastAsia="nl-NL"/>
        </w:rPr>
        <w:t>, and V</w:t>
      </w:r>
      <w:r w:rsidRPr="001E3755">
        <w:rPr>
          <w:rFonts w:asciiTheme="majorBidi" w:hAnsiTheme="majorBidi" w:cstheme="majorBidi"/>
          <w:sz w:val="22"/>
          <w:szCs w:val="22"/>
          <w:lang w:eastAsia="nl-NL"/>
        </w:rPr>
        <w:t xml:space="preserve">an den Bergh, J.C.J.M. (2001). Economic valuation of biodiversity: sense or nonsense? </w:t>
      </w:r>
      <w:r w:rsidRPr="001E3755">
        <w:rPr>
          <w:rFonts w:asciiTheme="majorBidi" w:hAnsiTheme="majorBidi" w:cstheme="majorBidi"/>
          <w:i/>
          <w:sz w:val="22"/>
          <w:szCs w:val="22"/>
          <w:lang w:eastAsia="nl-NL"/>
        </w:rPr>
        <w:t>Ecological Economics</w:t>
      </w:r>
      <w:r w:rsidRPr="001E3755">
        <w:rPr>
          <w:rFonts w:asciiTheme="majorBidi" w:hAnsiTheme="majorBidi" w:cstheme="majorBidi"/>
          <w:sz w:val="22"/>
          <w:szCs w:val="22"/>
          <w:lang w:eastAsia="nl-NL"/>
        </w:rPr>
        <w:t xml:space="preserve"> 39: 203-222.</w:t>
      </w:r>
    </w:p>
    <w:p w14:paraId="009BD4ED" w14:textId="0A5E7420" w:rsidR="00F00AF3" w:rsidRPr="001E3755" w:rsidRDefault="00F00AF3" w:rsidP="005043B9">
      <w:pPr>
        <w:autoSpaceDE w:val="0"/>
        <w:autoSpaceDN w:val="0"/>
        <w:adjustRightInd w:val="0"/>
        <w:ind w:left="284" w:hanging="284"/>
        <w:rPr>
          <w:sz w:val="22"/>
          <w:szCs w:val="22"/>
          <w:lang w:eastAsia="nl-NL"/>
        </w:rPr>
      </w:pPr>
      <w:r w:rsidRPr="001E3755">
        <w:rPr>
          <w:sz w:val="22"/>
          <w:szCs w:val="22"/>
          <w:shd w:val="clear" w:color="auto" w:fill="FFFFFF"/>
        </w:rPr>
        <w:t xml:space="preserve">Oleson, K.L., Barnes, M., Brander, L.M., Oliver, T.A., van </w:t>
      </w:r>
      <w:proofErr w:type="spellStart"/>
      <w:r w:rsidRPr="001E3755">
        <w:rPr>
          <w:sz w:val="22"/>
          <w:szCs w:val="22"/>
          <w:shd w:val="clear" w:color="auto" w:fill="FFFFFF"/>
        </w:rPr>
        <w:t>Beek</w:t>
      </w:r>
      <w:proofErr w:type="spellEnd"/>
      <w:r w:rsidRPr="001E3755">
        <w:rPr>
          <w:sz w:val="22"/>
          <w:szCs w:val="22"/>
          <w:shd w:val="clear" w:color="auto" w:fill="FFFFFF"/>
        </w:rPr>
        <w:t xml:space="preserve">, I., </w:t>
      </w:r>
      <w:proofErr w:type="spellStart"/>
      <w:r w:rsidRPr="001E3755">
        <w:rPr>
          <w:sz w:val="22"/>
          <w:szCs w:val="22"/>
          <w:shd w:val="clear" w:color="auto" w:fill="FFFFFF"/>
        </w:rPr>
        <w:t>Zafindrasilivonona</w:t>
      </w:r>
      <w:proofErr w:type="spellEnd"/>
      <w:r w:rsidRPr="001E3755">
        <w:rPr>
          <w:sz w:val="22"/>
          <w:szCs w:val="22"/>
          <w:shd w:val="clear" w:color="auto" w:fill="FFFFFF"/>
        </w:rPr>
        <w:t xml:space="preserve">, B., and van </w:t>
      </w:r>
      <w:proofErr w:type="spellStart"/>
      <w:r w:rsidRPr="001E3755">
        <w:rPr>
          <w:sz w:val="22"/>
          <w:szCs w:val="22"/>
          <w:shd w:val="clear" w:color="auto" w:fill="FFFFFF"/>
        </w:rPr>
        <w:t>Beukering</w:t>
      </w:r>
      <w:proofErr w:type="spellEnd"/>
      <w:r w:rsidRPr="001E3755">
        <w:rPr>
          <w:sz w:val="22"/>
          <w:szCs w:val="22"/>
          <w:shd w:val="clear" w:color="auto" w:fill="FFFFFF"/>
        </w:rPr>
        <w:t>, P. (2015). Cultural bequest values for ecosystem service flows among indigenous fishers: A discrete choice experiment validated with mixed methods.</w:t>
      </w:r>
      <w:r w:rsidRPr="001E3755">
        <w:rPr>
          <w:rStyle w:val="apple-converted-space"/>
          <w:sz w:val="22"/>
          <w:szCs w:val="22"/>
          <w:shd w:val="clear" w:color="auto" w:fill="FFFFFF"/>
        </w:rPr>
        <w:t xml:space="preserve"> </w:t>
      </w:r>
      <w:r w:rsidRPr="001E3755">
        <w:rPr>
          <w:i/>
          <w:iCs/>
          <w:sz w:val="22"/>
          <w:szCs w:val="22"/>
          <w:shd w:val="clear" w:color="auto" w:fill="FFFFFF"/>
        </w:rPr>
        <w:t>Ecological Economics</w:t>
      </w:r>
      <w:r w:rsidRPr="001E3755">
        <w:rPr>
          <w:rStyle w:val="apple-converted-space"/>
          <w:sz w:val="22"/>
          <w:szCs w:val="22"/>
          <w:shd w:val="clear" w:color="auto" w:fill="FFFFFF"/>
        </w:rPr>
        <w:t xml:space="preserve"> </w:t>
      </w:r>
      <w:r w:rsidRPr="001E3755">
        <w:rPr>
          <w:i/>
          <w:iCs/>
          <w:sz w:val="22"/>
          <w:szCs w:val="22"/>
          <w:shd w:val="clear" w:color="auto" w:fill="FFFFFF"/>
        </w:rPr>
        <w:t xml:space="preserve">114: </w:t>
      </w:r>
      <w:r w:rsidRPr="001E3755">
        <w:rPr>
          <w:sz w:val="22"/>
          <w:szCs w:val="22"/>
          <w:shd w:val="clear" w:color="auto" w:fill="FFFFFF"/>
        </w:rPr>
        <w:t>104-116.</w:t>
      </w:r>
    </w:p>
    <w:p w14:paraId="2369B9E1" w14:textId="0A51EC32" w:rsidR="00B54A12" w:rsidRPr="001E3755" w:rsidRDefault="00B54A12" w:rsidP="005043B9">
      <w:pPr>
        <w:autoSpaceDE w:val="0"/>
        <w:autoSpaceDN w:val="0"/>
        <w:adjustRightInd w:val="0"/>
        <w:ind w:left="284" w:hanging="284"/>
        <w:rPr>
          <w:rFonts w:asciiTheme="majorBidi" w:hAnsiTheme="majorBidi" w:cstheme="majorBidi"/>
          <w:sz w:val="22"/>
          <w:szCs w:val="22"/>
          <w:shd w:val="clear" w:color="auto" w:fill="FFFFFF"/>
        </w:rPr>
      </w:pPr>
      <w:r w:rsidRPr="001E3755">
        <w:rPr>
          <w:rFonts w:asciiTheme="majorBidi" w:hAnsiTheme="majorBidi" w:cstheme="majorBidi"/>
          <w:sz w:val="22"/>
          <w:szCs w:val="22"/>
          <w:shd w:val="clear" w:color="auto" w:fill="FFFFFF"/>
        </w:rPr>
        <w:t xml:space="preserve">Page, S., </w:t>
      </w:r>
      <w:proofErr w:type="spellStart"/>
      <w:r w:rsidRPr="001E3755">
        <w:rPr>
          <w:rFonts w:asciiTheme="majorBidi" w:hAnsiTheme="majorBidi" w:cstheme="majorBidi"/>
          <w:sz w:val="22"/>
          <w:szCs w:val="22"/>
          <w:shd w:val="clear" w:color="auto" w:fill="FFFFFF"/>
        </w:rPr>
        <w:t>Hosciło</w:t>
      </w:r>
      <w:proofErr w:type="spellEnd"/>
      <w:r w:rsidRPr="001E3755">
        <w:rPr>
          <w:rFonts w:asciiTheme="majorBidi" w:hAnsiTheme="majorBidi" w:cstheme="majorBidi"/>
          <w:sz w:val="22"/>
          <w:szCs w:val="22"/>
          <w:shd w:val="clear" w:color="auto" w:fill="FFFFFF"/>
        </w:rPr>
        <w:t xml:space="preserve">, A., </w:t>
      </w:r>
      <w:proofErr w:type="spellStart"/>
      <w:r w:rsidRPr="001E3755">
        <w:rPr>
          <w:rFonts w:asciiTheme="majorBidi" w:hAnsiTheme="majorBidi" w:cstheme="majorBidi"/>
          <w:sz w:val="22"/>
          <w:szCs w:val="22"/>
          <w:shd w:val="clear" w:color="auto" w:fill="FFFFFF"/>
        </w:rPr>
        <w:t>Wösten</w:t>
      </w:r>
      <w:proofErr w:type="spellEnd"/>
      <w:r w:rsidRPr="001E3755">
        <w:rPr>
          <w:rFonts w:asciiTheme="majorBidi" w:hAnsiTheme="majorBidi" w:cstheme="majorBidi"/>
          <w:sz w:val="22"/>
          <w:szCs w:val="22"/>
          <w:shd w:val="clear" w:color="auto" w:fill="FFFFFF"/>
        </w:rPr>
        <w:t xml:space="preserve">, H., </w:t>
      </w:r>
      <w:proofErr w:type="spellStart"/>
      <w:r w:rsidRPr="001E3755">
        <w:rPr>
          <w:rFonts w:asciiTheme="majorBidi" w:hAnsiTheme="majorBidi" w:cstheme="majorBidi"/>
          <w:sz w:val="22"/>
          <w:szCs w:val="22"/>
          <w:shd w:val="clear" w:color="auto" w:fill="FFFFFF"/>
        </w:rPr>
        <w:t>Jauhiainen</w:t>
      </w:r>
      <w:proofErr w:type="spellEnd"/>
      <w:r w:rsidRPr="001E3755">
        <w:rPr>
          <w:rFonts w:asciiTheme="majorBidi" w:hAnsiTheme="majorBidi" w:cstheme="majorBidi"/>
          <w:sz w:val="22"/>
          <w:szCs w:val="22"/>
          <w:shd w:val="clear" w:color="auto" w:fill="FFFFFF"/>
        </w:rPr>
        <w:t xml:space="preserve">, J., Silvius, M., </w:t>
      </w:r>
      <w:proofErr w:type="spellStart"/>
      <w:r w:rsidRPr="001E3755">
        <w:rPr>
          <w:rFonts w:asciiTheme="majorBidi" w:hAnsiTheme="majorBidi" w:cstheme="majorBidi"/>
          <w:sz w:val="22"/>
          <w:szCs w:val="22"/>
          <w:shd w:val="clear" w:color="auto" w:fill="FFFFFF"/>
        </w:rPr>
        <w:t>Rieley</w:t>
      </w:r>
      <w:proofErr w:type="spellEnd"/>
      <w:r w:rsidRPr="001E3755">
        <w:rPr>
          <w:rFonts w:asciiTheme="majorBidi" w:hAnsiTheme="majorBidi" w:cstheme="majorBidi"/>
          <w:sz w:val="22"/>
          <w:szCs w:val="22"/>
          <w:shd w:val="clear" w:color="auto" w:fill="FFFFFF"/>
        </w:rPr>
        <w:t xml:space="preserve">, J., </w:t>
      </w:r>
      <w:proofErr w:type="spellStart"/>
      <w:r w:rsidRPr="001E3755">
        <w:rPr>
          <w:rFonts w:asciiTheme="majorBidi" w:hAnsiTheme="majorBidi" w:cstheme="majorBidi"/>
          <w:sz w:val="22"/>
          <w:szCs w:val="22"/>
          <w:shd w:val="clear" w:color="auto" w:fill="FFFFFF"/>
        </w:rPr>
        <w:t>Ritzema</w:t>
      </w:r>
      <w:proofErr w:type="spellEnd"/>
      <w:r w:rsidRPr="001E3755">
        <w:rPr>
          <w:rFonts w:asciiTheme="majorBidi" w:hAnsiTheme="majorBidi" w:cstheme="majorBidi"/>
          <w:sz w:val="22"/>
          <w:szCs w:val="22"/>
          <w:shd w:val="clear" w:color="auto" w:fill="FFFFFF"/>
        </w:rPr>
        <w:t xml:space="preserve">, H., Tansey, K., Graham, L., </w:t>
      </w:r>
      <w:proofErr w:type="spellStart"/>
      <w:r w:rsidRPr="001E3755">
        <w:rPr>
          <w:rFonts w:asciiTheme="majorBidi" w:hAnsiTheme="majorBidi" w:cstheme="majorBidi"/>
          <w:sz w:val="22"/>
          <w:szCs w:val="22"/>
          <w:shd w:val="clear" w:color="auto" w:fill="FFFFFF"/>
        </w:rPr>
        <w:t>Vasander</w:t>
      </w:r>
      <w:proofErr w:type="spellEnd"/>
      <w:r w:rsidRPr="001E3755">
        <w:rPr>
          <w:rFonts w:asciiTheme="majorBidi" w:hAnsiTheme="majorBidi" w:cstheme="majorBidi"/>
          <w:sz w:val="22"/>
          <w:szCs w:val="22"/>
          <w:shd w:val="clear" w:color="auto" w:fill="FFFFFF"/>
        </w:rPr>
        <w:t>, H.</w:t>
      </w:r>
      <w:r w:rsidR="005043B9"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 xml:space="preserve"> and </w:t>
      </w:r>
      <w:proofErr w:type="spellStart"/>
      <w:r w:rsidRPr="001E3755">
        <w:rPr>
          <w:rFonts w:asciiTheme="majorBidi" w:hAnsiTheme="majorBidi" w:cstheme="majorBidi"/>
          <w:sz w:val="22"/>
          <w:szCs w:val="22"/>
          <w:shd w:val="clear" w:color="auto" w:fill="FFFFFF"/>
        </w:rPr>
        <w:t>Limin</w:t>
      </w:r>
      <w:proofErr w:type="spellEnd"/>
      <w:r w:rsidRPr="001E3755">
        <w:rPr>
          <w:rFonts w:asciiTheme="majorBidi" w:hAnsiTheme="majorBidi" w:cstheme="majorBidi"/>
          <w:sz w:val="22"/>
          <w:szCs w:val="22"/>
          <w:shd w:val="clear" w:color="auto" w:fill="FFFFFF"/>
        </w:rPr>
        <w:t xml:space="preserve">, S. </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2009</w:t>
      </w:r>
      <w:r w:rsidR="00A40B66"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 Restoration ecology of lowland tropical peatlands in Southeast Asia: current knowledge and future research directions.</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i/>
          <w:iCs/>
          <w:sz w:val="22"/>
          <w:szCs w:val="22"/>
          <w:shd w:val="clear" w:color="auto" w:fill="FFFFFF"/>
        </w:rPr>
        <w:t>Ecosystems</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sz w:val="22"/>
          <w:szCs w:val="22"/>
          <w:shd w:val="clear" w:color="auto" w:fill="FFFFFF"/>
        </w:rPr>
        <w:t>12(6)</w:t>
      </w:r>
      <w:r w:rsidR="00A40B66"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888-905.</w:t>
      </w:r>
    </w:p>
    <w:p w14:paraId="22B68633" w14:textId="7092B3B7" w:rsidR="00401940" w:rsidRPr="001E3755" w:rsidRDefault="00401940" w:rsidP="005043B9">
      <w:pPr>
        <w:autoSpaceDE w:val="0"/>
        <w:autoSpaceDN w:val="0"/>
        <w:adjustRightInd w:val="0"/>
        <w:ind w:left="284" w:hanging="284"/>
        <w:rPr>
          <w:rFonts w:asciiTheme="majorBidi" w:hAnsiTheme="majorBidi" w:cstheme="majorBidi"/>
          <w:sz w:val="22"/>
          <w:szCs w:val="22"/>
          <w:shd w:val="clear" w:color="auto" w:fill="FFFFFF"/>
        </w:rPr>
      </w:pPr>
      <w:proofErr w:type="spellStart"/>
      <w:r w:rsidRPr="001E3755">
        <w:rPr>
          <w:rFonts w:asciiTheme="majorBidi" w:hAnsiTheme="majorBidi" w:cstheme="majorBidi"/>
          <w:sz w:val="22"/>
          <w:szCs w:val="22"/>
          <w:shd w:val="clear" w:color="auto" w:fill="FFFFFF"/>
        </w:rPr>
        <w:t>Powe</w:t>
      </w:r>
      <w:proofErr w:type="spellEnd"/>
      <w:r w:rsidRPr="001E3755">
        <w:rPr>
          <w:rFonts w:asciiTheme="majorBidi" w:hAnsiTheme="majorBidi" w:cstheme="majorBidi"/>
          <w:sz w:val="22"/>
          <w:szCs w:val="22"/>
          <w:shd w:val="clear" w:color="auto" w:fill="FFFFFF"/>
        </w:rPr>
        <w:t>, N.A. (2007).</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i/>
          <w:iCs/>
          <w:sz w:val="22"/>
          <w:szCs w:val="22"/>
          <w:shd w:val="clear" w:color="auto" w:fill="FFFFFF"/>
        </w:rPr>
        <w:t>Redesigning environmental valuation: mixing methods within stated preference techniques</w:t>
      </w:r>
      <w:r w:rsidRPr="001E3755">
        <w:rPr>
          <w:rFonts w:asciiTheme="majorBidi" w:hAnsiTheme="majorBidi" w:cstheme="majorBidi"/>
          <w:sz w:val="22"/>
          <w:szCs w:val="22"/>
          <w:shd w:val="clear" w:color="auto" w:fill="FFFFFF"/>
        </w:rPr>
        <w:t>. Edward Elgar Publishing.</w:t>
      </w:r>
    </w:p>
    <w:p w14:paraId="5C9FC3C3" w14:textId="1C629E3F" w:rsidR="00A40B66" w:rsidRPr="001E3755" w:rsidRDefault="00A40B66" w:rsidP="005043B9">
      <w:pPr>
        <w:autoSpaceDE w:val="0"/>
        <w:autoSpaceDN w:val="0"/>
        <w:adjustRightInd w:val="0"/>
        <w:ind w:left="284" w:hanging="284"/>
        <w:rPr>
          <w:rFonts w:asciiTheme="majorBidi" w:hAnsiTheme="majorBidi" w:cstheme="majorBidi"/>
          <w:sz w:val="22"/>
          <w:szCs w:val="22"/>
          <w:lang w:eastAsia="nl-NL"/>
        </w:rPr>
      </w:pPr>
      <w:proofErr w:type="spellStart"/>
      <w:r w:rsidRPr="001E3755">
        <w:rPr>
          <w:rFonts w:asciiTheme="majorBidi" w:hAnsiTheme="majorBidi" w:cstheme="majorBidi"/>
          <w:sz w:val="22"/>
          <w:szCs w:val="22"/>
          <w:lang w:eastAsia="nl-NL"/>
        </w:rPr>
        <w:t>Powe</w:t>
      </w:r>
      <w:proofErr w:type="spellEnd"/>
      <w:r w:rsidRPr="001E3755">
        <w:rPr>
          <w:rFonts w:asciiTheme="majorBidi" w:hAnsiTheme="majorBidi" w:cstheme="majorBidi"/>
          <w:sz w:val="22"/>
          <w:szCs w:val="22"/>
          <w:lang w:eastAsia="nl-NL"/>
        </w:rPr>
        <w:t xml:space="preserve"> N.A., Garrod G.D., and McMahon P.L. (2005). Mixing methods within stated preference environmental valuation: choice experiments and post-que</w:t>
      </w:r>
      <w:r w:rsidR="005043B9" w:rsidRPr="001E3755">
        <w:rPr>
          <w:rFonts w:asciiTheme="majorBidi" w:hAnsiTheme="majorBidi" w:cstheme="majorBidi"/>
          <w:sz w:val="22"/>
          <w:szCs w:val="22"/>
          <w:lang w:eastAsia="nl-NL"/>
        </w:rPr>
        <w:t>stionnaire qualitative analysis.</w:t>
      </w:r>
      <w:r w:rsidRPr="001E3755">
        <w:rPr>
          <w:rFonts w:asciiTheme="majorBidi" w:hAnsiTheme="majorBidi" w:cstheme="majorBidi"/>
          <w:sz w:val="22"/>
          <w:szCs w:val="22"/>
          <w:lang w:eastAsia="nl-NL"/>
        </w:rPr>
        <w:t xml:space="preserve"> </w:t>
      </w:r>
      <w:r w:rsidRPr="001E3755">
        <w:rPr>
          <w:rFonts w:asciiTheme="majorBidi" w:hAnsiTheme="majorBidi" w:cstheme="majorBidi"/>
          <w:i/>
          <w:iCs/>
          <w:sz w:val="22"/>
          <w:szCs w:val="22"/>
          <w:lang w:eastAsia="nl-NL"/>
        </w:rPr>
        <w:t xml:space="preserve">Ecological Economics </w:t>
      </w:r>
      <w:r w:rsidRPr="001E3755">
        <w:rPr>
          <w:rFonts w:asciiTheme="majorBidi" w:hAnsiTheme="majorBidi" w:cstheme="majorBidi"/>
          <w:sz w:val="22"/>
          <w:szCs w:val="22"/>
          <w:lang w:eastAsia="nl-NL"/>
        </w:rPr>
        <w:t>52, 513-526.</w:t>
      </w:r>
    </w:p>
    <w:p w14:paraId="6F038142" w14:textId="5272D07B" w:rsidR="00B54A12" w:rsidRPr="001E3755" w:rsidRDefault="00067D3D" w:rsidP="005043B9">
      <w:pPr>
        <w:autoSpaceDE w:val="0"/>
        <w:autoSpaceDN w:val="0"/>
        <w:adjustRightInd w:val="0"/>
        <w:ind w:left="284" w:hanging="284"/>
        <w:rPr>
          <w:rFonts w:asciiTheme="majorBidi" w:hAnsiTheme="majorBidi" w:cstheme="majorBidi"/>
          <w:b/>
          <w:noProof/>
          <w:sz w:val="22"/>
          <w:szCs w:val="22"/>
        </w:rPr>
      </w:pPr>
      <w:proofErr w:type="spellStart"/>
      <w:r w:rsidRPr="001E3755">
        <w:rPr>
          <w:rFonts w:asciiTheme="majorBidi" w:hAnsiTheme="majorBidi" w:cstheme="majorBidi"/>
          <w:sz w:val="22"/>
          <w:szCs w:val="22"/>
          <w:lang w:eastAsia="fr-FR"/>
        </w:rPr>
        <w:t>Rakotonarivo</w:t>
      </w:r>
      <w:proofErr w:type="spellEnd"/>
      <w:r w:rsidRPr="001E3755">
        <w:rPr>
          <w:rFonts w:asciiTheme="majorBidi" w:hAnsiTheme="majorBidi" w:cstheme="majorBidi"/>
          <w:sz w:val="22"/>
          <w:szCs w:val="22"/>
          <w:lang w:eastAsia="fr-FR"/>
        </w:rPr>
        <w:t>, O.S., Schaafsma, M., and Hockley, N (2016).</w:t>
      </w:r>
      <w:r w:rsidR="00B54A12" w:rsidRPr="001E3755">
        <w:rPr>
          <w:rFonts w:asciiTheme="majorBidi" w:hAnsiTheme="majorBidi" w:cstheme="majorBidi"/>
          <w:b/>
          <w:noProof/>
          <w:sz w:val="22"/>
          <w:szCs w:val="22"/>
        </w:rPr>
        <w:t xml:space="preserve"> </w:t>
      </w:r>
      <w:r w:rsidR="00B54A12" w:rsidRPr="001E3755">
        <w:rPr>
          <w:rFonts w:asciiTheme="majorBidi" w:hAnsiTheme="majorBidi" w:cstheme="majorBidi"/>
          <w:bCs/>
          <w:noProof/>
          <w:sz w:val="22"/>
          <w:szCs w:val="22"/>
        </w:rPr>
        <w:t>A systematic review of the reliability and validity of discrete choice experiments in valuing non-market environmental goods</w:t>
      </w:r>
      <w:r w:rsidRPr="001E3755">
        <w:rPr>
          <w:rFonts w:asciiTheme="majorBidi" w:hAnsiTheme="majorBidi" w:cstheme="majorBidi"/>
          <w:bCs/>
          <w:noProof/>
          <w:sz w:val="22"/>
          <w:szCs w:val="22"/>
        </w:rPr>
        <w:t xml:space="preserve">. </w:t>
      </w:r>
      <w:r w:rsidRPr="001E3755">
        <w:rPr>
          <w:rFonts w:asciiTheme="majorBidi" w:hAnsiTheme="majorBidi" w:cstheme="majorBidi"/>
          <w:bCs/>
          <w:i/>
          <w:noProof/>
          <w:sz w:val="22"/>
          <w:szCs w:val="22"/>
        </w:rPr>
        <w:t>Journal of Environmental Management</w:t>
      </w:r>
      <w:r w:rsidRPr="001E3755">
        <w:rPr>
          <w:rFonts w:asciiTheme="majorBidi" w:hAnsiTheme="majorBidi" w:cstheme="majorBidi"/>
          <w:bCs/>
          <w:noProof/>
          <w:sz w:val="22"/>
          <w:szCs w:val="22"/>
        </w:rPr>
        <w:t xml:space="preserve"> 183(1): 98-109.</w:t>
      </w:r>
    </w:p>
    <w:p w14:paraId="184CFCE1" w14:textId="77777777" w:rsidR="00DF7507" w:rsidRPr="001E3755" w:rsidRDefault="00B54A12" w:rsidP="00DF7507">
      <w:pPr>
        <w:ind w:left="284" w:hanging="284"/>
        <w:rPr>
          <w:rFonts w:asciiTheme="majorBidi" w:hAnsiTheme="majorBidi" w:cstheme="majorBidi"/>
          <w:sz w:val="22"/>
          <w:szCs w:val="22"/>
        </w:rPr>
      </w:pPr>
      <w:r w:rsidRPr="001E3755">
        <w:rPr>
          <w:rFonts w:asciiTheme="majorBidi" w:hAnsiTheme="majorBidi" w:cstheme="majorBidi"/>
          <w:sz w:val="22"/>
          <w:szCs w:val="22"/>
          <w:shd w:val="clear" w:color="auto" w:fill="FFFFFF"/>
        </w:rPr>
        <w:t>Ramirez-Gomez, S.O., Torres-</w:t>
      </w:r>
      <w:proofErr w:type="spellStart"/>
      <w:r w:rsidRPr="001E3755">
        <w:rPr>
          <w:rFonts w:asciiTheme="majorBidi" w:hAnsiTheme="majorBidi" w:cstheme="majorBidi"/>
          <w:sz w:val="22"/>
          <w:szCs w:val="22"/>
          <w:shd w:val="clear" w:color="auto" w:fill="FFFFFF"/>
        </w:rPr>
        <w:t>Vitolas</w:t>
      </w:r>
      <w:proofErr w:type="spellEnd"/>
      <w:r w:rsidRPr="001E3755">
        <w:rPr>
          <w:rFonts w:asciiTheme="majorBidi" w:hAnsiTheme="majorBidi" w:cstheme="majorBidi"/>
          <w:sz w:val="22"/>
          <w:szCs w:val="22"/>
          <w:shd w:val="clear" w:color="auto" w:fill="FFFFFF"/>
        </w:rPr>
        <w:t xml:space="preserve">, C.A., </w:t>
      </w:r>
      <w:proofErr w:type="spellStart"/>
      <w:r w:rsidRPr="001E3755">
        <w:rPr>
          <w:rFonts w:asciiTheme="majorBidi" w:hAnsiTheme="majorBidi" w:cstheme="majorBidi"/>
          <w:sz w:val="22"/>
          <w:szCs w:val="22"/>
          <w:shd w:val="clear" w:color="auto" w:fill="FFFFFF"/>
        </w:rPr>
        <w:t>Schreckenberg</w:t>
      </w:r>
      <w:proofErr w:type="spellEnd"/>
      <w:r w:rsidRPr="001E3755">
        <w:rPr>
          <w:rFonts w:asciiTheme="majorBidi" w:hAnsiTheme="majorBidi" w:cstheme="majorBidi"/>
          <w:sz w:val="22"/>
          <w:szCs w:val="22"/>
          <w:shd w:val="clear" w:color="auto" w:fill="FFFFFF"/>
        </w:rPr>
        <w:t xml:space="preserve">, K., </w:t>
      </w:r>
      <w:proofErr w:type="spellStart"/>
      <w:r w:rsidRPr="001E3755">
        <w:rPr>
          <w:rFonts w:asciiTheme="majorBidi" w:hAnsiTheme="majorBidi" w:cstheme="majorBidi"/>
          <w:sz w:val="22"/>
          <w:szCs w:val="22"/>
          <w:shd w:val="clear" w:color="auto" w:fill="FFFFFF"/>
        </w:rPr>
        <w:t>Honzák</w:t>
      </w:r>
      <w:proofErr w:type="spellEnd"/>
      <w:r w:rsidRPr="001E3755">
        <w:rPr>
          <w:rFonts w:asciiTheme="majorBidi" w:hAnsiTheme="majorBidi" w:cstheme="majorBidi"/>
          <w:sz w:val="22"/>
          <w:szCs w:val="22"/>
          <w:shd w:val="clear" w:color="auto" w:fill="FFFFFF"/>
        </w:rPr>
        <w:t>, M., Cruz-Garcia, G.S., Willcock, S., Palacios, E., Pérez-</w:t>
      </w:r>
      <w:proofErr w:type="spellStart"/>
      <w:r w:rsidRPr="001E3755">
        <w:rPr>
          <w:rFonts w:asciiTheme="majorBidi" w:hAnsiTheme="majorBidi" w:cstheme="majorBidi"/>
          <w:sz w:val="22"/>
          <w:szCs w:val="22"/>
          <w:shd w:val="clear" w:color="auto" w:fill="FFFFFF"/>
        </w:rPr>
        <w:t>Miñana</w:t>
      </w:r>
      <w:proofErr w:type="spellEnd"/>
      <w:r w:rsidRPr="001E3755">
        <w:rPr>
          <w:rFonts w:asciiTheme="majorBidi" w:hAnsiTheme="majorBidi" w:cstheme="majorBidi"/>
          <w:sz w:val="22"/>
          <w:szCs w:val="22"/>
          <w:shd w:val="clear" w:color="auto" w:fill="FFFFFF"/>
        </w:rPr>
        <w:t xml:space="preserve">, E., </w:t>
      </w:r>
      <w:proofErr w:type="spellStart"/>
      <w:r w:rsidRPr="001E3755">
        <w:rPr>
          <w:rFonts w:asciiTheme="majorBidi" w:hAnsiTheme="majorBidi" w:cstheme="majorBidi"/>
          <w:sz w:val="22"/>
          <w:szCs w:val="22"/>
          <w:shd w:val="clear" w:color="auto" w:fill="FFFFFF"/>
        </w:rPr>
        <w:t>Verweij</w:t>
      </w:r>
      <w:proofErr w:type="spellEnd"/>
      <w:r w:rsidRPr="001E3755">
        <w:rPr>
          <w:rFonts w:asciiTheme="majorBidi" w:hAnsiTheme="majorBidi" w:cstheme="majorBidi"/>
          <w:sz w:val="22"/>
          <w:szCs w:val="22"/>
          <w:shd w:val="clear" w:color="auto" w:fill="FFFFFF"/>
        </w:rPr>
        <w:t>, P.A.</w:t>
      </w:r>
      <w:r w:rsidR="005043B9"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 xml:space="preserve"> and Poppy, G.M. </w:t>
      </w:r>
      <w:r w:rsidR="00FC6B6A"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2015</w:t>
      </w:r>
      <w:r w:rsidR="00FC6B6A" w:rsidRPr="001E3755">
        <w:rPr>
          <w:rFonts w:asciiTheme="majorBidi" w:hAnsiTheme="majorBidi" w:cstheme="majorBidi"/>
          <w:sz w:val="22"/>
          <w:szCs w:val="22"/>
          <w:shd w:val="clear" w:color="auto" w:fill="FFFFFF"/>
        </w:rPr>
        <w:t>)</w:t>
      </w:r>
      <w:r w:rsidRPr="001E3755">
        <w:rPr>
          <w:rFonts w:asciiTheme="majorBidi" w:hAnsiTheme="majorBidi" w:cstheme="majorBidi"/>
          <w:sz w:val="22"/>
          <w:szCs w:val="22"/>
          <w:shd w:val="clear" w:color="auto" w:fill="FFFFFF"/>
        </w:rPr>
        <w:t>. Analysis of ecosystem services provision in the Colombian Amazon using participatory research and mapping techniques.</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i/>
          <w:iCs/>
          <w:sz w:val="22"/>
          <w:szCs w:val="22"/>
          <w:shd w:val="clear" w:color="auto" w:fill="FFFFFF"/>
        </w:rPr>
        <w:t>Ecosystem Services</w:t>
      </w:r>
      <w:r w:rsidRPr="001E3755">
        <w:rPr>
          <w:rStyle w:val="apple-converted-space"/>
          <w:rFonts w:asciiTheme="majorBidi" w:hAnsiTheme="majorBidi" w:cstheme="majorBidi"/>
          <w:sz w:val="22"/>
          <w:szCs w:val="22"/>
          <w:shd w:val="clear" w:color="auto" w:fill="FFFFFF"/>
        </w:rPr>
        <w:t> </w:t>
      </w:r>
      <w:r w:rsidRPr="001E3755">
        <w:rPr>
          <w:rFonts w:asciiTheme="majorBidi" w:hAnsiTheme="majorBidi" w:cstheme="majorBidi"/>
          <w:sz w:val="22"/>
          <w:szCs w:val="22"/>
          <w:shd w:val="clear" w:color="auto" w:fill="FFFFFF"/>
        </w:rPr>
        <w:t>13</w:t>
      </w:r>
      <w:r w:rsidR="00FC6B6A" w:rsidRPr="001E3755">
        <w:rPr>
          <w:rFonts w:asciiTheme="majorBidi" w:hAnsiTheme="majorBidi" w:cstheme="majorBidi"/>
          <w:sz w:val="22"/>
          <w:szCs w:val="22"/>
          <w:shd w:val="clear" w:color="auto" w:fill="FFFFFF"/>
        </w:rPr>
        <w:t xml:space="preserve">: </w:t>
      </w:r>
      <w:r w:rsidRPr="001E3755">
        <w:rPr>
          <w:rFonts w:asciiTheme="majorBidi" w:hAnsiTheme="majorBidi" w:cstheme="majorBidi"/>
          <w:sz w:val="22"/>
          <w:szCs w:val="22"/>
          <w:shd w:val="clear" w:color="auto" w:fill="FFFFFF"/>
        </w:rPr>
        <w:t>93-107.</w:t>
      </w:r>
      <w:r w:rsidR="00DF7507" w:rsidRPr="001E3755">
        <w:rPr>
          <w:rFonts w:asciiTheme="majorBidi" w:hAnsiTheme="majorBidi" w:cstheme="majorBidi"/>
          <w:sz w:val="22"/>
          <w:szCs w:val="22"/>
        </w:rPr>
        <w:t xml:space="preserve"> </w:t>
      </w:r>
    </w:p>
    <w:p w14:paraId="4FFEE003" w14:textId="45563C1D" w:rsidR="00DF7507" w:rsidRPr="001E3755" w:rsidRDefault="00DF7507" w:rsidP="00DF7507">
      <w:pPr>
        <w:ind w:left="284" w:hanging="284"/>
        <w:rPr>
          <w:rFonts w:asciiTheme="majorBidi" w:hAnsiTheme="majorBidi" w:cstheme="majorBidi"/>
          <w:sz w:val="22"/>
          <w:szCs w:val="22"/>
        </w:rPr>
      </w:pPr>
      <w:proofErr w:type="spellStart"/>
      <w:r w:rsidRPr="001E3755">
        <w:rPr>
          <w:rFonts w:asciiTheme="majorBidi" w:hAnsiTheme="majorBidi" w:cstheme="majorBidi"/>
          <w:sz w:val="22"/>
          <w:szCs w:val="22"/>
        </w:rPr>
        <w:t>Rasid</w:t>
      </w:r>
      <w:proofErr w:type="spellEnd"/>
      <w:r w:rsidRPr="001E3755">
        <w:rPr>
          <w:rFonts w:asciiTheme="majorBidi" w:hAnsiTheme="majorBidi" w:cstheme="majorBidi"/>
          <w:sz w:val="22"/>
          <w:szCs w:val="22"/>
        </w:rPr>
        <w:t xml:space="preserve">, H., and Haider, W. (2003). Floodplain residents’ preferences for water level management options in flood control projects in Bangladesh. </w:t>
      </w:r>
      <w:r w:rsidRPr="001E3755">
        <w:rPr>
          <w:rFonts w:asciiTheme="majorBidi" w:hAnsiTheme="majorBidi" w:cstheme="majorBidi"/>
          <w:i/>
          <w:sz w:val="22"/>
          <w:szCs w:val="22"/>
        </w:rPr>
        <w:t>Natural Hazards</w:t>
      </w:r>
      <w:r w:rsidRPr="001E3755">
        <w:rPr>
          <w:rFonts w:asciiTheme="majorBidi" w:hAnsiTheme="majorBidi" w:cstheme="majorBidi"/>
          <w:sz w:val="22"/>
          <w:szCs w:val="22"/>
        </w:rPr>
        <w:t xml:space="preserve"> 28: 101-129.</w:t>
      </w:r>
    </w:p>
    <w:p w14:paraId="34887D12" w14:textId="3259C7C5" w:rsidR="00613F2A" w:rsidRPr="00546B8B" w:rsidRDefault="00613F2A" w:rsidP="00DF7507">
      <w:pPr>
        <w:ind w:left="284" w:hanging="284"/>
        <w:rPr>
          <w:rFonts w:asciiTheme="majorBidi" w:hAnsiTheme="majorBidi" w:cstheme="majorBidi"/>
          <w:sz w:val="22"/>
          <w:szCs w:val="22"/>
        </w:rPr>
      </w:pPr>
      <w:r w:rsidRPr="001E3755">
        <w:rPr>
          <w:sz w:val="22"/>
          <w:szCs w:val="22"/>
        </w:rPr>
        <w:t>Redmond</w:t>
      </w:r>
      <w:r w:rsidRPr="00676E98">
        <w:rPr>
          <w:sz w:val="22"/>
          <w:szCs w:val="22"/>
        </w:rPr>
        <w:t>,</w:t>
      </w:r>
      <w:r w:rsidRPr="00546B8B">
        <w:rPr>
          <w:sz w:val="22"/>
          <w:szCs w:val="22"/>
        </w:rPr>
        <w:t xml:space="preserve"> R.A., and Curtis, E.A. (2009). Focus groups: principles and process. </w:t>
      </w:r>
      <w:r w:rsidRPr="00546B8B">
        <w:rPr>
          <w:i/>
          <w:iCs/>
          <w:sz w:val="22"/>
          <w:szCs w:val="22"/>
        </w:rPr>
        <w:t>Nurse Researcher</w:t>
      </w:r>
      <w:r w:rsidRPr="00546B8B">
        <w:rPr>
          <w:sz w:val="22"/>
          <w:szCs w:val="22"/>
        </w:rPr>
        <w:t xml:space="preserve"> 16(3): 57–69.</w:t>
      </w:r>
    </w:p>
    <w:p w14:paraId="757BB41B" w14:textId="3649DB2E" w:rsidR="00FC6B6A" w:rsidRPr="00546B8B" w:rsidRDefault="00B54A12" w:rsidP="005043B9">
      <w:pPr>
        <w:pStyle w:val="Default"/>
        <w:ind w:left="284" w:hanging="284"/>
        <w:rPr>
          <w:rFonts w:asciiTheme="majorBidi" w:hAnsiTheme="majorBidi" w:cstheme="majorBidi"/>
          <w:color w:val="auto"/>
          <w:sz w:val="22"/>
          <w:szCs w:val="22"/>
          <w:lang w:val="en-GB"/>
        </w:rPr>
      </w:pPr>
      <w:proofErr w:type="spellStart"/>
      <w:r w:rsidRPr="00546B8B">
        <w:rPr>
          <w:rFonts w:asciiTheme="majorBidi" w:hAnsiTheme="majorBidi" w:cstheme="majorBidi"/>
          <w:color w:val="auto"/>
          <w:sz w:val="22"/>
          <w:szCs w:val="22"/>
          <w:lang w:val="en-GB"/>
        </w:rPr>
        <w:t>Someshwar</w:t>
      </w:r>
      <w:proofErr w:type="spellEnd"/>
      <w:r w:rsidRPr="00546B8B">
        <w:rPr>
          <w:rFonts w:asciiTheme="majorBidi" w:hAnsiTheme="majorBidi" w:cstheme="majorBidi"/>
          <w:color w:val="auto"/>
          <w:sz w:val="22"/>
          <w:szCs w:val="22"/>
          <w:lang w:val="en-GB"/>
        </w:rPr>
        <w:t>, S</w:t>
      </w:r>
      <w:r w:rsidR="00FC6B6A" w:rsidRPr="00546B8B">
        <w:rPr>
          <w:rFonts w:asciiTheme="majorBidi" w:hAnsiTheme="majorBidi" w:cstheme="majorBidi"/>
          <w:color w:val="auto"/>
          <w:sz w:val="22"/>
          <w:szCs w:val="22"/>
          <w:lang w:val="en-GB"/>
        </w:rPr>
        <w:t>.,</w:t>
      </w:r>
      <w:r w:rsidRPr="00546B8B">
        <w:rPr>
          <w:rFonts w:asciiTheme="majorBidi" w:hAnsiTheme="majorBidi" w:cstheme="majorBidi"/>
          <w:color w:val="auto"/>
          <w:sz w:val="22"/>
          <w:szCs w:val="22"/>
          <w:lang w:val="en-GB"/>
        </w:rPr>
        <w:t xml:space="preserve"> Boer</w:t>
      </w:r>
      <w:r w:rsidR="00FC6B6A" w:rsidRPr="00546B8B">
        <w:rPr>
          <w:rFonts w:asciiTheme="majorBidi" w:hAnsiTheme="majorBidi" w:cstheme="majorBidi"/>
          <w:color w:val="auto"/>
          <w:sz w:val="22"/>
          <w:szCs w:val="22"/>
          <w:lang w:val="en-GB"/>
        </w:rPr>
        <w:t>, R.</w:t>
      </w:r>
      <w:r w:rsidR="005043B9" w:rsidRPr="00546B8B">
        <w:rPr>
          <w:rFonts w:asciiTheme="majorBidi" w:hAnsiTheme="majorBidi" w:cstheme="majorBidi"/>
          <w:color w:val="auto"/>
          <w:sz w:val="22"/>
          <w:szCs w:val="22"/>
          <w:lang w:val="en-GB"/>
        </w:rPr>
        <w:t>,</w:t>
      </w:r>
      <w:r w:rsidRPr="00546B8B">
        <w:rPr>
          <w:rFonts w:asciiTheme="majorBidi" w:hAnsiTheme="majorBidi" w:cstheme="majorBidi"/>
          <w:color w:val="auto"/>
          <w:sz w:val="22"/>
          <w:szCs w:val="22"/>
          <w:lang w:val="en-GB"/>
        </w:rPr>
        <w:t xml:space="preserve"> and Conrad</w:t>
      </w:r>
      <w:r w:rsidR="00FC6B6A" w:rsidRPr="00546B8B">
        <w:rPr>
          <w:rFonts w:asciiTheme="majorBidi" w:hAnsiTheme="majorBidi" w:cstheme="majorBidi"/>
          <w:color w:val="auto"/>
          <w:sz w:val="22"/>
          <w:szCs w:val="22"/>
          <w:lang w:val="en-GB"/>
        </w:rPr>
        <w:t>, E</w:t>
      </w:r>
      <w:r w:rsidRPr="00546B8B">
        <w:rPr>
          <w:rFonts w:asciiTheme="majorBidi" w:hAnsiTheme="majorBidi" w:cstheme="majorBidi"/>
          <w:color w:val="auto"/>
          <w:sz w:val="22"/>
          <w:szCs w:val="22"/>
          <w:lang w:val="en-GB"/>
        </w:rPr>
        <w:t>.</w:t>
      </w:r>
      <w:r w:rsidR="00FC6B6A" w:rsidRPr="00546B8B">
        <w:rPr>
          <w:rFonts w:asciiTheme="majorBidi" w:hAnsiTheme="majorBidi" w:cstheme="majorBidi"/>
          <w:color w:val="auto"/>
          <w:sz w:val="22"/>
          <w:szCs w:val="22"/>
          <w:lang w:val="en-GB"/>
        </w:rPr>
        <w:t xml:space="preserve"> (2011) </w:t>
      </w:r>
      <w:r w:rsidRPr="00546B8B">
        <w:rPr>
          <w:rFonts w:asciiTheme="majorBidi" w:hAnsiTheme="majorBidi" w:cstheme="majorBidi"/>
          <w:color w:val="auto"/>
          <w:sz w:val="22"/>
          <w:szCs w:val="22"/>
          <w:lang w:val="en-GB"/>
        </w:rPr>
        <w:t>World Resources Report Case Study. Managing Peatland Fire Risk in Central Kalimantan, Indonesia. World Resources Report, Washington DC.</w:t>
      </w:r>
    </w:p>
    <w:p w14:paraId="772418CF" w14:textId="1D581331" w:rsidR="00B54A12" w:rsidRPr="00546B8B" w:rsidRDefault="00B54A12" w:rsidP="005043B9">
      <w:pPr>
        <w:pStyle w:val="Default"/>
        <w:ind w:left="284" w:hanging="284"/>
        <w:rPr>
          <w:rFonts w:asciiTheme="majorBidi" w:hAnsiTheme="majorBidi" w:cstheme="majorBidi"/>
          <w:color w:val="auto"/>
          <w:sz w:val="22"/>
          <w:szCs w:val="22"/>
          <w:lang w:val="en-GB"/>
        </w:rPr>
      </w:pPr>
      <w:proofErr w:type="spellStart"/>
      <w:r w:rsidRPr="00546B8B">
        <w:rPr>
          <w:rFonts w:asciiTheme="majorBidi" w:hAnsiTheme="majorBidi" w:cstheme="majorBidi"/>
          <w:color w:val="auto"/>
          <w:sz w:val="22"/>
          <w:szCs w:val="22"/>
          <w:lang w:val="en-GB"/>
        </w:rPr>
        <w:t>Spash</w:t>
      </w:r>
      <w:proofErr w:type="spellEnd"/>
      <w:r w:rsidRPr="00546B8B">
        <w:rPr>
          <w:rFonts w:asciiTheme="majorBidi" w:hAnsiTheme="majorBidi" w:cstheme="majorBidi"/>
          <w:color w:val="auto"/>
          <w:sz w:val="22"/>
          <w:szCs w:val="22"/>
          <w:lang w:val="en-GB"/>
        </w:rPr>
        <w:t xml:space="preserve">, </w:t>
      </w:r>
      <w:r w:rsidR="005043B9" w:rsidRPr="00546B8B">
        <w:rPr>
          <w:rFonts w:asciiTheme="majorBidi" w:hAnsiTheme="majorBidi" w:cstheme="majorBidi"/>
          <w:color w:val="auto"/>
          <w:sz w:val="22"/>
          <w:szCs w:val="22"/>
          <w:lang w:val="en-GB"/>
        </w:rPr>
        <w:t>C.L.</w:t>
      </w:r>
      <w:r w:rsidRPr="00546B8B">
        <w:rPr>
          <w:rFonts w:asciiTheme="majorBidi" w:hAnsiTheme="majorBidi" w:cstheme="majorBidi"/>
          <w:color w:val="auto"/>
          <w:sz w:val="22"/>
          <w:szCs w:val="22"/>
          <w:lang w:val="en-GB"/>
        </w:rPr>
        <w:t xml:space="preserve"> </w:t>
      </w:r>
      <w:r w:rsidR="005043B9" w:rsidRPr="00546B8B">
        <w:rPr>
          <w:rFonts w:asciiTheme="majorBidi" w:hAnsiTheme="majorBidi" w:cstheme="majorBidi"/>
          <w:color w:val="auto"/>
          <w:sz w:val="22"/>
          <w:szCs w:val="22"/>
          <w:lang w:val="en-GB"/>
        </w:rPr>
        <w:t>(</w:t>
      </w:r>
      <w:r w:rsidRPr="00546B8B">
        <w:rPr>
          <w:rFonts w:asciiTheme="majorBidi" w:hAnsiTheme="majorBidi" w:cstheme="majorBidi"/>
          <w:color w:val="auto"/>
          <w:sz w:val="22"/>
          <w:szCs w:val="22"/>
          <w:lang w:val="en-GB"/>
        </w:rPr>
        <w:t>2007</w:t>
      </w:r>
      <w:r w:rsidR="005043B9" w:rsidRPr="00546B8B">
        <w:rPr>
          <w:rFonts w:asciiTheme="majorBidi" w:hAnsiTheme="majorBidi" w:cstheme="majorBidi"/>
          <w:color w:val="auto"/>
          <w:sz w:val="22"/>
          <w:szCs w:val="22"/>
          <w:lang w:val="en-GB"/>
        </w:rPr>
        <w:t>)</w:t>
      </w:r>
      <w:r w:rsidRPr="00546B8B">
        <w:rPr>
          <w:rFonts w:asciiTheme="majorBidi" w:hAnsiTheme="majorBidi" w:cstheme="majorBidi"/>
          <w:color w:val="auto"/>
          <w:sz w:val="22"/>
          <w:szCs w:val="22"/>
          <w:lang w:val="en-GB"/>
        </w:rPr>
        <w:t>. Deliberative monetary valuation (DMV</w:t>
      </w:r>
      <w:r w:rsidR="00FC6B6A" w:rsidRPr="00546B8B">
        <w:rPr>
          <w:rFonts w:asciiTheme="majorBidi" w:hAnsiTheme="majorBidi" w:cstheme="majorBidi"/>
          <w:color w:val="auto"/>
          <w:sz w:val="22"/>
          <w:szCs w:val="22"/>
          <w:lang w:val="en-GB"/>
        </w:rPr>
        <w:t xml:space="preserve">): issues in combining economic </w:t>
      </w:r>
      <w:r w:rsidRPr="00546B8B">
        <w:rPr>
          <w:rFonts w:asciiTheme="majorBidi" w:hAnsiTheme="majorBidi" w:cstheme="majorBidi"/>
          <w:color w:val="auto"/>
          <w:sz w:val="22"/>
          <w:szCs w:val="22"/>
          <w:lang w:val="en-GB"/>
        </w:rPr>
        <w:t xml:space="preserve">and political processes to value environmental change. </w:t>
      </w:r>
      <w:r w:rsidRPr="00546B8B">
        <w:rPr>
          <w:rFonts w:asciiTheme="majorBidi" w:hAnsiTheme="majorBidi" w:cstheme="majorBidi"/>
          <w:i/>
          <w:iCs/>
          <w:color w:val="auto"/>
          <w:sz w:val="22"/>
          <w:szCs w:val="22"/>
          <w:lang w:val="en-GB"/>
        </w:rPr>
        <w:t>Ecol</w:t>
      </w:r>
      <w:r w:rsidR="00FC6B6A" w:rsidRPr="00546B8B">
        <w:rPr>
          <w:rFonts w:asciiTheme="majorBidi" w:hAnsiTheme="majorBidi" w:cstheme="majorBidi"/>
          <w:i/>
          <w:iCs/>
          <w:color w:val="auto"/>
          <w:sz w:val="22"/>
          <w:szCs w:val="22"/>
          <w:lang w:val="en-GB"/>
        </w:rPr>
        <w:t>ogical</w:t>
      </w:r>
      <w:r w:rsidRPr="00546B8B">
        <w:rPr>
          <w:rFonts w:asciiTheme="majorBidi" w:hAnsiTheme="majorBidi" w:cstheme="majorBidi"/>
          <w:i/>
          <w:iCs/>
          <w:color w:val="auto"/>
          <w:sz w:val="22"/>
          <w:szCs w:val="22"/>
          <w:lang w:val="en-GB"/>
        </w:rPr>
        <w:t xml:space="preserve"> Econ</w:t>
      </w:r>
      <w:r w:rsidR="00FC6B6A" w:rsidRPr="00546B8B">
        <w:rPr>
          <w:rFonts w:asciiTheme="majorBidi" w:hAnsiTheme="majorBidi" w:cstheme="majorBidi"/>
          <w:i/>
          <w:iCs/>
          <w:color w:val="auto"/>
          <w:sz w:val="22"/>
          <w:szCs w:val="22"/>
          <w:lang w:val="en-GB"/>
        </w:rPr>
        <w:t>omics</w:t>
      </w:r>
      <w:r w:rsidRPr="00546B8B">
        <w:rPr>
          <w:rFonts w:asciiTheme="majorBidi" w:hAnsiTheme="majorBidi" w:cstheme="majorBidi"/>
          <w:color w:val="auto"/>
          <w:sz w:val="22"/>
          <w:szCs w:val="22"/>
          <w:lang w:val="en-GB"/>
        </w:rPr>
        <w:t xml:space="preserve"> 63</w:t>
      </w:r>
      <w:r w:rsidR="00FC6B6A" w:rsidRPr="00546B8B">
        <w:rPr>
          <w:rFonts w:asciiTheme="majorBidi" w:hAnsiTheme="majorBidi" w:cstheme="majorBidi"/>
          <w:color w:val="auto"/>
          <w:sz w:val="22"/>
          <w:szCs w:val="22"/>
          <w:lang w:val="en-GB"/>
        </w:rPr>
        <w:t>:</w:t>
      </w:r>
      <w:r w:rsidRPr="00546B8B">
        <w:rPr>
          <w:rFonts w:asciiTheme="majorBidi" w:hAnsiTheme="majorBidi" w:cstheme="majorBidi"/>
          <w:color w:val="auto"/>
          <w:sz w:val="22"/>
          <w:szCs w:val="22"/>
          <w:lang w:val="en-GB"/>
        </w:rPr>
        <w:t xml:space="preserve"> 690–699.</w:t>
      </w:r>
    </w:p>
    <w:p w14:paraId="4C760176" w14:textId="3497A797" w:rsidR="001425D1" w:rsidRPr="00546B8B" w:rsidRDefault="001425D1" w:rsidP="001425D1">
      <w:pPr>
        <w:pStyle w:val="Default"/>
        <w:ind w:left="284" w:hanging="284"/>
        <w:rPr>
          <w:rFonts w:asciiTheme="majorBidi" w:hAnsiTheme="majorBidi" w:cstheme="majorBidi"/>
          <w:color w:val="auto"/>
          <w:sz w:val="22"/>
          <w:szCs w:val="22"/>
          <w:shd w:val="clear" w:color="auto" w:fill="FFFFFF"/>
          <w:lang w:val="en-GB"/>
        </w:rPr>
      </w:pPr>
      <w:proofErr w:type="spellStart"/>
      <w:r w:rsidRPr="00546B8B">
        <w:rPr>
          <w:rFonts w:asciiTheme="majorBidi" w:hAnsiTheme="majorBidi" w:cstheme="majorBidi"/>
          <w:color w:val="auto"/>
          <w:sz w:val="22"/>
          <w:szCs w:val="22"/>
          <w:shd w:val="clear" w:color="auto" w:fill="FFFFFF"/>
          <w:lang w:val="en-GB"/>
        </w:rPr>
        <w:t>Sumarga</w:t>
      </w:r>
      <w:proofErr w:type="spellEnd"/>
      <w:r w:rsidRPr="00546B8B">
        <w:rPr>
          <w:rFonts w:asciiTheme="majorBidi" w:hAnsiTheme="majorBidi" w:cstheme="majorBidi"/>
          <w:color w:val="auto"/>
          <w:sz w:val="22"/>
          <w:szCs w:val="22"/>
          <w:shd w:val="clear" w:color="auto" w:fill="FFFFFF"/>
          <w:lang w:val="en-GB"/>
        </w:rPr>
        <w:t>, E., and Hein, L. (2016). Benefits and costs of oil palm expansion in Central Kalimantan, Indonesia, under different policy scenarios.</w:t>
      </w:r>
      <w:r w:rsidRPr="00546B8B">
        <w:rPr>
          <w:rStyle w:val="apple-converted-space"/>
          <w:rFonts w:asciiTheme="majorBidi" w:hAnsiTheme="majorBidi" w:cstheme="majorBidi"/>
          <w:color w:val="auto"/>
          <w:sz w:val="22"/>
          <w:szCs w:val="22"/>
          <w:shd w:val="clear" w:color="auto" w:fill="FFFFFF"/>
          <w:lang w:val="en-GB"/>
        </w:rPr>
        <w:t> </w:t>
      </w:r>
      <w:r w:rsidRPr="00546B8B">
        <w:rPr>
          <w:rFonts w:asciiTheme="majorBidi" w:hAnsiTheme="majorBidi" w:cstheme="majorBidi"/>
          <w:i/>
          <w:iCs/>
          <w:color w:val="auto"/>
          <w:sz w:val="22"/>
          <w:szCs w:val="22"/>
          <w:shd w:val="clear" w:color="auto" w:fill="FFFFFF"/>
          <w:lang w:val="en-GB"/>
        </w:rPr>
        <w:t>Regional Environmental Change</w:t>
      </w:r>
      <w:r w:rsidRPr="00546B8B">
        <w:rPr>
          <w:rStyle w:val="apple-converted-space"/>
          <w:rFonts w:asciiTheme="majorBidi" w:hAnsiTheme="majorBidi" w:cstheme="majorBidi"/>
          <w:color w:val="auto"/>
          <w:sz w:val="22"/>
          <w:szCs w:val="22"/>
          <w:shd w:val="clear" w:color="auto" w:fill="FFFFFF"/>
          <w:lang w:val="en-GB"/>
        </w:rPr>
        <w:t> </w:t>
      </w:r>
      <w:r w:rsidRPr="00546B8B">
        <w:rPr>
          <w:rFonts w:asciiTheme="majorBidi" w:hAnsiTheme="majorBidi" w:cstheme="majorBidi"/>
          <w:color w:val="auto"/>
          <w:sz w:val="22"/>
          <w:szCs w:val="22"/>
          <w:shd w:val="clear" w:color="auto" w:fill="FFFFFF"/>
          <w:lang w:val="en-GB"/>
        </w:rPr>
        <w:t>16(4): 1011-1021.</w:t>
      </w:r>
    </w:p>
    <w:p w14:paraId="30B26032" w14:textId="21EDE56F" w:rsidR="006B5307" w:rsidRDefault="006B5307" w:rsidP="006B5307">
      <w:pPr>
        <w:pStyle w:val="Default"/>
        <w:ind w:left="284" w:hanging="284"/>
        <w:rPr>
          <w:rFonts w:asciiTheme="majorBidi" w:hAnsiTheme="majorBidi" w:cstheme="majorBidi"/>
          <w:color w:val="auto"/>
          <w:sz w:val="22"/>
          <w:szCs w:val="22"/>
          <w:shd w:val="clear" w:color="auto" w:fill="FFFFFF"/>
          <w:lang w:val="en-GB"/>
        </w:rPr>
      </w:pPr>
      <w:proofErr w:type="spellStart"/>
      <w:r w:rsidRPr="00546B8B">
        <w:rPr>
          <w:rFonts w:asciiTheme="majorBidi" w:hAnsiTheme="majorBidi" w:cstheme="majorBidi"/>
          <w:color w:val="auto"/>
          <w:sz w:val="22"/>
          <w:szCs w:val="22"/>
          <w:shd w:val="clear" w:color="auto" w:fill="FFFFFF"/>
          <w:lang w:val="en-GB"/>
        </w:rPr>
        <w:t>Suwarno</w:t>
      </w:r>
      <w:proofErr w:type="spellEnd"/>
      <w:r w:rsidRPr="00546B8B">
        <w:rPr>
          <w:rFonts w:asciiTheme="majorBidi" w:hAnsiTheme="majorBidi" w:cstheme="majorBidi"/>
          <w:color w:val="auto"/>
          <w:sz w:val="22"/>
          <w:szCs w:val="22"/>
          <w:shd w:val="clear" w:color="auto" w:fill="FFFFFF"/>
          <w:lang w:val="en-GB"/>
        </w:rPr>
        <w:t xml:space="preserve">, A., Hein, L., and </w:t>
      </w:r>
      <w:proofErr w:type="spellStart"/>
      <w:r w:rsidRPr="00546B8B">
        <w:rPr>
          <w:rFonts w:asciiTheme="majorBidi" w:hAnsiTheme="majorBidi" w:cstheme="majorBidi"/>
          <w:color w:val="auto"/>
          <w:sz w:val="22"/>
          <w:szCs w:val="22"/>
          <w:shd w:val="clear" w:color="auto" w:fill="FFFFFF"/>
          <w:lang w:val="en-GB"/>
        </w:rPr>
        <w:t>Sumarga</w:t>
      </w:r>
      <w:proofErr w:type="spellEnd"/>
      <w:r w:rsidRPr="00546B8B">
        <w:rPr>
          <w:rFonts w:asciiTheme="majorBidi" w:hAnsiTheme="majorBidi" w:cstheme="majorBidi"/>
          <w:color w:val="auto"/>
          <w:sz w:val="22"/>
          <w:szCs w:val="22"/>
          <w:shd w:val="clear" w:color="auto" w:fill="FFFFFF"/>
          <w:lang w:val="en-GB"/>
        </w:rPr>
        <w:t>, E. (2016). Who Benefits from Ecosystem Services? A Case Study for Central Kalimantan, Indonesia.</w:t>
      </w:r>
      <w:r w:rsidRPr="00546B8B">
        <w:rPr>
          <w:rStyle w:val="apple-converted-space"/>
          <w:rFonts w:asciiTheme="majorBidi" w:hAnsiTheme="majorBidi" w:cstheme="majorBidi"/>
          <w:color w:val="auto"/>
          <w:sz w:val="22"/>
          <w:szCs w:val="22"/>
          <w:shd w:val="clear" w:color="auto" w:fill="FFFFFF"/>
          <w:lang w:val="en-GB"/>
        </w:rPr>
        <w:t> </w:t>
      </w:r>
      <w:r w:rsidRPr="00546B8B">
        <w:rPr>
          <w:rFonts w:asciiTheme="majorBidi" w:hAnsiTheme="majorBidi" w:cstheme="majorBidi"/>
          <w:i/>
          <w:iCs/>
          <w:color w:val="auto"/>
          <w:sz w:val="22"/>
          <w:szCs w:val="22"/>
          <w:shd w:val="clear" w:color="auto" w:fill="FFFFFF"/>
          <w:lang w:val="en-GB"/>
        </w:rPr>
        <w:t>Environmental management</w:t>
      </w:r>
      <w:r w:rsidRPr="00546B8B">
        <w:rPr>
          <w:rStyle w:val="apple-converted-space"/>
          <w:rFonts w:asciiTheme="majorBidi" w:hAnsiTheme="majorBidi" w:cstheme="majorBidi"/>
          <w:color w:val="auto"/>
          <w:sz w:val="22"/>
          <w:szCs w:val="22"/>
          <w:shd w:val="clear" w:color="auto" w:fill="FFFFFF"/>
          <w:lang w:val="en-GB"/>
        </w:rPr>
        <w:t> </w:t>
      </w:r>
      <w:r w:rsidRPr="00546B8B">
        <w:rPr>
          <w:rFonts w:asciiTheme="majorBidi" w:hAnsiTheme="majorBidi" w:cstheme="majorBidi"/>
          <w:color w:val="auto"/>
          <w:sz w:val="22"/>
          <w:szCs w:val="22"/>
          <w:shd w:val="clear" w:color="auto" w:fill="FFFFFF"/>
          <w:lang w:val="en-GB"/>
        </w:rPr>
        <w:t>57(2): 331-344.</w:t>
      </w:r>
    </w:p>
    <w:p w14:paraId="3E87A093" w14:textId="74F6FB38" w:rsidR="00D26918" w:rsidRPr="002979F2" w:rsidRDefault="00D26918" w:rsidP="006B5307">
      <w:pPr>
        <w:pStyle w:val="Default"/>
        <w:ind w:left="284" w:hanging="284"/>
        <w:rPr>
          <w:color w:val="auto"/>
          <w:sz w:val="22"/>
          <w:szCs w:val="22"/>
          <w:shd w:val="clear" w:color="auto" w:fill="FFFFFF"/>
          <w:lang w:val="en-GB"/>
        </w:rPr>
      </w:pPr>
      <w:r w:rsidRPr="002979F2">
        <w:rPr>
          <w:color w:val="auto"/>
          <w:sz w:val="22"/>
          <w:szCs w:val="22"/>
          <w:shd w:val="clear" w:color="auto" w:fill="FFFFFF"/>
        </w:rPr>
        <w:t>Train, K., 2003.</w:t>
      </w:r>
      <w:r w:rsidRPr="002979F2">
        <w:rPr>
          <w:rStyle w:val="apple-converted-space"/>
          <w:color w:val="auto"/>
          <w:sz w:val="22"/>
          <w:szCs w:val="22"/>
          <w:shd w:val="clear" w:color="auto" w:fill="FFFFFF"/>
        </w:rPr>
        <w:t> </w:t>
      </w:r>
      <w:r w:rsidRPr="002979F2">
        <w:rPr>
          <w:i/>
          <w:iCs/>
          <w:color w:val="auto"/>
          <w:sz w:val="22"/>
          <w:szCs w:val="22"/>
          <w:shd w:val="clear" w:color="auto" w:fill="FFFFFF"/>
        </w:rPr>
        <w:t>Discrete choice methods with simulation</w:t>
      </w:r>
      <w:r w:rsidRPr="00D26918">
        <w:rPr>
          <w:color w:val="auto"/>
          <w:sz w:val="22"/>
          <w:szCs w:val="22"/>
          <w:shd w:val="clear" w:color="auto" w:fill="FFFFFF"/>
        </w:rPr>
        <w:t>. Cambridge University P</w:t>
      </w:r>
      <w:r w:rsidRPr="002979F2">
        <w:rPr>
          <w:color w:val="auto"/>
          <w:sz w:val="22"/>
          <w:szCs w:val="22"/>
          <w:shd w:val="clear" w:color="auto" w:fill="FFFFFF"/>
        </w:rPr>
        <w:t>ress.</w:t>
      </w:r>
    </w:p>
    <w:p w14:paraId="54495255" w14:textId="56E50515" w:rsidR="00B54A12" w:rsidRPr="00546B8B" w:rsidRDefault="00B54A12" w:rsidP="005043B9">
      <w:pPr>
        <w:ind w:left="284" w:hanging="284"/>
        <w:rPr>
          <w:rFonts w:asciiTheme="majorBidi" w:hAnsiTheme="majorBidi" w:cstheme="majorBidi"/>
          <w:sz w:val="22"/>
          <w:szCs w:val="22"/>
          <w:shd w:val="clear" w:color="auto" w:fill="FFFFFF"/>
        </w:rPr>
      </w:pPr>
      <w:proofErr w:type="spellStart"/>
      <w:r w:rsidRPr="00546B8B">
        <w:rPr>
          <w:rFonts w:asciiTheme="majorBidi" w:hAnsiTheme="majorBidi" w:cstheme="majorBidi"/>
          <w:sz w:val="22"/>
          <w:szCs w:val="22"/>
          <w:shd w:val="clear" w:color="auto" w:fill="FFFFFF"/>
        </w:rPr>
        <w:t>Völker</w:t>
      </w:r>
      <w:proofErr w:type="spellEnd"/>
      <w:r w:rsidRPr="00546B8B">
        <w:rPr>
          <w:rFonts w:asciiTheme="majorBidi" w:hAnsiTheme="majorBidi" w:cstheme="majorBidi"/>
          <w:sz w:val="22"/>
          <w:szCs w:val="22"/>
          <w:shd w:val="clear" w:color="auto" w:fill="FFFFFF"/>
        </w:rPr>
        <w:t>, M.</w:t>
      </w:r>
      <w:r w:rsidR="005043B9" w:rsidRPr="00546B8B">
        <w:rPr>
          <w:rFonts w:asciiTheme="majorBidi" w:hAnsiTheme="majorBidi" w:cstheme="majorBidi"/>
          <w:sz w:val="22"/>
          <w:szCs w:val="22"/>
          <w:shd w:val="clear" w:color="auto" w:fill="FFFFFF"/>
        </w:rPr>
        <w:t>,</w:t>
      </w:r>
      <w:r w:rsidRPr="00546B8B">
        <w:rPr>
          <w:rFonts w:asciiTheme="majorBidi" w:hAnsiTheme="majorBidi" w:cstheme="majorBidi"/>
          <w:sz w:val="22"/>
          <w:szCs w:val="22"/>
          <w:shd w:val="clear" w:color="auto" w:fill="FFFFFF"/>
        </w:rPr>
        <w:t xml:space="preserve"> and </w:t>
      </w:r>
      <w:proofErr w:type="spellStart"/>
      <w:r w:rsidRPr="00546B8B">
        <w:rPr>
          <w:rFonts w:asciiTheme="majorBidi" w:hAnsiTheme="majorBidi" w:cstheme="majorBidi"/>
          <w:sz w:val="22"/>
          <w:szCs w:val="22"/>
          <w:shd w:val="clear" w:color="auto" w:fill="FFFFFF"/>
        </w:rPr>
        <w:t>Lienhoop</w:t>
      </w:r>
      <w:proofErr w:type="spellEnd"/>
      <w:r w:rsidRPr="00546B8B">
        <w:rPr>
          <w:rFonts w:asciiTheme="majorBidi" w:hAnsiTheme="majorBidi" w:cstheme="majorBidi"/>
          <w:sz w:val="22"/>
          <w:szCs w:val="22"/>
          <w:shd w:val="clear" w:color="auto" w:fill="FFFFFF"/>
        </w:rPr>
        <w:t xml:space="preserve">, N. </w:t>
      </w:r>
      <w:r w:rsidR="00FC6B6A" w:rsidRPr="00546B8B">
        <w:rPr>
          <w:rFonts w:asciiTheme="majorBidi" w:hAnsiTheme="majorBidi" w:cstheme="majorBidi"/>
          <w:sz w:val="22"/>
          <w:szCs w:val="22"/>
          <w:shd w:val="clear" w:color="auto" w:fill="FFFFFF"/>
        </w:rPr>
        <w:t>(</w:t>
      </w:r>
      <w:r w:rsidRPr="00546B8B">
        <w:rPr>
          <w:rFonts w:asciiTheme="majorBidi" w:hAnsiTheme="majorBidi" w:cstheme="majorBidi"/>
          <w:sz w:val="22"/>
          <w:szCs w:val="22"/>
          <w:shd w:val="clear" w:color="auto" w:fill="FFFFFF"/>
        </w:rPr>
        <w:t>2016</w:t>
      </w:r>
      <w:r w:rsidR="00FC6B6A" w:rsidRPr="00546B8B">
        <w:rPr>
          <w:rFonts w:asciiTheme="majorBidi" w:hAnsiTheme="majorBidi" w:cstheme="majorBidi"/>
          <w:sz w:val="22"/>
          <w:szCs w:val="22"/>
          <w:shd w:val="clear" w:color="auto" w:fill="FFFFFF"/>
        </w:rPr>
        <w:t>)</w:t>
      </w:r>
      <w:r w:rsidRPr="00546B8B">
        <w:rPr>
          <w:rFonts w:asciiTheme="majorBidi" w:hAnsiTheme="majorBidi" w:cstheme="majorBidi"/>
          <w:sz w:val="22"/>
          <w:szCs w:val="22"/>
          <w:shd w:val="clear" w:color="auto" w:fill="FFFFFF"/>
        </w:rPr>
        <w:t>. Exploring group dynamics in deliberative choice experiments.</w:t>
      </w:r>
      <w:r w:rsidRPr="00546B8B">
        <w:rPr>
          <w:rStyle w:val="apple-converted-space"/>
          <w:rFonts w:asciiTheme="majorBidi" w:hAnsiTheme="majorBidi" w:cstheme="majorBidi"/>
          <w:sz w:val="22"/>
          <w:szCs w:val="22"/>
          <w:shd w:val="clear" w:color="auto" w:fill="FFFFFF"/>
        </w:rPr>
        <w:t> </w:t>
      </w:r>
      <w:r w:rsidRPr="00546B8B">
        <w:rPr>
          <w:rFonts w:asciiTheme="majorBidi" w:hAnsiTheme="majorBidi" w:cstheme="majorBidi"/>
          <w:i/>
          <w:iCs/>
          <w:sz w:val="22"/>
          <w:szCs w:val="22"/>
          <w:shd w:val="clear" w:color="auto" w:fill="FFFFFF"/>
        </w:rPr>
        <w:t>Ecological Economics</w:t>
      </w:r>
      <w:r w:rsidRPr="00546B8B">
        <w:rPr>
          <w:rStyle w:val="apple-converted-space"/>
          <w:rFonts w:asciiTheme="majorBidi" w:hAnsiTheme="majorBidi" w:cstheme="majorBidi"/>
          <w:sz w:val="22"/>
          <w:szCs w:val="22"/>
          <w:shd w:val="clear" w:color="auto" w:fill="FFFFFF"/>
        </w:rPr>
        <w:t> </w:t>
      </w:r>
      <w:r w:rsidRPr="00546B8B">
        <w:rPr>
          <w:rFonts w:asciiTheme="majorBidi" w:hAnsiTheme="majorBidi" w:cstheme="majorBidi"/>
          <w:sz w:val="22"/>
          <w:szCs w:val="22"/>
          <w:shd w:val="clear" w:color="auto" w:fill="FFFFFF"/>
        </w:rPr>
        <w:t>123</w:t>
      </w:r>
      <w:r w:rsidR="00FC6B6A" w:rsidRPr="00546B8B">
        <w:rPr>
          <w:rFonts w:asciiTheme="majorBidi" w:hAnsiTheme="majorBidi" w:cstheme="majorBidi"/>
          <w:sz w:val="22"/>
          <w:szCs w:val="22"/>
          <w:shd w:val="clear" w:color="auto" w:fill="FFFFFF"/>
        </w:rPr>
        <w:t xml:space="preserve">: </w:t>
      </w:r>
      <w:r w:rsidRPr="00546B8B">
        <w:rPr>
          <w:rFonts w:asciiTheme="majorBidi" w:hAnsiTheme="majorBidi" w:cstheme="majorBidi"/>
          <w:sz w:val="22"/>
          <w:szCs w:val="22"/>
          <w:shd w:val="clear" w:color="auto" w:fill="FFFFFF"/>
        </w:rPr>
        <w:t>57-67.</w:t>
      </w:r>
    </w:p>
    <w:p w14:paraId="5DCDAB89" w14:textId="264511E2" w:rsidR="00A40B66" w:rsidRPr="00546B8B" w:rsidRDefault="00FC6B6A" w:rsidP="005043B9">
      <w:pPr>
        <w:ind w:left="284" w:hanging="284"/>
        <w:rPr>
          <w:rFonts w:asciiTheme="majorBidi" w:hAnsiTheme="majorBidi" w:cstheme="majorBidi"/>
          <w:sz w:val="22"/>
          <w:szCs w:val="22"/>
          <w:shd w:val="clear" w:color="auto" w:fill="FFFFFF"/>
        </w:rPr>
      </w:pPr>
      <w:proofErr w:type="spellStart"/>
      <w:r w:rsidRPr="00546B8B">
        <w:rPr>
          <w:rFonts w:asciiTheme="majorBidi" w:hAnsiTheme="majorBidi" w:cstheme="majorBidi"/>
          <w:sz w:val="22"/>
          <w:szCs w:val="22"/>
          <w:shd w:val="clear" w:color="auto" w:fill="FFFFFF"/>
        </w:rPr>
        <w:t>Vossler</w:t>
      </w:r>
      <w:proofErr w:type="spellEnd"/>
      <w:r w:rsidRPr="00546B8B">
        <w:rPr>
          <w:rFonts w:asciiTheme="majorBidi" w:hAnsiTheme="majorBidi" w:cstheme="majorBidi"/>
          <w:sz w:val="22"/>
          <w:szCs w:val="22"/>
          <w:shd w:val="clear" w:color="auto" w:fill="FFFFFF"/>
        </w:rPr>
        <w:t>, C.A.</w:t>
      </w:r>
      <w:r w:rsidR="005043B9" w:rsidRPr="00546B8B">
        <w:rPr>
          <w:rFonts w:asciiTheme="majorBidi" w:hAnsiTheme="majorBidi" w:cstheme="majorBidi"/>
          <w:sz w:val="22"/>
          <w:szCs w:val="22"/>
          <w:shd w:val="clear" w:color="auto" w:fill="FFFFFF"/>
        </w:rPr>
        <w:t>,</w:t>
      </w:r>
      <w:r w:rsidRPr="00546B8B">
        <w:rPr>
          <w:rFonts w:asciiTheme="majorBidi" w:hAnsiTheme="majorBidi" w:cstheme="majorBidi"/>
          <w:sz w:val="22"/>
          <w:szCs w:val="22"/>
          <w:shd w:val="clear" w:color="auto" w:fill="FFFFFF"/>
        </w:rPr>
        <w:t xml:space="preserve"> and Watson, S.B. (</w:t>
      </w:r>
      <w:r w:rsidR="00B54A12" w:rsidRPr="00546B8B">
        <w:rPr>
          <w:rFonts w:asciiTheme="majorBidi" w:hAnsiTheme="majorBidi" w:cstheme="majorBidi"/>
          <w:sz w:val="22"/>
          <w:szCs w:val="22"/>
          <w:shd w:val="clear" w:color="auto" w:fill="FFFFFF"/>
        </w:rPr>
        <w:t>2013</w:t>
      </w:r>
      <w:r w:rsidRPr="00546B8B">
        <w:rPr>
          <w:rFonts w:asciiTheme="majorBidi" w:hAnsiTheme="majorBidi" w:cstheme="majorBidi"/>
          <w:sz w:val="22"/>
          <w:szCs w:val="22"/>
          <w:shd w:val="clear" w:color="auto" w:fill="FFFFFF"/>
        </w:rPr>
        <w:t>)</w:t>
      </w:r>
      <w:r w:rsidR="00B54A12" w:rsidRPr="00546B8B">
        <w:rPr>
          <w:rFonts w:asciiTheme="majorBidi" w:hAnsiTheme="majorBidi" w:cstheme="majorBidi"/>
          <w:sz w:val="22"/>
          <w:szCs w:val="22"/>
          <w:shd w:val="clear" w:color="auto" w:fill="FFFFFF"/>
        </w:rPr>
        <w:t>. Understanding the consequences of consequentiality: Testing the validity of stated preferences in the field.</w:t>
      </w:r>
      <w:r w:rsidRPr="00546B8B">
        <w:rPr>
          <w:rFonts w:asciiTheme="majorBidi" w:hAnsiTheme="majorBidi" w:cstheme="majorBidi"/>
          <w:sz w:val="22"/>
          <w:szCs w:val="22"/>
          <w:shd w:val="clear" w:color="auto" w:fill="FFFFFF"/>
        </w:rPr>
        <w:t xml:space="preserve"> </w:t>
      </w:r>
      <w:r w:rsidR="00B54A12" w:rsidRPr="00546B8B">
        <w:rPr>
          <w:rFonts w:asciiTheme="majorBidi" w:hAnsiTheme="majorBidi" w:cstheme="majorBidi"/>
          <w:i/>
          <w:iCs/>
          <w:sz w:val="22"/>
          <w:szCs w:val="22"/>
          <w:shd w:val="clear" w:color="auto" w:fill="FFFFFF"/>
        </w:rPr>
        <w:t xml:space="preserve">Journal of Economic </w:t>
      </w:r>
      <w:proofErr w:type="spellStart"/>
      <w:r w:rsidR="00B54A12" w:rsidRPr="00546B8B">
        <w:rPr>
          <w:rFonts w:asciiTheme="majorBidi" w:hAnsiTheme="majorBidi" w:cstheme="majorBidi"/>
          <w:i/>
          <w:iCs/>
          <w:sz w:val="22"/>
          <w:szCs w:val="22"/>
          <w:shd w:val="clear" w:color="auto" w:fill="FFFFFF"/>
        </w:rPr>
        <w:t>Behavior</w:t>
      </w:r>
      <w:proofErr w:type="spellEnd"/>
      <w:r w:rsidR="00B54A12" w:rsidRPr="00546B8B">
        <w:rPr>
          <w:rFonts w:asciiTheme="majorBidi" w:hAnsiTheme="majorBidi" w:cstheme="majorBidi"/>
          <w:i/>
          <w:iCs/>
          <w:sz w:val="22"/>
          <w:szCs w:val="22"/>
          <w:shd w:val="clear" w:color="auto" w:fill="FFFFFF"/>
        </w:rPr>
        <w:t xml:space="preserve"> &amp; Organization</w:t>
      </w:r>
      <w:r w:rsidR="005043B9" w:rsidRPr="00546B8B">
        <w:rPr>
          <w:rStyle w:val="apple-converted-space"/>
          <w:rFonts w:asciiTheme="majorBidi" w:hAnsiTheme="majorBidi" w:cstheme="majorBidi"/>
          <w:sz w:val="22"/>
          <w:szCs w:val="22"/>
          <w:shd w:val="clear" w:color="auto" w:fill="FFFFFF"/>
        </w:rPr>
        <w:t xml:space="preserve"> </w:t>
      </w:r>
      <w:r w:rsidR="00B54A12" w:rsidRPr="00546B8B">
        <w:rPr>
          <w:rFonts w:asciiTheme="majorBidi" w:hAnsiTheme="majorBidi" w:cstheme="majorBidi"/>
          <w:sz w:val="22"/>
          <w:szCs w:val="22"/>
          <w:shd w:val="clear" w:color="auto" w:fill="FFFFFF"/>
        </w:rPr>
        <w:t>86</w:t>
      </w:r>
      <w:r w:rsidRPr="00546B8B">
        <w:rPr>
          <w:rFonts w:asciiTheme="majorBidi" w:hAnsiTheme="majorBidi" w:cstheme="majorBidi"/>
          <w:sz w:val="22"/>
          <w:szCs w:val="22"/>
          <w:shd w:val="clear" w:color="auto" w:fill="FFFFFF"/>
        </w:rPr>
        <w:t xml:space="preserve">: </w:t>
      </w:r>
      <w:r w:rsidR="00B54A12" w:rsidRPr="00546B8B">
        <w:rPr>
          <w:rFonts w:asciiTheme="majorBidi" w:hAnsiTheme="majorBidi" w:cstheme="majorBidi"/>
          <w:sz w:val="22"/>
          <w:szCs w:val="22"/>
          <w:shd w:val="clear" w:color="auto" w:fill="FFFFFF"/>
        </w:rPr>
        <w:t>137-147.</w:t>
      </w:r>
    </w:p>
    <w:p w14:paraId="477B04DC" w14:textId="42CBD548" w:rsidR="00A40B66" w:rsidRPr="00546B8B" w:rsidRDefault="00A40B66" w:rsidP="005043B9">
      <w:pPr>
        <w:autoSpaceDE w:val="0"/>
        <w:autoSpaceDN w:val="0"/>
        <w:adjustRightInd w:val="0"/>
        <w:ind w:left="284" w:hanging="284"/>
        <w:rPr>
          <w:rFonts w:asciiTheme="majorBidi" w:hAnsiTheme="majorBidi" w:cstheme="majorBidi"/>
          <w:sz w:val="22"/>
          <w:szCs w:val="22"/>
          <w:lang w:eastAsia="nl-NL"/>
        </w:rPr>
      </w:pPr>
      <w:r w:rsidRPr="00546B8B">
        <w:rPr>
          <w:rFonts w:asciiTheme="majorBidi" w:hAnsiTheme="majorBidi" w:cstheme="majorBidi"/>
          <w:sz w:val="22"/>
          <w:szCs w:val="22"/>
          <w:lang w:eastAsia="nl-NL"/>
        </w:rPr>
        <w:t>Wang, H.</w:t>
      </w:r>
      <w:r w:rsidR="005043B9" w:rsidRPr="00546B8B">
        <w:rPr>
          <w:rFonts w:asciiTheme="majorBidi" w:hAnsiTheme="majorBidi" w:cstheme="majorBidi"/>
          <w:sz w:val="22"/>
          <w:szCs w:val="22"/>
          <w:lang w:eastAsia="nl-NL"/>
        </w:rPr>
        <w:t>,</w:t>
      </w:r>
      <w:r w:rsidRPr="00546B8B">
        <w:rPr>
          <w:rFonts w:asciiTheme="majorBidi" w:hAnsiTheme="majorBidi" w:cstheme="majorBidi"/>
          <w:sz w:val="22"/>
          <w:szCs w:val="22"/>
          <w:lang w:eastAsia="nl-NL"/>
        </w:rPr>
        <w:t xml:space="preserve"> and Whittington, D. (2005). Measuring individuals’ valuation distributions using a stochastic payment card approach, </w:t>
      </w:r>
      <w:r w:rsidRPr="00546B8B">
        <w:rPr>
          <w:rFonts w:asciiTheme="majorBidi" w:hAnsiTheme="majorBidi" w:cstheme="majorBidi"/>
          <w:i/>
          <w:sz w:val="22"/>
          <w:szCs w:val="22"/>
          <w:lang w:eastAsia="nl-NL"/>
        </w:rPr>
        <w:t xml:space="preserve">Ecological Economics </w:t>
      </w:r>
      <w:r w:rsidR="00FC6B6A" w:rsidRPr="00546B8B">
        <w:rPr>
          <w:rFonts w:asciiTheme="majorBidi" w:hAnsiTheme="majorBidi" w:cstheme="majorBidi"/>
          <w:sz w:val="22"/>
          <w:szCs w:val="22"/>
          <w:lang w:eastAsia="nl-NL"/>
        </w:rPr>
        <w:t>55</w:t>
      </w:r>
      <w:r w:rsidRPr="00546B8B">
        <w:rPr>
          <w:rFonts w:asciiTheme="majorBidi" w:hAnsiTheme="majorBidi" w:cstheme="majorBidi"/>
          <w:sz w:val="22"/>
          <w:szCs w:val="22"/>
          <w:lang w:eastAsia="nl-NL"/>
        </w:rPr>
        <w:t>(2): 143-154.</w:t>
      </w:r>
    </w:p>
    <w:p w14:paraId="39E39EBD" w14:textId="197020DD" w:rsidR="00A40B66" w:rsidRPr="00546B8B" w:rsidRDefault="00A40B66" w:rsidP="005043B9">
      <w:pPr>
        <w:autoSpaceDE w:val="0"/>
        <w:autoSpaceDN w:val="0"/>
        <w:adjustRightInd w:val="0"/>
        <w:ind w:left="284" w:hanging="284"/>
        <w:rPr>
          <w:rFonts w:asciiTheme="majorBidi" w:hAnsiTheme="majorBidi" w:cstheme="majorBidi"/>
          <w:i/>
          <w:iCs/>
          <w:sz w:val="22"/>
          <w:szCs w:val="22"/>
          <w:lang w:eastAsia="nl-NL"/>
        </w:rPr>
      </w:pPr>
      <w:r w:rsidRPr="00546B8B">
        <w:rPr>
          <w:rFonts w:asciiTheme="majorBidi" w:hAnsiTheme="majorBidi" w:cstheme="majorBidi"/>
          <w:sz w:val="22"/>
          <w:szCs w:val="22"/>
          <w:lang w:eastAsia="nl-NL"/>
        </w:rPr>
        <w:lastRenderedPageBreak/>
        <w:t>Wetlands Int</w:t>
      </w:r>
      <w:r w:rsidR="00FC6B6A" w:rsidRPr="00546B8B">
        <w:rPr>
          <w:rFonts w:asciiTheme="majorBidi" w:hAnsiTheme="majorBidi" w:cstheme="majorBidi"/>
          <w:sz w:val="22"/>
          <w:szCs w:val="22"/>
          <w:lang w:eastAsia="nl-NL"/>
        </w:rPr>
        <w:t>ernational</w:t>
      </w:r>
      <w:r w:rsidRPr="00546B8B">
        <w:rPr>
          <w:rFonts w:asciiTheme="majorBidi" w:hAnsiTheme="majorBidi" w:cstheme="majorBidi"/>
          <w:sz w:val="22"/>
          <w:szCs w:val="22"/>
          <w:lang w:eastAsia="nl-NL"/>
        </w:rPr>
        <w:t xml:space="preserve"> (2007). </w:t>
      </w:r>
      <w:r w:rsidRPr="00546B8B">
        <w:rPr>
          <w:rFonts w:asciiTheme="majorBidi" w:hAnsiTheme="majorBidi" w:cstheme="majorBidi"/>
          <w:i/>
          <w:iCs/>
          <w:sz w:val="22"/>
          <w:szCs w:val="22"/>
          <w:lang w:eastAsia="nl-NL"/>
        </w:rPr>
        <w:t>Assessment on Peatlands, Biodiversity and Climate Change.</w:t>
      </w:r>
    </w:p>
    <w:p w14:paraId="146D3894" w14:textId="77777777" w:rsidR="00A40B66" w:rsidRPr="00546B8B" w:rsidRDefault="00A40B66" w:rsidP="005043B9">
      <w:pPr>
        <w:autoSpaceDE w:val="0"/>
        <w:autoSpaceDN w:val="0"/>
        <w:adjustRightInd w:val="0"/>
        <w:ind w:left="284" w:hanging="284"/>
        <w:rPr>
          <w:rFonts w:asciiTheme="majorBidi" w:hAnsiTheme="majorBidi" w:cstheme="majorBidi"/>
          <w:sz w:val="22"/>
          <w:szCs w:val="22"/>
          <w:lang w:eastAsia="nl-NL"/>
        </w:rPr>
      </w:pPr>
      <w:r w:rsidRPr="00546B8B">
        <w:rPr>
          <w:rFonts w:asciiTheme="majorBidi" w:hAnsiTheme="majorBidi" w:cstheme="majorBidi"/>
          <w:sz w:val="22"/>
          <w:szCs w:val="22"/>
          <w:lang w:eastAsia="nl-NL"/>
        </w:rPr>
        <w:t xml:space="preserve">Whittington, D. (1998). Administering contingent valuation surveys in developing countries, </w:t>
      </w:r>
      <w:r w:rsidRPr="00546B8B">
        <w:rPr>
          <w:rFonts w:asciiTheme="majorBidi" w:hAnsiTheme="majorBidi" w:cstheme="majorBidi"/>
          <w:i/>
          <w:iCs/>
          <w:sz w:val="22"/>
          <w:szCs w:val="22"/>
          <w:lang w:eastAsia="nl-NL"/>
        </w:rPr>
        <w:t xml:space="preserve">World Development </w:t>
      </w:r>
      <w:r w:rsidRPr="00546B8B">
        <w:rPr>
          <w:rFonts w:asciiTheme="majorBidi" w:hAnsiTheme="majorBidi" w:cstheme="majorBidi"/>
          <w:sz w:val="22"/>
          <w:szCs w:val="22"/>
          <w:lang w:eastAsia="nl-NL"/>
        </w:rPr>
        <w:t>26: 21-30.</w:t>
      </w:r>
    </w:p>
    <w:p w14:paraId="43E3DC05" w14:textId="77777777" w:rsidR="00A40B66" w:rsidRPr="00546B8B" w:rsidRDefault="00A40B66" w:rsidP="005043B9">
      <w:pPr>
        <w:autoSpaceDE w:val="0"/>
        <w:autoSpaceDN w:val="0"/>
        <w:adjustRightInd w:val="0"/>
        <w:ind w:left="284" w:hanging="284"/>
        <w:rPr>
          <w:rFonts w:asciiTheme="majorBidi" w:hAnsiTheme="majorBidi" w:cstheme="majorBidi"/>
          <w:sz w:val="22"/>
          <w:szCs w:val="22"/>
          <w:lang w:eastAsia="nl-NL"/>
        </w:rPr>
      </w:pPr>
      <w:r w:rsidRPr="00546B8B">
        <w:rPr>
          <w:rFonts w:asciiTheme="majorBidi" w:hAnsiTheme="majorBidi" w:cstheme="majorBidi"/>
          <w:sz w:val="22"/>
          <w:szCs w:val="22"/>
          <w:lang w:eastAsia="nl-NL"/>
        </w:rPr>
        <w:t xml:space="preserve">Whittington, D. (2002). Improving the Performance of Contingent Valuation Studies in Developing Countries, </w:t>
      </w:r>
      <w:r w:rsidRPr="00546B8B">
        <w:rPr>
          <w:rFonts w:asciiTheme="majorBidi" w:hAnsiTheme="majorBidi" w:cstheme="majorBidi"/>
          <w:i/>
          <w:sz w:val="22"/>
          <w:szCs w:val="22"/>
          <w:lang w:eastAsia="nl-NL"/>
        </w:rPr>
        <w:t>Environment and Resource Economics</w:t>
      </w:r>
      <w:r w:rsidRPr="00546B8B">
        <w:rPr>
          <w:rFonts w:asciiTheme="majorBidi" w:hAnsiTheme="majorBidi" w:cstheme="majorBidi"/>
          <w:sz w:val="22"/>
          <w:szCs w:val="22"/>
          <w:lang w:eastAsia="nl-NL"/>
        </w:rPr>
        <w:t xml:space="preserve"> 22: 323-367.</w:t>
      </w:r>
    </w:p>
    <w:p w14:paraId="06221AED" w14:textId="0840169C" w:rsidR="004D3EDF" w:rsidRPr="00546B8B" w:rsidRDefault="00A40B66" w:rsidP="00DF7507">
      <w:pPr>
        <w:autoSpaceDE w:val="0"/>
        <w:autoSpaceDN w:val="0"/>
        <w:adjustRightInd w:val="0"/>
        <w:ind w:left="284" w:hanging="284"/>
      </w:pPr>
      <w:proofErr w:type="spellStart"/>
      <w:r w:rsidRPr="00546B8B">
        <w:rPr>
          <w:rFonts w:asciiTheme="majorBidi" w:hAnsiTheme="majorBidi" w:cstheme="majorBidi"/>
          <w:sz w:val="22"/>
          <w:szCs w:val="22"/>
          <w:lang w:eastAsia="nl-NL"/>
        </w:rPr>
        <w:t>Wiken</w:t>
      </w:r>
      <w:proofErr w:type="spellEnd"/>
      <w:r w:rsidRPr="00546B8B">
        <w:rPr>
          <w:rFonts w:asciiTheme="majorBidi" w:hAnsiTheme="majorBidi" w:cstheme="majorBidi"/>
          <w:sz w:val="22"/>
          <w:szCs w:val="22"/>
          <w:lang w:eastAsia="nl-NL"/>
        </w:rPr>
        <w:t xml:space="preserve"> E., </w:t>
      </w:r>
      <w:proofErr w:type="spellStart"/>
      <w:r w:rsidRPr="00546B8B">
        <w:rPr>
          <w:rFonts w:asciiTheme="majorBidi" w:hAnsiTheme="majorBidi" w:cstheme="majorBidi"/>
          <w:sz w:val="22"/>
          <w:szCs w:val="22"/>
          <w:lang w:eastAsia="nl-NL"/>
        </w:rPr>
        <w:t>Heyde</w:t>
      </w:r>
      <w:proofErr w:type="spellEnd"/>
      <w:r w:rsidRPr="00546B8B">
        <w:rPr>
          <w:rFonts w:asciiTheme="majorBidi" w:hAnsiTheme="majorBidi" w:cstheme="majorBidi"/>
          <w:sz w:val="22"/>
          <w:szCs w:val="22"/>
          <w:lang w:eastAsia="nl-NL"/>
        </w:rPr>
        <w:t xml:space="preserve"> J., Noor R. J.(WI), </w:t>
      </w:r>
      <w:proofErr w:type="spellStart"/>
      <w:r w:rsidRPr="00546B8B">
        <w:rPr>
          <w:rFonts w:asciiTheme="majorBidi" w:hAnsiTheme="majorBidi" w:cstheme="majorBidi"/>
          <w:sz w:val="22"/>
          <w:szCs w:val="22"/>
          <w:lang w:eastAsia="nl-NL"/>
        </w:rPr>
        <w:t>Ngurah</w:t>
      </w:r>
      <w:proofErr w:type="spellEnd"/>
      <w:r w:rsidRPr="00546B8B">
        <w:rPr>
          <w:rFonts w:asciiTheme="majorBidi" w:hAnsiTheme="majorBidi" w:cstheme="majorBidi"/>
          <w:sz w:val="22"/>
          <w:szCs w:val="22"/>
          <w:lang w:eastAsia="nl-NL"/>
        </w:rPr>
        <w:t xml:space="preserve"> I. N., </w:t>
      </w:r>
      <w:proofErr w:type="spellStart"/>
      <w:r w:rsidRPr="00546B8B">
        <w:rPr>
          <w:rFonts w:asciiTheme="majorBidi" w:hAnsiTheme="majorBidi" w:cstheme="majorBidi"/>
          <w:sz w:val="22"/>
          <w:szCs w:val="22"/>
          <w:lang w:eastAsia="nl-NL"/>
        </w:rPr>
        <w:t>Suryadiputra</w:t>
      </w:r>
      <w:proofErr w:type="spellEnd"/>
      <w:r w:rsidRPr="00546B8B">
        <w:rPr>
          <w:rFonts w:asciiTheme="majorBidi" w:hAnsiTheme="majorBidi" w:cstheme="majorBidi"/>
          <w:sz w:val="22"/>
          <w:szCs w:val="22"/>
          <w:lang w:eastAsia="nl-NL"/>
        </w:rPr>
        <w:t xml:space="preserve">, </w:t>
      </w:r>
      <w:proofErr w:type="spellStart"/>
      <w:r w:rsidRPr="00546B8B">
        <w:rPr>
          <w:rFonts w:asciiTheme="majorBidi" w:hAnsiTheme="majorBidi" w:cstheme="majorBidi"/>
          <w:sz w:val="22"/>
          <w:szCs w:val="22"/>
          <w:lang w:eastAsia="nl-NL"/>
        </w:rPr>
        <w:t>Dohong</w:t>
      </w:r>
      <w:proofErr w:type="spellEnd"/>
      <w:r w:rsidRPr="00546B8B">
        <w:rPr>
          <w:rFonts w:asciiTheme="majorBidi" w:hAnsiTheme="majorBidi" w:cstheme="majorBidi"/>
          <w:sz w:val="22"/>
          <w:szCs w:val="22"/>
          <w:lang w:eastAsia="nl-NL"/>
        </w:rPr>
        <w:t xml:space="preserve"> A., Cinq-Mars J.,</w:t>
      </w:r>
      <w:r w:rsidR="005043B9" w:rsidRPr="00546B8B">
        <w:rPr>
          <w:rFonts w:asciiTheme="majorBidi" w:hAnsiTheme="majorBidi" w:cstheme="majorBidi"/>
          <w:sz w:val="22"/>
          <w:szCs w:val="22"/>
          <w:lang w:eastAsia="nl-NL"/>
        </w:rPr>
        <w:t xml:space="preserve"> and</w:t>
      </w:r>
      <w:r w:rsidRPr="00546B8B">
        <w:rPr>
          <w:rFonts w:asciiTheme="majorBidi" w:hAnsiTheme="majorBidi" w:cstheme="majorBidi"/>
          <w:sz w:val="22"/>
          <w:szCs w:val="22"/>
          <w:lang w:eastAsia="nl-NL"/>
        </w:rPr>
        <w:t xml:space="preserve"> </w:t>
      </w:r>
      <w:proofErr w:type="spellStart"/>
      <w:r w:rsidRPr="00546B8B">
        <w:rPr>
          <w:rFonts w:asciiTheme="majorBidi" w:hAnsiTheme="majorBidi" w:cstheme="majorBidi"/>
          <w:sz w:val="22"/>
          <w:szCs w:val="22"/>
          <w:lang w:eastAsia="nl-NL"/>
        </w:rPr>
        <w:t>Latsch</w:t>
      </w:r>
      <w:proofErr w:type="spellEnd"/>
      <w:r w:rsidRPr="00546B8B">
        <w:rPr>
          <w:rFonts w:asciiTheme="majorBidi" w:hAnsiTheme="majorBidi" w:cstheme="majorBidi"/>
          <w:sz w:val="22"/>
          <w:szCs w:val="22"/>
          <w:lang w:eastAsia="nl-NL"/>
        </w:rPr>
        <w:t xml:space="preserve"> C. (2004). </w:t>
      </w:r>
      <w:r w:rsidRPr="00546B8B">
        <w:rPr>
          <w:rFonts w:asciiTheme="majorBidi" w:hAnsiTheme="majorBidi" w:cstheme="majorBidi"/>
          <w:i/>
          <w:iCs/>
          <w:sz w:val="22"/>
          <w:szCs w:val="22"/>
          <w:lang w:eastAsia="nl-NL"/>
        </w:rPr>
        <w:t>Restoration of orangutan habitats in the peatland for</w:t>
      </w:r>
      <w:r w:rsidR="00E11E3F" w:rsidRPr="00546B8B">
        <w:rPr>
          <w:rFonts w:asciiTheme="majorBidi" w:hAnsiTheme="majorBidi" w:cstheme="majorBidi"/>
          <w:i/>
          <w:iCs/>
          <w:sz w:val="22"/>
          <w:szCs w:val="22"/>
          <w:lang w:eastAsia="nl-NL"/>
        </w:rPr>
        <w:t>e</w:t>
      </w:r>
      <w:r w:rsidRPr="00546B8B">
        <w:rPr>
          <w:rFonts w:asciiTheme="majorBidi" w:hAnsiTheme="majorBidi" w:cstheme="majorBidi"/>
          <w:i/>
          <w:iCs/>
          <w:sz w:val="22"/>
          <w:szCs w:val="22"/>
          <w:lang w:eastAsia="nl-NL"/>
        </w:rPr>
        <w:t>sts of Indonesia</w:t>
      </w:r>
      <w:r w:rsidRPr="00546B8B">
        <w:rPr>
          <w:rFonts w:asciiTheme="majorBidi" w:hAnsiTheme="majorBidi" w:cstheme="majorBidi"/>
          <w:sz w:val="22"/>
          <w:szCs w:val="22"/>
          <w:lang w:eastAsia="nl-NL"/>
        </w:rPr>
        <w:t>. Paper Prepared for Presentation at the 16th Annual Conference of the Society for Ecological Restoration.</w:t>
      </w:r>
    </w:p>
    <w:sectPr w:rsidR="004D3EDF" w:rsidRPr="00546B8B" w:rsidSect="00C65F0E">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1D7A9" w14:textId="77777777" w:rsidR="00F2495D" w:rsidRDefault="00F2495D" w:rsidP="003E2DC9">
      <w:r>
        <w:separator/>
      </w:r>
    </w:p>
  </w:endnote>
  <w:endnote w:type="continuationSeparator" w:id="0">
    <w:p w14:paraId="60834052" w14:textId="77777777" w:rsidR="00F2495D" w:rsidRDefault="00F2495D" w:rsidP="003E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embo">
    <w:altName w:val="宋体"/>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942046"/>
      <w:docPartObj>
        <w:docPartGallery w:val="Page Numbers (Bottom of Page)"/>
        <w:docPartUnique/>
      </w:docPartObj>
    </w:sdtPr>
    <w:sdtEndPr>
      <w:rPr>
        <w:noProof/>
      </w:rPr>
    </w:sdtEndPr>
    <w:sdtContent>
      <w:p w14:paraId="66947BF0" w14:textId="53387FBE" w:rsidR="008D7CFE" w:rsidRDefault="008D7CFE">
        <w:pPr>
          <w:pStyle w:val="Footer"/>
          <w:jc w:val="center"/>
        </w:pPr>
        <w:r>
          <w:fldChar w:fldCharType="begin"/>
        </w:r>
        <w:r>
          <w:instrText xml:space="preserve"> PAGE   \* MERGEFORMAT </w:instrText>
        </w:r>
        <w:r>
          <w:fldChar w:fldCharType="separate"/>
        </w:r>
        <w:r w:rsidR="00506E1E">
          <w:rPr>
            <w:noProof/>
          </w:rPr>
          <w:t>25</w:t>
        </w:r>
        <w:r>
          <w:rPr>
            <w:noProof/>
          </w:rPr>
          <w:fldChar w:fldCharType="end"/>
        </w:r>
      </w:p>
    </w:sdtContent>
  </w:sdt>
  <w:p w14:paraId="1E93E52D" w14:textId="77777777" w:rsidR="008D7CFE" w:rsidRDefault="008D7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29F76" w14:textId="77777777" w:rsidR="00F2495D" w:rsidRDefault="00F2495D" w:rsidP="003E2DC9">
      <w:r>
        <w:separator/>
      </w:r>
    </w:p>
  </w:footnote>
  <w:footnote w:type="continuationSeparator" w:id="0">
    <w:p w14:paraId="30A84A59" w14:textId="77777777" w:rsidR="00F2495D" w:rsidRDefault="00F2495D" w:rsidP="003E2DC9">
      <w:r>
        <w:continuationSeparator/>
      </w:r>
    </w:p>
  </w:footnote>
  <w:footnote w:id="1">
    <w:p w14:paraId="056598F2" w14:textId="2CE1CF1D" w:rsidR="008D7CFE" w:rsidRPr="00B5396F" w:rsidRDefault="008D7CFE" w:rsidP="00AA37EE">
      <w:pPr>
        <w:pStyle w:val="FootnoteText"/>
      </w:pPr>
      <w:r>
        <w:rPr>
          <w:rStyle w:val="FootnoteReference"/>
        </w:rPr>
        <w:footnoteRef/>
      </w:r>
      <w:r>
        <w:t xml:space="preserve"> The paper applies an exchange rate of </w:t>
      </w:r>
      <w:r>
        <w:rPr>
          <w:rStyle w:val="xesmall"/>
        </w:rPr>
        <w:t>1 Euro = 13,000 Indonesian Rupiah</w:t>
      </w:r>
    </w:p>
  </w:footnote>
  <w:footnote w:id="2">
    <w:p w14:paraId="44AF8D58" w14:textId="62E34CC9" w:rsidR="008D7CFE" w:rsidRDefault="008D7CFE">
      <w:pPr>
        <w:pStyle w:val="FootnoteText"/>
      </w:pPr>
      <w:r>
        <w:rPr>
          <w:rStyle w:val="FootnoteReference"/>
        </w:rPr>
        <w:footnoteRef/>
      </w:r>
      <w:r>
        <w:t xml:space="preserve"> A mixed logit model with an additional random parameter for the community activities attribute (with a normal distribution) resulted in a better LL and AIC but worse BIC (</w:t>
      </w:r>
      <w:r w:rsidRPr="000608C7">
        <w:rPr>
          <w:rFonts w:cstheme="minorHAnsi"/>
          <w:color w:val="000000"/>
        </w:rPr>
        <w:t>LL=</w:t>
      </w:r>
      <w:r>
        <w:rPr>
          <w:rFonts w:cstheme="minorHAnsi"/>
          <w:color w:val="000000"/>
        </w:rPr>
        <w:t>-98</w:t>
      </w:r>
      <w:r w:rsidRPr="00EB61EE">
        <w:rPr>
          <w:rFonts w:cstheme="minorHAnsi"/>
          <w:color w:val="000000"/>
        </w:rPr>
        <w:t>5.</w:t>
      </w:r>
      <w:r>
        <w:rPr>
          <w:rFonts w:cstheme="minorHAnsi"/>
          <w:color w:val="000000"/>
        </w:rPr>
        <w:t>2</w:t>
      </w:r>
      <w:r w:rsidRPr="000608C7">
        <w:rPr>
          <w:rFonts w:cstheme="minorHAnsi"/>
          <w:color w:val="000000"/>
        </w:rPr>
        <w:t>, AIC=</w:t>
      </w:r>
      <w:r>
        <w:rPr>
          <w:rFonts w:cstheme="minorHAnsi"/>
          <w:color w:val="000000"/>
        </w:rPr>
        <w:t>1992.4, BIC=2051.5</w:t>
      </w:r>
      <w:r>
        <w:t xml:space="preserve">). </w:t>
      </w:r>
      <w:r w:rsidRPr="004567B1">
        <w:t>The</w:t>
      </w:r>
      <w:r>
        <w:t xml:space="preserve"> WTA estimates were not significantly different and the other parameter estimates were similar. We therefore opted for the most parsimonious model.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8230B6"/>
    <w:lvl w:ilvl="0">
      <w:start w:val="1"/>
      <w:numFmt w:val="bullet"/>
      <w:pStyle w:val="ListBullet"/>
      <w:lvlText w:val=""/>
      <w:lvlJc w:val="left"/>
      <w:pPr>
        <w:tabs>
          <w:tab w:val="num" w:pos="360"/>
        </w:tabs>
        <w:ind w:left="284" w:hanging="284"/>
      </w:pPr>
      <w:rPr>
        <w:rFonts w:ascii="Symbol" w:hAnsi="Symbol" w:hint="default"/>
        <w:sz w:val="18"/>
      </w:rPr>
    </w:lvl>
  </w:abstractNum>
  <w:abstractNum w:abstractNumId="1" w15:restartNumberingAfterBreak="0">
    <w:nsid w:val="01CB6D05"/>
    <w:multiLevelType w:val="hybridMultilevel"/>
    <w:tmpl w:val="4328C6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10DE8"/>
    <w:multiLevelType w:val="hybridMultilevel"/>
    <w:tmpl w:val="60B20B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901C8"/>
    <w:multiLevelType w:val="hybridMultilevel"/>
    <w:tmpl w:val="1A92A138"/>
    <w:lvl w:ilvl="0" w:tplc="8A18223E">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BE6FFC"/>
    <w:multiLevelType w:val="hybridMultilevel"/>
    <w:tmpl w:val="9C96A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01FED"/>
    <w:multiLevelType w:val="hybridMultilevel"/>
    <w:tmpl w:val="1C542E80"/>
    <w:lvl w:ilvl="0" w:tplc="356867D6">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D2B8F"/>
    <w:multiLevelType w:val="hybridMultilevel"/>
    <w:tmpl w:val="20C68E20"/>
    <w:lvl w:ilvl="0" w:tplc="FAEE3F9E">
      <w:numFmt w:val="bullet"/>
      <w:pStyle w:val="ListNumber"/>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F91BFD"/>
    <w:multiLevelType w:val="hybridMultilevel"/>
    <w:tmpl w:val="69BCDF3E"/>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43F7C"/>
    <w:multiLevelType w:val="hybridMultilevel"/>
    <w:tmpl w:val="67D48862"/>
    <w:lvl w:ilvl="0" w:tplc="359E63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D1ABC"/>
    <w:multiLevelType w:val="hybridMultilevel"/>
    <w:tmpl w:val="8C006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2B55DC"/>
    <w:multiLevelType w:val="hybridMultilevel"/>
    <w:tmpl w:val="07B40418"/>
    <w:lvl w:ilvl="0" w:tplc="359E63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541EC"/>
    <w:multiLevelType w:val="hybridMultilevel"/>
    <w:tmpl w:val="9020C5B6"/>
    <w:lvl w:ilvl="0" w:tplc="10F6219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6E2452"/>
    <w:multiLevelType w:val="hybridMultilevel"/>
    <w:tmpl w:val="40CAF578"/>
    <w:lvl w:ilvl="0" w:tplc="04130017">
      <w:start w:val="1"/>
      <w:numFmt w:val="lowerLetter"/>
      <w:lvlText w:val="%1)"/>
      <w:lvlJc w:val="left"/>
      <w:pPr>
        <w:tabs>
          <w:tab w:val="num" w:pos="360"/>
        </w:tabs>
        <w:ind w:left="360" w:hanging="360"/>
      </w:pPr>
      <w:rPr>
        <w:rFont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6"/>
  </w:num>
  <w:num w:numId="4">
    <w:abstractNumId w:val="12"/>
  </w:num>
  <w:num w:numId="5">
    <w:abstractNumId w:val="3"/>
  </w:num>
  <w:num w:numId="6">
    <w:abstractNumId w:val="10"/>
  </w:num>
  <w:num w:numId="7">
    <w:abstractNumId w:val="11"/>
  </w:num>
  <w:num w:numId="8">
    <w:abstractNumId w:val="7"/>
  </w:num>
  <w:num w:numId="9">
    <w:abstractNumId w:val="2"/>
  </w:num>
  <w:num w:numId="10">
    <w:abstractNumId w:val="9"/>
  </w:num>
  <w:num w:numId="11">
    <w:abstractNumId w:val="4"/>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A7"/>
    <w:rsid w:val="000001B5"/>
    <w:rsid w:val="000001F4"/>
    <w:rsid w:val="000018F0"/>
    <w:rsid w:val="00001EA4"/>
    <w:rsid w:val="000024DA"/>
    <w:rsid w:val="00002F5D"/>
    <w:rsid w:val="00003574"/>
    <w:rsid w:val="00004C95"/>
    <w:rsid w:val="00004DBF"/>
    <w:rsid w:val="000050EC"/>
    <w:rsid w:val="00006D67"/>
    <w:rsid w:val="000106A8"/>
    <w:rsid w:val="00010A0D"/>
    <w:rsid w:val="00010E03"/>
    <w:rsid w:val="00010F31"/>
    <w:rsid w:val="0001211C"/>
    <w:rsid w:val="0001225A"/>
    <w:rsid w:val="00013219"/>
    <w:rsid w:val="00013798"/>
    <w:rsid w:val="000146E5"/>
    <w:rsid w:val="00016035"/>
    <w:rsid w:val="000169A2"/>
    <w:rsid w:val="00016EA8"/>
    <w:rsid w:val="000170B6"/>
    <w:rsid w:val="000174C1"/>
    <w:rsid w:val="00017A49"/>
    <w:rsid w:val="00020072"/>
    <w:rsid w:val="000204B0"/>
    <w:rsid w:val="00020AAC"/>
    <w:rsid w:val="00020D46"/>
    <w:rsid w:val="000213A5"/>
    <w:rsid w:val="00022099"/>
    <w:rsid w:val="00022280"/>
    <w:rsid w:val="00022991"/>
    <w:rsid w:val="000232F8"/>
    <w:rsid w:val="000234C4"/>
    <w:rsid w:val="000237D3"/>
    <w:rsid w:val="0002592B"/>
    <w:rsid w:val="00025CB5"/>
    <w:rsid w:val="00025FC1"/>
    <w:rsid w:val="000272F3"/>
    <w:rsid w:val="00030E40"/>
    <w:rsid w:val="00032290"/>
    <w:rsid w:val="0003243B"/>
    <w:rsid w:val="0003256C"/>
    <w:rsid w:val="00032589"/>
    <w:rsid w:val="000327DA"/>
    <w:rsid w:val="00032ADD"/>
    <w:rsid w:val="000334EA"/>
    <w:rsid w:val="000343E2"/>
    <w:rsid w:val="000349E9"/>
    <w:rsid w:val="00034F41"/>
    <w:rsid w:val="00035359"/>
    <w:rsid w:val="00035522"/>
    <w:rsid w:val="00035F24"/>
    <w:rsid w:val="00036080"/>
    <w:rsid w:val="000361AA"/>
    <w:rsid w:val="00036565"/>
    <w:rsid w:val="00036FF2"/>
    <w:rsid w:val="0003718A"/>
    <w:rsid w:val="00037884"/>
    <w:rsid w:val="00037E5A"/>
    <w:rsid w:val="00040065"/>
    <w:rsid w:val="00040DC3"/>
    <w:rsid w:val="00041140"/>
    <w:rsid w:val="000417E4"/>
    <w:rsid w:val="00041C34"/>
    <w:rsid w:val="00043340"/>
    <w:rsid w:val="00043692"/>
    <w:rsid w:val="0004379D"/>
    <w:rsid w:val="00043E64"/>
    <w:rsid w:val="00045057"/>
    <w:rsid w:val="00045523"/>
    <w:rsid w:val="00045936"/>
    <w:rsid w:val="00046A1B"/>
    <w:rsid w:val="00047EAB"/>
    <w:rsid w:val="00050969"/>
    <w:rsid w:val="00050C2F"/>
    <w:rsid w:val="00050F7E"/>
    <w:rsid w:val="00052098"/>
    <w:rsid w:val="000522B1"/>
    <w:rsid w:val="00052E9C"/>
    <w:rsid w:val="00053C07"/>
    <w:rsid w:val="00055306"/>
    <w:rsid w:val="000557BB"/>
    <w:rsid w:val="00055DCF"/>
    <w:rsid w:val="000565BB"/>
    <w:rsid w:val="000566D1"/>
    <w:rsid w:val="00056DCB"/>
    <w:rsid w:val="00060A32"/>
    <w:rsid w:val="00061403"/>
    <w:rsid w:val="000614C1"/>
    <w:rsid w:val="00063B97"/>
    <w:rsid w:val="00063D5E"/>
    <w:rsid w:val="000640FF"/>
    <w:rsid w:val="00064F4B"/>
    <w:rsid w:val="00065470"/>
    <w:rsid w:val="00067489"/>
    <w:rsid w:val="000676E1"/>
    <w:rsid w:val="00067D3D"/>
    <w:rsid w:val="00067FE0"/>
    <w:rsid w:val="0007321C"/>
    <w:rsid w:val="00073C8D"/>
    <w:rsid w:val="000749D1"/>
    <w:rsid w:val="00074B0E"/>
    <w:rsid w:val="00075312"/>
    <w:rsid w:val="00076F19"/>
    <w:rsid w:val="00080FA7"/>
    <w:rsid w:val="000812B1"/>
    <w:rsid w:val="00081D99"/>
    <w:rsid w:val="00083C2F"/>
    <w:rsid w:val="000841D2"/>
    <w:rsid w:val="0008492F"/>
    <w:rsid w:val="00084E63"/>
    <w:rsid w:val="000862B1"/>
    <w:rsid w:val="0008768D"/>
    <w:rsid w:val="00087F02"/>
    <w:rsid w:val="00090269"/>
    <w:rsid w:val="0009065E"/>
    <w:rsid w:val="000909F3"/>
    <w:rsid w:val="00091A71"/>
    <w:rsid w:val="00091E48"/>
    <w:rsid w:val="0009250D"/>
    <w:rsid w:val="00092E12"/>
    <w:rsid w:val="00093022"/>
    <w:rsid w:val="00093101"/>
    <w:rsid w:val="000947FF"/>
    <w:rsid w:val="0009494C"/>
    <w:rsid w:val="00095E97"/>
    <w:rsid w:val="00096833"/>
    <w:rsid w:val="0009740A"/>
    <w:rsid w:val="00097424"/>
    <w:rsid w:val="000A0309"/>
    <w:rsid w:val="000A06B1"/>
    <w:rsid w:val="000A0C91"/>
    <w:rsid w:val="000A0CA0"/>
    <w:rsid w:val="000A0F91"/>
    <w:rsid w:val="000A195D"/>
    <w:rsid w:val="000A19BF"/>
    <w:rsid w:val="000A1AF9"/>
    <w:rsid w:val="000A2854"/>
    <w:rsid w:val="000A28C1"/>
    <w:rsid w:val="000A2AF3"/>
    <w:rsid w:val="000A311A"/>
    <w:rsid w:val="000A33EF"/>
    <w:rsid w:val="000A39C1"/>
    <w:rsid w:val="000A3A5A"/>
    <w:rsid w:val="000A3D8D"/>
    <w:rsid w:val="000A58C4"/>
    <w:rsid w:val="000A615D"/>
    <w:rsid w:val="000A6789"/>
    <w:rsid w:val="000A7654"/>
    <w:rsid w:val="000B026D"/>
    <w:rsid w:val="000B1065"/>
    <w:rsid w:val="000B1B86"/>
    <w:rsid w:val="000B28BA"/>
    <w:rsid w:val="000B544C"/>
    <w:rsid w:val="000B558F"/>
    <w:rsid w:val="000B5BAF"/>
    <w:rsid w:val="000B6F10"/>
    <w:rsid w:val="000B7D1E"/>
    <w:rsid w:val="000C0D12"/>
    <w:rsid w:val="000C0D30"/>
    <w:rsid w:val="000C1326"/>
    <w:rsid w:val="000C168C"/>
    <w:rsid w:val="000C1B08"/>
    <w:rsid w:val="000C2334"/>
    <w:rsid w:val="000C273B"/>
    <w:rsid w:val="000C27CC"/>
    <w:rsid w:val="000C3D2F"/>
    <w:rsid w:val="000C4818"/>
    <w:rsid w:val="000C5E6F"/>
    <w:rsid w:val="000C658C"/>
    <w:rsid w:val="000C768A"/>
    <w:rsid w:val="000C7996"/>
    <w:rsid w:val="000D11C7"/>
    <w:rsid w:val="000D1B14"/>
    <w:rsid w:val="000D1F8D"/>
    <w:rsid w:val="000D2AD5"/>
    <w:rsid w:val="000D2D97"/>
    <w:rsid w:val="000D376C"/>
    <w:rsid w:val="000D420F"/>
    <w:rsid w:val="000D6A5A"/>
    <w:rsid w:val="000D6F21"/>
    <w:rsid w:val="000D6FEC"/>
    <w:rsid w:val="000D700F"/>
    <w:rsid w:val="000E04E0"/>
    <w:rsid w:val="000E06D3"/>
    <w:rsid w:val="000E1854"/>
    <w:rsid w:val="000E1D99"/>
    <w:rsid w:val="000E2056"/>
    <w:rsid w:val="000E322C"/>
    <w:rsid w:val="000E5204"/>
    <w:rsid w:val="000E6220"/>
    <w:rsid w:val="000E6553"/>
    <w:rsid w:val="000E75A4"/>
    <w:rsid w:val="000F050B"/>
    <w:rsid w:val="000F0A9B"/>
    <w:rsid w:val="000F16E1"/>
    <w:rsid w:val="000F191E"/>
    <w:rsid w:val="000F1E3A"/>
    <w:rsid w:val="000F224F"/>
    <w:rsid w:val="000F22FD"/>
    <w:rsid w:val="000F2589"/>
    <w:rsid w:val="000F27D8"/>
    <w:rsid w:val="000F3B16"/>
    <w:rsid w:val="000F3CC2"/>
    <w:rsid w:val="000F4536"/>
    <w:rsid w:val="000F45FF"/>
    <w:rsid w:val="000F536D"/>
    <w:rsid w:val="000F557F"/>
    <w:rsid w:val="000F6690"/>
    <w:rsid w:val="000F72FA"/>
    <w:rsid w:val="000F7F06"/>
    <w:rsid w:val="00100299"/>
    <w:rsid w:val="00100364"/>
    <w:rsid w:val="0010096B"/>
    <w:rsid w:val="00100B01"/>
    <w:rsid w:val="001012FB"/>
    <w:rsid w:val="0010150A"/>
    <w:rsid w:val="00101868"/>
    <w:rsid w:val="0010191D"/>
    <w:rsid w:val="00101DFF"/>
    <w:rsid w:val="001022F3"/>
    <w:rsid w:val="0010257F"/>
    <w:rsid w:val="0010317D"/>
    <w:rsid w:val="00103A28"/>
    <w:rsid w:val="00104265"/>
    <w:rsid w:val="00104E27"/>
    <w:rsid w:val="0010500A"/>
    <w:rsid w:val="001055DB"/>
    <w:rsid w:val="001059AC"/>
    <w:rsid w:val="001059B9"/>
    <w:rsid w:val="00107AD1"/>
    <w:rsid w:val="001102BF"/>
    <w:rsid w:val="00111584"/>
    <w:rsid w:val="001125FD"/>
    <w:rsid w:val="00113CF3"/>
    <w:rsid w:val="0011593B"/>
    <w:rsid w:val="001169D4"/>
    <w:rsid w:val="00116DE5"/>
    <w:rsid w:val="00116EA9"/>
    <w:rsid w:val="0011721B"/>
    <w:rsid w:val="00117249"/>
    <w:rsid w:val="001177ED"/>
    <w:rsid w:val="00120D1D"/>
    <w:rsid w:val="00121A15"/>
    <w:rsid w:val="00121FF0"/>
    <w:rsid w:val="00124CC4"/>
    <w:rsid w:val="00125D31"/>
    <w:rsid w:val="00126931"/>
    <w:rsid w:val="00126DD5"/>
    <w:rsid w:val="0012721A"/>
    <w:rsid w:val="00127BF9"/>
    <w:rsid w:val="00127D7F"/>
    <w:rsid w:val="00127ECF"/>
    <w:rsid w:val="00127EFF"/>
    <w:rsid w:val="001306AA"/>
    <w:rsid w:val="001313A8"/>
    <w:rsid w:val="00132CDF"/>
    <w:rsid w:val="0013323A"/>
    <w:rsid w:val="00134C6F"/>
    <w:rsid w:val="00134FC4"/>
    <w:rsid w:val="00135E70"/>
    <w:rsid w:val="00135E78"/>
    <w:rsid w:val="00135EDC"/>
    <w:rsid w:val="001363F5"/>
    <w:rsid w:val="00136963"/>
    <w:rsid w:val="0013721B"/>
    <w:rsid w:val="0013771E"/>
    <w:rsid w:val="001377FB"/>
    <w:rsid w:val="00137D04"/>
    <w:rsid w:val="00140EF2"/>
    <w:rsid w:val="001417A7"/>
    <w:rsid w:val="001425D1"/>
    <w:rsid w:val="00143719"/>
    <w:rsid w:val="00143ACC"/>
    <w:rsid w:val="00143AD1"/>
    <w:rsid w:val="0014402C"/>
    <w:rsid w:val="0014594A"/>
    <w:rsid w:val="00145AC0"/>
    <w:rsid w:val="001505C6"/>
    <w:rsid w:val="0015068E"/>
    <w:rsid w:val="00152408"/>
    <w:rsid w:val="001535A0"/>
    <w:rsid w:val="00155259"/>
    <w:rsid w:val="0015640A"/>
    <w:rsid w:val="00156808"/>
    <w:rsid w:val="0015699E"/>
    <w:rsid w:val="00156D9C"/>
    <w:rsid w:val="00156F15"/>
    <w:rsid w:val="00157462"/>
    <w:rsid w:val="00157C4A"/>
    <w:rsid w:val="001604AB"/>
    <w:rsid w:val="00160796"/>
    <w:rsid w:val="00161C13"/>
    <w:rsid w:val="00162294"/>
    <w:rsid w:val="00162AFF"/>
    <w:rsid w:val="00163A4F"/>
    <w:rsid w:val="00163B9D"/>
    <w:rsid w:val="001644A5"/>
    <w:rsid w:val="001649DB"/>
    <w:rsid w:val="0016538E"/>
    <w:rsid w:val="001666F4"/>
    <w:rsid w:val="00166FFB"/>
    <w:rsid w:val="00170056"/>
    <w:rsid w:val="0017116B"/>
    <w:rsid w:val="001712A3"/>
    <w:rsid w:val="00171C3C"/>
    <w:rsid w:val="0017200A"/>
    <w:rsid w:val="00172814"/>
    <w:rsid w:val="00173D6A"/>
    <w:rsid w:val="001740DE"/>
    <w:rsid w:val="00174FDC"/>
    <w:rsid w:val="0017526D"/>
    <w:rsid w:val="001756CE"/>
    <w:rsid w:val="00175E6F"/>
    <w:rsid w:val="001768A3"/>
    <w:rsid w:val="0017701D"/>
    <w:rsid w:val="00180B9B"/>
    <w:rsid w:val="00180BA1"/>
    <w:rsid w:val="00180E82"/>
    <w:rsid w:val="00180F79"/>
    <w:rsid w:val="001810FB"/>
    <w:rsid w:val="0018223A"/>
    <w:rsid w:val="001830E0"/>
    <w:rsid w:val="00184CAC"/>
    <w:rsid w:val="00184DCB"/>
    <w:rsid w:val="0018580F"/>
    <w:rsid w:val="00185B57"/>
    <w:rsid w:val="00186953"/>
    <w:rsid w:val="00187202"/>
    <w:rsid w:val="001900DB"/>
    <w:rsid w:val="001901B8"/>
    <w:rsid w:val="00190ADE"/>
    <w:rsid w:val="001916FC"/>
    <w:rsid w:val="001932EF"/>
    <w:rsid w:val="001938F7"/>
    <w:rsid w:val="00194636"/>
    <w:rsid w:val="001948EC"/>
    <w:rsid w:val="001948FC"/>
    <w:rsid w:val="001951CD"/>
    <w:rsid w:val="0019550A"/>
    <w:rsid w:val="00195717"/>
    <w:rsid w:val="001957FB"/>
    <w:rsid w:val="00195E5C"/>
    <w:rsid w:val="00195ECB"/>
    <w:rsid w:val="00196704"/>
    <w:rsid w:val="001969FF"/>
    <w:rsid w:val="0019792E"/>
    <w:rsid w:val="001A009D"/>
    <w:rsid w:val="001A0375"/>
    <w:rsid w:val="001A0477"/>
    <w:rsid w:val="001A0AA9"/>
    <w:rsid w:val="001A2F77"/>
    <w:rsid w:val="001A3248"/>
    <w:rsid w:val="001A4DB9"/>
    <w:rsid w:val="001A5F08"/>
    <w:rsid w:val="001A6188"/>
    <w:rsid w:val="001A6B32"/>
    <w:rsid w:val="001A70B5"/>
    <w:rsid w:val="001B078A"/>
    <w:rsid w:val="001B0C88"/>
    <w:rsid w:val="001B0F6C"/>
    <w:rsid w:val="001B1A6E"/>
    <w:rsid w:val="001B2113"/>
    <w:rsid w:val="001B4271"/>
    <w:rsid w:val="001B44F8"/>
    <w:rsid w:val="001B5506"/>
    <w:rsid w:val="001B5668"/>
    <w:rsid w:val="001B627E"/>
    <w:rsid w:val="001B66E1"/>
    <w:rsid w:val="001B70A8"/>
    <w:rsid w:val="001B77BA"/>
    <w:rsid w:val="001B79A4"/>
    <w:rsid w:val="001B7C23"/>
    <w:rsid w:val="001C08D1"/>
    <w:rsid w:val="001C1456"/>
    <w:rsid w:val="001C191F"/>
    <w:rsid w:val="001C1B98"/>
    <w:rsid w:val="001C26EC"/>
    <w:rsid w:val="001C326D"/>
    <w:rsid w:val="001C3D8A"/>
    <w:rsid w:val="001C4FA7"/>
    <w:rsid w:val="001C640D"/>
    <w:rsid w:val="001C70AA"/>
    <w:rsid w:val="001D0BE7"/>
    <w:rsid w:val="001D0F9A"/>
    <w:rsid w:val="001D0FC1"/>
    <w:rsid w:val="001D11D6"/>
    <w:rsid w:val="001D14F6"/>
    <w:rsid w:val="001D1C51"/>
    <w:rsid w:val="001D3099"/>
    <w:rsid w:val="001D32ED"/>
    <w:rsid w:val="001D32F9"/>
    <w:rsid w:val="001D373D"/>
    <w:rsid w:val="001D3C03"/>
    <w:rsid w:val="001D4159"/>
    <w:rsid w:val="001D4F79"/>
    <w:rsid w:val="001D6167"/>
    <w:rsid w:val="001D6D13"/>
    <w:rsid w:val="001D78A5"/>
    <w:rsid w:val="001D7FE8"/>
    <w:rsid w:val="001E02E9"/>
    <w:rsid w:val="001E0C0C"/>
    <w:rsid w:val="001E0FDA"/>
    <w:rsid w:val="001E170C"/>
    <w:rsid w:val="001E174E"/>
    <w:rsid w:val="001E1B8D"/>
    <w:rsid w:val="001E1D77"/>
    <w:rsid w:val="001E2218"/>
    <w:rsid w:val="001E346A"/>
    <w:rsid w:val="001E3755"/>
    <w:rsid w:val="001E3F08"/>
    <w:rsid w:val="001E44C1"/>
    <w:rsid w:val="001E6FA6"/>
    <w:rsid w:val="001E7E73"/>
    <w:rsid w:val="001F03B7"/>
    <w:rsid w:val="001F06D4"/>
    <w:rsid w:val="001F0925"/>
    <w:rsid w:val="001F154A"/>
    <w:rsid w:val="001F1FAD"/>
    <w:rsid w:val="001F2224"/>
    <w:rsid w:val="001F2604"/>
    <w:rsid w:val="001F3588"/>
    <w:rsid w:val="001F3684"/>
    <w:rsid w:val="001F4242"/>
    <w:rsid w:val="001F4D62"/>
    <w:rsid w:val="001F4DDA"/>
    <w:rsid w:val="001F56BC"/>
    <w:rsid w:val="001F6BBF"/>
    <w:rsid w:val="001F7423"/>
    <w:rsid w:val="001F7F63"/>
    <w:rsid w:val="002002B8"/>
    <w:rsid w:val="002018EB"/>
    <w:rsid w:val="0020246A"/>
    <w:rsid w:val="0020327A"/>
    <w:rsid w:val="00204010"/>
    <w:rsid w:val="0020492A"/>
    <w:rsid w:val="002049A7"/>
    <w:rsid w:val="00204B97"/>
    <w:rsid w:val="002061CF"/>
    <w:rsid w:val="002068CC"/>
    <w:rsid w:val="0021122F"/>
    <w:rsid w:val="00211A3D"/>
    <w:rsid w:val="00212ABA"/>
    <w:rsid w:val="00212BE1"/>
    <w:rsid w:val="0021324C"/>
    <w:rsid w:val="00213592"/>
    <w:rsid w:val="0021370F"/>
    <w:rsid w:val="00214311"/>
    <w:rsid w:val="00214E60"/>
    <w:rsid w:val="00214E8C"/>
    <w:rsid w:val="00215E50"/>
    <w:rsid w:val="00216054"/>
    <w:rsid w:val="002167FC"/>
    <w:rsid w:val="00216D79"/>
    <w:rsid w:val="0021759D"/>
    <w:rsid w:val="00220338"/>
    <w:rsid w:val="002210C6"/>
    <w:rsid w:val="002212A7"/>
    <w:rsid w:val="00221C0E"/>
    <w:rsid w:val="002225E8"/>
    <w:rsid w:val="0022279F"/>
    <w:rsid w:val="002230BB"/>
    <w:rsid w:val="00223661"/>
    <w:rsid w:val="00223721"/>
    <w:rsid w:val="002239D9"/>
    <w:rsid w:val="00223EB9"/>
    <w:rsid w:val="0022420E"/>
    <w:rsid w:val="002254D4"/>
    <w:rsid w:val="0022648C"/>
    <w:rsid w:val="00227C64"/>
    <w:rsid w:val="00230ADD"/>
    <w:rsid w:val="00230D2A"/>
    <w:rsid w:val="00230EE0"/>
    <w:rsid w:val="0023193C"/>
    <w:rsid w:val="00231B59"/>
    <w:rsid w:val="0023202C"/>
    <w:rsid w:val="0023229F"/>
    <w:rsid w:val="00232E6C"/>
    <w:rsid w:val="002346DF"/>
    <w:rsid w:val="0023523D"/>
    <w:rsid w:val="00235D5E"/>
    <w:rsid w:val="002361C8"/>
    <w:rsid w:val="0023692A"/>
    <w:rsid w:val="002372F9"/>
    <w:rsid w:val="00237E25"/>
    <w:rsid w:val="00240F71"/>
    <w:rsid w:val="0024164D"/>
    <w:rsid w:val="0024232E"/>
    <w:rsid w:val="002436E5"/>
    <w:rsid w:val="002437AD"/>
    <w:rsid w:val="00244246"/>
    <w:rsid w:val="0024478F"/>
    <w:rsid w:val="00244D6F"/>
    <w:rsid w:val="002463BE"/>
    <w:rsid w:val="00246538"/>
    <w:rsid w:val="00247CCF"/>
    <w:rsid w:val="0025154C"/>
    <w:rsid w:val="00251E6B"/>
    <w:rsid w:val="00252319"/>
    <w:rsid w:val="00252E26"/>
    <w:rsid w:val="00252F27"/>
    <w:rsid w:val="00253EC4"/>
    <w:rsid w:val="002540FC"/>
    <w:rsid w:val="0025496F"/>
    <w:rsid w:val="002549F4"/>
    <w:rsid w:val="00255107"/>
    <w:rsid w:val="00255221"/>
    <w:rsid w:val="002552DB"/>
    <w:rsid w:val="0025555A"/>
    <w:rsid w:val="00255DD0"/>
    <w:rsid w:val="002560C4"/>
    <w:rsid w:val="002563D6"/>
    <w:rsid w:val="002565FB"/>
    <w:rsid w:val="00256E7C"/>
    <w:rsid w:val="00257089"/>
    <w:rsid w:val="002576B6"/>
    <w:rsid w:val="00257B38"/>
    <w:rsid w:val="00260E0F"/>
    <w:rsid w:val="0026144D"/>
    <w:rsid w:val="002618CC"/>
    <w:rsid w:val="00261A3D"/>
    <w:rsid w:val="00261BF9"/>
    <w:rsid w:val="00263956"/>
    <w:rsid w:val="00263B8C"/>
    <w:rsid w:val="002641B6"/>
    <w:rsid w:val="00264408"/>
    <w:rsid w:val="00264A94"/>
    <w:rsid w:val="002651B6"/>
    <w:rsid w:val="00265F29"/>
    <w:rsid w:val="0026635D"/>
    <w:rsid w:val="002665A3"/>
    <w:rsid w:val="00266C03"/>
    <w:rsid w:val="00267F07"/>
    <w:rsid w:val="00267F55"/>
    <w:rsid w:val="0027012A"/>
    <w:rsid w:val="002714AE"/>
    <w:rsid w:val="002724D1"/>
    <w:rsid w:val="002732CA"/>
    <w:rsid w:val="002739CE"/>
    <w:rsid w:val="00273D4F"/>
    <w:rsid w:val="00274058"/>
    <w:rsid w:val="0027419B"/>
    <w:rsid w:val="0027457B"/>
    <w:rsid w:val="00274684"/>
    <w:rsid w:val="002752CB"/>
    <w:rsid w:val="00276728"/>
    <w:rsid w:val="00276BCD"/>
    <w:rsid w:val="00280A98"/>
    <w:rsid w:val="00281121"/>
    <w:rsid w:val="002816AC"/>
    <w:rsid w:val="00281C9B"/>
    <w:rsid w:val="00282714"/>
    <w:rsid w:val="002836C4"/>
    <w:rsid w:val="00283EC5"/>
    <w:rsid w:val="00283FD7"/>
    <w:rsid w:val="00285BDA"/>
    <w:rsid w:val="00286143"/>
    <w:rsid w:val="002875EF"/>
    <w:rsid w:val="00290098"/>
    <w:rsid w:val="00290BEA"/>
    <w:rsid w:val="00291B19"/>
    <w:rsid w:val="002921E2"/>
    <w:rsid w:val="002923BC"/>
    <w:rsid w:val="00292AC2"/>
    <w:rsid w:val="00294310"/>
    <w:rsid w:val="002945D4"/>
    <w:rsid w:val="00294D00"/>
    <w:rsid w:val="00294F6B"/>
    <w:rsid w:val="00296070"/>
    <w:rsid w:val="002973C4"/>
    <w:rsid w:val="002974C5"/>
    <w:rsid w:val="002979F2"/>
    <w:rsid w:val="00297B01"/>
    <w:rsid w:val="002A086C"/>
    <w:rsid w:val="002A11AC"/>
    <w:rsid w:val="002A121F"/>
    <w:rsid w:val="002A1BD2"/>
    <w:rsid w:val="002A204D"/>
    <w:rsid w:val="002A2820"/>
    <w:rsid w:val="002A3765"/>
    <w:rsid w:val="002A4030"/>
    <w:rsid w:val="002A50A5"/>
    <w:rsid w:val="002A50BD"/>
    <w:rsid w:val="002A5E20"/>
    <w:rsid w:val="002A6043"/>
    <w:rsid w:val="002A6D9D"/>
    <w:rsid w:val="002A6E24"/>
    <w:rsid w:val="002A7167"/>
    <w:rsid w:val="002B0867"/>
    <w:rsid w:val="002B0A24"/>
    <w:rsid w:val="002B1732"/>
    <w:rsid w:val="002B22CC"/>
    <w:rsid w:val="002B26D3"/>
    <w:rsid w:val="002B2E60"/>
    <w:rsid w:val="002B3A88"/>
    <w:rsid w:val="002B4703"/>
    <w:rsid w:val="002B4C13"/>
    <w:rsid w:val="002B55BF"/>
    <w:rsid w:val="002B6F22"/>
    <w:rsid w:val="002B78F4"/>
    <w:rsid w:val="002B7AFB"/>
    <w:rsid w:val="002B7E53"/>
    <w:rsid w:val="002C00D4"/>
    <w:rsid w:val="002C044A"/>
    <w:rsid w:val="002C0A3D"/>
    <w:rsid w:val="002C16BA"/>
    <w:rsid w:val="002C2002"/>
    <w:rsid w:val="002C2350"/>
    <w:rsid w:val="002C32E2"/>
    <w:rsid w:val="002C3934"/>
    <w:rsid w:val="002C3D77"/>
    <w:rsid w:val="002C434C"/>
    <w:rsid w:val="002C44C0"/>
    <w:rsid w:val="002C4E15"/>
    <w:rsid w:val="002C5995"/>
    <w:rsid w:val="002C5CDB"/>
    <w:rsid w:val="002C6CEC"/>
    <w:rsid w:val="002C6E1A"/>
    <w:rsid w:val="002C7BBC"/>
    <w:rsid w:val="002D0178"/>
    <w:rsid w:val="002D1117"/>
    <w:rsid w:val="002D1366"/>
    <w:rsid w:val="002D1475"/>
    <w:rsid w:val="002D1EC4"/>
    <w:rsid w:val="002D215B"/>
    <w:rsid w:val="002D2CE5"/>
    <w:rsid w:val="002D2F99"/>
    <w:rsid w:val="002D3318"/>
    <w:rsid w:val="002D34E2"/>
    <w:rsid w:val="002D40BE"/>
    <w:rsid w:val="002D46C7"/>
    <w:rsid w:val="002D4C2E"/>
    <w:rsid w:val="002D4DBD"/>
    <w:rsid w:val="002D5961"/>
    <w:rsid w:val="002D596A"/>
    <w:rsid w:val="002D5985"/>
    <w:rsid w:val="002D6FA9"/>
    <w:rsid w:val="002D7F73"/>
    <w:rsid w:val="002E0DC3"/>
    <w:rsid w:val="002E165B"/>
    <w:rsid w:val="002E1B21"/>
    <w:rsid w:val="002E35CD"/>
    <w:rsid w:val="002E3AC6"/>
    <w:rsid w:val="002E3F01"/>
    <w:rsid w:val="002E400C"/>
    <w:rsid w:val="002E4420"/>
    <w:rsid w:val="002E4B9B"/>
    <w:rsid w:val="002E64E1"/>
    <w:rsid w:val="002E6506"/>
    <w:rsid w:val="002E74B9"/>
    <w:rsid w:val="002E7F35"/>
    <w:rsid w:val="002F06B7"/>
    <w:rsid w:val="002F0C9C"/>
    <w:rsid w:val="002F130B"/>
    <w:rsid w:val="002F28B6"/>
    <w:rsid w:val="002F296C"/>
    <w:rsid w:val="002F4A59"/>
    <w:rsid w:val="002F4E3D"/>
    <w:rsid w:val="002F63AC"/>
    <w:rsid w:val="002F6699"/>
    <w:rsid w:val="002F67A6"/>
    <w:rsid w:val="002F7535"/>
    <w:rsid w:val="00300A06"/>
    <w:rsid w:val="00301121"/>
    <w:rsid w:val="00301534"/>
    <w:rsid w:val="00301FEF"/>
    <w:rsid w:val="003032DB"/>
    <w:rsid w:val="00303C88"/>
    <w:rsid w:val="00304185"/>
    <w:rsid w:val="003045D8"/>
    <w:rsid w:val="00304EB1"/>
    <w:rsid w:val="00306B88"/>
    <w:rsid w:val="00306E49"/>
    <w:rsid w:val="003073C2"/>
    <w:rsid w:val="00307492"/>
    <w:rsid w:val="00310A60"/>
    <w:rsid w:val="00310FC4"/>
    <w:rsid w:val="00311597"/>
    <w:rsid w:val="00312A9B"/>
    <w:rsid w:val="00313423"/>
    <w:rsid w:val="00313D60"/>
    <w:rsid w:val="00314193"/>
    <w:rsid w:val="00315CB7"/>
    <w:rsid w:val="003160E4"/>
    <w:rsid w:val="003161DB"/>
    <w:rsid w:val="0031687C"/>
    <w:rsid w:val="00317059"/>
    <w:rsid w:val="00317194"/>
    <w:rsid w:val="0031745A"/>
    <w:rsid w:val="003177EF"/>
    <w:rsid w:val="00317C93"/>
    <w:rsid w:val="00320A31"/>
    <w:rsid w:val="00321138"/>
    <w:rsid w:val="003211FE"/>
    <w:rsid w:val="003216E2"/>
    <w:rsid w:val="00321FD0"/>
    <w:rsid w:val="00322DF6"/>
    <w:rsid w:val="00323C53"/>
    <w:rsid w:val="00323CAD"/>
    <w:rsid w:val="00323F09"/>
    <w:rsid w:val="00323F80"/>
    <w:rsid w:val="00324AB6"/>
    <w:rsid w:val="00324DF5"/>
    <w:rsid w:val="00326978"/>
    <w:rsid w:val="00326E25"/>
    <w:rsid w:val="00327BBD"/>
    <w:rsid w:val="0033055E"/>
    <w:rsid w:val="0033068C"/>
    <w:rsid w:val="00332313"/>
    <w:rsid w:val="00332EB3"/>
    <w:rsid w:val="00333BF3"/>
    <w:rsid w:val="00333BFB"/>
    <w:rsid w:val="00335956"/>
    <w:rsid w:val="003369AB"/>
    <w:rsid w:val="00336E30"/>
    <w:rsid w:val="00337575"/>
    <w:rsid w:val="003375A8"/>
    <w:rsid w:val="00337C89"/>
    <w:rsid w:val="003412BA"/>
    <w:rsid w:val="00341458"/>
    <w:rsid w:val="00342529"/>
    <w:rsid w:val="003431E7"/>
    <w:rsid w:val="00343FC8"/>
    <w:rsid w:val="003441CE"/>
    <w:rsid w:val="00344427"/>
    <w:rsid w:val="003471F8"/>
    <w:rsid w:val="0034720E"/>
    <w:rsid w:val="003501C9"/>
    <w:rsid w:val="00350FA9"/>
    <w:rsid w:val="00351CDA"/>
    <w:rsid w:val="00352637"/>
    <w:rsid w:val="00352820"/>
    <w:rsid w:val="003528AE"/>
    <w:rsid w:val="00352D04"/>
    <w:rsid w:val="00352D95"/>
    <w:rsid w:val="00352F57"/>
    <w:rsid w:val="00353329"/>
    <w:rsid w:val="0035492C"/>
    <w:rsid w:val="00354947"/>
    <w:rsid w:val="00354A67"/>
    <w:rsid w:val="00354F25"/>
    <w:rsid w:val="0035547C"/>
    <w:rsid w:val="00355682"/>
    <w:rsid w:val="003558A1"/>
    <w:rsid w:val="003562FF"/>
    <w:rsid w:val="00356701"/>
    <w:rsid w:val="003579B6"/>
    <w:rsid w:val="003608F7"/>
    <w:rsid w:val="00361793"/>
    <w:rsid w:val="00361991"/>
    <w:rsid w:val="0036320D"/>
    <w:rsid w:val="003639AD"/>
    <w:rsid w:val="00364168"/>
    <w:rsid w:val="00364B40"/>
    <w:rsid w:val="00365C4B"/>
    <w:rsid w:val="003665C5"/>
    <w:rsid w:val="003666CE"/>
    <w:rsid w:val="00366C7F"/>
    <w:rsid w:val="00366C8A"/>
    <w:rsid w:val="00367C4C"/>
    <w:rsid w:val="00371411"/>
    <w:rsid w:val="0037148B"/>
    <w:rsid w:val="00371FA6"/>
    <w:rsid w:val="0037251B"/>
    <w:rsid w:val="00372B56"/>
    <w:rsid w:val="00372BE4"/>
    <w:rsid w:val="0037374E"/>
    <w:rsid w:val="00373B91"/>
    <w:rsid w:val="00373F0B"/>
    <w:rsid w:val="00374341"/>
    <w:rsid w:val="0037479B"/>
    <w:rsid w:val="003757DB"/>
    <w:rsid w:val="00375BCF"/>
    <w:rsid w:val="0037663F"/>
    <w:rsid w:val="003772BF"/>
    <w:rsid w:val="00380D85"/>
    <w:rsid w:val="00380E29"/>
    <w:rsid w:val="00381DFD"/>
    <w:rsid w:val="00382152"/>
    <w:rsid w:val="003824D6"/>
    <w:rsid w:val="003830EC"/>
    <w:rsid w:val="0038372A"/>
    <w:rsid w:val="00384068"/>
    <w:rsid w:val="00384296"/>
    <w:rsid w:val="00384508"/>
    <w:rsid w:val="0038535F"/>
    <w:rsid w:val="00385557"/>
    <w:rsid w:val="00385866"/>
    <w:rsid w:val="0038594D"/>
    <w:rsid w:val="003861EB"/>
    <w:rsid w:val="00386522"/>
    <w:rsid w:val="00386740"/>
    <w:rsid w:val="003867CD"/>
    <w:rsid w:val="00386940"/>
    <w:rsid w:val="003872E7"/>
    <w:rsid w:val="00387F39"/>
    <w:rsid w:val="003906BA"/>
    <w:rsid w:val="00390A79"/>
    <w:rsid w:val="00390B0F"/>
    <w:rsid w:val="003912AF"/>
    <w:rsid w:val="003913D8"/>
    <w:rsid w:val="00391E2C"/>
    <w:rsid w:val="00392A74"/>
    <w:rsid w:val="00393A1B"/>
    <w:rsid w:val="0039445B"/>
    <w:rsid w:val="00394D04"/>
    <w:rsid w:val="003953CB"/>
    <w:rsid w:val="003963A2"/>
    <w:rsid w:val="00396CA0"/>
    <w:rsid w:val="003972D9"/>
    <w:rsid w:val="00397C55"/>
    <w:rsid w:val="00397E8E"/>
    <w:rsid w:val="003A1605"/>
    <w:rsid w:val="003A2DAD"/>
    <w:rsid w:val="003A3F2D"/>
    <w:rsid w:val="003A4475"/>
    <w:rsid w:val="003A48C6"/>
    <w:rsid w:val="003A4B69"/>
    <w:rsid w:val="003A5579"/>
    <w:rsid w:val="003A581E"/>
    <w:rsid w:val="003A638D"/>
    <w:rsid w:val="003A6529"/>
    <w:rsid w:val="003A795C"/>
    <w:rsid w:val="003B02CE"/>
    <w:rsid w:val="003B0BAE"/>
    <w:rsid w:val="003B1586"/>
    <w:rsid w:val="003B171F"/>
    <w:rsid w:val="003B1E3B"/>
    <w:rsid w:val="003B25DB"/>
    <w:rsid w:val="003B3358"/>
    <w:rsid w:val="003B406C"/>
    <w:rsid w:val="003B4388"/>
    <w:rsid w:val="003B5ED6"/>
    <w:rsid w:val="003B6F62"/>
    <w:rsid w:val="003B712A"/>
    <w:rsid w:val="003C081D"/>
    <w:rsid w:val="003C12B9"/>
    <w:rsid w:val="003C1802"/>
    <w:rsid w:val="003C1AFC"/>
    <w:rsid w:val="003C28E1"/>
    <w:rsid w:val="003C2BD4"/>
    <w:rsid w:val="003C2D4D"/>
    <w:rsid w:val="003C3099"/>
    <w:rsid w:val="003C545D"/>
    <w:rsid w:val="003C576A"/>
    <w:rsid w:val="003C6269"/>
    <w:rsid w:val="003C6275"/>
    <w:rsid w:val="003C7F15"/>
    <w:rsid w:val="003D015D"/>
    <w:rsid w:val="003D103A"/>
    <w:rsid w:val="003D113C"/>
    <w:rsid w:val="003D29EC"/>
    <w:rsid w:val="003D313B"/>
    <w:rsid w:val="003D3514"/>
    <w:rsid w:val="003D3E9F"/>
    <w:rsid w:val="003D469E"/>
    <w:rsid w:val="003D48A2"/>
    <w:rsid w:val="003D536A"/>
    <w:rsid w:val="003D5F13"/>
    <w:rsid w:val="003D5FD0"/>
    <w:rsid w:val="003D6397"/>
    <w:rsid w:val="003D67DB"/>
    <w:rsid w:val="003D6BE2"/>
    <w:rsid w:val="003E050A"/>
    <w:rsid w:val="003E0CAB"/>
    <w:rsid w:val="003E0E8E"/>
    <w:rsid w:val="003E148F"/>
    <w:rsid w:val="003E2DC9"/>
    <w:rsid w:val="003E2FB1"/>
    <w:rsid w:val="003E3499"/>
    <w:rsid w:val="003E3885"/>
    <w:rsid w:val="003E5417"/>
    <w:rsid w:val="003E63F6"/>
    <w:rsid w:val="003F1336"/>
    <w:rsid w:val="003F15A7"/>
    <w:rsid w:val="003F16D4"/>
    <w:rsid w:val="003F217D"/>
    <w:rsid w:val="003F2464"/>
    <w:rsid w:val="003F2B9C"/>
    <w:rsid w:val="003F2EDA"/>
    <w:rsid w:val="003F3239"/>
    <w:rsid w:val="003F3413"/>
    <w:rsid w:val="003F367D"/>
    <w:rsid w:val="003F3B44"/>
    <w:rsid w:val="003F3D2E"/>
    <w:rsid w:val="003F3EB9"/>
    <w:rsid w:val="003F50BE"/>
    <w:rsid w:val="003F5374"/>
    <w:rsid w:val="003F69ED"/>
    <w:rsid w:val="003F6E8C"/>
    <w:rsid w:val="003F79F0"/>
    <w:rsid w:val="00401940"/>
    <w:rsid w:val="00401ABD"/>
    <w:rsid w:val="00402571"/>
    <w:rsid w:val="00402F19"/>
    <w:rsid w:val="00403A80"/>
    <w:rsid w:val="00405AEF"/>
    <w:rsid w:val="00406735"/>
    <w:rsid w:val="00406F3D"/>
    <w:rsid w:val="0040773C"/>
    <w:rsid w:val="00407978"/>
    <w:rsid w:val="004100B9"/>
    <w:rsid w:val="0041049E"/>
    <w:rsid w:val="00410BE9"/>
    <w:rsid w:val="00411264"/>
    <w:rsid w:val="00411E06"/>
    <w:rsid w:val="00413349"/>
    <w:rsid w:val="004136B1"/>
    <w:rsid w:val="00414418"/>
    <w:rsid w:val="004159A2"/>
    <w:rsid w:val="00415D28"/>
    <w:rsid w:val="0041612C"/>
    <w:rsid w:val="00416290"/>
    <w:rsid w:val="00416726"/>
    <w:rsid w:val="004167BF"/>
    <w:rsid w:val="00416886"/>
    <w:rsid w:val="00416E41"/>
    <w:rsid w:val="00417A35"/>
    <w:rsid w:val="00417B53"/>
    <w:rsid w:val="00417F40"/>
    <w:rsid w:val="00420EC6"/>
    <w:rsid w:val="004216CF"/>
    <w:rsid w:val="00421F83"/>
    <w:rsid w:val="00422CCB"/>
    <w:rsid w:val="00423693"/>
    <w:rsid w:val="00423EE3"/>
    <w:rsid w:val="00426635"/>
    <w:rsid w:val="0042705C"/>
    <w:rsid w:val="00427152"/>
    <w:rsid w:val="004276F5"/>
    <w:rsid w:val="0043105A"/>
    <w:rsid w:val="00431ADC"/>
    <w:rsid w:val="00431FFF"/>
    <w:rsid w:val="00432F94"/>
    <w:rsid w:val="00434BB0"/>
    <w:rsid w:val="00434FC8"/>
    <w:rsid w:val="004355D3"/>
    <w:rsid w:val="0043562D"/>
    <w:rsid w:val="00437461"/>
    <w:rsid w:val="00437E78"/>
    <w:rsid w:val="004401DD"/>
    <w:rsid w:val="004403AE"/>
    <w:rsid w:val="00441280"/>
    <w:rsid w:val="00441CC4"/>
    <w:rsid w:val="00442BF4"/>
    <w:rsid w:val="00443807"/>
    <w:rsid w:val="00443969"/>
    <w:rsid w:val="00444734"/>
    <w:rsid w:val="00445AF1"/>
    <w:rsid w:val="00445D7A"/>
    <w:rsid w:val="004473EF"/>
    <w:rsid w:val="004504CC"/>
    <w:rsid w:val="00451A71"/>
    <w:rsid w:val="00451DAD"/>
    <w:rsid w:val="00452A79"/>
    <w:rsid w:val="00452E06"/>
    <w:rsid w:val="00454A09"/>
    <w:rsid w:val="004557DC"/>
    <w:rsid w:val="00455CD4"/>
    <w:rsid w:val="0045655C"/>
    <w:rsid w:val="004567B1"/>
    <w:rsid w:val="00456FAB"/>
    <w:rsid w:val="004631DE"/>
    <w:rsid w:val="004632B2"/>
    <w:rsid w:val="00463F4D"/>
    <w:rsid w:val="004640E6"/>
    <w:rsid w:val="004660C5"/>
    <w:rsid w:val="004661EB"/>
    <w:rsid w:val="00466EBB"/>
    <w:rsid w:val="00466ED4"/>
    <w:rsid w:val="00467609"/>
    <w:rsid w:val="0046770D"/>
    <w:rsid w:val="00470254"/>
    <w:rsid w:val="00471734"/>
    <w:rsid w:val="00471B0B"/>
    <w:rsid w:val="00472BEE"/>
    <w:rsid w:val="00473122"/>
    <w:rsid w:val="00474026"/>
    <w:rsid w:val="0047573F"/>
    <w:rsid w:val="0047612C"/>
    <w:rsid w:val="00476A3A"/>
    <w:rsid w:val="00476C49"/>
    <w:rsid w:val="00477403"/>
    <w:rsid w:val="00477D2B"/>
    <w:rsid w:val="00480656"/>
    <w:rsid w:val="004812B9"/>
    <w:rsid w:val="00481747"/>
    <w:rsid w:val="00481FCF"/>
    <w:rsid w:val="0048323F"/>
    <w:rsid w:val="004832C6"/>
    <w:rsid w:val="00483835"/>
    <w:rsid w:val="004842E6"/>
    <w:rsid w:val="004844B3"/>
    <w:rsid w:val="00484743"/>
    <w:rsid w:val="0048500D"/>
    <w:rsid w:val="00485281"/>
    <w:rsid w:val="0048541F"/>
    <w:rsid w:val="00486954"/>
    <w:rsid w:val="00487256"/>
    <w:rsid w:val="004872D3"/>
    <w:rsid w:val="00487E67"/>
    <w:rsid w:val="004905C1"/>
    <w:rsid w:val="004912A4"/>
    <w:rsid w:val="004930AB"/>
    <w:rsid w:val="00493613"/>
    <w:rsid w:val="0049369F"/>
    <w:rsid w:val="00493FCB"/>
    <w:rsid w:val="0049434E"/>
    <w:rsid w:val="00494556"/>
    <w:rsid w:val="00494C39"/>
    <w:rsid w:val="004969A2"/>
    <w:rsid w:val="00496EC6"/>
    <w:rsid w:val="00497008"/>
    <w:rsid w:val="004A0337"/>
    <w:rsid w:val="004A1115"/>
    <w:rsid w:val="004A13AE"/>
    <w:rsid w:val="004A14DC"/>
    <w:rsid w:val="004A166C"/>
    <w:rsid w:val="004A19D6"/>
    <w:rsid w:val="004A2E96"/>
    <w:rsid w:val="004A3233"/>
    <w:rsid w:val="004A3AA7"/>
    <w:rsid w:val="004A3D42"/>
    <w:rsid w:val="004A56D6"/>
    <w:rsid w:val="004A5F9A"/>
    <w:rsid w:val="004A695D"/>
    <w:rsid w:val="004A6D37"/>
    <w:rsid w:val="004A7A45"/>
    <w:rsid w:val="004B03FF"/>
    <w:rsid w:val="004B0C24"/>
    <w:rsid w:val="004B0CDC"/>
    <w:rsid w:val="004B33DE"/>
    <w:rsid w:val="004B3924"/>
    <w:rsid w:val="004B3BAE"/>
    <w:rsid w:val="004B69B9"/>
    <w:rsid w:val="004B6F71"/>
    <w:rsid w:val="004B71DE"/>
    <w:rsid w:val="004B76DB"/>
    <w:rsid w:val="004C3A7D"/>
    <w:rsid w:val="004C3FD1"/>
    <w:rsid w:val="004C4596"/>
    <w:rsid w:val="004C4E7C"/>
    <w:rsid w:val="004C50EB"/>
    <w:rsid w:val="004C515E"/>
    <w:rsid w:val="004C5489"/>
    <w:rsid w:val="004C5B0F"/>
    <w:rsid w:val="004C60BB"/>
    <w:rsid w:val="004C66DA"/>
    <w:rsid w:val="004C6C8D"/>
    <w:rsid w:val="004C769A"/>
    <w:rsid w:val="004D007F"/>
    <w:rsid w:val="004D0CC3"/>
    <w:rsid w:val="004D15B4"/>
    <w:rsid w:val="004D20FD"/>
    <w:rsid w:val="004D24AF"/>
    <w:rsid w:val="004D2D49"/>
    <w:rsid w:val="004D3123"/>
    <w:rsid w:val="004D3716"/>
    <w:rsid w:val="004D3EDF"/>
    <w:rsid w:val="004D4148"/>
    <w:rsid w:val="004D55C1"/>
    <w:rsid w:val="004D6001"/>
    <w:rsid w:val="004D75E3"/>
    <w:rsid w:val="004E07BE"/>
    <w:rsid w:val="004E0A43"/>
    <w:rsid w:val="004E0AD1"/>
    <w:rsid w:val="004E0AF0"/>
    <w:rsid w:val="004E1D2A"/>
    <w:rsid w:val="004E43F6"/>
    <w:rsid w:val="004E4612"/>
    <w:rsid w:val="004E50F4"/>
    <w:rsid w:val="004E52EB"/>
    <w:rsid w:val="004E5B84"/>
    <w:rsid w:val="004E5B97"/>
    <w:rsid w:val="004E6910"/>
    <w:rsid w:val="004F04D9"/>
    <w:rsid w:val="004F0E3F"/>
    <w:rsid w:val="004F1D81"/>
    <w:rsid w:val="004F1EA4"/>
    <w:rsid w:val="004F2B07"/>
    <w:rsid w:val="004F2C5D"/>
    <w:rsid w:val="004F3329"/>
    <w:rsid w:val="004F36FC"/>
    <w:rsid w:val="004F431C"/>
    <w:rsid w:val="004F4DED"/>
    <w:rsid w:val="004F54EB"/>
    <w:rsid w:val="004F5973"/>
    <w:rsid w:val="004F59FA"/>
    <w:rsid w:val="004F6189"/>
    <w:rsid w:val="004F643A"/>
    <w:rsid w:val="004F64A1"/>
    <w:rsid w:val="004F6E4A"/>
    <w:rsid w:val="004F717F"/>
    <w:rsid w:val="004F74F1"/>
    <w:rsid w:val="004F7594"/>
    <w:rsid w:val="004F7F5D"/>
    <w:rsid w:val="00502155"/>
    <w:rsid w:val="0050236D"/>
    <w:rsid w:val="005027BF"/>
    <w:rsid w:val="005036BC"/>
    <w:rsid w:val="005041B9"/>
    <w:rsid w:val="005043B9"/>
    <w:rsid w:val="0050441B"/>
    <w:rsid w:val="005044E9"/>
    <w:rsid w:val="00505A4F"/>
    <w:rsid w:val="00506576"/>
    <w:rsid w:val="00506E1E"/>
    <w:rsid w:val="00507151"/>
    <w:rsid w:val="0050727C"/>
    <w:rsid w:val="005072B4"/>
    <w:rsid w:val="005075DE"/>
    <w:rsid w:val="00510687"/>
    <w:rsid w:val="0051125B"/>
    <w:rsid w:val="00511F8E"/>
    <w:rsid w:val="005127FF"/>
    <w:rsid w:val="00512B7B"/>
    <w:rsid w:val="00513E63"/>
    <w:rsid w:val="00513F86"/>
    <w:rsid w:val="00515B8B"/>
    <w:rsid w:val="0051617A"/>
    <w:rsid w:val="00516395"/>
    <w:rsid w:val="00516891"/>
    <w:rsid w:val="005179BA"/>
    <w:rsid w:val="005201EE"/>
    <w:rsid w:val="00520565"/>
    <w:rsid w:val="00520641"/>
    <w:rsid w:val="0052147D"/>
    <w:rsid w:val="005215CA"/>
    <w:rsid w:val="00521C65"/>
    <w:rsid w:val="00521D8E"/>
    <w:rsid w:val="00522A8D"/>
    <w:rsid w:val="00523117"/>
    <w:rsid w:val="0052428D"/>
    <w:rsid w:val="00525B8F"/>
    <w:rsid w:val="00525B9E"/>
    <w:rsid w:val="00526640"/>
    <w:rsid w:val="0052787E"/>
    <w:rsid w:val="00527AB5"/>
    <w:rsid w:val="00527F72"/>
    <w:rsid w:val="00530442"/>
    <w:rsid w:val="00530DCB"/>
    <w:rsid w:val="00531BDC"/>
    <w:rsid w:val="00533312"/>
    <w:rsid w:val="0053511B"/>
    <w:rsid w:val="005355C3"/>
    <w:rsid w:val="005358E0"/>
    <w:rsid w:val="0053670E"/>
    <w:rsid w:val="00537008"/>
    <w:rsid w:val="00537827"/>
    <w:rsid w:val="005379CA"/>
    <w:rsid w:val="00537A2D"/>
    <w:rsid w:val="00537F58"/>
    <w:rsid w:val="005405F5"/>
    <w:rsid w:val="00540AB7"/>
    <w:rsid w:val="00540E38"/>
    <w:rsid w:val="005416BC"/>
    <w:rsid w:val="00541B8B"/>
    <w:rsid w:val="00541C81"/>
    <w:rsid w:val="00542682"/>
    <w:rsid w:val="0054394B"/>
    <w:rsid w:val="00543E2C"/>
    <w:rsid w:val="00543EAB"/>
    <w:rsid w:val="00544A86"/>
    <w:rsid w:val="00544AFB"/>
    <w:rsid w:val="00545E9A"/>
    <w:rsid w:val="0054641B"/>
    <w:rsid w:val="00546B8B"/>
    <w:rsid w:val="00547A4C"/>
    <w:rsid w:val="00547AB8"/>
    <w:rsid w:val="00547B20"/>
    <w:rsid w:val="00550056"/>
    <w:rsid w:val="00550405"/>
    <w:rsid w:val="00550417"/>
    <w:rsid w:val="00550A38"/>
    <w:rsid w:val="005515DD"/>
    <w:rsid w:val="00551EE1"/>
    <w:rsid w:val="0055200E"/>
    <w:rsid w:val="005524C0"/>
    <w:rsid w:val="00552D01"/>
    <w:rsid w:val="005530E8"/>
    <w:rsid w:val="005534A0"/>
    <w:rsid w:val="00554B73"/>
    <w:rsid w:val="00555887"/>
    <w:rsid w:val="00556916"/>
    <w:rsid w:val="00556971"/>
    <w:rsid w:val="00556F72"/>
    <w:rsid w:val="00557563"/>
    <w:rsid w:val="005577F1"/>
    <w:rsid w:val="005604C0"/>
    <w:rsid w:val="00560FDD"/>
    <w:rsid w:val="00561F82"/>
    <w:rsid w:val="00563064"/>
    <w:rsid w:val="0056514E"/>
    <w:rsid w:val="00566530"/>
    <w:rsid w:val="005667A7"/>
    <w:rsid w:val="0056713E"/>
    <w:rsid w:val="00567AF0"/>
    <w:rsid w:val="00567D92"/>
    <w:rsid w:val="00567FD2"/>
    <w:rsid w:val="00570C9A"/>
    <w:rsid w:val="0057275E"/>
    <w:rsid w:val="00573BF1"/>
    <w:rsid w:val="00573E30"/>
    <w:rsid w:val="00574395"/>
    <w:rsid w:val="005754C9"/>
    <w:rsid w:val="0057585A"/>
    <w:rsid w:val="00576147"/>
    <w:rsid w:val="0057632E"/>
    <w:rsid w:val="00576638"/>
    <w:rsid w:val="00577470"/>
    <w:rsid w:val="00577EAF"/>
    <w:rsid w:val="005811E5"/>
    <w:rsid w:val="005813BB"/>
    <w:rsid w:val="0058148D"/>
    <w:rsid w:val="00581A0E"/>
    <w:rsid w:val="00581CB3"/>
    <w:rsid w:val="00582A75"/>
    <w:rsid w:val="005834A4"/>
    <w:rsid w:val="00584202"/>
    <w:rsid w:val="005848B0"/>
    <w:rsid w:val="00585B5E"/>
    <w:rsid w:val="00585FC4"/>
    <w:rsid w:val="005867F8"/>
    <w:rsid w:val="00586D3E"/>
    <w:rsid w:val="00586E6E"/>
    <w:rsid w:val="005871EA"/>
    <w:rsid w:val="00587A1F"/>
    <w:rsid w:val="00590625"/>
    <w:rsid w:val="00591E77"/>
    <w:rsid w:val="00592427"/>
    <w:rsid w:val="00592A46"/>
    <w:rsid w:val="00592BB0"/>
    <w:rsid w:val="00592D0F"/>
    <w:rsid w:val="00593356"/>
    <w:rsid w:val="005934A7"/>
    <w:rsid w:val="00594492"/>
    <w:rsid w:val="00595C30"/>
    <w:rsid w:val="00595CC4"/>
    <w:rsid w:val="00596F53"/>
    <w:rsid w:val="00597F8A"/>
    <w:rsid w:val="005A0097"/>
    <w:rsid w:val="005A084D"/>
    <w:rsid w:val="005A0AD9"/>
    <w:rsid w:val="005A0E95"/>
    <w:rsid w:val="005A0FE4"/>
    <w:rsid w:val="005A629C"/>
    <w:rsid w:val="005A737E"/>
    <w:rsid w:val="005A7A88"/>
    <w:rsid w:val="005B1433"/>
    <w:rsid w:val="005B1A44"/>
    <w:rsid w:val="005B1C44"/>
    <w:rsid w:val="005B21F2"/>
    <w:rsid w:val="005B2E3D"/>
    <w:rsid w:val="005B2F6D"/>
    <w:rsid w:val="005B58E2"/>
    <w:rsid w:val="005B6552"/>
    <w:rsid w:val="005B68D7"/>
    <w:rsid w:val="005B6B91"/>
    <w:rsid w:val="005B6E91"/>
    <w:rsid w:val="005C026D"/>
    <w:rsid w:val="005C03E4"/>
    <w:rsid w:val="005C135E"/>
    <w:rsid w:val="005C1976"/>
    <w:rsid w:val="005C19C5"/>
    <w:rsid w:val="005C2846"/>
    <w:rsid w:val="005C3601"/>
    <w:rsid w:val="005C4034"/>
    <w:rsid w:val="005C4984"/>
    <w:rsid w:val="005C5116"/>
    <w:rsid w:val="005C5EA4"/>
    <w:rsid w:val="005C5EBA"/>
    <w:rsid w:val="005C6075"/>
    <w:rsid w:val="005C6672"/>
    <w:rsid w:val="005D14CB"/>
    <w:rsid w:val="005D1760"/>
    <w:rsid w:val="005D1EE5"/>
    <w:rsid w:val="005D286F"/>
    <w:rsid w:val="005D28E6"/>
    <w:rsid w:val="005D2BB9"/>
    <w:rsid w:val="005D2DE2"/>
    <w:rsid w:val="005D2E99"/>
    <w:rsid w:val="005D3706"/>
    <w:rsid w:val="005D3E6C"/>
    <w:rsid w:val="005D44FB"/>
    <w:rsid w:val="005D6753"/>
    <w:rsid w:val="005D7C4C"/>
    <w:rsid w:val="005E078E"/>
    <w:rsid w:val="005E1C99"/>
    <w:rsid w:val="005E1E4F"/>
    <w:rsid w:val="005E365B"/>
    <w:rsid w:val="005E37A6"/>
    <w:rsid w:val="005E4944"/>
    <w:rsid w:val="005E553F"/>
    <w:rsid w:val="005E554C"/>
    <w:rsid w:val="005E58C6"/>
    <w:rsid w:val="005E5968"/>
    <w:rsid w:val="005E5B4A"/>
    <w:rsid w:val="005E5D1D"/>
    <w:rsid w:val="005E6983"/>
    <w:rsid w:val="005E6DAC"/>
    <w:rsid w:val="005E7436"/>
    <w:rsid w:val="005E75BC"/>
    <w:rsid w:val="005F0745"/>
    <w:rsid w:val="005F2384"/>
    <w:rsid w:val="005F272A"/>
    <w:rsid w:val="005F36B9"/>
    <w:rsid w:val="005F528E"/>
    <w:rsid w:val="005F613A"/>
    <w:rsid w:val="005F7109"/>
    <w:rsid w:val="005F7398"/>
    <w:rsid w:val="00600603"/>
    <w:rsid w:val="006007B8"/>
    <w:rsid w:val="0060100A"/>
    <w:rsid w:val="00601C7E"/>
    <w:rsid w:val="00601DCE"/>
    <w:rsid w:val="00602984"/>
    <w:rsid w:val="00602C2B"/>
    <w:rsid w:val="006033A2"/>
    <w:rsid w:val="0060431F"/>
    <w:rsid w:val="0060458E"/>
    <w:rsid w:val="00605630"/>
    <w:rsid w:val="00606367"/>
    <w:rsid w:val="00606F3B"/>
    <w:rsid w:val="006077CB"/>
    <w:rsid w:val="0061003B"/>
    <w:rsid w:val="006103D7"/>
    <w:rsid w:val="00610F2F"/>
    <w:rsid w:val="0061105C"/>
    <w:rsid w:val="006124D3"/>
    <w:rsid w:val="0061329C"/>
    <w:rsid w:val="0061368B"/>
    <w:rsid w:val="00613F2A"/>
    <w:rsid w:val="006145EE"/>
    <w:rsid w:val="0061499D"/>
    <w:rsid w:val="00614DF1"/>
    <w:rsid w:val="00614FBE"/>
    <w:rsid w:val="00615643"/>
    <w:rsid w:val="00615904"/>
    <w:rsid w:val="00616CDF"/>
    <w:rsid w:val="00620EF9"/>
    <w:rsid w:val="00621987"/>
    <w:rsid w:val="00622294"/>
    <w:rsid w:val="006227A2"/>
    <w:rsid w:val="00622ABF"/>
    <w:rsid w:val="00622E33"/>
    <w:rsid w:val="00624117"/>
    <w:rsid w:val="00624446"/>
    <w:rsid w:val="0062450E"/>
    <w:rsid w:val="006255D4"/>
    <w:rsid w:val="00625B7E"/>
    <w:rsid w:val="0062639D"/>
    <w:rsid w:val="006263D4"/>
    <w:rsid w:val="00626866"/>
    <w:rsid w:val="00626A2F"/>
    <w:rsid w:val="006270D6"/>
    <w:rsid w:val="00627218"/>
    <w:rsid w:val="006274FE"/>
    <w:rsid w:val="0062790B"/>
    <w:rsid w:val="00630028"/>
    <w:rsid w:val="0063018E"/>
    <w:rsid w:val="00630A89"/>
    <w:rsid w:val="006310AC"/>
    <w:rsid w:val="00631248"/>
    <w:rsid w:val="00631627"/>
    <w:rsid w:val="006319F4"/>
    <w:rsid w:val="00631A24"/>
    <w:rsid w:val="00631F4E"/>
    <w:rsid w:val="00631FD5"/>
    <w:rsid w:val="00632405"/>
    <w:rsid w:val="00632520"/>
    <w:rsid w:val="00632978"/>
    <w:rsid w:val="00634221"/>
    <w:rsid w:val="00634447"/>
    <w:rsid w:val="00635529"/>
    <w:rsid w:val="00636ED5"/>
    <w:rsid w:val="006370CC"/>
    <w:rsid w:val="00640147"/>
    <w:rsid w:val="006403F2"/>
    <w:rsid w:val="006406DA"/>
    <w:rsid w:val="0064086E"/>
    <w:rsid w:val="00640F4B"/>
    <w:rsid w:val="00640F4E"/>
    <w:rsid w:val="0064120D"/>
    <w:rsid w:val="00641492"/>
    <w:rsid w:val="0064189B"/>
    <w:rsid w:val="00641A1A"/>
    <w:rsid w:val="00641D0A"/>
    <w:rsid w:val="00642FB6"/>
    <w:rsid w:val="00643CDC"/>
    <w:rsid w:val="00644174"/>
    <w:rsid w:val="00645B6D"/>
    <w:rsid w:val="00646E21"/>
    <w:rsid w:val="0064735B"/>
    <w:rsid w:val="00653548"/>
    <w:rsid w:val="00653D4B"/>
    <w:rsid w:val="00653FDE"/>
    <w:rsid w:val="00654017"/>
    <w:rsid w:val="00654BC6"/>
    <w:rsid w:val="00655049"/>
    <w:rsid w:val="00660A78"/>
    <w:rsid w:val="006626AA"/>
    <w:rsid w:val="00662878"/>
    <w:rsid w:val="00663CF3"/>
    <w:rsid w:val="00664A8E"/>
    <w:rsid w:val="00665E6C"/>
    <w:rsid w:val="00666E2D"/>
    <w:rsid w:val="00667442"/>
    <w:rsid w:val="00670521"/>
    <w:rsid w:val="006711B7"/>
    <w:rsid w:val="00671D63"/>
    <w:rsid w:val="00672493"/>
    <w:rsid w:val="00672F0F"/>
    <w:rsid w:val="00673DD8"/>
    <w:rsid w:val="006741C8"/>
    <w:rsid w:val="00674960"/>
    <w:rsid w:val="00674BDA"/>
    <w:rsid w:val="00675B67"/>
    <w:rsid w:val="00675BC4"/>
    <w:rsid w:val="00675D8F"/>
    <w:rsid w:val="00675F17"/>
    <w:rsid w:val="00676028"/>
    <w:rsid w:val="00676E98"/>
    <w:rsid w:val="00677253"/>
    <w:rsid w:val="006772B1"/>
    <w:rsid w:val="00680576"/>
    <w:rsid w:val="006809E9"/>
    <w:rsid w:val="006810E6"/>
    <w:rsid w:val="006819A1"/>
    <w:rsid w:val="0068278A"/>
    <w:rsid w:val="00682B30"/>
    <w:rsid w:val="00682ECE"/>
    <w:rsid w:val="00682FB8"/>
    <w:rsid w:val="00683525"/>
    <w:rsid w:val="0068363F"/>
    <w:rsid w:val="00683EA6"/>
    <w:rsid w:val="006851BA"/>
    <w:rsid w:val="00686646"/>
    <w:rsid w:val="00686CDC"/>
    <w:rsid w:val="006903E5"/>
    <w:rsid w:val="0069165D"/>
    <w:rsid w:val="00692146"/>
    <w:rsid w:val="006924D5"/>
    <w:rsid w:val="00693498"/>
    <w:rsid w:val="00694E96"/>
    <w:rsid w:val="006952F4"/>
    <w:rsid w:val="00696DE4"/>
    <w:rsid w:val="00696F06"/>
    <w:rsid w:val="0069775C"/>
    <w:rsid w:val="006977BC"/>
    <w:rsid w:val="006A063C"/>
    <w:rsid w:val="006A1341"/>
    <w:rsid w:val="006A1951"/>
    <w:rsid w:val="006A1B94"/>
    <w:rsid w:val="006A2EF8"/>
    <w:rsid w:val="006A3194"/>
    <w:rsid w:val="006A341F"/>
    <w:rsid w:val="006A39A8"/>
    <w:rsid w:val="006A3C26"/>
    <w:rsid w:val="006A3CFF"/>
    <w:rsid w:val="006A501D"/>
    <w:rsid w:val="006A5455"/>
    <w:rsid w:val="006A59F3"/>
    <w:rsid w:val="006A5FA3"/>
    <w:rsid w:val="006A6FEE"/>
    <w:rsid w:val="006A7C7F"/>
    <w:rsid w:val="006A7D88"/>
    <w:rsid w:val="006B091D"/>
    <w:rsid w:val="006B0D58"/>
    <w:rsid w:val="006B142A"/>
    <w:rsid w:val="006B1E64"/>
    <w:rsid w:val="006B39C2"/>
    <w:rsid w:val="006B3A7C"/>
    <w:rsid w:val="006B3D25"/>
    <w:rsid w:val="006B4708"/>
    <w:rsid w:val="006B4808"/>
    <w:rsid w:val="006B5307"/>
    <w:rsid w:val="006B593F"/>
    <w:rsid w:val="006B5D00"/>
    <w:rsid w:val="006B609F"/>
    <w:rsid w:val="006B6322"/>
    <w:rsid w:val="006C06CD"/>
    <w:rsid w:val="006C0A2D"/>
    <w:rsid w:val="006C0CE8"/>
    <w:rsid w:val="006C102E"/>
    <w:rsid w:val="006C234A"/>
    <w:rsid w:val="006C2D1A"/>
    <w:rsid w:val="006C3707"/>
    <w:rsid w:val="006C3E9D"/>
    <w:rsid w:val="006C485E"/>
    <w:rsid w:val="006C49E2"/>
    <w:rsid w:val="006C4B7B"/>
    <w:rsid w:val="006C53A8"/>
    <w:rsid w:val="006C559C"/>
    <w:rsid w:val="006C5A87"/>
    <w:rsid w:val="006C5B07"/>
    <w:rsid w:val="006C5F0A"/>
    <w:rsid w:val="006C6E79"/>
    <w:rsid w:val="006D10A5"/>
    <w:rsid w:val="006D12A4"/>
    <w:rsid w:val="006D1BE9"/>
    <w:rsid w:val="006D3FD4"/>
    <w:rsid w:val="006D52FC"/>
    <w:rsid w:val="006D655A"/>
    <w:rsid w:val="006D7495"/>
    <w:rsid w:val="006E0880"/>
    <w:rsid w:val="006E129F"/>
    <w:rsid w:val="006E17E3"/>
    <w:rsid w:val="006E2820"/>
    <w:rsid w:val="006E3A9B"/>
    <w:rsid w:val="006E5786"/>
    <w:rsid w:val="006E7B91"/>
    <w:rsid w:val="006E7E34"/>
    <w:rsid w:val="006F02F7"/>
    <w:rsid w:val="006F0600"/>
    <w:rsid w:val="006F0C20"/>
    <w:rsid w:val="006F1416"/>
    <w:rsid w:val="006F23AF"/>
    <w:rsid w:val="006F2747"/>
    <w:rsid w:val="006F275C"/>
    <w:rsid w:val="006F34C8"/>
    <w:rsid w:val="006F358A"/>
    <w:rsid w:val="006F4F97"/>
    <w:rsid w:val="006F53D7"/>
    <w:rsid w:val="006F5444"/>
    <w:rsid w:val="006F5779"/>
    <w:rsid w:val="006F63FD"/>
    <w:rsid w:val="006F66A9"/>
    <w:rsid w:val="006F6C0A"/>
    <w:rsid w:val="006F737B"/>
    <w:rsid w:val="006F7473"/>
    <w:rsid w:val="007006BC"/>
    <w:rsid w:val="00701F64"/>
    <w:rsid w:val="007030B8"/>
    <w:rsid w:val="0070382C"/>
    <w:rsid w:val="007062EB"/>
    <w:rsid w:val="00706AA3"/>
    <w:rsid w:val="0070705F"/>
    <w:rsid w:val="0071004F"/>
    <w:rsid w:val="007101FF"/>
    <w:rsid w:val="00710FDF"/>
    <w:rsid w:val="0071177A"/>
    <w:rsid w:val="00711846"/>
    <w:rsid w:val="00711E11"/>
    <w:rsid w:val="00712093"/>
    <w:rsid w:val="007126D4"/>
    <w:rsid w:val="00712934"/>
    <w:rsid w:val="00712FA0"/>
    <w:rsid w:val="00713057"/>
    <w:rsid w:val="007131E0"/>
    <w:rsid w:val="00713ABD"/>
    <w:rsid w:val="00713D88"/>
    <w:rsid w:val="00714197"/>
    <w:rsid w:val="007152C6"/>
    <w:rsid w:val="0071692A"/>
    <w:rsid w:val="00716A00"/>
    <w:rsid w:val="00717625"/>
    <w:rsid w:val="00717C1F"/>
    <w:rsid w:val="00717CF8"/>
    <w:rsid w:val="00721E0F"/>
    <w:rsid w:val="00722D86"/>
    <w:rsid w:val="00723BC8"/>
    <w:rsid w:val="00723DC6"/>
    <w:rsid w:val="00723F11"/>
    <w:rsid w:val="0072443B"/>
    <w:rsid w:val="007246F2"/>
    <w:rsid w:val="007247CC"/>
    <w:rsid w:val="00724E49"/>
    <w:rsid w:val="007250A0"/>
    <w:rsid w:val="00726328"/>
    <w:rsid w:val="00726753"/>
    <w:rsid w:val="00726DA1"/>
    <w:rsid w:val="00732221"/>
    <w:rsid w:val="00733409"/>
    <w:rsid w:val="007337B0"/>
    <w:rsid w:val="007341A0"/>
    <w:rsid w:val="007341B5"/>
    <w:rsid w:val="00734F72"/>
    <w:rsid w:val="007352DA"/>
    <w:rsid w:val="007352EB"/>
    <w:rsid w:val="0073592F"/>
    <w:rsid w:val="00736037"/>
    <w:rsid w:val="00737888"/>
    <w:rsid w:val="00737909"/>
    <w:rsid w:val="00737945"/>
    <w:rsid w:val="0074048F"/>
    <w:rsid w:val="00740AC1"/>
    <w:rsid w:val="00740B47"/>
    <w:rsid w:val="00742637"/>
    <w:rsid w:val="00742A7A"/>
    <w:rsid w:val="00743641"/>
    <w:rsid w:val="00743731"/>
    <w:rsid w:val="00744251"/>
    <w:rsid w:val="00745272"/>
    <w:rsid w:val="0074590C"/>
    <w:rsid w:val="00745A37"/>
    <w:rsid w:val="00745B2F"/>
    <w:rsid w:val="00745BBC"/>
    <w:rsid w:val="00747C0C"/>
    <w:rsid w:val="00747F12"/>
    <w:rsid w:val="007502E5"/>
    <w:rsid w:val="007507E8"/>
    <w:rsid w:val="00750BB8"/>
    <w:rsid w:val="00750F65"/>
    <w:rsid w:val="007511CD"/>
    <w:rsid w:val="00752989"/>
    <w:rsid w:val="00753DDE"/>
    <w:rsid w:val="0075443A"/>
    <w:rsid w:val="007547FE"/>
    <w:rsid w:val="0075524A"/>
    <w:rsid w:val="007560C3"/>
    <w:rsid w:val="00756303"/>
    <w:rsid w:val="00756DA3"/>
    <w:rsid w:val="00757932"/>
    <w:rsid w:val="00760517"/>
    <w:rsid w:val="00760E3C"/>
    <w:rsid w:val="0076142C"/>
    <w:rsid w:val="00761974"/>
    <w:rsid w:val="00761AAE"/>
    <w:rsid w:val="0076228F"/>
    <w:rsid w:val="0076280E"/>
    <w:rsid w:val="00763A6B"/>
    <w:rsid w:val="00764F6A"/>
    <w:rsid w:val="00765FCB"/>
    <w:rsid w:val="007666FA"/>
    <w:rsid w:val="00766A6E"/>
    <w:rsid w:val="00766C0A"/>
    <w:rsid w:val="0076705D"/>
    <w:rsid w:val="007675E2"/>
    <w:rsid w:val="00767A72"/>
    <w:rsid w:val="00767CC2"/>
    <w:rsid w:val="007709B8"/>
    <w:rsid w:val="007712C9"/>
    <w:rsid w:val="00771402"/>
    <w:rsid w:val="00771535"/>
    <w:rsid w:val="00771C1E"/>
    <w:rsid w:val="00774956"/>
    <w:rsid w:val="007750AD"/>
    <w:rsid w:val="0077519C"/>
    <w:rsid w:val="007756A5"/>
    <w:rsid w:val="00777273"/>
    <w:rsid w:val="00777A68"/>
    <w:rsid w:val="00777D25"/>
    <w:rsid w:val="00780260"/>
    <w:rsid w:val="007814F0"/>
    <w:rsid w:val="0078166B"/>
    <w:rsid w:val="00782332"/>
    <w:rsid w:val="00782349"/>
    <w:rsid w:val="0078264D"/>
    <w:rsid w:val="00783B86"/>
    <w:rsid w:val="00784399"/>
    <w:rsid w:val="00785397"/>
    <w:rsid w:val="00786556"/>
    <w:rsid w:val="0078671F"/>
    <w:rsid w:val="00786D6E"/>
    <w:rsid w:val="00787625"/>
    <w:rsid w:val="00790707"/>
    <w:rsid w:val="00790A1C"/>
    <w:rsid w:val="00791190"/>
    <w:rsid w:val="00791445"/>
    <w:rsid w:val="0079167E"/>
    <w:rsid w:val="0079249D"/>
    <w:rsid w:val="00792617"/>
    <w:rsid w:val="00792FAB"/>
    <w:rsid w:val="0079308A"/>
    <w:rsid w:val="007945C0"/>
    <w:rsid w:val="00794DCD"/>
    <w:rsid w:val="00794E90"/>
    <w:rsid w:val="00795FF4"/>
    <w:rsid w:val="0079654D"/>
    <w:rsid w:val="00796A6E"/>
    <w:rsid w:val="00796D73"/>
    <w:rsid w:val="0079706A"/>
    <w:rsid w:val="0079734E"/>
    <w:rsid w:val="007A0007"/>
    <w:rsid w:val="007A0A2C"/>
    <w:rsid w:val="007A0AEE"/>
    <w:rsid w:val="007A0B27"/>
    <w:rsid w:val="007A1936"/>
    <w:rsid w:val="007A3F2E"/>
    <w:rsid w:val="007A408E"/>
    <w:rsid w:val="007A462C"/>
    <w:rsid w:val="007A46DE"/>
    <w:rsid w:val="007A4EC4"/>
    <w:rsid w:val="007A55E0"/>
    <w:rsid w:val="007A61B7"/>
    <w:rsid w:val="007A696E"/>
    <w:rsid w:val="007B0008"/>
    <w:rsid w:val="007B0792"/>
    <w:rsid w:val="007B0E70"/>
    <w:rsid w:val="007B10CB"/>
    <w:rsid w:val="007B2E0E"/>
    <w:rsid w:val="007B39A6"/>
    <w:rsid w:val="007B41B6"/>
    <w:rsid w:val="007B4B66"/>
    <w:rsid w:val="007B5018"/>
    <w:rsid w:val="007B53D3"/>
    <w:rsid w:val="007B55D9"/>
    <w:rsid w:val="007B6136"/>
    <w:rsid w:val="007B68A6"/>
    <w:rsid w:val="007B6B0D"/>
    <w:rsid w:val="007B7CA7"/>
    <w:rsid w:val="007B7D5D"/>
    <w:rsid w:val="007C0AC3"/>
    <w:rsid w:val="007C18A3"/>
    <w:rsid w:val="007C1C5E"/>
    <w:rsid w:val="007C2063"/>
    <w:rsid w:val="007C2BAA"/>
    <w:rsid w:val="007C3090"/>
    <w:rsid w:val="007C33E7"/>
    <w:rsid w:val="007C39A0"/>
    <w:rsid w:val="007C3C96"/>
    <w:rsid w:val="007C4483"/>
    <w:rsid w:val="007C5359"/>
    <w:rsid w:val="007C57BB"/>
    <w:rsid w:val="007C7787"/>
    <w:rsid w:val="007C7C7B"/>
    <w:rsid w:val="007C7D64"/>
    <w:rsid w:val="007D01CF"/>
    <w:rsid w:val="007D19BC"/>
    <w:rsid w:val="007D19ED"/>
    <w:rsid w:val="007D2DE4"/>
    <w:rsid w:val="007D2FEB"/>
    <w:rsid w:val="007D304F"/>
    <w:rsid w:val="007D3460"/>
    <w:rsid w:val="007D3548"/>
    <w:rsid w:val="007D3B0C"/>
    <w:rsid w:val="007D3EDA"/>
    <w:rsid w:val="007D43BE"/>
    <w:rsid w:val="007D45EB"/>
    <w:rsid w:val="007D492E"/>
    <w:rsid w:val="007D4BC3"/>
    <w:rsid w:val="007D5B4E"/>
    <w:rsid w:val="007D5CF7"/>
    <w:rsid w:val="007D6BD0"/>
    <w:rsid w:val="007D6ECC"/>
    <w:rsid w:val="007D737A"/>
    <w:rsid w:val="007E08E4"/>
    <w:rsid w:val="007E0A41"/>
    <w:rsid w:val="007E200F"/>
    <w:rsid w:val="007E25AC"/>
    <w:rsid w:val="007E25B9"/>
    <w:rsid w:val="007E4401"/>
    <w:rsid w:val="007E4DE9"/>
    <w:rsid w:val="007E527A"/>
    <w:rsid w:val="007E59BF"/>
    <w:rsid w:val="007E7FCA"/>
    <w:rsid w:val="007F0292"/>
    <w:rsid w:val="007F0775"/>
    <w:rsid w:val="007F0CE8"/>
    <w:rsid w:val="007F141D"/>
    <w:rsid w:val="007F179B"/>
    <w:rsid w:val="007F1C5C"/>
    <w:rsid w:val="007F1E19"/>
    <w:rsid w:val="007F2277"/>
    <w:rsid w:val="007F310F"/>
    <w:rsid w:val="007F3555"/>
    <w:rsid w:val="007F3EFC"/>
    <w:rsid w:val="007F526E"/>
    <w:rsid w:val="007F527F"/>
    <w:rsid w:val="007F58D4"/>
    <w:rsid w:val="007F690F"/>
    <w:rsid w:val="007F7AB8"/>
    <w:rsid w:val="007F7BF1"/>
    <w:rsid w:val="008000CA"/>
    <w:rsid w:val="00800E8E"/>
    <w:rsid w:val="008010C0"/>
    <w:rsid w:val="0080117A"/>
    <w:rsid w:val="0080167F"/>
    <w:rsid w:val="008017B5"/>
    <w:rsid w:val="008020DC"/>
    <w:rsid w:val="00802B29"/>
    <w:rsid w:val="008039AD"/>
    <w:rsid w:val="00805378"/>
    <w:rsid w:val="00805B5F"/>
    <w:rsid w:val="00805DCB"/>
    <w:rsid w:val="00805DDB"/>
    <w:rsid w:val="0081068D"/>
    <w:rsid w:val="00810996"/>
    <w:rsid w:val="00811C54"/>
    <w:rsid w:val="0081268A"/>
    <w:rsid w:val="00813ACD"/>
    <w:rsid w:val="008145AB"/>
    <w:rsid w:val="0081628C"/>
    <w:rsid w:val="00816482"/>
    <w:rsid w:val="00816EEA"/>
    <w:rsid w:val="00820466"/>
    <w:rsid w:val="008206BF"/>
    <w:rsid w:val="008208C4"/>
    <w:rsid w:val="0082258D"/>
    <w:rsid w:val="00822E6E"/>
    <w:rsid w:val="00823257"/>
    <w:rsid w:val="0082489E"/>
    <w:rsid w:val="00825BDE"/>
    <w:rsid w:val="00826B8C"/>
    <w:rsid w:val="00827BB7"/>
    <w:rsid w:val="00827C45"/>
    <w:rsid w:val="00830742"/>
    <w:rsid w:val="008307CC"/>
    <w:rsid w:val="0083098C"/>
    <w:rsid w:val="00830D29"/>
    <w:rsid w:val="00830F11"/>
    <w:rsid w:val="00831C2C"/>
    <w:rsid w:val="00832A0C"/>
    <w:rsid w:val="00832C02"/>
    <w:rsid w:val="00832C4F"/>
    <w:rsid w:val="00833589"/>
    <w:rsid w:val="00833783"/>
    <w:rsid w:val="00833827"/>
    <w:rsid w:val="00833EA5"/>
    <w:rsid w:val="00834B13"/>
    <w:rsid w:val="00834F9F"/>
    <w:rsid w:val="00835078"/>
    <w:rsid w:val="008359E0"/>
    <w:rsid w:val="00835DE8"/>
    <w:rsid w:val="008366CE"/>
    <w:rsid w:val="0083698F"/>
    <w:rsid w:val="00836B2D"/>
    <w:rsid w:val="008376F7"/>
    <w:rsid w:val="00837C83"/>
    <w:rsid w:val="00837DA8"/>
    <w:rsid w:val="008404F8"/>
    <w:rsid w:val="00840EB5"/>
    <w:rsid w:val="0084107F"/>
    <w:rsid w:val="00841D38"/>
    <w:rsid w:val="00842930"/>
    <w:rsid w:val="00843554"/>
    <w:rsid w:val="0084392E"/>
    <w:rsid w:val="00843CE8"/>
    <w:rsid w:val="0084585C"/>
    <w:rsid w:val="008462A1"/>
    <w:rsid w:val="00847D26"/>
    <w:rsid w:val="00847E27"/>
    <w:rsid w:val="00847F9B"/>
    <w:rsid w:val="008517EE"/>
    <w:rsid w:val="0085315C"/>
    <w:rsid w:val="00853E9F"/>
    <w:rsid w:val="0085456C"/>
    <w:rsid w:val="00855789"/>
    <w:rsid w:val="00855938"/>
    <w:rsid w:val="00855A5A"/>
    <w:rsid w:val="00857373"/>
    <w:rsid w:val="008604EB"/>
    <w:rsid w:val="00860843"/>
    <w:rsid w:val="008616EB"/>
    <w:rsid w:val="008617E5"/>
    <w:rsid w:val="00862E78"/>
    <w:rsid w:val="00863814"/>
    <w:rsid w:val="00863AD7"/>
    <w:rsid w:val="0086521A"/>
    <w:rsid w:val="008656A3"/>
    <w:rsid w:val="008660F3"/>
    <w:rsid w:val="00866698"/>
    <w:rsid w:val="008667ED"/>
    <w:rsid w:val="00866C36"/>
    <w:rsid w:val="008679E8"/>
    <w:rsid w:val="00867CC9"/>
    <w:rsid w:val="008708F7"/>
    <w:rsid w:val="00870D08"/>
    <w:rsid w:val="00871226"/>
    <w:rsid w:val="00872301"/>
    <w:rsid w:val="00872457"/>
    <w:rsid w:val="0087259F"/>
    <w:rsid w:val="00872F18"/>
    <w:rsid w:val="00873793"/>
    <w:rsid w:val="008739D1"/>
    <w:rsid w:val="008748AD"/>
    <w:rsid w:val="00874BE9"/>
    <w:rsid w:val="008750D7"/>
    <w:rsid w:val="00876950"/>
    <w:rsid w:val="008772F3"/>
    <w:rsid w:val="008774A4"/>
    <w:rsid w:val="008801FD"/>
    <w:rsid w:val="008816FD"/>
    <w:rsid w:val="00882560"/>
    <w:rsid w:val="00882C12"/>
    <w:rsid w:val="00883C3C"/>
    <w:rsid w:val="00883F87"/>
    <w:rsid w:val="00884679"/>
    <w:rsid w:val="0088498C"/>
    <w:rsid w:val="008850DD"/>
    <w:rsid w:val="008853DB"/>
    <w:rsid w:val="00885462"/>
    <w:rsid w:val="00885582"/>
    <w:rsid w:val="00885BC3"/>
    <w:rsid w:val="00886957"/>
    <w:rsid w:val="00886DAE"/>
    <w:rsid w:val="00887374"/>
    <w:rsid w:val="00887670"/>
    <w:rsid w:val="0088787C"/>
    <w:rsid w:val="00890742"/>
    <w:rsid w:val="00890DEA"/>
    <w:rsid w:val="008911C7"/>
    <w:rsid w:val="0089127C"/>
    <w:rsid w:val="00891738"/>
    <w:rsid w:val="008944E2"/>
    <w:rsid w:val="0089458B"/>
    <w:rsid w:val="00894D9E"/>
    <w:rsid w:val="008952A7"/>
    <w:rsid w:val="008959CF"/>
    <w:rsid w:val="00895D0F"/>
    <w:rsid w:val="008961C2"/>
    <w:rsid w:val="008963EC"/>
    <w:rsid w:val="00896C5A"/>
    <w:rsid w:val="00897D91"/>
    <w:rsid w:val="008A0045"/>
    <w:rsid w:val="008A0164"/>
    <w:rsid w:val="008A0599"/>
    <w:rsid w:val="008A09CB"/>
    <w:rsid w:val="008A0BBC"/>
    <w:rsid w:val="008A1151"/>
    <w:rsid w:val="008A16FC"/>
    <w:rsid w:val="008A2160"/>
    <w:rsid w:val="008A2A49"/>
    <w:rsid w:val="008A326C"/>
    <w:rsid w:val="008A3A22"/>
    <w:rsid w:val="008A4603"/>
    <w:rsid w:val="008A62B5"/>
    <w:rsid w:val="008A62FA"/>
    <w:rsid w:val="008A6867"/>
    <w:rsid w:val="008A7F15"/>
    <w:rsid w:val="008B057D"/>
    <w:rsid w:val="008B06BD"/>
    <w:rsid w:val="008B09FC"/>
    <w:rsid w:val="008B0D3D"/>
    <w:rsid w:val="008B11A5"/>
    <w:rsid w:val="008B2005"/>
    <w:rsid w:val="008B2147"/>
    <w:rsid w:val="008B277F"/>
    <w:rsid w:val="008B3B4F"/>
    <w:rsid w:val="008B3C16"/>
    <w:rsid w:val="008B40DF"/>
    <w:rsid w:val="008B4894"/>
    <w:rsid w:val="008B4CE1"/>
    <w:rsid w:val="008B5351"/>
    <w:rsid w:val="008B57FC"/>
    <w:rsid w:val="008B5E2A"/>
    <w:rsid w:val="008B69E8"/>
    <w:rsid w:val="008B7236"/>
    <w:rsid w:val="008C04C1"/>
    <w:rsid w:val="008C0D4F"/>
    <w:rsid w:val="008C1A5C"/>
    <w:rsid w:val="008C25EA"/>
    <w:rsid w:val="008C30F1"/>
    <w:rsid w:val="008C3C1B"/>
    <w:rsid w:val="008C3CDB"/>
    <w:rsid w:val="008C4403"/>
    <w:rsid w:val="008C5B19"/>
    <w:rsid w:val="008C6836"/>
    <w:rsid w:val="008C7263"/>
    <w:rsid w:val="008C79EA"/>
    <w:rsid w:val="008D0512"/>
    <w:rsid w:val="008D0E2B"/>
    <w:rsid w:val="008D1921"/>
    <w:rsid w:val="008D29BB"/>
    <w:rsid w:val="008D31D4"/>
    <w:rsid w:val="008D39A3"/>
    <w:rsid w:val="008D4942"/>
    <w:rsid w:val="008D5B33"/>
    <w:rsid w:val="008D6850"/>
    <w:rsid w:val="008D6EF0"/>
    <w:rsid w:val="008D736D"/>
    <w:rsid w:val="008D773A"/>
    <w:rsid w:val="008D7CFE"/>
    <w:rsid w:val="008E09FE"/>
    <w:rsid w:val="008E0CC9"/>
    <w:rsid w:val="008E1368"/>
    <w:rsid w:val="008E3C7D"/>
    <w:rsid w:val="008E4521"/>
    <w:rsid w:val="008E4C7C"/>
    <w:rsid w:val="008E4E7D"/>
    <w:rsid w:val="008E53B9"/>
    <w:rsid w:val="008E60B9"/>
    <w:rsid w:val="008E727A"/>
    <w:rsid w:val="008F023A"/>
    <w:rsid w:val="008F1320"/>
    <w:rsid w:val="008F17C0"/>
    <w:rsid w:val="008F1B20"/>
    <w:rsid w:val="008F1C38"/>
    <w:rsid w:val="008F252B"/>
    <w:rsid w:val="008F363C"/>
    <w:rsid w:val="008F3C1C"/>
    <w:rsid w:val="008F5A12"/>
    <w:rsid w:val="008F63C6"/>
    <w:rsid w:val="008F6ABC"/>
    <w:rsid w:val="008F6B63"/>
    <w:rsid w:val="008F7355"/>
    <w:rsid w:val="008F7F68"/>
    <w:rsid w:val="009010F5"/>
    <w:rsid w:val="009012BF"/>
    <w:rsid w:val="00901778"/>
    <w:rsid w:val="009019EF"/>
    <w:rsid w:val="00901CB1"/>
    <w:rsid w:val="0090225E"/>
    <w:rsid w:val="00902721"/>
    <w:rsid w:val="0090322C"/>
    <w:rsid w:val="0090377D"/>
    <w:rsid w:val="00904333"/>
    <w:rsid w:val="009055D3"/>
    <w:rsid w:val="009059FE"/>
    <w:rsid w:val="00905EBD"/>
    <w:rsid w:val="0090698A"/>
    <w:rsid w:val="00907171"/>
    <w:rsid w:val="00907544"/>
    <w:rsid w:val="009109F0"/>
    <w:rsid w:val="00910E0D"/>
    <w:rsid w:val="00910E31"/>
    <w:rsid w:val="00912809"/>
    <w:rsid w:val="009129B9"/>
    <w:rsid w:val="00913934"/>
    <w:rsid w:val="00913EDC"/>
    <w:rsid w:val="00914143"/>
    <w:rsid w:val="00914238"/>
    <w:rsid w:val="00914D3E"/>
    <w:rsid w:val="00916228"/>
    <w:rsid w:val="00916FCB"/>
    <w:rsid w:val="009172B3"/>
    <w:rsid w:val="00917DC1"/>
    <w:rsid w:val="00920855"/>
    <w:rsid w:val="00921298"/>
    <w:rsid w:val="0092143F"/>
    <w:rsid w:val="009214E2"/>
    <w:rsid w:val="00921DB8"/>
    <w:rsid w:val="00921F31"/>
    <w:rsid w:val="00921F59"/>
    <w:rsid w:val="00924622"/>
    <w:rsid w:val="009246AB"/>
    <w:rsid w:val="00924A66"/>
    <w:rsid w:val="00925451"/>
    <w:rsid w:val="00925C0B"/>
    <w:rsid w:val="00926B60"/>
    <w:rsid w:val="00930A11"/>
    <w:rsid w:val="00930A91"/>
    <w:rsid w:val="00930BF0"/>
    <w:rsid w:val="00931DA9"/>
    <w:rsid w:val="009337CF"/>
    <w:rsid w:val="00933CDD"/>
    <w:rsid w:val="00933D28"/>
    <w:rsid w:val="00933F6E"/>
    <w:rsid w:val="00934038"/>
    <w:rsid w:val="00934AB5"/>
    <w:rsid w:val="00934D86"/>
    <w:rsid w:val="009351DF"/>
    <w:rsid w:val="00936693"/>
    <w:rsid w:val="00937044"/>
    <w:rsid w:val="00937712"/>
    <w:rsid w:val="0093776D"/>
    <w:rsid w:val="009377C1"/>
    <w:rsid w:val="00937A42"/>
    <w:rsid w:val="00937EC1"/>
    <w:rsid w:val="009414CD"/>
    <w:rsid w:val="0094194E"/>
    <w:rsid w:val="0094212D"/>
    <w:rsid w:val="00942DFF"/>
    <w:rsid w:val="009434C0"/>
    <w:rsid w:val="00943D3E"/>
    <w:rsid w:val="0094465A"/>
    <w:rsid w:val="009446BF"/>
    <w:rsid w:val="00944BB2"/>
    <w:rsid w:val="00945FF8"/>
    <w:rsid w:val="00946012"/>
    <w:rsid w:val="009467D7"/>
    <w:rsid w:val="00946DB7"/>
    <w:rsid w:val="00946F1A"/>
    <w:rsid w:val="009473F7"/>
    <w:rsid w:val="009516CD"/>
    <w:rsid w:val="0095250E"/>
    <w:rsid w:val="00952853"/>
    <w:rsid w:val="009528AA"/>
    <w:rsid w:val="00953763"/>
    <w:rsid w:val="00953E1B"/>
    <w:rsid w:val="00954424"/>
    <w:rsid w:val="0095442F"/>
    <w:rsid w:val="00954E87"/>
    <w:rsid w:val="0095506E"/>
    <w:rsid w:val="009558C1"/>
    <w:rsid w:val="00956257"/>
    <w:rsid w:val="00957448"/>
    <w:rsid w:val="00961F65"/>
    <w:rsid w:val="009621DC"/>
    <w:rsid w:val="009621E4"/>
    <w:rsid w:val="00963EE3"/>
    <w:rsid w:val="00964E1F"/>
    <w:rsid w:val="009660BE"/>
    <w:rsid w:val="009663C5"/>
    <w:rsid w:val="0096687D"/>
    <w:rsid w:val="00966C7B"/>
    <w:rsid w:val="00967659"/>
    <w:rsid w:val="00967971"/>
    <w:rsid w:val="00970AC0"/>
    <w:rsid w:val="00970B8E"/>
    <w:rsid w:val="009714FC"/>
    <w:rsid w:val="009715AB"/>
    <w:rsid w:val="00972475"/>
    <w:rsid w:val="0097279D"/>
    <w:rsid w:val="00972DCB"/>
    <w:rsid w:val="009730D9"/>
    <w:rsid w:val="009769EA"/>
    <w:rsid w:val="00976B52"/>
    <w:rsid w:val="00980770"/>
    <w:rsid w:val="009814F7"/>
    <w:rsid w:val="00981704"/>
    <w:rsid w:val="00981B10"/>
    <w:rsid w:val="00982165"/>
    <w:rsid w:val="0098304D"/>
    <w:rsid w:val="00983993"/>
    <w:rsid w:val="00983ED5"/>
    <w:rsid w:val="00984179"/>
    <w:rsid w:val="0098421F"/>
    <w:rsid w:val="00984621"/>
    <w:rsid w:val="0098472A"/>
    <w:rsid w:val="00985077"/>
    <w:rsid w:val="00985349"/>
    <w:rsid w:val="00985BD9"/>
    <w:rsid w:val="00986660"/>
    <w:rsid w:val="00987363"/>
    <w:rsid w:val="00987D92"/>
    <w:rsid w:val="00987FEB"/>
    <w:rsid w:val="0099086D"/>
    <w:rsid w:val="00990AB4"/>
    <w:rsid w:val="00990BEB"/>
    <w:rsid w:val="00990CD4"/>
    <w:rsid w:val="009913B0"/>
    <w:rsid w:val="00991B9B"/>
    <w:rsid w:val="00992C2E"/>
    <w:rsid w:val="00992D9A"/>
    <w:rsid w:val="00992F2B"/>
    <w:rsid w:val="0099305E"/>
    <w:rsid w:val="00993864"/>
    <w:rsid w:val="0099448D"/>
    <w:rsid w:val="00994CAF"/>
    <w:rsid w:val="00994D57"/>
    <w:rsid w:val="00994EFA"/>
    <w:rsid w:val="00994FB2"/>
    <w:rsid w:val="00995069"/>
    <w:rsid w:val="009968CD"/>
    <w:rsid w:val="00996B7D"/>
    <w:rsid w:val="009A0252"/>
    <w:rsid w:val="009A03FF"/>
    <w:rsid w:val="009A04C7"/>
    <w:rsid w:val="009A0D55"/>
    <w:rsid w:val="009A101F"/>
    <w:rsid w:val="009A152E"/>
    <w:rsid w:val="009A238A"/>
    <w:rsid w:val="009A2E63"/>
    <w:rsid w:val="009A3773"/>
    <w:rsid w:val="009A45BD"/>
    <w:rsid w:val="009A4A21"/>
    <w:rsid w:val="009A4D19"/>
    <w:rsid w:val="009A763B"/>
    <w:rsid w:val="009B0E08"/>
    <w:rsid w:val="009B1A37"/>
    <w:rsid w:val="009B272A"/>
    <w:rsid w:val="009B369A"/>
    <w:rsid w:val="009B3A43"/>
    <w:rsid w:val="009B3AF6"/>
    <w:rsid w:val="009B6146"/>
    <w:rsid w:val="009B63A7"/>
    <w:rsid w:val="009B6559"/>
    <w:rsid w:val="009B6BE6"/>
    <w:rsid w:val="009B7349"/>
    <w:rsid w:val="009C0901"/>
    <w:rsid w:val="009C0974"/>
    <w:rsid w:val="009C1666"/>
    <w:rsid w:val="009C1E1D"/>
    <w:rsid w:val="009C21DD"/>
    <w:rsid w:val="009C2947"/>
    <w:rsid w:val="009C2C23"/>
    <w:rsid w:val="009C48D8"/>
    <w:rsid w:val="009C4946"/>
    <w:rsid w:val="009C4A7E"/>
    <w:rsid w:val="009C4CC2"/>
    <w:rsid w:val="009C52CC"/>
    <w:rsid w:val="009C533D"/>
    <w:rsid w:val="009C5781"/>
    <w:rsid w:val="009C5A2F"/>
    <w:rsid w:val="009C6439"/>
    <w:rsid w:val="009C6844"/>
    <w:rsid w:val="009C6D8E"/>
    <w:rsid w:val="009D079E"/>
    <w:rsid w:val="009D1B69"/>
    <w:rsid w:val="009D2767"/>
    <w:rsid w:val="009D314F"/>
    <w:rsid w:val="009D36DE"/>
    <w:rsid w:val="009D3897"/>
    <w:rsid w:val="009D5BFA"/>
    <w:rsid w:val="009D6165"/>
    <w:rsid w:val="009D6335"/>
    <w:rsid w:val="009D70DB"/>
    <w:rsid w:val="009E036D"/>
    <w:rsid w:val="009E13BE"/>
    <w:rsid w:val="009E15CB"/>
    <w:rsid w:val="009E1650"/>
    <w:rsid w:val="009E1DA4"/>
    <w:rsid w:val="009E214C"/>
    <w:rsid w:val="009E2613"/>
    <w:rsid w:val="009E2AEA"/>
    <w:rsid w:val="009E2C87"/>
    <w:rsid w:val="009E5BBC"/>
    <w:rsid w:val="009E5C91"/>
    <w:rsid w:val="009E5D16"/>
    <w:rsid w:val="009E5D30"/>
    <w:rsid w:val="009E6127"/>
    <w:rsid w:val="009E7F2A"/>
    <w:rsid w:val="009F0EFF"/>
    <w:rsid w:val="009F17CD"/>
    <w:rsid w:val="009F1AF4"/>
    <w:rsid w:val="009F62EC"/>
    <w:rsid w:val="009F6482"/>
    <w:rsid w:val="009F6BF3"/>
    <w:rsid w:val="009F7597"/>
    <w:rsid w:val="00A001DA"/>
    <w:rsid w:val="00A0092F"/>
    <w:rsid w:val="00A01336"/>
    <w:rsid w:val="00A01345"/>
    <w:rsid w:val="00A01362"/>
    <w:rsid w:val="00A0177F"/>
    <w:rsid w:val="00A018ED"/>
    <w:rsid w:val="00A020C8"/>
    <w:rsid w:val="00A027CC"/>
    <w:rsid w:val="00A028F9"/>
    <w:rsid w:val="00A036C8"/>
    <w:rsid w:val="00A03C46"/>
    <w:rsid w:val="00A042EB"/>
    <w:rsid w:val="00A0526E"/>
    <w:rsid w:val="00A05C04"/>
    <w:rsid w:val="00A06189"/>
    <w:rsid w:val="00A06702"/>
    <w:rsid w:val="00A06B96"/>
    <w:rsid w:val="00A07039"/>
    <w:rsid w:val="00A1025F"/>
    <w:rsid w:val="00A115C3"/>
    <w:rsid w:val="00A12390"/>
    <w:rsid w:val="00A130A5"/>
    <w:rsid w:val="00A1337B"/>
    <w:rsid w:val="00A14C28"/>
    <w:rsid w:val="00A1556A"/>
    <w:rsid w:val="00A15623"/>
    <w:rsid w:val="00A16689"/>
    <w:rsid w:val="00A16827"/>
    <w:rsid w:val="00A16BD9"/>
    <w:rsid w:val="00A17A7B"/>
    <w:rsid w:val="00A207C8"/>
    <w:rsid w:val="00A20FEA"/>
    <w:rsid w:val="00A210F8"/>
    <w:rsid w:val="00A21D38"/>
    <w:rsid w:val="00A22368"/>
    <w:rsid w:val="00A225D1"/>
    <w:rsid w:val="00A22DB4"/>
    <w:rsid w:val="00A23E6D"/>
    <w:rsid w:val="00A248F5"/>
    <w:rsid w:val="00A24B98"/>
    <w:rsid w:val="00A254A2"/>
    <w:rsid w:val="00A26645"/>
    <w:rsid w:val="00A27DC2"/>
    <w:rsid w:val="00A305C8"/>
    <w:rsid w:val="00A30782"/>
    <w:rsid w:val="00A32791"/>
    <w:rsid w:val="00A330F8"/>
    <w:rsid w:val="00A3320E"/>
    <w:rsid w:val="00A334C6"/>
    <w:rsid w:val="00A35A71"/>
    <w:rsid w:val="00A36698"/>
    <w:rsid w:val="00A36807"/>
    <w:rsid w:val="00A36AB2"/>
    <w:rsid w:val="00A36F96"/>
    <w:rsid w:val="00A37111"/>
    <w:rsid w:val="00A40228"/>
    <w:rsid w:val="00A4037F"/>
    <w:rsid w:val="00A40B66"/>
    <w:rsid w:val="00A416B2"/>
    <w:rsid w:val="00A4225D"/>
    <w:rsid w:val="00A42521"/>
    <w:rsid w:val="00A436C1"/>
    <w:rsid w:val="00A43A56"/>
    <w:rsid w:val="00A43E32"/>
    <w:rsid w:val="00A43F02"/>
    <w:rsid w:val="00A44B6C"/>
    <w:rsid w:val="00A44F6B"/>
    <w:rsid w:val="00A45555"/>
    <w:rsid w:val="00A46132"/>
    <w:rsid w:val="00A465E4"/>
    <w:rsid w:val="00A46CE8"/>
    <w:rsid w:val="00A47278"/>
    <w:rsid w:val="00A476A3"/>
    <w:rsid w:val="00A47ADA"/>
    <w:rsid w:val="00A505FB"/>
    <w:rsid w:val="00A506BC"/>
    <w:rsid w:val="00A50941"/>
    <w:rsid w:val="00A525C7"/>
    <w:rsid w:val="00A528B3"/>
    <w:rsid w:val="00A52A25"/>
    <w:rsid w:val="00A5342B"/>
    <w:rsid w:val="00A54CAD"/>
    <w:rsid w:val="00A54D83"/>
    <w:rsid w:val="00A60B23"/>
    <w:rsid w:val="00A60BA1"/>
    <w:rsid w:val="00A61530"/>
    <w:rsid w:val="00A6213D"/>
    <w:rsid w:val="00A62657"/>
    <w:rsid w:val="00A62D29"/>
    <w:rsid w:val="00A63247"/>
    <w:rsid w:val="00A6424C"/>
    <w:rsid w:val="00A646EE"/>
    <w:rsid w:val="00A65E5F"/>
    <w:rsid w:val="00A668CF"/>
    <w:rsid w:val="00A67201"/>
    <w:rsid w:val="00A67473"/>
    <w:rsid w:val="00A67BD0"/>
    <w:rsid w:val="00A70108"/>
    <w:rsid w:val="00A709D4"/>
    <w:rsid w:val="00A71F80"/>
    <w:rsid w:val="00A72CA4"/>
    <w:rsid w:val="00A7304F"/>
    <w:rsid w:val="00A738AC"/>
    <w:rsid w:val="00A73CEF"/>
    <w:rsid w:val="00A74563"/>
    <w:rsid w:val="00A7471D"/>
    <w:rsid w:val="00A762A8"/>
    <w:rsid w:val="00A763F4"/>
    <w:rsid w:val="00A76717"/>
    <w:rsid w:val="00A77B96"/>
    <w:rsid w:val="00A77F4C"/>
    <w:rsid w:val="00A802EF"/>
    <w:rsid w:val="00A80C83"/>
    <w:rsid w:val="00A8187F"/>
    <w:rsid w:val="00A81BF2"/>
    <w:rsid w:val="00A824B9"/>
    <w:rsid w:val="00A829B5"/>
    <w:rsid w:val="00A82C3D"/>
    <w:rsid w:val="00A83DA1"/>
    <w:rsid w:val="00A847F1"/>
    <w:rsid w:val="00A848E9"/>
    <w:rsid w:val="00A865D6"/>
    <w:rsid w:val="00A86C54"/>
    <w:rsid w:val="00A86F33"/>
    <w:rsid w:val="00A87CA9"/>
    <w:rsid w:val="00A91A13"/>
    <w:rsid w:val="00A92048"/>
    <w:rsid w:val="00A9246B"/>
    <w:rsid w:val="00A934E4"/>
    <w:rsid w:val="00A93619"/>
    <w:rsid w:val="00A945DF"/>
    <w:rsid w:val="00A96164"/>
    <w:rsid w:val="00A963DD"/>
    <w:rsid w:val="00A968FF"/>
    <w:rsid w:val="00A96EC5"/>
    <w:rsid w:val="00A972CA"/>
    <w:rsid w:val="00A97479"/>
    <w:rsid w:val="00AA09E0"/>
    <w:rsid w:val="00AA0CBF"/>
    <w:rsid w:val="00AA11FA"/>
    <w:rsid w:val="00AA1390"/>
    <w:rsid w:val="00AA197A"/>
    <w:rsid w:val="00AA2F50"/>
    <w:rsid w:val="00AA37EE"/>
    <w:rsid w:val="00AA48F8"/>
    <w:rsid w:val="00AA564D"/>
    <w:rsid w:val="00AA5938"/>
    <w:rsid w:val="00AA5ADB"/>
    <w:rsid w:val="00AA653B"/>
    <w:rsid w:val="00AA693F"/>
    <w:rsid w:val="00AA705F"/>
    <w:rsid w:val="00AA7664"/>
    <w:rsid w:val="00AB0101"/>
    <w:rsid w:val="00AB0776"/>
    <w:rsid w:val="00AB0E1B"/>
    <w:rsid w:val="00AB3076"/>
    <w:rsid w:val="00AB37B6"/>
    <w:rsid w:val="00AB48C2"/>
    <w:rsid w:val="00AB640F"/>
    <w:rsid w:val="00AB6CCD"/>
    <w:rsid w:val="00AB73C0"/>
    <w:rsid w:val="00AC1780"/>
    <w:rsid w:val="00AC31CC"/>
    <w:rsid w:val="00AC405A"/>
    <w:rsid w:val="00AC510D"/>
    <w:rsid w:val="00AC58AC"/>
    <w:rsid w:val="00AC5DAC"/>
    <w:rsid w:val="00AC678A"/>
    <w:rsid w:val="00AC6F6F"/>
    <w:rsid w:val="00AC7629"/>
    <w:rsid w:val="00AD23AC"/>
    <w:rsid w:val="00AD2605"/>
    <w:rsid w:val="00AD2C51"/>
    <w:rsid w:val="00AD3556"/>
    <w:rsid w:val="00AD367C"/>
    <w:rsid w:val="00AD370C"/>
    <w:rsid w:val="00AD3711"/>
    <w:rsid w:val="00AD4FD9"/>
    <w:rsid w:val="00AD5891"/>
    <w:rsid w:val="00AD5E3C"/>
    <w:rsid w:val="00AD64FE"/>
    <w:rsid w:val="00AD719A"/>
    <w:rsid w:val="00AD71DF"/>
    <w:rsid w:val="00AD74DD"/>
    <w:rsid w:val="00AE0A74"/>
    <w:rsid w:val="00AE0CB6"/>
    <w:rsid w:val="00AE0CC6"/>
    <w:rsid w:val="00AE113D"/>
    <w:rsid w:val="00AE1963"/>
    <w:rsid w:val="00AE1AE0"/>
    <w:rsid w:val="00AE2628"/>
    <w:rsid w:val="00AE264E"/>
    <w:rsid w:val="00AE2908"/>
    <w:rsid w:val="00AE2DC3"/>
    <w:rsid w:val="00AE3445"/>
    <w:rsid w:val="00AE5215"/>
    <w:rsid w:val="00AE58C7"/>
    <w:rsid w:val="00AE5E01"/>
    <w:rsid w:val="00AE63AB"/>
    <w:rsid w:val="00AE67E3"/>
    <w:rsid w:val="00AE7221"/>
    <w:rsid w:val="00AE7538"/>
    <w:rsid w:val="00AF0C49"/>
    <w:rsid w:val="00AF1345"/>
    <w:rsid w:val="00AF1D60"/>
    <w:rsid w:val="00AF2102"/>
    <w:rsid w:val="00AF22EA"/>
    <w:rsid w:val="00AF260D"/>
    <w:rsid w:val="00AF2DFB"/>
    <w:rsid w:val="00AF2F6C"/>
    <w:rsid w:val="00AF3FF9"/>
    <w:rsid w:val="00AF40DF"/>
    <w:rsid w:val="00AF4573"/>
    <w:rsid w:val="00AF4A3A"/>
    <w:rsid w:val="00AF4CB6"/>
    <w:rsid w:val="00AF64F0"/>
    <w:rsid w:val="00AF6D71"/>
    <w:rsid w:val="00AF7205"/>
    <w:rsid w:val="00AF734A"/>
    <w:rsid w:val="00AF78EF"/>
    <w:rsid w:val="00B002C5"/>
    <w:rsid w:val="00B0049D"/>
    <w:rsid w:val="00B004F1"/>
    <w:rsid w:val="00B010F0"/>
    <w:rsid w:val="00B01208"/>
    <w:rsid w:val="00B0145C"/>
    <w:rsid w:val="00B028F5"/>
    <w:rsid w:val="00B03294"/>
    <w:rsid w:val="00B04661"/>
    <w:rsid w:val="00B04E04"/>
    <w:rsid w:val="00B06459"/>
    <w:rsid w:val="00B06DD9"/>
    <w:rsid w:val="00B06DFB"/>
    <w:rsid w:val="00B06F26"/>
    <w:rsid w:val="00B0794A"/>
    <w:rsid w:val="00B112CA"/>
    <w:rsid w:val="00B12323"/>
    <w:rsid w:val="00B12C03"/>
    <w:rsid w:val="00B12F96"/>
    <w:rsid w:val="00B13301"/>
    <w:rsid w:val="00B13305"/>
    <w:rsid w:val="00B1431B"/>
    <w:rsid w:val="00B145F9"/>
    <w:rsid w:val="00B14FB5"/>
    <w:rsid w:val="00B1669B"/>
    <w:rsid w:val="00B1698D"/>
    <w:rsid w:val="00B202B3"/>
    <w:rsid w:val="00B2124C"/>
    <w:rsid w:val="00B21A22"/>
    <w:rsid w:val="00B21B01"/>
    <w:rsid w:val="00B23BA4"/>
    <w:rsid w:val="00B23CDF"/>
    <w:rsid w:val="00B247A5"/>
    <w:rsid w:val="00B249D0"/>
    <w:rsid w:val="00B250DB"/>
    <w:rsid w:val="00B252BD"/>
    <w:rsid w:val="00B257D0"/>
    <w:rsid w:val="00B25E10"/>
    <w:rsid w:val="00B26FDB"/>
    <w:rsid w:val="00B27A39"/>
    <w:rsid w:val="00B27ECE"/>
    <w:rsid w:val="00B31E3A"/>
    <w:rsid w:val="00B32B6D"/>
    <w:rsid w:val="00B330CB"/>
    <w:rsid w:val="00B35B58"/>
    <w:rsid w:val="00B36723"/>
    <w:rsid w:val="00B37500"/>
    <w:rsid w:val="00B37A4E"/>
    <w:rsid w:val="00B37B68"/>
    <w:rsid w:val="00B4086C"/>
    <w:rsid w:val="00B40953"/>
    <w:rsid w:val="00B41614"/>
    <w:rsid w:val="00B4198D"/>
    <w:rsid w:val="00B41F9A"/>
    <w:rsid w:val="00B4280A"/>
    <w:rsid w:val="00B42B43"/>
    <w:rsid w:val="00B43418"/>
    <w:rsid w:val="00B43D40"/>
    <w:rsid w:val="00B448BB"/>
    <w:rsid w:val="00B449BC"/>
    <w:rsid w:val="00B44ECA"/>
    <w:rsid w:val="00B46FD1"/>
    <w:rsid w:val="00B50354"/>
    <w:rsid w:val="00B50774"/>
    <w:rsid w:val="00B512BB"/>
    <w:rsid w:val="00B518B0"/>
    <w:rsid w:val="00B51BAC"/>
    <w:rsid w:val="00B51E51"/>
    <w:rsid w:val="00B52E8A"/>
    <w:rsid w:val="00B52F20"/>
    <w:rsid w:val="00B53F2D"/>
    <w:rsid w:val="00B54303"/>
    <w:rsid w:val="00B54A12"/>
    <w:rsid w:val="00B54B8E"/>
    <w:rsid w:val="00B55B7F"/>
    <w:rsid w:val="00B56C06"/>
    <w:rsid w:val="00B570BD"/>
    <w:rsid w:val="00B57980"/>
    <w:rsid w:val="00B57B91"/>
    <w:rsid w:val="00B60EE5"/>
    <w:rsid w:val="00B613E9"/>
    <w:rsid w:val="00B61AB2"/>
    <w:rsid w:val="00B62CDA"/>
    <w:rsid w:val="00B62D39"/>
    <w:rsid w:val="00B62E56"/>
    <w:rsid w:val="00B64501"/>
    <w:rsid w:val="00B6584E"/>
    <w:rsid w:val="00B65C63"/>
    <w:rsid w:val="00B66643"/>
    <w:rsid w:val="00B679BD"/>
    <w:rsid w:val="00B70FE8"/>
    <w:rsid w:val="00B72118"/>
    <w:rsid w:val="00B72571"/>
    <w:rsid w:val="00B72989"/>
    <w:rsid w:val="00B72D08"/>
    <w:rsid w:val="00B73061"/>
    <w:rsid w:val="00B733DD"/>
    <w:rsid w:val="00B7362F"/>
    <w:rsid w:val="00B73D69"/>
    <w:rsid w:val="00B7436E"/>
    <w:rsid w:val="00B74E9C"/>
    <w:rsid w:val="00B75152"/>
    <w:rsid w:val="00B7550E"/>
    <w:rsid w:val="00B75A06"/>
    <w:rsid w:val="00B77C9A"/>
    <w:rsid w:val="00B80255"/>
    <w:rsid w:val="00B80D3A"/>
    <w:rsid w:val="00B8141C"/>
    <w:rsid w:val="00B8354A"/>
    <w:rsid w:val="00B84474"/>
    <w:rsid w:val="00B85038"/>
    <w:rsid w:val="00B85476"/>
    <w:rsid w:val="00B85590"/>
    <w:rsid w:val="00B86847"/>
    <w:rsid w:val="00B875CE"/>
    <w:rsid w:val="00B8789F"/>
    <w:rsid w:val="00B90247"/>
    <w:rsid w:val="00B926B3"/>
    <w:rsid w:val="00B927B8"/>
    <w:rsid w:val="00B931EE"/>
    <w:rsid w:val="00B94A4A"/>
    <w:rsid w:val="00B94C53"/>
    <w:rsid w:val="00B95E6F"/>
    <w:rsid w:val="00B95E7C"/>
    <w:rsid w:val="00BA2605"/>
    <w:rsid w:val="00BA2E8E"/>
    <w:rsid w:val="00BA3FBE"/>
    <w:rsid w:val="00BA4996"/>
    <w:rsid w:val="00BA5AFC"/>
    <w:rsid w:val="00BA5D60"/>
    <w:rsid w:val="00BA60C8"/>
    <w:rsid w:val="00BA60D0"/>
    <w:rsid w:val="00BA66CF"/>
    <w:rsid w:val="00BA6878"/>
    <w:rsid w:val="00BA6BE7"/>
    <w:rsid w:val="00BA70FF"/>
    <w:rsid w:val="00BA7427"/>
    <w:rsid w:val="00BA76D7"/>
    <w:rsid w:val="00BA7AF1"/>
    <w:rsid w:val="00BB16F0"/>
    <w:rsid w:val="00BB24B0"/>
    <w:rsid w:val="00BB2596"/>
    <w:rsid w:val="00BB2D06"/>
    <w:rsid w:val="00BB358B"/>
    <w:rsid w:val="00BB3611"/>
    <w:rsid w:val="00BB4E86"/>
    <w:rsid w:val="00BB4FFB"/>
    <w:rsid w:val="00BB54EF"/>
    <w:rsid w:val="00BB5563"/>
    <w:rsid w:val="00BB5F21"/>
    <w:rsid w:val="00BB614C"/>
    <w:rsid w:val="00BC0439"/>
    <w:rsid w:val="00BC096A"/>
    <w:rsid w:val="00BC2C5B"/>
    <w:rsid w:val="00BC322B"/>
    <w:rsid w:val="00BC4693"/>
    <w:rsid w:val="00BC50FE"/>
    <w:rsid w:val="00BC691C"/>
    <w:rsid w:val="00BC7216"/>
    <w:rsid w:val="00BC7904"/>
    <w:rsid w:val="00BD0399"/>
    <w:rsid w:val="00BD1002"/>
    <w:rsid w:val="00BD2D0E"/>
    <w:rsid w:val="00BD2FED"/>
    <w:rsid w:val="00BD308B"/>
    <w:rsid w:val="00BD313F"/>
    <w:rsid w:val="00BD35E7"/>
    <w:rsid w:val="00BD44F4"/>
    <w:rsid w:val="00BD4578"/>
    <w:rsid w:val="00BD5F20"/>
    <w:rsid w:val="00BD5FA7"/>
    <w:rsid w:val="00BD6563"/>
    <w:rsid w:val="00BD6C1E"/>
    <w:rsid w:val="00BD6DC8"/>
    <w:rsid w:val="00BE1507"/>
    <w:rsid w:val="00BE1570"/>
    <w:rsid w:val="00BE2248"/>
    <w:rsid w:val="00BE3EA7"/>
    <w:rsid w:val="00BE61BF"/>
    <w:rsid w:val="00BE663B"/>
    <w:rsid w:val="00BE715F"/>
    <w:rsid w:val="00BE77C5"/>
    <w:rsid w:val="00BF0698"/>
    <w:rsid w:val="00BF0F86"/>
    <w:rsid w:val="00BF1025"/>
    <w:rsid w:val="00BF1632"/>
    <w:rsid w:val="00BF1D85"/>
    <w:rsid w:val="00BF318A"/>
    <w:rsid w:val="00BF34C5"/>
    <w:rsid w:val="00BF3FC8"/>
    <w:rsid w:val="00BF4593"/>
    <w:rsid w:val="00BF5E35"/>
    <w:rsid w:val="00BF6852"/>
    <w:rsid w:val="00C01178"/>
    <w:rsid w:val="00C03B64"/>
    <w:rsid w:val="00C03CF5"/>
    <w:rsid w:val="00C04198"/>
    <w:rsid w:val="00C04AB6"/>
    <w:rsid w:val="00C04FBE"/>
    <w:rsid w:val="00C06F5B"/>
    <w:rsid w:val="00C072DC"/>
    <w:rsid w:val="00C10287"/>
    <w:rsid w:val="00C10529"/>
    <w:rsid w:val="00C106A8"/>
    <w:rsid w:val="00C109D5"/>
    <w:rsid w:val="00C10D15"/>
    <w:rsid w:val="00C121B6"/>
    <w:rsid w:val="00C12807"/>
    <w:rsid w:val="00C130E4"/>
    <w:rsid w:val="00C131AB"/>
    <w:rsid w:val="00C13AB7"/>
    <w:rsid w:val="00C14A86"/>
    <w:rsid w:val="00C159F5"/>
    <w:rsid w:val="00C15C9A"/>
    <w:rsid w:val="00C1682C"/>
    <w:rsid w:val="00C16869"/>
    <w:rsid w:val="00C17083"/>
    <w:rsid w:val="00C17DAB"/>
    <w:rsid w:val="00C17E72"/>
    <w:rsid w:val="00C2095F"/>
    <w:rsid w:val="00C20A70"/>
    <w:rsid w:val="00C20A87"/>
    <w:rsid w:val="00C20C08"/>
    <w:rsid w:val="00C214AB"/>
    <w:rsid w:val="00C22406"/>
    <w:rsid w:val="00C22AEF"/>
    <w:rsid w:val="00C22D40"/>
    <w:rsid w:val="00C2373E"/>
    <w:rsid w:val="00C2424D"/>
    <w:rsid w:val="00C24BCE"/>
    <w:rsid w:val="00C2611B"/>
    <w:rsid w:val="00C26AEA"/>
    <w:rsid w:val="00C26B06"/>
    <w:rsid w:val="00C26B33"/>
    <w:rsid w:val="00C26BA7"/>
    <w:rsid w:val="00C26C80"/>
    <w:rsid w:val="00C26E6F"/>
    <w:rsid w:val="00C27050"/>
    <w:rsid w:val="00C27439"/>
    <w:rsid w:val="00C2782F"/>
    <w:rsid w:val="00C30263"/>
    <w:rsid w:val="00C31052"/>
    <w:rsid w:val="00C31084"/>
    <w:rsid w:val="00C33A10"/>
    <w:rsid w:val="00C3538D"/>
    <w:rsid w:val="00C361DB"/>
    <w:rsid w:val="00C36C17"/>
    <w:rsid w:val="00C36FAE"/>
    <w:rsid w:val="00C370D3"/>
    <w:rsid w:val="00C370E0"/>
    <w:rsid w:val="00C37109"/>
    <w:rsid w:val="00C40247"/>
    <w:rsid w:val="00C40310"/>
    <w:rsid w:val="00C410A9"/>
    <w:rsid w:val="00C418A9"/>
    <w:rsid w:val="00C41B40"/>
    <w:rsid w:val="00C42B29"/>
    <w:rsid w:val="00C43110"/>
    <w:rsid w:val="00C43723"/>
    <w:rsid w:val="00C43E76"/>
    <w:rsid w:val="00C465E2"/>
    <w:rsid w:val="00C46E97"/>
    <w:rsid w:val="00C476DE"/>
    <w:rsid w:val="00C50CF8"/>
    <w:rsid w:val="00C50D75"/>
    <w:rsid w:val="00C50EFF"/>
    <w:rsid w:val="00C51195"/>
    <w:rsid w:val="00C51299"/>
    <w:rsid w:val="00C517BC"/>
    <w:rsid w:val="00C51835"/>
    <w:rsid w:val="00C52F56"/>
    <w:rsid w:val="00C53856"/>
    <w:rsid w:val="00C54243"/>
    <w:rsid w:val="00C548AD"/>
    <w:rsid w:val="00C54A5A"/>
    <w:rsid w:val="00C55691"/>
    <w:rsid w:val="00C55874"/>
    <w:rsid w:val="00C55ABB"/>
    <w:rsid w:val="00C5607D"/>
    <w:rsid w:val="00C5674E"/>
    <w:rsid w:val="00C56CD1"/>
    <w:rsid w:val="00C6067D"/>
    <w:rsid w:val="00C60B78"/>
    <w:rsid w:val="00C65043"/>
    <w:rsid w:val="00C6573A"/>
    <w:rsid w:val="00C65E60"/>
    <w:rsid w:val="00C65F0E"/>
    <w:rsid w:val="00C6635A"/>
    <w:rsid w:val="00C66542"/>
    <w:rsid w:val="00C702EC"/>
    <w:rsid w:val="00C704AB"/>
    <w:rsid w:val="00C70DA0"/>
    <w:rsid w:val="00C714F2"/>
    <w:rsid w:val="00C71E3E"/>
    <w:rsid w:val="00C71ED6"/>
    <w:rsid w:val="00C738E6"/>
    <w:rsid w:val="00C7422C"/>
    <w:rsid w:val="00C74D08"/>
    <w:rsid w:val="00C74FE5"/>
    <w:rsid w:val="00C75125"/>
    <w:rsid w:val="00C75887"/>
    <w:rsid w:val="00C764D2"/>
    <w:rsid w:val="00C7655E"/>
    <w:rsid w:val="00C767D5"/>
    <w:rsid w:val="00C76839"/>
    <w:rsid w:val="00C76F56"/>
    <w:rsid w:val="00C7717D"/>
    <w:rsid w:val="00C804DF"/>
    <w:rsid w:val="00C80EEB"/>
    <w:rsid w:val="00C81A42"/>
    <w:rsid w:val="00C827BB"/>
    <w:rsid w:val="00C838AB"/>
    <w:rsid w:val="00C83947"/>
    <w:rsid w:val="00C8440B"/>
    <w:rsid w:val="00C8456F"/>
    <w:rsid w:val="00C8549C"/>
    <w:rsid w:val="00C86782"/>
    <w:rsid w:val="00C86D40"/>
    <w:rsid w:val="00C90AA3"/>
    <w:rsid w:val="00C916BF"/>
    <w:rsid w:val="00C91B84"/>
    <w:rsid w:val="00C92404"/>
    <w:rsid w:val="00C93A54"/>
    <w:rsid w:val="00C94D75"/>
    <w:rsid w:val="00C94E10"/>
    <w:rsid w:val="00C95604"/>
    <w:rsid w:val="00C9576F"/>
    <w:rsid w:val="00C95AA2"/>
    <w:rsid w:val="00C96D02"/>
    <w:rsid w:val="00C96D59"/>
    <w:rsid w:val="00C96EA4"/>
    <w:rsid w:val="00C96EF9"/>
    <w:rsid w:val="00C972E2"/>
    <w:rsid w:val="00CA013D"/>
    <w:rsid w:val="00CA058E"/>
    <w:rsid w:val="00CA0CED"/>
    <w:rsid w:val="00CA122C"/>
    <w:rsid w:val="00CA12FA"/>
    <w:rsid w:val="00CA2495"/>
    <w:rsid w:val="00CA3417"/>
    <w:rsid w:val="00CA35EF"/>
    <w:rsid w:val="00CA37BB"/>
    <w:rsid w:val="00CA3A3E"/>
    <w:rsid w:val="00CA3A5A"/>
    <w:rsid w:val="00CA40C8"/>
    <w:rsid w:val="00CA4AE2"/>
    <w:rsid w:val="00CA52AD"/>
    <w:rsid w:val="00CA5B79"/>
    <w:rsid w:val="00CA6841"/>
    <w:rsid w:val="00CA6E1E"/>
    <w:rsid w:val="00CA77D1"/>
    <w:rsid w:val="00CA7850"/>
    <w:rsid w:val="00CB01A9"/>
    <w:rsid w:val="00CB049D"/>
    <w:rsid w:val="00CB0A83"/>
    <w:rsid w:val="00CB102E"/>
    <w:rsid w:val="00CB109F"/>
    <w:rsid w:val="00CB1A7C"/>
    <w:rsid w:val="00CB1BC8"/>
    <w:rsid w:val="00CB1D6B"/>
    <w:rsid w:val="00CB35B9"/>
    <w:rsid w:val="00CB5ED4"/>
    <w:rsid w:val="00CB7636"/>
    <w:rsid w:val="00CC063D"/>
    <w:rsid w:val="00CC0854"/>
    <w:rsid w:val="00CC0CB3"/>
    <w:rsid w:val="00CC0E99"/>
    <w:rsid w:val="00CC1F3F"/>
    <w:rsid w:val="00CC1FD1"/>
    <w:rsid w:val="00CC2171"/>
    <w:rsid w:val="00CC2AB2"/>
    <w:rsid w:val="00CC2FF7"/>
    <w:rsid w:val="00CC319A"/>
    <w:rsid w:val="00CC412A"/>
    <w:rsid w:val="00CC4D3C"/>
    <w:rsid w:val="00CC5493"/>
    <w:rsid w:val="00CC5B43"/>
    <w:rsid w:val="00CC63C7"/>
    <w:rsid w:val="00CC6767"/>
    <w:rsid w:val="00CC6AE9"/>
    <w:rsid w:val="00CC7C9D"/>
    <w:rsid w:val="00CD023B"/>
    <w:rsid w:val="00CD080B"/>
    <w:rsid w:val="00CD0DAC"/>
    <w:rsid w:val="00CD1374"/>
    <w:rsid w:val="00CD42DA"/>
    <w:rsid w:val="00CD57D0"/>
    <w:rsid w:val="00CD6980"/>
    <w:rsid w:val="00CE1AC2"/>
    <w:rsid w:val="00CE1D1F"/>
    <w:rsid w:val="00CE29A7"/>
    <w:rsid w:val="00CE2C9D"/>
    <w:rsid w:val="00CE2D1A"/>
    <w:rsid w:val="00CE2F51"/>
    <w:rsid w:val="00CE3353"/>
    <w:rsid w:val="00CE48CB"/>
    <w:rsid w:val="00CE53FA"/>
    <w:rsid w:val="00CE63E3"/>
    <w:rsid w:val="00CE642B"/>
    <w:rsid w:val="00CE6732"/>
    <w:rsid w:val="00CE703B"/>
    <w:rsid w:val="00CF0698"/>
    <w:rsid w:val="00CF18C3"/>
    <w:rsid w:val="00CF266D"/>
    <w:rsid w:val="00CF2B4C"/>
    <w:rsid w:val="00CF2C85"/>
    <w:rsid w:val="00CF3106"/>
    <w:rsid w:val="00CF3614"/>
    <w:rsid w:val="00CF4C51"/>
    <w:rsid w:val="00CF57D7"/>
    <w:rsid w:val="00CF785D"/>
    <w:rsid w:val="00CF79AD"/>
    <w:rsid w:val="00D00566"/>
    <w:rsid w:val="00D00616"/>
    <w:rsid w:val="00D00A94"/>
    <w:rsid w:val="00D01075"/>
    <w:rsid w:val="00D01D8D"/>
    <w:rsid w:val="00D024B2"/>
    <w:rsid w:val="00D02DCB"/>
    <w:rsid w:val="00D03832"/>
    <w:rsid w:val="00D039F9"/>
    <w:rsid w:val="00D05B13"/>
    <w:rsid w:val="00D06291"/>
    <w:rsid w:val="00D0662A"/>
    <w:rsid w:val="00D0709B"/>
    <w:rsid w:val="00D07241"/>
    <w:rsid w:val="00D10818"/>
    <w:rsid w:val="00D10FAE"/>
    <w:rsid w:val="00D117AB"/>
    <w:rsid w:val="00D11AAB"/>
    <w:rsid w:val="00D11E25"/>
    <w:rsid w:val="00D1433F"/>
    <w:rsid w:val="00D15790"/>
    <w:rsid w:val="00D15A85"/>
    <w:rsid w:val="00D15AFF"/>
    <w:rsid w:val="00D15BCA"/>
    <w:rsid w:val="00D16E2F"/>
    <w:rsid w:val="00D17CE7"/>
    <w:rsid w:val="00D210DB"/>
    <w:rsid w:val="00D21CBE"/>
    <w:rsid w:val="00D22D50"/>
    <w:rsid w:val="00D22EDB"/>
    <w:rsid w:val="00D24423"/>
    <w:rsid w:val="00D25665"/>
    <w:rsid w:val="00D26918"/>
    <w:rsid w:val="00D269D7"/>
    <w:rsid w:val="00D3035B"/>
    <w:rsid w:val="00D30D0C"/>
    <w:rsid w:val="00D3153F"/>
    <w:rsid w:val="00D31EE8"/>
    <w:rsid w:val="00D32BF3"/>
    <w:rsid w:val="00D330FE"/>
    <w:rsid w:val="00D3322B"/>
    <w:rsid w:val="00D33E2D"/>
    <w:rsid w:val="00D347F7"/>
    <w:rsid w:val="00D3495A"/>
    <w:rsid w:val="00D34B57"/>
    <w:rsid w:val="00D35641"/>
    <w:rsid w:val="00D35F9C"/>
    <w:rsid w:val="00D36705"/>
    <w:rsid w:val="00D41270"/>
    <w:rsid w:val="00D4258F"/>
    <w:rsid w:val="00D43C60"/>
    <w:rsid w:val="00D4408A"/>
    <w:rsid w:val="00D44AB4"/>
    <w:rsid w:val="00D455A5"/>
    <w:rsid w:val="00D4679D"/>
    <w:rsid w:val="00D4698D"/>
    <w:rsid w:val="00D46D9D"/>
    <w:rsid w:val="00D46EEE"/>
    <w:rsid w:val="00D46F73"/>
    <w:rsid w:val="00D47315"/>
    <w:rsid w:val="00D500F5"/>
    <w:rsid w:val="00D514A3"/>
    <w:rsid w:val="00D516DE"/>
    <w:rsid w:val="00D51954"/>
    <w:rsid w:val="00D519CD"/>
    <w:rsid w:val="00D519D7"/>
    <w:rsid w:val="00D524B0"/>
    <w:rsid w:val="00D53BBE"/>
    <w:rsid w:val="00D540C7"/>
    <w:rsid w:val="00D5434E"/>
    <w:rsid w:val="00D543A7"/>
    <w:rsid w:val="00D54EA9"/>
    <w:rsid w:val="00D56AA0"/>
    <w:rsid w:val="00D573B9"/>
    <w:rsid w:val="00D576E4"/>
    <w:rsid w:val="00D60273"/>
    <w:rsid w:val="00D602A0"/>
    <w:rsid w:val="00D6095D"/>
    <w:rsid w:val="00D60B5C"/>
    <w:rsid w:val="00D6207D"/>
    <w:rsid w:val="00D620B2"/>
    <w:rsid w:val="00D626B8"/>
    <w:rsid w:val="00D63EE2"/>
    <w:rsid w:val="00D63EEA"/>
    <w:rsid w:val="00D63F34"/>
    <w:rsid w:val="00D644FD"/>
    <w:rsid w:val="00D65F17"/>
    <w:rsid w:val="00D664DE"/>
    <w:rsid w:val="00D6732B"/>
    <w:rsid w:val="00D6791C"/>
    <w:rsid w:val="00D728E7"/>
    <w:rsid w:val="00D72C9B"/>
    <w:rsid w:val="00D73B63"/>
    <w:rsid w:val="00D73C65"/>
    <w:rsid w:val="00D74097"/>
    <w:rsid w:val="00D743FA"/>
    <w:rsid w:val="00D74427"/>
    <w:rsid w:val="00D74901"/>
    <w:rsid w:val="00D74E30"/>
    <w:rsid w:val="00D7503D"/>
    <w:rsid w:val="00D758DD"/>
    <w:rsid w:val="00D7603C"/>
    <w:rsid w:val="00D760C1"/>
    <w:rsid w:val="00D767CA"/>
    <w:rsid w:val="00D7725F"/>
    <w:rsid w:val="00D776E5"/>
    <w:rsid w:val="00D80391"/>
    <w:rsid w:val="00D8087B"/>
    <w:rsid w:val="00D81905"/>
    <w:rsid w:val="00D82875"/>
    <w:rsid w:val="00D82DDA"/>
    <w:rsid w:val="00D83600"/>
    <w:rsid w:val="00D84A3E"/>
    <w:rsid w:val="00D85426"/>
    <w:rsid w:val="00D85E2B"/>
    <w:rsid w:val="00D85F3C"/>
    <w:rsid w:val="00D86360"/>
    <w:rsid w:val="00D867DC"/>
    <w:rsid w:val="00D87037"/>
    <w:rsid w:val="00D90325"/>
    <w:rsid w:val="00D909B7"/>
    <w:rsid w:val="00D91060"/>
    <w:rsid w:val="00D914FA"/>
    <w:rsid w:val="00D91B4C"/>
    <w:rsid w:val="00D9243B"/>
    <w:rsid w:val="00D925DC"/>
    <w:rsid w:val="00D926A5"/>
    <w:rsid w:val="00D94C36"/>
    <w:rsid w:val="00D95DD7"/>
    <w:rsid w:val="00D96791"/>
    <w:rsid w:val="00D96E7A"/>
    <w:rsid w:val="00D97F8B"/>
    <w:rsid w:val="00DA220A"/>
    <w:rsid w:val="00DA23C6"/>
    <w:rsid w:val="00DA2C64"/>
    <w:rsid w:val="00DA317E"/>
    <w:rsid w:val="00DA3407"/>
    <w:rsid w:val="00DA4F2A"/>
    <w:rsid w:val="00DA5329"/>
    <w:rsid w:val="00DA5B42"/>
    <w:rsid w:val="00DA617F"/>
    <w:rsid w:val="00DA61DC"/>
    <w:rsid w:val="00DA63A8"/>
    <w:rsid w:val="00DA6BD6"/>
    <w:rsid w:val="00DA796B"/>
    <w:rsid w:val="00DA7DD0"/>
    <w:rsid w:val="00DB0C98"/>
    <w:rsid w:val="00DB180A"/>
    <w:rsid w:val="00DB1EF4"/>
    <w:rsid w:val="00DB3155"/>
    <w:rsid w:val="00DB3594"/>
    <w:rsid w:val="00DB4394"/>
    <w:rsid w:val="00DB4412"/>
    <w:rsid w:val="00DB489D"/>
    <w:rsid w:val="00DB4E72"/>
    <w:rsid w:val="00DB5603"/>
    <w:rsid w:val="00DB5699"/>
    <w:rsid w:val="00DB56C2"/>
    <w:rsid w:val="00DB5804"/>
    <w:rsid w:val="00DB5EB7"/>
    <w:rsid w:val="00DB6217"/>
    <w:rsid w:val="00DB761B"/>
    <w:rsid w:val="00DB7972"/>
    <w:rsid w:val="00DC0339"/>
    <w:rsid w:val="00DC0B6C"/>
    <w:rsid w:val="00DC1066"/>
    <w:rsid w:val="00DC11A2"/>
    <w:rsid w:val="00DC12CE"/>
    <w:rsid w:val="00DC1CD0"/>
    <w:rsid w:val="00DC25A3"/>
    <w:rsid w:val="00DC26F0"/>
    <w:rsid w:val="00DC3884"/>
    <w:rsid w:val="00DC3926"/>
    <w:rsid w:val="00DC3943"/>
    <w:rsid w:val="00DC3AB4"/>
    <w:rsid w:val="00DC3EF7"/>
    <w:rsid w:val="00DC47F5"/>
    <w:rsid w:val="00DC65DB"/>
    <w:rsid w:val="00DD05EF"/>
    <w:rsid w:val="00DD0950"/>
    <w:rsid w:val="00DD2547"/>
    <w:rsid w:val="00DD3901"/>
    <w:rsid w:val="00DD4014"/>
    <w:rsid w:val="00DD4051"/>
    <w:rsid w:val="00DD4061"/>
    <w:rsid w:val="00DD45CD"/>
    <w:rsid w:val="00DD4E74"/>
    <w:rsid w:val="00DD591B"/>
    <w:rsid w:val="00DD67E7"/>
    <w:rsid w:val="00DD68CF"/>
    <w:rsid w:val="00DD6CD5"/>
    <w:rsid w:val="00DD7DE8"/>
    <w:rsid w:val="00DE1216"/>
    <w:rsid w:val="00DE1438"/>
    <w:rsid w:val="00DE2943"/>
    <w:rsid w:val="00DE2C4C"/>
    <w:rsid w:val="00DE2D74"/>
    <w:rsid w:val="00DE2F77"/>
    <w:rsid w:val="00DE33DA"/>
    <w:rsid w:val="00DE433B"/>
    <w:rsid w:val="00DE44BC"/>
    <w:rsid w:val="00DE4D25"/>
    <w:rsid w:val="00DE4DC2"/>
    <w:rsid w:val="00DE5191"/>
    <w:rsid w:val="00DE57E8"/>
    <w:rsid w:val="00DE62D9"/>
    <w:rsid w:val="00DE7BFE"/>
    <w:rsid w:val="00DF1AA6"/>
    <w:rsid w:val="00DF1B53"/>
    <w:rsid w:val="00DF1B9F"/>
    <w:rsid w:val="00DF2698"/>
    <w:rsid w:val="00DF5318"/>
    <w:rsid w:val="00DF5C1C"/>
    <w:rsid w:val="00DF618C"/>
    <w:rsid w:val="00DF64C6"/>
    <w:rsid w:val="00DF7507"/>
    <w:rsid w:val="00DF79B2"/>
    <w:rsid w:val="00E00BEC"/>
    <w:rsid w:val="00E015D7"/>
    <w:rsid w:val="00E01FCF"/>
    <w:rsid w:val="00E028DA"/>
    <w:rsid w:val="00E02BAC"/>
    <w:rsid w:val="00E04623"/>
    <w:rsid w:val="00E04D46"/>
    <w:rsid w:val="00E04E98"/>
    <w:rsid w:val="00E04F33"/>
    <w:rsid w:val="00E05A22"/>
    <w:rsid w:val="00E05D75"/>
    <w:rsid w:val="00E064B5"/>
    <w:rsid w:val="00E06967"/>
    <w:rsid w:val="00E06A0C"/>
    <w:rsid w:val="00E06CC1"/>
    <w:rsid w:val="00E06E57"/>
    <w:rsid w:val="00E078D1"/>
    <w:rsid w:val="00E11E3F"/>
    <w:rsid w:val="00E12BAD"/>
    <w:rsid w:val="00E130AF"/>
    <w:rsid w:val="00E138E8"/>
    <w:rsid w:val="00E13CF0"/>
    <w:rsid w:val="00E14BDB"/>
    <w:rsid w:val="00E15244"/>
    <w:rsid w:val="00E1622B"/>
    <w:rsid w:val="00E16A79"/>
    <w:rsid w:val="00E2139D"/>
    <w:rsid w:val="00E2145A"/>
    <w:rsid w:val="00E22212"/>
    <w:rsid w:val="00E222B3"/>
    <w:rsid w:val="00E2311F"/>
    <w:rsid w:val="00E2314B"/>
    <w:rsid w:val="00E234E6"/>
    <w:rsid w:val="00E237A7"/>
    <w:rsid w:val="00E242E1"/>
    <w:rsid w:val="00E2436B"/>
    <w:rsid w:val="00E245F4"/>
    <w:rsid w:val="00E247D2"/>
    <w:rsid w:val="00E24919"/>
    <w:rsid w:val="00E24CD2"/>
    <w:rsid w:val="00E26139"/>
    <w:rsid w:val="00E2659A"/>
    <w:rsid w:val="00E26EAD"/>
    <w:rsid w:val="00E27B2D"/>
    <w:rsid w:val="00E27E92"/>
    <w:rsid w:val="00E3041B"/>
    <w:rsid w:val="00E30B68"/>
    <w:rsid w:val="00E31F09"/>
    <w:rsid w:val="00E32A1F"/>
    <w:rsid w:val="00E32E44"/>
    <w:rsid w:val="00E334A3"/>
    <w:rsid w:val="00E334AD"/>
    <w:rsid w:val="00E33903"/>
    <w:rsid w:val="00E33D10"/>
    <w:rsid w:val="00E34786"/>
    <w:rsid w:val="00E34FB6"/>
    <w:rsid w:val="00E3573B"/>
    <w:rsid w:val="00E3669D"/>
    <w:rsid w:val="00E367C7"/>
    <w:rsid w:val="00E37A94"/>
    <w:rsid w:val="00E37BCF"/>
    <w:rsid w:val="00E410C6"/>
    <w:rsid w:val="00E41A42"/>
    <w:rsid w:val="00E41DCF"/>
    <w:rsid w:val="00E42129"/>
    <w:rsid w:val="00E460F7"/>
    <w:rsid w:val="00E461E1"/>
    <w:rsid w:val="00E463B1"/>
    <w:rsid w:val="00E46CDE"/>
    <w:rsid w:val="00E473E5"/>
    <w:rsid w:val="00E47900"/>
    <w:rsid w:val="00E50BDF"/>
    <w:rsid w:val="00E50FB2"/>
    <w:rsid w:val="00E512B3"/>
    <w:rsid w:val="00E529BE"/>
    <w:rsid w:val="00E54017"/>
    <w:rsid w:val="00E54825"/>
    <w:rsid w:val="00E55F35"/>
    <w:rsid w:val="00E57001"/>
    <w:rsid w:val="00E5762A"/>
    <w:rsid w:val="00E578A2"/>
    <w:rsid w:val="00E60A22"/>
    <w:rsid w:val="00E61200"/>
    <w:rsid w:val="00E61B1D"/>
    <w:rsid w:val="00E61E12"/>
    <w:rsid w:val="00E6330B"/>
    <w:rsid w:val="00E63601"/>
    <w:rsid w:val="00E641F1"/>
    <w:rsid w:val="00E64E9A"/>
    <w:rsid w:val="00E65413"/>
    <w:rsid w:val="00E659E8"/>
    <w:rsid w:val="00E664FD"/>
    <w:rsid w:val="00E67A15"/>
    <w:rsid w:val="00E706FA"/>
    <w:rsid w:val="00E707DC"/>
    <w:rsid w:val="00E70968"/>
    <w:rsid w:val="00E70AB1"/>
    <w:rsid w:val="00E7107C"/>
    <w:rsid w:val="00E7268D"/>
    <w:rsid w:val="00E72BAF"/>
    <w:rsid w:val="00E73C9B"/>
    <w:rsid w:val="00E75966"/>
    <w:rsid w:val="00E75CB8"/>
    <w:rsid w:val="00E75D0B"/>
    <w:rsid w:val="00E75D63"/>
    <w:rsid w:val="00E75F0F"/>
    <w:rsid w:val="00E80532"/>
    <w:rsid w:val="00E80F6D"/>
    <w:rsid w:val="00E81B6B"/>
    <w:rsid w:val="00E82B9D"/>
    <w:rsid w:val="00E82C98"/>
    <w:rsid w:val="00E82F61"/>
    <w:rsid w:val="00E83446"/>
    <w:rsid w:val="00E848C7"/>
    <w:rsid w:val="00E848DA"/>
    <w:rsid w:val="00E84B36"/>
    <w:rsid w:val="00E859C6"/>
    <w:rsid w:val="00E85E43"/>
    <w:rsid w:val="00E861EF"/>
    <w:rsid w:val="00E86684"/>
    <w:rsid w:val="00E8758A"/>
    <w:rsid w:val="00E87A1F"/>
    <w:rsid w:val="00E87D25"/>
    <w:rsid w:val="00E90282"/>
    <w:rsid w:val="00E908C1"/>
    <w:rsid w:val="00E9125E"/>
    <w:rsid w:val="00E919FA"/>
    <w:rsid w:val="00E91FC1"/>
    <w:rsid w:val="00E921CC"/>
    <w:rsid w:val="00E924DC"/>
    <w:rsid w:val="00E92F97"/>
    <w:rsid w:val="00E93419"/>
    <w:rsid w:val="00E935AA"/>
    <w:rsid w:val="00E93D29"/>
    <w:rsid w:val="00E945BB"/>
    <w:rsid w:val="00E9480D"/>
    <w:rsid w:val="00E95105"/>
    <w:rsid w:val="00E9689F"/>
    <w:rsid w:val="00EA0C3C"/>
    <w:rsid w:val="00EA0DCD"/>
    <w:rsid w:val="00EA16C4"/>
    <w:rsid w:val="00EA1A69"/>
    <w:rsid w:val="00EA1AEC"/>
    <w:rsid w:val="00EA20B1"/>
    <w:rsid w:val="00EA2634"/>
    <w:rsid w:val="00EA2C51"/>
    <w:rsid w:val="00EA32F5"/>
    <w:rsid w:val="00EA354C"/>
    <w:rsid w:val="00EA3671"/>
    <w:rsid w:val="00EA3945"/>
    <w:rsid w:val="00EA44E7"/>
    <w:rsid w:val="00EA45CB"/>
    <w:rsid w:val="00EA5015"/>
    <w:rsid w:val="00EA5CF3"/>
    <w:rsid w:val="00EA6024"/>
    <w:rsid w:val="00EA6843"/>
    <w:rsid w:val="00EA6D34"/>
    <w:rsid w:val="00EA74B0"/>
    <w:rsid w:val="00EA7827"/>
    <w:rsid w:val="00EB0395"/>
    <w:rsid w:val="00EB2113"/>
    <w:rsid w:val="00EB2261"/>
    <w:rsid w:val="00EB23E1"/>
    <w:rsid w:val="00EB3575"/>
    <w:rsid w:val="00EB402D"/>
    <w:rsid w:val="00EB521A"/>
    <w:rsid w:val="00EB61EE"/>
    <w:rsid w:val="00EB7979"/>
    <w:rsid w:val="00EB7B8B"/>
    <w:rsid w:val="00EB7DA5"/>
    <w:rsid w:val="00EB7FF0"/>
    <w:rsid w:val="00EC0257"/>
    <w:rsid w:val="00EC067A"/>
    <w:rsid w:val="00EC08AD"/>
    <w:rsid w:val="00EC2484"/>
    <w:rsid w:val="00EC3335"/>
    <w:rsid w:val="00EC425A"/>
    <w:rsid w:val="00EC470D"/>
    <w:rsid w:val="00EC5889"/>
    <w:rsid w:val="00EC6A7F"/>
    <w:rsid w:val="00EC7264"/>
    <w:rsid w:val="00EC76F6"/>
    <w:rsid w:val="00EC7723"/>
    <w:rsid w:val="00EC7805"/>
    <w:rsid w:val="00EC79FD"/>
    <w:rsid w:val="00EC7BCF"/>
    <w:rsid w:val="00ED1486"/>
    <w:rsid w:val="00ED1A6E"/>
    <w:rsid w:val="00ED2658"/>
    <w:rsid w:val="00ED2885"/>
    <w:rsid w:val="00ED2917"/>
    <w:rsid w:val="00ED3F70"/>
    <w:rsid w:val="00ED4124"/>
    <w:rsid w:val="00ED45FC"/>
    <w:rsid w:val="00ED53FB"/>
    <w:rsid w:val="00ED5834"/>
    <w:rsid w:val="00ED70D1"/>
    <w:rsid w:val="00ED7380"/>
    <w:rsid w:val="00EE1A0D"/>
    <w:rsid w:val="00EE2319"/>
    <w:rsid w:val="00EE2370"/>
    <w:rsid w:val="00EE2917"/>
    <w:rsid w:val="00EE2F91"/>
    <w:rsid w:val="00EE395B"/>
    <w:rsid w:val="00EE3D64"/>
    <w:rsid w:val="00EE4BB0"/>
    <w:rsid w:val="00EE4E86"/>
    <w:rsid w:val="00EE5153"/>
    <w:rsid w:val="00EE53C2"/>
    <w:rsid w:val="00EE63C7"/>
    <w:rsid w:val="00EE6E77"/>
    <w:rsid w:val="00EE7216"/>
    <w:rsid w:val="00EF0EEB"/>
    <w:rsid w:val="00EF1F60"/>
    <w:rsid w:val="00EF2101"/>
    <w:rsid w:val="00EF2439"/>
    <w:rsid w:val="00EF3BBF"/>
    <w:rsid w:val="00EF3D19"/>
    <w:rsid w:val="00EF4456"/>
    <w:rsid w:val="00EF5A5A"/>
    <w:rsid w:val="00EF5B3F"/>
    <w:rsid w:val="00EF5B8F"/>
    <w:rsid w:val="00EF68ED"/>
    <w:rsid w:val="00EF718A"/>
    <w:rsid w:val="00EF73AC"/>
    <w:rsid w:val="00EF7F03"/>
    <w:rsid w:val="00F000C4"/>
    <w:rsid w:val="00F00AF3"/>
    <w:rsid w:val="00F00F59"/>
    <w:rsid w:val="00F0129F"/>
    <w:rsid w:val="00F019D5"/>
    <w:rsid w:val="00F043B8"/>
    <w:rsid w:val="00F055B7"/>
    <w:rsid w:val="00F05D79"/>
    <w:rsid w:val="00F06B50"/>
    <w:rsid w:val="00F07434"/>
    <w:rsid w:val="00F10FB5"/>
    <w:rsid w:val="00F117F9"/>
    <w:rsid w:val="00F119EE"/>
    <w:rsid w:val="00F12B5C"/>
    <w:rsid w:val="00F12F1B"/>
    <w:rsid w:val="00F12FD0"/>
    <w:rsid w:val="00F13592"/>
    <w:rsid w:val="00F162F0"/>
    <w:rsid w:val="00F172EE"/>
    <w:rsid w:val="00F17312"/>
    <w:rsid w:val="00F17A65"/>
    <w:rsid w:val="00F203DD"/>
    <w:rsid w:val="00F219DF"/>
    <w:rsid w:val="00F22255"/>
    <w:rsid w:val="00F22F16"/>
    <w:rsid w:val="00F23043"/>
    <w:rsid w:val="00F2359A"/>
    <w:rsid w:val="00F2428E"/>
    <w:rsid w:val="00F2495D"/>
    <w:rsid w:val="00F24A21"/>
    <w:rsid w:val="00F25503"/>
    <w:rsid w:val="00F2574B"/>
    <w:rsid w:val="00F271A5"/>
    <w:rsid w:val="00F3003C"/>
    <w:rsid w:val="00F30051"/>
    <w:rsid w:val="00F30072"/>
    <w:rsid w:val="00F30733"/>
    <w:rsid w:val="00F309CD"/>
    <w:rsid w:val="00F30E82"/>
    <w:rsid w:val="00F30FE8"/>
    <w:rsid w:val="00F31F84"/>
    <w:rsid w:val="00F320B9"/>
    <w:rsid w:val="00F3231C"/>
    <w:rsid w:val="00F32356"/>
    <w:rsid w:val="00F32749"/>
    <w:rsid w:val="00F32751"/>
    <w:rsid w:val="00F32CEE"/>
    <w:rsid w:val="00F339F6"/>
    <w:rsid w:val="00F343DF"/>
    <w:rsid w:val="00F345E0"/>
    <w:rsid w:val="00F3488E"/>
    <w:rsid w:val="00F34CAC"/>
    <w:rsid w:val="00F350B2"/>
    <w:rsid w:val="00F36236"/>
    <w:rsid w:val="00F366E5"/>
    <w:rsid w:val="00F369F8"/>
    <w:rsid w:val="00F379F4"/>
    <w:rsid w:val="00F402EB"/>
    <w:rsid w:val="00F4031D"/>
    <w:rsid w:val="00F40F7F"/>
    <w:rsid w:val="00F415B9"/>
    <w:rsid w:val="00F4220F"/>
    <w:rsid w:val="00F43231"/>
    <w:rsid w:val="00F446D9"/>
    <w:rsid w:val="00F447C7"/>
    <w:rsid w:val="00F4498F"/>
    <w:rsid w:val="00F46361"/>
    <w:rsid w:val="00F47BF8"/>
    <w:rsid w:val="00F5045F"/>
    <w:rsid w:val="00F509CA"/>
    <w:rsid w:val="00F51959"/>
    <w:rsid w:val="00F51EA7"/>
    <w:rsid w:val="00F5279F"/>
    <w:rsid w:val="00F52B55"/>
    <w:rsid w:val="00F52B97"/>
    <w:rsid w:val="00F53194"/>
    <w:rsid w:val="00F538F5"/>
    <w:rsid w:val="00F53D4E"/>
    <w:rsid w:val="00F53E1C"/>
    <w:rsid w:val="00F54D98"/>
    <w:rsid w:val="00F5711A"/>
    <w:rsid w:val="00F5732F"/>
    <w:rsid w:val="00F573E7"/>
    <w:rsid w:val="00F57463"/>
    <w:rsid w:val="00F57E13"/>
    <w:rsid w:val="00F603D7"/>
    <w:rsid w:val="00F60569"/>
    <w:rsid w:val="00F61100"/>
    <w:rsid w:val="00F61A99"/>
    <w:rsid w:val="00F620B8"/>
    <w:rsid w:val="00F623DC"/>
    <w:rsid w:val="00F626DD"/>
    <w:rsid w:val="00F63662"/>
    <w:rsid w:val="00F64C46"/>
    <w:rsid w:val="00F6547F"/>
    <w:rsid w:val="00F6554C"/>
    <w:rsid w:val="00F66185"/>
    <w:rsid w:val="00F66229"/>
    <w:rsid w:val="00F67E12"/>
    <w:rsid w:val="00F727A2"/>
    <w:rsid w:val="00F7375B"/>
    <w:rsid w:val="00F74BC6"/>
    <w:rsid w:val="00F75A42"/>
    <w:rsid w:val="00F762B2"/>
    <w:rsid w:val="00F76502"/>
    <w:rsid w:val="00F76A54"/>
    <w:rsid w:val="00F76B80"/>
    <w:rsid w:val="00F76D15"/>
    <w:rsid w:val="00F773B1"/>
    <w:rsid w:val="00F80025"/>
    <w:rsid w:val="00F8074F"/>
    <w:rsid w:val="00F80DEC"/>
    <w:rsid w:val="00F81467"/>
    <w:rsid w:val="00F815CB"/>
    <w:rsid w:val="00F81D57"/>
    <w:rsid w:val="00F830AF"/>
    <w:rsid w:val="00F84B86"/>
    <w:rsid w:val="00F851E4"/>
    <w:rsid w:val="00F85A99"/>
    <w:rsid w:val="00F912B3"/>
    <w:rsid w:val="00F91349"/>
    <w:rsid w:val="00F91E0D"/>
    <w:rsid w:val="00F92026"/>
    <w:rsid w:val="00F92640"/>
    <w:rsid w:val="00F92750"/>
    <w:rsid w:val="00F92C86"/>
    <w:rsid w:val="00F939E5"/>
    <w:rsid w:val="00F950A6"/>
    <w:rsid w:val="00F95941"/>
    <w:rsid w:val="00F96938"/>
    <w:rsid w:val="00F96BE3"/>
    <w:rsid w:val="00F970A3"/>
    <w:rsid w:val="00F970B7"/>
    <w:rsid w:val="00F975A7"/>
    <w:rsid w:val="00F97CB4"/>
    <w:rsid w:val="00F97DFA"/>
    <w:rsid w:val="00FA03F9"/>
    <w:rsid w:val="00FA0B72"/>
    <w:rsid w:val="00FA2115"/>
    <w:rsid w:val="00FA2407"/>
    <w:rsid w:val="00FA2EB4"/>
    <w:rsid w:val="00FA37E9"/>
    <w:rsid w:val="00FA4446"/>
    <w:rsid w:val="00FA6023"/>
    <w:rsid w:val="00FA60AB"/>
    <w:rsid w:val="00FA6335"/>
    <w:rsid w:val="00FA73CD"/>
    <w:rsid w:val="00FA7E95"/>
    <w:rsid w:val="00FB06C9"/>
    <w:rsid w:val="00FB12A7"/>
    <w:rsid w:val="00FB14D1"/>
    <w:rsid w:val="00FB1E1C"/>
    <w:rsid w:val="00FB2525"/>
    <w:rsid w:val="00FB287B"/>
    <w:rsid w:val="00FB32D9"/>
    <w:rsid w:val="00FB3A82"/>
    <w:rsid w:val="00FB4F0B"/>
    <w:rsid w:val="00FB59F6"/>
    <w:rsid w:val="00FB6CF2"/>
    <w:rsid w:val="00FB775A"/>
    <w:rsid w:val="00FB7803"/>
    <w:rsid w:val="00FB7D66"/>
    <w:rsid w:val="00FC0B74"/>
    <w:rsid w:val="00FC0C19"/>
    <w:rsid w:val="00FC2C48"/>
    <w:rsid w:val="00FC3595"/>
    <w:rsid w:val="00FC46B9"/>
    <w:rsid w:val="00FC4DC3"/>
    <w:rsid w:val="00FC5696"/>
    <w:rsid w:val="00FC5BD7"/>
    <w:rsid w:val="00FC611F"/>
    <w:rsid w:val="00FC65B4"/>
    <w:rsid w:val="00FC6B6A"/>
    <w:rsid w:val="00FD018B"/>
    <w:rsid w:val="00FD03A8"/>
    <w:rsid w:val="00FD0C49"/>
    <w:rsid w:val="00FD207F"/>
    <w:rsid w:val="00FD2E5E"/>
    <w:rsid w:val="00FD33E9"/>
    <w:rsid w:val="00FD5560"/>
    <w:rsid w:val="00FD5604"/>
    <w:rsid w:val="00FE0F99"/>
    <w:rsid w:val="00FE1048"/>
    <w:rsid w:val="00FE2B4A"/>
    <w:rsid w:val="00FE2C0F"/>
    <w:rsid w:val="00FE35F9"/>
    <w:rsid w:val="00FE37F6"/>
    <w:rsid w:val="00FE5586"/>
    <w:rsid w:val="00FE5DF7"/>
    <w:rsid w:val="00FE65F2"/>
    <w:rsid w:val="00FE78EE"/>
    <w:rsid w:val="00FF1201"/>
    <w:rsid w:val="00FF14EF"/>
    <w:rsid w:val="00FF1972"/>
    <w:rsid w:val="00FF26E2"/>
    <w:rsid w:val="00FF2CC4"/>
    <w:rsid w:val="00FF3F0D"/>
    <w:rsid w:val="00FF4C73"/>
    <w:rsid w:val="00FF55AA"/>
    <w:rsid w:val="00FF5DB4"/>
    <w:rsid w:val="00FF6306"/>
    <w:rsid w:val="00FF6C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3471"/>
  <w15:docId w15:val="{29D91246-76A2-4918-8980-8A2B2945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EA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96D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D3EDF"/>
    <w:pPr>
      <w:keepNext/>
      <w:autoSpaceDE w:val="0"/>
      <w:autoSpaceDN w:val="0"/>
      <w:adjustRightInd w:val="0"/>
      <w:spacing w:line="360" w:lineRule="auto"/>
      <w:jc w:val="both"/>
      <w:outlineLvl w:val="1"/>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EA7"/>
    <w:pPr>
      <w:ind w:left="720"/>
      <w:contextualSpacing/>
    </w:pPr>
  </w:style>
  <w:style w:type="paragraph" w:styleId="CommentText">
    <w:name w:val="annotation text"/>
    <w:basedOn w:val="Normal"/>
    <w:link w:val="CommentTextChar"/>
    <w:semiHidden/>
    <w:rsid w:val="001F2224"/>
    <w:pPr>
      <w:suppressLineNumbers/>
      <w:tabs>
        <w:tab w:val="left" w:pos="340"/>
        <w:tab w:val="left" w:pos="1418"/>
        <w:tab w:val="left" w:pos="2268"/>
        <w:tab w:val="left" w:pos="3119"/>
        <w:tab w:val="left" w:pos="3969"/>
        <w:tab w:val="left" w:pos="4820"/>
        <w:tab w:val="left" w:pos="5670"/>
        <w:tab w:val="left" w:pos="6521"/>
        <w:tab w:val="left" w:pos="7938"/>
      </w:tabs>
      <w:suppressAutoHyphens/>
      <w:spacing w:after="120" w:line="264" w:lineRule="auto"/>
    </w:pPr>
    <w:rPr>
      <w:sz w:val="20"/>
      <w:szCs w:val="20"/>
      <w:lang w:eastAsia="en-US"/>
    </w:rPr>
  </w:style>
  <w:style w:type="character" w:customStyle="1" w:styleId="CommentTextChar">
    <w:name w:val="Comment Text Char"/>
    <w:basedOn w:val="DefaultParagraphFont"/>
    <w:link w:val="CommentText"/>
    <w:semiHidden/>
    <w:rsid w:val="001F2224"/>
    <w:rPr>
      <w:rFonts w:ascii="Times New Roman" w:eastAsia="Times New Roman" w:hAnsi="Times New Roman" w:cs="Times New Roman"/>
      <w:sz w:val="20"/>
      <w:szCs w:val="20"/>
    </w:rPr>
  </w:style>
  <w:style w:type="character" w:styleId="CommentReference">
    <w:name w:val="annotation reference"/>
    <w:semiHidden/>
    <w:rsid w:val="001F2224"/>
    <w:rPr>
      <w:sz w:val="16"/>
      <w:szCs w:val="16"/>
    </w:rPr>
  </w:style>
  <w:style w:type="paragraph" w:styleId="BalloonText">
    <w:name w:val="Balloon Text"/>
    <w:basedOn w:val="Normal"/>
    <w:link w:val="BalloonTextChar"/>
    <w:uiPriority w:val="99"/>
    <w:semiHidden/>
    <w:unhideWhenUsed/>
    <w:rsid w:val="001F2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24"/>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3C12B9"/>
    <w:pPr>
      <w:suppressLineNumbers w:val="0"/>
      <w:tabs>
        <w:tab w:val="clear" w:pos="340"/>
        <w:tab w:val="clear" w:pos="1418"/>
        <w:tab w:val="clear" w:pos="2268"/>
        <w:tab w:val="clear" w:pos="3119"/>
        <w:tab w:val="clear" w:pos="3969"/>
        <w:tab w:val="clear" w:pos="4820"/>
        <w:tab w:val="clear" w:pos="5670"/>
        <w:tab w:val="clear" w:pos="6521"/>
        <w:tab w:val="clear" w:pos="7938"/>
      </w:tabs>
      <w:suppressAutoHyphens w:val="0"/>
      <w:spacing w:after="0" w:line="240" w:lineRule="auto"/>
    </w:pPr>
    <w:rPr>
      <w:b/>
      <w:bCs/>
      <w:lang w:eastAsia="en-GB"/>
    </w:rPr>
  </w:style>
  <w:style w:type="character" w:customStyle="1" w:styleId="CommentSubjectChar">
    <w:name w:val="Comment Subject Char"/>
    <w:basedOn w:val="CommentTextChar"/>
    <w:link w:val="CommentSubject"/>
    <w:uiPriority w:val="99"/>
    <w:semiHidden/>
    <w:rsid w:val="003C12B9"/>
    <w:rPr>
      <w:rFonts w:ascii="Times New Roman" w:eastAsia="Times New Roman" w:hAnsi="Times New Roman" w:cs="Times New Roman"/>
      <w:b/>
      <w:bCs/>
      <w:sz w:val="20"/>
      <w:szCs w:val="20"/>
      <w:lang w:eastAsia="en-GB"/>
    </w:rPr>
  </w:style>
  <w:style w:type="character" w:customStyle="1" w:styleId="Heading2Char">
    <w:name w:val="Heading 2 Char"/>
    <w:basedOn w:val="DefaultParagraphFont"/>
    <w:link w:val="Heading2"/>
    <w:rsid w:val="004D3EDF"/>
    <w:rPr>
      <w:rFonts w:ascii="Times New Roman" w:eastAsia="Times New Roman" w:hAnsi="Times New Roman" w:cs="Times New Roman"/>
      <w:b/>
      <w:bCs/>
      <w:sz w:val="24"/>
      <w:lang w:eastAsia="en-GB"/>
    </w:rPr>
  </w:style>
  <w:style w:type="paragraph" w:customStyle="1" w:styleId="NormalJustified">
    <w:name w:val="Normal + Justified"/>
    <w:basedOn w:val="Normal"/>
    <w:rsid w:val="004D3EDF"/>
    <w:pPr>
      <w:jc w:val="both"/>
    </w:pPr>
  </w:style>
  <w:style w:type="paragraph" w:styleId="Caption">
    <w:name w:val="caption"/>
    <w:basedOn w:val="Normal"/>
    <w:next w:val="Normal"/>
    <w:qFormat/>
    <w:rsid w:val="00281121"/>
    <w:pPr>
      <w:keepLines/>
      <w:suppressLineNumbers/>
      <w:tabs>
        <w:tab w:val="left" w:pos="1134"/>
      </w:tabs>
      <w:suppressAutoHyphens/>
      <w:spacing w:before="120" w:after="120"/>
      <w:ind w:left="1134" w:hanging="1134"/>
    </w:pPr>
    <w:rPr>
      <w:i/>
      <w:sz w:val="23"/>
      <w:szCs w:val="20"/>
      <w:lang w:eastAsia="en-US"/>
    </w:rPr>
  </w:style>
  <w:style w:type="paragraph" w:styleId="FootnoteText">
    <w:name w:val="footnote text"/>
    <w:basedOn w:val="Normal"/>
    <w:link w:val="FootnoteTextChar"/>
    <w:semiHidden/>
    <w:rsid w:val="003E2DC9"/>
    <w:pPr>
      <w:keepLines/>
      <w:suppressLineNumbers/>
      <w:tabs>
        <w:tab w:val="left" w:pos="340"/>
      </w:tabs>
      <w:suppressAutoHyphens/>
      <w:spacing w:line="264" w:lineRule="auto"/>
      <w:ind w:left="340" w:hanging="340"/>
    </w:pPr>
    <w:rPr>
      <w:rFonts w:ascii="Times Roman" w:hAnsi="Times Roman"/>
      <w:sz w:val="21"/>
      <w:szCs w:val="20"/>
      <w:lang w:eastAsia="en-US"/>
    </w:rPr>
  </w:style>
  <w:style w:type="character" w:customStyle="1" w:styleId="FootnoteTextChar">
    <w:name w:val="Footnote Text Char"/>
    <w:basedOn w:val="DefaultParagraphFont"/>
    <w:link w:val="FootnoteText"/>
    <w:semiHidden/>
    <w:rsid w:val="003E2DC9"/>
    <w:rPr>
      <w:rFonts w:ascii="Times Roman" w:eastAsia="Times New Roman" w:hAnsi="Times Roman" w:cs="Times New Roman"/>
      <w:sz w:val="21"/>
      <w:szCs w:val="20"/>
    </w:rPr>
  </w:style>
  <w:style w:type="character" w:styleId="FootnoteReference">
    <w:name w:val="footnote reference"/>
    <w:semiHidden/>
    <w:rsid w:val="003E2DC9"/>
    <w:rPr>
      <w:vertAlign w:val="superscript"/>
    </w:rPr>
  </w:style>
  <w:style w:type="character" w:customStyle="1" w:styleId="xesmall">
    <w:name w:val="xesmall"/>
    <w:basedOn w:val="DefaultParagraphFont"/>
    <w:rsid w:val="00C3538D"/>
  </w:style>
  <w:style w:type="paragraph" w:styleId="ListBullet">
    <w:name w:val="List Bullet"/>
    <w:basedOn w:val="ListNumber"/>
    <w:semiHidden/>
    <w:rsid w:val="00D039F9"/>
    <w:pPr>
      <w:numPr>
        <w:numId w:val="2"/>
      </w:numPr>
      <w:suppressLineNumbers/>
      <w:suppressAutoHyphens/>
      <w:spacing w:line="264" w:lineRule="auto"/>
      <w:contextualSpacing w:val="0"/>
    </w:pPr>
    <w:rPr>
      <w:sz w:val="23"/>
      <w:szCs w:val="20"/>
      <w:lang w:eastAsia="en-US"/>
    </w:rPr>
  </w:style>
  <w:style w:type="paragraph" w:styleId="ListNumber">
    <w:name w:val="List Number"/>
    <w:basedOn w:val="Normal"/>
    <w:uiPriority w:val="99"/>
    <w:semiHidden/>
    <w:unhideWhenUsed/>
    <w:rsid w:val="00D039F9"/>
    <w:pPr>
      <w:numPr>
        <w:numId w:val="3"/>
      </w:numPr>
      <w:contextualSpacing/>
    </w:pPr>
  </w:style>
  <w:style w:type="paragraph" w:styleId="TOC1">
    <w:name w:val="toc 1"/>
    <w:basedOn w:val="Normal"/>
    <w:next w:val="Normal"/>
    <w:autoRedefine/>
    <w:semiHidden/>
    <w:rsid w:val="004C769A"/>
    <w:pPr>
      <w:suppressLineNumbers/>
      <w:tabs>
        <w:tab w:val="left" w:pos="340"/>
        <w:tab w:val="right" w:pos="8221"/>
      </w:tabs>
      <w:suppressAutoHyphens/>
      <w:spacing w:before="240" w:line="264" w:lineRule="auto"/>
    </w:pPr>
    <w:rPr>
      <w:sz w:val="23"/>
      <w:szCs w:val="20"/>
      <w:lang w:eastAsia="en-US"/>
    </w:rPr>
  </w:style>
  <w:style w:type="paragraph" w:customStyle="1" w:styleId="Table">
    <w:name w:val="Table"/>
    <w:basedOn w:val="Normal"/>
    <w:rsid w:val="004C769A"/>
    <w:pPr>
      <w:keepNext/>
      <w:keepLines/>
      <w:suppressLineNumbers/>
      <w:suppressAutoHyphens/>
      <w:spacing w:line="264" w:lineRule="auto"/>
    </w:pPr>
    <w:rPr>
      <w:sz w:val="21"/>
      <w:szCs w:val="20"/>
      <w:lang w:eastAsia="en-US"/>
    </w:rPr>
  </w:style>
  <w:style w:type="character" w:customStyle="1" w:styleId="Heading1Char">
    <w:name w:val="Heading 1 Char"/>
    <w:basedOn w:val="DefaultParagraphFont"/>
    <w:link w:val="Heading1"/>
    <w:uiPriority w:val="9"/>
    <w:rsid w:val="00796D73"/>
    <w:rPr>
      <w:rFonts w:asciiTheme="majorHAnsi" w:eastAsiaTheme="majorEastAsia" w:hAnsiTheme="majorHAnsi" w:cstheme="majorBidi"/>
      <w:color w:val="2E74B5" w:themeColor="accent1" w:themeShade="BF"/>
      <w:sz w:val="32"/>
      <w:szCs w:val="32"/>
      <w:lang w:eastAsia="en-GB"/>
    </w:rPr>
  </w:style>
  <w:style w:type="table" w:styleId="TableGrid">
    <w:name w:val="Table Grid"/>
    <w:basedOn w:val="TableNormal"/>
    <w:uiPriority w:val="39"/>
    <w:rsid w:val="0052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78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466EBB"/>
  </w:style>
  <w:style w:type="paragraph" w:customStyle="1" w:styleId="Default">
    <w:name w:val="Default"/>
    <w:rsid w:val="0089074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15640A"/>
    <w:pPr>
      <w:tabs>
        <w:tab w:val="center" w:pos="4680"/>
        <w:tab w:val="right" w:pos="9360"/>
      </w:tabs>
    </w:pPr>
  </w:style>
  <w:style w:type="character" w:customStyle="1" w:styleId="HeaderChar">
    <w:name w:val="Header Char"/>
    <w:basedOn w:val="DefaultParagraphFont"/>
    <w:link w:val="Header"/>
    <w:uiPriority w:val="99"/>
    <w:rsid w:val="0015640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640A"/>
    <w:pPr>
      <w:tabs>
        <w:tab w:val="center" w:pos="4680"/>
        <w:tab w:val="right" w:pos="9360"/>
      </w:tabs>
    </w:pPr>
  </w:style>
  <w:style w:type="character" w:customStyle="1" w:styleId="FooterChar">
    <w:name w:val="Footer Char"/>
    <w:basedOn w:val="DefaultParagraphFont"/>
    <w:link w:val="Footer"/>
    <w:uiPriority w:val="99"/>
    <w:rsid w:val="0015640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23BA4"/>
    <w:rPr>
      <w:color w:val="0563C1" w:themeColor="hyperlink"/>
      <w:u w:val="single"/>
    </w:rPr>
  </w:style>
  <w:style w:type="character" w:styleId="LineNumber">
    <w:name w:val="line number"/>
    <w:basedOn w:val="DefaultParagraphFont"/>
    <w:uiPriority w:val="99"/>
    <w:semiHidden/>
    <w:unhideWhenUsed/>
    <w:rsid w:val="00C65F0E"/>
  </w:style>
  <w:style w:type="paragraph" w:styleId="Revision">
    <w:name w:val="Revision"/>
    <w:hidden/>
    <w:uiPriority w:val="99"/>
    <w:semiHidden/>
    <w:rsid w:val="007250A0"/>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228">
      <w:bodyDiv w:val="1"/>
      <w:marLeft w:val="0"/>
      <w:marRight w:val="0"/>
      <w:marTop w:val="0"/>
      <w:marBottom w:val="0"/>
      <w:divBdr>
        <w:top w:val="none" w:sz="0" w:space="0" w:color="auto"/>
        <w:left w:val="none" w:sz="0" w:space="0" w:color="auto"/>
        <w:bottom w:val="none" w:sz="0" w:space="0" w:color="auto"/>
        <w:right w:val="none" w:sz="0" w:space="0" w:color="auto"/>
      </w:divBdr>
    </w:div>
    <w:div w:id="10574659">
      <w:bodyDiv w:val="1"/>
      <w:marLeft w:val="0"/>
      <w:marRight w:val="0"/>
      <w:marTop w:val="0"/>
      <w:marBottom w:val="0"/>
      <w:divBdr>
        <w:top w:val="none" w:sz="0" w:space="0" w:color="auto"/>
        <w:left w:val="none" w:sz="0" w:space="0" w:color="auto"/>
        <w:bottom w:val="none" w:sz="0" w:space="0" w:color="auto"/>
        <w:right w:val="none" w:sz="0" w:space="0" w:color="auto"/>
      </w:divBdr>
    </w:div>
    <w:div w:id="90319070">
      <w:bodyDiv w:val="1"/>
      <w:marLeft w:val="0"/>
      <w:marRight w:val="0"/>
      <w:marTop w:val="0"/>
      <w:marBottom w:val="0"/>
      <w:divBdr>
        <w:top w:val="none" w:sz="0" w:space="0" w:color="auto"/>
        <w:left w:val="none" w:sz="0" w:space="0" w:color="auto"/>
        <w:bottom w:val="none" w:sz="0" w:space="0" w:color="auto"/>
        <w:right w:val="none" w:sz="0" w:space="0" w:color="auto"/>
      </w:divBdr>
    </w:div>
    <w:div w:id="253786455">
      <w:bodyDiv w:val="1"/>
      <w:marLeft w:val="0"/>
      <w:marRight w:val="0"/>
      <w:marTop w:val="0"/>
      <w:marBottom w:val="0"/>
      <w:divBdr>
        <w:top w:val="none" w:sz="0" w:space="0" w:color="auto"/>
        <w:left w:val="none" w:sz="0" w:space="0" w:color="auto"/>
        <w:bottom w:val="none" w:sz="0" w:space="0" w:color="auto"/>
        <w:right w:val="none" w:sz="0" w:space="0" w:color="auto"/>
      </w:divBdr>
    </w:div>
    <w:div w:id="267272525">
      <w:bodyDiv w:val="1"/>
      <w:marLeft w:val="0"/>
      <w:marRight w:val="0"/>
      <w:marTop w:val="0"/>
      <w:marBottom w:val="0"/>
      <w:divBdr>
        <w:top w:val="none" w:sz="0" w:space="0" w:color="auto"/>
        <w:left w:val="none" w:sz="0" w:space="0" w:color="auto"/>
        <w:bottom w:val="none" w:sz="0" w:space="0" w:color="auto"/>
        <w:right w:val="none" w:sz="0" w:space="0" w:color="auto"/>
      </w:divBdr>
    </w:div>
    <w:div w:id="302928998">
      <w:bodyDiv w:val="1"/>
      <w:marLeft w:val="0"/>
      <w:marRight w:val="0"/>
      <w:marTop w:val="0"/>
      <w:marBottom w:val="0"/>
      <w:divBdr>
        <w:top w:val="none" w:sz="0" w:space="0" w:color="auto"/>
        <w:left w:val="none" w:sz="0" w:space="0" w:color="auto"/>
        <w:bottom w:val="none" w:sz="0" w:space="0" w:color="auto"/>
        <w:right w:val="none" w:sz="0" w:space="0" w:color="auto"/>
      </w:divBdr>
    </w:div>
    <w:div w:id="344329483">
      <w:bodyDiv w:val="1"/>
      <w:marLeft w:val="0"/>
      <w:marRight w:val="0"/>
      <w:marTop w:val="0"/>
      <w:marBottom w:val="0"/>
      <w:divBdr>
        <w:top w:val="none" w:sz="0" w:space="0" w:color="auto"/>
        <w:left w:val="none" w:sz="0" w:space="0" w:color="auto"/>
        <w:bottom w:val="none" w:sz="0" w:space="0" w:color="auto"/>
        <w:right w:val="none" w:sz="0" w:space="0" w:color="auto"/>
      </w:divBdr>
    </w:div>
    <w:div w:id="366223235">
      <w:bodyDiv w:val="1"/>
      <w:marLeft w:val="0"/>
      <w:marRight w:val="0"/>
      <w:marTop w:val="0"/>
      <w:marBottom w:val="0"/>
      <w:divBdr>
        <w:top w:val="none" w:sz="0" w:space="0" w:color="auto"/>
        <w:left w:val="none" w:sz="0" w:space="0" w:color="auto"/>
        <w:bottom w:val="none" w:sz="0" w:space="0" w:color="auto"/>
        <w:right w:val="none" w:sz="0" w:space="0" w:color="auto"/>
      </w:divBdr>
    </w:div>
    <w:div w:id="770393566">
      <w:bodyDiv w:val="1"/>
      <w:marLeft w:val="0"/>
      <w:marRight w:val="0"/>
      <w:marTop w:val="0"/>
      <w:marBottom w:val="0"/>
      <w:divBdr>
        <w:top w:val="none" w:sz="0" w:space="0" w:color="auto"/>
        <w:left w:val="none" w:sz="0" w:space="0" w:color="auto"/>
        <w:bottom w:val="none" w:sz="0" w:space="0" w:color="auto"/>
        <w:right w:val="none" w:sz="0" w:space="0" w:color="auto"/>
      </w:divBdr>
    </w:div>
    <w:div w:id="799688357">
      <w:bodyDiv w:val="1"/>
      <w:marLeft w:val="0"/>
      <w:marRight w:val="0"/>
      <w:marTop w:val="0"/>
      <w:marBottom w:val="0"/>
      <w:divBdr>
        <w:top w:val="none" w:sz="0" w:space="0" w:color="auto"/>
        <w:left w:val="none" w:sz="0" w:space="0" w:color="auto"/>
        <w:bottom w:val="none" w:sz="0" w:space="0" w:color="auto"/>
        <w:right w:val="none" w:sz="0" w:space="0" w:color="auto"/>
      </w:divBdr>
    </w:div>
    <w:div w:id="840512964">
      <w:bodyDiv w:val="1"/>
      <w:marLeft w:val="0"/>
      <w:marRight w:val="0"/>
      <w:marTop w:val="0"/>
      <w:marBottom w:val="0"/>
      <w:divBdr>
        <w:top w:val="none" w:sz="0" w:space="0" w:color="auto"/>
        <w:left w:val="none" w:sz="0" w:space="0" w:color="auto"/>
        <w:bottom w:val="none" w:sz="0" w:space="0" w:color="auto"/>
        <w:right w:val="none" w:sz="0" w:space="0" w:color="auto"/>
      </w:divBdr>
    </w:div>
    <w:div w:id="1082798298">
      <w:bodyDiv w:val="1"/>
      <w:marLeft w:val="0"/>
      <w:marRight w:val="0"/>
      <w:marTop w:val="0"/>
      <w:marBottom w:val="0"/>
      <w:divBdr>
        <w:top w:val="none" w:sz="0" w:space="0" w:color="auto"/>
        <w:left w:val="none" w:sz="0" w:space="0" w:color="auto"/>
        <w:bottom w:val="none" w:sz="0" w:space="0" w:color="auto"/>
        <w:right w:val="none" w:sz="0" w:space="0" w:color="auto"/>
      </w:divBdr>
    </w:div>
    <w:div w:id="1321933076">
      <w:bodyDiv w:val="1"/>
      <w:marLeft w:val="0"/>
      <w:marRight w:val="0"/>
      <w:marTop w:val="0"/>
      <w:marBottom w:val="0"/>
      <w:divBdr>
        <w:top w:val="none" w:sz="0" w:space="0" w:color="auto"/>
        <w:left w:val="none" w:sz="0" w:space="0" w:color="auto"/>
        <w:bottom w:val="none" w:sz="0" w:space="0" w:color="auto"/>
        <w:right w:val="none" w:sz="0" w:space="0" w:color="auto"/>
      </w:divBdr>
    </w:div>
    <w:div w:id="1330794143">
      <w:bodyDiv w:val="1"/>
      <w:marLeft w:val="0"/>
      <w:marRight w:val="0"/>
      <w:marTop w:val="0"/>
      <w:marBottom w:val="0"/>
      <w:divBdr>
        <w:top w:val="none" w:sz="0" w:space="0" w:color="auto"/>
        <w:left w:val="none" w:sz="0" w:space="0" w:color="auto"/>
        <w:bottom w:val="none" w:sz="0" w:space="0" w:color="auto"/>
        <w:right w:val="none" w:sz="0" w:space="0" w:color="auto"/>
      </w:divBdr>
    </w:div>
    <w:div w:id="1380547610">
      <w:bodyDiv w:val="1"/>
      <w:marLeft w:val="0"/>
      <w:marRight w:val="0"/>
      <w:marTop w:val="0"/>
      <w:marBottom w:val="0"/>
      <w:divBdr>
        <w:top w:val="none" w:sz="0" w:space="0" w:color="auto"/>
        <w:left w:val="none" w:sz="0" w:space="0" w:color="auto"/>
        <w:bottom w:val="none" w:sz="0" w:space="0" w:color="auto"/>
        <w:right w:val="none" w:sz="0" w:space="0" w:color="auto"/>
      </w:divBdr>
    </w:div>
    <w:div w:id="1474130894">
      <w:bodyDiv w:val="1"/>
      <w:marLeft w:val="0"/>
      <w:marRight w:val="0"/>
      <w:marTop w:val="0"/>
      <w:marBottom w:val="0"/>
      <w:divBdr>
        <w:top w:val="none" w:sz="0" w:space="0" w:color="auto"/>
        <w:left w:val="none" w:sz="0" w:space="0" w:color="auto"/>
        <w:bottom w:val="none" w:sz="0" w:space="0" w:color="auto"/>
        <w:right w:val="none" w:sz="0" w:space="0" w:color="auto"/>
      </w:divBdr>
    </w:div>
    <w:div w:id="1806964355">
      <w:bodyDiv w:val="1"/>
      <w:marLeft w:val="0"/>
      <w:marRight w:val="0"/>
      <w:marTop w:val="0"/>
      <w:marBottom w:val="0"/>
      <w:divBdr>
        <w:top w:val="none" w:sz="0" w:space="0" w:color="auto"/>
        <w:left w:val="none" w:sz="0" w:space="0" w:color="auto"/>
        <w:bottom w:val="none" w:sz="0" w:space="0" w:color="auto"/>
        <w:right w:val="none" w:sz="0" w:space="0" w:color="auto"/>
      </w:divBdr>
    </w:div>
    <w:div w:id="1868326584">
      <w:bodyDiv w:val="1"/>
      <w:marLeft w:val="0"/>
      <w:marRight w:val="0"/>
      <w:marTop w:val="0"/>
      <w:marBottom w:val="0"/>
      <w:divBdr>
        <w:top w:val="none" w:sz="0" w:space="0" w:color="auto"/>
        <w:left w:val="none" w:sz="0" w:space="0" w:color="auto"/>
        <w:bottom w:val="none" w:sz="0" w:space="0" w:color="auto"/>
        <w:right w:val="none" w:sz="0" w:space="0" w:color="auto"/>
      </w:divBdr>
    </w:div>
    <w:div w:id="205110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ter.van.beukering@vu.nl" TargetMode="External"/><Relationship Id="rId13" Type="http://schemas.openxmlformats.org/officeDocument/2006/relationships/oleObject" Target="embeddings/oleObject1.bin"/><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oleObject" Target="embeddings/oleObject3.bin"/><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http://ckpp.wetlands.org" TargetMode="External"/><Relationship Id="rId19" Type="http://schemas.openxmlformats.org/officeDocument/2006/relationships/oleObject" Target="embeddings/oleObject4.bin"/><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mailto:ieva.oskolokaite@gmail.com" TargetMode="Externa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BBCB-BA99-4C31-9B9F-E8D7F678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12292</Words>
  <Characters>70068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82196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 Schaafsma</dc:creator>
  <cp:lastModifiedBy>Marije Schaafsma</cp:lastModifiedBy>
  <cp:revision>12</cp:revision>
  <dcterms:created xsi:type="dcterms:W3CDTF">2017-09-15T12:58:00Z</dcterms:created>
  <dcterms:modified xsi:type="dcterms:W3CDTF">2017-09-15T16:09:00Z</dcterms:modified>
</cp:coreProperties>
</file>